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F225B" w14:textId="77777777" w:rsidR="009B781F" w:rsidRDefault="009B781F" w:rsidP="00627947">
      <w:pPr>
        <w:pStyle w:val="2Footnotes"/>
      </w:pPr>
      <w:bookmarkStart w:id="0" w:name="_GoBack"/>
      <w:bookmarkEnd w:id="0"/>
    </w:p>
    <w:p w14:paraId="5005DE2A" w14:textId="77777777" w:rsidR="0028313B" w:rsidRDefault="0028313B" w:rsidP="00E4033A">
      <w:pPr>
        <w:jc w:val="center"/>
        <w:rPr>
          <w:rFonts w:ascii="Verdana" w:hAnsi="Verdana"/>
          <w:b/>
          <w:sz w:val="20"/>
          <w:szCs w:val="20"/>
        </w:rPr>
      </w:pPr>
    </w:p>
    <w:p w14:paraId="165A34DB" w14:textId="77777777" w:rsidR="0043223E" w:rsidRDefault="0043223E" w:rsidP="004E7D46">
      <w:pPr>
        <w:ind w:left="720" w:hanging="720"/>
        <w:jc w:val="center"/>
        <w:rPr>
          <w:rFonts w:ascii="Verdana" w:hAnsi="Verdana"/>
          <w:b/>
          <w:sz w:val="20"/>
          <w:szCs w:val="20"/>
        </w:rPr>
      </w:pPr>
    </w:p>
    <w:p w14:paraId="1A74915B" w14:textId="77777777" w:rsidR="00C235A4" w:rsidRDefault="00C235A4" w:rsidP="004E7D46">
      <w:pPr>
        <w:ind w:left="720" w:hanging="720"/>
        <w:jc w:val="center"/>
        <w:rPr>
          <w:rFonts w:ascii="Verdana" w:hAnsi="Verdana"/>
          <w:b/>
          <w:sz w:val="20"/>
          <w:szCs w:val="20"/>
        </w:rPr>
      </w:pPr>
    </w:p>
    <w:p w14:paraId="04F90ABB" w14:textId="77777777" w:rsidR="00C235A4" w:rsidRDefault="00C235A4" w:rsidP="004E7D46">
      <w:pPr>
        <w:ind w:left="720" w:hanging="720"/>
        <w:jc w:val="center"/>
        <w:rPr>
          <w:rFonts w:ascii="Verdana" w:hAnsi="Verdana"/>
          <w:b/>
          <w:sz w:val="20"/>
          <w:szCs w:val="20"/>
        </w:rPr>
      </w:pPr>
    </w:p>
    <w:p w14:paraId="611D6406" w14:textId="77777777" w:rsidR="00C235A4" w:rsidRDefault="00C235A4" w:rsidP="004E7D46">
      <w:pPr>
        <w:ind w:left="720" w:hanging="720"/>
        <w:jc w:val="center"/>
        <w:rPr>
          <w:rFonts w:ascii="Verdana" w:hAnsi="Verdana"/>
          <w:b/>
          <w:sz w:val="20"/>
          <w:szCs w:val="20"/>
        </w:rPr>
      </w:pPr>
    </w:p>
    <w:p w14:paraId="3F932DF2" w14:textId="77777777" w:rsidR="00C235A4" w:rsidRDefault="00C235A4" w:rsidP="004E7D46">
      <w:pPr>
        <w:ind w:left="720" w:hanging="720"/>
        <w:jc w:val="center"/>
        <w:rPr>
          <w:rFonts w:ascii="Verdana" w:hAnsi="Verdana"/>
          <w:b/>
          <w:sz w:val="20"/>
          <w:szCs w:val="20"/>
        </w:rPr>
      </w:pPr>
    </w:p>
    <w:p w14:paraId="0C5668BF" w14:textId="77777777" w:rsidR="00C235A4" w:rsidRDefault="00C235A4" w:rsidP="004E7D46">
      <w:pPr>
        <w:ind w:left="720" w:hanging="720"/>
        <w:jc w:val="center"/>
        <w:rPr>
          <w:rFonts w:ascii="Verdana" w:hAnsi="Verdana"/>
          <w:b/>
          <w:sz w:val="20"/>
          <w:szCs w:val="20"/>
        </w:rPr>
      </w:pPr>
    </w:p>
    <w:p w14:paraId="69FD13F8" w14:textId="77777777" w:rsidR="00C235A4" w:rsidRDefault="00C235A4" w:rsidP="004E7D46">
      <w:pPr>
        <w:ind w:left="720" w:hanging="720"/>
        <w:jc w:val="center"/>
        <w:rPr>
          <w:rFonts w:ascii="Verdana" w:hAnsi="Verdana"/>
          <w:b/>
          <w:sz w:val="20"/>
          <w:szCs w:val="20"/>
        </w:rPr>
      </w:pPr>
    </w:p>
    <w:p w14:paraId="2CF3EDDB" w14:textId="77777777" w:rsidR="00C235A4" w:rsidRDefault="00C235A4" w:rsidP="004E7D46">
      <w:pPr>
        <w:ind w:left="720" w:hanging="720"/>
        <w:jc w:val="center"/>
        <w:rPr>
          <w:rFonts w:ascii="Verdana" w:hAnsi="Verdana"/>
          <w:b/>
          <w:sz w:val="20"/>
          <w:szCs w:val="20"/>
        </w:rPr>
      </w:pPr>
    </w:p>
    <w:p w14:paraId="1DAA81C3" w14:textId="77777777" w:rsidR="00E4033A" w:rsidRPr="00FD7DB4" w:rsidRDefault="00E4033A" w:rsidP="00E4033A">
      <w:pPr>
        <w:jc w:val="center"/>
        <w:rPr>
          <w:rFonts w:ascii="Verdana" w:hAnsi="Verdana"/>
          <w:b/>
          <w:sz w:val="20"/>
          <w:szCs w:val="20"/>
        </w:rPr>
      </w:pPr>
      <w:r w:rsidRPr="00FD7DB4">
        <w:rPr>
          <w:rFonts w:ascii="Verdana" w:hAnsi="Verdana"/>
          <w:b/>
          <w:sz w:val="20"/>
          <w:szCs w:val="20"/>
        </w:rPr>
        <w:t>CORTE INTERAMERICANA DE DERECHOS HUMANO</w:t>
      </w:r>
      <w:r w:rsidR="00CA2C21">
        <w:rPr>
          <w:rFonts w:ascii="Verdana" w:hAnsi="Verdana"/>
          <w:b/>
          <w:sz w:val="20"/>
          <w:szCs w:val="20"/>
        </w:rPr>
        <w:t>S</w:t>
      </w:r>
    </w:p>
    <w:p w14:paraId="3140E544" w14:textId="77777777" w:rsidR="00E4033A" w:rsidRPr="00FD7DB4" w:rsidRDefault="00E4033A" w:rsidP="00E4033A">
      <w:pPr>
        <w:jc w:val="center"/>
        <w:rPr>
          <w:rFonts w:ascii="Verdana" w:hAnsi="Verdana"/>
          <w:b/>
          <w:sz w:val="20"/>
          <w:szCs w:val="20"/>
        </w:rPr>
      </w:pPr>
    </w:p>
    <w:p w14:paraId="21A829DC" w14:textId="77777777" w:rsidR="00E4033A" w:rsidRPr="00FD7DB4" w:rsidRDefault="00E4033A" w:rsidP="00E4033A">
      <w:pPr>
        <w:jc w:val="center"/>
        <w:rPr>
          <w:rFonts w:ascii="Verdana" w:hAnsi="Verdana"/>
          <w:b/>
          <w:sz w:val="20"/>
          <w:szCs w:val="20"/>
        </w:rPr>
      </w:pPr>
    </w:p>
    <w:p w14:paraId="4B5AB3B0" w14:textId="77777777" w:rsidR="00E4033A" w:rsidRPr="00FD7DB4" w:rsidRDefault="00E4033A" w:rsidP="00E4033A">
      <w:pPr>
        <w:jc w:val="center"/>
        <w:rPr>
          <w:rFonts w:ascii="Verdana" w:hAnsi="Verdana"/>
          <w:b/>
          <w:sz w:val="20"/>
          <w:szCs w:val="20"/>
        </w:rPr>
      </w:pPr>
      <w:r w:rsidRPr="00FD7DB4">
        <w:rPr>
          <w:rFonts w:ascii="Verdana" w:hAnsi="Verdana"/>
          <w:b/>
          <w:sz w:val="20"/>
          <w:szCs w:val="20"/>
        </w:rPr>
        <w:t xml:space="preserve">CASO </w:t>
      </w:r>
      <w:r w:rsidR="00382F4D">
        <w:rPr>
          <w:rFonts w:ascii="Verdana" w:hAnsi="Verdana"/>
          <w:b/>
          <w:sz w:val="20"/>
          <w:szCs w:val="20"/>
        </w:rPr>
        <w:t>PUEBLOS KALIÑA Y LOKONO</w:t>
      </w:r>
      <w:r w:rsidRPr="00FD7DB4">
        <w:rPr>
          <w:rFonts w:ascii="Verdana" w:hAnsi="Verdana"/>
          <w:b/>
          <w:sz w:val="20"/>
          <w:szCs w:val="20"/>
        </w:rPr>
        <w:t xml:space="preserve"> </w:t>
      </w:r>
      <w:r w:rsidR="008A4ABB" w:rsidRPr="00415A21">
        <w:rPr>
          <w:rFonts w:ascii="Verdana" w:hAnsi="Verdana"/>
          <w:b/>
          <w:i/>
          <w:sz w:val="20"/>
          <w:szCs w:val="20"/>
        </w:rPr>
        <w:t>VS</w:t>
      </w:r>
      <w:r w:rsidR="008A4ABB" w:rsidRPr="007E20F9">
        <w:rPr>
          <w:rFonts w:ascii="Verdana" w:hAnsi="Verdana"/>
          <w:b/>
          <w:sz w:val="20"/>
          <w:szCs w:val="20"/>
        </w:rPr>
        <w:t>.</w:t>
      </w:r>
      <w:r w:rsidRPr="009E77BD">
        <w:rPr>
          <w:rFonts w:ascii="Verdana" w:hAnsi="Verdana"/>
          <w:b/>
          <w:i/>
          <w:sz w:val="20"/>
          <w:szCs w:val="20"/>
        </w:rPr>
        <w:t xml:space="preserve"> </w:t>
      </w:r>
      <w:r w:rsidR="00563E11">
        <w:rPr>
          <w:rFonts w:ascii="Verdana" w:hAnsi="Verdana"/>
          <w:b/>
          <w:sz w:val="20"/>
          <w:szCs w:val="20"/>
        </w:rPr>
        <w:t>SURINAM</w:t>
      </w:r>
    </w:p>
    <w:p w14:paraId="71AC4DD0" w14:textId="77777777" w:rsidR="00E4033A" w:rsidRPr="00FD7DB4" w:rsidRDefault="00E4033A" w:rsidP="00E4033A">
      <w:pPr>
        <w:jc w:val="center"/>
        <w:rPr>
          <w:rFonts w:ascii="Verdana" w:hAnsi="Verdana"/>
          <w:b/>
          <w:sz w:val="20"/>
          <w:szCs w:val="20"/>
        </w:rPr>
      </w:pPr>
    </w:p>
    <w:p w14:paraId="7A320D75" w14:textId="77777777" w:rsidR="00E4033A" w:rsidRPr="00FD7DB4" w:rsidRDefault="00E4033A" w:rsidP="00E4033A">
      <w:pPr>
        <w:jc w:val="center"/>
        <w:rPr>
          <w:rFonts w:ascii="Verdana" w:hAnsi="Verdana"/>
          <w:b/>
          <w:sz w:val="20"/>
          <w:szCs w:val="20"/>
        </w:rPr>
      </w:pPr>
    </w:p>
    <w:p w14:paraId="6D3B4D18" w14:textId="77777777" w:rsidR="004E264D" w:rsidRDefault="00F0127D" w:rsidP="004E264D">
      <w:pPr>
        <w:jc w:val="center"/>
        <w:rPr>
          <w:rFonts w:ascii="Verdana" w:hAnsi="Verdana"/>
          <w:b/>
          <w:sz w:val="20"/>
          <w:szCs w:val="20"/>
        </w:rPr>
      </w:pPr>
      <w:r>
        <w:rPr>
          <w:rFonts w:ascii="Verdana" w:hAnsi="Verdana"/>
          <w:b/>
          <w:sz w:val="20"/>
          <w:szCs w:val="20"/>
        </w:rPr>
        <w:t>SENTENCIA DE 25</w:t>
      </w:r>
      <w:r w:rsidR="00C447F8">
        <w:rPr>
          <w:rFonts w:ascii="Verdana" w:hAnsi="Verdana"/>
          <w:b/>
          <w:sz w:val="20"/>
          <w:szCs w:val="20"/>
        </w:rPr>
        <w:t xml:space="preserve"> DE NOVIEMBRE DE</w:t>
      </w:r>
      <w:r w:rsidR="00E4033A" w:rsidRPr="00FD7DB4">
        <w:rPr>
          <w:rFonts w:ascii="Verdana" w:hAnsi="Verdana"/>
          <w:b/>
          <w:sz w:val="20"/>
          <w:szCs w:val="20"/>
        </w:rPr>
        <w:t xml:space="preserve"> 2015</w:t>
      </w:r>
    </w:p>
    <w:p w14:paraId="17097AD9" w14:textId="77777777" w:rsidR="004E264D" w:rsidRPr="00FD7DB4" w:rsidRDefault="004E264D" w:rsidP="004E264D">
      <w:pPr>
        <w:jc w:val="center"/>
        <w:rPr>
          <w:rFonts w:ascii="Verdana" w:hAnsi="Verdana"/>
          <w:b/>
          <w:sz w:val="20"/>
          <w:szCs w:val="20"/>
        </w:rPr>
      </w:pPr>
    </w:p>
    <w:p w14:paraId="61BA8450" w14:textId="77777777" w:rsidR="00E4033A" w:rsidRPr="004E264D" w:rsidRDefault="00E4033A" w:rsidP="00E4033A">
      <w:pPr>
        <w:jc w:val="center"/>
        <w:rPr>
          <w:rFonts w:ascii="Verdana" w:hAnsi="Verdana"/>
          <w:b/>
          <w:i/>
          <w:sz w:val="20"/>
          <w:szCs w:val="20"/>
        </w:rPr>
      </w:pPr>
      <w:r w:rsidRPr="004E264D">
        <w:rPr>
          <w:rFonts w:ascii="Verdana" w:hAnsi="Verdana"/>
          <w:b/>
          <w:i/>
          <w:sz w:val="20"/>
          <w:szCs w:val="20"/>
        </w:rPr>
        <w:t>(Fondo, Reparaciones y Costas)</w:t>
      </w:r>
    </w:p>
    <w:p w14:paraId="4B72D4B7" w14:textId="77777777" w:rsidR="00E4033A" w:rsidRPr="00FD7DB4" w:rsidRDefault="00E4033A" w:rsidP="00E4033A">
      <w:pPr>
        <w:jc w:val="both"/>
        <w:rPr>
          <w:rFonts w:ascii="Verdana" w:hAnsi="Verdana"/>
          <w:sz w:val="20"/>
          <w:szCs w:val="20"/>
        </w:rPr>
      </w:pPr>
    </w:p>
    <w:p w14:paraId="0F5760A7" w14:textId="77777777" w:rsidR="00E4033A" w:rsidRDefault="00E4033A" w:rsidP="00E4033A">
      <w:pPr>
        <w:jc w:val="both"/>
        <w:rPr>
          <w:rFonts w:ascii="Verdana" w:hAnsi="Verdana"/>
          <w:sz w:val="20"/>
          <w:szCs w:val="20"/>
        </w:rPr>
      </w:pPr>
    </w:p>
    <w:p w14:paraId="24F8BF74" w14:textId="77777777" w:rsidR="00C235A4" w:rsidRPr="00FD7DB4" w:rsidRDefault="00C235A4" w:rsidP="00E4033A">
      <w:pPr>
        <w:jc w:val="both"/>
        <w:rPr>
          <w:rFonts w:ascii="Verdana" w:hAnsi="Verdana"/>
          <w:sz w:val="20"/>
          <w:szCs w:val="20"/>
        </w:rPr>
      </w:pPr>
    </w:p>
    <w:p w14:paraId="262396EC" w14:textId="14FADC13" w:rsidR="00E4033A" w:rsidRPr="00FD7DB4" w:rsidRDefault="00E4033A" w:rsidP="00115175">
      <w:pPr>
        <w:ind w:left="1440" w:hanging="1440"/>
        <w:jc w:val="both"/>
        <w:rPr>
          <w:rFonts w:ascii="Verdana" w:hAnsi="Verdana"/>
          <w:sz w:val="20"/>
          <w:szCs w:val="20"/>
        </w:rPr>
      </w:pPr>
      <w:r w:rsidRPr="00FD7DB4">
        <w:rPr>
          <w:rFonts w:ascii="Verdana" w:hAnsi="Verdana"/>
          <w:sz w:val="20"/>
          <w:szCs w:val="20"/>
        </w:rPr>
        <w:t xml:space="preserve">En el caso </w:t>
      </w:r>
      <w:r w:rsidR="00382F4D">
        <w:rPr>
          <w:rFonts w:ascii="Verdana" w:hAnsi="Verdana"/>
          <w:i/>
          <w:sz w:val="20"/>
          <w:szCs w:val="20"/>
        </w:rPr>
        <w:t>Pueblos Kaliña y Lokono</w:t>
      </w:r>
      <w:r w:rsidRPr="00FD7DB4">
        <w:rPr>
          <w:rFonts w:ascii="Verdana" w:hAnsi="Verdana"/>
          <w:sz w:val="20"/>
          <w:szCs w:val="20"/>
        </w:rPr>
        <w:t>,</w:t>
      </w:r>
    </w:p>
    <w:p w14:paraId="3E61B4AD" w14:textId="77777777" w:rsidR="00E4033A" w:rsidRPr="00FD7DB4" w:rsidRDefault="00E4033A" w:rsidP="00E4033A">
      <w:pPr>
        <w:jc w:val="both"/>
        <w:rPr>
          <w:rFonts w:ascii="Verdana" w:hAnsi="Verdana"/>
          <w:sz w:val="20"/>
          <w:szCs w:val="20"/>
        </w:rPr>
      </w:pPr>
    </w:p>
    <w:p w14:paraId="455D1BA0" w14:textId="77777777" w:rsidR="00E4033A" w:rsidRPr="00FD7DB4" w:rsidRDefault="00E4033A" w:rsidP="00E4033A">
      <w:pPr>
        <w:jc w:val="both"/>
        <w:rPr>
          <w:rFonts w:ascii="Verdana" w:hAnsi="Verdana"/>
          <w:sz w:val="20"/>
          <w:szCs w:val="20"/>
        </w:rPr>
      </w:pPr>
      <w:r w:rsidRPr="00FD7DB4">
        <w:rPr>
          <w:rFonts w:ascii="Verdana" w:hAnsi="Verdana"/>
          <w:sz w:val="20"/>
          <w:szCs w:val="20"/>
        </w:rPr>
        <w:t xml:space="preserve">la Corte Interamericana de Derechos Humanos (en adelante “la Corte Interamericana”, “la Corte” o “el Tribunal”), integrada por los siguientes </w:t>
      </w:r>
      <w:r w:rsidR="00E77768">
        <w:rPr>
          <w:rFonts w:ascii="Verdana" w:hAnsi="Verdana"/>
          <w:sz w:val="20"/>
          <w:szCs w:val="20"/>
        </w:rPr>
        <w:t>J</w:t>
      </w:r>
      <w:r w:rsidRPr="00FD7DB4">
        <w:rPr>
          <w:rFonts w:ascii="Verdana" w:hAnsi="Verdana"/>
          <w:sz w:val="20"/>
          <w:szCs w:val="20"/>
        </w:rPr>
        <w:t>ueces:</w:t>
      </w:r>
    </w:p>
    <w:p w14:paraId="1FF9AD9B" w14:textId="77777777" w:rsidR="00E4033A" w:rsidRPr="00FD7DB4" w:rsidRDefault="00E4033A" w:rsidP="00E4033A">
      <w:pPr>
        <w:jc w:val="both"/>
        <w:rPr>
          <w:rFonts w:ascii="Verdana" w:hAnsi="Verdana"/>
          <w:sz w:val="20"/>
          <w:szCs w:val="20"/>
        </w:rPr>
      </w:pPr>
    </w:p>
    <w:p w14:paraId="4885DD0A" w14:textId="77777777" w:rsidR="00E4033A" w:rsidRPr="00FD7DB4" w:rsidRDefault="00E4033A" w:rsidP="00E4033A">
      <w:pPr>
        <w:jc w:val="both"/>
        <w:rPr>
          <w:rFonts w:ascii="Verdana" w:hAnsi="Verdana"/>
          <w:sz w:val="20"/>
          <w:szCs w:val="20"/>
        </w:rPr>
      </w:pPr>
      <w:r w:rsidRPr="00FD7DB4">
        <w:rPr>
          <w:rFonts w:ascii="Verdana" w:hAnsi="Verdana"/>
          <w:sz w:val="20"/>
          <w:szCs w:val="20"/>
        </w:rPr>
        <w:t>Humberto Antonio Sierra Porto, Presidente;</w:t>
      </w:r>
    </w:p>
    <w:p w14:paraId="527D9848" w14:textId="77777777" w:rsidR="00E4033A" w:rsidRPr="00FD7DB4" w:rsidRDefault="00E4033A" w:rsidP="00E4033A">
      <w:pPr>
        <w:jc w:val="both"/>
        <w:rPr>
          <w:rFonts w:ascii="Verdana" w:hAnsi="Verdana"/>
          <w:sz w:val="20"/>
          <w:szCs w:val="20"/>
        </w:rPr>
      </w:pPr>
      <w:r w:rsidRPr="00FD7DB4">
        <w:rPr>
          <w:rFonts w:ascii="Verdana" w:hAnsi="Verdana"/>
          <w:sz w:val="20"/>
          <w:szCs w:val="20"/>
        </w:rPr>
        <w:t>Roberto F. Caldas, Vicepresidente;</w:t>
      </w:r>
    </w:p>
    <w:p w14:paraId="3747DF38" w14:textId="77777777" w:rsidR="00E4033A" w:rsidRPr="00FD7DB4" w:rsidRDefault="00E4033A" w:rsidP="00E4033A">
      <w:pPr>
        <w:jc w:val="both"/>
        <w:rPr>
          <w:rFonts w:ascii="Verdana" w:hAnsi="Verdana"/>
          <w:sz w:val="20"/>
          <w:szCs w:val="20"/>
        </w:rPr>
      </w:pPr>
      <w:r w:rsidRPr="00FD7DB4">
        <w:rPr>
          <w:rFonts w:ascii="Verdana" w:hAnsi="Verdana"/>
          <w:sz w:val="20"/>
          <w:szCs w:val="20"/>
        </w:rPr>
        <w:t>Manuel E. Ventura Robles, Juez;</w:t>
      </w:r>
    </w:p>
    <w:p w14:paraId="5B4B31BF" w14:textId="77777777" w:rsidR="00E4033A" w:rsidRPr="00FD7DB4" w:rsidRDefault="00E4033A" w:rsidP="00E4033A">
      <w:pPr>
        <w:jc w:val="both"/>
        <w:rPr>
          <w:rFonts w:ascii="Verdana" w:hAnsi="Verdana"/>
          <w:sz w:val="20"/>
          <w:szCs w:val="20"/>
        </w:rPr>
      </w:pPr>
      <w:r w:rsidRPr="00FD7DB4">
        <w:rPr>
          <w:rFonts w:ascii="Verdana" w:hAnsi="Verdana"/>
          <w:sz w:val="20"/>
          <w:szCs w:val="20"/>
        </w:rPr>
        <w:t>Diego García-Sayán, Juez;</w:t>
      </w:r>
    </w:p>
    <w:p w14:paraId="6EC05462" w14:textId="77777777" w:rsidR="00E4033A" w:rsidRPr="00FD7DB4" w:rsidRDefault="00E4033A" w:rsidP="00E4033A">
      <w:pPr>
        <w:jc w:val="both"/>
        <w:rPr>
          <w:rFonts w:ascii="Verdana" w:hAnsi="Verdana"/>
          <w:sz w:val="20"/>
          <w:szCs w:val="20"/>
        </w:rPr>
      </w:pPr>
      <w:r w:rsidRPr="00FD7DB4">
        <w:rPr>
          <w:rFonts w:ascii="Verdana" w:hAnsi="Verdana"/>
          <w:sz w:val="20"/>
          <w:szCs w:val="20"/>
        </w:rPr>
        <w:t>Alberto Pérez Pérez, Juez;</w:t>
      </w:r>
    </w:p>
    <w:p w14:paraId="6372384C" w14:textId="77777777" w:rsidR="00E4033A" w:rsidRPr="00FD7DB4" w:rsidRDefault="00E4033A" w:rsidP="00E4033A">
      <w:pPr>
        <w:jc w:val="both"/>
        <w:rPr>
          <w:rFonts w:ascii="Verdana" w:hAnsi="Verdana"/>
          <w:sz w:val="20"/>
          <w:szCs w:val="20"/>
        </w:rPr>
      </w:pPr>
      <w:r w:rsidRPr="00FD7DB4">
        <w:rPr>
          <w:rFonts w:ascii="Verdana" w:hAnsi="Verdana"/>
          <w:sz w:val="20"/>
          <w:szCs w:val="20"/>
        </w:rPr>
        <w:t>Eduardo Vio Grossi, Juez, y</w:t>
      </w:r>
    </w:p>
    <w:p w14:paraId="2FE6AFD3" w14:textId="77777777" w:rsidR="00E4033A" w:rsidRPr="00FD7DB4" w:rsidRDefault="00E4033A" w:rsidP="00E4033A">
      <w:pPr>
        <w:jc w:val="both"/>
        <w:rPr>
          <w:rFonts w:ascii="Verdana" w:hAnsi="Verdana"/>
          <w:sz w:val="20"/>
          <w:szCs w:val="20"/>
        </w:rPr>
      </w:pPr>
      <w:r w:rsidRPr="00FD7DB4">
        <w:rPr>
          <w:rFonts w:ascii="Verdana" w:hAnsi="Verdana"/>
          <w:sz w:val="20"/>
          <w:szCs w:val="20"/>
        </w:rPr>
        <w:t>Eduardo Ferrer Mac-Gregor Poisot, Juez;</w:t>
      </w:r>
    </w:p>
    <w:p w14:paraId="3FF400ED" w14:textId="77777777" w:rsidR="00E4033A" w:rsidRPr="00FD7DB4" w:rsidRDefault="00E4033A" w:rsidP="00E4033A">
      <w:pPr>
        <w:jc w:val="both"/>
        <w:rPr>
          <w:rFonts w:ascii="Verdana" w:hAnsi="Verdana"/>
          <w:sz w:val="20"/>
          <w:szCs w:val="20"/>
        </w:rPr>
      </w:pPr>
    </w:p>
    <w:p w14:paraId="0ED464AF" w14:textId="6E1A07B1" w:rsidR="00E4033A" w:rsidRPr="00FD7DB4" w:rsidRDefault="001248C4" w:rsidP="00E4033A">
      <w:pPr>
        <w:jc w:val="both"/>
        <w:rPr>
          <w:rFonts w:ascii="Verdana" w:hAnsi="Verdana"/>
          <w:sz w:val="20"/>
          <w:szCs w:val="20"/>
        </w:rPr>
      </w:pPr>
      <w:r>
        <w:rPr>
          <w:rFonts w:ascii="Verdana" w:hAnsi="Verdana"/>
          <w:sz w:val="20"/>
          <w:szCs w:val="20"/>
        </w:rPr>
        <w:t>p</w:t>
      </w:r>
      <w:r w:rsidR="00E4033A" w:rsidRPr="00FD7DB4">
        <w:rPr>
          <w:rFonts w:ascii="Verdana" w:hAnsi="Verdana"/>
          <w:sz w:val="20"/>
          <w:szCs w:val="20"/>
        </w:rPr>
        <w:t xml:space="preserve">resentes además, </w:t>
      </w:r>
    </w:p>
    <w:p w14:paraId="05274639" w14:textId="77777777" w:rsidR="00E4033A" w:rsidRPr="00FD7DB4" w:rsidRDefault="00E4033A" w:rsidP="00E4033A">
      <w:pPr>
        <w:jc w:val="both"/>
        <w:rPr>
          <w:rFonts w:ascii="Verdana" w:hAnsi="Verdana"/>
          <w:sz w:val="20"/>
          <w:szCs w:val="20"/>
        </w:rPr>
      </w:pPr>
    </w:p>
    <w:p w14:paraId="4EBDB878" w14:textId="77777777" w:rsidR="00E4033A" w:rsidRPr="00FD7DB4" w:rsidRDefault="00E4033A" w:rsidP="00E4033A">
      <w:pPr>
        <w:jc w:val="both"/>
        <w:rPr>
          <w:rFonts w:ascii="Verdana" w:hAnsi="Verdana"/>
          <w:sz w:val="20"/>
          <w:szCs w:val="20"/>
        </w:rPr>
      </w:pPr>
      <w:r w:rsidRPr="00FD7DB4">
        <w:rPr>
          <w:rFonts w:ascii="Verdana" w:hAnsi="Verdana"/>
          <w:sz w:val="20"/>
          <w:szCs w:val="20"/>
        </w:rPr>
        <w:t>Pablo Saavedra Alessandri, Secretario, y</w:t>
      </w:r>
    </w:p>
    <w:p w14:paraId="5F5AC389" w14:textId="77777777" w:rsidR="00E4033A" w:rsidRPr="00FD7DB4" w:rsidRDefault="00E4033A" w:rsidP="00E4033A">
      <w:pPr>
        <w:jc w:val="both"/>
        <w:rPr>
          <w:rFonts w:ascii="Verdana" w:hAnsi="Verdana"/>
          <w:sz w:val="20"/>
          <w:szCs w:val="20"/>
        </w:rPr>
      </w:pPr>
      <w:r w:rsidRPr="00FD7DB4">
        <w:rPr>
          <w:rFonts w:ascii="Verdana" w:hAnsi="Verdana"/>
          <w:sz w:val="20"/>
          <w:szCs w:val="20"/>
        </w:rPr>
        <w:t>Emilia Segares Rodríguez, Secretaria Adjunta,</w:t>
      </w:r>
    </w:p>
    <w:p w14:paraId="380C46D9" w14:textId="77777777" w:rsidR="00E4033A" w:rsidRPr="00FD7DB4" w:rsidRDefault="00E4033A" w:rsidP="00E4033A">
      <w:pPr>
        <w:jc w:val="both"/>
        <w:rPr>
          <w:rFonts w:ascii="Verdana" w:hAnsi="Verdana"/>
          <w:sz w:val="20"/>
          <w:szCs w:val="20"/>
        </w:rPr>
      </w:pPr>
    </w:p>
    <w:p w14:paraId="4A06B1C6" w14:textId="77777777" w:rsidR="00E4033A" w:rsidRPr="00FD7DB4" w:rsidRDefault="00E4033A" w:rsidP="00E4033A">
      <w:pPr>
        <w:jc w:val="both"/>
        <w:rPr>
          <w:rFonts w:ascii="Verdana" w:hAnsi="Verdana"/>
          <w:sz w:val="20"/>
          <w:szCs w:val="20"/>
        </w:rPr>
      </w:pPr>
      <w:r w:rsidRPr="00FD7DB4">
        <w:rPr>
          <w:rFonts w:ascii="Verdana" w:hAnsi="Verdana"/>
          <w:sz w:val="20"/>
          <w:szCs w:val="20"/>
        </w:rPr>
        <w:t>de conformidad con los artículos 62.3 y 63.1 de la Convención Americana sobre Derechos Humanos (en adelante “la Convención” o “la Convención Americana”)</w:t>
      </w:r>
      <w:r w:rsidR="005A68AE">
        <w:rPr>
          <w:rFonts w:ascii="Verdana" w:hAnsi="Verdana"/>
          <w:sz w:val="20"/>
          <w:szCs w:val="20"/>
        </w:rPr>
        <w:t xml:space="preserve"> </w:t>
      </w:r>
      <w:r w:rsidRPr="00FD7DB4">
        <w:rPr>
          <w:rFonts w:ascii="Verdana" w:hAnsi="Verdana"/>
          <w:sz w:val="20"/>
          <w:szCs w:val="20"/>
        </w:rPr>
        <w:t>y con los artículos 31, 32, 65 y 67 del Reglamento de la Corte (en adelante “el Reglamento”), dicta la presente Sentencia, que se estructura en el siguiente orden:</w:t>
      </w:r>
    </w:p>
    <w:p w14:paraId="7DDEC295" w14:textId="77777777" w:rsidR="00E4033A" w:rsidRPr="00FD7DB4" w:rsidRDefault="00E4033A" w:rsidP="00E4033A">
      <w:pPr>
        <w:jc w:val="both"/>
        <w:rPr>
          <w:rFonts w:ascii="Verdana" w:hAnsi="Verdana"/>
          <w:sz w:val="20"/>
          <w:szCs w:val="20"/>
        </w:rPr>
      </w:pPr>
    </w:p>
    <w:p w14:paraId="65DBBD2C" w14:textId="77777777" w:rsidR="00E4033A" w:rsidRPr="00FD7DB4" w:rsidRDefault="00E4033A" w:rsidP="00E4033A">
      <w:pPr>
        <w:jc w:val="center"/>
        <w:rPr>
          <w:rFonts w:ascii="Verdana" w:hAnsi="Verdana"/>
          <w:sz w:val="20"/>
          <w:szCs w:val="20"/>
        </w:rPr>
      </w:pPr>
    </w:p>
    <w:p w14:paraId="39F5222B" w14:textId="77777777" w:rsidR="00E4033A" w:rsidRPr="00FD7DB4" w:rsidRDefault="00E4033A" w:rsidP="00E4033A">
      <w:pPr>
        <w:jc w:val="both"/>
        <w:rPr>
          <w:rFonts w:ascii="Verdana" w:hAnsi="Verdana"/>
          <w:sz w:val="20"/>
          <w:szCs w:val="20"/>
        </w:rPr>
      </w:pPr>
    </w:p>
    <w:p w14:paraId="0C2C95A7" w14:textId="77777777" w:rsidR="00E4033A" w:rsidRPr="00FD7DB4" w:rsidRDefault="00E4033A" w:rsidP="00E4033A">
      <w:pPr>
        <w:jc w:val="both"/>
        <w:rPr>
          <w:rFonts w:ascii="Verdana" w:hAnsi="Verdana"/>
          <w:sz w:val="20"/>
          <w:szCs w:val="20"/>
        </w:rPr>
      </w:pPr>
    </w:p>
    <w:p w14:paraId="2575ECD4" w14:textId="77777777" w:rsidR="00E4033A" w:rsidRPr="00FD7DB4" w:rsidRDefault="00E4033A" w:rsidP="00E4033A">
      <w:pPr>
        <w:jc w:val="both"/>
        <w:rPr>
          <w:rFonts w:ascii="Verdana" w:hAnsi="Verdana"/>
          <w:sz w:val="20"/>
          <w:szCs w:val="20"/>
        </w:rPr>
      </w:pPr>
    </w:p>
    <w:p w14:paraId="380B4D98" w14:textId="77777777" w:rsidR="00E4033A" w:rsidRPr="00FD7DB4" w:rsidRDefault="00E4033A" w:rsidP="00E4033A">
      <w:pPr>
        <w:jc w:val="both"/>
        <w:rPr>
          <w:rFonts w:ascii="Verdana" w:hAnsi="Verdana"/>
          <w:sz w:val="20"/>
          <w:szCs w:val="20"/>
        </w:rPr>
      </w:pPr>
    </w:p>
    <w:p w14:paraId="24AC8C20" w14:textId="77777777" w:rsidR="00E4033A" w:rsidRPr="00FD7DB4" w:rsidRDefault="00E4033A" w:rsidP="00E4033A">
      <w:pPr>
        <w:jc w:val="both"/>
        <w:rPr>
          <w:rFonts w:ascii="Verdana" w:hAnsi="Verdana"/>
          <w:sz w:val="20"/>
          <w:szCs w:val="20"/>
        </w:rPr>
      </w:pPr>
      <w:r w:rsidRPr="00FD7DB4">
        <w:rPr>
          <w:rFonts w:ascii="Verdana" w:hAnsi="Verdana"/>
          <w:sz w:val="20"/>
          <w:szCs w:val="20"/>
        </w:rPr>
        <w:br w:type="page"/>
      </w:r>
    </w:p>
    <w:p w14:paraId="0A885B2E" w14:textId="77777777" w:rsidR="00E4033A" w:rsidRPr="00FD7DB4" w:rsidRDefault="00E4033A" w:rsidP="00E4033A">
      <w:pPr>
        <w:jc w:val="center"/>
        <w:rPr>
          <w:rFonts w:ascii="Verdana" w:hAnsi="Verdana"/>
          <w:b/>
          <w:sz w:val="20"/>
          <w:szCs w:val="20"/>
        </w:rPr>
      </w:pPr>
      <w:r w:rsidRPr="00FD7DB4">
        <w:rPr>
          <w:rFonts w:ascii="Verdana" w:hAnsi="Verdana"/>
          <w:b/>
          <w:sz w:val="20"/>
          <w:szCs w:val="20"/>
        </w:rPr>
        <w:lastRenderedPageBreak/>
        <w:t xml:space="preserve">CASO </w:t>
      </w:r>
      <w:r w:rsidR="00382F4D">
        <w:rPr>
          <w:rFonts w:ascii="Verdana" w:hAnsi="Verdana"/>
          <w:b/>
          <w:sz w:val="20"/>
          <w:szCs w:val="20"/>
        </w:rPr>
        <w:t>PUEBLOS KALIÑA Y LOKONO</w:t>
      </w:r>
      <w:r w:rsidRPr="00FD7DB4">
        <w:rPr>
          <w:rFonts w:ascii="Verdana" w:hAnsi="Verdana"/>
          <w:b/>
          <w:sz w:val="20"/>
          <w:szCs w:val="20"/>
        </w:rPr>
        <w:t xml:space="preserve"> </w:t>
      </w:r>
      <w:r w:rsidRPr="00415A21">
        <w:rPr>
          <w:rFonts w:ascii="Verdana" w:hAnsi="Verdana"/>
          <w:b/>
          <w:i/>
          <w:sz w:val="20"/>
          <w:szCs w:val="20"/>
        </w:rPr>
        <w:t>VS</w:t>
      </w:r>
      <w:r w:rsidRPr="00FD7DB4">
        <w:rPr>
          <w:rFonts w:ascii="Verdana" w:hAnsi="Verdana"/>
          <w:b/>
          <w:sz w:val="20"/>
          <w:szCs w:val="20"/>
        </w:rPr>
        <w:t xml:space="preserve">. </w:t>
      </w:r>
      <w:r w:rsidR="00563E11">
        <w:rPr>
          <w:rFonts w:ascii="Verdana" w:hAnsi="Verdana"/>
          <w:b/>
          <w:sz w:val="20"/>
          <w:szCs w:val="20"/>
        </w:rPr>
        <w:t>SURINAM</w:t>
      </w:r>
    </w:p>
    <w:p w14:paraId="2C1EA5FD" w14:textId="77777777" w:rsidR="00E4033A" w:rsidRPr="00FD7DB4" w:rsidRDefault="00E4033A" w:rsidP="00E4033A">
      <w:pPr>
        <w:jc w:val="center"/>
        <w:rPr>
          <w:rFonts w:ascii="Verdana" w:hAnsi="Verdana"/>
          <w:b/>
          <w:sz w:val="20"/>
          <w:szCs w:val="20"/>
        </w:rPr>
      </w:pPr>
      <w:r w:rsidRPr="00FD7DB4">
        <w:rPr>
          <w:rFonts w:ascii="Verdana" w:hAnsi="Verdana"/>
          <w:b/>
          <w:sz w:val="20"/>
          <w:szCs w:val="20"/>
        </w:rPr>
        <w:t>ÍNDICE</w:t>
      </w:r>
    </w:p>
    <w:p w14:paraId="2ED2B02E" w14:textId="77777777" w:rsidR="00E4033A" w:rsidRPr="00F77E53" w:rsidRDefault="00E4033A" w:rsidP="00F77E53">
      <w:pPr>
        <w:tabs>
          <w:tab w:val="left" w:pos="9639"/>
        </w:tabs>
        <w:jc w:val="both"/>
        <w:rPr>
          <w:rFonts w:ascii="Verdana" w:hAnsi="Verdana"/>
          <w:b/>
          <w:sz w:val="18"/>
          <w:szCs w:val="18"/>
        </w:rPr>
      </w:pPr>
    </w:p>
    <w:bookmarkStart w:id="1" w:name="_Toc390328152"/>
    <w:p w14:paraId="0BA6E2FE" w14:textId="77777777" w:rsidR="00F77E53" w:rsidRPr="00F77E53" w:rsidRDefault="00B45FDC" w:rsidP="00F77E53">
      <w:pPr>
        <w:pStyle w:val="TOC1"/>
        <w:rPr>
          <w:rFonts w:eastAsiaTheme="minorEastAsia" w:cstheme="minorBidi"/>
          <w:b w:val="0"/>
          <w:caps w:val="0"/>
          <w:snapToGrid/>
          <w:lang w:val="es-CR" w:eastAsia="es-CR"/>
        </w:rPr>
      </w:pPr>
      <w:r w:rsidRPr="00F77E53">
        <w:fldChar w:fldCharType="begin"/>
      </w:r>
      <w:r w:rsidR="00E4033A" w:rsidRPr="00F77E53">
        <w:instrText xml:space="preserve"> TOC \o "1-5" \h \z \u </w:instrText>
      </w:r>
      <w:r w:rsidRPr="00F77E53">
        <w:fldChar w:fldCharType="separate"/>
      </w:r>
      <w:hyperlink w:anchor="_Toc441666148" w:history="1">
        <w:r w:rsidR="00F77E53" w:rsidRPr="00F77E53">
          <w:rPr>
            <w:rStyle w:val="Hyperlink"/>
            <w:rFonts w:cs="Verdana"/>
            <w:color w:val="auto"/>
            <w:u w:val="none"/>
          </w:rPr>
          <w:t>I INTRODUCCIÓN DE LA CAUSA Y OBJETO DE LA CONTROVERSIA</w:t>
        </w:r>
        <w:r w:rsidR="00F77E53" w:rsidRPr="00F77E53">
          <w:rPr>
            <w:webHidden/>
          </w:rPr>
          <w:tab/>
        </w:r>
        <w:r w:rsidR="00F77E53" w:rsidRPr="00F77E53">
          <w:rPr>
            <w:webHidden/>
          </w:rPr>
          <w:fldChar w:fldCharType="begin"/>
        </w:r>
        <w:r w:rsidR="00F77E53" w:rsidRPr="00F77E53">
          <w:rPr>
            <w:webHidden/>
          </w:rPr>
          <w:instrText xml:space="preserve"> PAGEREF _Toc441666148 \h </w:instrText>
        </w:r>
        <w:r w:rsidR="00F77E53" w:rsidRPr="00F77E53">
          <w:rPr>
            <w:webHidden/>
          </w:rPr>
        </w:r>
        <w:r w:rsidR="00F77E53" w:rsidRPr="00F77E53">
          <w:rPr>
            <w:webHidden/>
          </w:rPr>
          <w:fldChar w:fldCharType="separate"/>
        </w:r>
        <w:r w:rsidR="00BB4A13">
          <w:rPr>
            <w:webHidden/>
          </w:rPr>
          <w:t>4</w:t>
        </w:r>
        <w:r w:rsidR="00F77E53" w:rsidRPr="00F77E53">
          <w:rPr>
            <w:webHidden/>
          </w:rPr>
          <w:fldChar w:fldCharType="end"/>
        </w:r>
      </w:hyperlink>
    </w:p>
    <w:p w14:paraId="1C5ED85B" w14:textId="77777777" w:rsidR="00F77E53" w:rsidRPr="00F77E53" w:rsidRDefault="004062C2" w:rsidP="00F77E53">
      <w:pPr>
        <w:pStyle w:val="TOC1"/>
        <w:rPr>
          <w:rFonts w:eastAsiaTheme="minorEastAsia" w:cstheme="minorBidi"/>
          <w:b w:val="0"/>
          <w:caps w:val="0"/>
          <w:snapToGrid/>
          <w:lang w:val="es-CR" w:eastAsia="es-CR"/>
        </w:rPr>
      </w:pPr>
      <w:hyperlink w:anchor="_Toc441666149" w:history="1">
        <w:r w:rsidR="00F77E53" w:rsidRPr="00F77E53">
          <w:rPr>
            <w:rStyle w:val="Hyperlink"/>
            <w:rFonts w:cs="Verdana"/>
            <w:color w:val="auto"/>
            <w:u w:val="none"/>
          </w:rPr>
          <w:t>II PROCEDIMIENTO ANTE LA CORTE</w:t>
        </w:r>
        <w:r w:rsidR="00F77E53" w:rsidRPr="00F77E53">
          <w:rPr>
            <w:webHidden/>
          </w:rPr>
          <w:tab/>
        </w:r>
        <w:r w:rsidR="00F77E53" w:rsidRPr="00F77E53">
          <w:rPr>
            <w:webHidden/>
          </w:rPr>
          <w:fldChar w:fldCharType="begin"/>
        </w:r>
        <w:r w:rsidR="00F77E53" w:rsidRPr="00F77E53">
          <w:rPr>
            <w:webHidden/>
          </w:rPr>
          <w:instrText xml:space="preserve"> PAGEREF _Toc441666149 \h </w:instrText>
        </w:r>
        <w:r w:rsidR="00F77E53" w:rsidRPr="00F77E53">
          <w:rPr>
            <w:webHidden/>
          </w:rPr>
        </w:r>
        <w:r w:rsidR="00F77E53" w:rsidRPr="00F77E53">
          <w:rPr>
            <w:webHidden/>
          </w:rPr>
          <w:fldChar w:fldCharType="separate"/>
        </w:r>
        <w:r w:rsidR="00BB4A13">
          <w:rPr>
            <w:webHidden/>
          </w:rPr>
          <w:t>7</w:t>
        </w:r>
        <w:r w:rsidR="00F77E53" w:rsidRPr="00F77E53">
          <w:rPr>
            <w:webHidden/>
          </w:rPr>
          <w:fldChar w:fldCharType="end"/>
        </w:r>
      </w:hyperlink>
    </w:p>
    <w:p w14:paraId="7D9EE9BB" w14:textId="77777777" w:rsidR="00F77E53" w:rsidRPr="00F77E53" w:rsidRDefault="004062C2" w:rsidP="00F77E53">
      <w:pPr>
        <w:pStyle w:val="TOC1"/>
        <w:rPr>
          <w:rFonts w:eastAsiaTheme="minorEastAsia" w:cstheme="minorBidi"/>
          <w:b w:val="0"/>
          <w:caps w:val="0"/>
          <w:snapToGrid/>
          <w:lang w:val="es-CR" w:eastAsia="es-CR"/>
        </w:rPr>
      </w:pPr>
      <w:hyperlink w:anchor="_Toc441666150" w:history="1">
        <w:r w:rsidR="00F77E53" w:rsidRPr="00F77E53">
          <w:rPr>
            <w:rStyle w:val="Hyperlink"/>
            <w:rFonts w:cs="Verdana"/>
            <w:color w:val="auto"/>
            <w:u w:val="none"/>
          </w:rPr>
          <w:t>III COMPETENCIA</w:t>
        </w:r>
        <w:r w:rsidR="00F77E53" w:rsidRPr="00F77E53">
          <w:rPr>
            <w:webHidden/>
          </w:rPr>
          <w:tab/>
        </w:r>
        <w:r w:rsidR="00F77E53" w:rsidRPr="00F77E53">
          <w:rPr>
            <w:webHidden/>
          </w:rPr>
          <w:fldChar w:fldCharType="begin"/>
        </w:r>
        <w:r w:rsidR="00F77E53" w:rsidRPr="00F77E53">
          <w:rPr>
            <w:webHidden/>
          </w:rPr>
          <w:instrText xml:space="preserve"> PAGEREF _Toc441666150 \h </w:instrText>
        </w:r>
        <w:r w:rsidR="00F77E53" w:rsidRPr="00F77E53">
          <w:rPr>
            <w:webHidden/>
          </w:rPr>
        </w:r>
        <w:r w:rsidR="00F77E53" w:rsidRPr="00F77E53">
          <w:rPr>
            <w:webHidden/>
          </w:rPr>
          <w:fldChar w:fldCharType="separate"/>
        </w:r>
        <w:r w:rsidR="00BB4A13">
          <w:rPr>
            <w:webHidden/>
          </w:rPr>
          <w:t>10</w:t>
        </w:r>
        <w:r w:rsidR="00F77E53" w:rsidRPr="00F77E53">
          <w:rPr>
            <w:webHidden/>
          </w:rPr>
          <w:fldChar w:fldCharType="end"/>
        </w:r>
      </w:hyperlink>
    </w:p>
    <w:p w14:paraId="5479A07F" w14:textId="77777777" w:rsidR="00F77E53" w:rsidRPr="00F77E53" w:rsidRDefault="004062C2" w:rsidP="00F77E53">
      <w:pPr>
        <w:pStyle w:val="TOC1"/>
        <w:rPr>
          <w:rFonts w:eastAsiaTheme="minorEastAsia" w:cstheme="minorBidi"/>
          <w:b w:val="0"/>
          <w:caps w:val="0"/>
          <w:snapToGrid/>
          <w:lang w:val="es-CR" w:eastAsia="es-CR"/>
        </w:rPr>
      </w:pPr>
      <w:hyperlink w:anchor="_Toc441666151" w:history="1">
        <w:r w:rsidR="00F77E53" w:rsidRPr="00F77E53">
          <w:rPr>
            <w:rStyle w:val="Hyperlink"/>
            <w:rFonts w:cs="Verdana"/>
            <w:color w:val="auto"/>
            <w:u w:val="none"/>
          </w:rPr>
          <w:t>IV PRUEBA</w:t>
        </w:r>
        <w:r w:rsidR="00F77E53" w:rsidRPr="00F77E53">
          <w:rPr>
            <w:webHidden/>
          </w:rPr>
          <w:tab/>
        </w:r>
        <w:r w:rsidR="00F77E53" w:rsidRPr="00F77E53">
          <w:rPr>
            <w:webHidden/>
          </w:rPr>
          <w:fldChar w:fldCharType="begin"/>
        </w:r>
        <w:r w:rsidR="00F77E53" w:rsidRPr="00F77E53">
          <w:rPr>
            <w:webHidden/>
          </w:rPr>
          <w:instrText xml:space="preserve"> PAGEREF _Toc441666151 \h </w:instrText>
        </w:r>
        <w:r w:rsidR="00F77E53" w:rsidRPr="00F77E53">
          <w:rPr>
            <w:webHidden/>
          </w:rPr>
        </w:r>
        <w:r w:rsidR="00F77E53" w:rsidRPr="00F77E53">
          <w:rPr>
            <w:webHidden/>
          </w:rPr>
          <w:fldChar w:fldCharType="separate"/>
        </w:r>
        <w:r w:rsidR="00BB4A13">
          <w:rPr>
            <w:webHidden/>
          </w:rPr>
          <w:t>10</w:t>
        </w:r>
        <w:r w:rsidR="00F77E53" w:rsidRPr="00F77E53">
          <w:rPr>
            <w:webHidden/>
          </w:rPr>
          <w:fldChar w:fldCharType="end"/>
        </w:r>
      </w:hyperlink>
    </w:p>
    <w:p w14:paraId="590F01D3"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52" w:history="1">
        <w:r w:rsidR="00F77E53" w:rsidRPr="00F77E53">
          <w:rPr>
            <w:rStyle w:val="Hyperlink"/>
            <w:rFonts w:ascii="Verdana" w:hAnsi="Verdana"/>
            <w:noProof/>
            <w:color w:val="auto"/>
            <w:sz w:val="18"/>
            <w:szCs w:val="18"/>
            <w:u w:val="none"/>
          </w:rPr>
          <w:t>A.</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Prueba documental, testimonial y pericial</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_Toc441666152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10</w:t>
        </w:r>
        <w:r w:rsidR="00F77E53" w:rsidRPr="00F77E53">
          <w:rPr>
            <w:rFonts w:ascii="Verdana" w:hAnsi="Verdana"/>
            <w:noProof/>
            <w:webHidden/>
            <w:sz w:val="18"/>
            <w:szCs w:val="18"/>
          </w:rPr>
          <w:fldChar w:fldCharType="end"/>
        </w:r>
      </w:hyperlink>
    </w:p>
    <w:p w14:paraId="2FC5E5C1"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53" w:history="1">
        <w:r w:rsidR="00F77E53" w:rsidRPr="00F77E53">
          <w:rPr>
            <w:rStyle w:val="Hyperlink"/>
            <w:rFonts w:ascii="Verdana" w:hAnsi="Verdana"/>
            <w:noProof/>
            <w:color w:val="auto"/>
            <w:sz w:val="18"/>
            <w:szCs w:val="18"/>
            <w:u w:val="none"/>
          </w:rPr>
          <w:t>B.</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Admisión de la prueba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_Toc441666153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11</w:t>
        </w:r>
        <w:r w:rsidR="00F77E53" w:rsidRPr="00F77E53">
          <w:rPr>
            <w:rFonts w:ascii="Verdana" w:hAnsi="Verdana"/>
            <w:noProof/>
            <w:webHidden/>
            <w:sz w:val="18"/>
            <w:szCs w:val="18"/>
          </w:rPr>
          <w:fldChar w:fldCharType="end"/>
        </w:r>
      </w:hyperlink>
    </w:p>
    <w:p w14:paraId="560BD861"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54" w:history="1">
        <w:r w:rsidR="00F77E53" w:rsidRPr="00F77E53">
          <w:rPr>
            <w:rStyle w:val="Hyperlink"/>
            <w:rFonts w:ascii="Verdana" w:hAnsi="Verdana"/>
            <w:noProof/>
            <w:color w:val="auto"/>
            <w:sz w:val="18"/>
            <w:szCs w:val="18"/>
            <w:u w:val="none"/>
          </w:rPr>
          <w:t>B.1 Admisión de la prueba documental</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_Toc441666154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11</w:t>
        </w:r>
        <w:r w:rsidR="00F77E53" w:rsidRPr="00F77E53">
          <w:rPr>
            <w:rFonts w:ascii="Verdana" w:hAnsi="Verdana"/>
            <w:noProof/>
            <w:webHidden/>
            <w:sz w:val="18"/>
            <w:szCs w:val="18"/>
          </w:rPr>
          <w:fldChar w:fldCharType="end"/>
        </w:r>
      </w:hyperlink>
    </w:p>
    <w:p w14:paraId="1F78F514"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55" w:history="1">
        <w:r w:rsidR="00F77E53" w:rsidRPr="00F77E53">
          <w:rPr>
            <w:rStyle w:val="Hyperlink"/>
            <w:rFonts w:ascii="Verdana" w:hAnsi="Verdana"/>
            <w:noProof/>
            <w:color w:val="auto"/>
            <w:sz w:val="18"/>
            <w:szCs w:val="18"/>
            <w:u w:val="none"/>
          </w:rPr>
          <w:t>B.2 Admisión de la prueba testimonial y pericial</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_Toc441666155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12</w:t>
        </w:r>
        <w:r w:rsidR="00F77E53" w:rsidRPr="00F77E53">
          <w:rPr>
            <w:rFonts w:ascii="Verdana" w:hAnsi="Verdana"/>
            <w:noProof/>
            <w:webHidden/>
            <w:sz w:val="18"/>
            <w:szCs w:val="18"/>
          </w:rPr>
          <w:fldChar w:fldCharType="end"/>
        </w:r>
      </w:hyperlink>
    </w:p>
    <w:p w14:paraId="7E5ED30F"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56" w:history="1">
        <w:r w:rsidR="00F77E53" w:rsidRPr="00F77E53">
          <w:rPr>
            <w:rStyle w:val="Hyperlink"/>
            <w:rFonts w:ascii="Verdana" w:hAnsi="Verdana"/>
            <w:noProof/>
            <w:color w:val="auto"/>
            <w:sz w:val="18"/>
            <w:szCs w:val="18"/>
            <w:u w:val="none"/>
          </w:rPr>
          <w:t>C.</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Valoración de la prueba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_Toc441666156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12</w:t>
        </w:r>
        <w:r w:rsidR="00F77E53" w:rsidRPr="00F77E53">
          <w:rPr>
            <w:rFonts w:ascii="Verdana" w:hAnsi="Verdana"/>
            <w:noProof/>
            <w:webHidden/>
            <w:sz w:val="18"/>
            <w:szCs w:val="18"/>
          </w:rPr>
          <w:fldChar w:fldCharType="end"/>
        </w:r>
      </w:hyperlink>
    </w:p>
    <w:p w14:paraId="16D3DBA4" w14:textId="77777777" w:rsidR="00F77E53" w:rsidRPr="00F77E53" w:rsidRDefault="004062C2" w:rsidP="00F77E53">
      <w:pPr>
        <w:pStyle w:val="TOC1"/>
        <w:rPr>
          <w:rFonts w:eastAsiaTheme="minorEastAsia" w:cstheme="minorBidi"/>
          <w:b w:val="0"/>
          <w:caps w:val="0"/>
          <w:snapToGrid/>
          <w:lang w:val="es-CR" w:eastAsia="es-CR"/>
        </w:rPr>
      </w:pPr>
      <w:hyperlink w:anchor="_Toc441666157" w:history="1">
        <w:r w:rsidR="00F77E53" w:rsidRPr="00F77E53">
          <w:rPr>
            <w:rStyle w:val="Hyperlink"/>
            <w:rFonts w:cs="Verdana"/>
            <w:color w:val="auto"/>
            <w:u w:val="none"/>
          </w:rPr>
          <w:t>V HECHOS</w:t>
        </w:r>
        <w:r w:rsidR="00F77E53" w:rsidRPr="00F77E53">
          <w:rPr>
            <w:webHidden/>
          </w:rPr>
          <w:tab/>
        </w:r>
        <w:r w:rsidR="00F77E53" w:rsidRPr="00F77E53">
          <w:rPr>
            <w:webHidden/>
          </w:rPr>
          <w:fldChar w:fldCharType="begin"/>
        </w:r>
        <w:r w:rsidR="00F77E53" w:rsidRPr="00F77E53">
          <w:rPr>
            <w:webHidden/>
          </w:rPr>
          <w:instrText xml:space="preserve"> PAGEREF _Toc441666157 \h </w:instrText>
        </w:r>
        <w:r w:rsidR="00F77E53" w:rsidRPr="00F77E53">
          <w:rPr>
            <w:webHidden/>
          </w:rPr>
        </w:r>
        <w:r w:rsidR="00F77E53" w:rsidRPr="00F77E53">
          <w:rPr>
            <w:webHidden/>
          </w:rPr>
          <w:fldChar w:fldCharType="separate"/>
        </w:r>
        <w:r w:rsidR="00BB4A13">
          <w:rPr>
            <w:webHidden/>
          </w:rPr>
          <w:t>13</w:t>
        </w:r>
        <w:r w:rsidR="00F77E53" w:rsidRPr="00F77E53">
          <w:rPr>
            <w:webHidden/>
          </w:rPr>
          <w:fldChar w:fldCharType="end"/>
        </w:r>
      </w:hyperlink>
    </w:p>
    <w:p w14:paraId="589DD959"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58" w:history="1">
        <w:r w:rsidR="00F77E53" w:rsidRPr="00F77E53">
          <w:rPr>
            <w:rStyle w:val="Hyperlink"/>
            <w:rFonts w:ascii="Verdana" w:hAnsi="Verdana"/>
            <w:noProof/>
            <w:color w:val="auto"/>
            <w:sz w:val="18"/>
            <w:szCs w:val="18"/>
            <w:u w:val="none"/>
          </w:rPr>
          <w:t>A.</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Los Pueblos Kaliña y Lokono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_Toc441666158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13</w:t>
        </w:r>
        <w:r w:rsidR="00F77E53" w:rsidRPr="00F77E53">
          <w:rPr>
            <w:rFonts w:ascii="Verdana" w:hAnsi="Verdana"/>
            <w:noProof/>
            <w:webHidden/>
            <w:sz w:val="18"/>
            <w:szCs w:val="18"/>
          </w:rPr>
          <w:fldChar w:fldCharType="end"/>
        </w:r>
      </w:hyperlink>
    </w:p>
    <w:p w14:paraId="3AA82311"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59" w:history="1">
        <w:r w:rsidR="00F77E53" w:rsidRPr="00F77E53">
          <w:rPr>
            <w:rStyle w:val="Hyperlink"/>
            <w:rFonts w:ascii="Verdana" w:hAnsi="Verdana"/>
            <w:noProof/>
            <w:color w:val="auto"/>
            <w:sz w:val="18"/>
            <w:szCs w:val="18"/>
            <w:u w:val="none"/>
          </w:rPr>
          <w:t>B.</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Asentamientos maroons en el territorio reclamado como ancestral por los Pueblos Kaliña y Lokono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_Toc441666159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16</w:t>
        </w:r>
        <w:r w:rsidR="00F77E53" w:rsidRPr="00F77E53">
          <w:rPr>
            <w:rFonts w:ascii="Verdana" w:hAnsi="Verdana"/>
            <w:noProof/>
            <w:webHidden/>
            <w:sz w:val="18"/>
            <w:szCs w:val="18"/>
          </w:rPr>
          <w:fldChar w:fldCharType="end"/>
        </w:r>
      </w:hyperlink>
    </w:p>
    <w:p w14:paraId="5F56270E"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60" w:history="1">
        <w:r w:rsidR="00F77E53" w:rsidRPr="00F77E53">
          <w:rPr>
            <w:rStyle w:val="Hyperlink"/>
            <w:rFonts w:ascii="Verdana" w:hAnsi="Verdana"/>
            <w:noProof/>
            <w:color w:val="auto"/>
            <w:sz w:val="18"/>
            <w:szCs w:val="18"/>
            <w:u w:val="none"/>
            <w:lang w:val="es-MX"/>
          </w:rPr>
          <w:t>C.</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Los pueblos indígenas de acuerdo con el ordenamiento jurídico de Surinam</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_Toc441666160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18</w:t>
        </w:r>
        <w:r w:rsidR="00F77E53" w:rsidRPr="00F77E53">
          <w:rPr>
            <w:rFonts w:ascii="Verdana" w:hAnsi="Verdana"/>
            <w:noProof/>
            <w:webHidden/>
            <w:sz w:val="18"/>
            <w:szCs w:val="18"/>
          </w:rPr>
          <w:fldChar w:fldCharType="end"/>
        </w:r>
      </w:hyperlink>
    </w:p>
    <w:p w14:paraId="072522CD"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61" w:history="1">
        <w:r w:rsidR="00F77E53" w:rsidRPr="00F77E53">
          <w:rPr>
            <w:rStyle w:val="Hyperlink"/>
            <w:rFonts w:ascii="Verdana" w:hAnsi="Verdana"/>
            <w:noProof/>
            <w:color w:val="auto"/>
            <w:sz w:val="18"/>
            <w:szCs w:val="18"/>
            <w:u w:val="none"/>
          </w:rPr>
          <w:t>D.</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Acciones realizadas por los pueblos indígenas para el reconocimiento de sus derechos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_Toc441666161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20</w:t>
        </w:r>
        <w:r w:rsidR="00F77E53" w:rsidRPr="00F77E53">
          <w:rPr>
            <w:rFonts w:ascii="Verdana" w:hAnsi="Verdana"/>
            <w:noProof/>
            <w:webHidden/>
            <w:sz w:val="18"/>
            <w:szCs w:val="18"/>
          </w:rPr>
          <w:fldChar w:fldCharType="end"/>
        </w:r>
      </w:hyperlink>
    </w:p>
    <w:p w14:paraId="36B4B65D"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62" w:history="1">
        <w:r w:rsidR="00F77E53" w:rsidRPr="00F77E53">
          <w:rPr>
            <w:rStyle w:val="Hyperlink"/>
            <w:rFonts w:ascii="Verdana" w:hAnsi="Verdana"/>
            <w:noProof/>
            <w:color w:val="auto"/>
            <w:sz w:val="18"/>
            <w:szCs w:val="18"/>
            <w:u w:val="none"/>
            <w:lang w:val="es-ES"/>
          </w:rPr>
          <w:t>D</w:t>
        </w:r>
        <w:r w:rsidR="00F77E53" w:rsidRPr="00F77E53">
          <w:rPr>
            <w:rStyle w:val="Hyperlink"/>
            <w:rFonts w:ascii="Verdana" w:hAnsi="Verdana"/>
            <w:noProof/>
            <w:color w:val="auto"/>
            <w:sz w:val="18"/>
            <w:szCs w:val="18"/>
            <w:u w:val="none"/>
          </w:rPr>
          <w:t>.1 Acciones realizadas con anterioridad al reconocimiento de la competencia de la Corte (12 de noviembre de 1987)</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_Toc441666162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20</w:t>
        </w:r>
        <w:r w:rsidR="00F77E53" w:rsidRPr="00F77E53">
          <w:rPr>
            <w:rFonts w:ascii="Verdana" w:hAnsi="Verdana"/>
            <w:noProof/>
            <w:webHidden/>
            <w:sz w:val="18"/>
            <w:szCs w:val="18"/>
          </w:rPr>
          <w:fldChar w:fldCharType="end"/>
        </w:r>
      </w:hyperlink>
    </w:p>
    <w:p w14:paraId="4DC4E7D9"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63" w:history="1">
        <w:r w:rsidR="00F77E53" w:rsidRPr="00F77E53">
          <w:rPr>
            <w:rStyle w:val="Hyperlink"/>
            <w:rFonts w:ascii="Verdana" w:hAnsi="Verdana"/>
            <w:noProof/>
            <w:color w:val="auto"/>
            <w:sz w:val="18"/>
            <w:szCs w:val="18"/>
            <w:u w:val="none"/>
            <w:lang w:val="es-ES"/>
          </w:rPr>
          <w:t>D.2 Acciones realizadas con posterioridad al reconocimiento de la competencia de la Corte (12 de noviembre de 1987)</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_Toc441666163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20</w:t>
        </w:r>
        <w:r w:rsidR="00F77E53" w:rsidRPr="00F77E53">
          <w:rPr>
            <w:rFonts w:ascii="Verdana" w:hAnsi="Verdana"/>
            <w:noProof/>
            <w:webHidden/>
            <w:sz w:val="18"/>
            <w:szCs w:val="18"/>
          </w:rPr>
          <w:fldChar w:fldCharType="end"/>
        </w:r>
      </w:hyperlink>
    </w:p>
    <w:p w14:paraId="15FF5669"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64" w:history="1">
        <w:r w:rsidR="00F77E53" w:rsidRPr="00F77E53">
          <w:rPr>
            <w:rStyle w:val="Hyperlink"/>
            <w:rFonts w:ascii="Verdana" w:hAnsi="Verdana"/>
            <w:noProof/>
            <w:color w:val="auto"/>
            <w:sz w:val="18"/>
            <w:szCs w:val="18"/>
            <w:u w:val="none"/>
          </w:rPr>
          <w:t>E.</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Establecimiento de las reservas naturales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_Toc441666164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22</w:t>
        </w:r>
        <w:r w:rsidR="00F77E53" w:rsidRPr="00F77E53">
          <w:rPr>
            <w:rFonts w:ascii="Verdana" w:hAnsi="Verdana"/>
            <w:noProof/>
            <w:webHidden/>
            <w:sz w:val="18"/>
            <w:szCs w:val="18"/>
          </w:rPr>
          <w:fldChar w:fldCharType="end"/>
        </w:r>
      </w:hyperlink>
    </w:p>
    <w:p w14:paraId="7FA2C72B"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65" w:history="1">
        <w:r w:rsidR="00F77E53" w:rsidRPr="00F77E53">
          <w:rPr>
            <w:rStyle w:val="Hyperlink"/>
            <w:rFonts w:ascii="Verdana" w:hAnsi="Verdana"/>
            <w:noProof/>
            <w:color w:val="auto"/>
            <w:sz w:val="18"/>
            <w:szCs w:val="18"/>
            <w:u w:val="none"/>
            <w:lang w:val="es-ES"/>
          </w:rPr>
          <w:t>E.1 Las Reservas Naturales Wia Wia y Galibi</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_Toc441666165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23</w:t>
        </w:r>
        <w:r w:rsidR="00F77E53" w:rsidRPr="00F77E53">
          <w:rPr>
            <w:rFonts w:ascii="Verdana" w:hAnsi="Verdana"/>
            <w:noProof/>
            <w:webHidden/>
            <w:sz w:val="18"/>
            <w:szCs w:val="18"/>
          </w:rPr>
          <w:fldChar w:fldCharType="end"/>
        </w:r>
      </w:hyperlink>
    </w:p>
    <w:p w14:paraId="22BFB256"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66" w:history="1">
        <w:r w:rsidR="00F77E53" w:rsidRPr="00F77E53">
          <w:rPr>
            <w:rStyle w:val="Hyperlink"/>
            <w:rFonts w:ascii="Verdana" w:hAnsi="Verdana"/>
            <w:noProof/>
            <w:color w:val="auto"/>
            <w:sz w:val="18"/>
            <w:szCs w:val="18"/>
            <w:u w:val="none"/>
            <w:lang w:val="es-ES"/>
          </w:rPr>
          <w:t>E.2 La Reserva Natural Wane Kreek</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_Toc441666166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24</w:t>
        </w:r>
        <w:r w:rsidR="00F77E53" w:rsidRPr="00F77E53">
          <w:rPr>
            <w:rFonts w:ascii="Verdana" w:hAnsi="Verdana"/>
            <w:noProof/>
            <w:webHidden/>
            <w:sz w:val="18"/>
            <w:szCs w:val="18"/>
          </w:rPr>
          <w:fldChar w:fldCharType="end"/>
        </w:r>
      </w:hyperlink>
    </w:p>
    <w:p w14:paraId="2F294E82"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67" w:history="1">
        <w:r w:rsidR="00F77E53" w:rsidRPr="00F77E53">
          <w:rPr>
            <w:rStyle w:val="Hyperlink"/>
            <w:rFonts w:ascii="Verdana" w:hAnsi="Verdana"/>
            <w:noProof/>
            <w:color w:val="auto"/>
            <w:sz w:val="18"/>
            <w:szCs w:val="18"/>
            <w:u w:val="none"/>
          </w:rPr>
          <w:t>E.2.1 Proceso de consulta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_Toc441666167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25</w:t>
        </w:r>
        <w:r w:rsidR="00F77E53" w:rsidRPr="00F77E53">
          <w:rPr>
            <w:rFonts w:ascii="Verdana" w:hAnsi="Verdana"/>
            <w:noProof/>
            <w:webHidden/>
            <w:sz w:val="18"/>
            <w:szCs w:val="18"/>
          </w:rPr>
          <w:fldChar w:fldCharType="end"/>
        </w:r>
      </w:hyperlink>
    </w:p>
    <w:p w14:paraId="5EB58CB8"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68" w:history="1">
        <w:r w:rsidR="00F77E53" w:rsidRPr="00F77E53">
          <w:rPr>
            <w:rStyle w:val="Hyperlink"/>
            <w:rFonts w:ascii="Verdana" w:hAnsi="Verdana"/>
            <w:noProof/>
            <w:color w:val="auto"/>
            <w:sz w:val="18"/>
            <w:szCs w:val="18"/>
            <w:u w:val="none"/>
          </w:rPr>
          <w:t>E.2.2 Actividades de minería de bauxita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_Toc441666168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26</w:t>
        </w:r>
        <w:r w:rsidR="00F77E53" w:rsidRPr="00F77E53">
          <w:rPr>
            <w:rFonts w:ascii="Verdana" w:hAnsi="Verdana"/>
            <w:noProof/>
            <w:webHidden/>
            <w:sz w:val="18"/>
            <w:szCs w:val="18"/>
          </w:rPr>
          <w:fldChar w:fldCharType="end"/>
        </w:r>
      </w:hyperlink>
    </w:p>
    <w:p w14:paraId="75E45139"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69" w:history="1">
        <w:r w:rsidR="00F77E53" w:rsidRPr="00F77E53">
          <w:rPr>
            <w:rStyle w:val="Hyperlink"/>
            <w:rFonts w:ascii="Verdana" w:hAnsi="Verdana"/>
            <w:noProof/>
            <w:color w:val="auto"/>
            <w:sz w:val="18"/>
            <w:szCs w:val="18"/>
            <w:u w:val="none"/>
          </w:rPr>
          <w:t>E.2.3 Otras actividades de extracción de recursos naturales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_Toc441666169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28</w:t>
        </w:r>
        <w:r w:rsidR="00F77E53" w:rsidRPr="00F77E53">
          <w:rPr>
            <w:rFonts w:ascii="Verdana" w:hAnsi="Verdana"/>
            <w:noProof/>
            <w:webHidden/>
            <w:sz w:val="18"/>
            <w:szCs w:val="18"/>
          </w:rPr>
          <w:fldChar w:fldCharType="end"/>
        </w:r>
      </w:hyperlink>
    </w:p>
    <w:p w14:paraId="530CE481"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70" w:history="1">
        <w:r w:rsidR="00F77E53" w:rsidRPr="00F77E53">
          <w:rPr>
            <w:rStyle w:val="Hyperlink"/>
            <w:rFonts w:ascii="Verdana" w:hAnsi="Verdana"/>
            <w:noProof/>
            <w:color w:val="auto"/>
            <w:sz w:val="18"/>
            <w:szCs w:val="18"/>
            <w:u w:val="none"/>
          </w:rPr>
          <w:t>F.</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Proyecto de parcelación urbano denominado "Tuinstad Albina" (“Garden City Albina”)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_Toc441666170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29</w:t>
        </w:r>
        <w:r w:rsidR="00F77E53" w:rsidRPr="00F77E53">
          <w:rPr>
            <w:rFonts w:ascii="Verdana" w:hAnsi="Verdana"/>
            <w:noProof/>
            <w:webHidden/>
            <w:sz w:val="18"/>
            <w:szCs w:val="18"/>
          </w:rPr>
          <w:fldChar w:fldCharType="end"/>
        </w:r>
      </w:hyperlink>
    </w:p>
    <w:p w14:paraId="30A6F8D0" w14:textId="77777777" w:rsidR="00F77E53" w:rsidRPr="00F77E53" w:rsidRDefault="004062C2" w:rsidP="00F77E53">
      <w:pPr>
        <w:pStyle w:val="TOC1"/>
        <w:rPr>
          <w:rFonts w:eastAsiaTheme="minorEastAsia" w:cstheme="minorBidi"/>
          <w:b w:val="0"/>
          <w:caps w:val="0"/>
          <w:snapToGrid/>
          <w:lang w:val="es-CR" w:eastAsia="es-CR"/>
        </w:rPr>
      </w:pPr>
      <w:hyperlink w:anchor="_Toc441666171" w:history="1">
        <w:r w:rsidR="00F77E53" w:rsidRPr="00F77E53">
          <w:rPr>
            <w:rStyle w:val="Hyperlink"/>
            <w:rFonts w:cs="Verdana"/>
            <w:color w:val="auto"/>
            <w:u w:val="none"/>
          </w:rPr>
          <w:t>VI fondo</w:t>
        </w:r>
        <w:r w:rsidR="00F77E53" w:rsidRPr="00F77E53">
          <w:rPr>
            <w:webHidden/>
          </w:rPr>
          <w:tab/>
        </w:r>
        <w:r w:rsidR="00F77E53" w:rsidRPr="00F77E53">
          <w:rPr>
            <w:webHidden/>
          </w:rPr>
          <w:fldChar w:fldCharType="begin"/>
        </w:r>
        <w:r w:rsidR="00F77E53" w:rsidRPr="00F77E53">
          <w:rPr>
            <w:webHidden/>
          </w:rPr>
          <w:instrText xml:space="preserve"> PAGEREF _Toc441666171 \h </w:instrText>
        </w:r>
        <w:r w:rsidR="00F77E53" w:rsidRPr="00F77E53">
          <w:rPr>
            <w:webHidden/>
          </w:rPr>
        </w:r>
        <w:r w:rsidR="00F77E53" w:rsidRPr="00F77E53">
          <w:rPr>
            <w:webHidden/>
          </w:rPr>
          <w:fldChar w:fldCharType="separate"/>
        </w:r>
        <w:r w:rsidR="00BB4A13">
          <w:rPr>
            <w:webHidden/>
          </w:rPr>
          <w:t>30</w:t>
        </w:r>
        <w:r w:rsidR="00F77E53" w:rsidRPr="00F77E53">
          <w:rPr>
            <w:webHidden/>
          </w:rPr>
          <w:fldChar w:fldCharType="end"/>
        </w:r>
      </w:hyperlink>
    </w:p>
    <w:p w14:paraId="10A41623" w14:textId="17C2A9F6" w:rsidR="00F77E53" w:rsidRPr="00F77E53" w:rsidRDefault="004062C2" w:rsidP="00F77E53">
      <w:pPr>
        <w:pStyle w:val="TOC1"/>
        <w:rPr>
          <w:rFonts w:eastAsiaTheme="minorEastAsia" w:cstheme="minorBidi"/>
          <w:b w:val="0"/>
          <w:caps w:val="0"/>
          <w:snapToGrid/>
          <w:lang w:val="es-CR" w:eastAsia="es-CR"/>
        </w:rPr>
      </w:pPr>
      <w:hyperlink w:anchor="_Toc441666172" w:history="1">
        <w:r w:rsidR="00F77E53" w:rsidRPr="00F77E53">
          <w:rPr>
            <w:rStyle w:val="Hyperlink"/>
            <w:rFonts w:cs="Verdana"/>
            <w:color w:val="auto"/>
            <w:u w:val="none"/>
          </w:rPr>
          <w:t>VI-I derecho al reconocimiento de la personalidad jurídica (Artículo 3) en relación con los artículos 1.1, 2, 21 y 25</w:t>
        </w:r>
        <w:r w:rsidR="00F77E53">
          <w:rPr>
            <w:rStyle w:val="Hyperlink"/>
            <w:rFonts w:cs="Verdana"/>
            <w:color w:val="auto"/>
            <w:u w:val="none"/>
          </w:rPr>
          <w:t xml:space="preserve"> </w:t>
        </w:r>
        <w:r w:rsidR="00F77E53" w:rsidRPr="00F77E53">
          <w:rPr>
            <w:rStyle w:val="Hyperlink"/>
            <w:rFonts w:cs="Verdana"/>
            <w:color w:val="auto"/>
            <w:u w:val="none"/>
          </w:rPr>
          <w:t>de la convención americana SOBRE derechos humanos</w:t>
        </w:r>
        <w:r w:rsidR="00F77E53" w:rsidRPr="00F77E53">
          <w:rPr>
            <w:webHidden/>
          </w:rPr>
          <w:tab/>
        </w:r>
        <w:r w:rsidR="00F77E53" w:rsidRPr="00F77E53">
          <w:rPr>
            <w:webHidden/>
          </w:rPr>
          <w:fldChar w:fldCharType="begin"/>
        </w:r>
        <w:r w:rsidR="00F77E53" w:rsidRPr="00F77E53">
          <w:rPr>
            <w:webHidden/>
          </w:rPr>
          <w:instrText xml:space="preserve"> PAGEREF _Toc441666172 \h </w:instrText>
        </w:r>
        <w:r w:rsidR="00F77E53" w:rsidRPr="00F77E53">
          <w:rPr>
            <w:webHidden/>
          </w:rPr>
        </w:r>
        <w:r w:rsidR="00F77E53" w:rsidRPr="00F77E53">
          <w:rPr>
            <w:webHidden/>
          </w:rPr>
          <w:fldChar w:fldCharType="separate"/>
        </w:r>
        <w:r w:rsidR="00BB4A13">
          <w:rPr>
            <w:webHidden/>
          </w:rPr>
          <w:t>30</w:t>
        </w:r>
        <w:r w:rsidR="00F77E53" w:rsidRPr="00F77E53">
          <w:rPr>
            <w:webHidden/>
          </w:rPr>
          <w:fldChar w:fldCharType="end"/>
        </w:r>
      </w:hyperlink>
    </w:p>
    <w:p w14:paraId="3A8F8E5A"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74" w:history="1">
        <w:r w:rsidR="00F77E53" w:rsidRPr="00F77E53">
          <w:rPr>
            <w:rStyle w:val="Hyperlink"/>
            <w:rFonts w:ascii="Verdana" w:hAnsi="Verdana"/>
            <w:noProof/>
            <w:color w:val="auto"/>
            <w:sz w:val="18"/>
            <w:szCs w:val="18"/>
            <w:u w:val="none"/>
            <w:lang w:val="es-ES"/>
          </w:rPr>
          <w:t>A.</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Argumentos de la Comisión y de las partes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_Toc441666174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30</w:t>
        </w:r>
        <w:r w:rsidR="00F77E53" w:rsidRPr="00F77E53">
          <w:rPr>
            <w:rFonts w:ascii="Verdana" w:hAnsi="Verdana"/>
            <w:noProof/>
            <w:webHidden/>
            <w:sz w:val="18"/>
            <w:szCs w:val="18"/>
          </w:rPr>
          <w:fldChar w:fldCharType="end"/>
        </w:r>
      </w:hyperlink>
    </w:p>
    <w:p w14:paraId="3054E2F2"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75" w:history="1">
        <w:r w:rsidR="00F77E53" w:rsidRPr="00F77E53">
          <w:rPr>
            <w:rStyle w:val="Hyperlink"/>
            <w:rFonts w:ascii="Verdana" w:hAnsi="Verdana"/>
            <w:noProof/>
            <w:color w:val="auto"/>
            <w:sz w:val="18"/>
            <w:szCs w:val="18"/>
            <w:u w:val="none"/>
          </w:rPr>
          <w:t>B.</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Consideraciones de la Corte</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_Toc441666175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31</w:t>
        </w:r>
        <w:r w:rsidR="00F77E53" w:rsidRPr="00F77E53">
          <w:rPr>
            <w:rFonts w:ascii="Verdana" w:hAnsi="Verdana"/>
            <w:noProof/>
            <w:webHidden/>
            <w:sz w:val="18"/>
            <w:szCs w:val="18"/>
          </w:rPr>
          <w:fldChar w:fldCharType="end"/>
        </w:r>
      </w:hyperlink>
    </w:p>
    <w:p w14:paraId="43933D00" w14:textId="77777777" w:rsidR="00F77E53" w:rsidRPr="00F77E53" w:rsidRDefault="004062C2" w:rsidP="00F77E53">
      <w:pPr>
        <w:pStyle w:val="TOC1"/>
        <w:rPr>
          <w:rFonts w:eastAsiaTheme="minorEastAsia" w:cstheme="minorBidi"/>
          <w:b w:val="0"/>
          <w:caps w:val="0"/>
          <w:snapToGrid/>
          <w:lang w:val="es-CR" w:eastAsia="es-CR"/>
        </w:rPr>
      </w:pPr>
      <w:hyperlink w:anchor="_Toc441666176" w:history="1">
        <w:r w:rsidR="00F77E53" w:rsidRPr="00F77E53">
          <w:rPr>
            <w:rStyle w:val="Hyperlink"/>
            <w:rFonts w:cs="Verdana"/>
            <w:color w:val="auto"/>
            <w:u w:val="none"/>
          </w:rPr>
          <w:t>VI-ii DERECHO A LA PROPIEDAD COLECTIVA (Artículo 21) y Derechos Políticos (Artículo 23) EN RELACIÓN CON LOS ARTÍCULOS 1.1 Y 2 DE LA CONVENCIÓN AMERICANA</w:t>
        </w:r>
        <w:r w:rsidR="00F77E53" w:rsidRPr="00F77E53">
          <w:rPr>
            <w:webHidden/>
          </w:rPr>
          <w:tab/>
        </w:r>
        <w:r w:rsidR="00F77E53" w:rsidRPr="00F77E53">
          <w:rPr>
            <w:webHidden/>
          </w:rPr>
          <w:fldChar w:fldCharType="begin"/>
        </w:r>
        <w:r w:rsidR="00F77E53" w:rsidRPr="00F77E53">
          <w:rPr>
            <w:webHidden/>
          </w:rPr>
          <w:instrText xml:space="preserve"> PAGEREF _Toc441666176 \h </w:instrText>
        </w:r>
        <w:r w:rsidR="00F77E53" w:rsidRPr="00F77E53">
          <w:rPr>
            <w:webHidden/>
          </w:rPr>
        </w:r>
        <w:r w:rsidR="00F77E53" w:rsidRPr="00F77E53">
          <w:rPr>
            <w:webHidden/>
          </w:rPr>
          <w:fldChar w:fldCharType="separate"/>
        </w:r>
        <w:r w:rsidR="00BB4A13">
          <w:rPr>
            <w:webHidden/>
          </w:rPr>
          <w:t>33</w:t>
        </w:r>
        <w:r w:rsidR="00F77E53" w:rsidRPr="00F77E53">
          <w:rPr>
            <w:webHidden/>
          </w:rPr>
          <w:fldChar w:fldCharType="end"/>
        </w:r>
      </w:hyperlink>
    </w:p>
    <w:p w14:paraId="0297EFBD"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77" w:history="1">
        <w:r w:rsidR="00F77E53" w:rsidRPr="00F77E53">
          <w:rPr>
            <w:rStyle w:val="Hyperlink"/>
            <w:rFonts w:ascii="Verdana" w:hAnsi="Verdana"/>
            <w:noProof/>
            <w:color w:val="auto"/>
            <w:sz w:val="18"/>
            <w:szCs w:val="18"/>
            <w:u w:val="none"/>
          </w:rPr>
          <w:t>A.</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Argumentos de la Comisión y de las partes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_Toc441666177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33</w:t>
        </w:r>
        <w:r w:rsidR="00F77E53" w:rsidRPr="00F77E53">
          <w:rPr>
            <w:rFonts w:ascii="Verdana" w:hAnsi="Verdana"/>
            <w:noProof/>
            <w:webHidden/>
            <w:sz w:val="18"/>
            <w:szCs w:val="18"/>
          </w:rPr>
          <w:fldChar w:fldCharType="end"/>
        </w:r>
      </w:hyperlink>
    </w:p>
    <w:p w14:paraId="19D4C4C2"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78" w:history="1">
        <w:r w:rsidR="00F77E53" w:rsidRPr="00F77E53">
          <w:rPr>
            <w:rStyle w:val="Hyperlink"/>
            <w:rFonts w:ascii="Verdana" w:hAnsi="Verdana"/>
            <w:noProof/>
            <w:color w:val="auto"/>
            <w:sz w:val="18"/>
            <w:szCs w:val="18"/>
            <w:u w:val="none"/>
          </w:rPr>
          <w:t>B.</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Consideraciones de la Corte</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_Toc441666178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36</w:t>
        </w:r>
        <w:r w:rsidR="00F77E53" w:rsidRPr="00F77E53">
          <w:rPr>
            <w:rFonts w:ascii="Verdana" w:hAnsi="Verdana"/>
            <w:noProof/>
            <w:webHidden/>
            <w:sz w:val="18"/>
            <w:szCs w:val="18"/>
          </w:rPr>
          <w:fldChar w:fldCharType="end"/>
        </w:r>
      </w:hyperlink>
    </w:p>
    <w:p w14:paraId="128D0892"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79" w:history="1">
        <w:r w:rsidR="00F77E53" w:rsidRPr="00F77E53">
          <w:rPr>
            <w:rStyle w:val="Hyperlink"/>
            <w:rFonts w:ascii="Verdana" w:hAnsi="Verdana"/>
            <w:noProof/>
            <w:color w:val="auto"/>
            <w:sz w:val="18"/>
            <w:szCs w:val="18"/>
            <w:u w:val="none"/>
            <w:lang w:val="es-ES"/>
          </w:rPr>
          <w:t>B.1 Interpretación del derecho a la propiedad colectiva y participación en asuntos públicos de los pueblos indígenas en el presente caso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_Toc441666179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36</w:t>
        </w:r>
        <w:r w:rsidR="00F77E53" w:rsidRPr="00F77E53">
          <w:rPr>
            <w:rFonts w:ascii="Verdana" w:hAnsi="Verdana"/>
            <w:noProof/>
            <w:webHidden/>
            <w:sz w:val="18"/>
            <w:szCs w:val="18"/>
          </w:rPr>
          <w:fldChar w:fldCharType="end"/>
        </w:r>
      </w:hyperlink>
    </w:p>
    <w:p w14:paraId="478E7519"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80" w:history="1">
        <w:r w:rsidR="00F77E53" w:rsidRPr="00F77E53">
          <w:rPr>
            <w:rStyle w:val="Hyperlink"/>
            <w:rFonts w:ascii="Verdana" w:hAnsi="Verdana"/>
            <w:noProof/>
            <w:color w:val="auto"/>
            <w:sz w:val="18"/>
            <w:szCs w:val="18"/>
            <w:u w:val="none"/>
            <w:lang w:val="es-ES"/>
          </w:rPr>
          <w:t>B.2 La falta de reconocimiento del derecho a la propiedad colectiva de los pueblos indígenas Kaliña y Lokono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_Toc441666180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38</w:t>
        </w:r>
        <w:r w:rsidR="00F77E53" w:rsidRPr="00F77E53">
          <w:rPr>
            <w:rFonts w:ascii="Verdana" w:hAnsi="Verdana"/>
            <w:noProof/>
            <w:webHidden/>
            <w:sz w:val="18"/>
            <w:szCs w:val="18"/>
          </w:rPr>
          <w:fldChar w:fldCharType="end"/>
        </w:r>
      </w:hyperlink>
    </w:p>
    <w:p w14:paraId="3F2F126E"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81" w:history="1">
        <w:r w:rsidR="00F77E53" w:rsidRPr="00F77E53">
          <w:rPr>
            <w:rStyle w:val="Hyperlink"/>
            <w:rFonts w:ascii="Verdana" w:hAnsi="Verdana"/>
            <w:noProof/>
            <w:color w:val="auto"/>
            <w:sz w:val="18"/>
            <w:szCs w:val="18"/>
            <w:u w:val="none"/>
          </w:rPr>
          <w:t>B.2.1 El derecho a la propiedad colectiva y el deber de delimitar, demarcar, titular y garantizar el uso y goce del territorio colectivo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_Toc441666181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38</w:t>
        </w:r>
        <w:r w:rsidR="00F77E53" w:rsidRPr="00F77E53">
          <w:rPr>
            <w:rFonts w:ascii="Verdana" w:hAnsi="Verdana"/>
            <w:noProof/>
            <w:webHidden/>
            <w:sz w:val="18"/>
            <w:szCs w:val="18"/>
          </w:rPr>
          <w:fldChar w:fldCharType="end"/>
        </w:r>
      </w:hyperlink>
    </w:p>
    <w:p w14:paraId="0BE2D158" w14:textId="77777777" w:rsidR="00F77E53" w:rsidRPr="00F77E53" w:rsidRDefault="004062C2" w:rsidP="00F77E53">
      <w:pPr>
        <w:pStyle w:val="TOC5"/>
        <w:tabs>
          <w:tab w:val="right" w:leader="dot" w:pos="9639"/>
        </w:tabs>
        <w:spacing w:after="0"/>
        <w:jc w:val="both"/>
        <w:rPr>
          <w:rFonts w:ascii="Verdana" w:eastAsiaTheme="minorEastAsia" w:hAnsi="Verdana" w:cstheme="minorBidi"/>
          <w:noProof/>
          <w:sz w:val="18"/>
          <w:szCs w:val="18"/>
          <w:lang w:val="es-CR" w:eastAsia="es-CR"/>
        </w:rPr>
      </w:pPr>
      <w:hyperlink w:anchor="_Toc441666182" w:history="1">
        <w:r w:rsidR="00F77E53" w:rsidRPr="00F77E53">
          <w:rPr>
            <w:rStyle w:val="Hyperlink"/>
            <w:rFonts w:ascii="Verdana" w:hAnsi="Verdana"/>
            <w:noProof/>
            <w:color w:val="auto"/>
            <w:sz w:val="18"/>
            <w:szCs w:val="18"/>
            <w:u w:val="none"/>
            <w:lang w:val="es-CR"/>
          </w:rPr>
          <w:t>B.2.1.1 Respecto de la falta de delimitación, demarcación y titulación en el caso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_Toc441666182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39</w:t>
        </w:r>
        <w:r w:rsidR="00F77E53" w:rsidRPr="00F77E53">
          <w:rPr>
            <w:rFonts w:ascii="Verdana" w:hAnsi="Verdana"/>
            <w:noProof/>
            <w:webHidden/>
            <w:sz w:val="18"/>
            <w:szCs w:val="18"/>
          </w:rPr>
          <w:fldChar w:fldCharType="end"/>
        </w:r>
      </w:hyperlink>
    </w:p>
    <w:p w14:paraId="1785C61B"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83" w:history="1">
        <w:r w:rsidR="00F77E53" w:rsidRPr="00F77E53">
          <w:rPr>
            <w:rStyle w:val="Hyperlink"/>
            <w:rFonts w:ascii="Verdana" w:hAnsi="Verdana"/>
            <w:noProof/>
            <w:color w:val="auto"/>
            <w:sz w:val="18"/>
            <w:szCs w:val="18"/>
            <w:u w:val="none"/>
          </w:rPr>
          <w:t>B.2.2 Respecto del derecho a solicitar la reivindicación del territorio ante la existencia de títulos individuales a favor de terceros no indígenas ni tribales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_Toc441666183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41</w:t>
        </w:r>
        <w:r w:rsidR="00F77E53" w:rsidRPr="00F77E53">
          <w:rPr>
            <w:rFonts w:ascii="Verdana" w:hAnsi="Verdana"/>
            <w:noProof/>
            <w:webHidden/>
            <w:sz w:val="18"/>
            <w:szCs w:val="18"/>
          </w:rPr>
          <w:fldChar w:fldCharType="end"/>
        </w:r>
      </w:hyperlink>
    </w:p>
    <w:p w14:paraId="020DC8F0"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84" w:history="1">
        <w:r w:rsidR="00F77E53" w:rsidRPr="00F77E53">
          <w:rPr>
            <w:rStyle w:val="Hyperlink"/>
            <w:rFonts w:ascii="Verdana" w:hAnsi="Verdana"/>
            <w:noProof/>
            <w:color w:val="auto"/>
            <w:sz w:val="18"/>
            <w:szCs w:val="18"/>
            <w:u w:val="none"/>
            <w:lang w:val="es-ES"/>
          </w:rPr>
          <w:t>B.3 Reservas naturales en el territorio tradicional</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_Toc441666184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46</w:t>
        </w:r>
        <w:r w:rsidR="00F77E53" w:rsidRPr="00F77E53">
          <w:rPr>
            <w:rFonts w:ascii="Verdana" w:hAnsi="Verdana"/>
            <w:noProof/>
            <w:webHidden/>
            <w:sz w:val="18"/>
            <w:szCs w:val="18"/>
          </w:rPr>
          <w:fldChar w:fldCharType="end"/>
        </w:r>
      </w:hyperlink>
    </w:p>
    <w:p w14:paraId="65E24B78"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85" w:history="1">
        <w:r w:rsidR="00F77E53" w:rsidRPr="00F77E53">
          <w:rPr>
            <w:rStyle w:val="Hyperlink"/>
            <w:rFonts w:ascii="Verdana" w:hAnsi="Verdana"/>
            <w:noProof/>
            <w:color w:val="auto"/>
            <w:sz w:val="18"/>
            <w:szCs w:val="18"/>
            <w:u w:val="none"/>
          </w:rPr>
          <w:t>B.3.1 El alegado mantenimiento de la reserva y reivindicación</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_Toc441666185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47</w:t>
        </w:r>
        <w:r w:rsidR="00F77E53" w:rsidRPr="00F77E53">
          <w:rPr>
            <w:rFonts w:ascii="Verdana" w:hAnsi="Verdana"/>
            <w:noProof/>
            <w:webHidden/>
            <w:sz w:val="18"/>
            <w:szCs w:val="18"/>
          </w:rPr>
          <w:fldChar w:fldCharType="end"/>
        </w:r>
      </w:hyperlink>
    </w:p>
    <w:p w14:paraId="357621D9" w14:textId="77777777" w:rsidR="00F77E53" w:rsidRPr="00F77E53" w:rsidRDefault="004062C2" w:rsidP="00F77E53">
      <w:pPr>
        <w:pStyle w:val="TOC4"/>
        <w:tabs>
          <w:tab w:val="right" w:leader="dot" w:pos="9639"/>
        </w:tabs>
        <w:spacing w:after="0"/>
        <w:jc w:val="both"/>
        <w:rPr>
          <w:rFonts w:ascii="Verdana" w:eastAsiaTheme="minorEastAsia" w:hAnsi="Verdana" w:cstheme="minorBidi"/>
          <w:noProof/>
          <w:sz w:val="18"/>
          <w:szCs w:val="18"/>
          <w:lang w:val="es-CR" w:eastAsia="es-CR"/>
        </w:rPr>
      </w:pPr>
      <w:hyperlink w:anchor="_Toc441666186" w:history="1">
        <w:r w:rsidR="00F77E53" w:rsidRPr="00F77E53">
          <w:rPr>
            <w:rStyle w:val="Hyperlink"/>
            <w:rFonts w:ascii="Verdana" w:hAnsi="Verdana"/>
            <w:noProof/>
            <w:color w:val="auto"/>
            <w:sz w:val="18"/>
            <w:szCs w:val="18"/>
            <w:u w:val="none"/>
          </w:rPr>
          <w:t>B.3.2 Alegadas restricciones para los pueblos indígenas en las reservas naturales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_Toc441666186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48</w:t>
        </w:r>
        <w:r w:rsidR="00F77E53" w:rsidRPr="00F77E53">
          <w:rPr>
            <w:rFonts w:ascii="Verdana" w:hAnsi="Verdana"/>
            <w:noProof/>
            <w:webHidden/>
            <w:sz w:val="18"/>
            <w:szCs w:val="18"/>
          </w:rPr>
          <w:fldChar w:fldCharType="end"/>
        </w:r>
      </w:hyperlink>
    </w:p>
    <w:p w14:paraId="0FFD57DA" w14:textId="77777777" w:rsidR="00F77E53" w:rsidRPr="00F77E53" w:rsidRDefault="004062C2" w:rsidP="00F77E53">
      <w:pPr>
        <w:pStyle w:val="TOC5"/>
        <w:tabs>
          <w:tab w:val="right" w:leader="dot" w:pos="9639"/>
        </w:tabs>
        <w:spacing w:after="0"/>
        <w:jc w:val="both"/>
        <w:rPr>
          <w:rFonts w:ascii="Verdana" w:eastAsiaTheme="minorEastAsia" w:hAnsi="Verdana" w:cstheme="minorBidi"/>
          <w:noProof/>
          <w:sz w:val="18"/>
          <w:szCs w:val="18"/>
          <w:lang w:val="es-CR" w:eastAsia="es-CR"/>
        </w:rPr>
      </w:pPr>
      <w:hyperlink w:anchor="_Toc441666187" w:history="1">
        <w:r w:rsidR="00F77E53" w:rsidRPr="00F77E53">
          <w:rPr>
            <w:rStyle w:val="Hyperlink"/>
            <w:rFonts w:ascii="Verdana" w:hAnsi="Verdana"/>
            <w:noProof/>
            <w:color w:val="auto"/>
            <w:sz w:val="18"/>
            <w:szCs w:val="18"/>
            <w:u w:val="none"/>
            <w:lang w:val="es-CR"/>
          </w:rPr>
          <w:t>B.3.2.1 Compatibilidad de los derechos de los pueblos indígenas con la protección del medio ambiente</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_Toc441666187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48</w:t>
        </w:r>
        <w:r w:rsidR="00F77E53" w:rsidRPr="00F77E53">
          <w:rPr>
            <w:rFonts w:ascii="Verdana" w:hAnsi="Verdana"/>
            <w:noProof/>
            <w:webHidden/>
            <w:sz w:val="18"/>
            <w:szCs w:val="18"/>
          </w:rPr>
          <w:fldChar w:fldCharType="end"/>
        </w:r>
      </w:hyperlink>
    </w:p>
    <w:p w14:paraId="05200DC1" w14:textId="77777777" w:rsidR="00F77E53" w:rsidRPr="00F77E53" w:rsidRDefault="004062C2" w:rsidP="00F77E53">
      <w:pPr>
        <w:pStyle w:val="TOC5"/>
        <w:tabs>
          <w:tab w:val="right" w:leader="dot" w:pos="9639"/>
        </w:tabs>
        <w:spacing w:after="0"/>
        <w:jc w:val="both"/>
        <w:rPr>
          <w:rFonts w:ascii="Verdana" w:eastAsiaTheme="minorEastAsia" w:hAnsi="Verdana" w:cstheme="minorBidi"/>
          <w:noProof/>
          <w:sz w:val="18"/>
          <w:szCs w:val="18"/>
          <w:lang w:val="es-CR" w:eastAsia="es-CR"/>
        </w:rPr>
      </w:pPr>
      <w:hyperlink w:anchor="_Toc441666188" w:history="1">
        <w:r w:rsidR="00F77E53" w:rsidRPr="00F77E53">
          <w:rPr>
            <w:rStyle w:val="Hyperlink"/>
            <w:rFonts w:ascii="Verdana" w:hAnsi="Verdana"/>
            <w:noProof/>
            <w:color w:val="auto"/>
            <w:sz w:val="18"/>
            <w:szCs w:val="18"/>
            <w:u w:val="none"/>
            <w:lang w:val="es-CR"/>
          </w:rPr>
          <w:t>B.3.2.2 Las alegadas afectaciones en las reservas de Galibi y Wane Kreek</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_Toc441666188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52</w:t>
        </w:r>
        <w:r w:rsidR="00F77E53" w:rsidRPr="00F77E53">
          <w:rPr>
            <w:rFonts w:ascii="Verdana" w:hAnsi="Verdana"/>
            <w:noProof/>
            <w:webHidden/>
            <w:sz w:val="18"/>
            <w:szCs w:val="18"/>
          </w:rPr>
          <w:fldChar w:fldCharType="end"/>
        </w:r>
      </w:hyperlink>
    </w:p>
    <w:p w14:paraId="39BC6A7F"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89" w:history="1">
        <w:r w:rsidR="00F77E53" w:rsidRPr="00F77E53">
          <w:rPr>
            <w:rStyle w:val="Hyperlink"/>
            <w:rFonts w:ascii="Verdana" w:hAnsi="Verdana"/>
            <w:noProof/>
            <w:color w:val="auto"/>
            <w:sz w:val="18"/>
            <w:szCs w:val="18"/>
            <w:u w:val="none"/>
            <w:lang w:val="es-ES"/>
          </w:rPr>
          <w:t xml:space="preserve">B.4 Respecto de las garantías a la propiedad colectiva </w:t>
        </w:r>
        <w:r w:rsidR="00F77E53" w:rsidRPr="00F77E53">
          <w:rPr>
            <w:rStyle w:val="Hyperlink"/>
            <w:rFonts w:ascii="Verdana" w:hAnsi="Verdana" w:cs="Arial"/>
            <w:noProof/>
            <w:color w:val="auto"/>
            <w:sz w:val="18"/>
            <w:szCs w:val="18"/>
            <w:u w:val="none"/>
            <w:lang w:val="es-ES"/>
          </w:rPr>
          <w:t>frente a la concesión minera dentro de la Reserva Natural Wane Kreek</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_Toc441666189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56</w:t>
        </w:r>
        <w:r w:rsidR="00F77E53" w:rsidRPr="00F77E53">
          <w:rPr>
            <w:rFonts w:ascii="Verdana" w:hAnsi="Verdana"/>
            <w:noProof/>
            <w:webHidden/>
            <w:sz w:val="18"/>
            <w:szCs w:val="18"/>
          </w:rPr>
          <w:fldChar w:fldCharType="end"/>
        </w:r>
      </w:hyperlink>
    </w:p>
    <w:p w14:paraId="0C4E6B9F" w14:textId="37D3D8D6" w:rsidR="00F77E53" w:rsidRPr="00F77E53" w:rsidRDefault="004062C2" w:rsidP="00F77E53">
      <w:pPr>
        <w:pStyle w:val="TOC1"/>
        <w:rPr>
          <w:rFonts w:eastAsiaTheme="minorEastAsia" w:cstheme="minorBidi"/>
          <w:b w:val="0"/>
          <w:caps w:val="0"/>
          <w:snapToGrid/>
          <w:lang w:val="es-CR" w:eastAsia="es-CR"/>
        </w:rPr>
      </w:pPr>
      <w:hyperlink w:anchor="_Toc441666190" w:history="1">
        <w:r w:rsidR="00F77E53" w:rsidRPr="00F77E53">
          <w:rPr>
            <w:rStyle w:val="Hyperlink"/>
            <w:rFonts w:cs="Verdana"/>
            <w:color w:val="auto"/>
            <w:u w:val="none"/>
          </w:rPr>
          <w:t>VI-iiI DERECHO A LA PROTECCIÓN JUDICIAL (ARTÍCULO 25) EN RELACIÓN CON</w:t>
        </w:r>
        <w:r w:rsidR="00F77E53">
          <w:rPr>
            <w:rStyle w:val="Hyperlink"/>
            <w:rFonts w:cs="Verdana"/>
            <w:color w:val="auto"/>
            <w:u w:val="none"/>
          </w:rPr>
          <w:t xml:space="preserve"> </w:t>
        </w:r>
        <w:r w:rsidR="00F77E53" w:rsidRPr="00F77E53">
          <w:rPr>
            <w:rStyle w:val="Hyperlink"/>
            <w:rFonts w:cs="Verdana"/>
            <w:color w:val="auto"/>
            <w:u w:val="none"/>
          </w:rPr>
          <w:t>LOS ARTÍCULOS 13, 1.1 Y 2 DE LA CONVENCIÓN AMERICANA</w:t>
        </w:r>
        <w:r w:rsidR="00F77E53" w:rsidRPr="00F77E53">
          <w:rPr>
            <w:webHidden/>
          </w:rPr>
          <w:tab/>
        </w:r>
        <w:r w:rsidR="00F77E53" w:rsidRPr="00F77E53">
          <w:rPr>
            <w:webHidden/>
          </w:rPr>
          <w:fldChar w:fldCharType="begin"/>
        </w:r>
        <w:r w:rsidR="00F77E53" w:rsidRPr="00F77E53">
          <w:rPr>
            <w:webHidden/>
          </w:rPr>
          <w:instrText xml:space="preserve"> PAGEREF _Toc441666190 \h </w:instrText>
        </w:r>
        <w:r w:rsidR="00F77E53" w:rsidRPr="00F77E53">
          <w:rPr>
            <w:webHidden/>
          </w:rPr>
        </w:r>
        <w:r w:rsidR="00F77E53" w:rsidRPr="00F77E53">
          <w:rPr>
            <w:webHidden/>
          </w:rPr>
          <w:fldChar w:fldCharType="separate"/>
        </w:r>
        <w:r w:rsidR="00BB4A13">
          <w:rPr>
            <w:webHidden/>
          </w:rPr>
          <w:t>64</w:t>
        </w:r>
        <w:r w:rsidR="00F77E53" w:rsidRPr="00F77E53">
          <w:rPr>
            <w:webHidden/>
          </w:rPr>
          <w:fldChar w:fldCharType="end"/>
        </w:r>
      </w:hyperlink>
    </w:p>
    <w:p w14:paraId="48C4CF03"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92" w:history="1">
        <w:r w:rsidR="00F77E53" w:rsidRPr="00F77E53">
          <w:rPr>
            <w:rStyle w:val="Hyperlink"/>
            <w:rFonts w:ascii="Verdana" w:hAnsi="Verdana"/>
            <w:noProof/>
            <w:color w:val="auto"/>
            <w:sz w:val="18"/>
            <w:szCs w:val="18"/>
            <w:u w:val="none"/>
            <w:lang w:val="es-ES"/>
          </w:rPr>
          <w:t>A.</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Argumentos de la Comisión y de las partes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_Toc441666192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64</w:t>
        </w:r>
        <w:r w:rsidR="00F77E53" w:rsidRPr="00F77E53">
          <w:rPr>
            <w:rFonts w:ascii="Verdana" w:hAnsi="Verdana"/>
            <w:noProof/>
            <w:webHidden/>
            <w:sz w:val="18"/>
            <w:szCs w:val="18"/>
          </w:rPr>
          <w:fldChar w:fldCharType="end"/>
        </w:r>
      </w:hyperlink>
    </w:p>
    <w:p w14:paraId="4146742A"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93" w:history="1">
        <w:r w:rsidR="00F77E53" w:rsidRPr="00F77E53">
          <w:rPr>
            <w:rStyle w:val="Hyperlink"/>
            <w:rFonts w:ascii="Verdana" w:hAnsi="Verdana"/>
            <w:noProof/>
            <w:color w:val="auto"/>
            <w:sz w:val="18"/>
            <w:szCs w:val="18"/>
            <w:u w:val="none"/>
            <w:lang w:val="es-CR"/>
          </w:rPr>
          <w:t>B.</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Consideraciones de la Corte</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_Toc441666193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65</w:t>
        </w:r>
        <w:r w:rsidR="00F77E53" w:rsidRPr="00F77E53">
          <w:rPr>
            <w:rFonts w:ascii="Verdana" w:hAnsi="Verdana"/>
            <w:noProof/>
            <w:webHidden/>
            <w:sz w:val="18"/>
            <w:szCs w:val="18"/>
          </w:rPr>
          <w:fldChar w:fldCharType="end"/>
        </w:r>
      </w:hyperlink>
    </w:p>
    <w:p w14:paraId="46E35370"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94" w:history="1">
        <w:r w:rsidR="00F77E53" w:rsidRPr="00F77E53">
          <w:rPr>
            <w:rStyle w:val="Hyperlink"/>
            <w:rFonts w:ascii="Verdana" w:hAnsi="Verdana"/>
            <w:noProof/>
            <w:color w:val="auto"/>
            <w:sz w:val="18"/>
            <w:szCs w:val="18"/>
            <w:u w:val="none"/>
            <w:lang w:val="es-ES"/>
          </w:rPr>
          <w:t>B.1 Recursos adecuados y efectivos en la legislación interna para proteger los derechos de los pueblos indígenas y tribales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_Toc441666194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66</w:t>
        </w:r>
        <w:r w:rsidR="00F77E53" w:rsidRPr="00F77E53">
          <w:rPr>
            <w:rFonts w:ascii="Verdana" w:hAnsi="Verdana"/>
            <w:noProof/>
            <w:webHidden/>
            <w:sz w:val="18"/>
            <w:szCs w:val="18"/>
          </w:rPr>
          <w:fldChar w:fldCharType="end"/>
        </w:r>
      </w:hyperlink>
    </w:p>
    <w:p w14:paraId="1A04C3E9"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95" w:history="1">
        <w:r w:rsidR="00F77E53" w:rsidRPr="00F77E53">
          <w:rPr>
            <w:rStyle w:val="Hyperlink"/>
            <w:rFonts w:ascii="Verdana" w:hAnsi="Verdana"/>
            <w:noProof/>
            <w:color w:val="auto"/>
            <w:sz w:val="18"/>
            <w:szCs w:val="18"/>
            <w:u w:val="none"/>
            <w:lang w:val="es-ES"/>
          </w:rPr>
          <w:t>B.2 Idoneidad y efectividad de los procedimientos judiciales y peticiones interpuestas ante autoridades estatales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_Toc441666195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70</w:t>
        </w:r>
        <w:r w:rsidR="00F77E53" w:rsidRPr="00F77E53">
          <w:rPr>
            <w:rFonts w:ascii="Verdana" w:hAnsi="Verdana"/>
            <w:noProof/>
            <w:webHidden/>
            <w:sz w:val="18"/>
            <w:szCs w:val="18"/>
          </w:rPr>
          <w:fldChar w:fldCharType="end"/>
        </w:r>
      </w:hyperlink>
    </w:p>
    <w:p w14:paraId="43DC7B6A"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196" w:history="1">
        <w:r w:rsidR="00F77E53" w:rsidRPr="00F77E53">
          <w:rPr>
            <w:rStyle w:val="Hyperlink"/>
            <w:rFonts w:ascii="Verdana" w:hAnsi="Verdana"/>
            <w:noProof/>
            <w:color w:val="auto"/>
            <w:sz w:val="18"/>
            <w:szCs w:val="18"/>
            <w:u w:val="none"/>
            <w:lang w:val="es-ES"/>
          </w:rPr>
          <w:t>B.3 El derecho de acceso a la información en relación con el artículo 25 de la Convención Americana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_Toc441666196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71</w:t>
        </w:r>
        <w:r w:rsidR="00F77E53" w:rsidRPr="00F77E53">
          <w:rPr>
            <w:rFonts w:ascii="Verdana" w:hAnsi="Verdana"/>
            <w:noProof/>
            <w:webHidden/>
            <w:sz w:val="18"/>
            <w:szCs w:val="18"/>
          </w:rPr>
          <w:fldChar w:fldCharType="end"/>
        </w:r>
      </w:hyperlink>
    </w:p>
    <w:p w14:paraId="7C776D11"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197" w:history="1">
        <w:r w:rsidR="00F77E53" w:rsidRPr="00F77E53">
          <w:rPr>
            <w:rStyle w:val="Hyperlink"/>
            <w:rFonts w:ascii="Verdana" w:hAnsi="Verdana"/>
            <w:noProof/>
            <w:color w:val="auto"/>
            <w:sz w:val="18"/>
            <w:szCs w:val="18"/>
            <w:u w:val="none"/>
          </w:rPr>
          <w:t>C.</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Conclusión</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_Toc441666197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74</w:t>
        </w:r>
        <w:r w:rsidR="00F77E53" w:rsidRPr="00F77E53">
          <w:rPr>
            <w:rFonts w:ascii="Verdana" w:hAnsi="Verdana"/>
            <w:noProof/>
            <w:webHidden/>
            <w:sz w:val="18"/>
            <w:szCs w:val="18"/>
          </w:rPr>
          <w:fldChar w:fldCharType="end"/>
        </w:r>
      </w:hyperlink>
    </w:p>
    <w:p w14:paraId="0CA02408" w14:textId="77777777" w:rsidR="00F77E53" w:rsidRPr="00F77E53" w:rsidRDefault="004062C2" w:rsidP="00F77E53">
      <w:pPr>
        <w:pStyle w:val="TOC1"/>
        <w:rPr>
          <w:rFonts w:eastAsiaTheme="minorEastAsia" w:cstheme="minorBidi"/>
          <w:b w:val="0"/>
          <w:caps w:val="0"/>
          <w:snapToGrid/>
          <w:lang w:val="es-CR" w:eastAsia="es-CR"/>
        </w:rPr>
      </w:pPr>
      <w:hyperlink w:anchor="_Toc441666198" w:history="1">
        <w:r w:rsidR="00F77E53" w:rsidRPr="00F77E53">
          <w:rPr>
            <w:rStyle w:val="Hyperlink"/>
            <w:rFonts w:eastAsia="Times New Roman" w:cs="Verdana"/>
            <w:bCs/>
            <w:color w:val="auto"/>
            <w:u w:val="none"/>
            <w:lang w:val="es-CR"/>
          </w:rPr>
          <w:t>VII REPARACIONES</w:t>
        </w:r>
        <w:r w:rsidR="00F77E53" w:rsidRPr="00F77E53">
          <w:rPr>
            <w:webHidden/>
          </w:rPr>
          <w:tab/>
        </w:r>
        <w:r w:rsidR="00F77E53" w:rsidRPr="00F77E53">
          <w:rPr>
            <w:webHidden/>
          </w:rPr>
          <w:fldChar w:fldCharType="begin"/>
        </w:r>
        <w:r w:rsidR="00F77E53" w:rsidRPr="00F77E53">
          <w:rPr>
            <w:webHidden/>
          </w:rPr>
          <w:instrText xml:space="preserve"> PAGEREF _Toc441666198 \h </w:instrText>
        </w:r>
        <w:r w:rsidR="00F77E53" w:rsidRPr="00F77E53">
          <w:rPr>
            <w:webHidden/>
          </w:rPr>
        </w:r>
        <w:r w:rsidR="00F77E53" w:rsidRPr="00F77E53">
          <w:rPr>
            <w:webHidden/>
          </w:rPr>
          <w:fldChar w:fldCharType="separate"/>
        </w:r>
        <w:r w:rsidR="00BB4A13">
          <w:rPr>
            <w:webHidden/>
          </w:rPr>
          <w:t>74</w:t>
        </w:r>
        <w:r w:rsidR="00F77E53" w:rsidRPr="00F77E53">
          <w:rPr>
            <w:webHidden/>
          </w:rPr>
          <w:fldChar w:fldCharType="end"/>
        </w:r>
      </w:hyperlink>
    </w:p>
    <w:p w14:paraId="0298F0E0"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00" w:history="1">
        <w:r w:rsidR="00F77E53" w:rsidRPr="00F77E53">
          <w:rPr>
            <w:rStyle w:val="Hyperlink"/>
            <w:rFonts w:ascii="Verdana" w:hAnsi="Verdana"/>
            <w:noProof/>
            <w:color w:val="auto"/>
            <w:sz w:val="18"/>
            <w:szCs w:val="18"/>
            <w:u w:val="none"/>
          </w:rPr>
          <w:t>A.</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Parte Lesionada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_Toc441666200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75</w:t>
        </w:r>
        <w:r w:rsidR="00F77E53" w:rsidRPr="00F77E53">
          <w:rPr>
            <w:rFonts w:ascii="Verdana" w:hAnsi="Verdana"/>
            <w:noProof/>
            <w:webHidden/>
            <w:sz w:val="18"/>
            <w:szCs w:val="18"/>
          </w:rPr>
          <w:fldChar w:fldCharType="end"/>
        </w:r>
      </w:hyperlink>
    </w:p>
    <w:p w14:paraId="405D84BC"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01" w:history="1">
        <w:r w:rsidR="00F77E53" w:rsidRPr="00F77E53">
          <w:rPr>
            <w:rStyle w:val="Hyperlink"/>
            <w:rFonts w:ascii="Verdana" w:hAnsi="Verdana"/>
            <w:noProof/>
            <w:color w:val="auto"/>
            <w:sz w:val="18"/>
            <w:szCs w:val="18"/>
            <w:u w:val="none"/>
          </w:rPr>
          <w:t>B.</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Restitución</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_Toc441666201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75</w:t>
        </w:r>
        <w:r w:rsidR="00F77E53" w:rsidRPr="00F77E53">
          <w:rPr>
            <w:rFonts w:ascii="Verdana" w:hAnsi="Verdana"/>
            <w:noProof/>
            <w:webHidden/>
            <w:sz w:val="18"/>
            <w:szCs w:val="18"/>
          </w:rPr>
          <w:fldChar w:fldCharType="end"/>
        </w:r>
      </w:hyperlink>
    </w:p>
    <w:p w14:paraId="5EBA0573"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02" w:history="1">
        <w:r w:rsidR="00F77E53" w:rsidRPr="00F77E53">
          <w:rPr>
            <w:rStyle w:val="Hyperlink"/>
            <w:rFonts w:ascii="Verdana" w:hAnsi="Verdana"/>
            <w:noProof/>
            <w:color w:val="auto"/>
            <w:sz w:val="18"/>
            <w:szCs w:val="18"/>
            <w:u w:val="none"/>
          </w:rPr>
          <w:t>C.</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Rehabilitación del territorio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_Toc441666202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79</w:t>
        </w:r>
        <w:r w:rsidR="00F77E53" w:rsidRPr="00F77E53">
          <w:rPr>
            <w:rFonts w:ascii="Verdana" w:hAnsi="Verdana"/>
            <w:noProof/>
            <w:webHidden/>
            <w:sz w:val="18"/>
            <w:szCs w:val="18"/>
          </w:rPr>
          <w:fldChar w:fldCharType="end"/>
        </w:r>
      </w:hyperlink>
    </w:p>
    <w:p w14:paraId="217005DD"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03" w:history="1">
        <w:r w:rsidR="00F77E53" w:rsidRPr="00F77E53">
          <w:rPr>
            <w:rStyle w:val="Hyperlink"/>
            <w:rFonts w:ascii="Verdana" w:hAnsi="Verdana"/>
            <w:noProof/>
            <w:color w:val="auto"/>
            <w:sz w:val="18"/>
            <w:szCs w:val="18"/>
            <w:u w:val="none"/>
          </w:rPr>
          <w:t>D.</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Creación de un fondo de desarrollo comunitario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_Toc441666203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80</w:t>
        </w:r>
        <w:r w:rsidR="00F77E53" w:rsidRPr="00F77E53">
          <w:rPr>
            <w:rFonts w:ascii="Verdana" w:hAnsi="Verdana"/>
            <w:noProof/>
            <w:webHidden/>
            <w:sz w:val="18"/>
            <w:szCs w:val="18"/>
          </w:rPr>
          <w:fldChar w:fldCharType="end"/>
        </w:r>
      </w:hyperlink>
    </w:p>
    <w:p w14:paraId="619DB724"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04" w:history="1">
        <w:r w:rsidR="00F77E53" w:rsidRPr="00F77E53">
          <w:rPr>
            <w:rStyle w:val="Hyperlink"/>
            <w:rFonts w:ascii="Verdana" w:hAnsi="Verdana"/>
            <w:noProof/>
            <w:color w:val="auto"/>
            <w:sz w:val="18"/>
            <w:szCs w:val="18"/>
            <w:u w:val="none"/>
          </w:rPr>
          <w:t>E.</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Garantías de no repetición</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_Toc441666204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81</w:t>
        </w:r>
        <w:r w:rsidR="00F77E53" w:rsidRPr="00F77E53">
          <w:rPr>
            <w:rFonts w:ascii="Verdana" w:hAnsi="Verdana"/>
            <w:noProof/>
            <w:webHidden/>
            <w:sz w:val="18"/>
            <w:szCs w:val="18"/>
          </w:rPr>
          <w:fldChar w:fldCharType="end"/>
        </w:r>
      </w:hyperlink>
    </w:p>
    <w:p w14:paraId="7A87C155"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205" w:history="1">
        <w:r w:rsidR="00F77E53" w:rsidRPr="00F77E53">
          <w:rPr>
            <w:rStyle w:val="Hyperlink"/>
            <w:rFonts w:ascii="Verdana" w:hAnsi="Verdana"/>
            <w:noProof/>
            <w:color w:val="auto"/>
            <w:sz w:val="18"/>
            <w:szCs w:val="18"/>
            <w:u w:val="none"/>
            <w:lang w:val="es-ES"/>
          </w:rPr>
          <w:t xml:space="preserve">E.1  </w:t>
        </w:r>
        <w:r w:rsidR="00F77E53" w:rsidRPr="00F77E53">
          <w:rPr>
            <w:rStyle w:val="Hyperlink"/>
            <w:rFonts w:ascii="Verdana" w:hAnsi="Verdana"/>
            <w:noProof/>
            <w:color w:val="auto"/>
            <w:sz w:val="18"/>
            <w:szCs w:val="18"/>
            <w:u w:val="none"/>
            <w:lang w:val="es-CR"/>
          </w:rPr>
          <w:t>Medidas para el reconocimiento de la personalidad jurídica, garantías a la propiedad colectiva, participación y acceso a la justicia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_Toc441666205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81</w:t>
        </w:r>
        <w:r w:rsidR="00F77E53" w:rsidRPr="00F77E53">
          <w:rPr>
            <w:rFonts w:ascii="Verdana" w:hAnsi="Verdana"/>
            <w:noProof/>
            <w:webHidden/>
            <w:sz w:val="18"/>
            <w:szCs w:val="18"/>
          </w:rPr>
          <w:fldChar w:fldCharType="end"/>
        </w:r>
      </w:hyperlink>
    </w:p>
    <w:p w14:paraId="4510D13D"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206" w:history="1">
        <w:r w:rsidR="00F77E53" w:rsidRPr="00F77E53">
          <w:rPr>
            <w:rStyle w:val="Hyperlink"/>
            <w:rFonts w:ascii="Verdana" w:hAnsi="Verdana"/>
            <w:noProof/>
            <w:color w:val="auto"/>
            <w:sz w:val="18"/>
            <w:szCs w:val="18"/>
            <w:u w:val="none"/>
            <w:lang w:val="es-ES"/>
          </w:rPr>
          <w:t>E.2 Medidas de capacitación</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_Toc441666206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83</w:t>
        </w:r>
        <w:r w:rsidR="00F77E53" w:rsidRPr="00F77E53">
          <w:rPr>
            <w:rFonts w:ascii="Verdana" w:hAnsi="Verdana"/>
            <w:noProof/>
            <w:webHidden/>
            <w:sz w:val="18"/>
            <w:szCs w:val="18"/>
          </w:rPr>
          <w:fldChar w:fldCharType="end"/>
        </w:r>
      </w:hyperlink>
    </w:p>
    <w:p w14:paraId="3137F8A3"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07" w:history="1">
        <w:r w:rsidR="00F77E53" w:rsidRPr="00F77E53">
          <w:rPr>
            <w:rStyle w:val="Hyperlink"/>
            <w:rFonts w:ascii="Verdana" w:hAnsi="Verdana"/>
            <w:noProof/>
            <w:color w:val="auto"/>
            <w:sz w:val="18"/>
            <w:szCs w:val="18"/>
            <w:u w:val="none"/>
          </w:rPr>
          <w:t>F.</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Satisfacción</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_Toc441666207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84</w:t>
        </w:r>
        <w:r w:rsidR="00F77E53" w:rsidRPr="00F77E53">
          <w:rPr>
            <w:rFonts w:ascii="Verdana" w:hAnsi="Verdana"/>
            <w:noProof/>
            <w:webHidden/>
            <w:sz w:val="18"/>
            <w:szCs w:val="18"/>
          </w:rPr>
          <w:fldChar w:fldCharType="end"/>
        </w:r>
      </w:hyperlink>
    </w:p>
    <w:p w14:paraId="4B4A5922"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208" w:history="1">
        <w:r w:rsidR="00F77E53" w:rsidRPr="00F77E53">
          <w:rPr>
            <w:rStyle w:val="Hyperlink"/>
            <w:rFonts w:ascii="Verdana" w:hAnsi="Verdana"/>
            <w:noProof/>
            <w:color w:val="auto"/>
            <w:sz w:val="18"/>
            <w:szCs w:val="18"/>
            <w:u w:val="none"/>
            <w:lang w:val="es-ES"/>
          </w:rPr>
          <w:t>F.1 Publicación y radiodifusión de la Sentencia</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_Toc441666208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84</w:t>
        </w:r>
        <w:r w:rsidR="00F77E53" w:rsidRPr="00F77E53">
          <w:rPr>
            <w:rFonts w:ascii="Verdana" w:hAnsi="Verdana"/>
            <w:noProof/>
            <w:webHidden/>
            <w:sz w:val="18"/>
            <w:szCs w:val="18"/>
          </w:rPr>
          <w:fldChar w:fldCharType="end"/>
        </w:r>
      </w:hyperlink>
    </w:p>
    <w:p w14:paraId="7E4A57F9" w14:textId="77777777" w:rsidR="00F77E53" w:rsidRPr="00F77E53" w:rsidRDefault="004062C2" w:rsidP="00F77E53">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66209" w:history="1">
        <w:r w:rsidR="00F77E53" w:rsidRPr="00F77E53">
          <w:rPr>
            <w:rStyle w:val="Hyperlink"/>
            <w:rFonts w:ascii="Verdana" w:hAnsi="Verdana"/>
            <w:noProof/>
            <w:color w:val="auto"/>
            <w:sz w:val="18"/>
            <w:szCs w:val="18"/>
            <w:u w:val="none"/>
            <w:lang w:val="es-ES"/>
          </w:rPr>
          <w:t>F.2 Otra medida solicitada: acto público de reconocimiento de responsabilidad del Estado</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_Toc441666209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84</w:t>
        </w:r>
        <w:r w:rsidR="00F77E53" w:rsidRPr="00F77E53">
          <w:rPr>
            <w:rFonts w:ascii="Verdana" w:hAnsi="Verdana"/>
            <w:noProof/>
            <w:webHidden/>
            <w:sz w:val="18"/>
            <w:szCs w:val="18"/>
          </w:rPr>
          <w:fldChar w:fldCharType="end"/>
        </w:r>
      </w:hyperlink>
    </w:p>
    <w:p w14:paraId="051DD782"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10" w:history="1">
        <w:r w:rsidR="00F77E53" w:rsidRPr="00F77E53">
          <w:rPr>
            <w:rStyle w:val="Hyperlink"/>
            <w:rFonts w:ascii="Verdana" w:hAnsi="Verdana"/>
            <w:noProof/>
            <w:color w:val="auto"/>
            <w:sz w:val="18"/>
            <w:szCs w:val="18"/>
            <w:u w:val="none"/>
          </w:rPr>
          <w:t>G.</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Costas y gastos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_Toc441666210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85</w:t>
        </w:r>
        <w:r w:rsidR="00F77E53" w:rsidRPr="00F77E53">
          <w:rPr>
            <w:rFonts w:ascii="Verdana" w:hAnsi="Verdana"/>
            <w:noProof/>
            <w:webHidden/>
            <w:sz w:val="18"/>
            <w:szCs w:val="18"/>
          </w:rPr>
          <w:fldChar w:fldCharType="end"/>
        </w:r>
      </w:hyperlink>
    </w:p>
    <w:p w14:paraId="64E146DA" w14:textId="77777777" w:rsidR="00F77E53" w:rsidRPr="00F77E53" w:rsidRDefault="004062C2" w:rsidP="00F77E53">
      <w:pPr>
        <w:pStyle w:val="TOC2"/>
        <w:tabs>
          <w:tab w:val="clear" w:pos="8828"/>
          <w:tab w:val="right" w:leader="dot" w:pos="9639"/>
        </w:tabs>
        <w:rPr>
          <w:rFonts w:ascii="Verdana" w:eastAsiaTheme="minorEastAsia" w:hAnsi="Verdana" w:cstheme="minorBidi"/>
          <w:noProof/>
          <w:sz w:val="18"/>
          <w:szCs w:val="18"/>
          <w:lang w:val="es-CR" w:eastAsia="es-CR"/>
        </w:rPr>
      </w:pPr>
      <w:hyperlink w:anchor="_Toc441666211" w:history="1">
        <w:r w:rsidR="00F77E53" w:rsidRPr="00F77E53">
          <w:rPr>
            <w:rStyle w:val="Hyperlink"/>
            <w:rFonts w:ascii="Verdana" w:hAnsi="Verdana"/>
            <w:noProof/>
            <w:color w:val="auto"/>
            <w:sz w:val="18"/>
            <w:szCs w:val="18"/>
            <w:u w:val="none"/>
          </w:rPr>
          <w:t>H.</w:t>
        </w:r>
        <w:r w:rsidR="00F77E53" w:rsidRPr="00F77E53">
          <w:rPr>
            <w:rFonts w:ascii="Verdana" w:eastAsiaTheme="minorEastAsia" w:hAnsi="Verdana" w:cstheme="minorBidi"/>
            <w:noProof/>
            <w:sz w:val="18"/>
            <w:szCs w:val="18"/>
            <w:lang w:val="es-CR" w:eastAsia="es-CR"/>
          </w:rPr>
          <w:tab/>
        </w:r>
        <w:r w:rsidR="00F77E53" w:rsidRPr="00F77E53">
          <w:rPr>
            <w:rStyle w:val="Hyperlink"/>
            <w:rFonts w:ascii="Verdana" w:hAnsi="Verdana"/>
            <w:noProof/>
            <w:color w:val="auto"/>
            <w:sz w:val="18"/>
            <w:szCs w:val="18"/>
            <w:u w:val="none"/>
          </w:rPr>
          <w:t>Modalidad de cumplimiento de los pagos ordenados</w:t>
        </w:r>
        <w:r w:rsidR="00F77E53" w:rsidRPr="00F77E53">
          <w:rPr>
            <w:rFonts w:ascii="Verdana" w:hAnsi="Verdana"/>
            <w:noProof/>
            <w:webHidden/>
            <w:sz w:val="18"/>
            <w:szCs w:val="18"/>
          </w:rPr>
          <w:tab/>
        </w:r>
        <w:r w:rsidR="00F77E53" w:rsidRPr="00F77E53">
          <w:rPr>
            <w:rFonts w:ascii="Verdana" w:hAnsi="Verdana"/>
            <w:noProof/>
            <w:webHidden/>
            <w:sz w:val="18"/>
            <w:szCs w:val="18"/>
          </w:rPr>
          <w:fldChar w:fldCharType="begin"/>
        </w:r>
        <w:r w:rsidR="00F77E53" w:rsidRPr="00F77E53">
          <w:rPr>
            <w:rFonts w:ascii="Verdana" w:hAnsi="Verdana"/>
            <w:noProof/>
            <w:webHidden/>
            <w:sz w:val="18"/>
            <w:szCs w:val="18"/>
          </w:rPr>
          <w:instrText xml:space="preserve"> PAGEREF _Toc441666211 \h </w:instrText>
        </w:r>
        <w:r w:rsidR="00F77E53" w:rsidRPr="00F77E53">
          <w:rPr>
            <w:rFonts w:ascii="Verdana" w:hAnsi="Verdana"/>
            <w:noProof/>
            <w:webHidden/>
            <w:sz w:val="18"/>
            <w:szCs w:val="18"/>
          </w:rPr>
        </w:r>
        <w:r w:rsidR="00F77E53" w:rsidRPr="00F77E53">
          <w:rPr>
            <w:rFonts w:ascii="Verdana" w:hAnsi="Verdana"/>
            <w:noProof/>
            <w:webHidden/>
            <w:sz w:val="18"/>
            <w:szCs w:val="18"/>
          </w:rPr>
          <w:fldChar w:fldCharType="separate"/>
        </w:r>
        <w:r w:rsidR="00BB4A13">
          <w:rPr>
            <w:rFonts w:ascii="Verdana" w:hAnsi="Verdana"/>
            <w:noProof/>
            <w:webHidden/>
            <w:sz w:val="18"/>
            <w:szCs w:val="18"/>
          </w:rPr>
          <w:t>87</w:t>
        </w:r>
        <w:r w:rsidR="00F77E53" w:rsidRPr="00F77E53">
          <w:rPr>
            <w:rFonts w:ascii="Verdana" w:hAnsi="Verdana"/>
            <w:noProof/>
            <w:webHidden/>
            <w:sz w:val="18"/>
            <w:szCs w:val="18"/>
          </w:rPr>
          <w:fldChar w:fldCharType="end"/>
        </w:r>
      </w:hyperlink>
    </w:p>
    <w:p w14:paraId="316814FA" w14:textId="77777777" w:rsidR="00F77E53" w:rsidRPr="00F77E53" w:rsidRDefault="004062C2" w:rsidP="00F77E53">
      <w:pPr>
        <w:pStyle w:val="TOC1"/>
        <w:rPr>
          <w:rFonts w:eastAsiaTheme="minorEastAsia" w:cstheme="minorBidi"/>
          <w:b w:val="0"/>
          <w:caps w:val="0"/>
          <w:snapToGrid/>
          <w:lang w:val="es-CR" w:eastAsia="es-CR"/>
        </w:rPr>
      </w:pPr>
      <w:hyperlink w:anchor="_Toc441666212" w:history="1">
        <w:r w:rsidR="00F77E53" w:rsidRPr="00F77E53">
          <w:rPr>
            <w:rStyle w:val="Hyperlink"/>
            <w:rFonts w:cs="Verdana"/>
            <w:color w:val="auto"/>
            <w:u w:val="none"/>
          </w:rPr>
          <w:t>VIII puntos resolutivos</w:t>
        </w:r>
        <w:r w:rsidR="00F77E53" w:rsidRPr="00F77E53">
          <w:rPr>
            <w:webHidden/>
          </w:rPr>
          <w:tab/>
        </w:r>
        <w:r w:rsidR="00F77E53" w:rsidRPr="00F77E53">
          <w:rPr>
            <w:webHidden/>
          </w:rPr>
          <w:fldChar w:fldCharType="begin"/>
        </w:r>
        <w:r w:rsidR="00F77E53" w:rsidRPr="00F77E53">
          <w:rPr>
            <w:webHidden/>
          </w:rPr>
          <w:instrText xml:space="preserve"> PAGEREF _Toc441666212 \h </w:instrText>
        </w:r>
        <w:r w:rsidR="00F77E53" w:rsidRPr="00F77E53">
          <w:rPr>
            <w:webHidden/>
          </w:rPr>
        </w:r>
        <w:r w:rsidR="00F77E53" w:rsidRPr="00F77E53">
          <w:rPr>
            <w:webHidden/>
          </w:rPr>
          <w:fldChar w:fldCharType="separate"/>
        </w:r>
        <w:r w:rsidR="00BB4A13">
          <w:rPr>
            <w:webHidden/>
          </w:rPr>
          <w:t>87</w:t>
        </w:r>
        <w:r w:rsidR="00F77E53" w:rsidRPr="00F77E53">
          <w:rPr>
            <w:webHidden/>
          </w:rPr>
          <w:fldChar w:fldCharType="end"/>
        </w:r>
      </w:hyperlink>
    </w:p>
    <w:p w14:paraId="0230646A" w14:textId="7DAAC60F" w:rsidR="00F77E53" w:rsidRPr="00F77E53" w:rsidRDefault="00F77E53" w:rsidP="00F77E53">
      <w:pPr>
        <w:pStyle w:val="TOC1"/>
        <w:rPr>
          <w:rFonts w:eastAsiaTheme="minorEastAsia" w:cstheme="minorBidi"/>
          <w:b w:val="0"/>
          <w:caps w:val="0"/>
          <w:snapToGrid/>
          <w:lang w:val="es-CR" w:eastAsia="es-CR"/>
        </w:rPr>
      </w:pPr>
      <w:r w:rsidRPr="00F77E53">
        <w:rPr>
          <w:rStyle w:val="Hyperlink"/>
          <w:color w:val="auto"/>
          <w:u w:val="none"/>
        </w:rPr>
        <w:t xml:space="preserve">IX </w:t>
      </w:r>
      <w:hyperlink w:anchor="_Toc441666214" w:history="1">
        <w:r w:rsidR="00247DB8">
          <w:rPr>
            <w:rStyle w:val="Hyperlink"/>
            <w:rFonts w:cs="Verdana"/>
            <w:color w:val="auto"/>
            <w:u w:val="none"/>
          </w:rPr>
          <w:t xml:space="preserve">ANEXOs </w:t>
        </w:r>
        <w:r w:rsidRPr="00F77E53">
          <w:rPr>
            <w:webHidden/>
          </w:rPr>
          <w:tab/>
        </w:r>
        <w:r w:rsidRPr="00F77E53">
          <w:rPr>
            <w:webHidden/>
          </w:rPr>
          <w:fldChar w:fldCharType="begin"/>
        </w:r>
        <w:r w:rsidRPr="00F77E53">
          <w:rPr>
            <w:webHidden/>
          </w:rPr>
          <w:instrText xml:space="preserve"> PAGEREF _Toc441666214 \h </w:instrText>
        </w:r>
        <w:r w:rsidRPr="00F77E53">
          <w:rPr>
            <w:webHidden/>
          </w:rPr>
        </w:r>
        <w:r w:rsidRPr="00F77E53">
          <w:rPr>
            <w:webHidden/>
          </w:rPr>
          <w:fldChar w:fldCharType="separate"/>
        </w:r>
        <w:r w:rsidR="00BB4A13">
          <w:rPr>
            <w:webHidden/>
          </w:rPr>
          <w:t>91</w:t>
        </w:r>
        <w:r w:rsidRPr="00F77E53">
          <w:rPr>
            <w:webHidden/>
          </w:rPr>
          <w:fldChar w:fldCharType="end"/>
        </w:r>
      </w:hyperlink>
    </w:p>
    <w:p w14:paraId="017040ED" w14:textId="77777777" w:rsidR="00E4033A" w:rsidRPr="00F77E53" w:rsidRDefault="00B45FDC" w:rsidP="00F77E53">
      <w:pPr>
        <w:tabs>
          <w:tab w:val="right" w:leader="dot" w:pos="9639"/>
          <w:tab w:val="right" w:leader="dot" w:pos="10065"/>
        </w:tabs>
        <w:jc w:val="both"/>
        <w:rPr>
          <w:rFonts w:ascii="Verdana" w:hAnsi="Verdana"/>
          <w:sz w:val="18"/>
          <w:szCs w:val="18"/>
        </w:rPr>
      </w:pPr>
      <w:r w:rsidRPr="00F77E53">
        <w:rPr>
          <w:rFonts w:ascii="Verdana" w:hAnsi="Verdana" w:cs="Verdana"/>
          <w:b/>
          <w:caps/>
          <w:noProof/>
          <w:snapToGrid w:val="0"/>
          <w:sz w:val="18"/>
          <w:szCs w:val="18"/>
        </w:rPr>
        <w:fldChar w:fldCharType="end"/>
      </w:r>
      <w:r w:rsidR="00E4033A" w:rsidRPr="00F77E53">
        <w:rPr>
          <w:rFonts w:ascii="Verdana" w:hAnsi="Verdana"/>
          <w:sz w:val="18"/>
          <w:szCs w:val="18"/>
        </w:rPr>
        <w:br w:type="page"/>
      </w:r>
    </w:p>
    <w:p w14:paraId="4A7764C4" w14:textId="77777777" w:rsidR="00E4033A" w:rsidRPr="00FD7DB4" w:rsidRDefault="00E4033A" w:rsidP="00E4033A">
      <w:pPr>
        <w:pStyle w:val="Heading1"/>
        <w:tabs>
          <w:tab w:val="left" w:pos="851"/>
        </w:tabs>
        <w:spacing w:before="0"/>
        <w:jc w:val="center"/>
        <w:rPr>
          <w:rFonts w:ascii="Verdana" w:hAnsi="Verdana" w:cs="Verdana"/>
          <w:caps/>
          <w:snapToGrid w:val="0"/>
          <w:color w:val="auto"/>
          <w:sz w:val="20"/>
          <w:szCs w:val="20"/>
        </w:rPr>
      </w:pPr>
      <w:bookmarkStart w:id="2" w:name="_Toc441666148"/>
      <w:r w:rsidRPr="00FD7DB4">
        <w:rPr>
          <w:rFonts w:ascii="Verdana" w:hAnsi="Verdana" w:cs="Verdana"/>
          <w:caps/>
          <w:snapToGrid w:val="0"/>
          <w:color w:val="auto"/>
          <w:sz w:val="20"/>
          <w:szCs w:val="20"/>
        </w:rPr>
        <w:lastRenderedPageBreak/>
        <w:t>I</w:t>
      </w:r>
      <w:r w:rsidRPr="00FD7DB4">
        <w:rPr>
          <w:rFonts w:ascii="Verdana" w:hAnsi="Verdana" w:cs="Verdana"/>
          <w:caps/>
          <w:snapToGrid w:val="0"/>
          <w:color w:val="auto"/>
          <w:sz w:val="20"/>
          <w:szCs w:val="20"/>
        </w:rPr>
        <w:br/>
      </w:r>
      <w:bookmarkEnd w:id="1"/>
      <w:r w:rsidRPr="00FD7DB4">
        <w:rPr>
          <w:rFonts w:ascii="Verdana" w:hAnsi="Verdana" w:cs="Verdana"/>
          <w:caps/>
          <w:snapToGrid w:val="0"/>
          <w:color w:val="auto"/>
          <w:sz w:val="20"/>
          <w:szCs w:val="20"/>
        </w:rPr>
        <w:t>INTRODUCCIÓN DE LA CAUSA Y OBJETO DE LA CONTROVERSIA</w:t>
      </w:r>
      <w:bookmarkEnd w:id="2"/>
    </w:p>
    <w:p w14:paraId="61619489" w14:textId="77777777" w:rsidR="00E4033A" w:rsidRPr="00FD7DB4" w:rsidRDefault="00E4033A" w:rsidP="00E4033A">
      <w:pPr>
        <w:jc w:val="both"/>
        <w:rPr>
          <w:rFonts w:ascii="Verdana" w:hAnsi="Verdana"/>
          <w:sz w:val="20"/>
          <w:szCs w:val="20"/>
        </w:rPr>
      </w:pPr>
    </w:p>
    <w:p w14:paraId="778C2F32" w14:textId="552977F5"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El caso sometido a la Corte</w:t>
      </w:r>
      <w:r w:rsidRPr="00FD7DB4">
        <w:rPr>
          <w:rFonts w:ascii="Verdana" w:hAnsi="Verdana"/>
          <w:sz w:val="20"/>
          <w:szCs w:val="20"/>
        </w:rPr>
        <w:t>. – El 28 de enero de 2014</w:t>
      </w:r>
      <w:r w:rsidR="006234A9" w:rsidRPr="00FD7DB4">
        <w:rPr>
          <w:rStyle w:val="FootnoteReference"/>
          <w:szCs w:val="20"/>
        </w:rPr>
        <w:footnoteReference w:id="2"/>
      </w:r>
      <w:r w:rsidRPr="00FD7DB4">
        <w:rPr>
          <w:rFonts w:ascii="Verdana" w:hAnsi="Verdana"/>
          <w:sz w:val="20"/>
          <w:szCs w:val="20"/>
        </w:rPr>
        <w:t xml:space="preserve">, la Comisión Interamericana de Derechos Humanos (en adelante “la Comisión” o “la Comisión Interamericana”) sometió el caso </w:t>
      </w:r>
      <w:r w:rsidR="00382F4D">
        <w:rPr>
          <w:rFonts w:ascii="Verdana" w:hAnsi="Verdana"/>
          <w:i/>
          <w:sz w:val="20"/>
          <w:szCs w:val="20"/>
        </w:rPr>
        <w:t>Pueblos Kaliña y Lokono</w:t>
      </w:r>
      <w:r w:rsidRPr="00FD7DB4">
        <w:rPr>
          <w:rFonts w:ascii="Verdana" w:hAnsi="Verdana"/>
          <w:sz w:val="20"/>
          <w:szCs w:val="20"/>
        </w:rPr>
        <w:t xml:space="preserve"> (en adelante “los </w:t>
      </w:r>
      <w:r w:rsidR="00382F4D">
        <w:rPr>
          <w:rFonts w:ascii="Verdana" w:hAnsi="Verdana"/>
          <w:sz w:val="20"/>
          <w:szCs w:val="20"/>
        </w:rPr>
        <w:t>Pueblos Kaliña y Lokono</w:t>
      </w:r>
      <w:r w:rsidRPr="00FD7DB4">
        <w:rPr>
          <w:rFonts w:ascii="Verdana" w:hAnsi="Verdana"/>
          <w:sz w:val="20"/>
          <w:szCs w:val="20"/>
        </w:rPr>
        <w:t>”)</w:t>
      </w:r>
      <w:r w:rsidRPr="00FD7DB4">
        <w:rPr>
          <w:rFonts w:ascii="Verdana" w:hAnsi="Verdana"/>
          <w:i/>
          <w:sz w:val="20"/>
          <w:szCs w:val="20"/>
        </w:rPr>
        <w:t xml:space="preserve"> </w:t>
      </w:r>
      <w:r w:rsidR="006234A9" w:rsidRPr="00FD7DB4">
        <w:rPr>
          <w:rFonts w:ascii="Verdana" w:hAnsi="Verdana"/>
          <w:sz w:val="20"/>
          <w:szCs w:val="20"/>
        </w:rPr>
        <w:t xml:space="preserve">contra la República de </w:t>
      </w:r>
      <w:r w:rsidR="00563E11">
        <w:rPr>
          <w:rFonts w:ascii="Verdana" w:hAnsi="Verdana"/>
          <w:sz w:val="20"/>
          <w:szCs w:val="20"/>
        </w:rPr>
        <w:t>Surinam</w:t>
      </w:r>
      <w:r w:rsidR="006234A9" w:rsidRPr="00FD7DB4">
        <w:rPr>
          <w:rFonts w:ascii="Verdana" w:hAnsi="Verdana"/>
          <w:sz w:val="20"/>
          <w:szCs w:val="20"/>
        </w:rPr>
        <w:t xml:space="preserve"> (en adelante “el Estado” o “</w:t>
      </w:r>
      <w:r w:rsidR="00563E11">
        <w:rPr>
          <w:rFonts w:ascii="Verdana" w:hAnsi="Verdana"/>
          <w:sz w:val="20"/>
          <w:szCs w:val="20"/>
        </w:rPr>
        <w:t>Surinam</w:t>
      </w:r>
      <w:r w:rsidR="006234A9" w:rsidRPr="00FD7DB4">
        <w:rPr>
          <w:rFonts w:ascii="Verdana" w:hAnsi="Verdana"/>
          <w:sz w:val="20"/>
          <w:szCs w:val="20"/>
        </w:rPr>
        <w:t>”)</w:t>
      </w:r>
      <w:r w:rsidR="006234A9">
        <w:rPr>
          <w:rFonts w:ascii="Verdana" w:hAnsi="Verdana"/>
          <w:sz w:val="20"/>
          <w:szCs w:val="20"/>
        </w:rPr>
        <w:t xml:space="preserve"> </w:t>
      </w:r>
      <w:r w:rsidRPr="00FD7DB4">
        <w:rPr>
          <w:rFonts w:ascii="Verdana" w:hAnsi="Verdana"/>
          <w:sz w:val="20"/>
          <w:szCs w:val="20"/>
        </w:rPr>
        <w:t xml:space="preserve">ante la jurisdicción de la Corte Interamericana de Derechos Humanos. De acuerdo con la Comisión, el presente caso se relaciona con la responsabilidad internacional del Estado por una serie de violaciones de los derechos de los miembros de ocho comunidades de los pueblos indígenas Kaliña y Lokono del </w:t>
      </w:r>
      <w:r w:rsidR="007B5E36">
        <w:rPr>
          <w:rFonts w:ascii="Verdana" w:hAnsi="Verdana"/>
          <w:sz w:val="20"/>
          <w:szCs w:val="20"/>
        </w:rPr>
        <w:t>R</w:t>
      </w:r>
      <w:r w:rsidR="008B0F0D">
        <w:rPr>
          <w:rFonts w:ascii="Verdana" w:hAnsi="Verdana"/>
          <w:sz w:val="20"/>
          <w:szCs w:val="20"/>
        </w:rPr>
        <w:t xml:space="preserve">ío </w:t>
      </w:r>
      <w:r w:rsidRPr="00FD7DB4">
        <w:rPr>
          <w:rFonts w:ascii="Verdana" w:hAnsi="Verdana"/>
          <w:sz w:val="20"/>
          <w:szCs w:val="20"/>
        </w:rPr>
        <w:t xml:space="preserve">Bajo Marowijne, en </w:t>
      </w:r>
      <w:r w:rsidR="00563E11">
        <w:rPr>
          <w:rFonts w:ascii="Verdana" w:hAnsi="Verdana"/>
          <w:sz w:val="20"/>
          <w:szCs w:val="20"/>
        </w:rPr>
        <w:t>Surinam</w:t>
      </w:r>
      <w:r w:rsidRPr="00FD7DB4">
        <w:rPr>
          <w:rFonts w:ascii="Verdana" w:hAnsi="Verdana"/>
          <w:sz w:val="20"/>
          <w:szCs w:val="20"/>
        </w:rPr>
        <w:t xml:space="preserve">. Específicamente, por la ausencia, hasta la fecha, de un marco normativo que reconozca la personalidad jurídica de los pueblos indígenas, por lo que esta no ha sido reconocida en favor de los </w:t>
      </w:r>
      <w:r w:rsidR="00382F4D">
        <w:rPr>
          <w:rFonts w:ascii="Verdana" w:hAnsi="Verdana"/>
          <w:sz w:val="20"/>
          <w:szCs w:val="20"/>
        </w:rPr>
        <w:t>Pueblos Kaliña y Lokono</w:t>
      </w:r>
      <w:r w:rsidRPr="00FD7DB4">
        <w:rPr>
          <w:rFonts w:ascii="Verdana" w:hAnsi="Verdana"/>
          <w:sz w:val="20"/>
          <w:szCs w:val="20"/>
        </w:rPr>
        <w:t xml:space="preserve"> hasta la actualidad. Asimismo, el Estado no ha establecido las bases normativas que permitan un reconocimiento del derecho a la propiedad colectiva de las tierras, territorios y recursos naturales de los pueblos indígenas Kaliña y Lokono. </w:t>
      </w:r>
      <w:r w:rsidRPr="00FD7DB4">
        <w:rPr>
          <w:rFonts w:ascii="Verdana" w:hAnsi="Verdana"/>
          <w:sz w:val="20"/>
          <w:szCs w:val="20"/>
          <w:lang w:val="es-ES"/>
        </w:rPr>
        <w:t xml:space="preserve">Esta falta de reconocimiento ha sido acompañada </w:t>
      </w:r>
      <w:r w:rsidR="00E77768">
        <w:rPr>
          <w:rFonts w:ascii="Verdana" w:hAnsi="Verdana"/>
          <w:sz w:val="20"/>
          <w:szCs w:val="20"/>
          <w:lang w:val="es-ES"/>
        </w:rPr>
        <w:t>por</w:t>
      </w:r>
      <w:r w:rsidRPr="00FD7DB4">
        <w:rPr>
          <w:rFonts w:ascii="Verdana" w:hAnsi="Verdana"/>
          <w:sz w:val="20"/>
          <w:szCs w:val="20"/>
          <w:lang w:val="es-ES"/>
        </w:rPr>
        <w:t xml:space="preserve"> la emisión de títulos de propiedad individuales a favor de personas no indígenas; el otorgamiento de concesiones y licencias para la realización de operaciones mineras, y el establecimiento y continuidad de tres reservas naturales en parte de sus territorios ancestrales. Las violaciones del derecho a la propiedad colectiva derivadas de esta situación continúan hasta la fecha. Además, ni el otorgamiento de concesiones y licencias mineras ni el establecimiento y permanencia hasta el día de hoy de reservas naturales</w:t>
      </w:r>
      <w:r w:rsidR="005A68AE">
        <w:rPr>
          <w:rFonts w:ascii="Verdana" w:hAnsi="Verdana"/>
          <w:sz w:val="20"/>
          <w:szCs w:val="20"/>
          <w:lang w:val="es-ES"/>
        </w:rPr>
        <w:t>,</w:t>
      </w:r>
      <w:r w:rsidRPr="00FD7DB4">
        <w:rPr>
          <w:rFonts w:ascii="Verdana" w:hAnsi="Verdana"/>
          <w:sz w:val="20"/>
          <w:szCs w:val="20"/>
          <w:lang w:val="es-ES"/>
        </w:rPr>
        <w:t xml:space="preserve"> han sido sometidos a procedimiento alguno de consulta dirigido a obtener el consentimiento previo, libre e informado de los </w:t>
      </w:r>
      <w:r w:rsidR="00382F4D">
        <w:rPr>
          <w:rFonts w:ascii="Verdana" w:hAnsi="Verdana"/>
          <w:sz w:val="20"/>
          <w:szCs w:val="20"/>
          <w:lang w:val="es-ES"/>
        </w:rPr>
        <w:t>Pueblos Kaliña y Lokono</w:t>
      </w:r>
      <w:r w:rsidRPr="00FD7DB4">
        <w:rPr>
          <w:rFonts w:ascii="Verdana" w:hAnsi="Verdana"/>
          <w:sz w:val="20"/>
          <w:szCs w:val="20"/>
          <w:lang w:val="es-ES"/>
        </w:rPr>
        <w:t xml:space="preserve">. Todos estos hechos han tenido lugar en un contexto de falta de protección judicial y en un marco de desprotección normativa, debido a que en </w:t>
      </w:r>
      <w:r w:rsidR="00563E11">
        <w:rPr>
          <w:rFonts w:ascii="Verdana" w:hAnsi="Verdana"/>
          <w:sz w:val="20"/>
          <w:szCs w:val="20"/>
          <w:lang w:val="es-ES"/>
        </w:rPr>
        <w:t>Surinam</w:t>
      </w:r>
      <w:r w:rsidRPr="00FD7DB4">
        <w:rPr>
          <w:rFonts w:ascii="Verdana" w:hAnsi="Verdana"/>
          <w:sz w:val="20"/>
          <w:szCs w:val="20"/>
          <w:lang w:val="es-ES"/>
        </w:rPr>
        <w:t xml:space="preserve"> no existen recursos efectivos para que los pueblos indígenas puedan exigir sus derechos</w:t>
      </w:r>
      <w:r w:rsidR="003C56CB" w:rsidRPr="004B0145">
        <w:rPr>
          <w:rFonts w:ascii="Verdana" w:hAnsi="Verdana" w:cs="Arial"/>
          <w:sz w:val="20"/>
          <w:szCs w:val="20"/>
          <w:lang w:val="es-ES"/>
        </w:rPr>
        <w:t>.</w:t>
      </w:r>
    </w:p>
    <w:p w14:paraId="57FB92CA" w14:textId="77777777" w:rsidR="00E4033A" w:rsidRPr="00FD7DB4" w:rsidRDefault="00E4033A" w:rsidP="00E4033A">
      <w:pPr>
        <w:pStyle w:val="ListParagraph"/>
        <w:ind w:left="0"/>
        <w:jc w:val="both"/>
        <w:rPr>
          <w:rFonts w:ascii="Verdana" w:hAnsi="Verdana"/>
          <w:sz w:val="20"/>
          <w:szCs w:val="20"/>
        </w:rPr>
      </w:pPr>
    </w:p>
    <w:p w14:paraId="693B325C" w14:textId="77777777"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Trámite ante la Comisión</w:t>
      </w:r>
      <w:r w:rsidRPr="00FD7DB4">
        <w:rPr>
          <w:rFonts w:ascii="Verdana" w:hAnsi="Verdana"/>
          <w:sz w:val="20"/>
          <w:szCs w:val="20"/>
        </w:rPr>
        <w:t xml:space="preserve">. – El trámite ante la Comisión fue el siguiente: </w:t>
      </w:r>
    </w:p>
    <w:p w14:paraId="1F07F19A" w14:textId="77777777" w:rsidR="00E4033A" w:rsidRPr="00FD7DB4" w:rsidRDefault="00E4033A" w:rsidP="00E4033A">
      <w:pPr>
        <w:pStyle w:val="ListParagraph"/>
        <w:rPr>
          <w:rFonts w:ascii="Verdana" w:hAnsi="Verdana"/>
          <w:i/>
          <w:sz w:val="20"/>
          <w:szCs w:val="20"/>
        </w:rPr>
      </w:pPr>
    </w:p>
    <w:p w14:paraId="0ECC764B" w14:textId="7778678F" w:rsidR="00E4033A" w:rsidRPr="00F77E53" w:rsidRDefault="00E4033A" w:rsidP="00FE7792">
      <w:pPr>
        <w:ind w:left="708"/>
        <w:jc w:val="both"/>
        <w:rPr>
          <w:rFonts w:ascii="Verdana" w:hAnsi="Verdana"/>
          <w:sz w:val="20"/>
          <w:szCs w:val="20"/>
        </w:rPr>
      </w:pPr>
      <w:r w:rsidRPr="00FD7DB4">
        <w:rPr>
          <w:rFonts w:ascii="Verdana" w:hAnsi="Verdana"/>
          <w:i/>
          <w:sz w:val="20"/>
          <w:szCs w:val="20"/>
        </w:rPr>
        <w:t>a) Petición</w:t>
      </w:r>
      <w:r w:rsidRPr="00FD7DB4">
        <w:rPr>
          <w:rFonts w:ascii="Verdana" w:hAnsi="Verdana"/>
          <w:sz w:val="20"/>
          <w:szCs w:val="20"/>
        </w:rPr>
        <w:t>. – El 16 de febrero de 2007 la Comisión recibió una petición presentada por</w:t>
      </w:r>
      <w:r w:rsidR="00727D10">
        <w:rPr>
          <w:rFonts w:ascii="Verdana" w:hAnsi="Verdana"/>
          <w:sz w:val="20"/>
          <w:szCs w:val="20"/>
        </w:rPr>
        <w:t xml:space="preserve"> ocho líderes tradicionales en nombre </w:t>
      </w:r>
      <w:r w:rsidR="00727D10" w:rsidRPr="00727D10">
        <w:rPr>
          <w:rFonts w:ascii="Verdana" w:hAnsi="Verdana"/>
          <w:sz w:val="20"/>
          <w:szCs w:val="20"/>
        </w:rPr>
        <w:t>de</w:t>
      </w:r>
      <w:r w:rsidRPr="00727D10">
        <w:rPr>
          <w:rFonts w:ascii="Verdana" w:hAnsi="Verdana"/>
          <w:sz w:val="20"/>
          <w:szCs w:val="20"/>
        </w:rPr>
        <w:t xml:space="preserve"> </w:t>
      </w:r>
      <w:r w:rsidRPr="007B6330">
        <w:rPr>
          <w:rFonts w:ascii="Verdana" w:hAnsi="Verdana"/>
          <w:sz w:val="20"/>
          <w:szCs w:val="20"/>
        </w:rPr>
        <w:t xml:space="preserve">los </w:t>
      </w:r>
      <w:r w:rsidR="00382F4D">
        <w:rPr>
          <w:rFonts w:ascii="Verdana" w:hAnsi="Verdana"/>
          <w:sz w:val="20"/>
          <w:szCs w:val="20"/>
        </w:rPr>
        <w:t>Pueblos Kaliña y Lokono</w:t>
      </w:r>
      <w:r w:rsidRPr="007B6330">
        <w:rPr>
          <w:rFonts w:ascii="Verdana" w:hAnsi="Verdana"/>
          <w:sz w:val="20"/>
          <w:szCs w:val="20"/>
        </w:rPr>
        <w:t xml:space="preserve"> del Bajo Marowijne</w:t>
      </w:r>
      <w:r w:rsidR="00E77768">
        <w:rPr>
          <w:rFonts w:ascii="Verdana" w:hAnsi="Verdana"/>
          <w:sz w:val="20"/>
          <w:szCs w:val="20"/>
        </w:rPr>
        <w:t>;</w:t>
      </w:r>
      <w:r w:rsidR="00727D10">
        <w:rPr>
          <w:rFonts w:ascii="Verdana" w:hAnsi="Verdana"/>
          <w:sz w:val="20"/>
          <w:szCs w:val="20"/>
        </w:rPr>
        <w:t xml:space="preserve"> por la </w:t>
      </w:r>
      <w:r w:rsidR="00727D10" w:rsidRPr="00B95AA2">
        <w:rPr>
          <w:rFonts w:ascii="Verdana" w:hAnsi="Verdana"/>
          <w:sz w:val="20"/>
          <w:szCs w:val="20"/>
        </w:rPr>
        <w:t xml:space="preserve">Asociación de Líderes </w:t>
      </w:r>
      <w:r w:rsidR="00A10C80">
        <w:rPr>
          <w:rFonts w:ascii="Verdana" w:hAnsi="Verdana"/>
          <w:sz w:val="20"/>
          <w:szCs w:val="20"/>
        </w:rPr>
        <w:t xml:space="preserve">de Pueblos </w:t>
      </w:r>
      <w:r w:rsidR="00727D10" w:rsidRPr="00B95AA2">
        <w:rPr>
          <w:rFonts w:ascii="Verdana" w:hAnsi="Verdana"/>
          <w:sz w:val="20"/>
          <w:szCs w:val="20"/>
        </w:rPr>
        <w:t>Indígenas</w:t>
      </w:r>
      <w:r w:rsidR="00727D10">
        <w:rPr>
          <w:rFonts w:ascii="Verdana" w:hAnsi="Verdana"/>
          <w:sz w:val="20"/>
          <w:szCs w:val="20"/>
        </w:rPr>
        <w:t xml:space="preserve"> </w:t>
      </w:r>
      <w:r w:rsidR="00A10C80">
        <w:rPr>
          <w:rFonts w:ascii="Verdana" w:hAnsi="Verdana"/>
          <w:sz w:val="20"/>
          <w:szCs w:val="20"/>
        </w:rPr>
        <w:t>en</w:t>
      </w:r>
      <w:r w:rsidR="00727D10">
        <w:rPr>
          <w:rFonts w:ascii="Verdana" w:hAnsi="Verdana"/>
          <w:sz w:val="20"/>
          <w:szCs w:val="20"/>
        </w:rPr>
        <w:t xml:space="preserve"> </w:t>
      </w:r>
      <w:r w:rsidR="00563E11">
        <w:rPr>
          <w:rFonts w:ascii="Verdana" w:hAnsi="Verdana"/>
          <w:sz w:val="20"/>
          <w:szCs w:val="20"/>
        </w:rPr>
        <w:t>Surinam</w:t>
      </w:r>
      <w:r w:rsidR="00727D10">
        <w:rPr>
          <w:rFonts w:ascii="Verdana" w:hAnsi="Verdana"/>
          <w:sz w:val="20"/>
          <w:szCs w:val="20"/>
        </w:rPr>
        <w:t xml:space="preserve"> </w:t>
      </w:r>
      <w:r w:rsidR="00E77768">
        <w:rPr>
          <w:rFonts w:ascii="Verdana" w:hAnsi="Verdana"/>
          <w:sz w:val="20"/>
          <w:szCs w:val="20"/>
        </w:rPr>
        <w:t>(</w:t>
      </w:r>
      <w:r w:rsidR="00584404" w:rsidRPr="009E77BD">
        <w:rPr>
          <w:rFonts w:ascii="Verdana" w:hAnsi="Verdana"/>
          <w:i/>
          <w:sz w:val="20"/>
          <w:szCs w:val="20"/>
        </w:rPr>
        <w:t>Vere</w:t>
      </w:r>
      <w:r w:rsidR="00E77768">
        <w:rPr>
          <w:rFonts w:ascii="Verdana" w:hAnsi="Verdana"/>
          <w:i/>
          <w:sz w:val="20"/>
          <w:szCs w:val="20"/>
        </w:rPr>
        <w:t>rn</w:t>
      </w:r>
      <w:r w:rsidR="00584404" w:rsidRPr="009E77BD">
        <w:rPr>
          <w:rFonts w:ascii="Verdana" w:hAnsi="Verdana"/>
          <w:i/>
          <w:sz w:val="20"/>
          <w:szCs w:val="20"/>
        </w:rPr>
        <w:t>iging van Inheese Dorpshoofden in Suriname</w:t>
      </w:r>
      <w:r w:rsidR="00E77768">
        <w:rPr>
          <w:rFonts w:ascii="Verdana" w:hAnsi="Verdana"/>
          <w:sz w:val="20"/>
          <w:szCs w:val="20"/>
        </w:rPr>
        <w:t xml:space="preserve">, </w:t>
      </w:r>
      <w:r w:rsidR="00584404">
        <w:rPr>
          <w:rFonts w:ascii="Verdana" w:hAnsi="Verdana"/>
          <w:sz w:val="20"/>
          <w:szCs w:val="20"/>
        </w:rPr>
        <w:t>en adelante, “VIDS”</w:t>
      </w:r>
      <w:r w:rsidR="00FE7792">
        <w:rPr>
          <w:rFonts w:ascii="Verdana" w:hAnsi="Verdana"/>
          <w:sz w:val="20"/>
          <w:szCs w:val="20"/>
        </w:rPr>
        <w:t>, en holandés, y Association of Indigenous Village Leaders in Suriname, en inglés</w:t>
      </w:r>
      <w:r w:rsidR="00727D10">
        <w:rPr>
          <w:rFonts w:ascii="Verdana" w:hAnsi="Verdana"/>
          <w:sz w:val="20"/>
          <w:szCs w:val="20"/>
        </w:rPr>
        <w:t xml:space="preserve">), y por </w:t>
      </w:r>
      <w:r w:rsidR="00727D10" w:rsidRPr="00727D10">
        <w:rPr>
          <w:rFonts w:ascii="Verdana" w:hAnsi="Verdana"/>
          <w:sz w:val="20"/>
          <w:szCs w:val="20"/>
        </w:rPr>
        <w:t>la Comisión de Derechos de Tierras del Bajo Marowijne</w:t>
      </w:r>
      <w:r w:rsidR="00584404">
        <w:rPr>
          <w:rFonts w:ascii="Verdana" w:hAnsi="Verdana"/>
          <w:sz w:val="20"/>
          <w:szCs w:val="20"/>
        </w:rPr>
        <w:t xml:space="preserve"> (</w:t>
      </w:r>
      <w:r w:rsidR="00584404" w:rsidRPr="009E77BD">
        <w:rPr>
          <w:rFonts w:ascii="Verdana" w:hAnsi="Verdana"/>
          <w:i/>
          <w:sz w:val="20"/>
          <w:szCs w:val="20"/>
        </w:rPr>
        <w:t>Commissie Landrechten Inheemsen Beneden-Marowijne</w:t>
      </w:r>
      <w:r w:rsidR="00584404">
        <w:rPr>
          <w:rFonts w:ascii="Verdana" w:hAnsi="Verdana"/>
          <w:sz w:val="20"/>
          <w:szCs w:val="20"/>
        </w:rPr>
        <w:t>, en adelante, “CLIM”</w:t>
      </w:r>
      <w:r w:rsidR="00FE7792">
        <w:rPr>
          <w:rFonts w:ascii="Verdana" w:hAnsi="Verdana"/>
          <w:sz w:val="20"/>
          <w:szCs w:val="20"/>
        </w:rPr>
        <w:t>, en holandés, y Lower Marowijne Indigenous Lands Rights Commission, en inglés</w:t>
      </w:r>
      <w:r w:rsidR="00584404">
        <w:rPr>
          <w:rFonts w:ascii="Verdana" w:hAnsi="Verdana"/>
          <w:sz w:val="20"/>
          <w:szCs w:val="20"/>
        </w:rPr>
        <w:t>)</w:t>
      </w:r>
      <w:r w:rsidR="00FE7792">
        <w:rPr>
          <w:rStyle w:val="FootnoteReference"/>
          <w:szCs w:val="20"/>
        </w:rPr>
        <w:footnoteReference w:id="3"/>
      </w:r>
      <w:r w:rsidR="00727D10">
        <w:rPr>
          <w:rFonts w:ascii="Verdana" w:hAnsi="Verdana"/>
          <w:sz w:val="20"/>
          <w:szCs w:val="20"/>
        </w:rPr>
        <w:t>,</w:t>
      </w:r>
      <w:r w:rsidRPr="00FD7DB4">
        <w:rPr>
          <w:rFonts w:ascii="Verdana" w:hAnsi="Verdana"/>
          <w:sz w:val="20"/>
          <w:szCs w:val="20"/>
        </w:rPr>
        <w:t xml:space="preserve"> contra </w:t>
      </w:r>
      <w:r w:rsidR="00563E11">
        <w:rPr>
          <w:rFonts w:ascii="Verdana" w:hAnsi="Verdana"/>
          <w:sz w:val="20"/>
          <w:szCs w:val="20"/>
        </w:rPr>
        <w:t>Surinam</w:t>
      </w:r>
      <w:r w:rsidRPr="00FD7DB4">
        <w:rPr>
          <w:rFonts w:ascii="Verdana" w:hAnsi="Verdana"/>
          <w:sz w:val="20"/>
          <w:szCs w:val="20"/>
        </w:rPr>
        <w:t xml:space="preserve"> por la violación de los artículos 3, 21 y 25 de la Convención Americana, en relación con los artículos 1 y 2 del mismo instrumento, en perjuicio de los pueblos indígenas Kaliña y Lokono</w:t>
      </w:r>
      <w:r w:rsidR="008C385E" w:rsidRPr="00F77E53">
        <w:rPr>
          <w:rStyle w:val="FootnoteReference"/>
          <w:szCs w:val="20"/>
        </w:rPr>
        <w:footnoteReference w:id="4"/>
      </w:r>
      <w:r w:rsidR="003C56CB" w:rsidRPr="00F77E53">
        <w:rPr>
          <w:rFonts w:ascii="Verdana" w:hAnsi="Verdana"/>
          <w:sz w:val="20"/>
          <w:szCs w:val="20"/>
        </w:rPr>
        <w:t>.</w:t>
      </w:r>
    </w:p>
    <w:p w14:paraId="54E2CA73" w14:textId="77777777" w:rsidR="00AE38A9" w:rsidRPr="00FD7DB4" w:rsidRDefault="00AE38A9" w:rsidP="00FE7792">
      <w:pPr>
        <w:ind w:left="708"/>
        <w:jc w:val="both"/>
        <w:rPr>
          <w:rFonts w:ascii="Verdana" w:hAnsi="Verdana"/>
          <w:sz w:val="20"/>
          <w:szCs w:val="20"/>
        </w:rPr>
      </w:pPr>
    </w:p>
    <w:p w14:paraId="1B7D8841" w14:textId="1EC70FF8" w:rsidR="00E4033A" w:rsidRPr="00FD7DB4" w:rsidRDefault="00E4033A" w:rsidP="00E4033A">
      <w:pPr>
        <w:ind w:left="708"/>
        <w:jc w:val="both"/>
        <w:rPr>
          <w:rFonts w:ascii="Verdana" w:hAnsi="Verdana"/>
          <w:sz w:val="20"/>
          <w:szCs w:val="20"/>
        </w:rPr>
      </w:pPr>
      <w:r w:rsidRPr="00FD7DB4">
        <w:rPr>
          <w:rFonts w:ascii="Verdana" w:hAnsi="Verdana"/>
          <w:i/>
          <w:sz w:val="20"/>
          <w:szCs w:val="20"/>
        </w:rPr>
        <w:t>b) Informe de Admisibilidad.</w:t>
      </w:r>
      <w:r w:rsidRPr="00FD7DB4">
        <w:rPr>
          <w:rFonts w:ascii="Verdana" w:hAnsi="Verdana"/>
          <w:sz w:val="20"/>
          <w:szCs w:val="20"/>
        </w:rPr>
        <w:t xml:space="preserve"> – El 15 de octubre de 2007 la Comisión emitió el Informe de Admisibilidad No. 76/07</w:t>
      </w:r>
      <w:r w:rsidR="005A68AE">
        <w:rPr>
          <w:rFonts w:ascii="Verdana" w:hAnsi="Verdana"/>
          <w:sz w:val="20"/>
          <w:szCs w:val="20"/>
        </w:rPr>
        <w:t xml:space="preserve"> (en adelante “Informe de Admisibilidad” o “Informe 76/07</w:t>
      </w:r>
      <w:r w:rsidR="005A68AE" w:rsidRPr="00FD7DB4">
        <w:rPr>
          <w:rFonts w:ascii="Verdana" w:hAnsi="Verdana"/>
          <w:sz w:val="20"/>
          <w:szCs w:val="20"/>
        </w:rPr>
        <w:t>”)</w:t>
      </w:r>
      <w:r w:rsidRPr="00FD7DB4">
        <w:rPr>
          <w:rFonts w:ascii="Verdana" w:hAnsi="Verdana"/>
          <w:sz w:val="20"/>
          <w:szCs w:val="20"/>
        </w:rPr>
        <w:t xml:space="preserve">, </w:t>
      </w:r>
      <w:r w:rsidRPr="00FD7DB4">
        <w:rPr>
          <w:rFonts w:ascii="Verdana" w:hAnsi="Verdana"/>
          <w:sz w:val="20"/>
          <w:szCs w:val="20"/>
        </w:rPr>
        <w:lastRenderedPageBreak/>
        <w:t>en el que concluyó que tenía competencia para conocer la petición y decidió admitirla sobre la presunta violación de los artículos 3, 21 y 25 de la Convención, en relación con los artículos 1 y 2 del mismo instrumento</w:t>
      </w:r>
      <w:r w:rsidR="003C56CB">
        <w:rPr>
          <w:rFonts w:ascii="Verdana" w:hAnsi="Verdana"/>
          <w:sz w:val="20"/>
          <w:szCs w:val="20"/>
        </w:rPr>
        <w:t>.</w:t>
      </w:r>
    </w:p>
    <w:p w14:paraId="39E0DD5C" w14:textId="77777777" w:rsidR="00E4033A" w:rsidRPr="00FD7DB4" w:rsidRDefault="00E4033A" w:rsidP="00E4033A">
      <w:pPr>
        <w:jc w:val="both"/>
        <w:rPr>
          <w:rFonts w:ascii="Verdana" w:hAnsi="Verdana"/>
          <w:sz w:val="20"/>
          <w:szCs w:val="20"/>
        </w:rPr>
      </w:pPr>
    </w:p>
    <w:p w14:paraId="0298F1A9" w14:textId="3811F8AE" w:rsidR="00E4033A" w:rsidRPr="00FD7DB4" w:rsidRDefault="00E4033A" w:rsidP="00E4033A">
      <w:pPr>
        <w:ind w:left="708"/>
        <w:jc w:val="both"/>
        <w:rPr>
          <w:rFonts w:ascii="Verdana" w:hAnsi="Verdana"/>
          <w:b/>
          <w:sz w:val="20"/>
          <w:szCs w:val="20"/>
        </w:rPr>
      </w:pPr>
      <w:r w:rsidRPr="00FD7DB4">
        <w:rPr>
          <w:rFonts w:ascii="Verdana" w:hAnsi="Verdana"/>
          <w:i/>
          <w:sz w:val="20"/>
          <w:szCs w:val="20"/>
        </w:rPr>
        <w:t>c) Informe de Fondo.</w:t>
      </w:r>
      <w:r w:rsidRPr="00FD7DB4">
        <w:rPr>
          <w:rFonts w:ascii="Verdana" w:hAnsi="Verdana"/>
          <w:sz w:val="20"/>
          <w:szCs w:val="20"/>
        </w:rPr>
        <w:t xml:space="preserve"> – El 18 de julio de 2013 la Comisión aprobó el Informe de Fondo No. 79/13, en los términos del artículo 50 de la Convención Americana (en adelante “Informe de Fondo” o “Informe 79/13”), en el cual llegó a una serie de conclusiones</w:t>
      </w:r>
      <w:r w:rsidRPr="00FD7DB4">
        <w:rPr>
          <w:rStyle w:val="FootnoteReference"/>
          <w:szCs w:val="20"/>
        </w:rPr>
        <w:footnoteReference w:id="5"/>
      </w:r>
      <w:r w:rsidRPr="00FD7DB4">
        <w:rPr>
          <w:rFonts w:ascii="Verdana" w:hAnsi="Verdana"/>
          <w:sz w:val="20"/>
          <w:szCs w:val="20"/>
        </w:rPr>
        <w:t xml:space="preserve"> y formuló varias recomendaciones al Estado, a saber</w:t>
      </w:r>
      <w:r w:rsidR="003C56CB" w:rsidRPr="003C56CB">
        <w:rPr>
          <w:rFonts w:ascii="Verdana" w:hAnsi="Verdana"/>
          <w:sz w:val="20"/>
          <w:szCs w:val="20"/>
        </w:rPr>
        <w:t>:</w:t>
      </w:r>
    </w:p>
    <w:p w14:paraId="407B8EB3" w14:textId="77777777" w:rsidR="00856C1B" w:rsidRDefault="00856C1B" w:rsidP="00E4033A">
      <w:pPr>
        <w:ind w:left="708"/>
        <w:jc w:val="both"/>
        <w:rPr>
          <w:rFonts w:ascii="Verdana" w:hAnsi="Verdana"/>
          <w:sz w:val="20"/>
          <w:szCs w:val="20"/>
        </w:rPr>
      </w:pPr>
    </w:p>
    <w:p w14:paraId="5F1E4C9C" w14:textId="247E07F9" w:rsidR="00E4033A" w:rsidRPr="00FD7DB4" w:rsidRDefault="00E4033A" w:rsidP="00E4033A">
      <w:pPr>
        <w:ind w:left="708"/>
        <w:jc w:val="both"/>
        <w:rPr>
          <w:rFonts w:ascii="Verdana" w:hAnsi="Verdana"/>
          <w:sz w:val="20"/>
          <w:szCs w:val="20"/>
        </w:rPr>
      </w:pPr>
      <w:r w:rsidRPr="00FD7DB4">
        <w:rPr>
          <w:rFonts w:ascii="Verdana" w:hAnsi="Verdana"/>
          <w:sz w:val="20"/>
          <w:szCs w:val="20"/>
        </w:rPr>
        <w:t>Conclusiones:</w:t>
      </w:r>
    </w:p>
    <w:p w14:paraId="286DD683" w14:textId="77777777" w:rsidR="00E4033A" w:rsidRPr="00FD7DB4" w:rsidRDefault="00E4033A" w:rsidP="00E4033A">
      <w:pPr>
        <w:jc w:val="both"/>
        <w:rPr>
          <w:rFonts w:ascii="Verdana" w:hAnsi="Verdana"/>
          <w:sz w:val="20"/>
          <w:szCs w:val="20"/>
        </w:rPr>
      </w:pPr>
    </w:p>
    <w:p w14:paraId="18CB3144" w14:textId="77777777" w:rsidR="00E4033A" w:rsidRPr="00FD7DB4" w:rsidRDefault="00E4033A" w:rsidP="00E4033A">
      <w:pPr>
        <w:ind w:left="1416"/>
        <w:jc w:val="both"/>
        <w:rPr>
          <w:rFonts w:ascii="Verdana" w:hAnsi="Verdana"/>
          <w:sz w:val="18"/>
          <w:szCs w:val="20"/>
        </w:rPr>
      </w:pPr>
      <w:r w:rsidRPr="00FD7DB4">
        <w:rPr>
          <w:rFonts w:ascii="Verdana" w:hAnsi="Verdana"/>
          <w:sz w:val="20"/>
          <w:szCs w:val="20"/>
        </w:rPr>
        <w:t xml:space="preserve">i) </w:t>
      </w:r>
      <w:r w:rsidRPr="00FD7DB4">
        <w:rPr>
          <w:rFonts w:ascii="Verdana" w:hAnsi="Verdana"/>
          <w:sz w:val="18"/>
          <w:szCs w:val="20"/>
        </w:rPr>
        <w:t>el Estado violó el derecho</w:t>
      </w:r>
      <w:r w:rsidRPr="00FD7DB4">
        <w:rPr>
          <w:rFonts w:ascii="Verdana" w:hAnsi="Verdana" w:cs="Tahoma"/>
          <w:bCs/>
          <w:color w:val="000000"/>
          <w:sz w:val="18"/>
          <w:szCs w:val="20"/>
        </w:rPr>
        <w:t xml:space="preserve"> al reconocimiento de la personalidad jurídica</w:t>
      </w:r>
      <w:r w:rsidRPr="00FD7DB4">
        <w:rPr>
          <w:rFonts w:ascii="Verdana" w:hAnsi="Verdana" w:cs="Tahoma"/>
          <w:b/>
          <w:bCs/>
          <w:color w:val="000000"/>
          <w:sz w:val="18"/>
          <w:szCs w:val="20"/>
        </w:rPr>
        <w:t xml:space="preserve"> </w:t>
      </w:r>
      <w:r w:rsidRPr="00FD7DB4">
        <w:rPr>
          <w:rFonts w:ascii="Verdana" w:hAnsi="Verdana"/>
          <w:sz w:val="18"/>
          <w:szCs w:val="20"/>
        </w:rPr>
        <w:t xml:space="preserve">consagrado en el artículo 3 de la Convención, en relación con los artículos 1.1 y 2 de la misma, en perjuicio de los </w:t>
      </w:r>
      <w:r w:rsidR="00382F4D">
        <w:rPr>
          <w:rFonts w:ascii="Verdana" w:hAnsi="Verdana"/>
          <w:sz w:val="18"/>
          <w:szCs w:val="20"/>
        </w:rPr>
        <w:t>Pueblos Kaliña y Lokono</w:t>
      </w:r>
      <w:r w:rsidRPr="00FD7DB4">
        <w:rPr>
          <w:rFonts w:ascii="Verdana" w:hAnsi="Verdana"/>
          <w:sz w:val="18"/>
          <w:szCs w:val="20"/>
        </w:rPr>
        <w:t>;</w:t>
      </w:r>
    </w:p>
    <w:p w14:paraId="462DB0BB" w14:textId="77777777" w:rsidR="00E4033A" w:rsidRPr="00FD7DB4" w:rsidRDefault="00E4033A" w:rsidP="00E4033A">
      <w:pPr>
        <w:ind w:left="1416"/>
        <w:jc w:val="both"/>
        <w:rPr>
          <w:rFonts w:ascii="Verdana" w:hAnsi="Verdana"/>
          <w:sz w:val="18"/>
          <w:szCs w:val="20"/>
        </w:rPr>
      </w:pPr>
    </w:p>
    <w:p w14:paraId="61E1C428" w14:textId="77777777" w:rsidR="00E4033A" w:rsidRPr="00FD7DB4" w:rsidRDefault="00E4033A" w:rsidP="00E4033A">
      <w:pPr>
        <w:ind w:left="1416"/>
        <w:jc w:val="both"/>
        <w:rPr>
          <w:rFonts w:ascii="Verdana" w:hAnsi="Verdana"/>
          <w:sz w:val="18"/>
          <w:szCs w:val="20"/>
        </w:rPr>
      </w:pPr>
      <w:r w:rsidRPr="00FD7DB4">
        <w:rPr>
          <w:rFonts w:ascii="Verdana" w:hAnsi="Verdana"/>
          <w:sz w:val="18"/>
          <w:szCs w:val="20"/>
        </w:rPr>
        <w:t xml:space="preserve">ii) el Estado violó el derecho a la propiedad, consagrado en el artículo 21 de la Convención, en relación con los artículos 1.1 y 2 de la misma, en perjuicio de los </w:t>
      </w:r>
      <w:r w:rsidR="00382F4D">
        <w:rPr>
          <w:rFonts w:ascii="Verdana" w:hAnsi="Verdana"/>
          <w:sz w:val="18"/>
          <w:szCs w:val="20"/>
        </w:rPr>
        <w:t>Pueblos Kaliña y Lokono</w:t>
      </w:r>
      <w:r w:rsidRPr="00FD7DB4">
        <w:rPr>
          <w:rFonts w:ascii="Verdana" w:hAnsi="Verdana"/>
          <w:sz w:val="18"/>
          <w:szCs w:val="20"/>
        </w:rPr>
        <w:t xml:space="preserve"> al no adoptar medidas efectivas para reconocer su derecho a la propiedad colectiva de las tierras, territorios y recursos naturales que tradicional y ancestralmente han ocupado y utilizado;</w:t>
      </w:r>
    </w:p>
    <w:p w14:paraId="2D2F24A6" w14:textId="77777777" w:rsidR="00E4033A" w:rsidRPr="00FD7DB4" w:rsidRDefault="00E4033A" w:rsidP="00E4033A">
      <w:pPr>
        <w:ind w:left="1416"/>
        <w:jc w:val="both"/>
        <w:rPr>
          <w:rFonts w:ascii="Verdana" w:hAnsi="Verdana"/>
          <w:sz w:val="18"/>
          <w:szCs w:val="20"/>
        </w:rPr>
      </w:pPr>
    </w:p>
    <w:p w14:paraId="049DC049" w14:textId="77777777" w:rsidR="00E4033A" w:rsidRPr="00FD7DB4" w:rsidRDefault="00E4033A" w:rsidP="00E4033A">
      <w:pPr>
        <w:ind w:left="1416"/>
        <w:jc w:val="both"/>
        <w:rPr>
          <w:rFonts w:ascii="Verdana" w:hAnsi="Verdana"/>
          <w:sz w:val="18"/>
          <w:szCs w:val="20"/>
        </w:rPr>
      </w:pPr>
      <w:r w:rsidRPr="00FD7DB4">
        <w:rPr>
          <w:rFonts w:ascii="Verdana" w:hAnsi="Verdana"/>
          <w:sz w:val="18"/>
          <w:szCs w:val="20"/>
        </w:rPr>
        <w:t xml:space="preserve">iii) el Estado violó el derecho a la propiedad consagrado en el artículo 21 de la Convención, en relación con los artículos 1.1 y 2 de la misma, en perjuicio de los </w:t>
      </w:r>
      <w:r w:rsidR="00382F4D">
        <w:rPr>
          <w:rFonts w:ascii="Verdana" w:hAnsi="Verdana"/>
          <w:sz w:val="18"/>
          <w:szCs w:val="20"/>
        </w:rPr>
        <w:t>Pueblos Kaliña y Lokono</w:t>
      </w:r>
      <w:r w:rsidRPr="00FD7DB4">
        <w:rPr>
          <w:rFonts w:ascii="Verdana" w:hAnsi="Verdana"/>
          <w:sz w:val="18"/>
          <w:szCs w:val="20"/>
        </w:rPr>
        <w:t xml:space="preserve">, al (i) otorgar títulos de propiedad a personas no indígenas dentro del territorio de los </w:t>
      </w:r>
      <w:r w:rsidR="00382F4D">
        <w:rPr>
          <w:rFonts w:ascii="Verdana" w:hAnsi="Verdana"/>
          <w:sz w:val="18"/>
          <w:szCs w:val="20"/>
        </w:rPr>
        <w:t>Pueblos Kaliña y Lokono</w:t>
      </w:r>
      <w:r w:rsidRPr="00FD7DB4">
        <w:rPr>
          <w:rFonts w:ascii="Verdana" w:hAnsi="Verdana"/>
          <w:sz w:val="18"/>
          <w:szCs w:val="20"/>
        </w:rPr>
        <w:t>; (ii) establecer y mantener las Reservas Naturales Wia Wia, Galibi y Wane Kreek, y (iii) otorgar una concesión minera y autorizar actividades mineras dentro de su territorio tradicional</w:t>
      </w:r>
      <w:r w:rsidR="00856C1B">
        <w:rPr>
          <w:rFonts w:ascii="Verdana" w:hAnsi="Verdana"/>
          <w:sz w:val="18"/>
          <w:szCs w:val="20"/>
        </w:rPr>
        <w:t>, t</w:t>
      </w:r>
      <w:r w:rsidRPr="00FD7DB4">
        <w:rPr>
          <w:rFonts w:ascii="Verdana" w:hAnsi="Verdana"/>
          <w:sz w:val="18"/>
          <w:szCs w:val="20"/>
        </w:rPr>
        <w:t>odo esto sin realizar un proceso de consulta dirigido a obtener su consentimiento libre, previo e informado de conformidad con los estándares interamericanos, y</w:t>
      </w:r>
    </w:p>
    <w:p w14:paraId="32E66B0A" w14:textId="77777777" w:rsidR="00E4033A" w:rsidRPr="00FD7DB4" w:rsidRDefault="00E4033A" w:rsidP="00E4033A">
      <w:pPr>
        <w:jc w:val="both"/>
        <w:rPr>
          <w:rFonts w:ascii="Verdana" w:hAnsi="Verdana"/>
          <w:sz w:val="18"/>
          <w:szCs w:val="20"/>
        </w:rPr>
      </w:pPr>
    </w:p>
    <w:p w14:paraId="4CA53327" w14:textId="77777777" w:rsidR="00E4033A" w:rsidRPr="00FD7DB4" w:rsidRDefault="00E4033A" w:rsidP="00E4033A">
      <w:pPr>
        <w:ind w:left="1416"/>
        <w:jc w:val="both"/>
        <w:rPr>
          <w:rFonts w:ascii="Verdana" w:hAnsi="Verdana"/>
          <w:sz w:val="18"/>
          <w:szCs w:val="20"/>
        </w:rPr>
      </w:pPr>
      <w:r w:rsidRPr="00FD7DB4">
        <w:rPr>
          <w:rFonts w:ascii="Verdana" w:hAnsi="Verdana"/>
          <w:sz w:val="18"/>
          <w:szCs w:val="20"/>
        </w:rPr>
        <w:t xml:space="preserve">iv) el Estado violó el derecho a la protección judicial consagrado en el artículo 25 de la Convención, en relación con los artículos 1.1 y 2 de la misma, en perjuicio de los </w:t>
      </w:r>
      <w:r w:rsidR="00382F4D">
        <w:rPr>
          <w:rFonts w:ascii="Verdana" w:hAnsi="Verdana"/>
          <w:sz w:val="18"/>
          <w:szCs w:val="20"/>
        </w:rPr>
        <w:t>Pueblos Kaliña y Lokono</w:t>
      </w:r>
      <w:r w:rsidRPr="00FD7DB4">
        <w:rPr>
          <w:rFonts w:ascii="Verdana" w:hAnsi="Verdana"/>
          <w:b/>
          <w:sz w:val="18"/>
          <w:szCs w:val="20"/>
        </w:rPr>
        <w:t xml:space="preserve"> </w:t>
      </w:r>
      <w:r w:rsidRPr="00FD7DB4">
        <w:rPr>
          <w:rFonts w:ascii="Verdana" w:hAnsi="Verdana"/>
          <w:sz w:val="18"/>
          <w:szCs w:val="20"/>
        </w:rPr>
        <w:t>al no proporcionarles un acceso efectivo a la justicia para la protección de sus derechos fundamentales</w:t>
      </w:r>
      <w:r w:rsidR="00856C1B">
        <w:rPr>
          <w:rFonts w:ascii="Verdana" w:hAnsi="Verdana"/>
          <w:sz w:val="18"/>
          <w:szCs w:val="20"/>
        </w:rPr>
        <w:t>.</w:t>
      </w:r>
      <w:r w:rsidRPr="00FD7DB4">
        <w:rPr>
          <w:rFonts w:ascii="Verdana" w:hAnsi="Verdana"/>
          <w:b/>
          <w:sz w:val="18"/>
          <w:szCs w:val="20"/>
        </w:rPr>
        <w:t xml:space="preserve"> </w:t>
      </w:r>
    </w:p>
    <w:p w14:paraId="78A834CF" w14:textId="77777777" w:rsidR="00E4033A" w:rsidRPr="00FD7DB4" w:rsidRDefault="00E4033A" w:rsidP="00E4033A">
      <w:pPr>
        <w:jc w:val="both"/>
        <w:rPr>
          <w:rFonts w:ascii="Verdana" w:hAnsi="Verdana"/>
          <w:sz w:val="20"/>
          <w:szCs w:val="20"/>
        </w:rPr>
      </w:pPr>
      <w:r w:rsidRPr="00FD7DB4">
        <w:rPr>
          <w:rFonts w:ascii="Verdana" w:hAnsi="Verdana"/>
          <w:sz w:val="20"/>
          <w:szCs w:val="20"/>
        </w:rPr>
        <w:tab/>
      </w:r>
    </w:p>
    <w:p w14:paraId="67FEDAA3" w14:textId="1204B05B" w:rsidR="00E4033A" w:rsidRPr="00FD7DB4" w:rsidRDefault="00E4033A" w:rsidP="00E4033A">
      <w:pPr>
        <w:jc w:val="both"/>
        <w:rPr>
          <w:rFonts w:ascii="Verdana" w:hAnsi="Verdana"/>
          <w:sz w:val="20"/>
          <w:szCs w:val="20"/>
        </w:rPr>
      </w:pPr>
      <w:r w:rsidRPr="00FD7DB4">
        <w:rPr>
          <w:rFonts w:ascii="Verdana" w:hAnsi="Verdana"/>
          <w:sz w:val="20"/>
          <w:szCs w:val="20"/>
        </w:rPr>
        <w:tab/>
        <w:t>Recomendaciones:</w:t>
      </w:r>
    </w:p>
    <w:p w14:paraId="37169F91" w14:textId="77777777" w:rsidR="00E4033A" w:rsidRPr="00FD7DB4" w:rsidRDefault="00E4033A" w:rsidP="00E4033A">
      <w:pPr>
        <w:jc w:val="both"/>
        <w:rPr>
          <w:rFonts w:ascii="Verdana" w:hAnsi="Verdana"/>
          <w:sz w:val="20"/>
          <w:szCs w:val="20"/>
        </w:rPr>
      </w:pPr>
    </w:p>
    <w:p w14:paraId="79F45D48" w14:textId="77777777" w:rsidR="00E4033A" w:rsidRPr="00FD7DB4" w:rsidRDefault="00E4033A" w:rsidP="00E4033A">
      <w:pPr>
        <w:pStyle w:val="ListParagraph"/>
        <w:numPr>
          <w:ilvl w:val="0"/>
          <w:numId w:val="3"/>
        </w:numPr>
        <w:jc w:val="both"/>
        <w:rPr>
          <w:rFonts w:ascii="Verdana" w:hAnsi="Verdana"/>
          <w:sz w:val="18"/>
          <w:szCs w:val="20"/>
        </w:rPr>
      </w:pPr>
      <w:r w:rsidRPr="00FD7DB4">
        <w:rPr>
          <w:rFonts w:ascii="Verdana" w:hAnsi="Verdana"/>
          <w:sz w:val="18"/>
          <w:szCs w:val="20"/>
        </w:rPr>
        <w:t xml:space="preserve">adoptar las medidas legislativas y reglamentarias necesarias para el reconocimiento de los </w:t>
      </w:r>
      <w:r w:rsidR="00382F4D">
        <w:rPr>
          <w:rFonts w:ascii="Verdana" w:hAnsi="Verdana"/>
          <w:sz w:val="18"/>
          <w:szCs w:val="20"/>
        </w:rPr>
        <w:t>Pueblos Kaliña y Lokono</w:t>
      </w:r>
      <w:r w:rsidRPr="00FD7DB4">
        <w:rPr>
          <w:rFonts w:ascii="Verdana" w:hAnsi="Verdana"/>
          <w:sz w:val="18"/>
          <w:szCs w:val="20"/>
        </w:rPr>
        <w:t xml:space="preserve"> como personas jurídicas en el derecho de </w:t>
      </w:r>
      <w:r w:rsidR="00563E11">
        <w:rPr>
          <w:rFonts w:ascii="Verdana" w:hAnsi="Verdana"/>
          <w:sz w:val="18"/>
          <w:szCs w:val="20"/>
        </w:rPr>
        <w:t>Surinam</w:t>
      </w:r>
      <w:r w:rsidRPr="00FD7DB4">
        <w:rPr>
          <w:rFonts w:ascii="Verdana" w:hAnsi="Verdana"/>
          <w:sz w:val="18"/>
          <w:szCs w:val="20"/>
        </w:rPr>
        <w:t>;</w:t>
      </w:r>
    </w:p>
    <w:p w14:paraId="2EAB8AAB" w14:textId="77777777" w:rsidR="00E4033A" w:rsidRPr="00FD7DB4" w:rsidRDefault="00E4033A" w:rsidP="00E4033A">
      <w:pPr>
        <w:pStyle w:val="ListParagraph"/>
        <w:ind w:left="1776"/>
        <w:jc w:val="both"/>
        <w:rPr>
          <w:rFonts w:ascii="Verdana" w:hAnsi="Verdana"/>
          <w:sz w:val="18"/>
          <w:szCs w:val="20"/>
        </w:rPr>
      </w:pPr>
    </w:p>
    <w:p w14:paraId="05F3912D" w14:textId="77777777" w:rsidR="00E4033A" w:rsidRPr="00FD7DB4" w:rsidRDefault="00E4033A" w:rsidP="00E4033A">
      <w:pPr>
        <w:pStyle w:val="ListParagraph"/>
        <w:numPr>
          <w:ilvl w:val="0"/>
          <w:numId w:val="3"/>
        </w:numPr>
        <w:jc w:val="both"/>
        <w:rPr>
          <w:rFonts w:ascii="Verdana" w:hAnsi="Verdana"/>
          <w:sz w:val="18"/>
          <w:szCs w:val="20"/>
        </w:rPr>
      </w:pPr>
      <w:r w:rsidRPr="00FD7DB4">
        <w:rPr>
          <w:rFonts w:ascii="Verdana" w:hAnsi="Verdana"/>
          <w:sz w:val="18"/>
          <w:szCs w:val="20"/>
        </w:rPr>
        <w:t xml:space="preserve">eliminar </w:t>
      </w:r>
      <w:r w:rsidRPr="00FD7DB4">
        <w:rPr>
          <w:rFonts w:ascii="Verdana" w:hAnsi="Verdana"/>
          <w:sz w:val="18"/>
          <w:szCs w:val="20"/>
          <w:lang w:val="es-ES"/>
        </w:rPr>
        <w:t xml:space="preserve">las normas que impiden la protección del derecho a la propiedad de los </w:t>
      </w:r>
      <w:r w:rsidR="00382F4D">
        <w:rPr>
          <w:rFonts w:ascii="Verdana" w:hAnsi="Verdana"/>
          <w:sz w:val="18"/>
          <w:szCs w:val="20"/>
          <w:lang w:val="es-ES"/>
        </w:rPr>
        <w:t>Pueblos Kaliña y Lokono</w:t>
      </w:r>
      <w:r w:rsidRPr="00FD7DB4">
        <w:rPr>
          <w:rFonts w:ascii="Verdana" w:hAnsi="Verdana"/>
          <w:sz w:val="18"/>
          <w:szCs w:val="20"/>
          <w:lang w:val="es-ES"/>
        </w:rPr>
        <w:t xml:space="preserve"> y adoptar en su legislación interna, a través de consultas efectivas y plenamente informadas a los </w:t>
      </w:r>
      <w:r w:rsidR="00382F4D">
        <w:rPr>
          <w:rFonts w:ascii="Verdana" w:hAnsi="Verdana"/>
          <w:sz w:val="18"/>
          <w:szCs w:val="20"/>
          <w:lang w:val="es-ES"/>
        </w:rPr>
        <w:t>Pueblos Kaliña y Lokono</w:t>
      </w:r>
      <w:r w:rsidRPr="00FD7DB4">
        <w:rPr>
          <w:rFonts w:ascii="Verdana" w:hAnsi="Verdana"/>
          <w:sz w:val="18"/>
          <w:szCs w:val="20"/>
          <w:lang w:val="es-ES"/>
        </w:rPr>
        <w:t xml:space="preserve"> y sus miembros, medidas legislativas, administrativas y otras que sean necesarias para proteger, a través de mecanismos especiales, el territorio en el que [dichos Pueblos] ejercen su derecho a la propiedad comunal, según sus prácticas consuetudinarias de uso de la tierra, sin perjuicio de otras comunidades indígenas y tribales;</w:t>
      </w:r>
    </w:p>
    <w:p w14:paraId="6C1510A9" w14:textId="77777777" w:rsidR="00E4033A" w:rsidRPr="00FD7DB4" w:rsidRDefault="00E4033A" w:rsidP="00E4033A">
      <w:pPr>
        <w:pStyle w:val="ListParagraph"/>
        <w:ind w:left="1776"/>
        <w:jc w:val="both"/>
        <w:rPr>
          <w:rFonts w:ascii="Verdana" w:hAnsi="Verdana"/>
          <w:sz w:val="18"/>
          <w:szCs w:val="20"/>
        </w:rPr>
      </w:pPr>
    </w:p>
    <w:p w14:paraId="7F2D0EC3" w14:textId="77777777" w:rsidR="00E4033A" w:rsidRPr="00FD7DB4" w:rsidRDefault="00E4033A" w:rsidP="00E4033A">
      <w:pPr>
        <w:pStyle w:val="ListParagraph"/>
        <w:numPr>
          <w:ilvl w:val="0"/>
          <w:numId w:val="3"/>
        </w:numPr>
        <w:jc w:val="both"/>
        <w:rPr>
          <w:rFonts w:ascii="Verdana" w:hAnsi="Verdana"/>
          <w:sz w:val="18"/>
          <w:szCs w:val="20"/>
        </w:rPr>
      </w:pPr>
      <w:r w:rsidRPr="00FD7DB4">
        <w:rPr>
          <w:rFonts w:ascii="Verdana" w:hAnsi="Verdana"/>
          <w:sz w:val="18"/>
          <w:szCs w:val="20"/>
        </w:rPr>
        <w:lastRenderedPageBreak/>
        <w:t xml:space="preserve">abstenerse </w:t>
      </w:r>
      <w:r w:rsidRPr="00FD7DB4">
        <w:rPr>
          <w:rFonts w:ascii="Verdana" w:hAnsi="Verdana"/>
          <w:sz w:val="18"/>
          <w:szCs w:val="20"/>
          <w:lang w:val="es-ES"/>
        </w:rPr>
        <w:t xml:space="preserve">de realizar actos que puedan generar que terceras personas realicen actividades, con aquiescencia o tolerancia del Estado, que </w:t>
      </w:r>
      <w:r w:rsidR="00281D2A">
        <w:rPr>
          <w:rFonts w:ascii="Verdana" w:hAnsi="Verdana"/>
          <w:sz w:val="18"/>
          <w:szCs w:val="20"/>
          <w:lang w:val="es-ES"/>
        </w:rPr>
        <w:t xml:space="preserve">puedan </w:t>
      </w:r>
      <w:r w:rsidRPr="00FD7DB4">
        <w:rPr>
          <w:rFonts w:ascii="Verdana" w:hAnsi="Verdana"/>
          <w:sz w:val="18"/>
          <w:szCs w:val="20"/>
          <w:lang w:val="es-ES"/>
        </w:rPr>
        <w:t>afect</w:t>
      </w:r>
      <w:r w:rsidR="00281D2A">
        <w:rPr>
          <w:rFonts w:ascii="Verdana" w:hAnsi="Verdana"/>
          <w:sz w:val="18"/>
          <w:szCs w:val="20"/>
          <w:lang w:val="es-ES"/>
        </w:rPr>
        <w:t>ar</w:t>
      </w:r>
      <w:r w:rsidRPr="00FD7DB4">
        <w:rPr>
          <w:rFonts w:ascii="Verdana" w:hAnsi="Verdana"/>
          <w:sz w:val="18"/>
          <w:szCs w:val="20"/>
          <w:lang w:val="es-ES"/>
        </w:rPr>
        <w:t xml:space="preserve"> </w:t>
      </w:r>
      <w:r w:rsidR="00281D2A">
        <w:rPr>
          <w:rFonts w:ascii="Verdana" w:hAnsi="Verdana"/>
          <w:sz w:val="18"/>
          <w:szCs w:val="20"/>
          <w:lang w:val="es-ES"/>
        </w:rPr>
        <w:t>e</w:t>
      </w:r>
      <w:r w:rsidRPr="00FD7DB4">
        <w:rPr>
          <w:rFonts w:ascii="Verdana" w:hAnsi="Verdana"/>
          <w:sz w:val="18"/>
          <w:szCs w:val="20"/>
          <w:lang w:val="es-ES"/>
        </w:rPr>
        <w:t xml:space="preserve">l derecho a la propiedad o a la integridad del territorio de los </w:t>
      </w:r>
      <w:r w:rsidR="00382F4D">
        <w:rPr>
          <w:rFonts w:ascii="Verdana" w:hAnsi="Verdana"/>
          <w:sz w:val="18"/>
          <w:szCs w:val="20"/>
          <w:lang w:val="es-ES"/>
        </w:rPr>
        <w:t>Pueblos Kaliña y Lokono</w:t>
      </w:r>
      <w:r w:rsidRPr="00FD7DB4">
        <w:rPr>
          <w:rFonts w:ascii="Verdana" w:hAnsi="Verdana"/>
          <w:sz w:val="18"/>
          <w:szCs w:val="20"/>
          <w:lang w:val="es-ES"/>
        </w:rPr>
        <w:t>, según lo establecido en el Informe [de Fondo];</w:t>
      </w:r>
    </w:p>
    <w:p w14:paraId="7E9C5A47" w14:textId="77777777" w:rsidR="00E4033A" w:rsidRPr="00FD7DB4" w:rsidRDefault="00E4033A" w:rsidP="00E4033A">
      <w:pPr>
        <w:pStyle w:val="ListParagraph"/>
        <w:ind w:left="1776"/>
        <w:jc w:val="both"/>
        <w:rPr>
          <w:rFonts w:ascii="Verdana" w:hAnsi="Verdana"/>
          <w:sz w:val="18"/>
          <w:szCs w:val="20"/>
        </w:rPr>
      </w:pPr>
    </w:p>
    <w:p w14:paraId="4F405758" w14:textId="77777777" w:rsidR="00E4033A" w:rsidRPr="00FD7DB4" w:rsidRDefault="00E4033A" w:rsidP="00E4033A">
      <w:pPr>
        <w:pStyle w:val="ListParagraph"/>
        <w:numPr>
          <w:ilvl w:val="0"/>
          <w:numId w:val="3"/>
        </w:numPr>
        <w:jc w:val="both"/>
        <w:rPr>
          <w:rFonts w:ascii="Verdana" w:hAnsi="Verdana"/>
          <w:sz w:val="18"/>
          <w:szCs w:val="20"/>
          <w:lang w:val="es-ES"/>
        </w:rPr>
      </w:pPr>
      <w:r w:rsidRPr="00FD7DB4">
        <w:rPr>
          <w:rFonts w:ascii="Verdana" w:hAnsi="Verdana"/>
          <w:sz w:val="18"/>
          <w:szCs w:val="20"/>
          <w:lang w:val="es-ES"/>
        </w:rPr>
        <w:t xml:space="preserve">revisar, a través de consultas efectivas y plenamente informadas </w:t>
      </w:r>
      <w:r w:rsidR="00281D2A">
        <w:rPr>
          <w:rFonts w:ascii="Verdana" w:hAnsi="Verdana"/>
          <w:sz w:val="18"/>
          <w:szCs w:val="20"/>
          <w:lang w:val="es-ES"/>
        </w:rPr>
        <w:t>con</w:t>
      </w:r>
      <w:r w:rsidRPr="00FD7DB4">
        <w:rPr>
          <w:rFonts w:ascii="Verdana" w:hAnsi="Verdana"/>
          <w:sz w:val="18"/>
          <w:szCs w:val="20"/>
          <w:lang w:val="es-ES"/>
        </w:rPr>
        <w:t xml:space="preserve"> los </w:t>
      </w:r>
      <w:r w:rsidR="00382F4D">
        <w:rPr>
          <w:rFonts w:ascii="Verdana" w:hAnsi="Verdana"/>
          <w:sz w:val="18"/>
          <w:szCs w:val="20"/>
          <w:lang w:val="es-ES"/>
        </w:rPr>
        <w:t>Pueblos Kaliña y Lokono</w:t>
      </w:r>
      <w:r w:rsidRPr="00FD7DB4">
        <w:rPr>
          <w:rFonts w:ascii="Verdana" w:hAnsi="Verdana"/>
          <w:sz w:val="18"/>
          <w:szCs w:val="20"/>
          <w:lang w:val="es-ES"/>
        </w:rPr>
        <w:t xml:space="preserve"> y sus miembros</w:t>
      </w:r>
      <w:r w:rsidR="00281D2A">
        <w:rPr>
          <w:rFonts w:ascii="Verdana" w:hAnsi="Verdana"/>
          <w:sz w:val="18"/>
          <w:szCs w:val="20"/>
          <w:lang w:val="es-ES"/>
        </w:rPr>
        <w:t xml:space="preserve">, </w:t>
      </w:r>
      <w:r w:rsidRPr="00FD7DB4">
        <w:rPr>
          <w:rFonts w:ascii="Verdana" w:hAnsi="Verdana"/>
          <w:sz w:val="18"/>
          <w:szCs w:val="20"/>
          <w:lang w:val="es-ES"/>
        </w:rPr>
        <w:t>respetando su derecho consuetudinario, los títulos de propiedad, títulos de arrendamiento y títulos de arrendamiento a largo plazo</w:t>
      </w:r>
      <w:r w:rsidR="00E21E4A" w:rsidRPr="00FD7DB4">
        <w:rPr>
          <w:rFonts w:ascii="Verdana" w:hAnsi="Verdana"/>
          <w:sz w:val="18"/>
          <w:szCs w:val="20"/>
          <w:lang w:val="es-ES"/>
        </w:rPr>
        <w:t>,</w:t>
      </w:r>
      <w:r w:rsidRPr="00FD7DB4">
        <w:rPr>
          <w:rFonts w:ascii="Verdana" w:hAnsi="Verdana"/>
          <w:sz w:val="18"/>
          <w:szCs w:val="20"/>
          <w:lang w:val="es-ES"/>
        </w:rPr>
        <w:t xml:space="preserve"> emitidos en favor de personas no indígenas, los términos de las actividades mineras autorizadas dentro de la Reserva Natural Wane Kreek, y los términos del establecimiento y manejo de las Reservas Naturales Wia Wia, Galibi y Wane Kreek para determinar las </w:t>
      </w:r>
      <w:r w:rsidR="00E21E4A" w:rsidRPr="00FD7DB4">
        <w:rPr>
          <w:rFonts w:ascii="Verdana" w:hAnsi="Verdana"/>
          <w:sz w:val="18"/>
          <w:szCs w:val="20"/>
          <w:lang w:val="es-ES"/>
        </w:rPr>
        <w:t xml:space="preserve">[respectivas] </w:t>
      </w:r>
      <w:r w:rsidRPr="00FD7DB4">
        <w:rPr>
          <w:rFonts w:ascii="Verdana" w:hAnsi="Verdana"/>
          <w:sz w:val="18"/>
          <w:szCs w:val="20"/>
          <w:lang w:val="es-ES"/>
        </w:rPr>
        <w:t xml:space="preserve">modificaciones que han de ser realizadas sobre </w:t>
      </w:r>
      <w:r w:rsidR="00E21E4A" w:rsidRPr="00FD7DB4">
        <w:rPr>
          <w:rFonts w:ascii="Verdana" w:hAnsi="Verdana"/>
          <w:sz w:val="18"/>
          <w:szCs w:val="20"/>
          <w:lang w:val="es-ES"/>
        </w:rPr>
        <w:t>[aquellos] [con el fin de]</w:t>
      </w:r>
      <w:r w:rsidRPr="00FD7DB4">
        <w:rPr>
          <w:rFonts w:ascii="Verdana" w:hAnsi="Verdana"/>
          <w:sz w:val="18"/>
          <w:szCs w:val="20"/>
          <w:lang w:val="es-ES"/>
        </w:rPr>
        <w:t xml:space="preserve"> garantizar el respeto de los derechos de los </w:t>
      </w:r>
      <w:r w:rsidR="00382F4D">
        <w:rPr>
          <w:rFonts w:ascii="Verdana" w:hAnsi="Verdana"/>
          <w:sz w:val="18"/>
          <w:szCs w:val="20"/>
          <w:lang w:val="es-ES"/>
        </w:rPr>
        <w:t>Pueblos Kaliña y Lokono</w:t>
      </w:r>
      <w:r w:rsidRPr="00FD7DB4">
        <w:rPr>
          <w:rFonts w:ascii="Verdana" w:hAnsi="Verdana"/>
          <w:sz w:val="18"/>
          <w:szCs w:val="20"/>
          <w:lang w:val="es-ES"/>
        </w:rPr>
        <w:t xml:space="preserve"> a la propiedad de sus tierras, territorios y recursos naturales ancestrales de conformidad con sus costumbres y tradiciones; </w:t>
      </w:r>
    </w:p>
    <w:p w14:paraId="7263A70E" w14:textId="77777777" w:rsidR="00E4033A" w:rsidRPr="00FD7DB4" w:rsidRDefault="00E4033A" w:rsidP="00E4033A">
      <w:pPr>
        <w:pStyle w:val="ListParagraph"/>
        <w:ind w:left="1776"/>
        <w:jc w:val="both"/>
        <w:rPr>
          <w:rFonts w:ascii="Verdana" w:hAnsi="Verdana"/>
          <w:sz w:val="18"/>
          <w:szCs w:val="20"/>
          <w:lang w:val="es-ES"/>
        </w:rPr>
      </w:pPr>
    </w:p>
    <w:p w14:paraId="740CA6FD" w14:textId="77777777" w:rsidR="00E4033A" w:rsidRPr="00FD7DB4" w:rsidRDefault="00E4033A" w:rsidP="00E4033A">
      <w:pPr>
        <w:pStyle w:val="ListParagraph"/>
        <w:numPr>
          <w:ilvl w:val="0"/>
          <w:numId w:val="3"/>
        </w:numPr>
        <w:jc w:val="both"/>
        <w:rPr>
          <w:rFonts w:ascii="Verdana" w:hAnsi="Verdana"/>
          <w:sz w:val="18"/>
          <w:szCs w:val="20"/>
          <w:lang w:val="es-ES"/>
        </w:rPr>
      </w:pPr>
      <w:r w:rsidRPr="00FD7DB4">
        <w:rPr>
          <w:rFonts w:ascii="Verdana" w:hAnsi="Verdana"/>
          <w:sz w:val="18"/>
          <w:szCs w:val="20"/>
          <w:lang w:val="es-ES"/>
        </w:rPr>
        <w:t xml:space="preserve">adoptar todas las medidas necesarias, a través de consultas efectivas y plenamente informadas </w:t>
      </w:r>
      <w:r w:rsidR="00281D2A">
        <w:rPr>
          <w:rFonts w:ascii="Verdana" w:hAnsi="Verdana"/>
          <w:sz w:val="18"/>
          <w:szCs w:val="20"/>
          <w:lang w:val="es-ES"/>
        </w:rPr>
        <w:t>con</w:t>
      </w:r>
      <w:r w:rsidRPr="00FD7DB4">
        <w:rPr>
          <w:rFonts w:ascii="Verdana" w:hAnsi="Verdana"/>
          <w:sz w:val="18"/>
          <w:szCs w:val="20"/>
          <w:lang w:val="es-ES"/>
        </w:rPr>
        <w:t xml:space="preserve"> los </w:t>
      </w:r>
      <w:r w:rsidR="00382F4D">
        <w:rPr>
          <w:rFonts w:ascii="Verdana" w:hAnsi="Verdana"/>
          <w:sz w:val="18"/>
          <w:szCs w:val="20"/>
          <w:lang w:val="es-ES"/>
        </w:rPr>
        <w:t>Pueblos Kaliña y Lokono</w:t>
      </w:r>
      <w:r w:rsidRPr="00FD7DB4">
        <w:rPr>
          <w:rFonts w:ascii="Verdana" w:hAnsi="Verdana"/>
          <w:sz w:val="18"/>
          <w:szCs w:val="20"/>
          <w:lang w:val="es-ES"/>
        </w:rPr>
        <w:t xml:space="preserve"> y sus miembros</w:t>
      </w:r>
      <w:r w:rsidR="00281D2A">
        <w:rPr>
          <w:rFonts w:ascii="Verdana" w:hAnsi="Verdana"/>
          <w:sz w:val="18"/>
          <w:szCs w:val="20"/>
          <w:lang w:val="es-ES"/>
        </w:rPr>
        <w:t>,</w:t>
      </w:r>
      <w:r w:rsidRPr="00FD7DB4">
        <w:rPr>
          <w:rFonts w:ascii="Verdana" w:hAnsi="Verdana"/>
          <w:sz w:val="18"/>
          <w:szCs w:val="20"/>
          <w:lang w:val="es-ES"/>
        </w:rPr>
        <w:t xml:space="preserve"> respetando su derecho consuetudinario, para delimitar, demarcar y otorgar título colectivo de propiedad a los </w:t>
      </w:r>
      <w:r w:rsidR="00382F4D">
        <w:rPr>
          <w:rFonts w:ascii="Verdana" w:hAnsi="Verdana"/>
          <w:sz w:val="18"/>
          <w:szCs w:val="20"/>
          <w:lang w:val="es-ES"/>
        </w:rPr>
        <w:t>Pueblos Kaliña y Lokono</w:t>
      </w:r>
      <w:r w:rsidRPr="00FD7DB4">
        <w:rPr>
          <w:rFonts w:ascii="Verdana" w:hAnsi="Verdana"/>
          <w:sz w:val="18"/>
          <w:szCs w:val="20"/>
          <w:lang w:val="es-ES"/>
        </w:rPr>
        <w:t xml:space="preserve"> de las tierras y territorios que han ocupado y usado tradicionalmente;</w:t>
      </w:r>
    </w:p>
    <w:p w14:paraId="246F2F20" w14:textId="77777777" w:rsidR="00E4033A" w:rsidRPr="00FD7DB4" w:rsidRDefault="00E4033A" w:rsidP="00E4033A">
      <w:pPr>
        <w:pStyle w:val="ListParagraph"/>
        <w:ind w:left="1776"/>
        <w:jc w:val="both"/>
        <w:rPr>
          <w:rFonts w:ascii="Verdana" w:hAnsi="Verdana"/>
          <w:sz w:val="18"/>
          <w:szCs w:val="20"/>
          <w:lang w:val="es-ES"/>
        </w:rPr>
      </w:pPr>
    </w:p>
    <w:p w14:paraId="586F91CD" w14:textId="77777777" w:rsidR="00E4033A" w:rsidRPr="00FD7DB4" w:rsidRDefault="00E4033A" w:rsidP="00E4033A">
      <w:pPr>
        <w:pStyle w:val="ListParagraph"/>
        <w:numPr>
          <w:ilvl w:val="0"/>
          <w:numId w:val="3"/>
        </w:numPr>
        <w:jc w:val="both"/>
        <w:rPr>
          <w:rFonts w:ascii="Verdana" w:hAnsi="Verdana"/>
          <w:sz w:val="18"/>
          <w:szCs w:val="20"/>
          <w:lang w:val="es-ES"/>
        </w:rPr>
      </w:pPr>
      <w:r w:rsidRPr="00FD7DB4">
        <w:rPr>
          <w:rFonts w:ascii="Verdana" w:hAnsi="Verdana"/>
          <w:sz w:val="18"/>
          <w:szCs w:val="20"/>
          <w:lang w:val="es-ES"/>
        </w:rPr>
        <w:t xml:space="preserve">adoptar todas las medidas necesarias para aprobar, de conformidad con los procedimientos constitucionales de </w:t>
      </w:r>
      <w:r w:rsidR="00563E11">
        <w:rPr>
          <w:rFonts w:ascii="Verdana" w:hAnsi="Verdana"/>
          <w:sz w:val="18"/>
          <w:szCs w:val="20"/>
          <w:lang w:val="es-ES"/>
        </w:rPr>
        <w:t>Surinam</w:t>
      </w:r>
      <w:r w:rsidRPr="00FD7DB4">
        <w:rPr>
          <w:rFonts w:ascii="Verdana" w:hAnsi="Verdana"/>
          <w:sz w:val="18"/>
          <w:szCs w:val="20"/>
          <w:lang w:val="es-ES"/>
        </w:rPr>
        <w:t xml:space="preserve"> y con las normas de la Convención Americana, las medidas legislativas y otras que sean necesarias para establecer protecciones judiciales y hacer efectivos los derechos individuales y colectivos de los </w:t>
      </w:r>
      <w:r w:rsidR="00382F4D">
        <w:rPr>
          <w:rFonts w:ascii="Verdana" w:hAnsi="Verdana"/>
          <w:sz w:val="18"/>
          <w:szCs w:val="20"/>
          <w:lang w:val="es-ES"/>
        </w:rPr>
        <w:t>Pueblos Kaliña y Lokono</w:t>
      </w:r>
      <w:r w:rsidRPr="00FD7DB4">
        <w:rPr>
          <w:rFonts w:ascii="Verdana" w:hAnsi="Verdana"/>
          <w:sz w:val="18"/>
          <w:szCs w:val="20"/>
          <w:lang w:val="es-ES"/>
        </w:rPr>
        <w:t>, respecto del territorio que tradicionalmente han ocupado y utilizado, y</w:t>
      </w:r>
    </w:p>
    <w:p w14:paraId="4B3941A2" w14:textId="77777777" w:rsidR="00E4033A" w:rsidRPr="00FD7DB4" w:rsidRDefault="00E4033A" w:rsidP="00E4033A">
      <w:pPr>
        <w:pStyle w:val="ListParagraph"/>
        <w:ind w:left="1776"/>
        <w:jc w:val="both"/>
        <w:rPr>
          <w:rFonts w:ascii="Verdana" w:hAnsi="Verdana"/>
          <w:sz w:val="18"/>
          <w:szCs w:val="20"/>
          <w:lang w:val="es-ES"/>
        </w:rPr>
      </w:pPr>
    </w:p>
    <w:p w14:paraId="6E97CDB9" w14:textId="77777777" w:rsidR="00E4033A" w:rsidRPr="00FD7DB4" w:rsidRDefault="00E4033A" w:rsidP="00E4033A">
      <w:pPr>
        <w:pStyle w:val="ListParagraph"/>
        <w:numPr>
          <w:ilvl w:val="0"/>
          <w:numId w:val="3"/>
        </w:numPr>
        <w:jc w:val="both"/>
        <w:rPr>
          <w:rFonts w:ascii="Verdana" w:hAnsi="Verdana"/>
          <w:sz w:val="18"/>
          <w:szCs w:val="20"/>
        </w:rPr>
      </w:pPr>
      <w:r w:rsidRPr="00FD7DB4">
        <w:rPr>
          <w:rFonts w:ascii="Verdana" w:hAnsi="Verdana"/>
          <w:sz w:val="18"/>
          <w:szCs w:val="20"/>
          <w:lang w:val="es-ES"/>
        </w:rPr>
        <w:t>reparar individual y colectivamente las consecuencias de la violación de los derechos mencionados anteriormente.</w:t>
      </w:r>
      <w:r w:rsidR="00281D2A">
        <w:rPr>
          <w:rFonts w:ascii="Verdana" w:hAnsi="Verdana"/>
          <w:sz w:val="18"/>
          <w:szCs w:val="20"/>
          <w:lang w:val="es-ES"/>
        </w:rPr>
        <w:t xml:space="preserve"> </w:t>
      </w:r>
      <w:r w:rsidRPr="00FD7DB4">
        <w:rPr>
          <w:rFonts w:ascii="Verdana" w:hAnsi="Verdana"/>
          <w:sz w:val="18"/>
          <w:szCs w:val="20"/>
          <w:lang w:val="es-ES"/>
        </w:rPr>
        <w:t xml:space="preserve">En particular, considerar los daños y perjuicios ocasionados a los miembros de los </w:t>
      </w:r>
      <w:r w:rsidR="00382F4D">
        <w:rPr>
          <w:rFonts w:ascii="Verdana" w:hAnsi="Verdana"/>
          <w:sz w:val="18"/>
          <w:szCs w:val="20"/>
          <w:lang w:val="es-ES"/>
        </w:rPr>
        <w:t>Pueblos Kaliña y Lokono</w:t>
      </w:r>
      <w:r w:rsidRPr="00FD7DB4">
        <w:rPr>
          <w:rFonts w:ascii="Verdana" w:hAnsi="Verdana"/>
          <w:sz w:val="18"/>
          <w:szCs w:val="20"/>
          <w:lang w:val="es-ES"/>
        </w:rPr>
        <w:t xml:space="preserve"> como resultado de</w:t>
      </w:r>
      <w:r w:rsidR="00281D2A">
        <w:rPr>
          <w:rFonts w:ascii="Verdana" w:hAnsi="Verdana"/>
          <w:sz w:val="18"/>
          <w:szCs w:val="20"/>
          <w:lang w:val="es-ES"/>
        </w:rPr>
        <w:t xml:space="preserve"> la falta de</w:t>
      </w:r>
      <w:r w:rsidRPr="00FD7DB4">
        <w:rPr>
          <w:rFonts w:ascii="Verdana" w:hAnsi="Verdana"/>
          <w:sz w:val="18"/>
          <w:szCs w:val="20"/>
          <w:lang w:val="es-ES"/>
        </w:rPr>
        <w:t xml:space="preserve"> otorgamiento del título de propiedad </w:t>
      </w:r>
      <w:r w:rsidR="00281D2A">
        <w:rPr>
          <w:rFonts w:ascii="Verdana" w:hAnsi="Verdana"/>
          <w:sz w:val="18"/>
          <w:szCs w:val="20"/>
          <w:lang w:val="es-ES"/>
        </w:rPr>
        <w:t xml:space="preserve">sobre </w:t>
      </w:r>
      <w:r w:rsidRPr="00FD7DB4">
        <w:rPr>
          <w:rFonts w:ascii="Verdana" w:hAnsi="Verdana"/>
          <w:sz w:val="18"/>
          <w:szCs w:val="20"/>
          <w:lang w:val="es-ES"/>
        </w:rPr>
        <w:t>su territorio ancestral, así como los daños causados al territorio por las acciones de terceros.</w:t>
      </w:r>
    </w:p>
    <w:p w14:paraId="50BC254C" w14:textId="77777777" w:rsidR="00E4033A" w:rsidRPr="00FD7DB4" w:rsidRDefault="00E4033A" w:rsidP="00E4033A">
      <w:pPr>
        <w:jc w:val="both"/>
        <w:rPr>
          <w:rFonts w:ascii="Verdana" w:hAnsi="Verdana"/>
          <w:sz w:val="20"/>
          <w:szCs w:val="20"/>
        </w:rPr>
      </w:pPr>
    </w:p>
    <w:p w14:paraId="5CEFAE72" w14:textId="46ECB4C3" w:rsidR="00E4033A" w:rsidRPr="00FD7DB4" w:rsidRDefault="00E4033A" w:rsidP="00E4033A">
      <w:pPr>
        <w:ind w:left="708"/>
        <w:jc w:val="both"/>
        <w:rPr>
          <w:rFonts w:ascii="Verdana" w:hAnsi="Verdana"/>
          <w:sz w:val="20"/>
          <w:szCs w:val="20"/>
        </w:rPr>
      </w:pPr>
      <w:r w:rsidRPr="00FD7DB4">
        <w:rPr>
          <w:rFonts w:ascii="Verdana" w:hAnsi="Verdana"/>
          <w:i/>
          <w:sz w:val="20"/>
          <w:szCs w:val="20"/>
        </w:rPr>
        <w:t>d) Notificación al Estado</w:t>
      </w:r>
      <w:r w:rsidRPr="00FD7DB4">
        <w:rPr>
          <w:rFonts w:ascii="Verdana" w:hAnsi="Verdana"/>
          <w:sz w:val="20"/>
          <w:szCs w:val="20"/>
        </w:rPr>
        <w:t>. – El Informe de Fondo fue notificado al Estado el 26 de julio de 2013, otorgándosele un plazo de dos meses para informar sobre el cumplimiento de las recomendaciones</w:t>
      </w:r>
      <w:r w:rsidR="0035511B">
        <w:rPr>
          <w:rFonts w:ascii="Verdana" w:hAnsi="Verdana"/>
          <w:sz w:val="20"/>
          <w:szCs w:val="20"/>
        </w:rPr>
        <w:t>.</w:t>
      </w:r>
    </w:p>
    <w:p w14:paraId="72044372" w14:textId="77777777" w:rsidR="00E4033A" w:rsidRPr="00FD7DB4" w:rsidRDefault="00E4033A" w:rsidP="00E4033A">
      <w:pPr>
        <w:ind w:left="708"/>
        <w:jc w:val="both"/>
        <w:rPr>
          <w:rFonts w:ascii="Verdana" w:hAnsi="Verdana"/>
          <w:sz w:val="20"/>
          <w:szCs w:val="20"/>
        </w:rPr>
      </w:pPr>
    </w:p>
    <w:p w14:paraId="289C6C2B" w14:textId="5C265C8A" w:rsidR="00E4033A" w:rsidRPr="00FD7DB4" w:rsidRDefault="00E4033A" w:rsidP="00E4033A">
      <w:pPr>
        <w:ind w:left="708"/>
        <w:jc w:val="both"/>
        <w:rPr>
          <w:rFonts w:ascii="Verdana" w:hAnsi="Verdana"/>
          <w:sz w:val="20"/>
          <w:szCs w:val="20"/>
        </w:rPr>
      </w:pPr>
      <w:r w:rsidRPr="00FD7DB4">
        <w:rPr>
          <w:rFonts w:ascii="Verdana" w:hAnsi="Verdana"/>
          <w:i/>
          <w:sz w:val="20"/>
          <w:szCs w:val="20"/>
        </w:rPr>
        <w:t>e) Solicitud de prórroga e informe de cumplimiento.</w:t>
      </w:r>
      <w:r w:rsidRPr="00FD7DB4">
        <w:rPr>
          <w:rFonts w:ascii="Verdana" w:hAnsi="Verdana"/>
          <w:sz w:val="20"/>
          <w:szCs w:val="20"/>
        </w:rPr>
        <w:t xml:space="preserve"> – El 26 de septiembre de 2013 el Estado solicitó una prórroga para el cumplimiento de las recomendaciones, la cual fue otorgada por la Comisión por un plazo de tres meses, y se le requirió que presentara un informe sobre los avances alcanzados a más tardar el 15 de enero de 2014. El Estado presentó un informe en esa fecha pero no aportó información sobre el cumplimiento de cada una de las recomendaciones. El 24 de enero de 2014 el Estado solicitó una nueva prórroga sin presentar información adicional sobre el cumplimiento de lo recomendado</w:t>
      </w:r>
      <w:r w:rsidR="0035511B">
        <w:rPr>
          <w:rFonts w:ascii="Verdana" w:hAnsi="Verdana"/>
          <w:sz w:val="20"/>
          <w:szCs w:val="20"/>
        </w:rPr>
        <w:t>.</w:t>
      </w:r>
    </w:p>
    <w:p w14:paraId="13EE7BED" w14:textId="77777777" w:rsidR="00E4033A" w:rsidRPr="00FD7DB4" w:rsidRDefault="00E4033A" w:rsidP="00E4033A">
      <w:pPr>
        <w:ind w:left="708"/>
        <w:jc w:val="both"/>
        <w:rPr>
          <w:rFonts w:ascii="Verdana" w:hAnsi="Verdana"/>
          <w:i/>
          <w:sz w:val="20"/>
          <w:szCs w:val="20"/>
        </w:rPr>
      </w:pPr>
    </w:p>
    <w:p w14:paraId="3F14DF75" w14:textId="46B90967" w:rsidR="00E4033A" w:rsidRPr="00FD7DB4" w:rsidRDefault="00E4033A" w:rsidP="00E4033A">
      <w:pPr>
        <w:ind w:left="708"/>
        <w:jc w:val="both"/>
        <w:rPr>
          <w:rFonts w:ascii="Verdana" w:hAnsi="Verdana"/>
          <w:sz w:val="20"/>
          <w:szCs w:val="20"/>
        </w:rPr>
      </w:pPr>
      <w:r w:rsidRPr="00FD7DB4">
        <w:rPr>
          <w:rFonts w:ascii="Verdana" w:hAnsi="Verdana"/>
          <w:i/>
          <w:sz w:val="20"/>
          <w:szCs w:val="20"/>
        </w:rPr>
        <w:t>f) Sometimiento a la Corte.</w:t>
      </w:r>
      <w:r w:rsidRPr="00FD7DB4">
        <w:rPr>
          <w:rFonts w:ascii="Verdana" w:hAnsi="Verdana"/>
          <w:sz w:val="20"/>
          <w:szCs w:val="20"/>
        </w:rPr>
        <w:t xml:space="preserve"> – El 2</w:t>
      </w:r>
      <w:r w:rsidR="00E21E4A" w:rsidRPr="00FD7DB4">
        <w:rPr>
          <w:rFonts w:ascii="Verdana" w:hAnsi="Verdana"/>
          <w:sz w:val="20"/>
          <w:szCs w:val="20"/>
        </w:rPr>
        <w:t>8</w:t>
      </w:r>
      <w:r w:rsidRPr="00FD7DB4">
        <w:rPr>
          <w:rFonts w:ascii="Verdana" w:hAnsi="Verdana"/>
          <w:sz w:val="20"/>
          <w:szCs w:val="20"/>
        </w:rPr>
        <w:t xml:space="preserve"> de enero de 2014</w:t>
      </w:r>
      <w:r w:rsidR="001930C4" w:rsidRPr="00FD7DB4">
        <w:t xml:space="preserve"> </w:t>
      </w:r>
      <w:r w:rsidR="001930C4" w:rsidRPr="00FD7DB4">
        <w:rPr>
          <w:rFonts w:ascii="Verdana" w:hAnsi="Verdana"/>
          <w:sz w:val="20"/>
          <w:szCs w:val="20"/>
        </w:rPr>
        <w:t>la Comisión sometió el presente caso a la jurisdicción de la Corte “por la necesidad de obtención de justicia”, y respecto de la totalidad de los hechos y violaciones de derechos humanos descritos en el Informe de Fondo</w:t>
      </w:r>
      <w:r w:rsidR="001930C4" w:rsidRPr="00FD7DB4">
        <w:rPr>
          <w:rStyle w:val="FootnoteReference"/>
          <w:szCs w:val="20"/>
        </w:rPr>
        <w:footnoteReference w:id="6"/>
      </w:r>
      <w:r w:rsidR="001930C4" w:rsidRPr="00FD7DB4">
        <w:rPr>
          <w:rFonts w:ascii="Verdana" w:hAnsi="Verdana"/>
          <w:sz w:val="20"/>
          <w:szCs w:val="20"/>
        </w:rPr>
        <w:t>.</w:t>
      </w:r>
      <w:r w:rsidRPr="00FD7DB4">
        <w:rPr>
          <w:rFonts w:ascii="Verdana" w:hAnsi="Verdana"/>
          <w:sz w:val="20"/>
          <w:szCs w:val="20"/>
        </w:rPr>
        <w:t xml:space="preserve"> </w:t>
      </w:r>
    </w:p>
    <w:p w14:paraId="1ECD535D" w14:textId="77777777" w:rsidR="00E4033A" w:rsidRPr="00FD7DB4" w:rsidRDefault="00E4033A" w:rsidP="00E4033A">
      <w:pPr>
        <w:pStyle w:val="ListParagraph"/>
        <w:rPr>
          <w:rFonts w:ascii="Verdana" w:hAnsi="Verdana"/>
          <w:sz w:val="20"/>
          <w:szCs w:val="20"/>
        </w:rPr>
      </w:pPr>
    </w:p>
    <w:p w14:paraId="1B8FD136" w14:textId="27E12175" w:rsidR="00E4033A" w:rsidRDefault="00E4033A" w:rsidP="004B0145">
      <w:pPr>
        <w:pStyle w:val="ListParagraph"/>
        <w:numPr>
          <w:ilvl w:val="0"/>
          <w:numId w:val="2"/>
        </w:numPr>
        <w:ind w:left="0" w:firstLine="0"/>
        <w:jc w:val="both"/>
        <w:rPr>
          <w:rFonts w:ascii="Verdana" w:hAnsi="Verdana"/>
          <w:sz w:val="20"/>
          <w:szCs w:val="20"/>
        </w:rPr>
      </w:pPr>
      <w:r w:rsidRPr="0035511B">
        <w:rPr>
          <w:rFonts w:ascii="Verdana" w:hAnsi="Verdana"/>
          <w:i/>
          <w:sz w:val="20"/>
          <w:szCs w:val="20"/>
        </w:rPr>
        <w:lastRenderedPageBreak/>
        <w:t>Solicitudes de la Comisión Interamericana.</w:t>
      </w:r>
      <w:r w:rsidRPr="0035511B">
        <w:rPr>
          <w:rFonts w:ascii="Verdana" w:hAnsi="Verdana"/>
          <w:sz w:val="20"/>
          <w:szCs w:val="20"/>
        </w:rPr>
        <w:t xml:space="preserve"> – Con base en lo anterior, la Comisión solicitó a la Corte que declarara la responsabilidad internacional del Estado por las violaciones señaladas en su Informe de Fondo y que ordenara al Estado como medidas de reparación las recomendaciones indicadas en dicho documento (</w:t>
      </w:r>
      <w:r w:rsidR="00366D91" w:rsidRPr="0035511B">
        <w:rPr>
          <w:rFonts w:ascii="Verdana" w:hAnsi="Verdana"/>
          <w:i/>
          <w:sz w:val="20"/>
          <w:szCs w:val="20"/>
        </w:rPr>
        <w:t>supra</w:t>
      </w:r>
      <w:r w:rsidRPr="0035511B">
        <w:rPr>
          <w:rFonts w:ascii="Verdana" w:hAnsi="Verdana"/>
          <w:sz w:val="20"/>
          <w:szCs w:val="20"/>
        </w:rPr>
        <w:t xml:space="preserve"> párr. </w:t>
      </w:r>
      <w:r w:rsidR="00281D2A" w:rsidRPr="0035511B">
        <w:rPr>
          <w:rFonts w:ascii="Verdana" w:hAnsi="Verdana"/>
          <w:sz w:val="20"/>
          <w:szCs w:val="20"/>
        </w:rPr>
        <w:t>2.c</w:t>
      </w:r>
      <w:r w:rsidRPr="0035511B">
        <w:rPr>
          <w:rFonts w:ascii="Verdana" w:hAnsi="Verdana"/>
          <w:sz w:val="20"/>
          <w:szCs w:val="20"/>
        </w:rPr>
        <w:t>)</w:t>
      </w:r>
      <w:r w:rsidR="0035511B">
        <w:rPr>
          <w:rFonts w:ascii="Verdana" w:hAnsi="Verdana"/>
          <w:sz w:val="20"/>
          <w:szCs w:val="20"/>
        </w:rPr>
        <w:t>.</w:t>
      </w:r>
    </w:p>
    <w:p w14:paraId="55326767" w14:textId="77777777" w:rsidR="00F77E53" w:rsidRPr="00F77E53" w:rsidRDefault="00F77E53" w:rsidP="00F77E53">
      <w:pPr>
        <w:pStyle w:val="ListParagraph"/>
        <w:ind w:left="0"/>
        <w:jc w:val="both"/>
        <w:rPr>
          <w:rFonts w:ascii="Verdana" w:hAnsi="Verdana"/>
          <w:sz w:val="20"/>
          <w:szCs w:val="20"/>
        </w:rPr>
      </w:pPr>
    </w:p>
    <w:p w14:paraId="7759C5A7" w14:textId="77777777" w:rsidR="00E4033A" w:rsidRPr="00FD7DB4" w:rsidRDefault="00E4033A" w:rsidP="00E4033A">
      <w:pPr>
        <w:pStyle w:val="Heading1"/>
        <w:tabs>
          <w:tab w:val="left" w:pos="851"/>
        </w:tabs>
        <w:spacing w:before="0"/>
        <w:jc w:val="center"/>
        <w:rPr>
          <w:rFonts w:ascii="Verdana" w:hAnsi="Verdana" w:cs="Verdana"/>
          <w:caps/>
          <w:snapToGrid w:val="0"/>
          <w:color w:val="auto"/>
          <w:sz w:val="20"/>
          <w:szCs w:val="20"/>
        </w:rPr>
      </w:pPr>
      <w:bookmarkStart w:id="3" w:name="_Toc441666149"/>
      <w:r w:rsidRPr="00FD7DB4">
        <w:rPr>
          <w:rFonts w:ascii="Verdana" w:hAnsi="Verdana" w:cs="Verdana"/>
          <w:caps/>
          <w:snapToGrid w:val="0"/>
          <w:color w:val="auto"/>
          <w:sz w:val="20"/>
          <w:szCs w:val="20"/>
        </w:rPr>
        <w:t>II</w:t>
      </w:r>
      <w:r w:rsidRPr="00FD7DB4">
        <w:rPr>
          <w:rFonts w:ascii="Verdana" w:hAnsi="Verdana" w:cs="Verdana"/>
          <w:caps/>
          <w:snapToGrid w:val="0"/>
          <w:color w:val="auto"/>
          <w:sz w:val="20"/>
          <w:szCs w:val="20"/>
        </w:rPr>
        <w:br/>
        <w:t>PROCEDIMIENTO ANTE LA CORTE</w:t>
      </w:r>
      <w:bookmarkEnd w:id="3"/>
    </w:p>
    <w:p w14:paraId="4A008AFB" w14:textId="77777777" w:rsidR="00E4033A" w:rsidRPr="00FD7DB4" w:rsidRDefault="00E4033A" w:rsidP="00E4033A">
      <w:pPr>
        <w:pStyle w:val="ListParagraph"/>
        <w:ind w:left="0"/>
        <w:jc w:val="both"/>
        <w:rPr>
          <w:rFonts w:ascii="Verdana" w:hAnsi="Verdana"/>
          <w:sz w:val="20"/>
          <w:szCs w:val="20"/>
        </w:rPr>
      </w:pPr>
    </w:p>
    <w:p w14:paraId="11E0AE01" w14:textId="02CD4785"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Notificación al Estado</w:t>
      </w:r>
      <w:r w:rsidR="00281D2A">
        <w:rPr>
          <w:rStyle w:val="FootnoteReference"/>
          <w:i/>
          <w:szCs w:val="20"/>
        </w:rPr>
        <w:footnoteReference w:id="7"/>
      </w:r>
      <w:r w:rsidRPr="00FD7DB4">
        <w:rPr>
          <w:rFonts w:ascii="Verdana" w:hAnsi="Verdana"/>
          <w:i/>
          <w:sz w:val="20"/>
          <w:szCs w:val="20"/>
        </w:rPr>
        <w:t xml:space="preserve"> y a los representantes de las presuntas víctimas</w:t>
      </w:r>
      <w:r w:rsidRPr="00FD7DB4">
        <w:rPr>
          <w:rFonts w:ascii="Verdana" w:hAnsi="Verdana"/>
          <w:sz w:val="20"/>
          <w:szCs w:val="20"/>
          <w:vertAlign w:val="superscript"/>
        </w:rPr>
        <w:footnoteReference w:id="8"/>
      </w:r>
      <w:r w:rsidR="007140D9" w:rsidRPr="00FD7DB4">
        <w:rPr>
          <w:rFonts w:ascii="Verdana" w:hAnsi="Verdana"/>
          <w:i/>
          <w:sz w:val="20"/>
          <w:szCs w:val="20"/>
        </w:rPr>
        <w:t>.</w:t>
      </w:r>
      <w:r w:rsidR="007140D9" w:rsidRPr="00FD7DB4">
        <w:rPr>
          <w:rFonts w:ascii="Verdana" w:hAnsi="Verdana"/>
          <w:sz w:val="20"/>
          <w:szCs w:val="20"/>
        </w:rPr>
        <w:t xml:space="preserve"> –</w:t>
      </w:r>
      <w:r w:rsidRPr="00FD7DB4">
        <w:rPr>
          <w:rFonts w:ascii="Verdana" w:hAnsi="Verdana"/>
          <w:sz w:val="20"/>
          <w:szCs w:val="20"/>
        </w:rPr>
        <w:t xml:space="preserve"> El sometimiento del caso por la Comisión fue notificado al Estado y a los representantes de las presuntas víctimas (en adelante “los representantes”) el 27 de febrero de 2014. </w:t>
      </w:r>
    </w:p>
    <w:p w14:paraId="738028A3" w14:textId="77777777" w:rsidR="00E4033A" w:rsidRPr="00FD7DB4" w:rsidRDefault="00E4033A" w:rsidP="00E4033A">
      <w:pPr>
        <w:pStyle w:val="ListParagraph"/>
        <w:ind w:left="0"/>
        <w:jc w:val="both"/>
        <w:rPr>
          <w:rFonts w:ascii="Verdana" w:hAnsi="Verdana"/>
          <w:sz w:val="20"/>
          <w:szCs w:val="20"/>
        </w:rPr>
      </w:pPr>
    </w:p>
    <w:p w14:paraId="16A3F1F9" w14:textId="73694ED7"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Escrito de solicitudes, argumentos y pruebas</w:t>
      </w:r>
      <w:r w:rsidR="007140D9" w:rsidRPr="00FD7DB4">
        <w:rPr>
          <w:rFonts w:ascii="Verdana" w:hAnsi="Verdana"/>
          <w:i/>
          <w:sz w:val="20"/>
          <w:szCs w:val="20"/>
        </w:rPr>
        <w:t>.</w:t>
      </w:r>
      <w:r w:rsidR="007140D9" w:rsidRPr="00FD7DB4">
        <w:rPr>
          <w:rFonts w:ascii="Verdana" w:hAnsi="Verdana"/>
          <w:sz w:val="20"/>
          <w:szCs w:val="20"/>
        </w:rPr>
        <w:t xml:space="preserve"> –</w:t>
      </w:r>
      <w:r w:rsidR="007140D9">
        <w:rPr>
          <w:rFonts w:ascii="Verdana" w:hAnsi="Verdana"/>
          <w:sz w:val="20"/>
          <w:szCs w:val="20"/>
        </w:rPr>
        <w:t xml:space="preserve"> E</w:t>
      </w:r>
      <w:r w:rsidRPr="00FD7DB4">
        <w:rPr>
          <w:rFonts w:ascii="Verdana" w:hAnsi="Verdana"/>
          <w:sz w:val="20"/>
          <w:szCs w:val="20"/>
        </w:rPr>
        <w:t>l 24 de abril de 2014 los representantes presentaron su escrito de solicitudes, argumentos y pruebas (en adelante “escrito de solicitudes y argumentos”)</w:t>
      </w:r>
      <w:r w:rsidR="0035511B">
        <w:rPr>
          <w:rFonts w:ascii="Verdana" w:hAnsi="Verdana"/>
          <w:sz w:val="20"/>
          <w:szCs w:val="20"/>
        </w:rPr>
        <w:t>.</w:t>
      </w:r>
    </w:p>
    <w:p w14:paraId="2A86A192" w14:textId="77777777" w:rsidR="00E4033A" w:rsidRPr="00FD7DB4" w:rsidRDefault="00E4033A" w:rsidP="00E4033A">
      <w:pPr>
        <w:jc w:val="both"/>
        <w:rPr>
          <w:rFonts w:ascii="Verdana" w:hAnsi="Verdana"/>
          <w:sz w:val="20"/>
          <w:szCs w:val="20"/>
        </w:rPr>
      </w:pPr>
    </w:p>
    <w:p w14:paraId="09F115CA" w14:textId="567AC356"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Escrito de contestación</w:t>
      </w:r>
      <w:r w:rsidR="007140D9" w:rsidRPr="00FD7DB4">
        <w:rPr>
          <w:rFonts w:ascii="Verdana" w:hAnsi="Verdana"/>
          <w:i/>
          <w:sz w:val="20"/>
          <w:szCs w:val="20"/>
        </w:rPr>
        <w:t>.</w:t>
      </w:r>
      <w:r w:rsidR="007140D9" w:rsidRPr="00FD7DB4">
        <w:rPr>
          <w:rFonts w:ascii="Verdana" w:hAnsi="Verdana"/>
          <w:sz w:val="20"/>
          <w:szCs w:val="20"/>
        </w:rPr>
        <w:t xml:space="preserve"> – </w:t>
      </w:r>
      <w:r w:rsidRPr="00FD7DB4">
        <w:rPr>
          <w:rFonts w:ascii="Verdana" w:hAnsi="Verdana"/>
          <w:sz w:val="20"/>
          <w:szCs w:val="20"/>
        </w:rPr>
        <w:t>El 3 de octubre de 2014 el Estado presentó ante la Corte su contestación al escrito de sometimiento del caso y de observaciones a los escritos de solicitudes y argumentos (en adelante “escrito de contestación”)</w:t>
      </w:r>
      <w:r w:rsidR="0035511B">
        <w:rPr>
          <w:rFonts w:ascii="Verdana" w:hAnsi="Verdana"/>
          <w:sz w:val="20"/>
          <w:szCs w:val="20"/>
        </w:rPr>
        <w:t>.</w:t>
      </w:r>
    </w:p>
    <w:p w14:paraId="00DD9F42" w14:textId="77777777" w:rsidR="00E4033A" w:rsidRPr="00FD7DB4" w:rsidRDefault="00E4033A" w:rsidP="00E4033A">
      <w:pPr>
        <w:jc w:val="both"/>
        <w:rPr>
          <w:rFonts w:ascii="Verdana" w:hAnsi="Verdana"/>
          <w:sz w:val="20"/>
          <w:szCs w:val="20"/>
        </w:rPr>
      </w:pPr>
    </w:p>
    <w:p w14:paraId="51335548" w14:textId="175830F1"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Convocatoria a Audiencia</w:t>
      </w:r>
      <w:r w:rsidR="007140D9" w:rsidRPr="00FD7DB4">
        <w:rPr>
          <w:rFonts w:ascii="Verdana" w:hAnsi="Verdana"/>
          <w:i/>
          <w:sz w:val="20"/>
          <w:szCs w:val="20"/>
        </w:rPr>
        <w:t>.</w:t>
      </w:r>
      <w:r w:rsidR="007140D9" w:rsidRPr="00FD7DB4">
        <w:rPr>
          <w:rFonts w:ascii="Verdana" w:hAnsi="Verdana"/>
          <w:sz w:val="20"/>
          <w:szCs w:val="20"/>
        </w:rPr>
        <w:t xml:space="preserve"> – </w:t>
      </w:r>
      <w:r w:rsidRPr="00FD7DB4">
        <w:rPr>
          <w:rFonts w:ascii="Verdana" w:hAnsi="Verdana"/>
          <w:sz w:val="20"/>
          <w:szCs w:val="20"/>
        </w:rPr>
        <w:t>Mediante Resolución del Presidente de la Corte de 18 de diciembre de 2014</w:t>
      </w:r>
      <w:r w:rsidRPr="00FD7DB4">
        <w:rPr>
          <w:rFonts w:ascii="Verdana" w:hAnsi="Verdana"/>
          <w:sz w:val="20"/>
          <w:szCs w:val="20"/>
          <w:vertAlign w:val="superscript"/>
        </w:rPr>
        <w:footnoteReference w:id="9"/>
      </w:r>
      <w:r w:rsidRPr="00FD7DB4">
        <w:rPr>
          <w:rFonts w:ascii="Verdana" w:hAnsi="Verdana"/>
          <w:sz w:val="20"/>
          <w:szCs w:val="20"/>
        </w:rPr>
        <w:t xml:space="preserve"> se resolvió, entre otras situaciones: i) requerir que una presunta víctima, un testigo y un perito propuestos por los representantes, así como un testigo propuesto por el Estado</w:t>
      </w:r>
      <w:r w:rsidRPr="00FD7DB4">
        <w:rPr>
          <w:rStyle w:val="FootnoteReference"/>
          <w:szCs w:val="20"/>
        </w:rPr>
        <w:footnoteReference w:id="10"/>
      </w:r>
      <w:r w:rsidRPr="00FD7DB4">
        <w:rPr>
          <w:rFonts w:ascii="Verdana" w:hAnsi="Verdana"/>
          <w:sz w:val="20"/>
          <w:szCs w:val="20"/>
        </w:rPr>
        <w:t xml:space="preserve">, presten sus declaraciones ante fedatario público; ii) convocar a las partes a una audiencia pública para recibir las declaraciones de dos presuntas víctimas y un dictamen pericial propuestos por los representantes, así como un dictamen pericial propuesto por la Comisión, y iii) trasladar </w:t>
      </w:r>
      <w:r w:rsidR="00B76AD5" w:rsidRPr="00FD7DB4">
        <w:rPr>
          <w:rFonts w:ascii="Verdana" w:hAnsi="Verdana"/>
          <w:sz w:val="20"/>
          <w:szCs w:val="20"/>
        </w:rPr>
        <w:t xml:space="preserve">al presente caso, </w:t>
      </w:r>
      <w:r w:rsidRPr="00FD7DB4">
        <w:rPr>
          <w:rFonts w:ascii="Verdana" w:hAnsi="Verdana"/>
          <w:sz w:val="20"/>
          <w:szCs w:val="20"/>
        </w:rPr>
        <w:t xml:space="preserve">los peritajes de </w:t>
      </w:r>
      <w:r w:rsidR="00B76AD5" w:rsidRPr="00FD7DB4">
        <w:rPr>
          <w:rFonts w:ascii="Verdana" w:hAnsi="Verdana"/>
          <w:sz w:val="20"/>
          <w:szCs w:val="20"/>
        </w:rPr>
        <w:t xml:space="preserve">Mariska Muskiet y Magda Hoever-Venoaks, </w:t>
      </w:r>
      <w:r w:rsidRPr="00FD7DB4">
        <w:rPr>
          <w:rFonts w:ascii="Verdana" w:hAnsi="Verdana"/>
          <w:sz w:val="20"/>
          <w:szCs w:val="20"/>
        </w:rPr>
        <w:t xml:space="preserve">presentados en el caso </w:t>
      </w:r>
      <w:r w:rsidR="00D55116">
        <w:rPr>
          <w:rFonts w:ascii="Verdana" w:hAnsi="Verdana"/>
          <w:sz w:val="20"/>
          <w:szCs w:val="20"/>
        </w:rPr>
        <w:t xml:space="preserve">del </w:t>
      </w:r>
      <w:r w:rsidR="00D55116" w:rsidRPr="00415A21">
        <w:rPr>
          <w:rFonts w:ascii="Verdana" w:hAnsi="Verdana"/>
          <w:i/>
          <w:sz w:val="20"/>
          <w:szCs w:val="20"/>
        </w:rPr>
        <w:t xml:space="preserve">Pueblo </w:t>
      </w:r>
      <w:r w:rsidRPr="00415A21">
        <w:rPr>
          <w:rFonts w:ascii="Verdana" w:hAnsi="Verdana"/>
          <w:i/>
          <w:sz w:val="20"/>
          <w:szCs w:val="20"/>
        </w:rPr>
        <w:t xml:space="preserve">Saramaka Vs. </w:t>
      </w:r>
      <w:r w:rsidR="00563E11" w:rsidRPr="00415A21">
        <w:rPr>
          <w:rFonts w:ascii="Verdana" w:hAnsi="Verdana"/>
          <w:i/>
          <w:sz w:val="20"/>
          <w:szCs w:val="20"/>
        </w:rPr>
        <w:t>Surinam</w:t>
      </w:r>
      <w:r w:rsidR="0035511B">
        <w:rPr>
          <w:rFonts w:ascii="Verdana" w:hAnsi="Verdana"/>
          <w:sz w:val="20"/>
          <w:szCs w:val="20"/>
        </w:rPr>
        <w:t xml:space="preserve">. </w:t>
      </w:r>
      <w:r w:rsidRPr="00FD7DB4">
        <w:rPr>
          <w:rFonts w:ascii="Verdana" w:hAnsi="Verdana"/>
          <w:sz w:val="20"/>
          <w:szCs w:val="20"/>
        </w:rPr>
        <w:t>Las declaraciones ante fedatario público fueron recibidas el día del 27 de enero de 2015</w:t>
      </w:r>
      <w:r w:rsidR="0035511B">
        <w:rPr>
          <w:rFonts w:ascii="Verdana" w:hAnsi="Verdana"/>
          <w:sz w:val="20"/>
          <w:szCs w:val="20"/>
        </w:rPr>
        <w:t>.</w:t>
      </w:r>
    </w:p>
    <w:p w14:paraId="395B8EBD" w14:textId="77777777" w:rsidR="00E4033A" w:rsidRPr="00FD7DB4" w:rsidRDefault="00E4033A" w:rsidP="00E4033A">
      <w:pPr>
        <w:jc w:val="both"/>
        <w:rPr>
          <w:rFonts w:ascii="Verdana" w:hAnsi="Verdana"/>
          <w:sz w:val="20"/>
          <w:szCs w:val="20"/>
        </w:rPr>
      </w:pPr>
    </w:p>
    <w:p w14:paraId="087FB6F7" w14:textId="5EF50AA3" w:rsidR="00E4033A" w:rsidRPr="007E20F9" w:rsidRDefault="00E4033A" w:rsidP="00E4033A">
      <w:pPr>
        <w:pStyle w:val="ListParagraph"/>
        <w:numPr>
          <w:ilvl w:val="0"/>
          <w:numId w:val="2"/>
        </w:numPr>
        <w:ind w:left="0" w:firstLine="0"/>
        <w:jc w:val="both"/>
      </w:pPr>
      <w:r w:rsidRPr="00FD7DB4">
        <w:rPr>
          <w:rFonts w:ascii="Verdana" w:hAnsi="Verdana"/>
          <w:i/>
          <w:sz w:val="20"/>
          <w:szCs w:val="20"/>
        </w:rPr>
        <w:t>Audiencia pública.</w:t>
      </w:r>
      <w:r w:rsidRPr="00FD7DB4">
        <w:rPr>
          <w:rFonts w:ascii="Verdana" w:hAnsi="Verdana"/>
          <w:sz w:val="20"/>
          <w:szCs w:val="20"/>
        </w:rPr>
        <w:t xml:space="preserve"> – La audiencia pública fue celebrada el 3 y 4 de febrero de 2015 en la ciudad de San José, Costa Rica, durante el 107° Período Ordinario de Sesiones de la Corte</w:t>
      </w:r>
      <w:r w:rsidR="00B76AD5" w:rsidRPr="00FD7DB4">
        <w:rPr>
          <w:rStyle w:val="FootnoteReference"/>
          <w:szCs w:val="20"/>
        </w:rPr>
        <w:footnoteReference w:id="11"/>
      </w:r>
      <w:r w:rsidRPr="00FD7DB4">
        <w:rPr>
          <w:rFonts w:ascii="Verdana" w:hAnsi="Verdana"/>
          <w:sz w:val="20"/>
          <w:szCs w:val="20"/>
        </w:rPr>
        <w:t xml:space="preserve">. En la audiencia se recibieron las declaraciones de las presuntas víctimas Capitán Ricardo Pané y Capitán Jona </w:t>
      </w:r>
      <w:r w:rsidR="00B73EDA">
        <w:rPr>
          <w:rFonts w:ascii="Verdana" w:hAnsi="Verdana"/>
          <w:sz w:val="20"/>
          <w:szCs w:val="20"/>
        </w:rPr>
        <w:t>Gunther</w:t>
      </w:r>
      <w:r w:rsidRPr="00FD7DB4">
        <w:rPr>
          <w:rFonts w:ascii="Verdana" w:hAnsi="Verdana"/>
          <w:sz w:val="20"/>
          <w:szCs w:val="20"/>
        </w:rPr>
        <w:t xml:space="preserve"> y de la perit</w:t>
      </w:r>
      <w:r w:rsidR="006B160D">
        <w:rPr>
          <w:rFonts w:ascii="Verdana" w:hAnsi="Verdana"/>
          <w:sz w:val="20"/>
          <w:szCs w:val="20"/>
        </w:rPr>
        <w:t>a</w:t>
      </w:r>
      <w:r w:rsidRPr="00FD7DB4">
        <w:rPr>
          <w:rFonts w:ascii="Verdana" w:hAnsi="Verdana"/>
          <w:sz w:val="20"/>
          <w:szCs w:val="20"/>
        </w:rPr>
        <w:t xml:space="preserve"> Victoria Tauli-Corpuz propuestas por los representantes, así como del perito Jeremie Gilbert, propuesto por la Comisión. Asimismo, se recibieron las observaciones y alegatos finales orales de la Comisión, de los representantes y del Estado</w:t>
      </w:r>
      <w:r w:rsidR="0035511B">
        <w:rPr>
          <w:rFonts w:ascii="Verdana" w:hAnsi="Verdana"/>
          <w:sz w:val="20"/>
          <w:szCs w:val="20"/>
        </w:rPr>
        <w:t xml:space="preserve">. </w:t>
      </w:r>
      <w:r w:rsidR="006B160D">
        <w:rPr>
          <w:rFonts w:ascii="Verdana" w:hAnsi="Verdana"/>
          <w:sz w:val="20"/>
          <w:szCs w:val="20"/>
        </w:rPr>
        <w:t xml:space="preserve">De </w:t>
      </w:r>
      <w:r w:rsidR="006B160D">
        <w:rPr>
          <w:rFonts w:ascii="Verdana" w:hAnsi="Verdana"/>
          <w:sz w:val="20"/>
          <w:szCs w:val="20"/>
        </w:rPr>
        <w:lastRenderedPageBreak/>
        <w:t>igual manera, l</w:t>
      </w:r>
      <w:r w:rsidR="005342D3" w:rsidRPr="009E77BD">
        <w:rPr>
          <w:rFonts w:ascii="Verdana" w:hAnsi="Verdana"/>
          <w:sz w:val="20"/>
          <w:szCs w:val="20"/>
        </w:rPr>
        <w:t>os representantes hicieron entrega de un mapa en el cual se establecía</w:t>
      </w:r>
      <w:r w:rsidR="00BD729D">
        <w:rPr>
          <w:rFonts w:ascii="Verdana" w:hAnsi="Verdana"/>
          <w:sz w:val="20"/>
          <w:szCs w:val="20"/>
        </w:rPr>
        <w:t>n</w:t>
      </w:r>
      <w:r w:rsidR="005342D3" w:rsidRPr="009E77BD">
        <w:rPr>
          <w:rFonts w:ascii="Verdana" w:hAnsi="Verdana"/>
          <w:sz w:val="20"/>
          <w:szCs w:val="20"/>
        </w:rPr>
        <w:t xml:space="preserve"> los límites </w:t>
      </w:r>
      <w:r w:rsidR="003723B0">
        <w:rPr>
          <w:rFonts w:ascii="Verdana" w:hAnsi="Verdana"/>
          <w:sz w:val="20"/>
          <w:szCs w:val="20"/>
        </w:rPr>
        <w:t xml:space="preserve">aproximados </w:t>
      </w:r>
      <w:r w:rsidR="005342D3" w:rsidRPr="009E77BD">
        <w:rPr>
          <w:rFonts w:ascii="Verdana" w:hAnsi="Verdana"/>
          <w:sz w:val="20"/>
          <w:szCs w:val="20"/>
        </w:rPr>
        <w:t>del territorio reclamado por los Pueblos Kaliña y Lokono, así como la copia del proyecto de ley referido al reconocimiento de autoridades tradicionales de 2014</w:t>
      </w:r>
      <w:r w:rsidR="0035511B" w:rsidRPr="004B0145">
        <w:rPr>
          <w:rFonts w:ascii="Verdana" w:hAnsi="Verdana"/>
          <w:sz w:val="20"/>
          <w:szCs w:val="20"/>
        </w:rPr>
        <w:t>.</w:t>
      </w:r>
    </w:p>
    <w:p w14:paraId="269ACE17" w14:textId="77777777" w:rsidR="009B781F" w:rsidRDefault="009B781F" w:rsidP="007E20F9">
      <w:pPr>
        <w:pStyle w:val="ListParagraph"/>
        <w:ind w:left="0"/>
        <w:jc w:val="both"/>
      </w:pPr>
    </w:p>
    <w:p w14:paraId="14B5F024" w14:textId="2CF15709" w:rsidR="0035511B" w:rsidRPr="004B0145" w:rsidRDefault="00073B1B" w:rsidP="004B0145">
      <w:pPr>
        <w:pStyle w:val="ListParagraph"/>
        <w:numPr>
          <w:ilvl w:val="0"/>
          <w:numId w:val="2"/>
        </w:numPr>
        <w:ind w:left="0" w:firstLine="0"/>
        <w:jc w:val="both"/>
        <w:rPr>
          <w:rFonts w:ascii="Verdana" w:hAnsi="Verdana"/>
          <w:b/>
          <w:sz w:val="20"/>
          <w:szCs w:val="20"/>
        </w:rPr>
      </w:pPr>
      <w:r w:rsidRPr="0035511B">
        <w:rPr>
          <w:rFonts w:ascii="Verdana" w:hAnsi="Verdana"/>
          <w:i/>
          <w:sz w:val="20"/>
          <w:szCs w:val="20"/>
        </w:rPr>
        <w:t>Amicus curiae</w:t>
      </w:r>
      <w:r w:rsidR="007140D9" w:rsidRPr="0035511B">
        <w:rPr>
          <w:rFonts w:ascii="Verdana" w:hAnsi="Verdana"/>
          <w:i/>
          <w:sz w:val="20"/>
          <w:szCs w:val="20"/>
        </w:rPr>
        <w:t>.</w:t>
      </w:r>
      <w:r w:rsidR="007140D9" w:rsidRPr="0035511B">
        <w:rPr>
          <w:rFonts w:ascii="Verdana" w:hAnsi="Verdana"/>
          <w:sz w:val="20"/>
          <w:szCs w:val="20"/>
        </w:rPr>
        <w:t xml:space="preserve"> – </w:t>
      </w:r>
      <w:r w:rsidRPr="0035511B">
        <w:rPr>
          <w:rFonts w:ascii="Verdana" w:hAnsi="Verdana"/>
          <w:sz w:val="20"/>
          <w:szCs w:val="20"/>
        </w:rPr>
        <w:t>El 18 de febrero de 2015, con fundamento en lo dispuesto en el artículo 44</w:t>
      </w:r>
      <w:r w:rsidR="003723B0" w:rsidRPr="0035511B">
        <w:rPr>
          <w:rFonts w:ascii="Verdana" w:hAnsi="Verdana"/>
          <w:sz w:val="20"/>
          <w:szCs w:val="20"/>
        </w:rPr>
        <w:t>.</w:t>
      </w:r>
      <w:r w:rsidRPr="0035511B">
        <w:rPr>
          <w:rFonts w:ascii="Verdana" w:hAnsi="Verdana"/>
          <w:sz w:val="20"/>
          <w:szCs w:val="20"/>
        </w:rPr>
        <w:t xml:space="preserve">1 del Reglamento de la Corte, la Secretaría recibió un escrito en calidad de </w:t>
      </w:r>
      <w:r w:rsidRPr="0035511B">
        <w:rPr>
          <w:rFonts w:ascii="Verdana" w:hAnsi="Verdana"/>
          <w:i/>
          <w:sz w:val="20"/>
          <w:szCs w:val="20"/>
        </w:rPr>
        <w:t>amicus curiae</w:t>
      </w:r>
      <w:r w:rsidRPr="0035511B">
        <w:rPr>
          <w:rFonts w:ascii="Verdana" w:hAnsi="Verdana"/>
          <w:sz w:val="20"/>
          <w:szCs w:val="20"/>
        </w:rPr>
        <w:t xml:space="preserve"> y dos anexos, remitidos por</w:t>
      </w:r>
      <w:r w:rsidRPr="0035511B">
        <w:rPr>
          <w:rFonts w:ascii="Verdana" w:hAnsi="Verdana"/>
          <w:i/>
          <w:sz w:val="20"/>
          <w:szCs w:val="20"/>
        </w:rPr>
        <w:t xml:space="preserve"> </w:t>
      </w:r>
      <w:r w:rsidRPr="0035511B">
        <w:rPr>
          <w:rFonts w:ascii="Verdana" w:hAnsi="Verdana"/>
          <w:sz w:val="20"/>
          <w:szCs w:val="20"/>
        </w:rPr>
        <w:t>la Fundación Pro Bono-Colombia</w:t>
      </w:r>
      <w:r w:rsidRPr="00FD7DB4">
        <w:rPr>
          <w:rStyle w:val="FootnoteReference"/>
          <w:szCs w:val="20"/>
        </w:rPr>
        <w:footnoteReference w:id="12"/>
      </w:r>
      <w:r w:rsidRPr="0035511B">
        <w:rPr>
          <w:rFonts w:ascii="Verdana" w:hAnsi="Verdana"/>
          <w:sz w:val="20"/>
          <w:szCs w:val="20"/>
        </w:rPr>
        <w:t xml:space="preserve">. Dichos documentos fueron remitidos en español, por lo que a través de carta de Secretaría de fecha 24 de febrero de 2015 se solicitó el envío del </w:t>
      </w:r>
      <w:r w:rsidRPr="0035511B">
        <w:rPr>
          <w:rFonts w:ascii="Verdana" w:hAnsi="Verdana"/>
          <w:i/>
          <w:sz w:val="20"/>
          <w:szCs w:val="20"/>
        </w:rPr>
        <w:t>amicus</w:t>
      </w:r>
      <w:r w:rsidRPr="0035511B">
        <w:rPr>
          <w:rFonts w:ascii="Verdana" w:hAnsi="Verdana"/>
          <w:sz w:val="20"/>
          <w:szCs w:val="20"/>
        </w:rPr>
        <w:t xml:space="preserve"> en inglés, por ser el idioma oficial del caso. Dicho escrito fue recibido en inglés el 10 de marzo de 2015</w:t>
      </w:r>
      <w:r w:rsidR="0035511B">
        <w:rPr>
          <w:rFonts w:ascii="Verdana" w:hAnsi="Verdana"/>
          <w:sz w:val="20"/>
          <w:szCs w:val="20"/>
        </w:rPr>
        <w:t>.</w:t>
      </w:r>
    </w:p>
    <w:p w14:paraId="59267CA4" w14:textId="77777777" w:rsidR="0035511B" w:rsidRPr="004B0145" w:rsidRDefault="0035511B" w:rsidP="004B0145">
      <w:pPr>
        <w:pStyle w:val="ListParagraph"/>
        <w:rPr>
          <w:rFonts w:ascii="Verdana" w:hAnsi="Verdana"/>
          <w:sz w:val="20"/>
          <w:szCs w:val="20"/>
        </w:rPr>
      </w:pPr>
    </w:p>
    <w:p w14:paraId="0B220A60" w14:textId="69F118D1" w:rsidR="005B786C" w:rsidRDefault="00E4033A" w:rsidP="00690B3D">
      <w:pPr>
        <w:pStyle w:val="ListParagraph"/>
        <w:numPr>
          <w:ilvl w:val="0"/>
          <w:numId w:val="2"/>
        </w:numPr>
        <w:ind w:left="0" w:firstLine="0"/>
        <w:jc w:val="both"/>
        <w:rPr>
          <w:rFonts w:ascii="Verdana" w:hAnsi="Verdana"/>
          <w:sz w:val="20"/>
          <w:szCs w:val="20"/>
        </w:rPr>
      </w:pPr>
      <w:r w:rsidRPr="00FD7DB4">
        <w:rPr>
          <w:rFonts w:ascii="Verdana" w:hAnsi="Verdana"/>
          <w:i/>
          <w:sz w:val="20"/>
          <w:szCs w:val="20"/>
        </w:rPr>
        <w:t>Observaciones</w:t>
      </w:r>
      <w:r w:rsidR="00073B1B" w:rsidRPr="00FD7DB4">
        <w:rPr>
          <w:rFonts w:ascii="Verdana" w:hAnsi="Verdana"/>
          <w:i/>
          <w:sz w:val="20"/>
          <w:szCs w:val="20"/>
        </w:rPr>
        <w:t xml:space="preserve"> y</w:t>
      </w:r>
      <w:r w:rsidRPr="00FD7DB4">
        <w:rPr>
          <w:rFonts w:ascii="Verdana" w:hAnsi="Verdana"/>
          <w:i/>
          <w:sz w:val="20"/>
          <w:szCs w:val="20"/>
        </w:rPr>
        <w:t xml:space="preserve"> alegatos finales escritos</w:t>
      </w:r>
      <w:r w:rsidR="007140D9" w:rsidRPr="00FD7DB4">
        <w:rPr>
          <w:rFonts w:ascii="Verdana" w:hAnsi="Verdana"/>
          <w:i/>
          <w:sz w:val="20"/>
          <w:szCs w:val="20"/>
        </w:rPr>
        <w:t>.</w:t>
      </w:r>
      <w:r w:rsidR="007140D9" w:rsidRPr="00FD7DB4">
        <w:rPr>
          <w:rFonts w:ascii="Verdana" w:hAnsi="Verdana"/>
          <w:sz w:val="20"/>
          <w:szCs w:val="20"/>
        </w:rPr>
        <w:t xml:space="preserve"> –</w:t>
      </w:r>
      <w:r w:rsidRPr="00FD7DB4">
        <w:rPr>
          <w:rFonts w:ascii="Verdana" w:hAnsi="Verdana"/>
          <w:sz w:val="20"/>
          <w:szCs w:val="20"/>
        </w:rPr>
        <w:t xml:space="preserve"> </w:t>
      </w:r>
      <w:r w:rsidR="005B786C" w:rsidRPr="00FD7DB4">
        <w:rPr>
          <w:rFonts w:ascii="Verdana" w:hAnsi="Verdana"/>
          <w:sz w:val="20"/>
          <w:szCs w:val="20"/>
        </w:rPr>
        <w:t xml:space="preserve">El </w:t>
      </w:r>
      <w:r w:rsidR="005B786C" w:rsidRPr="00415FDF">
        <w:rPr>
          <w:rFonts w:ascii="Verdana" w:hAnsi="Verdana"/>
          <w:sz w:val="20"/>
          <w:szCs w:val="20"/>
        </w:rPr>
        <w:t xml:space="preserve">4 </w:t>
      </w:r>
      <w:r w:rsidR="005B786C" w:rsidRPr="00B262D7">
        <w:rPr>
          <w:rFonts w:ascii="Verdana" w:hAnsi="Verdana"/>
          <w:sz w:val="20"/>
          <w:szCs w:val="20"/>
        </w:rPr>
        <w:t>de marzo</w:t>
      </w:r>
      <w:r w:rsidR="005B786C" w:rsidRPr="00FD7DB4">
        <w:rPr>
          <w:rFonts w:ascii="Verdana" w:hAnsi="Verdana"/>
          <w:sz w:val="20"/>
          <w:szCs w:val="20"/>
        </w:rPr>
        <w:t xml:space="preserve"> de 2015 el Estado presentó sus alegatos finales escritos y anexos</w:t>
      </w:r>
      <w:r w:rsidR="0035511B">
        <w:rPr>
          <w:rFonts w:ascii="Verdana" w:hAnsi="Verdana"/>
          <w:sz w:val="20"/>
          <w:szCs w:val="20"/>
        </w:rPr>
        <w:t>.</w:t>
      </w:r>
      <w:r w:rsidR="005B786C" w:rsidRPr="00FD7DB4">
        <w:rPr>
          <w:rFonts w:ascii="Verdana" w:hAnsi="Verdana"/>
          <w:sz w:val="20"/>
          <w:szCs w:val="20"/>
        </w:rPr>
        <w:t xml:space="preserve"> </w:t>
      </w:r>
      <w:r w:rsidRPr="00FD7DB4">
        <w:rPr>
          <w:rFonts w:ascii="Verdana" w:hAnsi="Verdana"/>
          <w:sz w:val="20"/>
          <w:szCs w:val="20"/>
        </w:rPr>
        <w:t>El día 5 de marzo de 2015, los representantes</w:t>
      </w:r>
      <w:r w:rsidR="00073B1B" w:rsidRPr="00FD7DB4">
        <w:rPr>
          <w:rFonts w:ascii="Verdana" w:hAnsi="Verdana"/>
          <w:sz w:val="20"/>
          <w:szCs w:val="20"/>
        </w:rPr>
        <w:t xml:space="preserve"> y</w:t>
      </w:r>
      <w:r w:rsidRPr="00FD7DB4">
        <w:rPr>
          <w:rFonts w:ascii="Verdana" w:hAnsi="Verdana"/>
          <w:sz w:val="20"/>
          <w:szCs w:val="20"/>
        </w:rPr>
        <w:t xml:space="preserve"> </w:t>
      </w:r>
      <w:r w:rsidR="00073B1B" w:rsidRPr="00FD7DB4">
        <w:rPr>
          <w:rFonts w:ascii="Verdana" w:hAnsi="Verdana"/>
          <w:sz w:val="20"/>
          <w:szCs w:val="20"/>
        </w:rPr>
        <w:t xml:space="preserve">la Comisión </w:t>
      </w:r>
      <w:r w:rsidRPr="00FD7DB4">
        <w:rPr>
          <w:rFonts w:ascii="Verdana" w:hAnsi="Verdana"/>
          <w:sz w:val="20"/>
          <w:szCs w:val="20"/>
        </w:rPr>
        <w:t xml:space="preserve">presentaron sus alegatos finales escritos y anexos, así como </w:t>
      </w:r>
      <w:r w:rsidR="00073B1B" w:rsidRPr="00FD7DB4">
        <w:rPr>
          <w:rFonts w:ascii="Verdana" w:hAnsi="Verdana"/>
          <w:sz w:val="20"/>
          <w:szCs w:val="20"/>
        </w:rPr>
        <w:t>sus observaciones finales escritas, respectivamente</w:t>
      </w:r>
      <w:r w:rsidR="0035511B">
        <w:rPr>
          <w:rFonts w:ascii="Verdana" w:hAnsi="Verdana"/>
          <w:sz w:val="20"/>
          <w:szCs w:val="20"/>
        </w:rPr>
        <w:t>.</w:t>
      </w:r>
      <w:r w:rsidR="00073B1B" w:rsidRPr="00FD7DB4">
        <w:rPr>
          <w:rFonts w:ascii="Verdana" w:hAnsi="Verdana"/>
          <w:sz w:val="20"/>
          <w:szCs w:val="20"/>
        </w:rPr>
        <w:t xml:space="preserve"> </w:t>
      </w:r>
    </w:p>
    <w:p w14:paraId="33F4C5EA" w14:textId="77777777" w:rsidR="005B786C" w:rsidRDefault="005B786C" w:rsidP="009E77BD">
      <w:pPr>
        <w:pStyle w:val="ListParagraph"/>
        <w:ind w:left="0"/>
        <w:jc w:val="both"/>
        <w:rPr>
          <w:rFonts w:ascii="Verdana" w:hAnsi="Verdana"/>
          <w:sz w:val="20"/>
          <w:szCs w:val="20"/>
        </w:rPr>
      </w:pPr>
    </w:p>
    <w:p w14:paraId="50596EF5" w14:textId="1A118161" w:rsidR="00073B1B" w:rsidRPr="00FD7DB4" w:rsidRDefault="005B786C" w:rsidP="00690B3D">
      <w:pPr>
        <w:pStyle w:val="ListParagraph"/>
        <w:numPr>
          <w:ilvl w:val="0"/>
          <w:numId w:val="2"/>
        </w:numPr>
        <w:ind w:left="0" w:firstLine="0"/>
        <w:jc w:val="both"/>
        <w:rPr>
          <w:rFonts w:ascii="Verdana" w:hAnsi="Verdana"/>
          <w:sz w:val="20"/>
          <w:szCs w:val="20"/>
        </w:rPr>
      </w:pPr>
      <w:r w:rsidRPr="004B0145">
        <w:rPr>
          <w:rFonts w:ascii="Verdana" w:hAnsi="Verdana"/>
          <w:i/>
          <w:sz w:val="20"/>
          <w:szCs w:val="20"/>
        </w:rPr>
        <w:t>Observaciones a los anexos</w:t>
      </w:r>
      <w:r w:rsidRPr="00FD7DB4">
        <w:rPr>
          <w:rFonts w:ascii="Verdana" w:hAnsi="Verdana"/>
          <w:i/>
          <w:sz w:val="20"/>
          <w:szCs w:val="20"/>
        </w:rPr>
        <w:t>.</w:t>
      </w:r>
      <w:r w:rsidRPr="00FD7DB4">
        <w:rPr>
          <w:rFonts w:ascii="Verdana" w:hAnsi="Verdana"/>
          <w:sz w:val="20"/>
          <w:szCs w:val="20"/>
        </w:rPr>
        <w:t xml:space="preserve"> – El 26 de marzo de 2015</w:t>
      </w:r>
      <w:r>
        <w:rPr>
          <w:rFonts w:ascii="Verdana" w:hAnsi="Verdana"/>
          <w:sz w:val="20"/>
          <w:szCs w:val="20"/>
        </w:rPr>
        <w:t xml:space="preserve"> la Secretaría de la Corte remitió los anexos </w:t>
      </w:r>
      <w:r w:rsidR="00034689">
        <w:rPr>
          <w:rFonts w:ascii="Verdana" w:hAnsi="Verdana"/>
          <w:sz w:val="20"/>
          <w:szCs w:val="20"/>
        </w:rPr>
        <w:t xml:space="preserve">a los alegatos finales escritos </w:t>
      </w:r>
      <w:r>
        <w:rPr>
          <w:rFonts w:ascii="Verdana" w:hAnsi="Verdana"/>
          <w:sz w:val="20"/>
          <w:szCs w:val="20"/>
        </w:rPr>
        <w:t>y solicitó a las partes y a la Comisi</w:t>
      </w:r>
      <w:r w:rsidR="002924C8">
        <w:rPr>
          <w:rFonts w:ascii="Verdana" w:hAnsi="Verdana"/>
          <w:sz w:val="20"/>
          <w:szCs w:val="20"/>
        </w:rPr>
        <w:t>ón</w:t>
      </w:r>
      <w:r>
        <w:rPr>
          <w:rFonts w:ascii="Verdana" w:hAnsi="Verdana"/>
          <w:sz w:val="20"/>
          <w:szCs w:val="20"/>
        </w:rPr>
        <w:t xml:space="preserve"> las observaciones que estimaren pertinentes</w:t>
      </w:r>
      <w:r w:rsidR="0035511B">
        <w:rPr>
          <w:rFonts w:ascii="Verdana" w:hAnsi="Verdana"/>
          <w:sz w:val="20"/>
          <w:szCs w:val="20"/>
        </w:rPr>
        <w:t xml:space="preserve">. </w:t>
      </w:r>
      <w:r>
        <w:rPr>
          <w:rFonts w:ascii="Verdana" w:hAnsi="Verdana"/>
          <w:sz w:val="20"/>
          <w:szCs w:val="20"/>
        </w:rPr>
        <w:t>Mediante comunicación de 7 de abril de 2015, la Comisión señaló no tener observaciones respecto de dichos anexos</w:t>
      </w:r>
      <w:r w:rsidR="0035511B">
        <w:rPr>
          <w:rFonts w:ascii="Verdana" w:hAnsi="Verdana"/>
          <w:sz w:val="20"/>
          <w:szCs w:val="20"/>
        </w:rPr>
        <w:t>.</w:t>
      </w:r>
      <w:r>
        <w:rPr>
          <w:rFonts w:ascii="Verdana" w:hAnsi="Verdana"/>
          <w:sz w:val="20"/>
          <w:szCs w:val="20"/>
        </w:rPr>
        <w:t xml:space="preserve"> Asimismo, el 13 de abril de 2015, los representantes presentaron observaciones al anexo enviado por el Estado</w:t>
      </w:r>
      <w:r w:rsidR="0035511B">
        <w:rPr>
          <w:rFonts w:ascii="Verdana" w:hAnsi="Verdana"/>
          <w:sz w:val="20"/>
          <w:szCs w:val="20"/>
        </w:rPr>
        <w:t>.</w:t>
      </w:r>
      <w:r>
        <w:rPr>
          <w:rFonts w:ascii="Verdana" w:hAnsi="Verdana"/>
          <w:sz w:val="20"/>
          <w:szCs w:val="20"/>
        </w:rPr>
        <w:t xml:space="preserve"> </w:t>
      </w:r>
      <w:r w:rsidR="002924C8">
        <w:rPr>
          <w:rFonts w:ascii="Verdana" w:hAnsi="Verdana"/>
          <w:sz w:val="20"/>
          <w:szCs w:val="20"/>
        </w:rPr>
        <w:t>El Estado no remitió observaciones respecto de los anexos enviados por los representantes</w:t>
      </w:r>
      <w:r w:rsidR="0035511B">
        <w:rPr>
          <w:rFonts w:ascii="Verdana" w:hAnsi="Verdana"/>
          <w:sz w:val="20"/>
          <w:szCs w:val="20"/>
        </w:rPr>
        <w:t>.</w:t>
      </w:r>
      <w:r w:rsidR="002924C8">
        <w:rPr>
          <w:rFonts w:ascii="Verdana" w:hAnsi="Verdana"/>
          <w:sz w:val="20"/>
          <w:szCs w:val="20"/>
        </w:rPr>
        <w:t xml:space="preserve"> </w:t>
      </w:r>
    </w:p>
    <w:p w14:paraId="12029BC0" w14:textId="77777777" w:rsidR="00E4033A" w:rsidRPr="00FD7DB4" w:rsidRDefault="00E4033A" w:rsidP="00073B1B">
      <w:pPr>
        <w:pStyle w:val="ListParagraph"/>
        <w:ind w:left="0"/>
        <w:jc w:val="both"/>
        <w:rPr>
          <w:rFonts w:ascii="Verdana" w:hAnsi="Verdana"/>
          <w:sz w:val="20"/>
          <w:szCs w:val="20"/>
        </w:rPr>
      </w:pPr>
    </w:p>
    <w:p w14:paraId="091DDA10" w14:textId="7852DB23" w:rsidR="00BF24FB" w:rsidRPr="00FD7DB4" w:rsidRDefault="00073B1B" w:rsidP="00BF24FB">
      <w:pPr>
        <w:pStyle w:val="ListParagraph"/>
        <w:numPr>
          <w:ilvl w:val="0"/>
          <w:numId w:val="2"/>
        </w:numPr>
        <w:ind w:left="0" w:firstLine="0"/>
        <w:jc w:val="both"/>
        <w:rPr>
          <w:rFonts w:ascii="Verdana" w:hAnsi="Verdana"/>
          <w:b/>
          <w:sz w:val="20"/>
          <w:szCs w:val="20"/>
        </w:rPr>
      </w:pPr>
      <w:r w:rsidRPr="00FD7DB4">
        <w:rPr>
          <w:rFonts w:ascii="Verdana" w:hAnsi="Verdana"/>
          <w:i/>
          <w:sz w:val="20"/>
          <w:szCs w:val="20"/>
        </w:rPr>
        <w:t>Prueba para mejor resolver</w:t>
      </w:r>
      <w:r w:rsidR="007140D9" w:rsidRPr="00FD7DB4">
        <w:rPr>
          <w:rFonts w:ascii="Verdana" w:hAnsi="Verdana"/>
          <w:i/>
          <w:sz w:val="20"/>
          <w:szCs w:val="20"/>
        </w:rPr>
        <w:t>.</w:t>
      </w:r>
      <w:r w:rsidR="007140D9" w:rsidRPr="00FD7DB4">
        <w:rPr>
          <w:rFonts w:ascii="Verdana" w:hAnsi="Verdana"/>
          <w:sz w:val="20"/>
          <w:szCs w:val="20"/>
        </w:rPr>
        <w:t xml:space="preserve"> – </w:t>
      </w:r>
      <w:r w:rsidR="000B276F" w:rsidRPr="00FD7DB4">
        <w:rPr>
          <w:rFonts w:ascii="Verdana" w:hAnsi="Verdana"/>
          <w:sz w:val="20"/>
          <w:szCs w:val="20"/>
        </w:rPr>
        <w:t xml:space="preserve"> El 26 de marzo de 2015, siguiendo instrucciones del Presidente </w:t>
      </w:r>
      <w:r w:rsidR="00BF24FB" w:rsidRPr="00FD7DB4">
        <w:rPr>
          <w:rFonts w:ascii="Verdana" w:hAnsi="Verdana"/>
          <w:sz w:val="20"/>
          <w:szCs w:val="20"/>
        </w:rPr>
        <w:t>y con fundamento en lo dispuesto en el artículo 58.b) de su Reglamento, la Secretaría solicitó al Estado la presentación de documentación como prueba para mejor resolver</w:t>
      </w:r>
      <w:r w:rsidR="0035511B">
        <w:rPr>
          <w:rFonts w:ascii="Verdana" w:hAnsi="Verdana"/>
          <w:sz w:val="20"/>
          <w:szCs w:val="20"/>
        </w:rPr>
        <w:t>.</w:t>
      </w:r>
      <w:r w:rsidR="00BF24FB" w:rsidRPr="00FD7DB4">
        <w:rPr>
          <w:rFonts w:ascii="Verdana" w:hAnsi="Verdana"/>
          <w:b/>
          <w:sz w:val="20"/>
          <w:szCs w:val="20"/>
        </w:rPr>
        <w:t xml:space="preserve"> </w:t>
      </w:r>
      <w:r w:rsidR="00BF24FB" w:rsidRPr="00FD7DB4">
        <w:rPr>
          <w:rFonts w:ascii="Verdana" w:hAnsi="Verdana"/>
          <w:sz w:val="20"/>
          <w:szCs w:val="20"/>
        </w:rPr>
        <w:t>Dicha solicitud fue ratificada el 15 de abril de 2015. Mediante comunicación de 29 de abril de 2015, el Estado remitió de forma parcial lo solicitado</w:t>
      </w:r>
      <w:r w:rsidR="00BF24FB" w:rsidRPr="00FD7DB4">
        <w:rPr>
          <w:rStyle w:val="FootnoteReference"/>
          <w:szCs w:val="20"/>
        </w:rPr>
        <w:footnoteReference w:id="13"/>
      </w:r>
      <w:r w:rsidR="0035511B">
        <w:rPr>
          <w:rFonts w:ascii="Verdana" w:hAnsi="Verdana"/>
          <w:sz w:val="20"/>
          <w:szCs w:val="20"/>
        </w:rPr>
        <w:t>.</w:t>
      </w:r>
      <w:r w:rsidR="00BF24FB" w:rsidRPr="00FD7DB4">
        <w:rPr>
          <w:rFonts w:ascii="Verdana" w:hAnsi="Verdana"/>
          <w:sz w:val="20"/>
          <w:szCs w:val="20"/>
        </w:rPr>
        <w:t xml:space="preserve"> </w:t>
      </w:r>
    </w:p>
    <w:p w14:paraId="59434BF6" w14:textId="77777777" w:rsidR="000B276F" w:rsidRPr="00FD7DB4" w:rsidRDefault="000B276F" w:rsidP="00690B3D">
      <w:pPr>
        <w:pStyle w:val="ListParagraph"/>
        <w:ind w:left="0"/>
        <w:jc w:val="both"/>
        <w:rPr>
          <w:rFonts w:ascii="Verdana" w:hAnsi="Verdana"/>
          <w:sz w:val="20"/>
          <w:szCs w:val="20"/>
        </w:rPr>
      </w:pPr>
    </w:p>
    <w:p w14:paraId="54F8CA35" w14:textId="185B3E41" w:rsidR="0035511B" w:rsidRDefault="000B276F" w:rsidP="000B276F">
      <w:pPr>
        <w:pStyle w:val="ListParagraph"/>
        <w:numPr>
          <w:ilvl w:val="0"/>
          <w:numId w:val="2"/>
        </w:numPr>
        <w:ind w:left="0" w:firstLine="0"/>
        <w:jc w:val="both"/>
        <w:rPr>
          <w:rFonts w:ascii="Verdana" w:hAnsi="Verdana"/>
          <w:sz w:val="20"/>
          <w:szCs w:val="20"/>
        </w:rPr>
      </w:pPr>
      <w:r w:rsidRPr="00FD7DB4">
        <w:rPr>
          <w:rFonts w:ascii="Verdana" w:hAnsi="Verdana"/>
          <w:i/>
          <w:sz w:val="20"/>
          <w:szCs w:val="20"/>
        </w:rPr>
        <w:t>Observaciones a la prueba para mejor resolver</w:t>
      </w:r>
      <w:r w:rsidR="007140D9" w:rsidRPr="00FD7DB4">
        <w:rPr>
          <w:rFonts w:ascii="Verdana" w:hAnsi="Verdana"/>
          <w:i/>
          <w:sz w:val="20"/>
          <w:szCs w:val="20"/>
        </w:rPr>
        <w:t>.</w:t>
      </w:r>
      <w:r w:rsidR="007140D9" w:rsidRPr="00FD7DB4">
        <w:rPr>
          <w:rFonts w:ascii="Verdana" w:hAnsi="Verdana"/>
          <w:sz w:val="20"/>
          <w:szCs w:val="20"/>
        </w:rPr>
        <w:t xml:space="preserve"> – </w:t>
      </w:r>
      <w:r w:rsidRPr="00FD7DB4">
        <w:rPr>
          <w:rFonts w:ascii="Verdana" w:hAnsi="Verdana"/>
          <w:sz w:val="20"/>
          <w:szCs w:val="20"/>
        </w:rPr>
        <w:t xml:space="preserve">Mediante comunicaciones de 12 y 13 de mayo de 2015, tanto los representantes como la Comisión presentaron sus </w:t>
      </w:r>
      <w:r w:rsidRPr="00A05CA0">
        <w:rPr>
          <w:rFonts w:ascii="Verdana" w:hAnsi="Verdana"/>
          <w:sz w:val="20"/>
          <w:szCs w:val="20"/>
        </w:rPr>
        <w:t xml:space="preserve">observaciones respecto de </w:t>
      </w:r>
      <w:r w:rsidR="00A05CA0" w:rsidRPr="00A05CA0">
        <w:rPr>
          <w:rFonts w:ascii="Verdana" w:hAnsi="Verdana"/>
          <w:sz w:val="20"/>
          <w:szCs w:val="20"/>
        </w:rPr>
        <w:t>la</w:t>
      </w:r>
      <w:r w:rsidR="00A05CA0">
        <w:rPr>
          <w:rFonts w:ascii="Verdana" w:hAnsi="Verdana"/>
          <w:sz w:val="20"/>
          <w:szCs w:val="20"/>
        </w:rPr>
        <w:t xml:space="preserve"> </w:t>
      </w:r>
      <w:r w:rsidRPr="00FD7DB4">
        <w:rPr>
          <w:rFonts w:ascii="Verdana" w:hAnsi="Verdana"/>
          <w:sz w:val="20"/>
          <w:szCs w:val="20"/>
        </w:rPr>
        <w:t>prueba para mejor resolver remitid</w:t>
      </w:r>
      <w:r w:rsidR="003723B0">
        <w:rPr>
          <w:rFonts w:ascii="Verdana" w:hAnsi="Verdana"/>
          <w:sz w:val="20"/>
          <w:szCs w:val="20"/>
        </w:rPr>
        <w:t>a</w:t>
      </w:r>
      <w:r w:rsidRPr="00FD7DB4">
        <w:rPr>
          <w:rFonts w:ascii="Verdana" w:hAnsi="Verdana"/>
          <w:sz w:val="20"/>
          <w:szCs w:val="20"/>
        </w:rPr>
        <w:t xml:space="preserve"> por el Estado, la cual fue solicitada durante la audiencia pública del caso </w:t>
      </w:r>
      <w:r w:rsidR="00E51005">
        <w:rPr>
          <w:rFonts w:ascii="Verdana" w:hAnsi="Verdana"/>
          <w:sz w:val="20"/>
          <w:szCs w:val="20"/>
        </w:rPr>
        <w:t>y reiterada el 26 de marzo y 15 de abril de 2015 (</w:t>
      </w:r>
      <w:r w:rsidR="00366D91" w:rsidRPr="00366D91">
        <w:rPr>
          <w:rFonts w:ascii="Verdana" w:hAnsi="Verdana"/>
          <w:i/>
          <w:sz w:val="20"/>
          <w:szCs w:val="20"/>
        </w:rPr>
        <w:t>supra</w:t>
      </w:r>
      <w:r w:rsidR="00E51005">
        <w:rPr>
          <w:rFonts w:ascii="Verdana" w:hAnsi="Verdana"/>
          <w:sz w:val="20"/>
          <w:szCs w:val="20"/>
        </w:rPr>
        <w:t xml:space="preserve"> párr</w:t>
      </w:r>
      <w:r w:rsidR="002924C8">
        <w:rPr>
          <w:rFonts w:ascii="Verdana" w:hAnsi="Verdana"/>
          <w:sz w:val="20"/>
          <w:szCs w:val="20"/>
        </w:rPr>
        <w:t>.</w:t>
      </w:r>
      <w:r w:rsidR="00E51005">
        <w:rPr>
          <w:rFonts w:ascii="Verdana" w:hAnsi="Verdana"/>
          <w:sz w:val="20"/>
          <w:szCs w:val="20"/>
        </w:rPr>
        <w:t xml:space="preserve"> </w:t>
      </w:r>
      <w:r w:rsidR="003723B0">
        <w:rPr>
          <w:rFonts w:ascii="Verdana" w:hAnsi="Verdana"/>
          <w:sz w:val="20"/>
          <w:szCs w:val="20"/>
        </w:rPr>
        <w:t>12</w:t>
      </w:r>
      <w:r w:rsidR="00E51005">
        <w:rPr>
          <w:rFonts w:ascii="Verdana" w:hAnsi="Verdana"/>
          <w:sz w:val="20"/>
          <w:szCs w:val="20"/>
        </w:rPr>
        <w:t>)</w:t>
      </w:r>
      <w:r w:rsidRPr="00FD7DB4">
        <w:rPr>
          <w:rFonts w:ascii="Verdana" w:hAnsi="Verdana"/>
          <w:sz w:val="20"/>
          <w:szCs w:val="20"/>
        </w:rPr>
        <w:t>.</w:t>
      </w:r>
    </w:p>
    <w:p w14:paraId="04C6E644" w14:textId="77777777" w:rsidR="0035511B" w:rsidRPr="004B0145" w:rsidRDefault="0035511B" w:rsidP="004B0145">
      <w:pPr>
        <w:pStyle w:val="ListParagraph"/>
        <w:rPr>
          <w:rFonts w:ascii="Verdana" w:hAnsi="Verdana"/>
          <w:sz w:val="20"/>
          <w:szCs w:val="20"/>
        </w:rPr>
      </w:pPr>
    </w:p>
    <w:p w14:paraId="4AFC55DF" w14:textId="5B4EA620" w:rsidR="00E51005" w:rsidRPr="00FD7DB4" w:rsidRDefault="00E4033A" w:rsidP="00E4033A">
      <w:pPr>
        <w:pStyle w:val="ListParagraph"/>
        <w:numPr>
          <w:ilvl w:val="0"/>
          <w:numId w:val="2"/>
        </w:numPr>
        <w:ind w:left="0" w:firstLine="0"/>
        <w:jc w:val="both"/>
        <w:rPr>
          <w:rFonts w:ascii="Verdana" w:hAnsi="Verdana"/>
          <w:i/>
          <w:sz w:val="20"/>
          <w:szCs w:val="20"/>
        </w:rPr>
      </w:pPr>
      <w:r w:rsidRPr="00FD7DB4">
        <w:rPr>
          <w:rFonts w:ascii="Verdana" w:hAnsi="Verdana"/>
          <w:i/>
          <w:sz w:val="20"/>
          <w:szCs w:val="20"/>
        </w:rPr>
        <w:t xml:space="preserve">Diligencia in situ en los </w:t>
      </w:r>
      <w:r w:rsidR="00382F4D">
        <w:rPr>
          <w:rFonts w:ascii="Verdana" w:hAnsi="Verdana"/>
          <w:i/>
          <w:sz w:val="20"/>
          <w:szCs w:val="20"/>
        </w:rPr>
        <w:t>Pueblos Kaliña y Lokono</w:t>
      </w:r>
      <w:r w:rsidR="00B76AD5" w:rsidRPr="00FD7DB4">
        <w:rPr>
          <w:rFonts w:ascii="Verdana" w:hAnsi="Verdana"/>
          <w:i/>
          <w:sz w:val="20"/>
          <w:szCs w:val="20"/>
        </w:rPr>
        <w:t xml:space="preserve"> </w:t>
      </w:r>
      <w:r w:rsidR="00B76AD5" w:rsidRPr="00FD7DB4">
        <w:rPr>
          <w:rFonts w:ascii="Verdana" w:hAnsi="Verdana"/>
          <w:sz w:val="20"/>
          <w:szCs w:val="20"/>
        </w:rPr>
        <w:t xml:space="preserve">(en adelante “la visita” o “la diligencia </w:t>
      </w:r>
      <w:r w:rsidR="00B76AD5" w:rsidRPr="00366D91">
        <w:rPr>
          <w:rFonts w:ascii="Verdana" w:hAnsi="Verdana"/>
          <w:i/>
          <w:sz w:val="20"/>
          <w:szCs w:val="20"/>
        </w:rPr>
        <w:t>in situ</w:t>
      </w:r>
      <w:r w:rsidR="00B76AD5" w:rsidRPr="00FD7DB4">
        <w:rPr>
          <w:rFonts w:ascii="Verdana" w:hAnsi="Verdana"/>
          <w:sz w:val="20"/>
          <w:szCs w:val="20"/>
        </w:rPr>
        <w:t>”)</w:t>
      </w:r>
      <w:r w:rsidR="007140D9" w:rsidRPr="00FD7DB4">
        <w:rPr>
          <w:rFonts w:ascii="Verdana" w:hAnsi="Verdana"/>
          <w:i/>
          <w:sz w:val="20"/>
          <w:szCs w:val="20"/>
        </w:rPr>
        <w:t>.</w:t>
      </w:r>
      <w:r w:rsidR="007140D9" w:rsidRPr="00FD7DB4">
        <w:rPr>
          <w:rFonts w:ascii="Verdana" w:hAnsi="Verdana"/>
          <w:sz w:val="20"/>
          <w:szCs w:val="20"/>
        </w:rPr>
        <w:t xml:space="preserve"> – </w:t>
      </w:r>
      <w:r w:rsidR="001D70DF" w:rsidRPr="00FD7DB4">
        <w:rPr>
          <w:rFonts w:ascii="Verdana" w:hAnsi="Verdana"/>
          <w:sz w:val="20"/>
          <w:szCs w:val="20"/>
        </w:rPr>
        <w:t>E</w:t>
      </w:r>
      <w:r w:rsidRPr="00FD7DB4">
        <w:rPr>
          <w:rFonts w:ascii="Verdana" w:hAnsi="Verdana"/>
          <w:sz w:val="20"/>
          <w:szCs w:val="20"/>
        </w:rPr>
        <w:t xml:space="preserve">ntre </w:t>
      </w:r>
      <w:r w:rsidR="00301A0D" w:rsidRPr="00FD7DB4">
        <w:rPr>
          <w:rFonts w:ascii="Verdana" w:hAnsi="Verdana"/>
          <w:sz w:val="20"/>
          <w:szCs w:val="20"/>
        </w:rPr>
        <w:t xml:space="preserve">los días </w:t>
      </w:r>
      <w:r w:rsidRPr="00FD7DB4">
        <w:rPr>
          <w:rFonts w:ascii="Verdana" w:hAnsi="Verdana"/>
          <w:sz w:val="20"/>
          <w:szCs w:val="20"/>
        </w:rPr>
        <w:t>1</w:t>
      </w:r>
      <w:r w:rsidR="00E51005">
        <w:rPr>
          <w:rFonts w:ascii="Verdana" w:hAnsi="Verdana"/>
          <w:sz w:val="20"/>
          <w:szCs w:val="20"/>
        </w:rPr>
        <w:t>7</w:t>
      </w:r>
      <w:r w:rsidRPr="00FD7DB4">
        <w:rPr>
          <w:rFonts w:ascii="Verdana" w:hAnsi="Verdana"/>
          <w:sz w:val="20"/>
          <w:szCs w:val="20"/>
        </w:rPr>
        <w:t xml:space="preserve"> </w:t>
      </w:r>
      <w:r w:rsidR="00301A0D" w:rsidRPr="00FD7DB4">
        <w:rPr>
          <w:rFonts w:ascii="Verdana" w:hAnsi="Verdana"/>
          <w:sz w:val="20"/>
          <w:szCs w:val="20"/>
        </w:rPr>
        <w:t>a</w:t>
      </w:r>
      <w:r w:rsidRPr="00FD7DB4">
        <w:rPr>
          <w:rFonts w:ascii="Verdana" w:hAnsi="Verdana"/>
          <w:sz w:val="20"/>
          <w:szCs w:val="20"/>
        </w:rPr>
        <w:t xml:space="preserve">l 19 de agosto de 2015 </w:t>
      </w:r>
      <w:r w:rsidR="001D70DF" w:rsidRPr="00FD7DB4">
        <w:rPr>
          <w:rFonts w:ascii="Verdana" w:hAnsi="Verdana"/>
          <w:sz w:val="20"/>
          <w:szCs w:val="20"/>
        </w:rPr>
        <w:t xml:space="preserve">una </w:t>
      </w:r>
      <w:r w:rsidR="00D519B2" w:rsidRPr="00FD7DB4">
        <w:rPr>
          <w:rFonts w:ascii="Verdana" w:hAnsi="Verdana"/>
          <w:sz w:val="20"/>
          <w:szCs w:val="20"/>
        </w:rPr>
        <w:t>delegación</w:t>
      </w:r>
      <w:r w:rsidR="001D70DF" w:rsidRPr="00FD7DB4">
        <w:rPr>
          <w:rFonts w:ascii="Verdana" w:hAnsi="Verdana"/>
          <w:sz w:val="20"/>
          <w:szCs w:val="20"/>
        </w:rPr>
        <w:t xml:space="preserve"> del Tribunal llevó a cabo una diligencia </w:t>
      </w:r>
      <w:r w:rsidR="001D70DF" w:rsidRPr="00FD7DB4">
        <w:rPr>
          <w:rFonts w:ascii="Verdana" w:hAnsi="Verdana"/>
          <w:i/>
          <w:sz w:val="20"/>
          <w:szCs w:val="20"/>
        </w:rPr>
        <w:t>in situ</w:t>
      </w:r>
      <w:r w:rsidRPr="00FD7DB4">
        <w:rPr>
          <w:rFonts w:ascii="Verdana" w:hAnsi="Verdana"/>
          <w:sz w:val="20"/>
          <w:szCs w:val="20"/>
        </w:rPr>
        <w:t xml:space="preserve"> </w:t>
      </w:r>
      <w:r w:rsidR="001D70DF" w:rsidRPr="00FD7DB4">
        <w:rPr>
          <w:rFonts w:ascii="Verdana" w:hAnsi="Verdana"/>
          <w:sz w:val="20"/>
          <w:szCs w:val="20"/>
        </w:rPr>
        <w:t xml:space="preserve">en parte del territorio reclamado por los </w:t>
      </w:r>
      <w:r w:rsidR="00382F4D">
        <w:rPr>
          <w:rFonts w:ascii="Verdana" w:hAnsi="Verdana"/>
          <w:sz w:val="20"/>
          <w:szCs w:val="20"/>
        </w:rPr>
        <w:t>Pueblos Kaliña y Lokono</w:t>
      </w:r>
      <w:r w:rsidR="001D70DF" w:rsidRPr="00FD7DB4">
        <w:rPr>
          <w:rFonts w:ascii="Verdana" w:hAnsi="Verdana"/>
          <w:sz w:val="20"/>
          <w:szCs w:val="20"/>
        </w:rPr>
        <w:t xml:space="preserve">, </w:t>
      </w:r>
      <w:r w:rsidR="001D70DF" w:rsidRPr="00FD7DB4">
        <w:rPr>
          <w:rFonts w:ascii="Verdana" w:eastAsia="Times New Roman" w:hAnsi="Verdana"/>
          <w:sz w:val="20"/>
          <w:szCs w:val="20"/>
        </w:rPr>
        <w:t xml:space="preserve">con el </w:t>
      </w:r>
      <w:r w:rsidR="001D70DF" w:rsidRPr="00FD7DB4">
        <w:rPr>
          <w:rFonts w:ascii="Verdana" w:eastAsia="Times New Roman" w:hAnsi="Verdana"/>
          <w:sz w:val="20"/>
          <w:szCs w:val="20"/>
        </w:rPr>
        <w:lastRenderedPageBreak/>
        <w:t>objetivo de observar algunas de estas áreas, incluyendo algunas de las reservas naturales, y reunirse con las partes, la Comisión, y diversas autoridades y pobladores</w:t>
      </w:r>
      <w:r w:rsidR="001D70DF" w:rsidRPr="00FD7DB4">
        <w:rPr>
          <w:rStyle w:val="FootnoteReference"/>
          <w:rFonts w:eastAsia="Times New Roman"/>
          <w:szCs w:val="20"/>
        </w:rPr>
        <w:footnoteReference w:id="14"/>
      </w:r>
      <w:r w:rsidR="00050600">
        <w:rPr>
          <w:rFonts w:ascii="Verdana" w:hAnsi="Verdana"/>
          <w:sz w:val="20"/>
          <w:szCs w:val="20"/>
        </w:rPr>
        <w:t xml:space="preserve">. </w:t>
      </w:r>
      <w:r w:rsidR="001D70DF" w:rsidRPr="00FD7DB4">
        <w:rPr>
          <w:rFonts w:ascii="Verdana" w:hAnsi="Verdana"/>
          <w:sz w:val="20"/>
          <w:szCs w:val="20"/>
        </w:rPr>
        <w:t>L</w:t>
      </w:r>
      <w:r w:rsidRPr="00FD7DB4">
        <w:rPr>
          <w:rFonts w:ascii="Verdana" w:hAnsi="Verdana"/>
          <w:sz w:val="20"/>
          <w:szCs w:val="20"/>
        </w:rPr>
        <w:t>a misma consta en v</w:t>
      </w:r>
      <w:r w:rsidR="00301A0D" w:rsidRPr="00FD7DB4">
        <w:rPr>
          <w:rFonts w:ascii="Verdana" w:hAnsi="Verdana"/>
          <w:sz w:val="20"/>
          <w:szCs w:val="20"/>
        </w:rPr>
        <w:t>ersión videográfica</w:t>
      </w:r>
      <w:r w:rsidRPr="00FD7DB4">
        <w:rPr>
          <w:rFonts w:ascii="Verdana" w:hAnsi="Verdana"/>
          <w:sz w:val="20"/>
          <w:szCs w:val="20"/>
        </w:rPr>
        <w:t xml:space="preserve"> </w:t>
      </w:r>
      <w:r w:rsidR="001D70DF" w:rsidRPr="00FD7DB4">
        <w:rPr>
          <w:rFonts w:ascii="Verdana" w:hAnsi="Verdana"/>
          <w:sz w:val="20"/>
          <w:szCs w:val="20"/>
        </w:rPr>
        <w:t xml:space="preserve">elaborada </w:t>
      </w:r>
      <w:r w:rsidRPr="00FD7DB4">
        <w:rPr>
          <w:rFonts w:ascii="Verdana" w:hAnsi="Verdana"/>
          <w:sz w:val="20"/>
          <w:szCs w:val="20"/>
        </w:rPr>
        <w:t>por el Estado. En particular, se realizaron</w:t>
      </w:r>
      <w:r w:rsidR="00E51005">
        <w:rPr>
          <w:rFonts w:ascii="Verdana" w:hAnsi="Verdana"/>
          <w:sz w:val="20"/>
          <w:szCs w:val="20"/>
        </w:rPr>
        <w:t xml:space="preserve"> </w:t>
      </w:r>
      <w:r w:rsidR="001D70DF" w:rsidRPr="00FD7DB4">
        <w:rPr>
          <w:rFonts w:ascii="Verdana" w:hAnsi="Verdana"/>
          <w:sz w:val="20"/>
          <w:szCs w:val="20"/>
        </w:rPr>
        <w:t>principalmente</w:t>
      </w:r>
      <w:r w:rsidR="00E51005">
        <w:rPr>
          <w:rFonts w:ascii="Verdana" w:hAnsi="Verdana"/>
          <w:sz w:val="20"/>
          <w:szCs w:val="20"/>
        </w:rPr>
        <w:t>,</w:t>
      </w:r>
      <w:r w:rsidR="001D70DF" w:rsidRPr="00FD7DB4">
        <w:rPr>
          <w:rFonts w:ascii="Verdana" w:hAnsi="Verdana"/>
          <w:sz w:val="20"/>
          <w:szCs w:val="20"/>
        </w:rPr>
        <w:t xml:space="preserve"> las </w:t>
      </w:r>
      <w:r w:rsidRPr="00FD7DB4">
        <w:rPr>
          <w:rFonts w:ascii="Verdana" w:hAnsi="Verdana"/>
          <w:sz w:val="20"/>
          <w:szCs w:val="20"/>
        </w:rPr>
        <w:t>siguientes actividades: a) el lunes 17 de agosto se visitó Paramaribo, donde se celebraron reuniones con diferentes autoridades</w:t>
      </w:r>
      <w:r w:rsidR="001D70DF" w:rsidRPr="00FD7DB4">
        <w:rPr>
          <w:rFonts w:ascii="Verdana" w:hAnsi="Verdana"/>
          <w:sz w:val="20"/>
          <w:szCs w:val="20"/>
        </w:rPr>
        <w:t xml:space="preserve"> y delegaciones, entre ellas la </w:t>
      </w:r>
      <w:r w:rsidR="00E51005">
        <w:rPr>
          <w:rFonts w:ascii="Verdana" w:hAnsi="Verdana"/>
          <w:sz w:val="20"/>
          <w:szCs w:val="20"/>
        </w:rPr>
        <w:t>recién nombrada</w:t>
      </w:r>
      <w:r w:rsidR="001D70DF" w:rsidRPr="00FD7DB4">
        <w:rPr>
          <w:rFonts w:ascii="Verdana" w:hAnsi="Verdana"/>
          <w:sz w:val="20"/>
          <w:szCs w:val="20"/>
        </w:rPr>
        <w:t xml:space="preserve"> Ministra de Relaciones Exteriores y la Representante de la Asamblea Nacional. Asimismo, se llevaron a cabo reuniones </w:t>
      </w:r>
      <w:r w:rsidRPr="00FD7DB4">
        <w:rPr>
          <w:rFonts w:ascii="Verdana" w:hAnsi="Verdana"/>
          <w:sz w:val="20"/>
          <w:szCs w:val="20"/>
        </w:rPr>
        <w:t>en las que participaron</w:t>
      </w:r>
      <w:r w:rsidR="00E314D8">
        <w:rPr>
          <w:rFonts w:ascii="Verdana" w:hAnsi="Verdana"/>
          <w:sz w:val="20"/>
          <w:szCs w:val="20"/>
        </w:rPr>
        <w:t>, entre otros,</w:t>
      </w:r>
      <w:r w:rsidRPr="00FD7DB4">
        <w:rPr>
          <w:rFonts w:ascii="Verdana" w:hAnsi="Verdana"/>
          <w:sz w:val="20"/>
          <w:szCs w:val="20"/>
        </w:rPr>
        <w:t xml:space="preserve"> representantes de</w:t>
      </w:r>
      <w:r w:rsidR="001D70DF" w:rsidRPr="00FD7DB4">
        <w:rPr>
          <w:rFonts w:ascii="Verdana" w:hAnsi="Verdana"/>
          <w:sz w:val="20"/>
          <w:szCs w:val="20"/>
        </w:rPr>
        <w:t xml:space="preserve"> los </w:t>
      </w:r>
      <w:r w:rsidR="00382F4D">
        <w:rPr>
          <w:rFonts w:ascii="Verdana" w:hAnsi="Verdana"/>
          <w:sz w:val="20"/>
          <w:szCs w:val="20"/>
        </w:rPr>
        <w:t>Pueblos Kaliña y Lokono</w:t>
      </w:r>
      <w:r w:rsidR="001D70DF" w:rsidRPr="00FD7DB4">
        <w:rPr>
          <w:rFonts w:ascii="Verdana" w:hAnsi="Verdana"/>
          <w:sz w:val="20"/>
          <w:szCs w:val="20"/>
        </w:rPr>
        <w:t>, de</w:t>
      </w:r>
      <w:r w:rsidRPr="00FD7DB4">
        <w:rPr>
          <w:rFonts w:ascii="Verdana" w:hAnsi="Verdana"/>
          <w:sz w:val="20"/>
          <w:szCs w:val="20"/>
        </w:rPr>
        <w:t xml:space="preserve"> las comunidades </w:t>
      </w:r>
      <w:r w:rsidR="006D4D2C">
        <w:rPr>
          <w:rFonts w:ascii="Verdana" w:hAnsi="Verdana"/>
          <w:sz w:val="20"/>
          <w:szCs w:val="20"/>
        </w:rPr>
        <w:t>maroon</w:t>
      </w:r>
      <w:r w:rsidRPr="00FD7DB4">
        <w:rPr>
          <w:rFonts w:ascii="Verdana" w:hAnsi="Verdana"/>
          <w:sz w:val="20"/>
          <w:szCs w:val="20"/>
        </w:rPr>
        <w:t xml:space="preserve">s, de la Comisión y del Estado; b) el martes 18 de agosto se realizó una reunión con los representantes de </w:t>
      </w:r>
      <w:r w:rsidR="00301A0D" w:rsidRPr="00FD7DB4">
        <w:rPr>
          <w:rFonts w:ascii="Verdana" w:hAnsi="Verdana"/>
          <w:sz w:val="20"/>
          <w:szCs w:val="20"/>
        </w:rPr>
        <w:t xml:space="preserve">los </w:t>
      </w:r>
      <w:r w:rsidR="007F642B">
        <w:rPr>
          <w:rFonts w:ascii="Verdana" w:hAnsi="Verdana"/>
          <w:sz w:val="20"/>
          <w:szCs w:val="20"/>
        </w:rPr>
        <w:t>P</w:t>
      </w:r>
      <w:r w:rsidR="00301A0D" w:rsidRPr="00FD7DB4">
        <w:rPr>
          <w:rFonts w:ascii="Verdana" w:hAnsi="Verdana"/>
          <w:sz w:val="20"/>
          <w:szCs w:val="20"/>
        </w:rPr>
        <w:t xml:space="preserve">ueblos de </w:t>
      </w:r>
      <w:r w:rsidRPr="00FD7DB4">
        <w:rPr>
          <w:rFonts w:ascii="Verdana" w:hAnsi="Verdana"/>
          <w:sz w:val="20"/>
          <w:szCs w:val="20"/>
        </w:rPr>
        <w:t xml:space="preserve">Christiaankondre y Langamankondre y una breve visita a dichos </w:t>
      </w:r>
      <w:r w:rsidR="00E314D8">
        <w:rPr>
          <w:rFonts w:ascii="Verdana" w:hAnsi="Verdana"/>
          <w:sz w:val="20"/>
          <w:szCs w:val="20"/>
        </w:rPr>
        <w:t>p</w:t>
      </w:r>
      <w:r w:rsidRPr="00FD7DB4">
        <w:rPr>
          <w:rFonts w:ascii="Verdana" w:hAnsi="Verdana"/>
          <w:sz w:val="20"/>
          <w:szCs w:val="20"/>
        </w:rPr>
        <w:t xml:space="preserve">ueblos, </w:t>
      </w:r>
      <w:r w:rsidR="001D70DF" w:rsidRPr="00FD7DB4">
        <w:rPr>
          <w:rFonts w:ascii="Verdana" w:hAnsi="Verdana"/>
          <w:sz w:val="20"/>
          <w:szCs w:val="20"/>
        </w:rPr>
        <w:t xml:space="preserve">en donde se recibieron sus manifestaciones, </w:t>
      </w:r>
      <w:r w:rsidRPr="00FD7DB4">
        <w:rPr>
          <w:rFonts w:ascii="Verdana" w:hAnsi="Verdana"/>
          <w:sz w:val="20"/>
          <w:szCs w:val="20"/>
        </w:rPr>
        <w:t xml:space="preserve">luego de lo cual, la delegación recibió una bienvenida por </w:t>
      </w:r>
      <w:r w:rsidR="00E314D8">
        <w:rPr>
          <w:rFonts w:ascii="Verdana" w:hAnsi="Verdana"/>
          <w:sz w:val="20"/>
          <w:szCs w:val="20"/>
        </w:rPr>
        <w:t xml:space="preserve">parte de sus </w:t>
      </w:r>
      <w:r w:rsidRPr="00FD7DB4">
        <w:rPr>
          <w:rFonts w:ascii="Verdana" w:hAnsi="Verdana"/>
          <w:sz w:val="20"/>
          <w:szCs w:val="20"/>
        </w:rPr>
        <w:t>miembro</w:t>
      </w:r>
      <w:r w:rsidR="00E314D8">
        <w:rPr>
          <w:rFonts w:ascii="Verdana" w:hAnsi="Verdana"/>
          <w:sz w:val="20"/>
          <w:szCs w:val="20"/>
        </w:rPr>
        <w:t>s</w:t>
      </w:r>
      <w:r w:rsidR="001D70DF" w:rsidRPr="00FD7DB4">
        <w:rPr>
          <w:rFonts w:ascii="Verdana" w:hAnsi="Verdana"/>
          <w:sz w:val="20"/>
          <w:szCs w:val="20"/>
        </w:rPr>
        <w:t>,</w:t>
      </w:r>
      <w:r w:rsidRPr="00FD7DB4">
        <w:rPr>
          <w:rFonts w:ascii="Verdana" w:hAnsi="Verdana"/>
          <w:sz w:val="20"/>
          <w:szCs w:val="20"/>
        </w:rPr>
        <w:t xml:space="preserve"> y c) el miércoles 19 de agosto se realizó una visita a la </w:t>
      </w:r>
      <w:r w:rsidR="007E5111">
        <w:rPr>
          <w:rFonts w:ascii="Verdana" w:hAnsi="Verdana"/>
          <w:sz w:val="20"/>
          <w:szCs w:val="20"/>
        </w:rPr>
        <w:t>Reserva Natural</w:t>
      </w:r>
      <w:r w:rsidRPr="00FD7DB4">
        <w:rPr>
          <w:rFonts w:ascii="Verdana" w:hAnsi="Verdana"/>
          <w:sz w:val="20"/>
          <w:szCs w:val="20"/>
        </w:rPr>
        <w:t xml:space="preserve"> de Galibi, se celebró un encuentro en Erowarte con representantes de seis de los pueblos indígenas, a saber, Erowarte, Tapuku, Pierrekondre, Marijkedorp (o Wan Shi Sha), Alfonsdorp y Bigiston</w:t>
      </w:r>
      <w:r w:rsidR="001D70DF" w:rsidRPr="00FD7DB4">
        <w:rPr>
          <w:rFonts w:ascii="Verdana" w:hAnsi="Verdana"/>
          <w:sz w:val="20"/>
          <w:szCs w:val="20"/>
        </w:rPr>
        <w:t>, en donde también se recibieron una serie de manifestaciones.</w:t>
      </w:r>
      <w:r w:rsidRPr="00FD7DB4">
        <w:rPr>
          <w:rFonts w:ascii="Verdana" w:hAnsi="Verdana"/>
          <w:sz w:val="20"/>
          <w:szCs w:val="20"/>
        </w:rPr>
        <w:t xml:space="preserve"> De igual manera, se realizaron recorridos en vehículo por algunos de</w:t>
      </w:r>
      <w:r w:rsidR="00E314D8">
        <w:rPr>
          <w:rFonts w:ascii="Verdana" w:hAnsi="Verdana"/>
          <w:sz w:val="20"/>
          <w:szCs w:val="20"/>
        </w:rPr>
        <w:t xml:space="preserve"> aquellos </w:t>
      </w:r>
      <w:r w:rsidRPr="00FD7DB4">
        <w:rPr>
          <w:rFonts w:ascii="Verdana" w:hAnsi="Verdana"/>
          <w:sz w:val="20"/>
          <w:szCs w:val="20"/>
        </w:rPr>
        <w:t>pueblos indígenas, con excepción de Alfonsdorp y Bigiston, y por último, se realizó una visita a</w:t>
      </w:r>
      <w:r w:rsidR="00301A0D" w:rsidRPr="00FD7DB4">
        <w:rPr>
          <w:rFonts w:ascii="Verdana" w:hAnsi="Verdana"/>
          <w:sz w:val="20"/>
          <w:szCs w:val="20"/>
        </w:rPr>
        <w:t xml:space="preserve">l pueblo </w:t>
      </w:r>
      <w:r w:rsidR="006D4D2C">
        <w:rPr>
          <w:rFonts w:ascii="Verdana" w:hAnsi="Verdana"/>
          <w:sz w:val="20"/>
          <w:szCs w:val="20"/>
        </w:rPr>
        <w:t>maroon</w:t>
      </w:r>
      <w:r w:rsidR="00301A0D" w:rsidRPr="00FD7DB4">
        <w:rPr>
          <w:rFonts w:ascii="Verdana" w:hAnsi="Verdana"/>
          <w:sz w:val="20"/>
          <w:szCs w:val="20"/>
        </w:rPr>
        <w:t xml:space="preserve"> de</w:t>
      </w:r>
      <w:r w:rsidRPr="00FD7DB4">
        <w:rPr>
          <w:rFonts w:ascii="Verdana" w:hAnsi="Verdana"/>
          <w:sz w:val="20"/>
          <w:szCs w:val="20"/>
        </w:rPr>
        <w:t xml:space="preserve"> </w:t>
      </w:r>
      <w:r w:rsidR="00301A0D" w:rsidRPr="00FD7DB4">
        <w:rPr>
          <w:rFonts w:ascii="Verdana" w:hAnsi="Verdana"/>
          <w:sz w:val="20"/>
          <w:szCs w:val="20"/>
        </w:rPr>
        <w:t xml:space="preserve">Moengotapu, a </w:t>
      </w:r>
      <w:r w:rsidRPr="00FD7DB4">
        <w:rPr>
          <w:rFonts w:ascii="Verdana" w:hAnsi="Verdana"/>
          <w:sz w:val="20"/>
          <w:szCs w:val="20"/>
        </w:rPr>
        <w:t xml:space="preserve">la </w:t>
      </w:r>
      <w:r w:rsidR="007E5111">
        <w:rPr>
          <w:rFonts w:ascii="Verdana" w:hAnsi="Verdana"/>
          <w:sz w:val="20"/>
          <w:szCs w:val="20"/>
        </w:rPr>
        <w:t>Reserva Natural</w:t>
      </w:r>
      <w:r w:rsidRPr="00FD7DB4">
        <w:rPr>
          <w:rFonts w:ascii="Verdana" w:hAnsi="Verdana"/>
          <w:sz w:val="20"/>
          <w:szCs w:val="20"/>
        </w:rPr>
        <w:t xml:space="preserve"> de Wane </w:t>
      </w:r>
      <w:r w:rsidR="00AE3C94">
        <w:rPr>
          <w:rFonts w:ascii="Verdana" w:hAnsi="Verdana"/>
          <w:sz w:val="20"/>
          <w:szCs w:val="20"/>
        </w:rPr>
        <w:t>K</w:t>
      </w:r>
      <w:r w:rsidRPr="00FD7DB4">
        <w:rPr>
          <w:rFonts w:ascii="Verdana" w:hAnsi="Verdana"/>
          <w:sz w:val="20"/>
          <w:szCs w:val="20"/>
        </w:rPr>
        <w:t xml:space="preserve">reek y </w:t>
      </w:r>
      <w:r w:rsidR="00E314D8">
        <w:rPr>
          <w:rFonts w:ascii="Verdana" w:hAnsi="Verdana"/>
          <w:sz w:val="20"/>
          <w:szCs w:val="20"/>
        </w:rPr>
        <w:t>a</w:t>
      </w:r>
      <w:r w:rsidRPr="00FD7DB4">
        <w:rPr>
          <w:rFonts w:ascii="Verdana" w:hAnsi="Verdana"/>
          <w:sz w:val="20"/>
          <w:szCs w:val="20"/>
        </w:rPr>
        <w:t>l área de la concesión minera</w:t>
      </w:r>
      <w:r w:rsidR="00D575AE">
        <w:rPr>
          <w:rFonts w:ascii="Verdana" w:hAnsi="Verdana"/>
          <w:sz w:val="20"/>
          <w:szCs w:val="20"/>
        </w:rPr>
        <w:t>.</w:t>
      </w:r>
    </w:p>
    <w:p w14:paraId="4D771E6F" w14:textId="77777777" w:rsidR="00E4033A" w:rsidRPr="007140D9" w:rsidRDefault="00E4033A" w:rsidP="00E51005">
      <w:pPr>
        <w:pStyle w:val="ListParagraph"/>
        <w:ind w:left="0"/>
        <w:jc w:val="both"/>
        <w:rPr>
          <w:rFonts w:ascii="Verdana" w:hAnsi="Verdana"/>
          <w:i/>
          <w:sz w:val="20"/>
          <w:szCs w:val="20"/>
        </w:rPr>
      </w:pPr>
    </w:p>
    <w:p w14:paraId="6DD75AAB" w14:textId="75A075FA" w:rsidR="00206475" w:rsidRPr="00FD7DB4" w:rsidRDefault="00E4033A" w:rsidP="00E4033A">
      <w:pPr>
        <w:pStyle w:val="ListParagraph"/>
        <w:numPr>
          <w:ilvl w:val="0"/>
          <w:numId w:val="2"/>
        </w:numPr>
        <w:ind w:left="0" w:firstLine="0"/>
        <w:jc w:val="both"/>
        <w:rPr>
          <w:rFonts w:ascii="Verdana" w:hAnsi="Verdana"/>
          <w:i/>
          <w:sz w:val="20"/>
          <w:szCs w:val="20"/>
        </w:rPr>
      </w:pPr>
      <w:r w:rsidRPr="00FD7DB4">
        <w:rPr>
          <w:rFonts w:ascii="Verdana" w:hAnsi="Verdana"/>
          <w:i/>
          <w:sz w:val="20"/>
          <w:szCs w:val="20"/>
        </w:rPr>
        <w:t xml:space="preserve">Observaciones respecto de la visita y recepción de videos. </w:t>
      </w:r>
      <w:r w:rsidRPr="00FD7DB4">
        <w:rPr>
          <w:rFonts w:ascii="Verdana" w:hAnsi="Verdana"/>
          <w:sz w:val="20"/>
          <w:szCs w:val="20"/>
        </w:rPr>
        <w:t xml:space="preserve">– El 8 de septiembre de 2015 se recibieron las observaciones de la Comisión y de los representantes respecto de la visita. </w:t>
      </w:r>
      <w:r w:rsidR="00206475" w:rsidRPr="00FD7DB4">
        <w:rPr>
          <w:rFonts w:ascii="Verdana" w:hAnsi="Verdana"/>
          <w:sz w:val="20"/>
          <w:szCs w:val="20"/>
        </w:rPr>
        <w:t>E</w:t>
      </w:r>
      <w:r w:rsidR="00E51005">
        <w:rPr>
          <w:rFonts w:ascii="Verdana" w:hAnsi="Verdana"/>
          <w:sz w:val="20"/>
          <w:szCs w:val="20"/>
        </w:rPr>
        <w:t xml:space="preserve">n esa misma fecha, </w:t>
      </w:r>
      <w:r w:rsidR="00206475" w:rsidRPr="00FD7DB4">
        <w:rPr>
          <w:rFonts w:ascii="Verdana" w:hAnsi="Verdana"/>
          <w:sz w:val="20"/>
          <w:szCs w:val="20"/>
        </w:rPr>
        <w:t xml:space="preserve">se recibieron los videos de la </w:t>
      </w:r>
      <w:r w:rsidR="00E51005">
        <w:rPr>
          <w:rFonts w:ascii="Verdana" w:hAnsi="Verdana"/>
          <w:sz w:val="20"/>
          <w:szCs w:val="20"/>
        </w:rPr>
        <w:t xml:space="preserve">diligencia </w:t>
      </w:r>
      <w:r w:rsidR="00E51005" w:rsidRPr="00366D91">
        <w:rPr>
          <w:rFonts w:ascii="Verdana" w:hAnsi="Verdana"/>
          <w:i/>
          <w:sz w:val="20"/>
          <w:szCs w:val="20"/>
        </w:rPr>
        <w:t>in situ</w:t>
      </w:r>
      <w:r w:rsidR="00E51005">
        <w:rPr>
          <w:rFonts w:ascii="Verdana" w:hAnsi="Verdana"/>
          <w:sz w:val="20"/>
          <w:szCs w:val="20"/>
        </w:rPr>
        <w:t xml:space="preserve"> </w:t>
      </w:r>
      <w:r w:rsidR="00206475" w:rsidRPr="00FD7DB4">
        <w:rPr>
          <w:rFonts w:ascii="Verdana" w:hAnsi="Verdana"/>
          <w:sz w:val="20"/>
          <w:szCs w:val="20"/>
        </w:rPr>
        <w:t>enviados por el Estado y contenidos en seis DVDs en versiones tanto editadas como no editadas</w:t>
      </w:r>
      <w:r w:rsidR="00374B40" w:rsidRPr="00FD7DB4">
        <w:rPr>
          <w:rFonts w:ascii="Verdana" w:hAnsi="Verdana"/>
          <w:sz w:val="20"/>
          <w:szCs w:val="20"/>
        </w:rPr>
        <w:t xml:space="preserve">. Mediante dicha comunicación el Estado solicitó una prórroga al envío de sus observaciones respecto a la visita, la cual le fue otorgada. Dichas observaciones y algunos anexos se recibieron el </w:t>
      </w:r>
      <w:r w:rsidR="00374B40" w:rsidRPr="009E77BD">
        <w:rPr>
          <w:rFonts w:ascii="Verdana" w:hAnsi="Verdana"/>
          <w:sz w:val="20"/>
        </w:rPr>
        <w:t>17</w:t>
      </w:r>
      <w:r w:rsidR="00374B40" w:rsidRPr="00FD7DB4">
        <w:rPr>
          <w:rFonts w:ascii="Verdana" w:hAnsi="Verdana"/>
          <w:sz w:val="20"/>
          <w:szCs w:val="20"/>
        </w:rPr>
        <w:t xml:space="preserve"> y 18 de septiembre de 2015</w:t>
      </w:r>
      <w:r w:rsidR="00E51005">
        <w:rPr>
          <w:rFonts w:ascii="Verdana" w:hAnsi="Verdana"/>
          <w:sz w:val="20"/>
          <w:szCs w:val="20"/>
        </w:rPr>
        <w:t>, respectivamente.</w:t>
      </w:r>
    </w:p>
    <w:p w14:paraId="79BE43DC" w14:textId="77777777" w:rsidR="00206475" w:rsidRPr="00FD7DB4" w:rsidRDefault="00206475" w:rsidP="00690B3D">
      <w:pPr>
        <w:pStyle w:val="ListParagraph"/>
        <w:rPr>
          <w:rFonts w:ascii="Verdana" w:hAnsi="Verdana"/>
          <w:sz w:val="20"/>
          <w:szCs w:val="20"/>
        </w:rPr>
      </w:pPr>
    </w:p>
    <w:p w14:paraId="133E44CA" w14:textId="02D334FA" w:rsidR="00EA7C49" w:rsidRPr="00431B5B" w:rsidRDefault="00DB5368" w:rsidP="00206475">
      <w:pPr>
        <w:pStyle w:val="ListParagraph"/>
        <w:numPr>
          <w:ilvl w:val="0"/>
          <w:numId w:val="2"/>
        </w:numPr>
        <w:ind w:left="0" w:firstLine="0"/>
        <w:jc w:val="both"/>
        <w:rPr>
          <w:rFonts w:ascii="Verdana" w:hAnsi="Verdana"/>
          <w:i/>
          <w:sz w:val="20"/>
          <w:szCs w:val="20"/>
        </w:rPr>
      </w:pPr>
      <w:r w:rsidRPr="00FD7DB4">
        <w:rPr>
          <w:rFonts w:ascii="Verdana" w:hAnsi="Verdana"/>
          <w:i/>
          <w:sz w:val="20"/>
          <w:szCs w:val="20"/>
        </w:rPr>
        <w:t>Prueba para mejor resolver solicitada con posterioridad a la visita</w:t>
      </w:r>
      <w:r w:rsidR="00D575AE" w:rsidRPr="00FD7DB4">
        <w:rPr>
          <w:rFonts w:ascii="Verdana" w:hAnsi="Verdana"/>
          <w:i/>
          <w:sz w:val="20"/>
          <w:szCs w:val="20"/>
        </w:rPr>
        <w:t xml:space="preserve">. </w:t>
      </w:r>
      <w:r w:rsidR="00D575AE" w:rsidRPr="00FD7DB4">
        <w:rPr>
          <w:rFonts w:ascii="Verdana" w:hAnsi="Verdana"/>
          <w:sz w:val="20"/>
          <w:szCs w:val="20"/>
        </w:rPr>
        <w:t>–</w:t>
      </w:r>
      <w:r w:rsidR="00374B40" w:rsidRPr="00FD7DB4">
        <w:rPr>
          <w:rFonts w:ascii="Verdana" w:hAnsi="Verdana"/>
          <w:sz w:val="20"/>
          <w:szCs w:val="20"/>
        </w:rPr>
        <w:t xml:space="preserve">Durante la </w:t>
      </w:r>
      <w:r w:rsidR="00E314D8">
        <w:rPr>
          <w:rFonts w:ascii="Verdana" w:hAnsi="Verdana"/>
          <w:sz w:val="20"/>
          <w:szCs w:val="20"/>
        </w:rPr>
        <w:t xml:space="preserve">diligencia </w:t>
      </w:r>
      <w:r w:rsidR="008A4ABB" w:rsidRPr="007E20F9">
        <w:rPr>
          <w:rFonts w:ascii="Verdana" w:hAnsi="Verdana"/>
          <w:i/>
          <w:sz w:val="20"/>
          <w:szCs w:val="20"/>
        </w:rPr>
        <w:t>in situ</w:t>
      </w:r>
      <w:r w:rsidR="00374B40" w:rsidRPr="00FD7DB4">
        <w:rPr>
          <w:rFonts w:ascii="Verdana" w:hAnsi="Verdana"/>
          <w:sz w:val="20"/>
          <w:szCs w:val="20"/>
        </w:rPr>
        <w:t xml:space="preserve"> la delegación de la Corte otorgó al</w:t>
      </w:r>
      <w:r w:rsidR="00374B40" w:rsidRPr="00FD7DB4">
        <w:rPr>
          <w:rFonts w:ascii="Verdana" w:hAnsi="Verdana"/>
          <w:i/>
          <w:sz w:val="20"/>
          <w:szCs w:val="20"/>
        </w:rPr>
        <w:t xml:space="preserve"> </w:t>
      </w:r>
      <w:r w:rsidR="00374B40" w:rsidRPr="00FD7DB4">
        <w:rPr>
          <w:rFonts w:ascii="Verdana" w:hAnsi="Verdana"/>
          <w:sz w:val="20"/>
          <w:szCs w:val="20"/>
        </w:rPr>
        <w:t xml:space="preserve">Estado un listado de prueba para mejor resolver. </w:t>
      </w:r>
      <w:r w:rsidR="006C7BDF" w:rsidRPr="00FD7DB4">
        <w:rPr>
          <w:rFonts w:ascii="Verdana" w:hAnsi="Verdana"/>
          <w:sz w:val="20"/>
          <w:szCs w:val="20"/>
        </w:rPr>
        <w:t>Asimismo, el 25 de agosto de 2015, la Secretaría envió una comunicación reiterando y especificando dicha prueba, tanto al Estado como a los representantes</w:t>
      </w:r>
      <w:r w:rsidR="006C7BDF" w:rsidRPr="00FD7DB4">
        <w:rPr>
          <w:rStyle w:val="FootnoteReference"/>
          <w:szCs w:val="20"/>
        </w:rPr>
        <w:footnoteReference w:id="15"/>
      </w:r>
      <w:r w:rsidR="006C7BDF" w:rsidRPr="00FD7DB4">
        <w:rPr>
          <w:rFonts w:ascii="Verdana" w:hAnsi="Verdana"/>
          <w:sz w:val="20"/>
          <w:szCs w:val="20"/>
        </w:rPr>
        <w:t xml:space="preserve">. Al respecto, el 8 de </w:t>
      </w:r>
      <w:r w:rsidR="006C7BDF" w:rsidRPr="00FD7DB4">
        <w:rPr>
          <w:rFonts w:ascii="Verdana" w:hAnsi="Verdana"/>
          <w:sz w:val="20"/>
          <w:szCs w:val="20"/>
        </w:rPr>
        <w:lastRenderedPageBreak/>
        <w:t>septiembre de 2015</w:t>
      </w:r>
      <w:r w:rsidR="00206475" w:rsidRPr="00FD7DB4">
        <w:rPr>
          <w:rFonts w:ascii="Verdana" w:hAnsi="Verdana"/>
          <w:sz w:val="20"/>
          <w:szCs w:val="20"/>
        </w:rPr>
        <w:t>, se recibieron los anexos como prueba para mejor resolver remitidos por los representantes</w:t>
      </w:r>
      <w:r w:rsidR="00206475" w:rsidRPr="00050600">
        <w:rPr>
          <w:rStyle w:val="FootnoteReference"/>
          <w:szCs w:val="20"/>
        </w:rPr>
        <w:footnoteReference w:id="16"/>
      </w:r>
      <w:r w:rsidR="008A4ABB" w:rsidRPr="004B0145">
        <w:rPr>
          <w:rFonts w:ascii="Verdana" w:hAnsi="Verdana"/>
          <w:sz w:val="20"/>
          <w:szCs w:val="20"/>
        </w:rPr>
        <w:t>.</w:t>
      </w:r>
      <w:r w:rsidR="00206475" w:rsidRPr="00FD7DB4">
        <w:rPr>
          <w:rFonts w:ascii="Verdana" w:hAnsi="Verdana"/>
          <w:sz w:val="20"/>
          <w:szCs w:val="20"/>
        </w:rPr>
        <w:t xml:space="preserve"> </w:t>
      </w:r>
      <w:r w:rsidR="006C7BDF" w:rsidRPr="00FD7DB4">
        <w:rPr>
          <w:rFonts w:ascii="Verdana" w:hAnsi="Verdana"/>
          <w:sz w:val="20"/>
          <w:szCs w:val="20"/>
        </w:rPr>
        <w:t xml:space="preserve">El 17, 18, 22, 29 y </w:t>
      </w:r>
      <w:r w:rsidR="006C7BDF" w:rsidRPr="005342D3">
        <w:rPr>
          <w:rFonts w:ascii="Verdana" w:hAnsi="Verdana"/>
          <w:sz w:val="20"/>
        </w:rPr>
        <w:t>30 de septiembre de 2015</w:t>
      </w:r>
      <w:r w:rsidR="00E82F5C" w:rsidRPr="005342D3">
        <w:rPr>
          <w:rFonts w:ascii="Verdana" w:hAnsi="Verdana"/>
          <w:sz w:val="20"/>
        </w:rPr>
        <w:t xml:space="preserve"> </w:t>
      </w:r>
      <w:r w:rsidR="00206475" w:rsidRPr="00FD7DB4">
        <w:rPr>
          <w:rFonts w:ascii="Verdana" w:hAnsi="Verdana"/>
          <w:sz w:val="20"/>
          <w:szCs w:val="20"/>
        </w:rPr>
        <w:t>se recibieron los anexos como prueba para mejor resolver remitidos por el Estado</w:t>
      </w:r>
      <w:r w:rsidR="00206475" w:rsidRPr="00FD7DB4">
        <w:rPr>
          <w:rStyle w:val="FootnoteReference"/>
          <w:szCs w:val="20"/>
        </w:rPr>
        <w:footnoteReference w:id="17"/>
      </w:r>
      <w:r w:rsidR="00206475" w:rsidRPr="000A0311">
        <w:rPr>
          <w:rFonts w:ascii="Verdana" w:hAnsi="Verdana"/>
          <w:sz w:val="20"/>
          <w:szCs w:val="20"/>
        </w:rPr>
        <w:t>,</w:t>
      </w:r>
      <w:r w:rsidR="00206475" w:rsidRPr="00FD7DB4">
        <w:rPr>
          <w:rFonts w:ascii="Verdana" w:hAnsi="Verdana"/>
          <w:sz w:val="20"/>
          <w:szCs w:val="20"/>
        </w:rPr>
        <w:t xml:space="preserve"> luego de una solicitud de prórroga otorgada por el Tribunal</w:t>
      </w:r>
      <w:r w:rsidR="003A5559" w:rsidRPr="004B0145">
        <w:rPr>
          <w:rFonts w:ascii="Verdana" w:hAnsi="Verdana"/>
          <w:sz w:val="20"/>
          <w:szCs w:val="20"/>
        </w:rPr>
        <w:t>.</w:t>
      </w:r>
      <w:r w:rsidR="00E82F5C" w:rsidRPr="00050600">
        <w:rPr>
          <w:rFonts w:ascii="Verdana" w:hAnsi="Verdana"/>
          <w:sz w:val="20"/>
          <w:szCs w:val="20"/>
        </w:rPr>
        <w:t xml:space="preserve"> </w:t>
      </w:r>
    </w:p>
    <w:p w14:paraId="56E1A238" w14:textId="77777777" w:rsidR="00CD45C6" w:rsidRPr="00FD7DB4" w:rsidRDefault="00CD45C6" w:rsidP="00431B5B">
      <w:pPr>
        <w:pStyle w:val="ListParagraph"/>
        <w:ind w:left="0"/>
        <w:jc w:val="both"/>
        <w:rPr>
          <w:rFonts w:ascii="Verdana" w:hAnsi="Verdana"/>
          <w:i/>
          <w:sz w:val="20"/>
          <w:szCs w:val="20"/>
        </w:rPr>
      </w:pPr>
    </w:p>
    <w:p w14:paraId="291917F6" w14:textId="73F67A7B" w:rsidR="00E4033A" w:rsidRPr="00FD7DB4" w:rsidRDefault="00EA7C49" w:rsidP="00690B3D">
      <w:pPr>
        <w:pStyle w:val="ListParagraph"/>
        <w:numPr>
          <w:ilvl w:val="0"/>
          <w:numId w:val="2"/>
        </w:numPr>
        <w:ind w:left="0" w:firstLine="0"/>
        <w:jc w:val="both"/>
      </w:pPr>
      <w:r w:rsidRPr="00FD7DB4">
        <w:rPr>
          <w:rFonts w:ascii="Verdana" w:hAnsi="Verdana"/>
          <w:i/>
          <w:sz w:val="20"/>
          <w:szCs w:val="20"/>
        </w:rPr>
        <w:t>Observ</w:t>
      </w:r>
      <w:r w:rsidR="00206475" w:rsidRPr="00FD7DB4">
        <w:rPr>
          <w:rFonts w:ascii="Verdana" w:hAnsi="Verdana"/>
          <w:i/>
          <w:sz w:val="20"/>
          <w:szCs w:val="20"/>
        </w:rPr>
        <w:t>aciones a la prueba para mejor resolver posterior a la visita</w:t>
      </w:r>
      <w:r w:rsidR="000A0311" w:rsidRPr="00FD7DB4">
        <w:rPr>
          <w:rFonts w:ascii="Verdana" w:hAnsi="Verdana"/>
          <w:i/>
          <w:sz w:val="20"/>
          <w:szCs w:val="20"/>
        </w:rPr>
        <w:t>.</w:t>
      </w:r>
      <w:r w:rsidR="000A0311" w:rsidRPr="00FD7DB4">
        <w:rPr>
          <w:rFonts w:ascii="Verdana" w:hAnsi="Verdana"/>
          <w:sz w:val="20"/>
          <w:szCs w:val="20"/>
        </w:rPr>
        <w:t xml:space="preserve"> –</w:t>
      </w:r>
      <w:r w:rsidR="000A0311">
        <w:rPr>
          <w:rFonts w:ascii="Verdana" w:hAnsi="Verdana"/>
          <w:sz w:val="20"/>
          <w:szCs w:val="20"/>
        </w:rPr>
        <w:t xml:space="preserve"> </w:t>
      </w:r>
      <w:r w:rsidRPr="00FD7DB4">
        <w:rPr>
          <w:rFonts w:ascii="Verdana" w:hAnsi="Verdana"/>
          <w:sz w:val="20"/>
          <w:szCs w:val="20"/>
        </w:rPr>
        <w:t>Los días 30 de septiembre y</w:t>
      </w:r>
      <w:r w:rsidR="00206475" w:rsidRPr="00FD7DB4">
        <w:rPr>
          <w:rFonts w:ascii="Verdana" w:hAnsi="Verdana"/>
          <w:sz w:val="20"/>
          <w:szCs w:val="20"/>
        </w:rPr>
        <w:t xml:space="preserve"> 13 de octubre de 201</w:t>
      </w:r>
      <w:r w:rsidRPr="00FD7DB4">
        <w:rPr>
          <w:rFonts w:ascii="Verdana" w:hAnsi="Verdana"/>
          <w:sz w:val="20"/>
          <w:szCs w:val="20"/>
        </w:rPr>
        <w:t>5</w:t>
      </w:r>
      <w:r w:rsidR="00206475" w:rsidRPr="00FD7DB4">
        <w:rPr>
          <w:rFonts w:ascii="Verdana" w:hAnsi="Verdana"/>
          <w:sz w:val="20"/>
          <w:szCs w:val="20"/>
        </w:rPr>
        <w:t xml:space="preserve">, los representantes, el Estado y la Comisión </w:t>
      </w:r>
      <w:r w:rsidRPr="00FD7DB4">
        <w:rPr>
          <w:rFonts w:ascii="Verdana" w:hAnsi="Verdana"/>
          <w:sz w:val="20"/>
          <w:szCs w:val="20"/>
        </w:rPr>
        <w:t>remitieron sus observaciones a la prueba para mejor resolver</w:t>
      </w:r>
      <w:r w:rsidRPr="00FD7DB4">
        <w:t>.</w:t>
      </w:r>
    </w:p>
    <w:p w14:paraId="42B8F522" w14:textId="77777777" w:rsidR="00EA7C49" w:rsidRPr="00FD7DB4" w:rsidRDefault="00EA7C49" w:rsidP="00690B3D">
      <w:pPr>
        <w:pStyle w:val="ListParagraph"/>
        <w:ind w:left="0"/>
        <w:jc w:val="both"/>
      </w:pPr>
    </w:p>
    <w:p w14:paraId="4CA0FF1B" w14:textId="77777777" w:rsidR="00E4033A" w:rsidRPr="00FD7DB4" w:rsidRDefault="00E4033A" w:rsidP="00E4033A">
      <w:pPr>
        <w:pStyle w:val="ListParagraph"/>
        <w:numPr>
          <w:ilvl w:val="0"/>
          <w:numId w:val="2"/>
        </w:numPr>
        <w:ind w:left="0" w:firstLine="0"/>
        <w:jc w:val="both"/>
        <w:rPr>
          <w:rFonts w:ascii="Verdana" w:hAnsi="Verdana"/>
          <w:sz w:val="20"/>
          <w:szCs w:val="20"/>
        </w:rPr>
      </w:pPr>
      <w:r w:rsidRPr="00FD7DB4">
        <w:rPr>
          <w:rFonts w:ascii="Verdana" w:hAnsi="Verdana"/>
          <w:i/>
          <w:sz w:val="20"/>
          <w:szCs w:val="20"/>
        </w:rPr>
        <w:t>Deliberación del presente caso.</w:t>
      </w:r>
      <w:r w:rsidRPr="00FD7DB4">
        <w:rPr>
          <w:rFonts w:ascii="Verdana" w:hAnsi="Verdana"/>
          <w:sz w:val="20"/>
          <w:szCs w:val="20"/>
        </w:rPr>
        <w:t xml:space="preserve"> – La Corte inició la deliberación de la presente Sentencia el </w:t>
      </w:r>
      <w:r w:rsidR="000A0311">
        <w:rPr>
          <w:rFonts w:ascii="Verdana" w:hAnsi="Verdana"/>
          <w:sz w:val="20"/>
          <w:szCs w:val="20"/>
        </w:rPr>
        <w:t xml:space="preserve"> 17 </w:t>
      </w:r>
      <w:r w:rsidRPr="00FD7DB4">
        <w:rPr>
          <w:rFonts w:ascii="Verdana" w:hAnsi="Verdana"/>
          <w:sz w:val="20"/>
          <w:szCs w:val="20"/>
        </w:rPr>
        <w:t xml:space="preserve">de </w:t>
      </w:r>
      <w:r w:rsidR="000A0311">
        <w:rPr>
          <w:rFonts w:ascii="Verdana" w:hAnsi="Verdana"/>
          <w:sz w:val="20"/>
          <w:szCs w:val="20"/>
        </w:rPr>
        <w:t>noviembre</w:t>
      </w:r>
      <w:r w:rsidRPr="00FD7DB4">
        <w:rPr>
          <w:rFonts w:ascii="Verdana" w:hAnsi="Verdana"/>
          <w:sz w:val="20"/>
          <w:szCs w:val="20"/>
        </w:rPr>
        <w:t xml:space="preserve"> de 2015.</w:t>
      </w:r>
    </w:p>
    <w:p w14:paraId="57677BE9" w14:textId="77777777" w:rsidR="00E4033A" w:rsidRPr="00FD7DB4" w:rsidRDefault="00E4033A" w:rsidP="00E4033A">
      <w:pPr>
        <w:jc w:val="both"/>
        <w:rPr>
          <w:rFonts w:ascii="Verdana" w:hAnsi="Verdana"/>
          <w:sz w:val="20"/>
          <w:szCs w:val="20"/>
        </w:rPr>
      </w:pPr>
    </w:p>
    <w:p w14:paraId="38096FF6" w14:textId="77777777" w:rsidR="00E4033A" w:rsidRPr="00FD7DB4" w:rsidRDefault="00E4033A" w:rsidP="00E4033A">
      <w:pPr>
        <w:pStyle w:val="Heading1"/>
        <w:tabs>
          <w:tab w:val="left" w:pos="851"/>
        </w:tabs>
        <w:spacing w:before="0"/>
        <w:jc w:val="center"/>
        <w:rPr>
          <w:rFonts w:ascii="Verdana" w:hAnsi="Verdana" w:cs="Verdana"/>
          <w:caps/>
          <w:snapToGrid w:val="0"/>
          <w:color w:val="auto"/>
          <w:sz w:val="20"/>
          <w:szCs w:val="20"/>
        </w:rPr>
      </w:pPr>
      <w:bookmarkStart w:id="4" w:name="_Toc441666150"/>
      <w:r w:rsidRPr="00FD7DB4">
        <w:rPr>
          <w:rFonts w:ascii="Verdana" w:hAnsi="Verdana" w:cs="Verdana"/>
          <w:caps/>
          <w:snapToGrid w:val="0"/>
          <w:color w:val="auto"/>
          <w:sz w:val="20"/>
          <w:szCs w:val="20"/>
        </w:rPr>
        <w:t>III</w:t>
      </w:r>
      <w:r w:rsidRPr="00FD7DB4">
        <w:rPr>
          <w:rFonts w:ascii="Verdana" w:hAnsi="Verdana" w:cs="Verdana"/>
          <w:caps/>
          <w:snapToGrid w:val="0"/>
          <w:color w:val="auto"/>
          <w:sz w:val="20"/>
          <w:szCs w:val="20"/>
        </w:rPr>
        <w:br/>
        <w:t>COMPETENCIA</w:t>
      </w:r>
      <w:bookmarkEnd w:id="4"/>
    </w:p>
    <w:p w14:paraId="5D1913CC" w14:textId="77777777" w:rsidR="00E4033A" w:rsidRPr="00FD7DB4" w:rsidRDefault="00E4033A" w:rsidP="00E4033A">
      <w:pPr>
        <w:jc w:val="both"/>
        <w:rPr>
          <w:rFonts w:ascii="Verdana" w:hAnsi="Verdana"/>
          <w:sz w:val="20"/>
          <w:szCs w:val="20"/>
        </w:rPr>
      </w:pPr>
    </w:p>
    <w:p w14:paraId="26195460" w14:textId="77777777" w:rsidR="00E4033A" w:rsidRDefault="00E4033A" w:rsidP="00E4033A">
      <w:pPr>
        <w:pStyle w:val="ListParagraph"/>
        <w:numPr>
          <w:ilvl w:val="0"/>
          <w:numId w:val="2"/>
        </w:numPr>
        <w:ind w:left="0" w:hanging="11"/>
        <w:jc w:val="both"/>
        <w:rPr>
          <w:rFonts w:ascii="Verdana" w:hAnsi="Verdana"/>
          <w:sz w:val="20"/>
          <w:szCs w:val="20"/>
        </w:rPr>
      </w:pPr>
      <w:bookmarkStart w:id="5" w:name="_Ref343443852"/>
      <w:r w:rsidRPr="00FD7DB4">
        <w:rPr>
          <w:rFonts w:ascii="Verdana" w:hAnsi="Verdana"/>
          <w:sz w:val="20"/>
          <w:szCs w:val="20"/>
        </w:rPr>
        <w:t xml:space="preserve">La Corte Interamericana es competente, en los términos del artículo 62.3 de la Convención, para conocer el presente caso, en razón de que </w:t>
      </w:r>
      <w:r w:rsidR="00563E11">
        <w:rPr>
          <w:rFonts w:ascii="Verdana" w:hAnsi="Verdana"/>
          <w:sz w:val="20"/>
          <w:szCs w:val="20"/>
        </w:rPr>
        <w:t>Surinam</w:t>
      </w:r>
      <w:r w:rsidRPr="00FD7DB4">
        <w:rPr>
          <w:rFonts w:ascii="Verdana" w:hAnsi="Verdana"/>
          <w:sz w:val="20"/>
          <w:szCs w:val="20"/>
        </w:rPr>
        <w:t xml:space="preserve"> es Estado Parte de la Convención Americana desde el </w:t>
      </w:r>
      <w:bookmarkEnd w:id="5"/>
      <w:r w:rsidRPr="00FD7DB4">
        <w:rPr>
          <w:rFonts w:ascii="Verdana" w:hAnsi="Verdana"/>
          <w:sz w:val="20"/>
          <w:szCs w:val="20"/>
        </w:rPr>
        <w:t xml:space="preserve">12 de noviembre de 1987 y reconoció la competencia contenciosa de la Corte ese mismo día. </w:t>
      </w:r>
    </w:p>
    <w:p w14:paraId="34C6A37E" w14:textId="77777777" w:rsidR="009B781F" w:rsidRDefault="009B781F" w:rsidP="007E20F9">
      <w:pPr>
        <w:pStyle w:val="ListParagraph"/>
        <w:ind w:left="0"/>
        <w:jc w:val="both"/>
        <w:rPr>
          <w:rFonts w:ascii="Verdana" w:hAnsi="Verdana"/>
          <w:sz w:val="20"/>
          <w:szCs w:val="20"/>
        </w:rPr>
      </w:pPr>
    </w:p>
    <w:p w14:paraId="437AF097" w14:textId="77777777" w:rsidR="00E4033A" w:rsidRPr="00FD7DB4" w:rsidRDefault="00E4033A" w:rsidP="00E4033A">
      <w:pPr>
        <w:pStyle w:val="Heading1"/>
        <w:tabs>
          <w:tab w:val="left" w:pos="851"/>
        </w:tabs>
        <w:spacing w:before="0"/>
        <w:jc w:val="center"/>
        <w:rPr>
          <w:rFonts w:ascii="Verdana" w:hAnsi="Verdana" w:cs="Verdana"/>
          <w:caps/>
          <w:snapToGrid w:val="0"/>
          <w:color w:val="auto"/>
          <w:sz w:val="20"/>
          <w:szCs w:val="20"/>
        </w:rPr>
      </w:pPr>
      <w:bookmarkStart w:id="6" w:name="_Toc441666151"/>
      <w:r w:rsidRPr="00FD7DB4">
        <w:rPr>
          <w:rFonts w:ascii="Verdana" w:hAnsi="Verdana" w:cs="Verdana"/>
          <w:caps/>
          <w:snapToGrid w:val="0"/>
          <w:color w:val="auto"/>
          <w:sz w:val="20"/>
          <w:szCs w:val="20"/>
        </w:rPr>
        <w:t>IV</w:t>
      </w:r>
      <w:r w:rsidRPr="00FD7DB4">
        <w:rPr>
          <w:rFonts w:ascii="Verdana" w:hAnsi="Verdana" w:cs="Verdana"/>
          <w:caps/>
          <w:snapToGrid w:val="0"/>
          <w:color w:val="auto"/>
          <w:sz w:val="20"/>
          <w:szCs w:val="20"/>
        </w:rPr>
        <w:br/>
        <w:t>PRUEBA</w:t>
      </w:r>
      <w:bookmarkEnd w:id="6"/>
    </w:p>
    <w:p w14:paraId="5E6CA632" w14:textId="77777777" w:rsidR="00E4033A" w:rsidRPr="00FD7DB4" w:rsidRDefault="00E4033A" w:rsidP="00E4033A">
      <w:pPr>
        <w:jc w:val="both"/>
        <w:rPr>
          <w:rFonts w:ascii="Verdana" w:hAnsi="Verdana"/>
          <w:sz w:val="20"/>
          <w:szCs w:val="20"/>
        </w:rPr>
      </w:pPr>
    </w:p>
    <w:p w14:paraId="0930C819" w14:textId="77777777" w:rsidR="00E4033A" w:rsidRPr="00FD7DB4" w:rsidRDefault="00E4033A" w:rsidP="00E4033A">
      <w:pPr>
        <w:pStyle w:val="Heading2"/>
        <w:numPr>
          <w:ilvl w:val="0"/>
          <w:numId w:val="1"/>
        </w:numPr>
        <w:spacing w:before="0"/>
        <w:rPr>
          <w:rFonts w:ascii="Verdana" w:hAnsi="Verdana"/>
          <w:i/>
          <w:sz w:val="20"/>
          <w:szCs w:val="20"/>
        </w:rPr>
      </w:pPr>
      <w:bookmarkStart w:id="7" w:name="_Toc441666152"/>
      <w:r w:rsidRPr="00FD7DB4">
        <w:rPr>
          <w:rFonts w:ascii="Verdana" w:hAnsi="Verdana"/>
          <w:i/>
          <w:color w:val="auto"/>
          <w:sz w:val="20"/>
          <w:szCs w:val="20"/>
        </w:rPr>
        <w:t>Prueba documental, testimonial y pericial</w:t>
      </w:r>
      <w:bookmarkEnd w:id="7"/>
    </w:p>
    <w:p w14:paraId="2F792B31" w14:textId="77777777" w:rsidR="00E4033A" w:rsidRPr="00FD7DB4" w:rsidRDefault="00E4033A" w:rsidP="00E4033A">
      <w:pPr>
        <w:pStyle w:val="ListParagraph"/>
        <w:ind w:left="0"/>
        <w:jc w:val="both"/>
        <w:rPr>
          <w:rFonts w:ascii="Verdana" w:hAnsi="Verdana"/>
          <w:sz w:val="20"/>
          <w:szCs w:val="20"/>
        </w:rPr>
      </w:pPr>
    </w:p>
    <w:p w14:paraId="567AD4E9" w14:textId="4A3346BE" w:rsidR="00E4033A" w:rsidRPr="00FD7DB4" w:rsidRDefault="00E4033A" w:rsidP="00E4033A">
      <w:pPr>
        <w:pStyle w:val="ListParagraph"/>
        <w:numPr>
          <w:ilvl w:val="0"/>
          <w:numId w:val="2"/>
        </w:numPr>
        <w:ind w:left="0" w:hanging="11"/>
        <w:jc w:val="both"/>
        <w:rPr>
          <w:rFonts w:ascii="Verdana" w:hAnsi="Verdana"/>
          <w:sz w:val="20"/>
          <w:szCs w:val="20"/>
        </w:rPr>
      </w:pPr>
      <w:r w:rsidRPr="00FD7DB4">
        <w:rPr>
          <w:rFonts w:ascii="Verdana" w:hAnsi="Verdana"/>
          <w:sz w:val="20"/>
          <w:szCs w:val="20"/>
        </w:rPr>
        <w:t>La Corte recibió diversos documentos presentados como prueba por la Comisión, los representantes y el Estado, adjuntos a sus escritos principales (</w:t>
      </w:r>
      <w:r w:rsidR="00366D91" w:rsidRPr="00366D91">
        <w:rPr>
          <w:rFonts w:ascii="Verdana" w:hAnsi="Verdana"/>
          <w:i/>
          <w:sz w:val="20"/>
          <w:szCs w:val="20"/>
        </w:rPr>
        <w:t>supra</w:t>
      </w:r>
      <w:r w:rsidRPr="00FD7DB4">
        <w:rPr>
          <w:rFonts w:ascii="Verdana" w:hAnsi="Verdana"/>
          <w:sz w:val="20"/>
          <w:szCs w:val="20"/>
        </w:rPr>
        <w:t xml:space="preserve"> párrs. </w:t>
      </w:r>
      <w:r w:rsidR="008A4ABB" w:rsidRPr="007E20F9">
        <w:rPr>
          <w:rFonts w:ascii="Verdana" w:hAnsi="Verdana"/>
          <w:sz w:val="20"/>
          <w:szCs w:val="20"/>
        </w:rPr>
        <w:t>2.f, 5 y 6)</w:t>
      </w:r>
      <w:r w:rsidRPr="00FD7DB4">
        <w:rPr>
          <w:rFonts w:ascii="Verdana" w:hAnsi="Verdana"/>
          <w:sz w:val="20"/>
          <w:szCs w:val="20"/>
        </w:rPr>
        <w:t xml:space="preserve">. </w:t>
      </w:r>
      <w:r w:rsidRPr="00FD7DB4">
        <w:rPr>
          <w:rFonts w:ascii="Verdana" w:hAnsi="Verdana"/>
          <w:sz w:val="20"/>
          <w:szCs w:val="20"/>
        </w:rPr>
        <w:lastRenderedPageBreak/>
        <w:t>Además, la Corte recibió las declaraciones rendidas ante fedatario público de</w:t>
      </w:r>
      <w:r w:rsidR="00D575AE">
        <w:rPr>
          <w:rFonts w:ascii="Verdana" w:hAnsi="Verdana"/>
          <w:sz w:val="20"/>
          <w:szCs w:val="20"/>
        </w:rPr>
        <w:t xml:space="preserve">: 1) </w:t>
      </w:r>
      <w:r w:rsidRPr="00FD7DB4">
        <w:rPr>
          <w:rFonts w:ascii="Verdana" w:hAnsi="Verdana"/>
          <w:sz w:val="20"/>
          <w:szCs w:val="20"/>
        </w:rPr>
        <w:t>l</w:t>
      </w:r>
      <w:r w:rsidR="000A0311">
        <w:rPr>
          <w:rFonts w:ascii="Verdana" w:hAnsi="Verdana"/>
          <w:sz w:val="20"/>
          <w:szCs w:val="20"/>
        </w:rPr>
        <w:t>a</w:t>
      </w:r>
      <w:r w:rsidRPr="00FD7DB4">
        <w:rPr>
          <w:rFonts w:ascii="Verdana" w:hAnsi="Verdana"/>
          <w:sz w:val="20"/>
          <w:szCs w:val="20"/>
        </w:rPr>
        <w:t>s testigos Claudine Sakimin y Loreen Jubitana, propuest</w:t>
      </w:r>
      <w:r w:rsidR="000A0311">
        <w:rPr>
          <w:rFonts w:ascii="Verdana" w:hAnsi="Verdana"/>
          <w:sz w:val="20"/>
          <w:szCs w:val="20"/>
        </w:rPr>
        <w:t>a</w:t>
      </w:r>
      <w:r w:rsidRPr="00FD7DB4">
        <w:rPr>
          <w:rFonts w:ascii="Verdana" w:hAnsi="Verdana"/>
          <w:sz w:val="20"/>
          <w:szCs w:val="20"/>
        </w:rPr>
        <w:t>s por el Estado y los representantes</w:t>
      </w:r>
      <w:r w:rsidR="00D575AE">
        <w:rPr>
          <w:rFonts w:ascii="Verdana" w:hAnsi="Verdana"/>
          <w:sz w:val="20"/>
          <w:szCs w:val="20"/>
        </w:rPr>
        <w:t>,</w:t>
      </w:r>
      <w:r w:rsidRPr="00FD7DB4">
        <w:rPr>
          <w:rFonts w:ascii="Verdana" w:hAnsi="Verdana"/>
          <w:sz w:val="20"/>
          <w:szCs w:val="20"/>
        </w:rPr>
        <w:t xml:space="preserve"> respectivamente; 2) el peritaje del experto Dr. Stuart Kirsch</w:t>
      </w:r>
      <w:r w:rsidRPr="00FD7DB4">
        <w:rPr>
          <w:rStyle w:val="FootnoteReference"/>
          <w:szCs w:val="20"/>
        </w:rPr>
        <w:footnoteReference w:id="18"/>
      </w:r>
      <w:r w:rsidR="006C44DC">
        <w:rPr>
          <w:rFonts w:ascii="Verdana" w:hAnsi="Verdana"/>
          <w:sz w:val="20"/>
          <w:szCs w:val="20"/>
        </w:rPr>
        <w:t>,</w:t>
      </w:r>
      <w:r w:rsidRPr="00FD7DB4">
        <w:rPr>
          <w:rFonts w:ascii="Verdana" w:hAnsi="Verdana"/>
          <w:sz w:val="20"/>
          <w:szCs w:val="20"/>
        </w:rPr>
        <w:t xml:space="preserve"> propuesto por los representantes; 3) la declaración de la presunta víctima Capitana Grace Watamaleo</w:t>
      </w:r>
      <w:r w:rsidR="006C44DC">
        <w:rPr>
          <w:rFonts w:ascii="Verdana" w:hAnsi="Verdana"/>
          <w:sz w:val="20"/>
          <w:szCs w:val="20"/>
        </w:rPr>
        <w:t>, propuesta por los representantes</w:t>
      </w:r>
      <w:r w:rsidRPr="00FD7DB4">
        <w:rPr>
          <w:rFonts w:ascii="Verdana" w:hAnsi="Verdana"/>
          <w:sz w:val="20"/>
          <w:szCs w:val="20"/>
        </w:rPr>
        <w:t xml:space="preserve">, y 4) </w:t>
      </w:r>
      <w:r w:rsidR="006C44DC">
        <w:rPr>
          <w:rFonts w:ascii="Verdana" w:hAnsi="Verdana"/>
          <w:sz w:val="20"/>
          <w:szCs w:val="20"/>
        </w:rPr>
        <w:t xml:space="preserve">la Corte </w:t>
      </w:r>
      <w:r w:rsidRPr="00FD7DB4">
        <w:rPr>
          <w:rFonts w:ascii="Verdana" w:hAnsi="Verdana"/>
          <w:sz w:val="20"/>
          <w:szCs w:val="20"/>
        </w:rPr>
        <w:t>trasladó los peritajes de</w:t>
      </w:r>
      <w:r w:rsidR="007C4412" w:rsidRPr="00FD7DB4">
        <w:rPr>
          <w:rFonts w:ascii="Verdana" w:hAnsi="Verdana"/>
          <w:sz w:val="20"/>
          <w:szCs w:val="20"/>
        </w:rPr>
        <w:t xml:space="preserve"> Mariska Muskiet</w:t>
      </w:r>
      <w:r w:rsidR="00AA203B">
        <w:rPr>
          <w:rStyle w:val="FootnoteReference"/>
          <w:szCs w:val="20"/>
        </w:rPr>
        <w:footnoteReference w:id="19"/>
      </w:r>
      <w:r w:rsidR="007C4412" w:rsidRPr="00FD7DB4">
        <w:rPr>
          <w:rFonts w:ascii="Verdana" w:hAnsi="Verdana"/>
          <w:sz w:val="20"/>
          <w:szCs w:val="20"/>
        </w:rPr>
        <w:t xml:space="preserve"> y Magda Hoever-Venoaks</w:t>
      </w:r>
      <w:r w:rsidR="00AA203B">
        <w:rPr>
          <w:rStyle w:val="FootnoteReference"/>
          <w:szCs w:val="20"/>
        </w:rPr>
        <w:footnoteReference w:id="20"/>
      </w:r>
      <w:r w:rsidR="007C4412" w:rsidRPr="00FD7DB4">
        <w:rPr>
          <w:rFonts w:ascii="Verdana" w:hAnsi="Verdana"/>
          <w:sz w:val="20"/>
          <w:szCs w:val="20"/>
        </w:rPr>
        <w:t>,</w:t>
      </w:r>
      <w:r w:rsidRPr="00FD7DB4">
        <w:rPr>
          <w:rFonts w:ascii="Verdana" w:hAnsi="Verdana"/>
          <w:sz w:val="20"/>
          <w:szCs w:val="20"/>
        </w:rPr>
        <w:t xml:space="preserve"> rendidos en el caso</w:t>
      </w:r>
      <w:r w:rsidR="00403E34">
        <w:rPr>
          <w:rFonts w:ascii="Verdana" w:hAnsi="Verdana"/>
          <w:sz w:val="20"/>
          <w:szCs w:val="20"/>
        </w:rPr>
        <w:t xml:space="preserve"> del </w:t>
      </w:r>
      <w:r w:rsidR="00403E34" w:rsidRPr="00415A21">
        <w:rPr>
          <w:rFonts w:ascii="Verdana" w:hAnsi="Verdana"/>
          <w:i/>
          <w:sz w:val="20"/>
          <w:szCs w:val="20"/>
        </w:rPr>
        <w:t>Pueblo</w:t>
      </w:r>
      <w:r w:rsidRPr="00415A21">
        <w:rPr>
          <w:rFonts w:ascii="Verdana" w:hAnsi="Verdana"/>
          <w:i/>
          <w:sz w:val="20"/>
          <w:szCs w:val="20"/>
        </w:rPr>
        <w:t xml:space="preserve"> Saramaka Vs. </w:t>
      </w:r>
      <w:r w:rsidR="00563E11" w:rsidRPr="00415A21">
        <w:rPr>
          <w:rFonts w:ascii="Verdana" w:hAnsi="Verdana"/>
          <w:i/>
          <w:sz w:val="20"/>
          <w:szCs w:val="20"/>
        </w:rPr>
        <w:t>Surinam</w:t>
      </w:r>
      <w:r w:rsidRPr="00FD7DB4">
        <w:rPr>
          <w:rFonts w:ascii="Verdana" w:hAnsi="Verdana"/>
          <w:sz w:val="20"/>
          <w:szCs w:val="20"/>
        </w:rPr>
        <w:t xml:space="preserve"> al presente caso. En cuanto a la prueba rendida en audiencia pública, la Corte escuchó las declaraciones de las presuntas víctimas Capitán Ricardo Pané y Capitán Jona </w:t>
      </w:r>
      <w:r w:rsidR="00B73EDA">
        <w:rPr>
          <w:rFonts w:ascii="Verdana" w:hAnsi="Verdana"/>
          <w:sz w:val="20"/>
          <w:szCs w:val="20"/>
        </w:rPr>
        <w:t>Gunther</w:t>
      </w:r>
      <w:r w:rsidRPr="00FD7DB4">
        <w:rPr>
          <w:rFonts w:ascii="Verdana" w:hAnsi="Verdana"/>
          <w:sz w:val="20"/>
          <w:szCs w:val="20"/>
        </w:rPr>
        <w:t xml:space="preserve">, </w:t>
      </w:r>
      <w:r w:rsidR="00D575AE">
        <w:rPr>
          <w:rFonts w:ascii="Verdana" w:hAnsi="Verdana"/>
          <w:sz w:val="20"/>
          <w:szCs w:val="20"/>
        </w:rPr>
        <w:t xml:space="preserve">y de la perita </w:t>
      </w:r>
      <w:r w:rsidR="00D575AE" w:rsidRPr="00FD7DB4">
        <w:rPr>
          <w:rFonts w:ascii="Verdana" w:hAnsi="Verdana"/>
          <w:sz w:val="20"/>
          <w:szCs w:val="20"/>
        </w:rPr>
        <w:t>Victoria Tauli-Corpuz</w:t>
      </w:r>
      <w:r w:rsidR="00D575AE" w:rsidRPr="00FD7DB4">
        <w:rPr>
          <w:rStyle w:val="FootnoteReference"/>
          <w:szCs w:val="20"/>
        </w:rPr>
        <w:footnoteReference w:id="21"/>
      </w:r>
      <w:r w:rsidR="00D575AE" w:rsidRPr="00FD7DB4">
        <w:rPr>
          <w:rFonts w:ascii="Verdana" w:hAnsi="Verdana"/>
          <w:sz w:val="20"/>
          <w:szCs w:val="20"/>
        </w:rPr>
        <w:t>,</w:t>
      </w:r>
      <w:r w:rsidR="00D575AE">
        <w:rPr>
          <w:rFonts w:ascii="Verdana" w:hAnsi="Verdana"/>
          <w:sz w:val="20"/>
          <w:szCs w:val="20"/>
        </w:rPr>
        <w:t xml:space="preserve"> </w:t>
      </w:r>
      <w:r w:rsidRPr="00FD7DB4">
        <w:rPr>
          <w:rFonts w:ascii="Verdana" w:hAnsi="Verdana"/>
          <w:sz w:val="20"/>
          <w:szCs w:val="20"/>
        </w:rPr>
        <w:t>propuest</w:t>
      </w:r>
      <w:r w:rsidR="00D575AE">
        <w:rPr>
          <w:rFonts w:ascii="Verdana" w:hAnsi="Verdana"/>
          <w:sz w:val="20"/>
          <w:szCs w:val="20"/>
        </w:rPr>
        <w:t>o</w:t>
      </w:r>
      <w:r w:rsidRPr="00FD7DB4">
        <w:rPr>
          <w:rFonts w:ascii="Verdana" w:hAnsi="Verdana"/>
          <w:sz w:val="20"/>
          <w:szCs w:val="20"/>
        </w:rPr>
        <w:t>s por los representantes</w:t>
      </w:r>
      <w:r w:rsidR="006C44DC">
        <w:rPr>
          <w:rFonts w:ascii="Verdana" w:hAnsi="Verdana"/>
          <w:sz w:val="20"/>
          <w:szCs w:val="20"/>
        </w:rPr>
        <w:t>;</w:t>
      </w:r>
      <w:r w:rsidRPr="00FD7DB4">
        <w:rPr>
          <w:rFonts w:ascii="Verdana" w:hAnsi="Verdana"/>
          <w:sz w:val="20"/>
          <w:szCs w:val="20"/>
        </w:rPr>
        <w:t xml:space="preserve"> así como </w:t>
      </w:r>
      <w:r w:rsidR="00D575AE">
        <w:rPr>
          <w:rFonts w:ascii="Verdana" w:hAnsi="Verdana"/>
          <w:sz w:val="20"/>
          <w:szCs w:val="20"/>
        </w:rPr>
        <w:t>el</w:t>
      </w:r>
      <w:r w:rsidRPr="00FD7DB4">
        <w:rPr>
          <w:rFonts w:ascii="Verdana" w:hAnsi="Verdana"/>
          <w:sz w:val="20"/>
          <w:szCs w:val="20"/>
        </w:rPr>
        <w:t xml:space="preserve"> peritaje de</w:t>
      </w:r>
      <w:r w:rsidR="00D575AE">
        <w:rPr>
          <w:rFonts w:ascii="Verdana" w:hAnsi="Verdana"/>
          <w:sz w:val="20"/>
          <w:szCs w:val="20"/>
        </w:rPr>
        <w:t>l</w:t>
      </w:r>
      <w:r w:rsidRPr="00FD7DB4">
        <w:rPr>
          <w:rFonts w:ascii="Verdana" w:hAnsi="Verdana"/>
          <w:sz w:val="20"/>
          <w:szCs w:val="20"/>
        </w:rPr>
        <w:t xml:space="preserve"> experto Jeremie Gilbert</w:t>
      </w:r>
      <w:r w:rsidRPr="00FD7DB4">
        <w:rPr>
          <w:rStyle w:val="FootnoteReference"/>
          <w:szCs w:val="20"/>
        </w:rPr>
        <w:footnoteReference w:id="22"/>
      </w:r>
      <w:r w:rsidR="00D575AE">
        <w:rPr>
          <w:rFonts w:ascii="Verdana" w:hAnsi="Verdana"/>
          <w:sz w:val="20"/>
          <w:szCs w:val="20"/>
        </w:rPr>
        <w:t xml:space="preserve">, </w:t>
      </w:r>
      <w:r w:rsidRPr="00FD7DB4">
        <w:rPr>
          <w:rFonts w:ascii="Verdana" w:hAnsi="Verdana"/>
          <w:sz w:val="20"/>
          <w:szCs w:val="20"/>
        </w:rPr>
        <w:t xml:space="preserve">propuesto </w:t>
      </w:r>
      <w:r w:rsidR="00D575AE">
        <w:rPr>
          <w:rFonts w:ascii="Verdana" w:hAnsi="Verdana"/>
          <w:sz w:val="20"/>
          <w:szCs w:val="20"/>
        </w:rPr>
        <w:t>por la Comisión</w:t>
      </w:r>
      <w:r w:rsidR="00206475" w:rsidRPr="00FD7DB4">
        <w:rPr>
          <w:rStyle w:val="FootnoteReference"/>
          <w:szCs w:val="20"/>
        </w:rPr>
        <w:footnoteReference w:id="23"/>
      </w:r>
      <w:r w:rsidRPr="00FD7DB4">
        <w:rPr>
          <w:rFonts w:ascii="Verdana" w:hAnsi="Verdana"/>
          <w:sz w:val="20"/>
          <w:szCs w:val="20"/>
        </w:rPr>
        <w:t xml:space="preserve">. Asimismo, el Tribunal recibió diversos documentos como prueba para mejor resolver con posterioridad a la celebración de la audiencia del caso, así como luego de la realización de la diligencia </w:t>
      </w:r>
      <w:r w:rsidRPr="00FD7DB4">
        <w:rPr>
          <w:rFonts w:ascii="Verdana" w:hAnsi="Verdana"/>
          <w:i/>
          <w:sz w:val="20"/>
          <w:szCs w:val="20"/>
        </w:rPr>
        <w:t>in situ</w:t>
      </w:r>
      <w:r w:rsidR="00206475" w:rsidRPr="00FD7DB4">
        <w:rPr>
          <w:rFonts w:ascii="Verdana" w:hAnsi="Verdana"/>
          <w:sz w:val="20"/>
          <w:szCs w:val="20"/>
        </w:rPr>
        <w:t xml:space="preserve"> (</w:t>
      </w:r>
      <w:r w:rsidR="00366D91" w:rsidRPr="00366D91">
        <w:rPr>
          <w:rFonts w:ascii="Verdana" w:hAnsi="Verdana"/>
          <w:i/>
          <w:sz w:val="20"/>
          <w:szCs w:val="20"/>
        </w:rPr>
        <w:t>supra</w:t>
      </w:r>
      <w:r w:rsidR="00206475" w:rsidRPr="00FD7DB4">
        <w:rPr>
          <w:rFonts w:ascii="Verdana" w:hAnsi="Verdana"/>
          <w:sz w:val="20"/>
          <w:szCs w:val="20"/>
        </w:rPr>
        <w:t xml:space="preserve"> párrs. </w:t>
      </w:r>
      <w:r w:rsidR="006E00F8">
        <w:rPr>
          <w:rFonts w:ascii="Verdana" w:hAnsi="Verdana"/>
          <w:sz w:val="20"/>
          <w:szCs w:val="20"/>
        </w:rPr>
        <w:t>12, 15 y 16</w:t>
      </w:r>
      <w:r w:rsidR="00206475" w:rsidRPr="00FD7DB4">
        <w:rPr>
          <w:rFonts w:ascii="Verdana" w:hAnsi="Verdana"/>
          <w:sz w:val="20"/>
          <w:szCs w:val="20"/>
        </w:rPr>
        <w:t>).</w:t>
      </w:r>
    </w:p>
    <w:p w14:paraId="4146CDE1" w14:textId="77777777" w:rsidR="00E4033A" w:rsidRPr="00FD7DB4" w:rsidRDefault="00E4033A" w:rsidP="00E4033A">
      <w:pPr>
        <w:jc w:val="both"/>
        <w:rPr>
          <w:rFonts w:ascii="Verdana" w:hAnsi="Verdana"/>
          <w:sz w:val="20"/>
          <w:szCs w:val="20"/>
        </w:rPr>
      </w:pPr>
    </w:p>
    <w:p w14:paraId="54550568" w14:textId="77777777" w:rsidR="00E4033A" w:rsidRPr="00FD7DB4" w:rsidRDefault="00E4033A" w:rsidP="00E4033A">
      <w:pPr>
        <w:pStyle w:val="Heading2"/>
        <w:numPr>
          <w:ilvl w:val="0"/>
          <w:numId w:val="1"/>
        </w:numPr>
        <w:spacing w:before="0"/>
        <w:rPr>
          <w:rFonts w:ascii="Verdana" w:hAnsi="Verdana"/>
          <w:i/>
          <w:color w:val="auto"/>
          <w:sz w:val="20"/>
          <w:szCs w:val="20"/>
        </w:rPr>
      </w:pPr>
      <w:bookmarkStart w:id="8" w:name="_Toc357162194"/>
      <w:bookmarkStart w:id="9" w:name="_Toc364433342"/>
      <w:bookmarkStart w:id="10" w:name="_Toc366593548"/>
      <w:bookmarkStart w:id="11" w:name="_Toc441666153"/>
      <w:r w:rsidRPr="00FD7DB4">
        <w:rPr>
          <w:rFonts w:ascii="Verdana" w:hAnsi="Verdana"/>
          <w:i/>
          <w:color w:val="auto"/>
          <w:sz w:val="20"/>
          <w:szCs w:val="20"/>
        </w:rPr>
        <w:t>Admisión de la prueba</w:t>
      </w:r>
      <w:bookmarkEnd w:id="8"/>
      <w:bookmarkEnd w:id="9"/>
      <w:bookmarkEnd w:id="10"/>
      <w:bookmarkEnd w:id="11"/>
    </w:p>
    <w:p w14:paraId="5CBD4A5C" w14:textId="77777777" w:rsidR="00E4033A" w:rsidRPr="00FD7DB4" w:rsidRDefault="00E4033A" w:rsidP="00E4033A">
      <w:pPr>
        <w:pStyle w:val="ListParagraph"/>
        <w:ind w:left="0"/>
        <w:jc w:val="both"/>
        <w:rPr>
          <w:rFonts w:ascii="Verdana" w:hAnsi="Verdana"/>
          <w:sz w:val="20"/>
          <w:szCs w:val="20"/>
        </w:rPr>
      </w:pPr>
    </w:p>
    <w:p w14:paraId="64DA949F" w14:textId="77777777" w:rsidR="00E4033A" w:rsidRPr="00FD7DB4" w:rsidRDefault="00E4033A" w:rsidP="00E4033A">
      <w:pPr>
        <w:pStyle w:val="Heading3"/>
        <w:spacing w:before="0"/>
        <w:ind w:firstLine="360"/>
        <w:jc w:val="both"/>
        <w:rPr>
          <w:rFonts w:ascii="Verdana" w:hAnsi="Verdana"/>
          <w:i/>
          <w:color w:val="auto"/>
          <w:sz w:val="20"/>
          <w:szCs w:val="20"/>
        </w:rPr>
      </w:pPr>
      <w:bookmarkStart w:id="12" w:name="_Toc441666154"/>
      <w:r w:rsidRPr="00FD7DB4">
        <w:rPr>
          <w:rFonts w:ascii="Verdana" w:hAnsi="Verdana"/>
          <w:i/>
          <w:color w:val="auto"/>
          <w:sz w:val="20"/>
          <w:szCs w:val="20"/>
        </w:rPr>
        <w:t>B.1 Admisión de la prueba documental</w:t>
      </w:r>
      <w:bookmarkEnd w:id="12"/>
    </w:p>
    <w:p w14:paraId="30847280" w14:textId="77777777" w:rsidR="00E4033A" w:rsidRPr="00FD7DB4" w:rsidRDefault="00E4033A" w:rsidP="00E4033A">
      <w:pPr>
        <w:pStyle w:val="ListParagraph"/>
        <w:ind w:left="0"/>
        <w:jc w:val="both"/>
        <w:rPr>
          <w:rFonts w:ascii="Verdana" w:hAnsi="Verdana"/>
          <w:sz w:val="20"/>
          <w:szCs w:val="20"/>
        </w:rPr>
      </w:pPr>
    </w:p>
    <w:p w14:paraId="64297110" w14:textId="77777777" w:rsidR="00206475" w:rsidRPr="00FD7DB4" w:rsidRDefault="00E4033A" w:rsidP="00E4033A">
      <w:pPr>
        <w:pStyle w:val="ListParagraph"/>
        <w:numPr>
          <w:ilvl w:val="0"/>
          <w:numId w:val="2"/>
        </w:numPr>
        <w:ind w:left="0" w:hanging="11"/>
        <w:jc w:val="both"/>
        <w:rPr>
          <w:rFonts w:ascii="Verdana" w:hAnsi="Verdana"/>
          <w:sz w:val="20"/>
          <w:szCs w:val="20"/>
        </w:rPr>
      </w:pPr>
      <w:r w:rsidRPr="00FD7DB4">
        <w:rPr>
          <w:rFonts w:ascii="Verdana" w:hAnsi="Verdana"/>
          <w:sz w:val="20"/>
          <w:szCs w:val="20"/>
        </w:rPr>
        <w:t>En el presente caso, como en otros, la Corte admite aquellos documentos presentados por las partes y la Comisión en la debida oportunidad procesal</w:t>
      </w:r>
      <w:r w:rsidR="00897B05">
        <w:rPr>
          <w:rFonts w:ascii="Verdana" w:hAnsi="Verdana"/>
          <w:sz w:val="20"/>
          <w:szCs w:val="20"/>
        </w:rPr>
        <w:t xml:space="preserve"> </w:t>
      </w:r>
      <w:r w:rsidR="008A4ABB" w:rsidRPr="007E20F9">
        <w:rPr>
          <w:rFonts w:ascii="Verdana" w:hAnsi="Verdana"/>
          <w:sz w:val="20"/>
          <w:szCs w:val="20"/>
        </w:rPr>
        <w:t>o solicitados como prueba para mejor resolver por la Corte o su Presidencia,</w:t>
      </w:r>
      <w:r w:rsidR="00897B05">
        <w:rPr>
          <w:szCs w:val="20"/>
        </w:rPr>
        <w:t xml:space="preserve"> </w:t>
      </w:r>
      <w:r w:rsidRPr="00FD7DB4">
        <w:rPr>
          <w:rFonts w:ascii="Verdana" w:hAnsi="Verdana"/>
          <w:sz w:val="20"/>
          <w:szCs w:val="20"/>
        </w:rPr>
        <w:t>que no fueron controvertidos ni objetados, ni cuya autenticidad fue puesta en duda</w:t>
      </w:r>
      <w:r w:rsidRPr="00FD7DB4">
        <w:rPr>
          <w:rFonts w:ascii="Verdana" w:hAnsi="Verdana"/>
          <w:sz w:val="20"/>
          <w:szCs w:val="20"/>
          <w:vertAlign w:val="superscript"/>
        </w:rPr>
        <w:footnoteReference w:id="24"/>
      </w:r>
      <w:r w:rsidRPr="00FD7DB4">
        <w:rPr>
          <w:rFonts w:ascii="Verdana" w:hAnsi="Verdana"/>
          <w:sz w:val="20"/>
          <w:szCs w:val="20"/>
        </w:rPr>
        <w:t>. Los documentos solicitados por la Corte, que fueron aportados por las partes con posterioridad a la audiencia pública</w:t>
      </w:r>
      <w:r w:rsidR="007C4412" w:rsidRPr="00FD7DB4">
        <w:rPr>
          <w:rFonts w:ascii="Verdana" w:hAnsi="Verdana"/>
          <w:sz w:val="20"/>
          <w:szCs w:val="20"/>
        </w:rPr>
        <w:t xml:space="preserve"> y a la diligencia </w:t>
      </w:r>
      <w:r w:rsidR="007C4412" w:rsidRPr="004B0145">
        <w:rPr>
          <w:rFonts w:ascii="Verdana" w:hAnsi="Verdana"/>
          <w:i/>
          <w:sz w:val="20"/>
          <w:szCs w:val="20"/>
        </w:rPr>
        <w:t>in situ</w:t>
      </w:r>
      <w:r w:rsidR="007C4412" w:rsidRPr="00FD7DB4">
        <w:rPr>
          <w:rFonts w:ascii="Verdana" w:hAnsi="Verdana"/>
          <w:sz w:val="20"/>
          <w:szCs w:val="20"/>
        </w:rPr>
        <w:t>,</w:t>
      </w:r>
      <w:r w:rsidRPr="00FD7DB4">
        <w:rPr>
          <w:rFonts w:ascii="Verdana" w:hAnsi="Verdana"/>
          <w:sz w:val="20"/>
          <w:szCs w:val="20"/>
        </w:rPr>
        <w:t xml:space="preserve"> son incorporados al acervo probatorio en aplicación del artículo 58 del Reglamento</w:t>
      </w:r>
      <w:r w:rsidR="009B0952" w:rsidRPr="00FD7DB4">
        <w:rPr>
          <w:rFonts w:ascii="Verdana" w:hAnsi="Verdana"/>
          <w:sz w:val="20"/>
          <w:szCs w:val="20"/>
        </w:rPr>
        <w:t xml:space="preserve"> (</w:t>
      </w:r>
      <w:r w:rsidR="00366D91" w:rsidRPr="00366D91">
        <w:rPr>
          <w:rFonts w:ascii="Verdana" w:hAnsi="Verdana"/>
          <w:i/>
          <w:sz w:val="20"/>
          <w:szCs w:val="20"/>
        </w:rPr>
        <w:t>supra</w:t>
      </w:r>
      <w:r w:rsidR="009B0952" w:rsidRPr="00FD7DB4">
        <w:rPr>
          <w:rFonts w:ascii="Verdana" w:hAnsi="Verdana"/>
          <w:sz w:val="20"/>
          <w:szCs w:val="20"/>
        </w:rPr>
        <w:t xml:space="preserve"> párr</w:t>
      </w:r>
      <w:r w:rsidR="006E00F8">
        <w:rPr>
          <w:rFonts w:ascii="Verdana" w:hAnsi="Verdana"/>
          <w:sz w:val="20"/>
          <w:szCs w:val="20"/>
        </w:rPr>
        <w:t>s</w:t>
      </w:r>
      <w:r w:rsidR="009B0952" w:rsidRPr="00FD7DB4">
        <w:rPr>
          <w:rFonts w:ascii="Verdana" w:hAnsi="Verdana"/>
          <w:sz w:val="20"/>
          <w:szCs w:val="20"/>
        </w:rPr>
        <w:t xml:space="preserve">. </w:t>
      </w:r>
      <w:r w:rsidR="006E00F8">
        <w:rPr>
          <w:rFonts w:ascii="Verdana" w:hAnsi="Verdana"/>
          <w:sz w:val="20"/>
          <w:szCs w:val="20"/>
        </w:rPr>
        <w:t>10, 12, 15 y 16</w:t>
      </w:r>
      <w:r w:rsidR="009B0952" w:rsidRPr="00FD7DB4">
        <w:rPr>
          <w:rFonts w:ascii="Verdana" w:hAnsi="Verdana"/>
          <w:sz w:val="20"/>
          <w:szCs w:val="20"/>
        </w:rPr>
        <w:t>)</w:t>
      </w:r>
      <w:r w:rsidR="00206475" w:rsidRPr="00FD7DB4">
        <w:rPr>
          <w:rFonts w:ascii="Verdana" w:hAnsi="Verdana"/>
          <w:sz w:val="20"/>
          <w:szCs w:val="20"/>
        </w:rPr>
        <w:t>.</w:t>
      </w:r>
    </w:p>
    <w:p w14:paraId="24E3677A" w14:textId="77777777" w:rsidR="00206475" w:rsidRPr="00FD7DB4" w:rsidRDefault="00206475" w:rsidP="00690B3D">
      <w:pPr>
        <w:pStyle w:val="ListParagraph"/>
        <w:ind w:left="0"/>
        <w:jc w:val="both"/>
        <w:rPr>
          <w:rFonts w:ascii="Verdana" w:hAnsi="Verdana"/>
          <w:sz w:val="20"/>
          <w:szCs w:val="20"/>
        </w:rPr>
      </w:pPr>
    </w:p>
    <w:p w14:paraId="4305860B" w14:textId="7556EEAD" w:rsidR="00E4033A" w:rsidRPr="00FD7DB4" w:rsidRDefault="00206475" w:rsidP="00E4033A">
      <w:pPr>
        <w:pStyle w:val="ListParagraph"/>
        <w:numPr>
          <w:ilvl w:val="0"/>
          <w:numId w:val="2"/>
        </w:numPr>
        <w:ind w:left="0" w:hanging="11"/>
        <w:jc w:val="both"/>
        <w:rPr>
          <w:rFonts w:ascii="Verdana" w:hAnsi="Verdana"/>
          <w:sz w:val="20"/>
          <w:szCs w:val="20"/>
        </w:rPr>
      </w:pPr>
      <w:r w:rsidRPr="00FD7DB4">
        <w:rPr>
          <w:rFonts w:ascii="Verdana" w:hAnsi="Verdana"/>
          <w:sz w:val="20"/>
          <w:szCs w:val="20"/>
        </w:rPr>
        <w:lastRenderedPageBreak/>
        <w:t xml:space="preserve">Respecto de la prueba para mejor resolver solicitada con posterioridad a la visita, los representantes objetaron el anexo 7d presentando por el Estado, </w:t>
      </w:r>
      <w:r w:rsidR="006C44DC">
        <w:rPr>
          <w:rFonts w:ascii="Verdana" w:hAnsi="Verdana"/>
          <w:sz w:val="20"/>
          <w:szCs w:val="20"/>
        </w:rPr>
        <w:t>el cual consistía en unas fotos de los registros de títulos de la Oficina de Dominio en Surinam</w:t>
      </w:r>
      <w:r w:rsidR="008A4ABB" w:rsidRPr="004B0145">
        <w:rPr>
          <w:rFonts w:ascii="Verdana" w:hAnsi="Verdana"/>
          <w:sz w:val="20"/>
          <w:szCs w:val="20"/>
        </w:rPr>
        <w:t>,</w:t>
      </w:r>
      <w:r w:rsidR="008A4ABB" w:rsidRPr="007E20F9">
        <w:rPr>
          <w:rFonts w:ascii="Verdana" w:hAnsi="Verdana"/>
          <w:b/>
          <w:sz w:val="20"/>
          <w:szCs w:val="20"/>
        </w:rPr>
        <w:t xml:space="preserve"> </w:t>
      </w:r>
      <w:r w:rsidRPr="00FD7DB4">
        <w:rPr>
          <w:rFonts w:ascii="Verdana" w:hAnsi="Verdana"/>
          <w:sz w:val="20"/>
          <w:szCs w:val="20"/>
        </w:rPr>
        <w:t>en virtud de su falta de legibilidad, y por haber sido enviada en holandés</w:t>
      </w:r>
      <w:r w:rsidR="008A4ABB" w:rsidRPr="004B0145">
        <w:rPr>
          <w:rFonts w:ascii="Verdana" w:hAnsi="Verdana"/>
          <w:sz w:val="20"/>
          <w:szCs w:val="20"/>
        </w:rPr>
        <w:t>.</w:t>
      </w:r>
      <w:r w:rsidR="00A05CA0">
        <w:rPr>
          <w:rFonts w:ascii="Verdana" w:hAnsi="Verdana"/>
          <w:b/>
          <w:sz w:val="20"/>
          <w:szCs w:val="20"/>
        </w:rPr>
        <w:t xml:space="preserve"> </w:t>
      </w:r>
      <w:r w:rsidR="00A05CA0" w:rsidRPr="009E77BD">
        <w:rPr>
          <w:rFonts w:ascii="Verdana" w:hAnsi="Verdana"/>
          <w:sz w:val="20"/>
          <w:szCs w:val="20"/>
        </w:rPr>
        <w:t xml:space="preserve">Asimismo, el Estado señaló que el mapa referente a la población </w:t>
      </w:r>
      <w:r w:rsidR="006D4D2C">
        <w:rPr>
          <w:rFonts w:ascii="Verdana" w:hAnsi="Verdana"/>
          <w:sz w:val="20"/>
          <w:szCs w:val="20"/>
        </w:rPr>
        <w:t>maroon</w:t>
      </w:r>
      <w:r w:rsidR="00A05CA0" w:rsidRPr="009E77BD">
        <w:rPr>
          <w:rFonts w:ascii="Verdana" w:hAnsi="Verdana"/>
          <w:sz w:val="20"/>
          <w:szCs w:val="20"/>
        </w:rPr>
        <w:t xml:space="preserve"> en los territorios reclamados por los Pueblos Kaliña y Lokono remitido por los representantes</w:t>
      </w:r>
      <w:r w:rsidR="001C1A33">
        <w:rPr>
          <w:rFonts w:ascii="Verdana" w:hAnsi="Verdana"/>
          <w:sz w:val="20"/>
          <w:szCs w:val="20"/>
        </w:rPr>
        <w:t>,</w:t>
      </w:r>
      <w:r w:rsidR="00A05CA0" w:rsidRPr="009E77BD">
        <w:rPr>
          <w:rFonts w:ascii="Verdana" w:hAnsi="Verdana"/>
          <w:sz w:val="20"/>
          <w:szCs w:val="20"/>
        </w:rPr>
        <w:t xml:space="preserve"> fue hecho de manera unilateral, por lo que no permit</w:t>
      </w:r>
      <w:r w:rsidR="001C1A33">
        <w:rPr>
          <w:rFonts w:ascii="Verdana" w:hAnsi="Verdana"/>
          <w:sz w:val="20"/>
          <w:szCs w:val="20"/>
        </w:rPr>
        <w:t>ía</w:t>
      </w:r>
      <w:r w:rsidR="00A05CA0" w:rsidRPr="009E77BD">
        <w:rPr>
          <w:rFonts w:ascii="Verdana" w:hAnsi="Verdana"/>
          <w:sz w:val="20"/>
          <w:szCs w:val="20"/>
        </w:rPr>
        <w:t xml:space="preserve"> tener una visión clara de la </w:t>
      </w:r>
      <w:r w:rsidR="00A05CA0" w:rsidRPr="00E6298C">
        <w:rPr>
          <w:rFonts w:ascii="Verdana" w:hAnsi="Verdana"/>
          <w:sz w:val="20"/>
          <w:szCs w:val="20"/>
        </w:rPr>
        <w:t>realidad</w:t>
      </w:r>
      <w:r w:rsidR="008A4ABB" w:rsidRPr="00E6298C">
        <w:rPr>
          <w:rFonts w:ascii="Verdana" w:hAnsi="Verdana"/>
          <w:sz w:val="20"/>
          <w:szCs w:val="20"/>
        </w:rPr>
        <w:t>.</w:t>
      </w:r>
      <w:r w:rsidR="00A05CA0">
        <w:rPr>
          <w:rFonts w:ascii="Verdana" w:hAnsi="Verdana"/>
          <w:b/>
          <w:sz w:val="20"/>
          <w:szCs w:val="20"/>
        </w:rPr>
        <w:t xml:space="preserve"> </w:t>
      </w:r>
      <w:r w:rsidR="005342D3" w:rsidRPr="009E77BD">
        <w:rPr>
          <w:rFonts w:ascii="Verdana" w:hAnsi="Verdana"/>
          <w:sz w:val="20"/>
          <w:szCs w:val="20"/>
        </w:rPr>
        <w:t>Por otro lado, el Estado controvirtió el mapa entregado en la audiencia por los representantes el cual establecía el territorio reclamado por los Pueblos Kaliña y Lokono, debido a que la información vertida en el mismo era incorrecta</w:t>
      </w:r>
      <w:r w:rsidR="00C32CAF">
        <w:rPr>
          <w:rFonts w:ascii="Verdana" w:hAnsi="Verdana"/>
          <w:sz w:val="20"/>
          <w:szCs w:val="20"/>
        </w:rPr>
        <w:t>.</w:t>
      </w:r>
      <w:r w:rsidR="005342D3" w:rsidRPr="009E77BD">
        <w:rPr>
          <w:rFonts w:ascii="Verdana" w:hAnsi="Verdana"/>
          <w:sz w:val="20"/>
          <w:szCs w:val="20"/>
        </w:rPr>
        <w:t xml:space="preserve"> </w:t>
      </w:r>
      <w:r w:rsidRPr="00C447F8">
        <w:rPr>
          <w:rFonts w:ascii="Verdana" w:hAnsi="Verdana"/>
          <w:sz w:val="20"/>
          <w:szCs w:val="20"/>
        </w:rPr>
        <w:t xml:space="preserve">La Corte decide admitir </w:t>
      </w:r>
      <w:r w:rsidR="007829DF">
        <w:rPr>
          <w:rFonts w:ascii="Verdana" w:hAnsi="Verdana"/>
          <w:sz w:val="20"/>
          <w:szCs w:val="20"/>
        </w:rPr>
        <w:t>tales documentos</w:t>
      </w:r>
      <w:r w:rsidR="009D0299">
        <w:rPr>
          <w:rFonts w:ascii="Verdana" w:hAnsi="Verdana"/>
          <w:sz w:val="20"/>
          <w:szCs w:val="20"/>
        </w:rPr>
        <w:t>, tomando en consideración los elementos que han si</w:t>
      </w:r>
      <w:r w:rsidR="007829DF">
        <w:rPr>
          <w:rFonts w:ascii="Verdana" w:hAnsi="Verdana"/>
          <w:sz w:val="20"/>
          <w:szCs w:val="20"/>
        </w:rPr>
        <w:t>do controvertidos respecto de los mismos (</w:t>
      </w:r>
      <w:r w:rsidR="007829DF" w:rsidRPr="007829DF">
        <w:rPr>
          <w:rFonts w:ascii="Verdana" w:hAnsi="Verdana"/>
          <w:i/>
          <w:sz w:val="20"/>
          <w:szCs w:val="20"/>
        </w:rPr>
        <w:t xml:space="preserve">infra </w:t>
      </w:r>
      <w:r w:rsidR="007829DF">
        <w:rPr>
          <w:rFonts w:ascii="Verdana" w:hAnsi="Verdana"/>
          <w:sz w:val="20"/>
          <w:szCs w:val="20"/>
        </w:rPr>
        <w:t>párr.</w:t>
      </w:r>
      <w:r w:rsidR="006E00F8">
        <w:rPr>
          <w:rFonts w:ascii="Verdana" w:hAnsi="Verdana"/>
          <w:sz w:val="20"/>
          <w:szCs w:val="20"/>
        </w:rPr>
        <w:t xml:space="preserve"> 27</w:t>
      </w:r>
      <w:r w:rsidR="007829DF">
        <w:rPr>
          <w:rFonts w:ascii="Verdana" w:hAnsi="Verdana"/>
          <w:sz w:val="20"/>
          <w:szCs w:val="20"/>
        </w:rPr>
        <w:t>)</w:t>
      </w:r>
      <w:r w:rsidR="00A05CA0">
        <w:rPr>
          <w:rFonts w:ascii="Verdana" w:hAnsi="Verdana"/>
          <w:sz w:val="20"/>
          <w:szCs w:val="20"/>
        </w:rPr>
        <w:t>.</w:t>
      </w:r>
      <w:r w:rsidR="002F315E">
        <w:rPr>
          <w:rFonts w:ascii="Verdana" w:hAnsi="Verdana"/>
          <w:sz w:val="20"/>
          <w:szCs w:val="20"/>
        </w:rPr>
        <w:t xml:space="preserve"> </w:t>
      </w:r>
      <w:r w:rsidR="002F315E" w:rsidRPr="00190AD3">
        <w:rPr>
          <w:rFonts w:ascii="Verdana" w:hAnsi="Verdana"/>
          <w:sz w:val="20"/>
        </w:rPr>
        <w:t xml:space="preserve">Asimismo, las declaraciones y </w:t>
      </w:r>
      <w:r w:rsidR="002F315E" w:rsidRPr="00190AD3">
        <w:rPr>
          <w:rFonts w:ascii="Verdana" w:hAnsi="Verdana"/>
          <w:i/>
          <w:sz w:val="20"/>
        </w:rPr>
        <w:t xml:space="preserve">affidávits </w:t>
      </w:r>
      <w:r w:rsidR="002F315E" w:rsidRPr="00190AD3">
        <w:rPr>
          <w:rFonts w:ascii="Verdana" w:hAnsi="Verdana"/>
          <w:sz w:val="20"/>
        </w:rPr>
        <w:t xml:space="preserve">presentados en el caso </w:t>
      </w:r>
      <w:r w:rsidR="007B5E36">
        <w:rPr>
          <w:rFonts w:ascii="Verdana" w:hAnsi="Verdana"/>
          <w:sz w:val="20"/>
        </w:rPr>
        <w:t xml:space="preserve">no </w:t>
      </w:r>
      <w:r w:rsidR="002F315E" w:rsidRPr="00190AD3">
        <w:rPr>
          <w:rFonts w:ascii="Verdana" w:hAnsi="Verdana"/>
          <w:sz w:val="20"/>
        </w:rPr>
        <w:t>fueron controvertidos por las partes.</w:t>
      </w:r>
    </w:p>
    <w:p w14:paraId="45F41BDA" w14:textId="77777777" w:rsidR="00E4033A" w:rsidRPr="00FD7DB4" w:rsidRDefault="00E4033A" w:rsidP="00E4033A">
      <w:pPr>
        <w:jc w:val="both"/>
        <w:rPr>
          <w:rFonts w:ascii="Verdana" w:hAnsi="Verdana"/>
          <w:sz w:val="20"/>
          <w:szCs w:val="20"/>
          <w:u w:val="single"/>
        </w:rPr>
      </w:pPr>
    </w:p>
    <w:p w14:paraId="40DD5B74" w14:textId="77777777" w:rsidR="00E4033A" w:rsidRPr="00FD7DB4" w:rsidRDefault="00E4033A" w:rsidP="00E4033A">
      <w:pPr>
        <w:pStyle w:val="Heading3"/>
        <w:spacing w:before="0"/>
        <w:ind w:firstLine="360"/>
        <w:jc w:val="both"/>
        <w:rPr>
          <w:rFonts w:ascii="Verdana" w:hAnsi="Verdana"/>
          <w:i/>
          <w:color w:val="auto"/>
          <w:sz w:val="20"/>
          <w:szCs w:val="20"/>
        </w:rPr>
      </w:pPr>
      <w:bookmarkStart w:id="13" w:name="_Toc441666155"/>
      <w:r w:rsidRPr="00FD7DB4">
        <w:rPr>
          <w:rFonts w:ascii="Verdana" w:hAnsi="Verdana"/>
          <w:i/>
          <w:color w:val="auto"/>
          <w:sz w:val="20"/>
          <w:szCs w:val="20"/>
        </w:rPr>
        <w:t>B.2 Admisión de la prueba testimonial y pericial</w:t>
      </w:r>
      <w:bookmarkEnd w:id="13"/>
    </w:p>
    <w:p w14:paraId="070A4224" w14:textId="77777777" w:rsidR="00E4033A" w:rsidRPr="00FD7DB4" w:rsidRDefault="00E4033A" w:rsidP="00E4033A">
      <w:pPr>
        <w:jc w:val="both"/>
        <w:rPr>
          <w:rFonts w:ascii="Verdana" w:hAnsi="Verdana"/>
          <w:sz w:val="20"/>
          <w:szCs w:val="20"/>
        </w:rPr>
      </w:pPr>
    </w:p>
    <w:p w14:paraId="2F98201E" w14:textId="77777777" w:rsidR="00E4033A" w:rsidRPr="00FD7DB4" w:rsidRDefault="00E4033A" w:rsidP="00E4033A">
      <w:pPr>
        <w:pStyle w:val="ListParagraph"/>
        <w:numPr>
          <w:ilvl w:val="0"/>
          <w:numId w:val="2"/>
        </w:numPr>
        <w:ind w:left="0" w:hanging="11"/>
        <w:jc w:val="both"/>
        <w:rPr>
          <w:rFonts w:ascii="Verdana" w:hAnsi="Verdana"/>
          <w:sz w:val="20"/>
          <w:szCs w:val="20"/>
        </w:rPr>
      </w:pPr>
      <w:r w:rsidRPr="00FD7DB4">
        <w:rPr>
          <w:rFonts w:ascii="Verdana" w:eastAsia="Times New Roman" w:hAnsi="Verdana"/>
          <w:sz w:val="20"/>
          <w:szCs w:val="20"/>
        </w:rPr>
        <w:t xml:space="preserve">La Corte estima pertinente admitir </w:t>
      </w:r>
      <w:r w:rsidRPr="00FD7DB4">
        <w:rPr>
          <w:rFonts w:ascii="Verdana" w:hAnsi="Verdana"/>
          <w:sz w:val="20"/>
          <w:szCs w:val="20"/>
        </w:rPr>
        <w:t>las declaraciones rendidas durante la audiencia pública, ante fedatario público, y l</w:t>
      </w:r>
      <w:r w:rsidR="009D0299">
        <w:rPr>
          <w:rFonts w:ascii="Verdana" w:hAnsi="Verdana"/>
          <w:sz w:val="20"/>
          <w:szCs w:val="20"/>
        </w:rPr>
        <w:t>as manifestaciones</w:t>
      </w:r>
      <w:r w:rsidRPr="00FD7DB4">
        <w:rPr>
          <w:rFonts w:ascii="Verdana" w:hAnsi="Verdana"/>
          <w:sz w:val="20"/>
          <w:szCs w:val="20"/>
        </w:rPr>
        <w:t xml:space="preserve"> ofrecid</w:t>
      </w:r>
      <w:r w:rsidR="009D0299">
        <w:rPr>
          <w:rFonts w:ascii="Verdana" w:hAnsi="Verdana"/>
          <w:sz w:val="20"/>
          <w:szCs w:val="20"/>
        </w:rPr>
        <w:t>a</w:t>
      </w:r>
      <w:r w:rsidRPr="00FD7DB4">
        <w:rPr>
          <w:rFonts w:ascii="Verdana" w:hAnsi="Verdana"/>
          <w:sz w:val="20"/>
          <w:szCs w:val="20"/>
        </w:rPr>
        <w:t>s y recogid</w:t>
      </w:r>
      <w:r w:rsidR="009D0299">
        <w:rPr>
          <w:rFonts w:ascii="Verdana" w:hAnsi="Verdana"/>
          <w:sz w:val="20"/>
          <w:szCs w:val="20"/>
        </w:rPr>
        <w:t>a</w:t>
      </w:r>
      <w:r w:rsidRPr="00FD7DB4">
        <w:rPr>
          <w:rFonts w:ascii="Verdana" w:hAnsi="Verdana"/>
          <w:sz w:val="20"/>
          <w:szCs w:val="20"/>
        </w:rPr>
        <w:t xml:space="preserve">s con motivo de la diligencia </w:t>
      </w:r>
      <w:r w:rsidRPr="00FD7DB4">
        <w:rPr>
          <w:rFonts w:ascii="Verdana" w:hAnsi="Verdana"/>
          <w:i/>
          <w:sz w:val="20"/>
          <w:szCs w:val="20"/>
        </w:rPr>
        <w:t>in situ</w:t>
      </w:r>
      <w:r w:rsidRPr="00FD7DB4">
        <w:rPr>
          <w:rFonts w:ascii="Verdana" w:hAnsi="Verdana"/>
          <w:sz w:val="20"/>
          <w:szCs w:val="20"/>
        </w:rPr>
        <w:t xml:space="preserve"> realizada en los alegados territorios de los </w:t>
      </w:r>
      <w:r w:rsidR="00382F4D">
        <w:rPr>
          <w:rFonts w:ascii="Verdana" w:hAnsi="Verdana"/>
          <w:sz w:val="20"/>
          <w:szCs w:val="20"/>
        </w:rPr>
        <w:t>Pueblos Kaliña y Lokono</w:t>
      </w:r>
      <w:r w:rsidRPr="00FD7DB4">
        <w:rPr>
          <w:rFonts w:ascii="Verdana" w:hAnsi="Verdana"/>
          <w:sz w:val="20"/>
          <w:szCs w:val="20"/>
        </w:rPr>
        <w:t xml:space="preserve">, </w:t>
      </w:r>
      <w:r w:rsidRPr="00FD7DB4">
        <w:rPr>
          <w:rFonts w:ascii="Verdana" w:eastAsia="Times New Roman" w:hAnsi="Verdana"/>
          <w:sz w:val="20"/>
          <w:szCs w:val="20"/>
        </w:rPr>
        <w:t>en cuanto se ajusten al objeto definido por el Presidente en la Resolución que ordenó recibirlos, al objeto del presente caso y de la visita efectuada, respectivamente</w:t>
      </w:r>
      <w:r w:rsidR="006E00F8">
        <w:rPr>
          <w:rFonts w:ascii="Verdana" w:eastAsia="Times New Roman" w:hAnsi="Verdana"/>
          <w:sz w:val="20"/>
          <w:szCs w:val="20"/>
        </w:rPr>
        <w:t xml:space="preserve"> </w:t>
      </w:r>
      <w:r w:rsidR="006E00F8" w:rsidRPr="00FD7DB4">
        <w:rPr>
          <w:rFonts w:ascii="Verdana" w:eastAsia="Times New Roman" w:hAnsi="Verdana"/>
          <w:sz w:val="20"/>
          <w:szCs w:val="20"/>
        </w:rPr>
        <w:t>(</w:t>
      </w:r>
      <w:r w:rsidR="006E00F8" w:rsidRPr="00366D91">
        <w:rPr>
          <w:rFonts w:ascii="Verdana" w:eastAsia="Times New Roman" w:hAnsi="Verdana"/>
          <w:i/>
          <w:sz w:val="20"/>
          <w:szCs w:val="20"/>
        </w:rPr>
        <w:t>supra</w:t>
      </w:r>
      <w:r w:rsidR="006E00F8" w:rsidRPr="00FD7DB4">
        <w:rPr>
          <w:rFonts w:ascii="Verdana" w:eastAsia="Times New Roman" w:hAnsi="Verdana"/>
          <w:sz w:val="20"/>
          <w:szCs w:val="20"/>
        </w:rPr>
        <w:t xml:space="preserve"> párr</w:t>
      </w:r>
      <w:r w:rsidR="006E00F8">
        <w:rPr>
          <w:rFonts w:ascii="Verdana" w:eastAsia="Times New Roman" w:hAnsi="Verdana"/>
          <w:sz w:val="20"/>
          <w:szCs w:val="20"/>
        </w:rPr>
        <w:t>s</w:t>
      </w:r>
      <w:r w:rsidR="006E00F8" w:rsidRPr="00FD7DB4">
        <w:rPr>
          <w:rFonts w:ascii="Verdana" w:eastAsia="Times New Roman" w:hAnsi="Verdana"/>
          <w:sz w:val="20"/>
          <w:szCs w:val="20"/>
        </w:rPr>
        <w:t xml:space="preserve">. </w:t>
      </w:r>
      <w:r w:rsidR="006E00F8">
        <w:rPr>
          <w:rFonts w:ascii="Verdana" w:eastAsia="Times New Roman" w:hAnsi="Verdana"/>
          <w:sz w:val="20"/>
          <w:szCs w:val="20"/>
        </w:rPr>
        <w:t>14 y 20</w:t>
      </w:r>
      <w:r w:rsidR="006E00F8" w:rsidRPr="00FD7DB4">
        <w:rPr>
          <w:rFonts w:ascii="Verdana" w:eastAsia="Times New Roman" w:hAnsi="Verdana"/>
          <w:sz w:val="20"/>
          <w:szCs w:val="20"/>
        </w:rPr>
        <w:t>)</w:t>
      </w:r>
      <w:r w:rsidR="006E00F8">
        <w:rPr>
          <w:rFonts w:ascii="Verdana" w:eastAsia="Times New Roman" w:hAnsi="Verdana"/>
          <w:sz w:val="20"/>
          <w:szCs w:val="20"/>
        </w:rPr>
        <w:t>.</w:t>
      </w:r>
    </w:p>
    <w:p w14:paraId="7A14EBD9" w14:textId="77777777" w:rsidR="00E4033A" w:rsidRPr="00FD7DB4" w:rsidRDefault="00E4033A" w:rsidP="00E4033A">
      <w:pPr>
        <w:jc w:val="both"/>
        <w:rPr>
          <w:rFonts w:ascii="Verdana" w:hAnsi="Verdana"/>
          <w:sz w:val="20"/>
          <w:szCs w:val="20"/>
        </w:rPr>
      </w:pPr>
    </w:p>
    <w:p w14:paraId="0FA8D294" w14:textId="77777777" w:rsidR="00E4033A" w:rsidRPr="00FD7DB4" w:rsidRDefault="00E4033A" w:rsidP="00E4033A">
      <w:pPr>
        <w:pStyle w:val="Heading2"/>
        <w:numPr>
          <w:ilvl w:val="0"/>
          <w:numId w:val="1"/>
        </w:numPr>
        <w:spacing w:before="0"/>
        <w:rPr>
          <w:rFonts w:ascii="Verdana" w:hAnsi="Verdana"/>
          <w:i/>
          <w:color w:val="auto"/>
          <w:sz w:val="20"/>
          <w:szCs w:val="20"/>
        </w:rPr>
      </w:pPr>
      <w:bookmarkStart w:id="14" w:name="_Toc441666156"/>
      <w:r w:rsidRPr="00FD7DB4">
        <w:rPr>
          <w:rFonts w:ascii="Verdana" w:hAnsi="Verdana"/>
          <w:i/>
          <w:color w:val="auto"/>
          <w:sz w:val="20"/>
          <w:szCs w:val="20"/>
        </w:rPr>
        <w:t>Valoración de la prueba</w:t>
      </w:r>
      <w:bookmarkEnd w:id="14"/>
    </w:p>
    <w:p w14:paraId="5AA33D13" w14:textId="77777777" w:rsidR="00E4033A" w:rsidRPr="00FD7DB4" w:rsidRDefault="00E4033A" w:rsidP="00E4033A">
      <w:pPr>
        <w:pStyle w:val="ListParagraph"/>
        <w:rPr>
          <w:rFonts w:ascii="Verdana" w:hAnsi="Verdana"/>
          <w:sz w:val="20"/>
          <w:szCs w:val="20"/>
        </w:rPr>
      </w:pPr>
    </w:p>
    <w:p w14:paraId="436ADC6A" w14:textId="77777777" w:rsidR="00E4033A" w:rsidRPr="00FD7DB4" w:rsidRDefault="00E4033A" w:rsidP="00E4033A">
      <w:pPr>
        <w:pStyle w:val="ListParagraph"/>
        <w:numPr>
          <w:ilvl w:val="0"/>
          <w:numId w:val="2"/>
        </w:numPr>
        <w:ind w:left="0" w:hanging="11"/>
        <w:jc w:val="both"/>
        <w:rPr>
          <w:rFonts w:ascii="Verdana" w:eastAsia="Times New Roman" w:hAnsi="Verdana"/>
          <w:sz w:val="20"/>
          <w:szCs w:val="20"/>
        </w:rPr>
      </w:pPr>
      <w:r w:rsidRPr="00FD7DB4">
        <w:rPr>
          <w:rFonts w:ascii="Verdana" w:eastAsia="Times New Roman" w:hAnsi="Verdana"/>
          <w:sz w:val="20"/>
          <w:szCs w:val="20"/>
        </w:rPr>
        <w:t>Con base en su jurisprudencia constante respecto de la prueba y su apreciación</w:t>
      </w:r>
      <w:r w:rsidRPr="00FD7DB4">
        <w:rPr>
          <w:rFonts w:ascii="Verdana" w:eastAsia="Times New Roman" w:hAnsi="Verdana"/>
          <w:sz w:val="20"/>
          <w:szCs w:val="20"/>
          <w:vertAlign w:val="superscript"/>
        </w:rPr>
        <w:footnoteReference w:id="25"/>
      </w:r>
      <w:r w:rsidRPr="00FD7DB4">
        <w:rPr>
          <w:rFonts w:ascii="Verdana" w:eastAsia="Times New Roman" w:hAnsi="Verdana"/>
          <w:sz w:val="20"/>
          <w:szCs w:val="20"/>
        </w:rPr>
        <w:t>, la Corte examinará y valorará los elementos probatorios documentales remitidos por las partes y la Comisión, las declaraciones, testimonios y dictámenes periciales, así como la prueba para mejor resolver solicitada e incorporada por este Tribunal, al establecer los hechos del caso y pronunciarse sobre el fondo. Para ello se sujeta a los principios de la sana crítica, dentro del marco normativo correspondiente, teniendo en cuenta el conjunto del acervo probatorio y lo alegado en la causa</w:t>
      </w:r>
      <w:r w:rsidRPr="00FD7DB4">
        <w:rPr>
          <w:rFonts w:ascii="Verdana" w:eastAsia="Times New Roman" w:hAnsi="Verdana"/>
          <w:sz w:val="20"/>
          <w:szCs w:val="20"/>
          <w:vertAlign w:val="superscript"/>
        </w:rPr>
        <w:footnoteReference w:id="26"/>
      </w:r>
      <w:r w:rsidRPr="00FD7DB4">
        <w:rPr>
          <w:rFonts w:ascii="Verdana" w:eastAsia="Times New Roman" w:hAnsi="Verdana"/>
          <w:sz w:val="20"/>
          <w:szCs w:val="20"/>
        </w:rPr>
        <w:t>.</w:t>
      </w:r>
    </w:p>
    <w:p w14:paraId="7596B887" w14:textId="77777777" w:rsidR="00E4033A" w:rsidRPr="00FD7DB4" w:rsidRDefault="00E4033A" w:rsidP="00E4033A">
      <w:pPr>
        <w:jc w:val="both"/>
        <w:rPr>
          <w:rFonts w:ascii="Verdana" w:eastAsia="Times New Roman" w:hAnsi="Verdana"/>
          <w:sz w:val="20"/>
          <w:szCs w:val="20"/>
        </w:rPr>
      </w:pPr>
    </w:p>
    <w:p w14:paraId="32321412" w14:textId="77777777" w:rsidR="00E4033A" w:rsidRDefault="00E4033A" w:rsidP="00E4033A">
      <w:pPr>
        <w:pStyle w:val="ListParagraph"/>
        <w:numPr>
          <w:ilvl w:val="0"/>
          <w:numId w:val="2"/>
        </w:numPr>
        <w:ind w:left="0" w:hanging="11"/>
        <w:jc w:val="both"/>
        <w:rPr>
          <w:rFonts w:ascii="Verdana" w:eastAsia="Times New Roman" w:hAnsi="Verdana"/>
          <w:sz w:val="20"/>
          <w:szCs w:val="20"/>
        </w:rPr>
      </w:pPr>
      <w:bookmarkStart w:id="15" w:name="_Ref402038884"/>
      <w:r w:rsidRPr="00FD7DB4">
        <w:rPr>
          <w:rFonts w:ascii="Verdana" w:eastAsia="Times New Roman" w:hAnsi="Verdana"/>
          <w:sz w:val="20"/>
          <w:szCs w:val="20"/>
        </w:rPr>
        <w:t>Asimismo, conforme a la jurisprudencia de este Tribunal, las declaraciones rendidas por las presuntas víctimas no pueden ser valoradas aisladamente sino dentro del conjunto de las pruebas del proceso, en la medida en que pueden proporcionar mayor información sobre las presuntas violaciones y sus consecuencias</w:t>
      </w:r>
      <w:r w:rsidRPr="00FD7DB4">
        <w:rPr>
          <w:rFonts w:ascii="Verdana" w:eastAsia="Times New Roman" w:hAnsi="Verdana"/>
          <w:sz w:val="20"/>
          <w:szCs w:val="20"/>
          <w:vertAlign w:val="superscript"/>
        </w:rPr>
        <w:footnoteReference w:id="27"/>
      </w:r>
      <w:r w:rsidRPr="00FD7DB4">
        <w:rPr>
          <w:rFonts w:ascii="Verdana" w:eastAsia="Times New Roman" w:hAnsi="Verdana"/>
          <w:sz w:val="20"/>
          <w:szCs w:val="20"/>
        </w:rPr>
        <w:t>.</w:t>
      </w:r>
      <w:bookmarkEnd w:id="15"/>
    </w:p>
    <w:p w14:paraId="4638C823" w14:textId="77777777" w:rsidR="00B15FEF" w:rsidRDefault="00B15FEF">
      <w:pPr>
        <w:pStyle w:val="ListParagraph"/>
        <w:ind w:left="0"/>
        <w:jc w:val="both"/>
        <w:rPr>
          <w:rFonts w:ascii="Verdana" w:eastAsia="Times New Roman" w:hAnsi="Verdana"/>
          <w:sz w:val="20"/>
          <w:szCs w:val="20"/>
        </w:rPr>
      </w:pPr>
    </w:p>
    <w:p w14:paraId="0B62B924" w14:textId="230F5437" w:rsidR="00E4033A" w:rsidRPr="003945D9" w:rsidRDefault="003945D9" w:rsidP="003945D9">
      <w:pPr>
        <w:pStyle w:val="ListParagraph"/>
        <w:numPr>
          <w:ilvl w:val="0"/>
          <w:numId w:val="2"/>
        </w:numPr>
        <w:ind w:left="0" w:hanging="11"/>
        <w:jc w:val="both"/>
        <w:rPr>
          <w:rFonts w:ascii="Verdana" w:eastAsia="Times New Roman" w:hAnsi="Verdana"/>
          <w:sz w:val="20"/>
          <w:szCs w:val="20"/>
        </w:rPr>
      </w:pPr>
      <w:r>
        <w:rPr>
          <w:rFonts w:ascii="Verdana" w:hAnsi="Verdana"/>
          <w:sz w:val="20"/>
          <w:szCs w:val="20"/>
        </w:rPr>
        <w:t>En</w:t>
      </w:r>
      <w:r w:rsidR="00E4033A" w:rsidRPr="00FD7DB4">
        <w:rPr>
          <w:rFonts w:ascii="Verdana" w:hAnsi="Verdana"/>
          <w:sz w:val="20"/>
          <w:szCs w:val="20"/>
        </w:rPr>
        <w:t xml:space="preserve"> relación </w:t>
      </w:r>
      <w:r>
        <w:rPr>
          <w:rFonts w:ascii="Verdana" w:hAnsi="Verdana"/>
          <w:sz w:val="20"/>
          <w:szCs w:val="20"/>
        </w:rPr>
        <w:t>con</w:t>
      </w:r>
      <w:r w:rsidR="00E4033A" w:rsidRPr="00FD7DB4">
        <w:rPr>
          <w:rFonts w:ascii="Verdana" w:hAnsi="Verdana"/>
          <w:sz w:val="20"/>
          <w:szCs w:val="20"/>
        </w:rPr>
        <w:t xml:space="preserve"> la </w:t>
      </w:r>
      <w:r w:rsidR="000A0311">
        <w:rPr>
          <w:rFonts w:ascii="Verdana" w:hAnsi="Verdana"/>
          <w:sz w:val="20"/>
          <w:szCs w:val="20"/>
        </w:rPr>
        <w:t>diligencia</w:t>
      </w:r>
      <w:r w:rsidR="00E4033A" w:rsidRPr="00FD7DB4">
        <w:rPr>
          <w:rFonts w:ascii="Verdana" w:hAnsi="Verdana"/>
          <w:sz w:val="20"/>
          <w:szCs w:val="20"/>
        </w:rPr>
        <w:t xml:space="preserve"> </w:t>
      </w:r>
      <w:r w:rsidR="00E4033A" w:rsidRPr="00FD7DB4">
        <w:rPr>
          <w:rFonts w:ascii="Verdana" w:hAnsi="Verdana"/>
          <w:i/>
          <w:sz w:val="20"/>
          <w:szCs w:val="20"/>
        </w:rPr>
        <w:t xml:space="preserve">in situ </w:t>
      </w:r>
      <w:r w:rsidR="00E4033A" w:rsidRPr="00FD7DB4">
        <w:rPr>
          <w:rFonts w:ascii="Verdana" w:hAnsi="Verdana"/>
          <w:sz w:val="20"/>
          <w:szCs w:val="20"/>
        </w:rPr>
        <w:t>(</w:t>
      </w:r>
      <w:r w:rsidR="00366D91" w:rsidRPr="00366D91">
        <w:rPr>
          <w:rFonts w:ascii="Verdana" w:hAnsi="Verdana"/>
          <w:i/>
          <w:sz w:val="20"/>
          <w:szCs w:val="20"/>
        </w:rPr>
        <w:t>supra</w:t>
      </w:r>
      <w:r w:rsidR="00E4033A" w:rsidRPr="00FD7DB4">
        <w:rPr>
          <w:rFonts w:ascii="Verdana" w:hAnsi="Verdana"/>
          <w:i/>
          <w:sz w:val="20"/>
          <w:szCs w:val="20"/>
        </w:rPr>
        <w:t xml:space="preserve"> </w:t>
      </w:r>
      <w:r w:rsidR="00E4033A" w:rsidRPr="00FD7DB4">
        <w:rPr>
          <w:rFonts w:ascii="Verdana" w:hAnsi="Verdana"/>
          <w:sz w:val="20"/>
          <w:szCs w:val="20"/>
        </w:rPr>
        <w:t xml:space="preserve">párr. </w:t>
      </w:r>
      <w:r w:rsidR="006E00F8">
        <w:rPr>
          <w:rFonts w:ascii="Verdana" w:hAnsi="Verdana"/>
          <w:sz w:val="20"/>
          <w:szCs w:val="20"/>
        </w:rPr>
        <w:t>14</w:t>
      </w:r>
      <w:r w:rsidR="00E4033A" w:rsidRPr="00FD7DB4">
        <w:rPr>
          <w:rFonts w:ascii="Verdana" w:hAnsi="Verdana"/>
          <w:sz w:val="20"/>
          <w:szCs w:val="20"/>
        </w:rPr>
        <w:t>), encaminada a obtener información adicional acerca de la situación de las presuntas víctimas y lugares en que habrían ocurrido algunos de los hechos alegados en el presente caso</w:t>
      </w:r>
      <w:r w:rsidR="0083475A">
        <w:rPr>
          <w:rFonts w:ascii="Verdana" w:hAnsi="Verdana"/>
          <w:sz w:val="20"/>
          <w:szCs w:val="20"/>
        </w:rPr>
        <w:t>;</w:t>
      </w:r>
      <w:r w:rsidR="00E4033A" w:rsidRPr="00FD7DB4">
        <w:rPr>
          <w:rFonts w:ascii="Verdana" w:hAnsi="Verdana"/>
          <w:sz w:val="20"/>
          <w:szCs w:val="20"/>
        </w:rPr>
        <w:t xml:space="preserve"> l</w:t>
      </w:r>
      <w:r w:rsidR="009D0299">
        <w:rPr>
          <w:rFonts w:ascii="Verdana" w:hAnsi="Verdana"/>
          <w:sz w:val="20"/>
          <w:szCs w:val="20"/>
        </w:rPr>
        <w:t>as manifestaciones</w:t>
      </w:r>
      <w:r w:rsidR="00E4033A" w:rsidRPr="00FD7DB4">
        <w:rPr>
          <w:rFonts w:ascii="Verdana" w:hAnsi="Verdana"/>
          <w:sz w:val="20"/>
          <w:szCs w:val="20"/>
        </w:rPr>
        <w:t>, documentos</w:t>
      </w:r>
      <w:r>
        <w:rPr>
          <w:rFonts w:ascii="Verdana" w:hAnsi="Verdana"/>
          <w:sz w:val="20"/>
          <w:szCs w:val="20"/>
        </w:rPr>
        <w:t xml:space="preserve">, </w:t>
      </w:r>
      <w:r w:rsidR="00E4033A" w:rsidRPr="00FD7DB4">
        <w:rPr>
          <w:rFonts w:ascii="Verdana" w:hAnsi="Verdana"/>
          <w:sz w:val="20"/>
          <w:szCs w:val="20"/>
        </w:rPr>
        <w:t>así como la información recibida</w:t>
      </w:r>
      <w:r w:rsidR="0083475A">
        <w:rPr>
          <w:rFonts w:ascii="Verdana" w:hAnsi="Verdana"/>
          <w:sz w:val="20"/>
          <w:szCs w:val="20"/>
        </w:rPr>
        <w:t>s</w:t>
      </w:r>
      <w:r w:rsidR="00E4033A" w:rsidRPr="00FD7DB4">
        <w:rPr>
          <w:rFonts w:ascii="Verdana" w:hAnsi="Verdana"/>
          <w:sz w:val="20"/>
          <w:szCs w:val="20"/>
        </w:rPr>
        <w:t>, serán valorados en consideración de las circunstancias particulares en la que fueron producidos</w:t>
      </w:r>
      <w:r w:rsidR="00E4033A" w:rsidRPr="00FD7DB4">
        <w:rPr>
          <w:rStyle w:val="FootnoteReference"/>
          <w:szCs w:val="20"/>
        </w:rPr>
        <w:footnoteReference w:id="28"/>
      </w:r>
      <w:r w:rsidR="00E4033A" w:rsidRPr="00FD7DB4">
        <w:rPr>
          <w:rFonts w:ascii="Verdana" w:hAnsi="Verdana"/>
          <w:sz w:val="20"/>
          <w:szCs w:val="20"/>
        </w:rPr>
        <w:t>.</w:t>
      </w:r>
      <w:r>
        <w:rPr>
          <w:rFonts w:ascii="Verdana" w:hAnsi="Verdana"/>
          <w:sz w:val="20"/>
          <w:szCs w:val="20"/>
        </w:rPr>
        <w:t xml:space="preserve"> Al respecto, la Corte incorporó </w:t>
      </w:r>
      <w:r w:rsidRPr="001455F9">
        <w:rPr>
          <w:rFonts w:ascii="Verdana" w:hAnsi="Verdana"/>
          <w:sz w:val="20"/>
          <w:szCs w:val="20"/>
        </w:rPr>
        <w:t xml:space="preserve">al expediente del </w:t>
      </w:r>
      <w:r w:rsidRPr="001455F9">
        <w:rPr>
          <w:rFonts w:ascii="Verdana" w:hAnsi="Verdana"/>
          <w:sz w:val="20"/>
          <w:szCs w:val="20"/>
        </w:rPr>
        <w:lastRenderedPageBreak/>
        <w:t>caso</w:t>
      </w:r>
      <w:r>
        <w:rPr>
          <w:rFonts w:ascii="Verdana" w:hAnsi="Verdana"/>
          <w:sz w:val="20"/>
          <w:szCs w:val="20"/>
        </w:rPr>
        <w:t xml:space="preserve"> el video </w:t>
      </w:r>
      <w:r>
        <w:rPr>
          <w:rFonts w:ascii="Verdana" w:hAnsi="Verdana"/>
          <w:sz w:val="20"/>
          <w:lang w:val="es-CR"/>
        </w:rPr>
        <w:t xml:space="preserve">que contiene las imágenes recabadas por el Estado durante la diligencia </w:t>
      </w:r>
      <w:r>
        <w:rPr>
          <w:rFonts w:ascii="Verdana" w:hAnsi="Verdana"/>
          <w:i/>
          <w:sz w:val="20"/>
          <w:lang w:val="es-CR"/>
        </w:rPr>
        <w:t xml:space="preserve">in situ </w:t>
      </w:r>
      <w:r w:rsidRPr="005906E7">
        <w:rPr>
          <w:rFonts w:ascii="Verdana" w:hAnsi="Verdana"/>
          <w:sz w:val="20"/>
          <w:lang w:val="es-CR"/>
        </w:rPr>
        <w:t>y lo transmitió a las parte</w:t>
      </w:r>
      <w:r w:rsidRPr="00C6647A">
        <w:rPr>
          <w:rFonts w:ascii="Verdana" w:hAnsi="Verdana"/>
          <w:sz w:val="20"/>
          <w:lang w:val="es-CR"/>
        </w:rPr>
        <w:t>s.</w:t>
      </w:r>
      <w:r w:rsidRPr="005906E7">
        <w:rPr>
          <w:rFonts w:ascii="Verdana" w:eastAsia="Times New Roman" w:hAnsi="Verdana"/>
          <w:sz w:val="20"/>
          <w:szCs w:val="20"/>
        </w:rPr>
        <w:t xml:space="preserve"> </w:t>
      </w:r>
    </w:p>
    <w:p w14:paraId="6565460F" w14:textId="77777777" w:rsidR="009B0952" w:rsidRPr="00FD7DB4" w:rsidRDefault="009B0952" w:rsidP="00690B3D">
      <w:pPr>
        <w:pStyle w:val="ListParagraph"/>
        <w:rPr>
          <w:rFonts w:ascii="Verdana" w:eastAsia="Times New Roman" w:hAnsi="Verdana"/>
          <w:sz w:val="20"/>
          <w:szCs w:val="20"/>
        </w:rPr>
      </w:pPr>
    </w:p>
    <w:p w14:paraId="793D9F30" w14:textId="77777777" w:rsidR="00E4033A" w:rsidRPr="00FD7DB4" w:rsidRDefault="009B0952" w:rsidP="00A41A5A">
      <w:pPr>
        <w:pStyle w:val="ListParagraph"/>
        <w:numPr>
          <w:ilvl w:val="0"/>
          <w:numId w:val="2"/>
        </w:numPr>
        <w:ind w:left="0" w:hanging="11"/>
        <w:jc w:val="both"/>
        <w:rPr>
          <w:rFonts w:ascii="Verdana" w:eastAsia="Times New Roman" w:hAnsi="Verdana"/>
          <w:sz w:val="20"/>
          <w:szCs w:val="20"/>
        </w:rPr>
      </w:pPr>
      <w:r w:rsidRPr="00FD7DB4">
        <w:rPr>
          <w:rFonts w:ascii="Verdana" w:eastAsia="Times New Roman" w:hAnsi="Verdana"/>
          <w:sz w:val="20"/>
          <w:szCs w:val="20"/>
        </w:rPr>
        <w:t xml:space="preserve">La Corte toma nota que </w:t>
      </w:r>
      <w:r w:rsidR="00563E11">
        <w:rPr>
          <w:rFonts w:ascii="Verdana" w:eastAsia="Times New Roman" w:hAnsi="Verdana"/>
          <w:sz w:val="20"/>
          <w:szCs w:val="20"/>
        </w:rPr>
        <w:t>Surinam</w:t>
      </w:r>
      <w:r w:rsidRPr="00FD7DB4">
        <w:rPr>
          <w:rFonts w:ascii="Verdana" w:eastAsia="Times New Roman" w:hAnsi="Verdana"/>
          <w:sz w:val="20"/>
          <w:szCs w:val="20"/>
        </w:rPr>
        <w:t xml:space="preserve"> envió copias fotográficas de</w:t>
      </w:r>
      <w:r w:rsidR="009D0299">
        <w:rPr>
          <w:rFonts w:ascii="Verdana" w:eastAsia="Times New Roman" w:hAnsi="Verdana"/>
          <w:sz w:val="20"/>
          <w:szCs w:val="20"/>
        </w:rPr>
        <w:t>l</w:t>
      </w:r>
      <w:r w:rsidRPr="00FD7DB4">
        <w:rPr>
          <w:rFonts w:ascii="Verdana" w:eastAsia="Times New Roman" w:hAnsi="Verdana"/>
          <w:sz w:val="20"/>
          <w:szCs w:val="20"/>
        </w:rPr>
        <w:t xml:space="preserve"> registro de títulos de la Oficina de </w:t>
      </w:r>
      <w:r w:rsidRPr="009619CE">
        <w:rPr>
          <w:rFonts w:ascii="Verdana" w:eastAsia="Times New Roman" w:hAnsi="Verdana"/>
          <w:sz w:val="20"/>
          <w:szCs w:val="20"/>
        </w:rPr>
        <w:t xml:space="preserve">Dominios </w:t>
      </w:r>
      <w:r w:rsidR="009619CE" w:rsidRPr="007E20F9">
        <w:rPr>
          <w:rFonts w:ascii="Verdana" w:hAnsi="Verdana"/>
          <w:sz w:val="20"/>
          <w:szCs w:val="20"/>
        </w:rPr>
        <w:t>(“</w:t>
      </w:r>
      <w:r w:rsidR="009619CE" w:rsidRPr="00F77E53">
        <w:rPr>
          <w:rFonts w:ascii="Verdana" w:hAnsi="Verdana"/>
          <w:i/>
          <w:sz w:val="20"/>
          <w:szCs w:val="20"/>
        </w:rPr>
        <w:t>Domains Office</w:t>
      </w:r>
      <w:r w:rsidR="009619CE" w:rsidRPr="007E20F9">
        <w:rPr>
          <w:rFonts w:ascii="Verdana" w:hAnsi="Verdana"/>
          <w:sz w:val="20"/>
          <w:szCs w:val="20"/>
        </w:rPr>
        <w:t>”),</w:t>
      </w:r>
      <w:r w:rsidR="009619CE" w:rsidRPr="007E20F9">
        <w:t xml:space="preserve"> </w:t>
      </w:r>
      <w:r w:rsidRPr="00FD7DB4">
        <w:rPr>
          <w:rFonts w:ascii="Verdana" w:eastAsia="Times New Roman" w:hAnsi="Verdana"/>
          <w:sz w:val="20"/>
          <w:szCs w:val="20"/>
        </w:rPr>
        <w:t>en holandés (</w:t>
      </w:r>
      <w:r w:rsidR="00366D91" w:rsidRPr="00366D91">
        <w:rPr>
          <w:rFonts w:ascii="Verdana" w:eastAsia="Times New Roman" w:hAnsi="Verdana"/>
          <w:i/>
          <w:sz w:val="20"/>
          <w:szCs w:val="20"/>
        </w:rPr>
        <w:t>supra</w:t>
      </w:r>
      <w:r w:rsidRPr="00FD7DB4">
        <w:rPr>
          <w:rFonts w:ascii="Verdana" w:eastAsia="Times New Roman" w:hAnsi="Verdana"/>
          <w:sz w:val="20"/>
          <w:szCs w:val="20"/>
        </w:rPr>
        <w:t xml:space="preserve"> párr. </w:t>
      </w:r>
      <w:r w:rsidR="006E00F8">
        <w:rPr>
          <w:rFonts w:ascii="Verdana" w:eastAsia="Times New Roman" w:hAnsi="Verdana"/>
          <w:sz w:val="20"/>
          <w:szCs w:val="20"/>
        </w:rPr>
        <w:t>22</w:t>
      </w:r>
      <w:r w:rsidRPr="00FD7DB4">
        <w:rPr>
          <w:rFonts w:ascii="Verdana" w:eastAsia="Times New Roman" w:hAnsi="Verdana"/>
          <w:sz w:val="20"/>
          <w:szCs w:val="20"/>
        </w:rPr>
        <w:t>)</w:t>
      </w:r>
      <w:r w:rsidR="00206475" w:rsidRPr="00FD7DB4">
        <w:rPr>
          <w:rFonts w:ascii="Verdana" w:eastAsia="Times New Roman" w:hAnsi="Verdana"/>
          <w:sz w:val="20"/>
          <w:szCs w:val="20"/>
        </w:rPr>
        <w:t>, prueba que ha sido controvertida por los representantes.</w:t>
      </w:r>
      <w:r w:rsidRPr="00FD7DB4">
        <w:rPr>
          <w:rFonts w:ascii="Verdana" w:eastAsia="Times New Roman" w:hAnsi="Verdana"/>
          <w:sz w:val="20"/>
          <w:szCs w:val="20"/>
        </w:rPr>
        <w:t xml:space="preserve"> Respecto de ello, la Corte resalta que de dicha información solo se puede derivar, en algunos casos, los nombres de los que ostentan dichos títulos, así como su ubicación en el proyecto de parcelación de Tuinstad Albina</w:t>
      </w:r>
      <w:r w:rsidR="001B19DD">
        <w:rPr>
          <w:rStyle w:val="FootnoteReference"/>
          <w:rFonts w:eastAsia="Times New Roman"/>
          <w:szCs w:val="20"/>
        </w:rPr>
        <w:footnoteReference w:id="29"/>
      </w:r>
      <w:r w:rsidRPr="00FD7DB4">
        <w:rPr>
          <w:rFonts w:ascii="Verdana" w:eastAsia="Times New Roman" w:hAnsi="Verdana"/>
          <w:sz w:val="20"/>
          <w:szCs w:val="20"/>
        </w:rPr>
        <w:t>. En este sentido, la Corte analizará esta información</w:t>
      </w:r>
      <w:r w:rsidR="00ED4007" w:rsidRPr="00FD7DB4">
        <w:rPr>
          <w:rFonts w:ascii="Verdana" w:eastAsia="Times New Roman" w:hAnsi="Verdana"/>
          <w:sz w:val="20"/>
          <w:szCs w:val="20"/>
        </w:rPr>
        <w:t xml:space="preserve"> siempre y cuando pueda establecer claramente su utilidad</w:t>
      </w:r>
      <w:r w:rsidR="00A41A5A">
        <w:rPr>
          <w:rFonts w:ascii="Verdana" w:eastAsia="Times New Roman" w:hAnsi="Verdana"/>
          <w:sz w:val="20"/>
          <w:szCs w:val="20"/>
        </w:rPr>
        <w:t xml:space="preserve">. Asimismo, esta información, así como toda </w:t>
      </w:r>
      <w:r w:rsidR="00E4033A" w:rsidRPr="00FD7DB4">
        <w:rPr>
          <w:rFonts w:ascii="Verdana" w:eastAsia="Times New Roman" w:hAnsi="Verdana"/>
          <w:sz w:val="20"/>
          <w:szCs w:val="20"/>
        </w:rPr>
        <w:t xml:space="preserve">la documentación remitida como prueba para mejor resolver junto con las observaciones de las partes a la visita, </w:t>
      </w:r>
      <w:r w:rsidR="00A41A5A">
        <w:rPr>
          <w:rFonts w:ascii="Verdana" w:eastAsia="Times New Roman" w:hAnsi="Verdana"/>
          <w:sz w:val="20"/>
          <w:szCs w:val="20"/>
        </w:rPr>
        <w:t>será analizada por la</w:t>
      </w:r>
      <w:r w:rsidR="00E4033A" w:rsidRPr="00FD7DB4">
        <w:rPr>
          <w:rFonts w:ascii="Verdana" w:eastAsia="Times New Roman" w:hAnsi="Verdana"/>
          <w:sz w:val="20"/>
          <w:szCs w:val="20"/>
        </w:rPr>
        <w:t xml:space="preserve"> Corte de acuerdo con las reglas de la sana crítica y en tanto complementen los objetivos particulares de la misma</w:t>
      </w:r>
      <w:r w:rsidR="009619CE">
        <w:rPr>
          <w:rStyle w:val="FootnoteReference"/>
          <w:rFonts w:eastAsia="Times New Roman"/>
          <w:szCs w:val="20"/>
        </w:rPr>
        <w:footnoteReference w:id="30"/>
      </w:r>
      <w:r w:rsidR="00E4033A" w:rsidRPr="00FD7DB4">
        <w:rPr>
          <w:rFonts w:ascii="Verdana" w:eastAsia="Times New Roman" w:hAnsi="Verdana"/>
          <w:sz w:val="20"/>
          <w:szCs w:val="20"/>
        </w:rPr>
        <w:t xml:space="preserve">.  </w:t>
      </w:r>
    </w:p>
    <w:p w14:paraId="4C10EA4D" w14:textId="77777777" w:rsidR="00E4033A" w:rsidRDefault="00E4033A" w:rsidP="00E4033A">
      <w:pPr>
        <w:pStyle w:val="ListParagraph"/>
        <w:ind w:left="0"/>
        <w:jc w:val="both"/>
        <w:rPr>
          <w:rFonts w:ascii="Verdana" w:eastAsia="Times New Roman" w:hAnsi="Verdana"/>
          <w:sz w:val="20"/>
          <w:szCs w:val="20"/>
        </w:rPr>
      </w:pPr>
    </w:p>
    <w:p w14:paraId="3FF95B2C" w14:textId="77777777" w:rsidR="00E26926" w:rsidRPr="00FD7DB4" w:rsidRDefault="00E26926" w:rsidP="00E26926">
      <w:pPr>
        <w:pStyle w:val="Heading1"/>
        <w:tabs>
          <w:tab w:val="left" w:pos="851"/>
        </w:tabs>
        <w:spacing w:before="0"/>
        <w:jc w:val="center"/>
        <w:rPr>
          <w:rFonts w:ascii="Verdana" w:hAnsi="Verdana" w:cs="Verdana"/>
          <w:caps/>
          <w:snapToGrid w:val="0"/>
          <w:color w:val="auto"/>
          <w:sz w:val="20"/>
          <w:szCs w:val="20"/>
        </w:rPr>
      </w:pPr>
      <w:bookmarkStart w:id="16" w:name="_Toc441666157"/>
      <w:r>
        <w:rPr>
          <w:rFonts w:ascii="Verdana" w:hAnsi="Verdana" w:cs="Verdana"/>
          <w:caps/>
          <w:snapToGrid w:val="0"/>
          <w:color w:val="auto"/>
          <w:sz w:val="20"/>
          <w:szCs w:val="20"/>
        </w:rPr>
        <w:t>V</w:t>
      </w:r>
      <w:r w:rsidRPr="00FD7DB4">
        <w:rPr>
          <w:rFonts w:ascii="Verdana" w:hAnsi="Verdana" w:cs="Verdana"/>
          <w:caps/>
          <w:snapToGrid w:val="0"/>
          <w:color w:val="auto"/>
          <w:sz w:val="20"/>
          <w:szCs w:val="20"/>
        </w:rPr>
        <w:br/>
      </w:r>
      <w:r>
        <w:rPr>
          <w:rFonts w:ascii="Verdana" w:hAnsi="Verdana" w:cs="Verdana"/>
          <w:caps/>
          <w:snapToGrid w:val="0"/>
          <w:color w:val="auto"/>
          <w:sz w:val="20"/>
          <w:szCs w:val="20"/>
        </w:rPr>
        <w:t>HECHOS</w:t>
      </w:r>
      <w:bookmarkEnd w:id="16"/>
    </w:p>
    <w:p w14:paraId="5C2B8099" w14:textId="77777777" w:rsidR="00E26926" w:rsidRDefault="00E26926" w:rsidP="00926E61">
      <w:pPr>
        <w:jc w:val="both"/>
        <w:rPr>
          <w:rFonts w:ascii="Verdana" w:hAnsi="Verdana"/>
          <w:spacing w:val="-2"/>
          <w:sz w:val="20"/>
          <w:szCs w:val="20"/>
        </w:rPr>
      </w:pPr>
    </w:p>
    <w:p w14:paraId="0BF150B7" w14:textId="1649E49A" w:rsidR="00926E61" w:rsidRPr="00B95AA2" w:rsidRDefault="00926E61" w:rsidP="00E26926">
      <w:pPr>
        <w:pStyle w:val="ListParagraph"/>
        <w:numPr>
          <w:ilvl w:val="0"/>
          <w:numId w:val="2"/>
        </w:numPr>
        <w:ind w:left="0" w:hanging="11"/>
        <w:jc w:val="both"/>
        <w:rPr>
          <w:rFonts w:ascii="Verdana" w:hAnsi="Verdana"/>
          <w:sz w:val="20"/>
          <w:szCs w:val="20"/>
          <w:lang w:val="es-MX"/>
        </w:rPr>
      </w:pPr>
      <w:r w:rsidRPr="00B95AA2">
        <w:rPr>
          <w:rFonts w:ascii="Verdana" w:hAnsi="Verdana"/>
          <w:spacing w:val="-2"/>
          <w:sz w:val="20"/>
          <w:szCs w:val="20"/>
        </w:rPr>
        <w:t xml:space="preserve">En este capítulo se establecerán los hechos del presente caso, con base en el marco fáctico sometido a conocimiento de la Corte por la Comisión, tomando en consideración el acervo probatorio del caso, así como lo alegado por los representantes y el Estado. De esta forma, los mismos serán expuestos en los siguientes apartados: 1) los </w:t>
      </w:r>
      <w:r w:rsidR="007F642B">
        <w:rPr>
          <w:rFonts w:ascii="Verdana" w:hAnsi="Verdana"/>
          <w:spacing w:val="-2"/>
          <w:sz w:val="20"/>
          <w:szCs w:val="20"/>
        </w:rPr>
        <w:t>P</w:t>
      </w:r>
      <w:r w:rsidRPr="00B95AA2">
        <w:rPr>
          <w:rFonts w:ascii="Verdana" w:hAnsi="Verdana"/>
          <w:spacing w:val="-2"/>
          <w:sz w:val="20"/>
          <w:szCs w:val="20"/>
        </w:rPr>
        <w:t xml:space="preserve">ueblos Kaliña y Lokono; 2) </w:t>
      </w:r>
      <w:r w:rsidRPr="00926E61">
        <w:rPr>
          <w:rFonts w:ascii="Verdana" w:hAnsi="Verdana"/>
          <w:spacing w:val="-2"/>
          <w:sz w:val="20"/>
          <w:szCs w:val="20"/>
        </w:rPr>
        <w:t>a</w:t>
      </w:r>
      <w:r w:rsidRPr="00926E61">
        <w:rPr>
          <w:rStyle w:val="Strong"/>
          <w:rFonts w:ascii="Verdana" w:hAnsi="Verdana"/>
          <w:b w:val="0"/>
          <w:sz w:val="20"/>
          <w:szCs w:val="20"/>
          <w:lang w:val="es-ES"/>
        </w:rPr>
        <w:t xml:space="preserve">sentamientos </w:t>
      </w:r>
      <w:r w:rsidR="006D4D2C">
        <w:rPr>
          <w:rStyle w:val="Strong"/>
          <w:rFonts w:ascii="Verdana" w:hAnsi="Verdana"/>
          <w:b w:val="0"/>
          <w:sz w:val="20"/>
          <w:szCs w:val="20"/>
          <w:lang w:val="es-ES"/>
        </w:rPr>
        <w:t>maroon</w:t>
      </w:r>
      <w:r w:rsidR="00F57D87">
        <w:rPr>
          <w:rStyle w:val="Strong"/>
          <w:rFonts w:ascii="Verdana" w:hAnsi="Verdana"/>
          <w:b w:val="0"/>
          <w:sz w:val="20"/>
          <w:szCs w:val="20"/>
          <w:lang w:val="es-ES"/>
        </w:rPr>
        <w:t>s</w:t>
      </w:r>
      <w:r w:rsidRPr="00926E61">
        <w:rPr>
          <w:rStyle w:val="Strong"/>
          <w:rFonts w:ascii="Verdana" w:hAnsi="Verdana"/>
          <w:b w:val="0"/>
          <w:sz w:val="20"/>
          <w:szCs w:val="20"/>
          <w:lang w:val="es-ES"/>
        </w:rPr>
        <w:t xml:space="preserve"> en el territorio reclamado </w:t>
      </w:r>
      <w:r w:rsidR="00C165F7">
        <w:rPr>
          <w:rStyle w:val="Strong"/>
          <w:rFonts w:ascii="Verdana" w:hAnsi="Verdana"/>
          <w:b w:val="0"/>
          <w:sz w:val="20"/>
          <w:szCs w:val="20"/>
          <w:lang w:val="es-ES"/>
        </w:rPr>
        <w:t xml:space="preserve">como ancestral </w:t>
      </w:r>
      <w:r w:rsidRPr="00926E61">
        <w:rPr>
          <w:rStyle w:val="Strong"/>
          <w:rFonts w:ascii="Verdana" w:hAnsi="Verdana"/>
          <w:b w:val="0"/>
          <w:sz w:val="20"/>
          <w:szCs w:val="20"/>
          <w:lang w:val="es-ES"/>
        </w:rPr>
        <w:t xml:space="preserve">por los </w:t>
      </w:r>
      <w:r w:rsidR="00382F4D">
        <w:rPr>
          <w:rStyle w:val="Strong"/>
          <w:rFonts w:ascii="Verdana" w:hAnsi="Verdana"/>
          <w:b w:val="0"/>
          <w:sz w:val="20"/>
          <w:szCs w:val="20"/>
          <w:lang w:val="es-ES"/>
        </w:rPr>
        <w:t>Pueblos Kaliña y Lokono</w:t>
      </w:r>
      <w:r w:rsidRPr="00926E61">
        <w:rPr>
          <w:rStyle w:val="Strong"/>
          <w:rFonts w:ascii="Verdana" w:hAnsi="Verdana"/>
          <w:b w:val="0"/>
          <w:sz w:val="20"/>
          <w:szCs w:val="20"/>
          <w:lang w:val="es-ES"/>
        </w:rPr>
        <w:t>; 3)</w:t>
      </w:r>
      <w:r w:rsidRPr="002B37F6">
        <w:rPr>
          <w:rStyle w:val="Strong"/>
          <w:rFonts w:ascii="Verdana" w:hAnsi="Verdana"/>
          <w:sz w:val="20"/>
          <w:szCs w:val="20"/>
          <w:lang w:val="es-ES"/>
        </w:rPr>
        <w:t xml:space="preserve"> </w:t>
      </w:r>
      <w:r w:rsidRPr="00B95AA2">
        <w:rPr>
          <w:rFonts w:ascii="Verdana" w:hAnsi="Verdana"/>
          <w:sz w:val="20"/>
          <w:szCs w:val="20"/>
          <w:lang w:val="es-ES"/>
        </w:rPr>
        <w:t>l</w:t>
      </w:r>
      <w:r w:rsidRPr="00B95AA2">
        <w:rPr>
          <w:rFonts w:ascii="Verdana" w:hAnsi="Verdana"/>
          <w:sz w:val="20"/>
          <w:szCs w:val="20"/>
          <w:lang w:val="es-MX"/>
        </w:rPr>
        <w:t>os pueblos indígenas de acuerdo con el ordenamiento</w:t>
      </w:r>
      <w:r w:rsidR="00C165F7">
        <w:rPr>
          <w:rFonts w:ascii="Verdana" w:hAnsi="Verdana"/>
          <w:sz w:val="20"/>
          <w:szCs w:val="20"/>
          <w:lang w:val="es-MX"/>
        </w:rPr>
        <w:t xml:space="preserve"> jurídico de Surinam</w:t>
      </w:r>
      <w:r w:rsidRPr="00B95AA2">
        <w:rPr>
          <w:rFonts w:ascii="Verdana" w:hAnsi="Verdana"/>
          <w:sz w:val="20"/>
          <w:szCs w:val="20"/>
          <w:lang w:val="es-MX"/>
        </w:rPr>
        <w:t xml:space="preserve">; 4) acciones realizadas por los pueblos indígenas para el reconocimiento de sus derechos; 5) establecimiento de las </w:t>
      </w:r>
      <w:r w:rsidR="007B5E36">
        <w:rPr>
          <w:rFonts w:ascii="Verdana" w:hAnsi="Verdana"/>
          <w:sz w:val="20"/>
          <w:szCs w:val="20"/>
          <w:lang w:val="es-MX"/>
        </w:rPr>
        <w:t>r</w:t>
      </w:r>
      <w:r w:rsidRPr="00B95AA2">
        <w:rPr>
          <w:rFonts w:ascii="Verdana" w:hAnsi="Verdana"/>
          <w:sz w:val="20"/>
          <w:szCs w:val="20"/>
          <w:lang w:val="es-MX"/>
        </w:rPr>
        <w:t xml:space="preserve">eservas </w:t>
      </w:r>
      <w:r w:rsidR="007B5E36">
        <w:rPr>
          <w:rFonts w:ascii="Verdana" w:hAnsi="Verdana"/>
          <w:sz w:val="20"/>
          <w:szCs w:val="20"/>
          <w:lang w:val="es-MX"/>
        </w:rPr>
        <w:t>n</w:t>
      </w:r>
      <w:r w:rsidRPr="00B95AA2">
        <w:rPr>
          <w:rFonts w:ascii="Verdana" w:hAnsi="Verdana"/>
          <w:sz w:val="20"/>
          <w:szCs w:val="20"/>
          <w:lang w:val="es-MX"/>
        </w:rPr>
        <w:t>aturales, y 6) proyecto de parcelación urbano denominado "Tuinstad Albina" (“Garden City Albina”)</w:t>
      </w:r>
      <w:r w:rsidRPr="002B37F6">
        <w:rPr>
          <w:rFonts w:ascii="Verdana" w:hAnsi="Verdana"/>
          <w:sz w:val="20"/>
          <w:szCs w:val="20"/>
          <w:lang w:val="es-MX"/>
        </w:rPr>
        <w:t>.</w:t>
      </w:r>
      <w:r w:rsidR="00CD6884">
        <w:rPr>
          <w:rFonts w:ascii="Verdana" w:hAnsi="Verdana"/>
          <w:sz w:val="20"/>
          <w:szCs w:val="20"/>
          <w:lang w:val="es-MX"/>
        </w:rPr>
        <w:t xml:space="preserve"> </w:t>
      </w:r>
      <w:r w:rsidR="00CD6884">
        <w:rPr>
          <w:rFonts w:ascii="Verdana" w:hAnsi="Verdana"/>
          <w:spacing w:val="-2"/>
          <w:sz w:val="20"/>
          <w:szCs w:val="20"/>
        </w:rPr>
        <w:t xml:space="preserve">Los hechos ocurridos con anterioridad a la fecha de ratificación de la competencia contenciosa de la Corte por parte de </w:t>
      </w:r>
      <w:r w:rsidR="00563E11">
        <w:rPr>
          <w:rFonts w:ascii="Verdana" w:hAnsi="Verdana"/>
          <w:spacing w:val="-2"/>
          <w:sz w:val="20"/>
          <w:szCs w:val="20"/>
        </w:rPr>
        <w:t>Surinam</w:t>
      </w:r>
      <w:r w:rsidR="00CD6884">
        <w:rPr>
          <w:rFonts w:ascii="Verdana" w:hAnsi="Verdana"/>
          <w:spacing w:val="-2"/>
          <w:sz w:val="20"/>
          <w:szCs w:val="20"/>
        </w:rPr>
        <w:t xml:space="preserve"> (12 de noviembre de 1987) únicamente se aluden como parte de los antecedentes del caso sometido a la Corte</w:t>
      </w:r>
      <w:r w:rsidR="00CD6884" w:rsidRPr="00B95AA2">
        <w:rPr>
          <w:rFonts w:ascii="Verdana" w:hAnsi="Verdana"/>
          <w:sz w:val="20"/>
          <w:szCs w:val="20"/>
        </w:rPr>
        <w:t>.</w:t>
      </w:r>
    </w:p>
    <w:p w14:paraId="43B23BDF" w14:textId="77777777" w:rsidR="00926E61" w:rsidRPr="00262413" w:rsidRDefault="00926E61" w:rsidP="00926E61">
      <w:pPr>
        <w:jc w:val="both"/>
        <w:rPr>
          <w:rFonts w:ascii="Verdana" w:hAnsi="Verdana"/>
          <w:sz w:val="20"/>
          <w:szCs w:val="20"/>
        </w:rPr>
      </w:pPr>
    </w:p>
    <w:p w14:paraId="27AFA71D" w14:textId="77777777" w:rsidR="00926E61" w:rsidRPr="00E26926" w:rsidRDefault="00926E61" w:rsidP="00E26926">
      <w:pPr>
        <w:pStyle w:val="Heading2"/>
        <w:numPr>
          <w:ilvl w:val="0"/>
          <w:numId w:val="10"/>
        </w:numPr>
        <w:spacing w:before="0"/>
        <w:rPr>
          <w:rFonts w:ascii="Verdana" w:hAnsi="Verdana"/>
          <w:i/>
          <w:color w:val="auto"/>
          <w:sz w:val="20"/>
          <w:szCs w:val="20"/>
        </w:rPr>
      </w:pPr>
      <w:bookmarkStart w:id="17" w:name="_Toc441666158"/>
      <w:r w:rsidRPr="00E26926">
        <w:rPr>
          <w:rFonts w:ascii="Verdana" w:hAnsi="Verdana"/>
          <w:i/>
          <w:color w:val="auto"/>
          <w:sz w:val="20"/>
          <w:szCs w:val="20"/>
        </w:rPr>
        <w:t xml:space="preserve">Los </w:t>
      </w:r>
      <w:r w:rsidR="007F642B">
        <w:rPr>
          <w:rFonts w:ascii="Verdana" w:hAnsi="Verdana"/>
          <w:i/>
          <w:color w:val="auto"/>
          <w:sz w:val="20"/>
          <w:szCs w:val="20"/>
        </w:rPr>
        <w:t>P</w:t>
      </w:r>
      <w:r w:rsidRPr="00E26926">
        <w:rPr>
          <w:rFonts w:ascii="Verdana" w:hAnsi="Verdana"/>
          <w:i/>
          <w:color w:val="auto"/>
          <w:sz w:val="20"/>
          <w:szCs w:val="20"/>
        </w:rPr>
        <w:t>ueblos Kaliña y Lokono</w:t>
      </w:r>
      <w:bookmarkEnd w:id="17"/>
    </w:p>
    <w:p w14:paraId="18AAD9DB" w14:textId="77777777" w:rsidR="00926E61" w:rsidRPr="00B95AA2" w:rsidRDefault="00926E61" w:rsidP="00926E61">
      <w:pPr>
        <w:jc w:val="both"/>
        <w:rPr>
          <w:rFonts w:ascii="Verdana" w:hAnsi="Verdana"/>
          <w:sz w:val="20"/>
          <w:szCs w:val="20"/>
        </w:rPr>
      </w:pPr>
    </w:p>
    <w:p w14:paraId="6D74639F" w14:textId="77777777" w:rsidR="00AE3C94"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 xml:space="preserve">La zona del </w:t>
      </w:r>
      <w:r w:rsidR="008B0F0D">
        <w:rPr>
          <w:rFonts w:ascii="Verdana" w:hAnsi="Verdana"/>
          <w:sz w:val="20"/>
          <w:szCs w:val="20"/>
          <w:lang w:val="es-ES"/>
        </w:rPr>
        <w:t xml:space="preserve">río </w:t>
      </w:r>
      <w:r w:rsidRPr="00262413">
        <w:rPr>
          <w:rFonts w:ascii="Verdana" w:hAnsi="Verdana"/>
          <w:sz w:val="20"/>
          <w:szCs w:val="20"/>
          <w:lang w:val="es-ES"/>
        </w:rPr>
        <w:t xml:space="preserve">Bajo Marowijne, ubicado en el extremo noreste de </w:t>
      </w:r>
      <w:r w:rsidR="00563E11">
        <w:rPr>
          <w:rFonts w:ascii="Verdana" w:hAnsi="Verdana"/>
          <w:sz w:val="20"/>
          <w:szCs w:val="20"/>
          <w:lang w:val="es-ES"/>
        </w:rPr>
        <w:t>Surinam</w:t>
      </w:r>
      <w:r w:rsidRPr="00262413">
        <w:rPr>
          <w:rFonts w:ascii="Verdana" w:hAnsi="Verdana"/>
          <w:sz w:val="20"/>
          <w:szCs w:val="20"/>
          <w:lang w:val="es-ES"/>
        </w:rPr>
        <w:t xml:space="preserve">, que a su vez funge como límite fronterizo con la Guyana Francesa, ha sido territorio de uso y ocupación ancestral de pueblos indígenas, particularmente, de los </w:t>
      </w:r>
      <w:r w:rsidR="00382F4D">
        <w:rPr>
          <w:rFonts w:ascii="Verdana" w:hAnsi="Verdana"/>
          <w:sz w:val="20"/>
          <w:szCs w:val="20"/>
          <w:lang w:val="es-ES"/>
        </w:rPr>
        <w:t>Pueblos Kaliña y Lokono</w:t>
      </w:r>
      <w:r w:rsidRPr="00262413">
        <w:rPr>
          <w:rStyle w:val="FootnoteReference"/>
          <w:szCs w:val="20"/>
          <w:lang w:val="es-ES"/>
        </w:rPr>
        <w:footnoteReference w:id="31"/>
      </w:r>
      <w:r w:rsidRPr="00262413">
        <w:rPr>
          <w:rFonts w:ascii="Verdana" w:hAnsi="Verdana"/>
          <w:sz w:val="20"/>
          <w:szCs w:val="20"/>
          <w:lang w:val="es-ES"/>
        </w:rPr>
        <w:t xml:space="preserve">. Los </w:t>
      </w:r>
      <w:r w:rsidR="00382F4D">
        <w:rPr>
          <w:rFonts w:ascii="Verdana" w:hAnsi="Verdana"/>
          <w:sz w:val="20"/>
          <w:szCs w:val="20"/>
          <w:lang w:val="es-ES"/>
        </w:rPr>
        <w:t>Pueblos Kaliña y Lokono</w:t>
      </w:r>
      <w:r w:rsidRPr="00262413">
        <w:rPr>
          <w:rFonts w:ascii="Verdana" w:hAnsi="Verdana"/>
          <w:sz w:val="20"/>
          <w:szCs w:val="20"/>
          <w:lang w:val="es-ES"/>
        </w:rPr>
        <w:t xml:space="preserve">, son dos de los cuatro pueblos indígenas con mayor población de </w:t>
      </w:r>
      <w:r w:rsidR="00563E11">
        <w:rPr>
          <w:rFonts w:ascii="Verdana" w:hAnsi="Verdana"/>
          <w:sz w:val="20"/>
          <w:szCs w:val="20"/>
          <w:lang w:val="es-ES"/>
        </w:rPr>
        <w:t>Surinam</w:t>
      </w:r>
      <w:r w:rsidRPr="00262413">
        <w:rPr>
          <w:rFonts w:ascii="Verdana" w:hAnsi="Verdana"/>
          <w:sz w:val="20"/>
          <w:szCs w:val="20"/>
          <w:lang w:val="es-ES"/>
        </w:rPr>
        <w:t>, y son conocidos como los “</w:t>
      </w:r>
      <w:r w:rsidR="00031333">
        <w:rPr>
          <w:rFonts w:ascii="Verdana" w:hAnsi="Verdana"/>
          <w:sz w:val="20"/>
          <w:szCs w:val="20"/>
          <w:lang w:val="es-ES"/>
        </w:rPr>
        <w:t>P</w:t>
      </w:r>
      <w:r w:rsidRPr="00262413">
        <w:rPr>
          <w:rFonts w:ascii="Verdana" w:hAnsi="Verdana"/>
          <w:sz w:val="20"/>
          <w:szCs w:val="20"/>
          <w:lang w:val="es-ES"/>
        </w:rPr>
        <w:t>ueblos del Bajo Marowijne”</w:t>
      </w:r>
      <w:r w:rsidRPr="00262413">
        <w:rPr>
          <w:rStyle w:val="FootnoteReference"/>
          <w:szCs w:val="20"/>
          <w:lang w:val="es-ES"/>
        </w:rPr>
        <w:footnoteReference w:id="32"/>
      </w:r>
      <w:r w:rsidRPr="00262413">
        <w:rPr>
          <w:rFonts w:ascii="Verdana" w:hAnsi="Verdana"/>
          <w:sz w:val="20"/>
          <w:szCs w:val="20"/>
          <w:lang w:val="es-ES"/>
        </w:rPr>
        <w:t>.</w:t>
      </w:r>
    </w:p>
    <w:p w14:paraId="251ECC64" w14:textId="77777777" w:rsidR="009B781F" w:rsidRDefault="00926E61" w:rsidP="007E20F9">
      <w:pPr>
        <w:pStyle w:val="ListParagraph"/>
        <w:ind w:left="0"/>
        <w:jc w:val="both"/>
        <w:rPr>
          <w:rFonts w:ascii="Verdana" w:hAnsi="Verdana"/>
          <w:sz w:val="20"/>
          <w:szCs w:val="20"/>
          <w:lang w:val="es-ES"/>
        </w:rPr>
      </w:pPr>
      <w:r w:rsidRPr="00262413">
        <w:rPr>
          <w:rFonts w:ascii="Verdana" w:hAnsi="Verdana"/>
          <w:sz w:val="20"/>
          <w:szCs w:val="20"/>
          <w:lang w:val="es-ES"/>
        </w:rPr>
        <w:lastRenderedPageBreak/>
        <w:t xml:space="preserve"> </w:t>
      </w:r>
    </w:p>
    <w:p w14:paraId="2993D4F2" w14:textId="75518503" w:rsidR="00926E61" w:rsidRDefault="00926E61" w:rsidP="00B935FA">
      <w:pPr>
        <w:pStyle w:val="ListParagraph"/>
        <w:numPr>
          <w:ilvl w:val="0"/>
          <w:numId w:val="2"/>
        </w:numPr>
        <w:ind w:left="0" w:hanging="11"/>
        <w:jc w:val="both"/>
        <w:rPr>
          <w:rFonts w:ascii="Verdana" w:hAnsi="Verdana"/>
          <w:sz w:val="20"/>
          <w:szCs w:val="20"/>
          <w:lang w:val="es-CR"/>
        </w:rPr>
      </w:pPr>
      <w:r w:rsidRPr="004D5C3E">
        <w:rPr>
          <w:rFonts w:ascii="Verdana" w:hAnsi="Verdana"/>
          <w:sz w:val="20"/>
          <w:szCs w:val="20"/>
          <w:lang w:val="es-ES"/>
        </w:rPr>
        <w:t xml:space="preserve">Los pueblos </w:t>
      </w:r>
      <w:r w:rsidR="00CB39E1">
        <w:rPr>
          <w:rFonts w:ascii="Verdana" w:hAnsi="Verdana"/>
          <w:sz w:val="20"/>
          <w:szCs w:val="20"/>
          <w:lang w:val="es-ES"/>
        </w:rPr>
        <w:t>Kaliña y Lokono</w:t>
      </w:r>
      <w:r w:rsidRPr="004D5C3E">
        <w:rPr>
          <w:rFonts w:ascii="Verdana" w:hAnsi="Verdana"/>
          <w:sz w:val="20"/>
          <w:szCs w:val="20"/>
          <w:lang w:val="es-ES"/>
        </w:rPr>
        <w:t xml:space="preserve"> están integrados por ocho aldeas que forman parte de este caso, de las cuales seis son Kaliña y dos son Lokono. </w:t>
      </w:r>
      <w:r w:rsidRPr="00E80197">
        <w:rPr>
          <w:rFonts w:ascii="Verdana" w:hAnsi="Verdana"/>
          <w:sz w:val="20"/>
          <w:szCs w:val="20"/>
          <w:lang w:val="es-MX"/>
        </w:rPr>
        <w:t xml:space="preserve">Las aldeas </w:t>
      </w:r>
      <w:r>
        <w:rPr>
          <w:rFonts w:ascii="Verdana" w:hAnsi="Verdana"/>
          <w:sz w:val="20"/>
          <w:szCs w:val="20"/>
          <w:lang w:val="es-MX"/>
        </w:rPr>
        <w:t>del</w:t>
      </w:r>
      <w:r w:rsidRPr="00E80197">
        <w:rPr>
          <w:rFonts w:ascii="Verdana" w:hAnsi="Verdana"/>
          <w:sz w:val="20"/>
          <w:szCs w:val="20"/>
          <w:lang w:val="es-MX"/>
        </w:rPr>
        <w:t xml:space="preserve"> pueblo Kaliña son Christiaankondre, Langamankondre, Pierrekondre, Bigiston, Erowarte y Tapuku. Mientras que las dos aldeas de</w:t>
      </w:r>
      <w:r>
        <w:rPr>
          <w:rFonts w:ascii="Verdana" w:hAnsi="Verdana"/>
          <w:sz w:val="20"/>
          <w:szCs w:val="20"/>
          <w:lang w:val="es-MX"/>
        </w:rPr>
        <w:t xml:space="preserve">l pueblo </w:t>
      </w:r>
      <w:r w:rsidRPr="00E80197">
        <w:rPr>
          <w:rFonts w:ascii="Verdana" w:hAnsi="Verdana"/>
          <w:sz w:val="20"/>
          <w:szCs w:val="20"/>
          <w:lang w:val="es-MX"/>
        </w:rPr>
        <w:t>Lokono son Marijkedorp (o Wan Shi Sha) y Alfonsdorp</w:t>
      </w:r>
      <w:r w:rsidRPr="00262413">
        <w:rPr>
          <w:rStyle w:val="FootnoteReference"/>
          <w:szCs w:val="20"/>
          <w:lang w:val="es-MX"/>
        </w:rPr>
        <w:footnoteReference w:id="33"/>
      </w:r>
      <w:r w:rsidRPr="00262413">
        <w:rPr>
          <w:rFonts w:ascii="Verdana" w:hAnsi="Verdana"/>
          <w:sz w:val="20"/>
          <w:szCs w:val="20"/>
          <w:lang w:val="es-MX"/>
        </w:rPr>
        <w:t xml:space="preserve">. </w:t>
      </w:r>
      <w:r w:rsidRPr="00262413">
        <w:rPr>
          <w:rFonts w:ascii="Verdana" w:hAnsi="Verdana"/>
          <w:sz w:val="20"/>
          <w:szCs w:val="20"/>
          <w:lang w:val="es-ES"/>
        </w:rPr>
        <w:t xml:space="preserve">De acuerdo con los relatos orales de los ancianos, los Kaliña habitaban principalmente a lo largo de la costa y al margen del </w:t>
      </w:r>
      <w:r w:rsidR="008B0F0D">
        <w:rPr>
          <w:rFonts w:ascii="Verdana" w:hAnsi="Verdana"/>
          <w:sz w:val="20"/>
          <w:szCs w:val="20"/>
          <w:lang w:val="es-ES"/>
        </w:rPr>
        <w:t xml:space="preserve">río </w:t>
      </w:r>
      <w:r w:rsidRPr="00262413">
        <w:rPr>
          <w:rFonts w:ascii="Verdana" w:hAnsi="Verdana"/>
          <w:sz w:val="20"/>
          <w:szCs w:val="20"/>
          <w:lang w:val="es-ES"/>
        </w:rPr>
        <w:t xml:space="preserve"> Marowijne, mientras que los Lokono tendían a establecer sus aldeas </w:t>
      </w:r>
      <w:r>
        <w:rPr>
          <w:rFonts w:ascii="Verdana" w:hAnsi="Verdana"/>
          <w:sz w:val="20"/>
          <w:szCs w:val="20"/>
          <w:lang w:val="es-ES"/>
        </w:rPr>
        <w:t>en el</w:t>
      </w:r>
      <w:r w:rsidRPr="00262413">
        <w:rPr>
          <w:rFonts w:ascii="Verdana" w:hAnsi="Verdana"/>
          <w:sz w:val="20"/>
          <w:szCs w:val="20"/>
          <w:lang w:val="es-ES"/>
        </w:rPr>
        <w:t xml:space="preserve"> interior, a lo largo de los arroyos</w:t>
      </w:r>
      <w:r w:rsidRPr="00262413">
        <w:rPr>
          <w:rStyle w:val="FootnoteReference"/>
          <w:szCs w:val="20"/>
          <w:lang w:val="es-ES"/>
        </w:rPr>
        <w:footnoteReference w:id="34"/>
      </w:r>
      <w:r w:rsidRPr="00262413">
        <w:rPr>
          <w:rFonts w:ascii="Verdana" w:hAnsi="Verdana"/>
          <w:sz w:val="20"/>
          <w:szCs w:val="20"/>
          <w:lang w:val="es-ES"/>
        </w:rPr>
        <w:t xml:space="preserve">. Los </w:t>
      </w:r>
      <w:r w:rsidRPr="00262413">
        <w:rPr>
          <w:rFonts w:ascii="Verdana" w:hAnsi="Verdana"/>
          <w:sz w:val="20"/>
          <w:szCs w:val="20"/>
          <w:lang w:val="es-CR"/>
        </w:rPr>
        <w:t xml:space="preserve">representantes señalan que el territorio ancestral de los </w:t>
      </w:r>
      <w:r w:rsidR="00382F4D">
        <w:rPr>
          <w:rFonts w:ascii="Verdana" w:hAnsi="Verdana"/>
          <w:sz w:val="20"/>
          <w:szCs w:val="20"/>
          <w:lang w:val="es-CR"/>
        </w:rPr>
        <w:t>Pueblos Kaliña y Lokono</w:t>
      </w:r>
      <w:r w:rsidRPr="00262413">
        <w:rPr>
          <w:rFonts w:ascii="Verdana" w:hAnsi="Verdana"/>
          <w:sz w:val="20"/>
          <w:szCs w:val="20"/>
          <w:lang w:val="es-CR"/>
        </w:rPr>
        <w:t xml:space="preserve"> tendría una extensión de aproximadamente 133,945 hectáreas</w:t>
      </w:r>
      <w:r w:rsidR="006E5DC6">
        <w:rPr>
          <w:rFonts w:ascii="Verdana" w:hAnsi="Verdana"/>
          <w:sz w:val="20"/>
          <w:szCs w:val="20"/>
          <w:lang w:val="es-CR"/>
        </w:rPr>
        <w:t xml:space="preserve"> (en adelante ha)</w:t>
      </w:r>
      <w:r w:rsidRPr="00476874">
        <w:rPr>
          <w:rFonts w:ascii="Verdana" w:hAnsi="Verdana"/>
          <w:sz w:val="20"/>
          <w:szCs w:val="20"/>
          <w:lang w:val="es-CR"/>
        </w:rPr>
        <w:t xml:space="preserve">. </w:t>
      </w:r>
    </w:p>
    <w:p w14:paraId="67585C5C" w14:textId="77777777" w:rsidR="00415A21" w:rsidRPr="004D5C3E" w:rsidRDefault="00415A21" w:rsidP="00415A21">
      <w:pPr>
        <w:pStyle w:val="ListParagraph"/>
        <w:ind w:left="0"/>
        <w:jc w:val="both"/>
        <w:rPr>
          <w:rFonts w:ascii="Verdana" w:hAnsi="Verdana"/>
          <w:sz w:val="20"/>
          <w:szCs w:val="20"/>
          <w:lang w:val="es-CR"/>
        </w:rPr>
      </w:pPr>
    </w:p>
    <w:p w14:paraId="3A971E47" w14:textId="77777777" w:rsidR="00B935FA" w:rsidRDefault="00926E61" w:rsidP="00926E61">
      <w:pPr>
        <w:pStyle w:val="ListParagraph"/>
        <w:numPr>
          <w:ilvl w:val="0"/>
          <w:numId w:val="2"/>
        </w:numPr>
        <w:ind w:left="0" w:hanging="11"/>
        <w:jc w:val="both"/>
        <w:rPr>
          <w:rFonts w:ascii="Verdana" w:hAnsi="Verdana"/>
          <w:sz w:val="20"/>
          <w:szCs w:val="20"/>
          <w:lang w:val="es-MX"/>
        </w:rPr>
      </w:pPr>
      <w:r w:rsidRPr="00262413">
        <w:rPr>
          <w:rFonts w:ascii="Verdana" w:hAnsi="Verdana"/>
          <w:sz w:val="20"/>
          <w:szCs w:val="20"/>
          <w:lang w:val="es-ES"/>
        </w:rPr>
        <w:t xml:space="preserve">En cuanto a la población, de acuerdo con sus registros internos, en 2005 las ocho comunidades estaban conformadas por aproximadamente 2,026 personas, distribuidas de la siguiente manera: 800 personas entre Christiaankondre y Langamankondre; 125 en Erowarte; 129 en Tapuku; 150 en Pierrekondre; 287 en </w:t>
      </w:r>
      <w:r w:rsidR="0063316B">
        <w:rPr>
          <w:rFonts w:ascii="Verdana" w:hAnsi="Verdana"/>
          <w:sz w:val="20"/>
          <w:szCs w:val="20"/>
          <w:lang w:val="es-ES"/>
        </w:rPr>
        <w:t>Marijkedorp (</w:t>
      </w:r>
      <w:r w:rsidRPr="00262413">
        <w:rPr>
          <w:rFonts w:ascii="Verdana" w:hAnsi="Verdana"/>
          <w:sz w:val="20"/>
          <w:szCs w:val="20"/>
          <w:lang w:val="es-ES"/>
        </w:rPr>
        <w:t>Wan Shi Sha</w:t>
      </w:r>
      <w:r w:rsidR="0063316B">
        <w:rPr>
          <w:rFonts w:ascii="Verdana" w:hAnsi="Verdana"/>
          <w:sz w:val="20"/>
          <w:szCs w:val="20"/>
          <w:lang w:val="es-ES"/>
        </w:rPr>
        <w:t>)</w:t>
      </w:r>
      <w:r w:rsidRPr="00262413">
        <w:rPr>
          <w:rFonts w:ascii="Verdana" w:hAnsi="Verdana"/>
          <w:sz w:val="20"/>
          <w:szCs w:val="20"/>
          <w:lang w:val="es-ES"/>
        </w:rPr>
        <w:t>; 285 en Alfonsdorp</w:t>
      </w:r>
      <w:r>
        <w:rPr>
          <w:rFonts w:ascii="Verdana" w:hAnsi="Verdana"/>
          <w:sz w:val="20"/>
          <w:szCs w:val="20"/>
          <w:lang w:val="es-ES"/>
        </w:rPr>
        <w:t>,</w:t>
      </w:r>
      <w:r w:rsidRPr="00E80197">
        <w:rPr>
          <w:rFonts w:ascii="Verdana" w:hAnsi="Verdana"/>
          <w:sz w:val="20"/>
          <w:szCs w:val="20"/>
          <w:lang w:val="es-ES"/>
        </w:rPr>
        <w:t xml:space="preserve"> y 250 en Bigiston</w:t>
      </w:r>
      <w:r w:rsidRPr="00262413">
        <w:rPr>
          <w:rStyle w:val="FootnoteReference"/>
          <w:szCs w:val="20"/>
          <w:lang w:val="es-ES"/>
        </w:rPr>
        <w:footnoteReference w:id="35"/>
      </w:r>
      <w:r w:rsidRPr="00262413">
        <w:rPr>
          <w:rFonts w:ascii="Verdana" w:hAnsi="Verdana"/>
          <w:sz w:val="20"/>
          <w:szCs w:val="20"/>
          <w:lang w:val="es-ES"/>
        </w:rPr>
        <w:t xml:space="preserve">. </w:t>
      </w:r>
      <w:r>
        <w:rPr>
          <w:rFonts w:ascii="Verdana" w:hAnsi="Verdana"/>
          <w:sz w:val="20"/>
          <w:szCs w:val="20"/>
          <w:lang w:val="es-ES"/>
        </w:rPr>
        <w:t xml:space="preserve">Por </w:t>
      </w:r>
      <w:r w:rsidR="0063316B">
        <w:rPr>
          <w:rFonts w:ascii="Verdana" w:hAnsi="Verdana"/>
          <w:sz w:val="20"/>
          <w:szCs w:val="20"/>
          <w:lang w:val="es-ES"/>
        </w:rPr>
        <w:t xml:space="preserve">otra </w:t>
      </w:r>
      <w:r>
        <w:rPr>
          <w:rFonts w:ascii="Verdana" w:hAnsi="Verdana"/>
          <w:sz w:val="20"/>
          <w:szCs w:val="20"/>
          <w:lang w:val="es-ES"/>
        </w:rPr>
        <w:t>parte</w:t>
      </w:r>
      <w:r w:rsidRPr="00262413">
        <w:rPr>
          <w:rFonts w:ascii="Verdana" w:hAnsi="Verdana"/>
          <w:sz w:val="20"/>
          <w:szCs w:val="20"/>
          <w:lang w:val="es-ES"/>
        </w:rPr>
        <w:t xml:space="preserve">, de acuerdo con la Dirección General de Estadísticas de </w:t>
      </w:r>
      <w:r w:rsidR="00563E11">
        <w:rPr>
          <w:rFonts w:ascii="Verdana" w:hAnsi="Verdana"/>
          <w:sz w:val="20"/>
          <w:szCs w:val="20"/>
          <w:lang w:val="es-ES"/>
        </w:rPr>
        <w:t>Surinam</w:t>
      </w:r>
      <w:r w:rsidRPr="004D5C3E">
        <w:rPr>
          <w:rFonts w:ascii="Verdana" w:hAnsi="Verdana"/>
          <w:sz w:val="20"/>
          <w:szCs w:val="20"/>
          <w:lang w:val="es-ES"/>
        </w:rPr>
        <w:t>,</w:t>
      </w:r>
      <w:r w:rsidRPr="00E80197">
        <w:rPr>
          <w:rFonts w:ascii="Verdana" w:hAnsi="Verdana"/>
          <w:sz w:val="20"/>
          <w:szCs w:val="20"/>
          <w:lang w:val="es-ES"/>
        </w:rPr>
        <w:t xml:space="preserve"> </w:t>
      </w:r>
      <w:r w:rsidRPr="00E80197">
        <w:rPr>
          <w:rFonts w:ascii="Verdana" w:hAnsi="Verdana"/>
          <w:sz w:val="20"/>
          <w:szCs w:val="20"/>
          <w:lang w:val="es-MX"/>
        </w:rPr>
        <w:t xml:space="preserve">para el año 2015 en la región Bajo Marowijne habitaban 1,673 indígenas, distribuidos </w:t>
      </w:r>
      <w:r w:rsidR="0063316B">
        <w:rPr>
          <w:rFonts w:ascii="Verdana" w:hAnsi="Verdana"/>
          <w:sz w:val="20"/>
          <w:szCs w:val="20"/>
          <w:lang w:val="es-MX"/>
        </w:rPr>
        <w:t xml:space="preserve">principalmente </w:t>
      </w:r>
      <w:r w:rsidRPr="00E80197">
        <w:rPr>
          <w:rFonts w:ascii="Verdana" w:hAnsi="Verdana"/>
          <w:sz w:val="20"/>
          <w:szCs w:val="20"/>
          <w:lang w:val="es-MX"/>
        </w:rPr>
        <w:t>entre el sub-distrito (</w:t>
      </w:r>
      <w:r w:rsidRPr="00262413">
        <w:rPr>
          <w:rFonts w:ascii="Verdana" w:hAnsi="Verdana"/>
          <w:i/>
          <w:sz w:val="20"/>
          <w:szCs w:val="20"/>
          <w:lang w:val="es-MX"/>
        </w:rPr>
        <w:t>ressorten</w:t>
      </w:r>
      <w:r w:rsidRPr="00262413">
        <w:rPr>
          <w:rFonts w:ascii="Verdana" w:hAnsi="Verdana"/>
          <w:sz w:val="20"/>
          <w:szCs w:val="20"/>
          <w:lang w:val="es-MX"/>
        </w:rPr>
        <w:t>) de Galibi, donde viven 677 indígenas, y Albina, con 915</w:t>
      </w:r>
      <w:r w:rsidRPr="00262413">
        <w:rPr>
          <w:rStyle w:val="FootnoteReference"/>
          <w:szCs w:val="20"/>
          <w:lang w:val="es-MX"/>
        </w:rPr>
        <w:footnoteReference w:id="36"/>
      </w:r>
      <w:r w:rsidRPr="00262413">
        <w:rPr>
          <w:rFonts w:ascii="Verdana" w:hAnsi="Verdana"/>
          <w:sz w:val="20"/>
          <w:szCs w:val="20"/>
          <w:lang w:val="es-MX"/>
        </w:rPr>
        <w:t>.</w:t>
      </w:r>
      <w:r w:rsidR="00B935FA">
        <w:rPr>
          <w:rFonts w:ascii="Verdana" w:hAnsi="Verdana"/>
          <w:sz w:val="20"/>
          <w:szCs w:val="20"/>
          <w:lang w:val="es-MX"/>
        </w:rPr>
        <w:t xml:space="preserve"> </w:t>
      </w:r>
    </w:p>
    <w:p w14:paraId="52715F5C" w14:textId="77777777" w:rsidR="00B935FA" w:rsidRDefault="00B935FA" w:rsidP="00B935FA">
      <w:pPr>
        <w:pStyle w:val="ListParagraph"/>
        <w:ind w:left="0"/>
        <w:jc w:val="both"/>
        <w:rPr>
          <w:rFonts w:ascii="Verdana" w:hAnsi="Verdana"/>
          <w:sz w:val="20"/>
          <w:szCs w:val="20"/>
          <w:lang w:val="es-MX"/>
        </w:rPr>
      </w:pPr>
    </w:p>
    <w:p w14:paraId="626436E5" w14:textId="77777777" w:rsidR="00926E61" w:rsidRPr="00B935FA" w:rsidRDefault="00926E61" w:rsidP="00926E61">
      <w:pPr>
        <w:pStyle w:val="ListParagraph"/>
        <w:numPr>
          <w:ilvl w:val="0"/>
          <w:numId w:val="2"/>
        </w:numPr>
        <w:ind w:left="0" w:hanging="11"/>
        <w:jc w:val="both"/>
        <w:rPr>
          <w:rFonts w:ascii="Verdana" w:hAnsi="Verdana"/>
          <w:sz w:val="20"/>
          <w:szCs w:val="20"/>
          <w:lang w:val="es-MX"/>
        </w:rPr>
      </w:pPr>
      <w:r w:rsidRPr="00B935FA">
        <w:rPr>
          <w:rFonts w:ascii="Verdana" w:hAnsi="Verdana"/>
          <w:sz w:val="20"/>
          <w:szCs w:val="20"/>
          <w:lang w:val="es-ES"/>
        </w:rPr>
        <w:t xml:space="preserve">Las principales actividades de subsistencia de los </w:t>
      </w:r>
      <w:r w:rsidR="00382F4D">
        <w:rPr>
          <w:rFonts w:ascii="Verdana" w:hAnsi="Verdana"/>
          <w:sz w:val="20"/>
          <w:szCs w:val="20"/>
          <w:lang w:val="es-ES"/>
        </w:rPr>
        <w:t>Pueblos Kaliña y Lokono</w:t>
      </w:r>
      <w:r w:rsidRPr="00B935FA">
        <w:rPr>
          <w:rFonts w:ascii="Verdana" w:hAnsi="Verdana"/>
          <w:sz w:val="20"/>
          <w:szCs w:val="20"/>
          <w:lang w:val="es-ES"/>
        </w:rPr>
        <w:t xml:space="preserve"> son la agricultura</w:t>
      </w:r>
      <w:r w:rsidRPr="00262413">
        <w:rPr>
          <w:rStyle w:val="FootnoteReference"/>
          <w:szCs w:val="20"/>
          <w:lang w:val="es-ES"/>
        </w:rPr>
        <w:footnoteReference w:id="37"/>
      </w:r>
      <w:r w:rsidRPr="00B935FA">
        <w:rPr>
          <w:rFonts w:ascii="Verdana" w:hAnsi="Verdana"/>
          <w:sz w:val="20"/>
          <w:szCs w:val="20"/>
          <w:lang w:val="es-ES"/>
        </w:rPr>
        <w:t>, la pesca</w:t>
      </w:r>
      <w:r w:rsidRPr="00262413">
        <w:rPr>
          <w:rStyle w:val="FootnoteReference"/>
          <w:szCs w:val="20"/>
          <w:lang w:val="es-ES"/>
        </w:rPr>
        <w:footnoteReference w:id="38"/>
      </w:r>
      <w:r w:rsidRPr="00B935FA">
        <w:rPr>
          <w:rFonts w:ascii="Verdana" w:hAnsi="Verdana"/>
          <w:sz w:val="20"/>
          <w:szCs w:val="20"/>
          <w:lang w:val="es-ES"/>
        </w:rPr>
        <w:t>, la caza</w:t>
      </w:r>
      <w:r w:rsidRPr="00262413">
        <w:rPr>
          <w:rStyle w:val="FootnoteReference"/>
          <w:szCs w:val="20"/>
          <w:lang w:val="es-ES"/>
        </w:rPr>
        <w:footnoteReference w:id="39"/>
      </w:r>
      <w:r w:rsidRPr="00B935FA">
        <w:rPr>
          <w:rFonts w:ascii="Verdana" w:hAnsi="Verdana"/>
          <w:sz w:val="20"/>
          <w:szCs w:val="20"/>
          <w:lang w:val="es-ES"/>
        </w:rPr>
        <w:t xml:space="preserve"> y la recolección de productos no maderables del bosque</w:t>
      </w:r>
      <w:r w:rsidR="0063316B">
        <w:rPr>
          <w:rFonts w:ascii="Verdana" w:hAnsi="Verdana"/>
          <w:sz w:val="20"/>
          <w:szCs w:val="20"/>
          <w:lang w:val="es-ES"/>
        </w:rPr>
        <w:t>,</w:t>
      </w:r>
      <w:r w:rsidRPr="00B935FA">
        <w:rPr>
          <w:rFonts w:ascii="Verdana" w:hAnsi="Verdana"/>
          <w:sz w:val="20"/>
          <w:szCs w:val="20"/>
          <w:lang w:val="es-ES"/>
        </w:rPr>
        <w:t xml:space="preserve"> como frutas</w:t>
      </w:r>
      <w:r w:rsidRPr="00262413">
        <w:rPr>
          <w:rStyle w:val="FootnoteReference"/>
          <w:szCs w:val="20"/>
          <w:lang w:val="es-ES"/>
        </w:rPr>
        <w:footnoteReference w:id="40"/>
      </w:r>
      <w:r w:rsidRPr="00B935FA">
        <w:rPr>
          <w:rFonts w:ascii="Verdana" w:hAnsi="Verdana"/>
          <w:sz w:val="20"/>
          <w:szCs w:val="20"/>
          <w:lang w:val="es-ES"/>
        </w:rPr>
        <w:t xml:space="preserve">. </w:t>
      </w:r>
    </w:p>
    <w:p w14:paraId="399ACD4D" w14:textId="77777777" w:rsidR="00926E61" w:rsidRPr="00262413" w:rsidRDefault="00926E61" w:rsidP="00926E61">
      <w:pPr>
        <w:jc w:val="both"/>
        <w:rPr>
          <w:rFonts w:ascii="Verdana" w:hAnsi="Verdana"/>
          <w:sz w:val="20"/>
          <w:szCs w:val="20"/>
          <w:lang w:val="es-ES"/>
        </w:rPr>
      </w:pPr>
    </w:p>
    <w:p w14:paraId="02C2E236" w14:textId="73C42473" w:rsidR="00926E61" w:rsidRPr="00262413"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Asimismo, l</w:t>
      </w:r>
      <w:r w:rsidRPr="00476874">
        <w:rPr>
          <w:rFonts w:ascii="Verdana" w:hAnsi="Verdana"/>
          <w:sz w:val="20"/>
          <w:szCs w:val="20"/>
          <w:lang w:val="es-ES"/>
        </w:rPr>
        <w:t xml:space="preserve">os </w:t>
      </w:r>
      <w:r w:rsidR="00382F4D">
        <w:rPr>
          <w:rFonts w:ascii="Verdana" w:hAnsi="Verdana"/>
          <w:sz w:val="20"/>
          <w:szCs w:val="20"/>
          <w:lang w:val="es-ES"/>
        </w:rPr>
        <w:t>Pueblos Kaliña y Lokono</w:t>
      </w:r>
      <w:r w:rsidRPr="00476874">
        <w:rPr>
          <w:rFonts w:ascii="Verdana" w:hAnsi="Verdana"/>
          <w:sz w:val="20"/>
          <w:szCs w:val="20"/>
          <w:lang w:val="es-ES"/>
        </w:rPr>
        <w:t xml:space="preserve"> de la región Bajo Marowi</w:t>
      </w:r>
      <w:r w:rsidR="00F876FB">
        <w:rPr>
          <w:rFonts w:ascii="Verdana" w:hAnsi="Verdana"/>
          <w:sz w:val="20"/>
          <w:szCs w:val="20"/>
          <w:lang w:val="es-ES"/>
        </w:rPr>
        <w:t>j</w:t>
      </w:r>
      <w:r w:rsidR="006B7C0F">
        <w:rPr>
          <w:rFonts w:ascii="Verdana" w:hAnsi="Verdana"/>
          <w:sz w:val="20"/>
          <w:szCs w:val="20"/>
          <w:lang w:val="es-ES"/>
        </w:rPr>
        <w:t>n</w:t>
      </w:r>
      <w:r w:rsidRPr="00476874">
        <w:rPr>
          <w:rFonts w:ascii="Verdana" w:hAnsi="Verdana"/>
          <w:sz w:val="20"/>
          <w:szCs w:val="20"/>
          <w:lang w:val="es-ES"/>
        </w:rPr>
        <w:t xml:space="preserve">e son pueblos que </w:t>
      </w:r>
      <w:r w:rsidRPr="004D5C3E">
        <w:rPr>
          <w:rFonts w:ascii="Verdana" w:hAnsi="Verdana"/>
          <w:sz w:val="20"/>
          <w:szCs w:val="20"/>
          <w:lang w:val="es-MX"/>
        </w:rPr>
        <w:t>tienen</w:t>
      </w:r>
      <w:r w:rsidRPr="00E80197">
        <w:rPr>
          <w:rFonts w:ascii="Verdana" w:hAnsi="Verdana"/>
          <w:sz w:val="20"/>
          <w:szCs w:val="20"/>
          <w:lang w:val="es-ES"/>
        </w:rPr>
        <w:t xml:space="preserve"> una relación especial, tanto material como espiritual, con sus territorios y recursos naturales. Para ellos, todos </w:t>
      </w:r>
      <w:r>
        <w:rPr>
          <w:rFonts w:ascii="Verdana" w:hAnsi="Verdana"/>
          <w:sz w:val="20"/>
          <w:szCs w:val="20"/>
          <w:lang w:val="es-ES"/>
        </w:rPr>
        <w:t xml:space="preserve">los </w:t>
      </w:r>
      <w:r w:rsidRPr="00E80197">
        <w:rPr>
          <w:rFonts w:ascii="Verdana" w:hAnsi="Verdana"/>
          <w:sz w:val="20"/>
          <w:szCs w:val="20"/>
          <w:lang w:val="es-ES"/>
        </w:rPr>
        <w:t xml:space="preserve">animales, plantas, peces, piedras, arroyos y ríos son seres vivos interconectados entre sí que cuentan con espíritus </w:t>
      </w:r>
      <w:r>
        <w:rPr>
          <w:rFonts w:ascii="Verdana" w:hAnsi="Verdana"/>
          <w:sz w:val="20"/>
          <w:szCs w:val="20"/>
          <w:lang w:val="es-ES"/>
        </w:rPr>
        <w:t>protectores</w:t>
      </w:r>
      <w:r w:rsidRPr="00262413">
        <w:rPr>
          <w:rStyle w:val="FootnoteReference"/>
          <w:szCs w:val="20"/>
          <w:lang w:val="es-ES"/>
        </w:rPr>
        <w:footnoteReference w:id="41"/>
      </w:r>
      <w:r w:rsidRPr="00262413">
        <w:rPr>
          <w:rFonts w:ascii="Verdana" w:hAnsi="Verdana"/>
          <w:sz w:val="20"/>
          <w:szCs w:val="20"/>
          <w:lang w:val="es-ES"/>
        </w:rPr>
        <w:t xml:space="preserve">. </w:t>
      </w:r>
    </w:p>
    <w:p w14:paraId="096CDFED" w14:textId="77777777" w:rsidR="00926E61" w:rsidRPr="004D5C3E" w:rsidRDefault="00926E61" w:rsidP="00926E61">
      <w:pPr>
        <w:pStyle w:val="ListParagraph"/>
        <w:ind w:left="0"/>
        <w:jc w:val="both"/>
        <w:rPr>
          <w:rFonts w:ascii="Verdana" w:hAnsi="Verdana"/>
          <w:sz w:val="20"/>
          <w:szCs w:val="20"/>
          <w:lang w:val="es-ES"/>
        </w:rPr>
      </w:pPr>
    </w:p>
    <w:p w14:paraId="30D74451" w14:textId="77777777" w:rsidR="00926E61" w:rsidRPr="00262413" w:rsidRDefault="00926E61" w:rsidP="00B935FA">
      <w:pPr>
        <w:pStyle w:val="ListParagraph"/>
        <w:numPr>
          <w:ilvl w:val="0"/>
          <w:numId w:val="2"/>
        </w:numPr>
        <w:ind w:left="0" w:hanging="11"/>
        <w:jc w:val="both"/>
        <w:rPr>
          <w:rFonts w:ascii="Verdana" w:hAnsi="Verdana"/>
          <w:sz w:val="20"/>
          <w:szCs w:val="20"/>
          <w:lang w:val="es-ES"/>
        </w:rPr>
      </w:pPr>
      <w:r w:rsidRPr="00E80197">
        <w:rPr>
          <w:rFonts w:ascii="Verdana" w:hAnsi="Verdana"/>
          <w:sz w:val="20"/>
          <w:szCs w:val="20"/>
          <w:lang w:val="es-ES"/>
        </w:rPr>
        <w:t xml:space="preserve">Sobre esta relación espiritual, se destaca que </w:t>
      </w:r>
      <w:r>
        <w:rPr>
          <w:rFonts w:ascii="Verdana" w:hAnsi="Verdana"/>
          <w:sz w:val="20"/>
          <w:szCs w:val="20"/>
          <w:lang w:val="es-ES"/>
        </w:rPr>
        <w:t>con motivo</w:t>
      </w:r>
      <w:r w:rsidRPr="00E80197">
        <w:rPr>
          <w:rFonts w:ascii="Verdana" w:hAnsi="Verdana"/>
          <w:sz w:val="20"/>
          <w:szCs w:val="20"/>
          <w:lang w:val="es-ES"/>
        </w:rPr>
        <w:t xml:space="preserve"> de su cosmovisión, </w:t>
      </w:r>
      <w:r>
        <w:rPr>
          <w:rFonts w:ascii="Verdana" w:hAnsi="Verdana"/>
          <w:sz w:val="20"/>
          <w:szCs w:val="20"/>
          <w:lang w:val="es-ES"/>
        </w:rPr>
        <w:t xml:space="preserve">los propios indígenas restringen el ingreso a ciertos territorios, la tala de determinados árboles, </w:t>
      </w:r>
      <w:r w:rsidRPr="00E80197">
        <w:rPr>
          <w:rFonts w:ascii="Verdana" w:hAnsi="Verdana"/>
          <w:sz w:val="20"/>
          <w:szCs w:val="20"/>
          <w:lang w:val="es-ES"/>
        </w:rPr>
        <w:t>como los takini, kuma</w:t>
      </w:r>
      <w:r w:rsidR="0063316B">
        <w:rPr>
          <w:rFonts w:ascii="Verdana" w:hAnsi="Verdana"/>
          <w:sz w:val="20"/>
          <w:szCs w:val="20"/>
          <w:lang w:val="es-ES"/>
        </w:rPr>
        <w:t>k</w:t>
      </w:r>
      <w:r w:rsidRPr="00E80197">
        <w:rPr>
          <w:rFonts w:ascii="Verdana" w:hAnsi="Verdana"/>
          <w:sz w:val="20"/>
          <w:szCs w:val="20"/>
          <w:lang w:val="es-ES"/>
        </w:rPr>
        <w:t>a, uremari y kwasini</w:t>
      </w:r>
      <w:r w:rsidRPr="00262413">
        <w:rPr>
          <w:rStyle w:val="FootnoteReference"/>
          <w:szCs w:val="20"/>
          <w:lang w:val="es-ES"/>
        </w:rPr>
        <w:footnoteReference w:id="42"/>
      </w:r>
      <w:r w:rsidRPr="00262413">
        <w:rPr>
          <w:rFonts w:ascii="Verdana" w:hAnsi="Verdana"/>
          <w:sz w:val="20"/>
          <w:szCs w:val="20"/>
          <w:lang w:val="es-ES"/>
        </w:rPr>
        <w:t xml:space="preserve">, y </w:t>
      </w:r>
      <w:r>
        <w:rPr>
          <w:rFonts w:ascii="Verdana" w:hAnsi="Verdana"/>
          <w:sz w:val="20"/>
          <w:szCs w:val="20"/>
          <w:lang w:val="es-ES"/>
        </w:rPr>
        <w:t>la captura o caza de algunos</w:t>
      </w:r>
      <w:r w:rsidRPr="00476874">
        <w:rPr>
          <w:rFonts w:ascii="Verdana" w:hAnsi="Verdana"/>
          <w:sz w:val="20"/>
          <w:szCs w:val="20"/>
          <w:lang w:val="es-ES"/>
        </w:rPr>
        <w:t xml:space="preserve"> animales y peces</w:t>
      </w:r>
      <w:r w:rsidRPr="004D5C3E">
        <w:rPr>
          <w:rFonts w:ascii="Verdana" w:hAnsi="Verdana"/>
          <w:sz w:val="20"/>
          <w:szCs w:val="20"/>
          <w:lang w:val="es-ES"/>
        </w:rPr>
        <w:t>, como las boas constrictoras, manatíes, delfines</w:t>
      </w:r>
      <w:r w:rsidRPr="00E80197">
        <w:rPr>
          <w:rFonts w:ascii="Verdana" w:hAnsi="Verdana"/>
          <w:sz w:val="20"/>
          <w:szCs w:val="20"/>
          <w:lang w:val="es-ES"/>
        </w:rPr>
        <w:t xml:space="preserve"> y tortugas</w:t>
      </w:r>
      <w:r w:rsidRPr="00262413">
        <w:rPr>
          <w:rStyle w:val="FootnoteReference"/>
          <w:szCs w:val="20"/>
          <w:lang w:val="es-ES"/>
        </w:rPr>
        <w:footnoteReference w:id="43"/>
      </w:r>
      <w:r w:rsidRPr="00262413">
        <w:rPr>
          <w:rFonts w:ascii="Verdana" w:hAnsi="Verdana"/>
          <w:sz w:val="20"/>
          <w:szCs w:val="20"/>
          <w:lang w:val="es-ES"/>
        </w:rPr>
        <w:t>. Además, cuentan con dos reglas generales que guían el uso y extracción de recursos naturales, a saber: i) no cazar o talar</w:t>
      </w:r>
      <w:r w:rsidRPr="00476874">
        <w:rPr>
          <w:rFonts w:ascii="Verdana" w:hAnsi="Verdana"/>
          <w:sz w:val="20"/>
          <w:szCs w:val="20"/>
          <w:lang w:val="es-ES"/>
        </w:rPr>
        <w:t xml:space="preserve"> especímenes jóvenes, y ii) usar únicamente lo que se necesita</w:t>
      </w:r>
      <w:r w:rsidRPr="00262413">
        <w:rPr>
          <w:rStyle w:val="FootnoteReference"/>
          <w:szCs w:val="20"/>
          <w:lang w:val="es-ES"/>
        </w:rPr>
        <w:footnoteReference w:id="44"/>
      </w:r>
      <w:r w:rsidRPr="00262413">
        <w:rPr>
          <w:rFonts w:ascii="Verdana" w:hAnsi="Verdana"/>
          <w:sz w:val="20"/>
          <w:szCs w:val="20"/>
          <w:lang w:val="es-ES"/>
        </w:rPr>
        <w:t xml:space="preserve">. </w:t>
      </w:r>
    </w:p>
    <w:p w14:paraId="4D64B141" w14:textId="77777777" w:rsidR="00926E61" w:rsidRPr="004D5C3E" w:rsidRDefault="00926E61" w:rsidP="00926E61">
      <w:pPr>
        <w:pStyle w:val="ListParagraph"/>
        <w:ind w:left="0"/>
        <w:jc w:val="both"/>
        <w:rPr>
          <w:rFonts w:ascii="Verdana" w:hAnsi="Verdana"/>
          <w:sz w:val="20"/>
          <w:szCs w:val="20"/>
          <w:lang w:val="es-ES"/>
        </w:rPr>
      </w:pPr>
    </w:p>
    <w:p w14:paraId="2AF0F367" w14:textId="46B74BEF" w:rsidR="00926E61" w:rsidRPr="00262413"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 xml:space="preserve">Los pueblos indígenas de la zona tienen una fuerte relación espiritual con el </w:t>
      </w:r>
      <w:r w:rsidR="007B5E36">
        <w:rPr>
          <w:rFonts w:ascii="Verdana" w:hAnsi="Verdana"/>
          <w:sz w:val="20"/>
          <w:szCs w:val="20"/>
          <w:lang w:val="es-ES"/>
        </w:rPr>
        <w:t>R</w:t>
      </w:r>
      <w:r w:rsidR="008B0F0D">
        <w:rPr>
          <w:rFonts w:ascii="Verdana" w:hAnsi="Verdana"/>
          <w:sz w:val="20"/>
          <w:szCs w:val="20"/>
          <w:lang w:val="es-ES"/>
        </w:rPr>
        <w:t xml:space="preserve">ío </w:t>
      </w:r>
      <w:r w:rsidRPr="00262413">
        <w:rPr>
          <w:rFonts w:ascii="Verdana" w:hAnsi="Verdana"/>
          <w:sz w:val="20"/>
          <w:szCs w:val="20"/>
          <w:lang w:val="es-ES"/>
        </w:rPr>
        <w:t xml:space="preserve"> Marowijne, </w:t>
      </w:r>
      <w:r w:rsidR="0063316B">
        <w:rPr>
          <w:rFonts w:ascii="Verdana" w:hAnsi="Verdana"/>
          <w:sz w:val="20"/>
          <w:szCs w:val="20"/>
          <w:lang w:val="es-ES"/>
        </w:rPr>
        <w:t>el cual es</w:t>
      </w:r>
      <w:r w:rsidRPr="00262413">
        <w:rPr>
          <w:rFonts w:ascii="Verdana" w:hAnsi="Verdana"/>
          <w:sz w:val="20"/>
          <w:szCs w:val="20"/>
          <w:lang w:val="es-ES"/>
        </w:rPr>
        <w:t xml:space="preserve"> un elemento fundamental en su identidad cultural y tradiciones, por lo </w:t>
      </w:r>
      <w:r w:rsidR="0063316B">
        <w:rPr>
          <w:rFonts w:ascii="Verdana" w:hAnsi="Verdana"/>
          <w:sz w:val="20"/>
          <w:szCs w:val="20"/>
          <w:lang w:val="es-ES"/>
        </w:rPr>
        <w:t>que</w:t>
      </w:r>
      <w:r w:rsidR="0063316B" w:rsidRPr="00262413">
        <w:rPr>
          <w:rFonts w:ascii="Verdana" w:hAnsi="Verdana"/>
          <w:sz w:val="20"/>
          <w:szCs w:val="20"/>
          <w:lang w:val="es-ES"/>
        </w:rPr>
        <w:t xml:space="preserve"> </w:t>
      </w:r>
      <w:r w:rsidRPr="00262413">
        <w:rPr>
          <w:rFonts w:ascii="Verdana" w:hAnsi="Verdana"/>
          <w:sz w:val="20"/>
          <w:szCs w:val="20"/>
          <w:lang w:val="es-ES"/>
        </w:rPr>
        <w:t xml:space="preserve">estiman que pertenecen a este lugar de la misma forma que este les pertenece a ellos. </w:t>
      </w:r>
      <w:r w:rsidRPr="00476874">
        <w:rPr>
          <w:rFonts w:ascii="Verdana" w:hAnsi="Verdana"/>
          <w:sz w:val="20"/>
          <w:szCs w:val="20"/>
          <w:lang w:val="es-ES"/>
        </w:rPr>
        <w:t xml:space="preserve">Asimismo, los </w:t>
      </w:r>
      <w:r w:rsidR="007F642B">
        <w:rPr>
          <w:rFonts w:ascii="Verdana" w:hAnsi="Verdana"/>
          <w:sz w:val="20"/>
          <w:szCs w:val="20"/>
          <w:lang w:val="es-ES"/>
        </w:rPr>
        <w:t>P</w:t>
      </w:r>
      <w:r w:rsidRPr="00476874">
        <w:rPr>
          <w:rFonts w:ascii="Verdana" w:hAnsi="Verdana"/>
          <w:sz w:val="20"/>
          <w:szCs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sidRPr="00476874">
        <w:rPr>
          <w:rFonts w:ascii="Verdana" w:hAnsi="Verdana"/>
          <w:sz w:val="20"/>
          <w:szCs w:val="20"/>
          <w:lang w:val="es-ES"/>
        </w:rPr>
        <w:t>cuidan sus tierras no solo porque ellos y sus futuras generaciones necesitan un lugar donde vivir, sino que la cultura y costumbres que les han inculc</w:t>
      </w:r>
      <w:r w:rsidRPr="004D5C3E">
        <w:rPr>
          <w:rFonts w:ascii="Verdana" w:hAnsi="Verdana"/>
          <w:sz w:val="20"/>
          <w:szCs w:val="20"/>
          <w:lang w:val="es-ES"/>
        </w:rPr>
        <w:t>ado sus ancestros se fundamentan en un profundo respeto por el medioambiente, que incluye tanto los seres vivos como los objetos inanimados</w:t>
      </w:r>
      <w:r w:rsidRPr="00262413">
        <w:rPr>
          <w:rStyle w:val="FootnoteReference"/>
          <w:szCs w:val="20"/>
          <w:lang w:val="es-ES"/>
        </w:rPr>
        <w:footnoteReference w:id="45"/>
      </w:r>
      <w:r w:rsidRPr="00262413">
        <w:rPr>
          <w:rFonts w:ascii="Verdana" w:hAnsi="Verdana"/>
          <w:sz w:val="20"/>
          <w:szCs w:val="20"/>
          <w:lang w:val="es-ES"/>
        </w:rPr>
        <w:t>.</w:t>
      </w:r>
    </w:p>
    <w:p w14:paraId="78B67E0C" w14:textId="77777777" w:rsidR="00926E61" w:rsidRPr="004D5C3E" w:rsidRDefault="00926E61" w:rsidP="00926E61">
      <w:pPr>
        <w:pStyle w:val="ListParagraph"/>
        <w:ind w:left="0"/>
        <w:jc w:val="both"/>
        <w:rPr>
          <w:rFonts w:ascii="Verdana" w:hAnsi="Verdana"/>
          <w:sz w:val="20"/>
          <w:szCs w:val="20"/>
          <w:lang w:val="es-ES"/>
        </w:rPr>
      </w:pPr>
    </w:p>
    <w:p w14:paraId="0C0E8514" w14:textId="77777777" w:rsidR="00926E61" w:rsidRPr="00262413" w:rsidRDefault="00926E61" w:rsidP="00B935FA">
      <w:pPr>
        <w:pStyle w:val="ListParagraph"/>
        <w:numPr>
          <w:ilvl w:val="0"/>
          <w:numId w:val="2"/>
        </w:numPr>
        <w:ind w:left="0" w:hanging="11"/>
        <w:jc w:val="both"/>
        <w:rPr>
          <w:rFonts w:ascii="Verdana" w:hAnsi="Verdana"/>
          <w:sz w:val="20"/>
          <w:szCs w:val="20"/>
          <w:lang w:val="es-ES"/>
        </w:rPr>
      </w:pPr>
      <w:r w:rsidRPr="00E80197">
        <w:rPr>
          <w:rFonts w:ascii="Verdana" w:hAnsi="Verdana"/>
          <w:sz w:val="20"/>
          <w:szCs w:val="20"/>
          <w:lang w:val="es-ES"/>
        </w:rPr>
        <w:t xml:space="preserve">De esta forma, para los </w:t>
      </w:r>
      <w:r w:rsidR="00382F4D">
        <w:rPr>
          <w:rFonts w:ascii="Verdana" w:hAnsi="Verdana"/>
          <w:sz w:val="20"/>
          <w:szCs w:val="20"/>
          <w:lang w:val="es-ES"/>
        </w:rPr>
        <w:t>Pueblos Kaliña y Lokono</w:t>
      </w:r>
      <w:r w:rsidRPr="00E80197">
        <w:rPr>
          <w:rFonts w:ascii="Verdana" w:hAnsi="Verdana"/>
          <w:sz w:val="20"/>
          <w:szCs w:val="20"/>
          <w:lang w:val="es-ES"/>
        </w:rPr>
        <w:t xml:space="preserve"> es de vital importancia mantener el balance entre los seres huma</w:t>
      </w:r>
      <w:r w:rsidRPr="00262413">
        <w:rPr>
          <w:rFonts w:ascii="Verdana" w:hAnsi="Verdana"/>
          <w:sz w:val="20"/>
          <w:szCs w:val="20"/>
          <w:lang w:val="es-ES"/>
        </w:rPr>
        <w:t xml:space="preserve">nos y la naturaleza, y dicha tarea es responsabilidad de los chamanes, conocidos como </w:t>
      </w:r>
      <w:r w:rsidRPr="00262413">
        <w:rPr>
          <w:rFonts w:ascii="Verdana" w:hAnsi="Verdana"/>
          <w:i/>
          <w:sz w:val="20"/>
          <w:szCs w:val="20"/>
          <w:lang w:val="es-ES"/>
        </w:rPr>
        <w:t>piay</w:t>
      </w:r>
      <w:r w:rsidRPr="00262413">
        <w:rPr>
          <w:rFonts w:ascii="Verdana" w:hAnsi="Verdana"/>
          <w:sz w:val="20"/>
          <w:szCs w:val="20"/>
          <w:lang w:val="es-ES"/>
        </w:rPr>
        <w:t xml:space="preserve"> o s</w:t>
      </w:r>
      <w:r w:rsidRPr="00262413">
        <w:rPr>
          <w:rFonts w:ascii="Verdana" w:hAnsi="Verdana"/>
          <w:i/>
          <w:sz w:val="20"/>
          <w:szCs w:val="20"/>
          <w:lang w:val="es-ES"/>
        </w:rPr>
        <w:t>emechichi</w:t>
      </w:r>
      <w:r w:rsidRPr="00262413">
        <w:rPr>
          <w:rFonts w:ascii="Verdana" w:hAnsi="Verdana"/>
          <w:sz w:val="20"/>
          <w:szCs w:val="20"/>
          <w:lang w:val="es-ES"/>
        </w:rPr>
        <w:t xml:space="preserve">. </w:t>
      </w:r>
      <w:r w:rsidR="0063316B">
        <w:rPr>
          <w:rFonts w:ascii="Verdana" w:hAnsi="Verdana"/>
          <w:sz w:val="20"/>
          <w:szCs w:val="20"/>
          <w:lang w:val="es-ES"/>
        </w:rPr>
        <w:t>D</w:t>
      </w:r>
      <w:r w:rsidRPr="00262413">
        <w:rPr>
          <w:rFonts w:ascii="Verdana" w:hAnsi="Verdana"/>
          <w:sz w:val="20"/>
          <w:szCs w:val="20"/>
          <w:lang w:val="es-ES"/>
        </w:rPr>
        <w:t xml:space="preserve">e acuerdo con su cosmovisión, a través de los guardianes o espíritus guía, conocidos como </w:t>
      </w:r>
      <w:r w:rsidRPr="00262413">
        <w:rPr>
          <w:rFonts w:ascii="Verdana" w:hAnsi="Verdana"/>
          <w:i/>
          <w:sz w:val="20"/>
          <w:szCs w:val="20"/>
          <w:lang w:val="es-ES"/>
        </w:rPr>
        <w:t>jakoewa</w:t>
      </w:r>
      <w:r w:rsidRPr="00262413">
        <w:rPr>
          <w:rFonts w:ascii="Verdana" w:hAnsi="Verdana"/>
          <w:sz w:val="20"/>
          <w:szCs w:val="20"/>
          <w:lang w:val="es-ES"/>
        </w:rPr>
        <w:t xml:space="preserve">, el </w:t>
      </w:r>
      <w:r w:rsidRPr="00262413">
        <w:rPr>
          <w:rFonts w:ascii="Verdana" w:hAnsi="Verdana"/>
          <w:i/>
          <w:sz w:val="20"/>
          <w:szCs w:val="20"/>
          <w:lang w:val="es-ES"/>
        </w:rPr>
        <w:t>piay</w:t>
      </w:r>
      <w:r w:rsidRPr="00262413">
        <w:rPr>
          <w:rFonts w:ascii="Verdana" w:hAnsi="Verdana"/>
          <w:sz w:val="20"/>
          <w:szCs w:val="20"/>
          <w:lang w:val="es-ES"/>
        </w:rPr>
        <w:t xml:space="preserve"> es capaz de descubrir si alguien ha alterado incorrectamente el balance entre los seres humanos y la naturaleza</w:t>
      </w:r>
      <w:r w:rsidRPr="00262413">
        <w:rPr>
          <w:rStyle w:val="FootnoteReference"/>
          <w:szCs w:val="20"/>
          <w:lang w:val="es-ES"/>
        </w:rPr>
        <w:footnoteReference w:id="46"/>
      </w:r>
      <w:r w:rsidRPr="00262413">
        <w:rPr>
          <w:rFonts w:ascii="Verdana" w:hAnsi="Verdana"/>
          <w:sz w:val="20"/>
          <w:szCs w:val="20"/>
          <w:lang w:val="es-ES"/>
        </w:rPr>
        <w:t>.</w:t>
      </w:r>
    </w:p>
    <w:p w14:paraId="24140757" w14:textId="77777777" w:rsidR="00926E61" w:rsidRPr="004D5C3E" w:rsidRDefault="00926E61" w:rsidP="00926E61">
      <w:pPr>
        <w:pStyle w:val="ListParagraph"/>
        <w:ind w:left="0"/>
        <w:jc w:val="both"/>
        <w:rPr>
          <w:rFonts w:ascii="Verdana" w:hAnsi="Verdana"/>
          <w:sz w:val="20"/>
          <w:szCs w:val="20"/>
          <w:lang w:val="es-ES"/>
        </w:rPr>
      </w:pPr>
    </w:p>
    <w:p w14:paraId="2F6A5B7D" w14:textId="77777777" w:rsidR="00926E61" w:rsidRPr="00262413"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 xml:space="preserve">Dentro del territorio ancestral de los </w:t>
      </w:r>
      <w:r w:rsidR="00382F4D">
        <w:rPr>
          <w:rFonts w:ascii="Verdana" w:hAnsi="Verdana"/>
          <w:sz w:val="20"/>
          <w:szCs w:val="20"/>
          <w:lang w:val="es-ES"/>
        </w:rPr>
        <w:t>Pueblos Kaliña y Lokono</w:t>
      </w:r>
      <w:r w:rsidR="00CB39E1" w:rsidRPr="004D5C3E">
        <w:rPr>
          <w:rFonts w:ascii="Verdana" w:hAnsi="Verdana"/>
          <w:sz w:val="20"/>
          <w:szCs w:val="20"/>
          <w:lang w:val="es-ES"/>
        </w:rPr>
        <w:t xml:space="preserve"> </w:t>
      </w:r>
      <w:r w:rsidRPr="00262413">
        <w:rPr>
          <w:rFonts w:ascii="Verdana" w:hAnsi="Verdana"/>
          <w:sz w:val="20"/>
          <w:szCs w:val="20"/>
          <w:lang w:val="es-ES"/>
        </w:rPr>
        <w:t xml:space="preserve">existen ciertas zonas que son consideradas como sitios sagrados o espirituales, a las cuales </w:t>
      </w:r>
      <w:r>
        <w:rPr>
          <w:rFonts w:ascii="Verdana" w:hAnsi="Verdana"/>
          <w:sz w:val="20"/>
          <w:szCs w:val="20"/>
          <w:lang w:val="es-ES"/>
        </w:rPr>
        <w:t xml:space="preserve">los propios indígenas </w:t>
      </w:r>
      <w:r w:rsidRPr="00262413">
        <w:rPr>
          <w:rFonts w:ascii="Verdana" w:hAnsi="Verdana"/>
          <w:sz w:val="20"/>
          <w:szCs w:val="20"/>
          <w:lang w:val="es-ES"/>
        </w:rPr>
        <w:t>restringe</w:t>
      </w:r>
      <w:r>
        <w:rPr>
          <w:rFonts w:ascii="Verdana" w:hAnsi="Verdana"/>
          <w:sz w:val="20"/>
          <w:szCs w:val="20"/>
          <w:lang w:val="es-ES"/>
        </w:rPr>
        <w:t>n</w:t>
      </w:r>
      <w:r w:rsidRPr="00262413">
        <w:rPr>
          <w:rFonts w:ascii="Verdana" w:hAnsi="Verdana"/>
          <w:sz w:val="20"/>
          <w:szCs w:val="20"/>
          <w:lang w:val="es-ES"/>
        </w:rPr>
        <w:t xml:space="preserve"> su ingreso con fundamento en su cosmovisión. En las zonas cercanas a Galibi y el río Marowijne se destacan las siguientes: Kumakande; Korotoko yume; Sek´se</w:t>
      </w:r>
      <w:r w:rsidR="0063316B">
        <w:rPr>
          <w:rFonts w:ascii="Verdana" w:hAnsi="Verdana"/>
          <w:sz w:val="20"/>
          <w:szCs w:val="20"/>
          <w:lang w:val="es-ES"/>
        </w:rPr>
        <w:t>ki</w:t>
      </w:r>
      <w:r w:rsidRPr="00262413">
        <w:rPr>
          <w:rFonts w:ascii="Verdana" w:hAnsi="Verdana"/>
          <w:sz w:val="20"/>
          <w:szCs w:val="20"/>
          <w:lang w:val="es-ES"/>
        </w:rPr>
        <w:t xml:space="preserve"> sabana; Alakoeserie bate; Masjipe Itjoeloe, y Kanawa. En las cercanías de Alfonsdo</w:t>
      </w:r>
      <w:r w:rsidR="0063316B">
        <w:rPr>
          <w:rFonts w:ascii="Verdana" w:hAnsi="Verdana"/>
          <w:sz w:val="20"/>
          <w:szCs w:val="20"/>
          <w:lang w:val="es-ES"/>
        </w:rPr>
        <w:t>r</w:t>
      </w:r>
      <w:r w:rsidRPr="00262413">
        <w:rPr>
          <w:rFonts w:ascii="Verdana" w:hAnsi="Verdana"/>
          <w:sz w:val="20"/>
          <w:szCs w:val="20"/>
          <w:lang w:val="es-ES"/>
        </w:rPr>
        <w:t>p y Wane Kreek se destacan las siguientes: Dede Betre; Balakaiman, y Awaradaja. Finalmente, en la zona de Bigiston se destacan Jorka-creek y Zwampoe</w:t>
      </w:r>
      <w:r w:rsidRPr="00262413">
        <w:rPr>
          <w:rStyle w:val="FootnoteReference"/>
          <w:szCs w:val="20"/>
          <w:lang w:val="es-ES"/>
        </w:rPr>
        <w:footnoteReference w:id="47"/>
      </w:r>
      <w:r w:rsidRPr="00262413">
        <w:rPr>
          <w:rFonts w:ascii="Verdana" w:hAnsi="Verdana"/>
          <w:sz w:val="20"/>
          <w:szCs w:val="20"/>
          <w:lang w:val="es-ES"/>
        </w:rPr>
        <w:t>.</w:t>
      </w:r>
    </w:p>
    <w:p w14:paraId="1E449DCF" w14:textId="77777777" w:rsidR="00926E61" w:rsidRPr="00262413" w:rsidRDefault="00926E61" w:rsidP="00926E61">
      <w:pPr>
        <w:jc w:val="both"/>
        <w:rPr>
          <w:rFonts w:ascii="Verdana" w:hAnsi="Verdana"/>
          <w:sz w:val="20"/>
          <w:szCs w:val="20"/>
          <w:lang w:val="es-ES"/>
        </w:rPr>
      </w:pPr>
    </w:p>
    <w:p w14:paraId="4966C80B" w14:textId="00E8E8EB" w:rsidR="00926E61" w:rsidRPr="00262413" w:rsidRDefault="00926E61" w:rsidP="00B935FA">
      <w:pPr>
        <w:pStyle w:val="ListParagraph"/>
        <w:numPr>
          <w:ilvl w:val="0"/>
          <w:numId w:val="2"/>
        </w:numPr>
        <w:ind w:left="0" w:hanging="11"/>
        <w:jc w:val="both"/>
        <w:rPr>
          <w:rFonts w:ascii="Verdana" w:eastAsia="Times New Roman" w:hAnsi="Verdana"/>
          <w:sz w:val="20"/>
          <w:szCs w:val="20"/>
          <w:lang w:val="es-ES"/>
        </w:rPr>
      </w:pPr>
      <w:r w:rsidRPr="004D5C3E">
        <w:rPr>
          <w:rFonts w:ascii="Verdana" w:eastAsia="Times New Roman" w:hAnsi="Verdana"/>
          <w:sz w:val="20"/>
          <w:szCs w:val="20"/>
          <w:lang w:val="es-ES"/>
        </w:rPr>
        <w:t>L</w:t>
      </w:r>
      <w:r w:rsidRPr="00E80197">
        <w:rPr>
          <w:rFonts w:ascii="Verdana" w:eastAsia="Times New Roman" w:hAnsi="Verdana"/>
          <w:sz w:val="20"/>
          <w:szCs w:val="20"/>
          <w:lang w:val="es-ES"/>
        </w:rPr>
        <w:t xml:space="preserve">as ocho comunidades indígenas de la región del Bajo Marowijne tienen sus propias autoridades, que consisten en un </w:t>
      </w:r>
      <w:r w:rsidR="001E6E97">
        <w:rPr>
          <w:rFonts w:ascii="Verdana" w:eastAsia="Times New Roman" w:hAnsi="Verdana"/>
          <w:sz w:val="20"/>
          <w:szCs w:val="20"/>
          <w:lang w:val="es-ES"/>
        </w:rPr>
        <w:t>c</w:t>
      </w:r>
      <w:r w:rsidRPr="00262413">
        <w:rPr>
          <w:rFonts w:ascii="Verdana" w:eastAsia="Times New Roman" w:hAnsi="Verdana"/>
          <w:sz w:val="20"/>
          <w:szCs w:val="20"/>
          <w:lang w:val="es-ES"/>
        </w:rPr>
        <w:t xml:space="preserve">apitán o jefe de la aldea, conocido como </w:t>
      </w:r>
      <w:r w:rsidRPr="00262413">
        <w:rPr>
          <w:rFonts w:ascii="Verdana" w:eastAsia="Times New Roman" w:hAnsi="Verdana" w:cs="Arial"/>
          <w:i/>
          <w:sz w:val="20"/>
          <w:szCs w:val="20"/>
          <w:lang w:val="es-ES"/>
        </w:rPr>
        <w:t>yopoto</w:t>
      </w:r>
      <w:r w:rsidRPr="00262413">
        <w:rPr>
          <w:rFonts w:ascii="Verdana" w:eastAsia="Times New Roman" w:hAnsi="Verdana" w:cs="Arial"/>
          <w:sz w:val="20"/>
          <w:szCs w:val="20"/>
          <w:lang w:val="es-ES"/>
        </w:rPr>
        <w:t xml:space="preserve"> o </w:t>
      </w:r>
      <w:r w:rsidRPr="00262413">
        <w:rPr>
          <w:rFonts w:ascii="Verdana" w:eastAsia="Times New Roman" w:hAnsi="Verdana" w:cs="Arial"/>
          <w:i/>
          <w:sz w:val="20"/>
          <w:szCs w:val="20"/>
          <w:lang w:val="es-ES"/>
        </w:rPr>
        <w:t>wakorokoro</w:t>
      </w:r>
      <w:r w:rsidRPr="00262413">
        <w:rPr>
          <w:rFonts w:ascii="Verdana" w:eastAsia="Times New Roman" w:hAnsi="Verdana"/>
          <w:sz w:val="20"/>
          <w:szCs w:val="20"/>
          <w:lang w:val="es-ES"/>
        </w:rPr>
        <w:t xml:space="preserve">, y en promedio dos asistentes, conocidos como </w:t>
      </w:r>
      <w:r w:rsidRPr="00262413">
        <w:rPr>
          <w:rFonts w:ascii="Verdana" w:eastAsia="Times New Roman" w:hAnsi="Verdana"/>
          <w:i/>
          <w:sz w:val="20"/>
          <w:szCs w:val="20"/>
          <w:lang w:val="es-ES"/>
        </w:rPr>
        <w:t>basyas</w:t>
      </w:r>
      <w:r w:rsidRPr="00262413">
        <w:rPr>
          <w:rFonts w:ascii="Verdana" w:eastAsia="Times New Roman" w:hAnsi="Verdana"/>
          <w:sz w:val="20"/>
          <w:szCs w:val="20"/>
          <w:lang w:val="es-ES"/>
        </w:rPr>
        <w:t xml:space="preserve"> o </w:t>
      </w:r>
      <w:r w:rsidRPr="00262413">
        <w:rPr>
          <w:rFonts w:ascii="Verdana" w:eastAsia="Times New Roman" w:hAnsi="Verdana" w:cs="Arial"/>
          <w:i/>
          <w:sz w:val="20"/>
          <w:szCs w:val="20"/>
          <w:lang w:val="es-ES"/>
        </w:rPr>
        <w:t>yopoto petjore</w:t>
      </w:r>
      <w:r w:rsidRPr="00262413">
        <w:rPr>
          <w:rFonts w:ascii="Verdana" w:eastAsia="Times New Roman" w:hAnsi="Verdana"/>
          <w:sz w:val="20"/>
          <w:szCs w:val="20"/>
          <w:lang w:val="es-ES"/>
        </w:rPr>
        <w:t xml:space="preserve">. Tradicionalmente, las autoridades tienen la responsabilidad de establecer la paz y el orden en la comunidad y de representarla en asuntos relacionados con el gobierno y terceros ajenos a la </w:t>
      </w:r>
      <w:r w:rsidRPr="00262413">
        <w:rPr>
          <w:rFonts w:ascii="Verdana" w:eastAsia="Times New Roman" w:hAnsi="Verdana"/>
          <w:sz w:val="20"/>
          <w:szCs w:val="20"/>
          <w:lang w:val="es-ES"/>
        </w:rPr>
        <w:lastRenderedPageBreak/>
        <w:t>comunidad. Por sus funciones, el Estado les proporciona una remuneración económica mensual</w:t>
      </w:r>
      <w:r w:rsidRPr="00262413">
        <w:rPr>
          <w:rStyle w:val="FootnoteReference"/>
          <w:rFonts w:eastAsia="Times New Roman"/>
          <w:szCs w:val="20"/>
          <w:lang w:val="es-ES"/>
        </w:rPr>
        <w:footnoteReference w:id="48"/>
      </w:r>
      <w:r w:rsidRPr="00262413">
        <w:rPr>
          <w:rFonts w:ascii="Verdana" w:eastAsia="Times New Roman" w:hAnsi="Verdana"/>
          <w:sz w:val="20"/>
          <w:szCs w:val="20"/>
          <w:lang w:val="es-ES"/>
        </w:rPr>
        <w:t xml:space="preserve">. </w:t>
      </w:r>
    </w:p>
    <w:p w14:paraId="07153088" w14:textId="77777777" w:rsidR="00926E61" w:rsidRPr="004D5C3E" w:rsidRDefault="00926E61" w:rsidP="00926E61">
      <w:pPr>
        <w:pStyle w:val="ListParagraph"/>
        <w:ind w:left="0"/>
        <w:jc w:val="both"/>
        <w:rPr>
          <w:rFonts w:ascii="Verdana" w:hAnsi="Verdana"/>
          <w:sz w:val="20"/>
          <w:szCs w:val="20"/>
          <w:lang w:val="es-ES"/>
        </w:rPr>
      </w:pPr>
    </w:p>
    <w:p w14:paraId="52F37F69" w14:textId="5A4C6272" w:rsidR="00926E61" w:rsidRPr="00476874" w:rsidRDefault="00926E61" w:rsidP="00B935FA">
      <w:pPr>
        <w:pStyle w:val="ListParagraph"/>
        <w:numPr>
          <w:ilvl w:val="0"/>
          <w:numId w:val="2"/>
        </w:numPr>
        <w:ind w:left="0" w:hanging="11"/>
        <w:jc w:val="both"/>
        <w:rPr>
          <w:rStyle w:val="Strong"/>
          <w:rFonts w:ascii="Verdana" w:hAnsi="Verdana"/>
          <w:b w:val="0"/>
          <w:sz w:val="20"/>
          <w:szCs w:val="20"/>
          <w:lang w:val="es-ES"/>
        </w:rPr>
      </w:pPr>
      <w:r>
        <w:rPr>
          <w:rFonts w:ascii="Verdana" w:hAnsi="Verdana"/>
          <w:sz w:val="20"/>
          <w:szCs w:val="20"/>
          <w:lang w:val="es-ES"/>
        </w:rPr>
        <w:t>Por otra parte, c</w:t>
      </w:r>
      <w:r w:rsidRPr="00E80197">
        <w:rPr>
          <w:rFonts w:ascii="Verdana" w:hAnsi="Verdana"/>
          <w:sz w:val="20"/>
          <w:szCs w:val="20"/>
          <w:lang w:val="es-ES"/>
        </w:rPr>
        <w:t xml:space="preserve">omo fue constatado anteriormente por este Tribunal en el </w:t>
      </w:r>
      <w:r w:rsidRPr="00926E61">
        <w:rPr>
          <w:rStyle w:val="Strong"/>
          <w:rFonts w:ascii="Verdana" w:hAnsi="Verdana"/>
          <w:b w:val="0"/>
          <w:i/>
          <w:sz w:val="20"/>
          <w:szCs w:val="20"/>
          <w:lang w:val="es-ES"/>
        </w:rPr>
        <w:t xml:space="preserve">Caso de la Comunidad Moiwana Vs. </w:t>
      </w:r>
      <w:r w:rsidR="00563E11">
        <w:rPr>
          <w:rStyle w:val="Strong"/>
          <w:rFonts w:ascii="Verdana" w:hAnsi="Verdana"/>
          <w:b w:val="0"/>
          <w:i/>
          <w:sz w:val="20"/>
          <w:szCs w:val="20"/>
          <w:lang w:val="es-ES"/>
        </w:rPr>
        <w:t>Surinam</w:t>
      </w:r>
      <w:r w:rsidRPr="00926E61">
        <w:rPr>
          <w:rStyle w:val="Strong"/>
          <w:rFonts w:ascii="Verdana" w:hAnsi="Verdana"/>
          <w:b w:val="0"/>
          <w:sz w:val="20"/>
          <w:szCs w:val="20"/>
          <w:lang w:val="es-ES"/>
        </w:rPr>
        <w:t xml:space="preserve">, el conflicto interno en </w:t>
      </w:r>
      <w:r w:rsidR="00563E11">
        <w:rPr>
          <w:rStyle w:val="Strong"/>
          <w:rFonts w:ascii="Verdana" w:hAnsi="Verdana"/>
          <w:b w:val="0"/>
          <w:sz w:val="20"/>
          <w:szCs w:val="20"/>
          <w:lang w:val="es-ES"/>
        </w:rPr>
        <w:t>Surinam</w:t>
      </w:r>
      <w:r w:rsidRPr="00926E61">
        <w:rPr>
          <w:rStyle w:val="Strong"/>
          <w:rFonts w:ascii="Verdana" w:hAnsi="Verdana"/>
          <w:b w:val="0"/>
          <w:sz w:val="20"/>
          <w:szCs w:val="20"/>
          <w:lang w:val="es-ES"/>
        </w:rPr>
        <w:t xml:space="preserve"> iniciado en 1986 tuvo un especial impacto en la zona oriental del país, en la cual se encuentra ubicado el territorio reclamado por los </w:t>
      </w:r>
      <w:r w:rsidR="00382F4D">
        <w:rPr>
          <w:rStyle w:val="Strong"/>
          <w:rFonts w:ascii="Verdana" w:hAnsi="Verdana"/>
          <w:b w:val="0"/>
          <w:sz w:val="20"/>
          <w:szCs w:val="20"/>
          <w:lang w:val="es-ES"/>
        </w:rPr>
        <w:t>Pueblos Kaliña y Lokono</w:t>
      </w:r>
      <w:r w:rsidRPr="00926E61">
        <w:rPr>
          <w:rStyle w:val="Strong"/>
          <w:rFonts w:ascii="Verdana" w:hAnsi="Verdana"/>
          <w:b w:val="0"/>
          <w:sz w:val="20"/>
          <w:szCs w:val="20"/>
          <w:lang w:val="es-ES"/>
        </w:rPr>
        <w:t xml:space="preserve">. La fuerza armada conocida como el </w:t>
      </w:r>
      <w:r w:rsidR="008A4ABB" w:rsidRPr="007E20F9">
        <w:rPr>
          <w:rStyle w:val="Strong"/>
          <w:rFonts w:ascii="Verdana" w:hAnsi="Verdana"/>
          <w:b w:val="0"/>
          <w:i/>
          <w:sz w:val="20"/>
          <w:szCs w:val="20"/>
          <w:lang w:val="es-ES"/>
        </w:rPr>
        <w:t>Jungle Command</w:t>
      </w:r>
      <w:r w:rsidRPr="00926E61">
        <w:rPr>
          <w:rStyle w:val="Strong"/>
          <w:rFonts w:ascii="Verdana" w:hAnsi="Verdana"/>
          <w:b w:val="0"/>
          <w:sz w:val="20"/>
          <w:szCs w:val="20"/>
          <w:lang w:val="es-ES"/>
        </w:rPr>
        <w:t xml:space="preserve"> (“Comando de la Jungla”), dirigida por </w:t>
      </w:r>
      <w:r w:rsidR="006D4D2C">
        <w:rPr>
          <w:rStyle w:val="Strong"/>
          <w:rFonts w:ascii="Verdana" w:hAnsi="Verdana"/>
          <w:b w:val="0"/>
          <w:sz w:val="20"/>
          <w:szCs w:val="20"/>
          <w:lang w:val="es-ES"/>
        </w:rPr>
        <w:t>maroon</w:t>
      </w:r>
      <w:r w:rsidR="00F57D87">
        <w:rPr>
          <w:rStyle w:val="Strong"/>
          <w:rFonts w:ascii="Verdana" w:hAnsi="Verdana"/>
          <w:b w:val="0"/>
          <w:sz w:val="20"/>
          <w:szCs w:val="20"/>
          <w:lang w:val="es-ES"/>
        </w:rPr>
        <w:t>s</w:t>
      </w:r>
      <w:r w:rsidRPr="00926E61">
        <w:rPr>
          <w:rStyle w:val="Strong"/>
          <w:rFonts w:ascii="Verdana" w:hAnsi="Verdana"/>
          <w:b w:val="0"/>
          <w:sz w:val="20"/>
          <w:szCs w:val="20"/>
          <w:lang w:val="es-ES"/>
        </w:rPr>
        <w:t xml:space="preserve"> y opositora al régimen militar, tenía su base en la Isla Stoelmans, en el </w:t>
      </w:r>
      <w:r w:rsidR="008B0F0D">
        <w:rPr>
          <w:rStyle w:val="Strong"/>
          <w:rFonts w:ascii="Verdana" w:hAnsi="Verdana"/>
          <w:b w:val="0"/>
          <w:sz w:val="20"/>
          <w:szCs w:val="20"/>
          <w:lang w:val="es-ES"/>
        </w:rPr>
        <w:t xml:space="preserve">río </w:t>
      </w:r>
      <w:r w:rsidRPr="00926E61">
        <w:rPr>
          <w:rStyle w:val="Strong"/>
          <w:rFonts w:ascii="Verdana" w:hAnsi="Verdana"/>
          <w:b w:val="0"/>
          <w:sz w:val="20"/>
          <w:szCs w:val="20"/>
          <w:lang w:val="es-ES"/>
        </w:rPr>
        <w:t xml:space="preserve"> Marowijne, por lo que la mayoría de combates ocurrieron en ese enclave.</w:t>
      </w:r>
      <w:r w:rsidRPr="00262413">
        <w:rPr>
          <w:rStyle w:val="Strong"/>
          <w:rFonts w:ascii="Verdana" w:hAnsi="Verdana"/>
          <w:sz w:val="20"/>
          <w:szCs w:val="20"/>
          <w:lang w:val="es-ES"/>
        </w:rPr>
        <w:t xml:space="preserve"> </w:t>
      </w:r>
      <w:r w:rsidRPr="00262413">
        <w:rPr>
          <w:rFonts w:ascii="Verdana" w:hAnsi="Verdana"/>
          <w:sz w:val="20"/>
          <w:szCs w:val="20"/>
          <w:lang w:val="es-CR"/>
        </w:rPr>
        <w:t>Durante el período comprendido entre 1986 y 1987, aproximadamente 15,000 personas huyeron de la zona de combate a la ciudad capital, Paramaribo, y otras 8,500 escaparon a la Guyana Francesa, de los cuales aproximadamente 1,000 eran indígenas</w:t>
      </w:r>
      <w:r w:rsidRPr="00262413">
        <w:rPr>
          <w:rStyle w:val="FootnoteReference"/>
          <w:bCs/>
          <w:szCs w:val="20"/>
          <w:lang w:val="es-ES"/>
        </w:rPr>
        <w:footnoteReference w:id="49"/>
      </w:r>
      <w:r w:rsidRPr="00926E61">
        <w:rPr>
          <w:rStyle w:val="Strong"/>
          <w:rFonts w:ascii="Verdana" w:hAnsi="Verdana"/>
          <w:b w:val="0"/>
          <w:sz w:val="20"/>
          <w:szCs w:val="20"/>
          <w:lang w:val="es-ES"/>
        </w:rPr>
        <w:t>.</w:t>
      </w:r>
      <w:r w:rsidRPr="00262413">
        <w:rPr>
          <w:rStyle w:val="Strong"/>
          <w:rFonts w:ascii="Verdana" w:hAnsi="Verdana"/>
          <w:sz w:val="20"/>
          <w:szCs w:val="20"/>
          <w:lang w:val="es-ES"/>
        </w:rPr>
        <w:t xml:space="preserve"> </w:t>
      </w:r>
      <w:r w:rsidRPr="00926E61">
        <w:rPr>
          <w:rStyle w:val="Strong"/>
          <w:rFonts w:ascii="Verdana" w:hAnsi="Verdana"/>
          <w:b w:val="0"/>
          <w:sz w:val="20"/>
          <w:szCs w:val="20"/>
          <w:lang w:val="es-ES"/>
        </w:rPr>
        <w:t xml:space="preserve">De esta forma, los sucesos acaecidos entre 1986 y 1992 tuvieron un impacto directo en la vida de los </w:t>
      </w:r>
      <w:r w:rsidR="00382F4D">
        <w:rPr>
          <w:rStyle w:val="Strong"/>
          <w:rFonts w:ascii="Verdana" w:hAnsi="Verdana"/>
          <w:b w:val="0"/>
          <w:sz w:val="20"/>
          <w:szCs w:val="20"/>
          <w:lang w:val="es-ES"/>
        </w:rPr>
        <w:t>Pueblos Kaliña y Lokono</w:t>
      </w:r>
      <w:r w:rsidRPr="00926E61">
        <w:rPr>
          <w:rStyle w:val="Strong"/>
          <w:rFonts w:ascii="Verdana" w:hAnsi="Verdana"/>
          <w:b w:val="0"/>
          <w:sz w:val="20"/>
          <w:szCs w:val="20"/>
          <w:lang w:val="es-ES"/>
        </w:rPr>
        <w:t xml:space="preserve"> en la región, ya que se dio la destrucción, quema y saqueo de casas, escuelas, clínicas y oficinas estatales. No obstante, el Acuerdo de Paz de Lelydorp de 1992, que puso fin al conflicto, tuvo como consecuencia que muchos de los antiguos habitantes regresaran a la zona de Albina, así como nuevos residentes y un aumento de turistas en la región</w:t>
      </w:r>
      <w:r w:rsidR="008A4ABB" w:rsidRPr="007E20F9">
        <w:rPr>
          <w:rStyle w:val="FootnoteReference"/>
          <w:bCs/>
          <w:szCs w:val="20"/>
          <w:lang w:val="es-ES"/>
        </w:rPr>
        <w:footnoteReference w:id="50"/>
      </w:r>
      <w:r w:rsidRPr="00AF148A">
        <w:rPr>
          <w:rStyle w:val="Strong"/>
          <w:rFonts w:ascii="Verdana" w:hAnsi="Verdana"/>
          <w:b w:val="0"/>
          <w:sz w:val="20"/>
          <w:szCs w:val="20"/>
          <w:lang w:val="es-ES"/>
        </w:rPr>
        <w:t>.</w:t>
      </w:r>
      <w:r w:rsidRPr="00262413">
        <w:rPr>
          <w:rStyle w:val="Strong"/>
          <w:rFonts w:ascii="Verdana" w:hAnsi="Verdana"/>
          <w:sz w:val="20"/>
          <w:szCs w:val="20"/>
          <w:lang w:val="es-ES"/>
        </w:rPr>
        <w:t xml:space="preserve"> </w:t>
      </w:r>
    </w:p>
    <w:p w14:paraId="626BCD36" w14:textId="77777777" w:rsidR="00926E61" w:rsidRPr="00476874" w:rsidRDefault="00926E61" w:rsidP="00926E61">
      <w:pPr>
        <w:pStyle w:val="ListParagraph"/>
        <w:ind w:left="0"/>
        <w:jc w:val="both"/>
        <w:rPr>
          <w:rStyle w:val="Strong"/>
          <w:rFonts w:ascii="Verdana" w:hAnsi="Verdana"/>
          <w:b w:val="0"/>
          <w:sz w:val="20"/>
          <w:szCs w:val="20"/>
          <w:lang w:val="es-ES"/>
        </w:rPr>
      </w:pPr>
    </w:p>
    <w:p w14:paraId="5CAC8A4D" w14:textId="77777777" w:rsidR="00926E61" w:rsidRPr="00E26926" w:rsidRDefault="00926E61" w:rsidP="00E26926">
      <w:pPr>
        <w:pStyle w:val="Heading2"/>
        <w:numPr>
          <w:ilvl w:val="0"/>
          <w:numId w:val="10"/>
        </w:numPr>
        <w:spacing w:before="0"/>
        <w:jc w:val="both"/>
        <w:rPr>
          <w:rFonts w:ascii="Verdana" w:hAnsi="Verdana"/>
          <w:bCs w:val="0"/>
          <w:i/>
          <w:color w:val="auto"/>
          <w:sz w:val="20"/>
          <w:szCs w:val="20"/>
        </w:rPr>
      </w:pPr>
      <w:bookmarkStart w:id="18" w:name="_Toc441666159"/>
      <w:r w:rsidRPr="00E26926">
        <w:rPr>
          <w:rFonts w:ascii="Verdana" w:hAnsi="Verdana"/>
          <w:bCs w:val="0"/>
          <w:i/>
          <w:color w:val="auto"/>
          <w:sz w:val="20"/>
          <w:szCs w:val="20"/>
        </w:rPr>
        <w:t xml:space="preserve">Asentamientos </w:t>
      </w:r>
      <w:r w:rsidR="006D4D2C">
        <w:rPr>
          <w:rFonts w:ascii="Verdana" w:hAnsi="Verdana"/>
          <w:bCs w:val="0"/>
          <w:i/>
          <w:color w:val="auto"/>
          <w:sz w:val="20"/>
          <w:szCs w:val="20"/>
        </w:rPr>
        <w:t>maroon</w:t>
      </w:r>
      <w:r w:rsidR="00F57D87">
        <w:rPr>
          <w:rFonts w:ascii="Verdana" w:hAnsi="Verdana"/>
          <w:bCs w:val="0"/>
          <w:i/>
          <w:color w:val="auto"/>
          <w:sz w:val="20"/>
          <w:szCs w:val="20"/>
        </w:rPr>
        <w:t>s</w:t>
      </w:r>
      <w:r w:rsidRPr="00E26926">
        <w:rPr>
          <w:rFonts w:ascii="Verdana" w:hAnsi="Verdana"/>
          <w:bCs w:val="0"/>
          <w:i/>
          <w:color w:val="auto"/>
          <w:sz w:val="20"/>
          <w:szCs w:val="20"/>
        </w:rPr>
        <w:t xml:space="preserve"> en el territorio</w:t>
      </w:r>
      <w:r w:rsidR="00156905">
        <w:rPr>
          <w:rFonts w:ascii="Verdana" w:hAnsi="Verdana"/>
          <w:bCs w:val="0"/>
          <w:i/>
          <w:color w:val="auto"/>
          <w:sz w:val="20"/>
          <w:szCs w:val="20"/>
        </w:rPr>
        <w:t xml:space="preserve"> reclamado como</w:t>
      </w:r>
      <w:r w:rsidRPr="00E26926">
        <w:rPr>
          <w:rFonts w:ascii="Verdana" w:hAnsi="Verdana"/>
          <w:bCs w:val="0"/>
          <w:i/>
          <w:color w:val="auto"/>
          <w:sz w:val="20"/>
          <w:szCs w:val="20"/>
        </w:rPr>
        <w:t xml:space="preserve"> ancestral </w:t>
      </w:r>
      <w:r w:rsidR="00AF148A">
        <w:rPr>
          <w:rFonts w:ascii="Verdana" w:hAnsi="Verdana"/>
          <w:bCs w:val="0"/>
          <w:i/>
          <w:color w:val="auto"/>
          <w:sz w:val="20"/>
          <w:szCs w:val="20"/>
        </w:rPr>
        <w:t>por</w:t>
      </w:r>
      <w:r w:rsidR="00AF148A" w:rsidRPr="00E26926">
        <w:rPr>
          <w:rFonts w:ascii="Verdana" w:hAnsi="Verdana"/>
          <w:bCs w:val="0"/>
          <w:i/>
          <w:color w:val="auto"/>
          <w:sz w:val="20"/>
          <w:szCs w:val="20"/>
        </w:rPr>
        <w:t xml:space="preserve"> </w:t>
      </w:r>
      <w:r w:rsidRPr="00E26926">
        <w:rPr>
          <w:rFonts w:ascii="Verdana" w:hAnsi="Verdana"/>
          <w:bCs w:val="0"/>
          <w:i/>
          <w:color w:val="auto"/>
          <w:sz w:val="20"/>
          <w:szCs w:val="20"/>
        </w:rPr>
        <w:t xml:space="preserve">los </w:t>
      </w:r>
      <w:r w:rsidR="00382F4D">
        <w:rPr>
          <w:rFonts w:ascii="Verdana" w:hAnsi="Verdana"/>
          <w:bCs w:val="0"/>
          <w:i/>
          <w:color w:val="auto"/>
          <w:sz w:val="20"/>
          <w:szCs w:val="20"/>
        </w:rPr>
        <w:t>Pueblos Kaliña y Lokono</w:t>
      </w:r>
      <w:bookmarkEnd w:id="18"/>
    </w:p>
    <w:p w14:paraId="62428536" w14:textId="77777777" w:rsidR="00926E61" w:rsidRPr="00262413" w:rsidRDefault="00926E61" w:rsidP="00926E61">
      <w:pPr>
        <w:jc w:val="both"/>
        <w:rPr>
          <w:rStyle w:val="Strong"/>
          <w:rFonts w:ascii="Verdana" w:hAnsi="Verdana"/>
          <w:b w:val="0"/>
          <w:sz w:val="20"/>
          <w:szCs w:val="20"/>
          <w:lang w:val="es-ES"/>
        </w:rPr>
      </w:pPr>
    </w:p>
    <w:p w14:paraId="2CFD4F45" w14:textId="77777777" w:rsidR="00926E61" w:rsidRPr="00476874" w:rsidRDefault="009B6F40" w:rsidP="00B935FA">
      <w:pPr>
        <w:pStyle w:val="ListParagraph"/>
        <w:numPr>
          <w:ilvl w:val="0"/>
          <w:numId w:val="2"/>
        </w:numPr>
        <w:ind w:left="0" w:hanging="11"/>
        <w:jc w:val="both"/>
        <w:rPr>
          <w:rFonts w:ascii="Verdana" w:hAnsi="Verdana"/>
          <w:sz w:val="20"/>
          <w:szCs w:val="20"/>
          <w:lang w:val="es-CR"/>
        </w:rPr>
      </w:pPr>
      <w:r>
        <w:rPr>
          <w:rStyle w:val="Strong"/>
          <w:rFonts w:ascii="Verdana" w:hAnsi="Verdana"/>
          <w:b w:val="0"/>
          <w:sz w:val="20"/>
          <w:szCs w:val="20"/>
          <w:lang w:val="es-ES"/>
        </w:rPr>
        <w:t xml:space="preserve">Al momento de presentar sus alegatos finales escritos, el Estado informó a la Corte que en el territorio que reclamaban los </w:t>
      </w:r>
      <w:r w:rsidR="00382F4D">
        <w:rPr>
          <w:rStyle w:val="Strong"/>
          <w:rFonts w:ascii="Verdana" w:hAnsi="Verdana"/>
          <w:b w:val="0"/>
          <w:sz w:val="20"/>
          <w:szCs w:val="20"/>
          <w:lang w:val="es-ES"/>
        </w:rPr>
        <w:t>Pueblos Kaliña y Lokono</w:t>
      </w:r>
      <w:r>
        <w:rPr>
          <w:rStyle w:val="Strong"/>
          <w:rFonts w:ascii="Verdana" w:hAnsi="Verdana"/>
          <w:b w:val="0"/>
          <w:sz w:val="20"/>
          <w:szCs w:val="20"/>
          <w:lang w:val="es-ES"/>
        </w:rPr>
        <w:t xml:space="preserve"> en el presente caso habitan </w:t>
      </w:r>
      <w:r w:rsidR="00D2614E">
        <w:rPr>
          <w:rStyle w:val="Strong"/>
          <w:rFonts w:ascii="Verdana" w:hAnsi="Verdana"/>
          <w:b w:val="0"/>
          <w:sz w:val="20"/>
          <w:szCs w:val="20"/>
          <w:lang w:val="es-ES"/>
        </w:rPr>
        <w:t>también</w:t>
      </w:r>
      <w:r>
        <w:rPr>
          <w:rStyle w:val="Strong"/>
          <w:rFonts w:ascii="Verdana" w:hAnsi="Verdana"/>
          <w:b w:val="0"/>
          <w:sz w:val="20"/>
          <w:szCs w:val="20"/>
          <w:lang w:val="es-ES"/>
        </w:rPr>
        <w:t xml:space="preserve"> comunidades </w:t>
      </w:r>
      <w:r w:rsidR="006D4D2C">
        <w:rPr>
          <w:rStyle w:val="Strong"/>
          <w:rFonts w:ascii="Verdana" w:hAnsi="Verdana"/>
          <w:b w:val="0"/>
          <w:sz w:val="20"/>
          <w:szCs w:val="20"/>
          <w:lang w:val="es-ES"/>
        </w:rPr>
        <w:t>maroon</w:t>
      </w:r>
      <w:r w:rsidR="00F57D87">
        <w:rPr>
          <w:rStyle w:val="Strong"/>
          <w:rFonts w:ascii="Verdana" w:hAnsi="Verdana"/>
          <w:b w:val="0"/>
          <w:sz w:val="20"/>
          <w:szCs w:val="20"/>
          <w:lang w:val="es-ES"/>
        </w:rPr>
        <w:t>s</w:t>
      </w:r>
      <w:r w:rsidR="00C15E08">
        <w:rPr>
          <w:rStyle w:val="FootnoteReference"/>
          <w:bCs/>
          <w:szCs w:val="20"/>
          <w:lang w:val="es-ES"/>
        </w:rPr>
        <w:footnoteReference w:id="51"/>
      </w:r>
      <w:r>
        <w:rPr>
          <w:rStyle w:val="Strong"/>
          <w:rFonts w:ascii="Verdana" w:hAnsi="Verdana"/>
          <w:b w:val="0"/>
          <w:sz w:val="20"/>
          <w:szCs w:val="20"/>
          <w:lang w:val="es-ES"/>
        </w:rPr>
        <w:t xml:space="preserve">. </w:t>
      </w:r>
      <w:r w:rsidR="00407605">
        <w:rPr>
          <w:rStyle w:val="Strong"/>
          <w:rFonts w:ascii="Verdana" w:hAnsi="Verdana"/>
          <w:b w:val="0"/>
          <w:sz w:val="20"/>
          <w:szCs w:val="20"/>
          <w:lang w:val="es-ES"/>
        </w:rPr>
        <w:t>En este sentido, d</w:t>
      </w:r>
      <w:r w:rsidR="00926E61" w:rsidRPr="00926E61">
        <w:rPr>
          <w:rStyle w:val="Strong"/>
          <w:rFonts w:ascii="Verdana" w:hAnsi="Verdana"/>
          <w:b w:val="0"/>
          <w:sz w:val="20"/>
          <w:szCs w:val="20"/>
          <w:lang w:val="es-ES"/>
        </w:rPr>
        <w:t xml:space="preserve">urante la diligencia </w:t>
      </w:r>
      <w:r w:rsidR="00926E61" w:rsidRPr="00926E61">
        <w:rPr>
          <w:rStyle w:val="Strong"/>
          <w:rFonts w:ascii="Verdana" w:hAnsi="Verdana"/>
          <w:b w:val="0"/>
          <w:i/>
          <w:sz w:val="20"/>
          <w:szCs w:val="20"/>
          <w:lang w:val="es-ES"/>
        </w:rPr>
        <w:t>in situ</w:t>
      </w:r>
      <w:r w:rsidR="00926E61" w:rsidRPr="00926E61">
        <w:rPr>
          <w:rStyle w:val="Strong"/>
          <w:rFonts w:ascii="Verdana" w:hAnsi="Verdana"/>
          <w:b w:val="0"/>
          <w:sz w:val="20"/>
          <w:szCs w:val="20"/>
          <w:lang w:val="es-ES"/>
        </w:rPr>
        <w:t xml:space="preserve"> la Corte constató que el territorio que es reclamado por los </w:t>
      </w:r>
      <w:r w:rsidR="00382F4D">
        <w:rPr>
          <w:rStyle w:val="Strong"/>
          <w:rFonts w:ascii="Verdana" w:hAnsi="Verdana"/>
          <w:b w:val="0"/>
          <w:sz w:val="20"/>
          <w:szCs w:val="20"/>
          <w:lang w:val="es-ES"/>
        </w:rPr>
        <w:t>Pueblos Kaliña y Lokono</w:t>
      </w:r>
      <w:r w:rsidR="00926E61" w:rsidRPr="00926E61">
        <w:rPr>
          <w:rStyle w:val="Strong"/>
          <w:rFonts w:ascii="Verdana" w:hAnsi="Verdana"/>
          <w:b w:val="0"/>
          <w:sz w:val="20"/>
          <w:szCs w:val="20"/>
          <w:lang w:val="es-ES"/>
        </w:rPr>
        <w:t xml:space="preserve"> limita en distintas zonas con asentamientos de la tribu N´djuka maroon</w:t>
      </w:r>
      <w:r w:rsidR="00926E61" w:rsidRPr="00926E61">
        <w:rPr>
          <w:rStyle w:val="FootnoteReference"/>
          <w:bCs/>
          <w:szCs w:val="20"/>
          <w:lang w:val="es-ES"/>
        </w:rPr>
        <w:footnoteReference w:id="52"/>
      </w:r>
      <w:r w:rsidR="00926E61" w:rsidRPr="00926E61">
        <w:rPr>
          <w:rStyle w:val="Strong"/>
          <w:rFonts w:ascii="Verdana" w:hAnsi="Verdana"/>
          <w:b w:val="0"/>
          <w:sz w:val="20"/>
          <w:szCs w:val="20"/>
          <w:lang w:val="es-ES"/>
        </w:rPr>
        <w:t xml:space="preserve">. Al respecto, </w:t>
      </w:r>
      <w:r w:rsidR="00926E61" w:rsidRPr="004D5C3E">
        <w:rPr>
          <w:rFonts w:ascii="Verdana" w:hAnsi="Verdana"/>
          <w:sz w:val="20"/>
          <w:szCs w:val="20"/>
          <w:lang w:val="es-CR"/>
        </w:rPr>
        <w:t xml:space="preserve">en el </w:t>
      </w:r>
      <w:r w:rsidR="00926E61" w:rsidRPr="00926E61">
        <w:rPr>
          <w:rStyle w:val="Strong"/>
          <w:rFonts w:ascii="Verdana" w:hAnsi="Verdana"/>
          <w:b w:val="0"/>
          <w:i/>
          <w:sz w:val="20"/>
          <w:szCs w:val="20"/>
          <w:lang w:val="es-ES"/>
        </w:rPr>
        <w:t xml:space="preserve">Caso de la Comunidad Moiwana Vs. </w:t>
      </w:r>
      <w:r w:rsidR="00563E11">
        <w:rPr>
          <w:rStyle w:val="Strong"/>
          <w:rFonts w:ascii="Verdana" w:hAnsi="Verdana"/>
          <w:b w:val="0"/>
          <w:i/>
          <w:sz w:val="20"/>
          <w:szCs w:val="20"/>
          <w:lang w:val="es-ES"/>
        </w:rPr>
        <w:t>Surinam</w:t>
      </w:r>
      <w:r w:rsidR="00926E61" w:rsidRPr="00926E61">
        <w:rPr>
          <w:rStyle w:val="Strong"/>
          <w:rFonts w:ascii="Verdana" w:hAnsi="Verdana"/>
          <w:b w:val="0"/>
          <w:sz w:val="20"/>
          <w:szCs w:val="20"/>
          <w:lang w:val="es-ES"/>
        </w:rPr>
        <w:t>, la Corte observó que</w:t>
      </w:r>
      <w:r w:rsidR="00926E61" w:rsidRPr="00926E61">
        <w:rPr>
          <w:rStyle w:val="Strong"/>
          <w:rFonts w:ascii="Verdana" w:hAnsi="Verdana"/>
          <w:b w:val="0"/>
          <w:i/>
          <w:sz w:val="20"/>
          <w:szCs w:val="20"/>
          <w:lang w:val="es-ES"/>
        </w:rPr>
        <w:t xml:space="preserve"> </w:t>
      </w:r>
      <w:r w:rsidR="00926E61" w:rsidRPr="00262413">
        <w:rPr>
          <w:rFonts w:ascii="Verdana" w:hAnsi="Verdana"/>
          <w:sz w:val="20"/>
          <w:szCs w:val="20"/>
          <w:lang w:val="es-CR"/>
        </w:rPr>
        <w:t xml:space="preserve">las tierras tradicionales de los N’djuka </w:t>
      </w:r>
      <w:r w:rsidR="006D4D2C">
        <w:rPr>
          <w:rFonts w:ascii="Verdana" w:hAnsi="Verdana"/>
          <w:sz w:val="20"/>
          <w:szCs w:val="20"/>
          <w:lang w:val="es-CR"/>
        </w:rPr>
        <w:t>maroon</w:t>
      </w:r>
      <w:r w:rsidR="00F57D87">
        <w:rPr>
          <w:rFonts w:ascii="Verdana" w:hAnsi="Verdana"/>
          <w:sz w:val="20"/>
          <w:szCs w:val="20"/>
          <w:lang w:val="es-CR"/>
        </w:rPr>
        <w:t>s</w:t>
      </w:r>
      <w:r w:rsidR="00926E61" w:rsidRPr="00262413">
        <w:rPr>
          <w:rFonts w:ascii="Verdana" w:hAnsi="Verdana"/>
          <w:sz w:val="20"/>
          <w:szCs w:val="20"/>
          <w:lang w:val="es-CR"/>
        </w:rPr>
        <w:t xml:space="preserve"> se extienden a lo largo de los ríos Tapanahoni y Cottica</w:t>
      </w:r>
      <w:r w:rsidR="00926E61" w:rsidRPr="00262413">
        <w:rPr>
          <w:rStyle w:val="FootnoteReference"/>
          <w:szCs w:val="20"/>
          <w:lang w:val="es-CR"/>
        </w:rPr>
        <w:footnoteReference w:id="53"/>
      </w:r>
      <w:r w:rsidR="00926E61" w:rsidRPr="00262413">
        <w:rPr>
          <w:rFonts w:ascii="Verdana" w:hAnsi="Verdana"/>
          <w:sz w:val="20"/>
          <w:szCs w:val="20"/>
          <w:lang w:val="es-CR"/>
        </w:rPr>
        <w:t>.</w:t>
      </w:r>
      <w:r w:rsidR="00926E61" w:rsidRPr="00476874">
        <w:rPr>
          <w:rFonts w:ascii="Verdana" w:hAnsi="Verdana"/>
          <w:sz w:val="20"/>
          <w:szCs w:val="20"/>
          <w:lang w:val="es-CR"/>
        </w:rPr>
        <w:t xml:space="preserve"> </w:t>
      </w:r>
    </w:p>
    <w:p w14:paraId="0CD6DE11" w14:textId="77777777" w:rsidR="00065894" w:rsidRDefault="00065894" w:rsidP="00926E61">
      <w:pPr>
        <w:pStyle w:val="ListParagraph"/>
        <w:ind w:left="0"/>
        <w:jc w:val="both"/>
        <w:rPr>
          <w:rFonts w:ascii="Verdana" w:hAnsi="Verdana"/>
          <w:sz w:val="20"/>
          <w:szCs w:val="20"/>
          <w:lang w:val="es-CR"/>
        </w:rPr>
      </w:pPr>
    </w:p>
    <w:p w14:paraId="2A11D70B" w14:textId="77777777" w:rsidR="00D2614E" w:rsidRPr="00D2614E" w:rsidRDefault="00D2614E" w:rsidP="00D2614E">
      <w:pPr>
        <w:pStyle w:val="ListParagraph"/>
        <w:numPr>
          <w:ilvl w:val="0"/>
          <w:numId w:val="2"/>
        </w:numPr>
        <w:ind w:left="0" w:hanging="11"/>
        <w:jc w:val="both"/>
        <w:rPr>
          <w:rFonts w:ascii="Verdana" w:hAnsi="Verdana"/>
          <w:sz w:val="20"/>
          <w:szCs w:val="20"/>
          <w:lang w:val="es-CR"/>
        </w:rPr>
      </w:pPr>
      <w:r w:rsidRPr="00D2614E">
        <w:rPr>
          <w:rFonts w:ascii="Verdana" w:hAnsi="Verdana"/>
          <w:sz w:val="20"/>
          <w:szCs w:val="20"/>
          <w:lang w:val="es-CR"/>
        </w:rPr>
        <w:t xml:space="preserve">Sobre lo anterior, el Estado señaló, durante la diligencia </w:t>
      </w:r>
      <w:r w:rsidRPr="00710FCB">
        <w:rPr>
          <w:rFonts w:ascii="Verdana" w:hAnsi="Verdana"/>
          <w:i/>
          <w:sz w:val="20"/>
          <w:lang w:val="es-CR"/>
        </w:rPr>
        <w:t>in situ</w:t>
      </w:r>
      <w:r w:rsidRPr="00D2614E">
        <w:rPr>
          <w:rFonts w:ascii="Verdana" w:hAnsi="Verdana"/>
          <w:sz w:val="20"/>
          <w:szCs w:val="20"/>
          <w:lang w:val="es-CR"/>
        </w:rPr>
        <w:t xml:space="preserve"> y en sus observaciones escritas al respecto,</w:t>
      </w:r>
      <w:r w:rsidRPr="0014074B">
        <w:rPr>
          <w:rFonts w:ascii="Verdana" w:hAnsi="Verdana"/>
          <w:sz w:val="20"/>
          <w:szCs w:val="20"/>
          <w:lang w:val="es-CR"/>
        </w:rPr>
        <w:t xml:space="preserve"> que en el área reclamada por los </w:t>
      </w:r>
      <w:r w:rsidR="00382F4D">
        <w:rPr>
          <w:rFonts w:ascii="Verdana" w:hAnsi="Verdana"/>
          <w:sz w:val="20"/>
          <w:szCs w:val="20"/>
          <w:lang w:val="es-CR"/>
        </w:rPr>
        <w:t>Pueblos Kaliña y Lokono</w:t>
      </w:r>
      <w:r w:rsidRPr="0014074B">
        <w:rPr>
          <w:rFonts w:ascii="Verdana" w:hAnsi="Verdana"/>
          <w:sz w:val="20"/>
          <w:szCs w:val="20"/>
          <w:lang w:val="es-CR"/>
        </w:rPr>
        <w:t xml:space="preserve"> se encontraban </w:t>
      </w:r>
      <w:r w:rsidR="006D4D2C">
        <w:rPr>
          <w:rFonts w:ascii="Verdana" w:hAnsi="Verdana"/>
          <w:sz w:val="20"/>
          <w:szCs w:val="20"/>
          <w:lang w:val="es-CR"/>
        </w:rPr>
        <w:t>maroon</w:t>
      </w:r>
      <w:r w:rsidR="00F57D87">
        <w:rPr>
          <w:rFonts w:ascii="Verdana" w:hAnsi="Verdana"/>
          <w:sz w:val="20"/>
          <w:szCs w:val="20"/>
          <w:lang w:val="es-CR"/>
        </w:rPr>
        <w:t>s</w:t>
      </w:r>
      <w:r w:rsidRPr="0014074B">
        <w:rPr>
          <w:rFonts w:ascii="Verdana" w:hAnsi="Verdana"/>
          <w:sz w:val="20"/>
          <w:szCs w:val="20"/>
          <w:lang w:val="es-CR"/>
        </w:rPr>
        <w:t xml:space="preserve"> que habitaban en los siguientes asentamientos: 1) Albina; 2) Papatam; 3) Mankele Kampu; 4) Maria Kondre; 5) Eduard Kondre; 6) Bamboesie; 7) Onikai Kondre; 8) Manja Bong; 9) Kronto Kondre; 10) Boni Kondre o Baa Joebe kampoe; 11) Moengo Tapu; 12) Adjuma Kondre; 13) Nengre Kriki; 14) Bilo Kondre; 15) Akoloikondre; 16) Baajoebkampu; 17) Solegakampu, y 18) Brunswijkkampu. Asimismo, </w:t>
      </w:r>
      <w:r w:rsidR="00A84F18">
        <w:rPr>
          <w:rFonts w:ascii="Verdana" w:hAnsi="Verdana"/>
          <w:sz w:val="20"/>
          <w:szCs w:val="20"/>
          <w:lang w:val="es-CR"/>
        </w:rPr>
        <w:t>indicó</w:t>
      </w:r>
      <w:r w:rsidRPr="0014074B">
        <w:rPr>
          <w:rFonts w:ascii="Verdana" w:hAnsi="Verdana"/>
          <w:sz w:val="20"/>
          <w:szCs w:val="20"/>
          <w:lang w:val="es-CR"/>
        </w:rPr>
        <w:t xml:space="preserve"> que existen más asentam</w:t>
      </w:r>
      <w:r w:rsidRPr="00D2614E">
        <w:rPr>
          <w:rFonts w:ascii="Verdana" w:hAnsi="Verdana"/>
          <w:sz w:val="20"/>
          <w:szCs w:val="20"/>
          <w:lang w:val="es-CR"/>
        </w:rPr>
        <w:t xml:space="preserve">ientos </w:t>
      </w:r>
      <w:r w:rsidR="006D4D2C">
        <w:rPr>
          <w:rFonts w:ascii="Verdana" w:hAnsi="Verdana"/>
          <w:sz w:val="20"/>
          <w:szCs w:val="20"/>
          <w:lang w:val="es-CR"/>
        </w:rPr>
        <w:lastRenderedPageBreak/>
        <w:t>maroon</w:t>
      </w:r>
      <w:r w:rsidR="00F57D87">
        <w:rPr>
          <w:rFonts w:ascii="Verdana" w:hAnsi="Verdana"/>
          <w:sz w:val="20"/>
          <w:szCs w:val="20"/>
          <w:lang w:val="es-CR"/>
        </w:rPr>
        <w:t>s</w:t>
      </w:r>
      <w:r w:rsidRPr="00D2614E">
        <w:rPr>
          <w:rFonts w:ascii="Verdana" w:hAnsi="Verdana"/>
          <w:sz w:val="20"/>
          <w:szCs w:val="20"/>
          <w:lang w:val="es-CR"/>
        </w:rPr>
        <w:t xml:space="preserve"> en el territorio reclamado, pero que no pudieron ser señalados porque el mapa aportado por los representantes durante la audiencia pública era impreciso.</w:t>
      </w:r>
    </w:p>
    <w:p w14:paraId="09738290" w14:textId="77777777" w:rsidR="00D2614E" w:rsidRPr="00D2614E" w:rsidRDefault="00D2614E" w:rsidP="00D2614E">
      <w:pPr>
        <w:pStyle w:val="ListParagraph"/>
        <w:ind w:left="0"/>
        <w:jc w:val="both"/>
        <w:rPr>
          <w:rFonts w:ascii="Verdana" w:hAnsi="Verdana"/>
          <w:sz w:val="20"/>
          <w:szCs w:val="20"/>
          <w:lang w:val="es-CR"/>
        </w:rPr>
      </w:pPr>
    </w:p>
    <w:p w14:paraId="2F647F51" w14:textId="77777777" w:rsidR="00A84F18" w:rsidRPr="00D2614E" w:rsidRDefault="00D2614E" w:rsidP="00A84F18">
      <w:pPr>
        <w:pStyle w:val="ListParagraph"/>
        <w:numPr>
          <w:ilvl w:val="0"/>
          <w:numId w:val="2"/>
        </w:numPr>
        <w:ind w:left="0" w:hanging="11"/>
        <w:jc w:val="both"/>
        <w:rPr>
          <w:rFonts w:ascii="Verdana" w:hAnsi="Verdana"/>
          <w:sz w:val="20"/>
          <w:szCs w:val="20"/>
        </w:rPr>
      </w:pPr>
      <w:r w:rsidRPr="00D2614E">
        <w:rPr>
          <w:rFonts w:ascii="Verdana" w:hAnsi="Verdana"/>
          <w:sz w:val="20"/>
          <w:szCs w:val="20"/>
          <w:lang w:val="es-CR"/>
        </w:rPr>
        <w:t xml:space="preserve">En relación con lo anterior, los representantes manifestaron en sus observaciones escritas a la diligencia </w:t>
      </w:r>
      <w:r w:rsidRPr="00D2614E">
        <w:rPr>
          <w:rFonts w:ascii="Verdana" w:hAnsi="Verdana"/>
          <w:i/>
          <w:sz w:val="20"/>
          <w:szCs w:val="20"/>
          <w:lang w:val="es-CR"/>
        </w:rPr>
        <w:t>in situ</w:t>
      </w:r>
      <w:r w:rsidRPr="00D2614E">
        <w:rPr>
          <w:rFonts w:ascii="Verdana" w:hAnsi="Verdana"/>
          <w:sz w:val="20"/>
          <w:szCs w:val="20"/>
          <w:lang w:val="es-CR"/>
        </w:rPr>
        <w:t xml:space="preserve"> </w:t>
      </w:r>
      <w:r w:rsidRPr="0014074B">
        <w:rPr>
          <w:rFonts w:ascii="Verdana" w:hAnsi="Verdana"/>
          <w:sz w:val="20"/>
          <w:szCs w:val="20"/>
          <w:lang w:val="es-CR"/>
        </w:rPr>
        <w:t xml:space="preserve">que </w:t>
      </w:r>
      <w:r w:rsidRPr="00366D91">
        <w:rPr>
          <w:rStyle w:val="Strong"/>
          <w:rFonts w:ascii="Verdana" w:hAnsi="Verdana"/>
          <w:b w:val="0"/>
          <w:sz w:val="20"/>
          <w:szCs w:val="20"/>
        </w:rPr>
        <w:t>el territorio que se encontraba al sur del río</w:t>
      </w:r>
      <w:r w:rsidRPr="00366D91">
        <w:rPr>
          <w:rStyle w:val="Strong"/>
          <w:rFonts w:ascii="Verdana" w:hAnsi="Verdana"/>
          <w:b w:val="0"/>
          <w:sz w:val="20"/>
        </w:rPr>
        <w:t xml:space="preserve"> Anjoemara Creek</w:t>
      </w:r>
      <w:r w:rsidRPr="00366D91">
        <w:rPr>
          <w:rStyle w:val="Strong"/>
          <w:rFonts w:ascii="Verdana" w:hAnsi="Verdana"/>
          <w:b w:val="0"/>
          <w:sz w:val="20"/>
          <w:szCs w:val="20"/>
        </w:rPr>
        <w:t xml:space="preserve"> y al norte del río</w:t>
      </w:r>
      <w:r w:rsidRPr="00366D91">
        <w:rPr>
          <w:rStyle w:val="Strong"/>
          <w:rFonts w:ascii="Verdana" w:hAnsi="Verdana"/>
          <w:b w:val="0"/>
          <w:sz w:val="20"/>
        </w:rPr>
        <w:t xml:space="preserve"> Aloemada Creek</w:t>
      </w:r>
      <w:r w:rsidRPr="00D2614E">
        <w:rPr>
          <w:rStyle w:val="FootnoteReference"/>
          <w:bCs/>
          <w:szCs w:val="20"/>
          <w:lang w:val="es-ES"/>
        </w:rPr>
        <w:footnoteReference w:id="54"/>
      </w:r>
      <w:r w:rsidRPr="00366D91">
        <w:rPr>
          <w:rStyle w:val="Strong"/>
          <w:rFonts w:ascii="Verdana" w:hAnsi="Verdana"/>
          <w:b w:val="0"/>
          <w:sz w:val="20"/>
          <w:szCs w:val="20"/>
        </w:rPr>
        <w:t xml:space="preserve">, no formaba parte del reclamo del presente caso. En este sentido, los representantes señalaron </w:t>
      </w:r>
      <w:r w:rsidRPr="00D2614E">
        <w:rPr>
          <w:rFonts w:ascii="Verdana" w:hAnsi="Verdana"/>
          <w:sz w:val="20"/>
          <w:szCs w:val="20"/>
          <w:lang w:val="es-CR"/>
        </w:rPr>
        <w:t xml:space="preserve">una lista de los asentamientos relevantes que se encontraban dentro de los límites indicados, y que en consecuencia no formaban parte del territorio sobre el cual los </w:t>
      </w:r>
      <w:r w:rsidR="00382F4D">
        <w:rPr>
          <w:rFonts w:ascii="Verdana" w:hAnsi="Verdana"/>
          <w:sz w:val="20"/>
          <w:szCs w:val="20"/>
          <w:lang w:val="es-CR"/>
        </w:rPr>
        <w:t>Pueblos Kaliña y Lokono</w:t>
      </w:r>
      <w:r w:rsidRPr="0014074B">
        <w:rPr>
          <w:rFonts w:ascii="Verdana" w:hAnsi="Verdana"/>
          <w:sz w:val="20"/>
          <w:szCs w:val="20"/>
          <w:lang w:val="es-CR"/>
        </w:rPr>
        <w:t xml:space="preserve"> alegaban derecho a la propiedad ancestral, a saber: 1) Albina; 2) Papatam; 3) Mankilikampoe; 4) Mariakondre; 5) Eduard</w:t>
      </w:r>
      <w:r w:rsidR="00FD618D">
        <w:rPr>
          <w:rFonts w:ascii="Verdana" w:hAnsi="Verdana"/>
          <w:sz w:val="20"/>
          <w:szCs w:val="20"/>
          <w:lang w:val="es-CR"/>
        </w:rPr>
        <w:t>k</w:t>
      </w:r>
      <w:r w:rsidRPr="0014074B">
        <w:rPr>
          <w:rFonts w:ascii="Verdana" w:hAnsi="Verdana"/>
          <w:sz w:val="20"/>
          <w:szCs w:val="20"/>
          <w:lang w:val="es-CR"/>
        </w:rPr>
        <w:t>ondre; 6) Akoloikondre; 7) Bamb</w:t>
      </w:r>
      <w:r w:rsidR="00635B8D">
        <w:rPr>
          <w:rFonts w:ascii="Verdana" w:hAnsi="Verdana"/>
          <w:sz w:val="20"/>
          <w:szCs w:val="20"/>
          <w:lang w:val="es-CR"/>
        </w:rPr>
        <w:t>oesi</w:t>
      </w:r>
      <w:r w:rsidRPr="0014074B">
        <w:rPr>
          <w:rFonts w:ascii="Verdana" w:hAnsi="Verdana"/>
          <w:sz w:val="20"/>
          <w:szCs w:val="20"/>
          <w:lang w:val="es-CR"/>
        </w:rPr>
        <w:t xml:space="preserve"> y 8) Koni</w:t>
      </w:r>
      <w:r w:rsidRPr="00D2614E">
        <w:rPr>
          <w:rFonts w:ascii="Verdana" w:hAnsi="Verdana"/>
          <w:sz w:val="20"/>
          <w:szCs w:val="20"/>
          <w:lang w:val="es-CR"/>
        </w:rPr>
        <w:t xml:space="preserve">. </w:t>
      </w:r>
      <w:r w:rsidR="00A84F18" w:rsidRPr="00D2614E">
        <w:rPr>
          <w:rFonts w:ascii="Verdana" w:hAnsi="Verdana"/>
          <w:sz w:val="20"/>
          <w:szCs w:val="20"/>
          <w:lang w:val="es-CR"/>
        </w:rPr>
        <w:t xml:space="preserve">Asimismo, indicaron que en las cercanías de la comunidad Lokono de Alfonsdorp se ubicaban los asentamientos </w:t>
      </w:r>
      <w:r w:rsidR="006D4D2C">
        <w:rPr>
          <w:rFonts w:ascii="Verdana" w:hAnsi="Verdana"/>
          <w:sz w:val="20"/>
          <w:szCs w:val="20"/>
          <w:lang w:val="es-CR"/>
        </w:rPr>
        <w:t>maroon</w:t>
      </w:r>
      <w:r w:rsidR="00F57D87">
        <w:rPr>
          <w:rFonts w:ascii="Verdana" w:hAnsi="Verdana"/>
          <w:sz w:val="20"/>
          <w:szCs w:val="20"/>
          <w:lang w:val="es-CR"/>
        </w:rPr>
        <w:t>s</w:t>
      </w:r>
      <w:r w:rsidR="00A84F18" w:rsidRPr="00D2614E">
        <w:rPr>
          <w:rFonts w:ascii="Verdana" w:hAnsi="Verdana"/>
          <w:sz w:val="20"/>
          <w:szCs w:val="20"/>
          <w:lang w:val="es-CR"/>
        </w:rPr>
        <w:t xml:space="preserve"> de </w:t>
      </w:r>
      <w:r w:rsidR="00A84F18">
        <w:rPr>
          <w:rFonts w:ascii="Verdana" w:hAnsi="Verdana"/>
          <w:sz w:val="20"/>
          <w:szCs w:val="20"/>
          <w:lang w:val="es-CR"/>
        </w:rPr>
        <w:t>9</w:t>
      </w:r>
      <w:r w:rsidR="00A84F18" w:rsidRPr="00D2614E">
        <w:rPr>
          <w:rFonts w:ascii="Verdana" w:hAnsi="Verdana"/>
          <w:sz w:val="20"/>
          <w:szCs w:val="20"/>
          <w:lang w:val="es-CR"/>
        </w:rPr>
        <w:t>) Mongo Tapu y 1</w:t>
      </w:r>
      <w:r w:rsidR="00A84F18">
        <w:rPr>
          <w:rFonts w:ascii="Verdana" w:hAnsi="Verdana"/>
          <w:sz w:val="20"/>
          <w:szCs w:val="20"/>
          <w:lang w:val="es-CR"/>
        </w:rPr>
        <w:t>0</w:t>
      </w:r>
      <w:r w:rsidR="00A84F18" w:rsidRPr="00D2614E">
        <w:rPr>
          <w:rFonts w:ascii="Verdana" w:hAnsi="Verdana"/>
          <w:sz w:val="20"/>
          <w:szCs w:val="20"/>
          <w:lang w:val="es-CR"/>
        </w:rPr>
        <w:t xml:space="preserve">) Adjoemakondre, sin embargo estos asentamientos se encontraban fuera del </w:t>
      </w:r>
      <w:r w:rsidR="00A84F18" w:rsidRPr="00D2614E">
        <w:rPr>
          <w:rFonts w:ascii="Verdana" w:hAnsi="Verdana"/>
          <w:sz w:val="20"/>
          <w:szCs w:val="20"/>
        </w:rPr>
        <w:t>territorio ancestral indígena reclamado</w:t>
      </w:r>
      <w:r w:rsidR="00A84F18" w:rsidRPr="00D2614E">
        <w:rPr>
          <w:rStyle w:val="FootnoteReference"/>
          <w:szCs w:val="20"/>
        </w:rPr>
        <w:footnoteReference w:id="55"/>
      </w:r>
      <w:r w:rsidR="00A84F18" w:rsidRPr="00D2614E">
        <w:rPr>
          <w:rFonts w:ascii="Verdana" w:hAnsi="Verdana"/>
          <w:sz w:val="20"/>
          <w:szCs w:val="20"/>
        </w:rPr>
        <w:t>.</w:t>
      </w:r>
    </w:p>
    <w:p w14:paraId="3D751853" w14:textId="77777777" w:rsidR="00A84F18" w:rsidRPr="00D2614E" w:rsidRDefault="00A84F18" w:rsidP="00A84F18">
      <w:pPr>
        <w:pStyle w:val="ListParagraph"/>
        <w:rPr>
          <w:rFonts w:ascii="Verdana" w:hAnsi="Verdana"/>
          <w:sz w:val="20"/>
          <w:szCs w:val="20"/>
        </w:rPr>
      </w:pPr>
    </w:p>
    <w:p w14:paraId="5032F015" w14:textId="2FEAFFF3" w:rsidR="00A84F18" w:rsidRPr="000B6261" w:rsidRDefault="00A84F18" w:rsidP="00A84F18">
      <w:pPr>
        <w:pStyle w:val="ListParagraph"/>
        <w:numPr>
          <w:ilvl w:val="0"/>
          <w:numId w:val="2"/>
        </w:numPr>
        <w:ind w:left="0" w:hanging="11"/>
        <w:jc w:val="both"/>
        <w:rPr>
          <w:rFonts w:ascii="Verdana" w:hAnsi="Verdana"/>
          <w:sz w:val="20"/>
          <w:szCs w:val="20"/>
        </w:rPr>
      </w:pPr>
      <w:r w:rsidRPr="00D2614E">
        <w:rPr>
          <w:rFonts w:ascii="Verdana" w:hAnsi="Verdana"/>
          <w:sz w:val="20"/>
          <w:szCs w:val="20"/>
        </w:rPr>
        <w:t xml:space="preserve">Por otra parte, </w:t>
      </w:r>
      <w:r w:rsidRPr="00D2614E">
        <w:rPr>
          <w:rFonts w:ascii="Verdana" w:hAnsi="Verdana"/>
          <w:sz w:val="20"/>
          <w:szCs w:val="20"/>
          <w:lang w:val="es-CR"/>
        </w:rPr>
        <w:t>los representantes realizaron precisiones sobre varias familias</w:t>
      </w:r>
      <w:r w:rsidR="00F57D87">
        <w:rPr>
          <w:rFonts w:ascii="Verdana" w:hAnsi="Verdana"/>
          <w:sz w:val="20"/>
          <w:szCs w:val="20"/>
          <w:lang w:val="es-CR"/>
        </w:rPr>
        <w:t xml:space="preserve"> </w:t>
      </w:r>
      <w:r w:rsidRPr="00D2614E">
        <w:rPr>
          <w:rFonts w:ascii="Verdana" w:hAnsi="Verdana"/>
          <w:sz w:val="20"/>
          <w:szCs w:val="20"/>
          <w:lang w:val="es-CR"/>
        </w:rPr>
        <w:t xml:space="preserve">de </w:t>
      </w:r>
      <w:r w:rsidR="006D4D2C">
        <w:rPr>
          <w:rFonts w:ascii="Verdana" w:hAnsi="Verdana"/>
          <w:sz w:val="20"/>
          <w:szCs w:val="20"/>
          <w:lang w:val="es-CR"/>
        </w:rPr>
        <w:t>maroon</w:t>
      </w:r>
      <w:r w:rsidR="00F57D87">
        <w:rPr>
          <w:rFonts w:ascii="Verdana" w:hAnsi="Verdana"/>
          <w:sz w:val="20"/>
          <w:szCs w:val="20"/>
          <w:lang w:val="es-CR"/>
        </w:rPr>
        <w:t>s</w:t>
      </w:r>
      <w:r w:rsidRPr="00D2614E">
        <w:rPr>
          <w:rFonts w:ascii="Verdana" w:hAnsi="Verdana"/>
          <w:sz w:val="20"/>
          <w:szCs w:val="20"/>
          <w:lang w:val="es-CR"/>
        </w:rPr>
        <w:t xml:space="preserve"> que </w:t>
      </w:r>
      <w:r w:rsidRPr="0014074B">
        <w:rPr>
          <w:rFonts w:ascii="Verdana" w:hAnsi="Verdana"/>
          <w:sz w:val="20"/>
          <w:szCs w:val="20"/>
          <w:lang w:val="es-CR"/>
        </w:rPr>
        <w:t>habitaban en los territorios de la comunidad Lokono de Alfonsdorp; sobre un asentamiento maroon denominado 1</w:t>
      </w:r>
      <w:r>
        <w:rPr>
          <w:rFonts w:ascii="Verdana" w:hAnsi="Verdana"/>
          <w:sz w:val="20"/>
          <w:szCs w:val="20"/>
          <w:lang w:val="es-CR"/>
        </w:rPr>
        <w:t>1</w:t>
      </w:r>
      <w:r w:rsidRPr="0014074B">
        <w:rPr>
          <w:rFonts w:ascii="Verdana" w:hAnsi="Verdana"/>
          <w:sz w:val="20"/>
          <w:szCs w:val="20"/>
          <w:lang w:val="es-CR"/>
        </w:rPr>
        <w:t>) Bilokondre, que se encontraba entre las comunidades de</w:t>
      </w:r>
      <w:r w:rsidR="00414D80">
        <w:rPr>
          <w:rFonts w:ascii="Verdana" w:hAnsi="Verdana"/>
          <w:sz w:val="20"/>
          <w:szCs w:val="20"/>
          <w:lang w:val="es-CR"/>
        </w:rPr>
        <w:t xml:space="preserve"> </w:t>
      </w:r>
      <w:r w:rsidRPr="0014074B">
        <w:rPr>
          <w:rFonts w:ascii="Verdana" w:hAnsi="Verdana"/>
          <w:sz w:val="20"/>
          <w:szCs w:val="20"/>
          <w:lang w:val="es-CR"/>
        </w:rPr>
        <w:t>Marijkedorp (Wan Shi Sha) y Pierre</w:t>
      </w:r>
      <w:r w:rsidR="00631DB5">
        <w:rPr>
          <w:rFonts w:ascii="Verdana" w:hAnsi="Verdana"/>
          <w:sz w:val="20"/>
          <w:szCs w:val="20"/>
          <w:lang w:val="es-CR"/>
        </w:rPr>
        <w:t>k</w:t>
      </w:r>
      <w:r w:rsidRPr="0014074B">
        <w:rPr>
          <w:rFonts w:ascii="Verdana" w:hAnsi="Verdana"/>
          <w:sz w:val="20"/>
          <w:szCs w:val="20"/>
          <w:lang w:val="es-CR"/>
        </w:rPr>
        <w:t xml:space="preserve">ondre, y sobre los asentamientos </w:t>
      </w:r>
      <w:r w:rsidR="006D4D2C">
        <w:rPr>
          <w:rFonts w:ascii="Verdana" w:hAnsi="Verdana"/>
          <w:sz w:val="20"/>
          <w:szCs w:val="20"/>
          <w:lang w:val="es-CR"/>
        </w:rPr>
        <w:t>maroon</w:t>
      </w:r>
      <w:r w:rsidR="00F57D87">
        <w:rPr>
          <w:rFonts w:ascii="Verdana" w:hAnsi="Verdana"/>
          <w:sz w:val="20"/>
          <w:szCs w:val="20"/>
          <w:lang w:val="es-CR"/>
        </w:rPr>
        <w:t>s</w:t>
      </w:r>
      <w:r w:rsidRPr="0014074B">
        <w:rPr>
          <w:rFonts w:ascii="Verdana" w:hAnsi="Verdana"/>
          <w:sz w:val="20"/>
          <w:szCs w:val="20"/>
          <w:lang w:val="es-CR"/>
        </w:rPr>
        <w:t xml:space="preserve"> de 1</w:t>
      </w:r>
      <w:r>
        <w:rPr>
          <w:rFonts w:ascii="Verdana" w:hAnsi="Verdana"/>
          <w:sz w:val="20"/>
          <w:szCs w:val="20"/>
          <w:lang w:val="es-CR"/>
        </w:rPr>
        <w:t>2</w:t>
      </w:r>
      <w:r w:rsidRPr="0014074B">
        <w:rPr>
          <w:rFonts w:ascii="Verdana" w:hAnsi="Verdana"/>
          <w:sz w:val="20"/>
          <w:szCs w:val="20"/>
          <w:lang w:val="es-CR"/>
        </w:rPr>
        <w:t xml:space="preserve">) </w:t>
      </w:r>
      <w:r w:rsidRPr="00D2614E">
        <w:rPr>
          <w:rFonts w:ascii="Verdana" w:hAnsi="Verdana"/>
          <w:sz w:val="20"/>
          <w:szCs w:val="20"/>
          <w:lang w:val="es-ES"/>
        </w:rPr>
        <w:t>Kronto</w:t>
      </w:r>
      <w:r w:rsidR="00631DB5">
        <w:rPr>
          <w:rFonts w:ascii="Verdana" w:hAnsi="Verdana"/>
          <w:sz w:val="20"/>
          <w:szCs w:val="20"/>
          <w:lang w:val="es-ES"/>
        </w:rPr>
        <w:t>k</w:t>
      </w:r>
      <w:r w:rsidRPr="00D2614E">
        <w:rPr>
          <w:rFonts w:ascii="Verdana" w:hAnsi="Verdana"/>
          <w:sz w:val="20"/>
          <w:szCs w:val="20"/>
          <w:lang w:val="es-ES"/>
        </w:rPr>
        <w:t>ondre, 1</w:t>
      </w:r>
      <w:r>
        <w:rPr>
          <w:rFonts w:ascii="Verdana" w:hAnsi="Verdana"/>
          <w:sz w:val="20"/>
          <w:szCs w:val="20"/>
          <w:lang w:val="es-ES"/>
        </w:rPr>
        <w:t>3</w:t>
      </w:r>
      <w:r w:rsidRPr="00D2614E">
        <w:rPr>
          <w:rFonts w:ascii="Verdana" w:hAnsi="Verdana"/>
          <w:sz w:val="20"/>
          <w:szCs w:val="20"/>
          <w:lang w:val="es-ES"/>
        </w:rPr>
        <w:t>) Soke, 1</w:t>
      </w:r>
      <w:r>
        <w:rPr>
          <w:rFonts w:ascii="Verdana" w:hAnsi="Verdana"/>
          <w:sz w:val="20"/>
          <w:szCs w:val="20"/>
          <w:lang w:val="es-ES"/>
        </w:rPr>
        <w:t>4</w:t>
      </w:r>
      <w:r w:rsidRPr="00D2614E">
        <w:rPr>
          <w:rFonts w:ascii="Verdana" w:hAnsi="Verdana"/>
          <w:sz w:val="20"/>
          <w:szCs w:val="20"/>
          <w:lang w:val="es-ES"/>
        </w:rPr>
        <w:t xml:space="preserve">) </w:t>
      </w:r>
      <w:r w:rsidRPr="00CB1418">
        <w:rPr>
          <w:rFonts w:ascii="Verdana" w:hAnsi="Verdana"/>
          <w:sz w:val="20"/>
          <w:szCs w:val="20"/>
          <w:lang w:val="es-ES"/>
        </w:rPr>
        <w:t>Pakirakondre y 1</w:t>
      </w:r>
      <w:r>
        <w:rPr>
          <w:rFonts w:ascii="Verdana" w:hAnsi="Verdana"/>
          <w:sz w:val="20"/>
          <w:szCs w:val="20"/>
          <w:lang w:val="es-ES"/>
        </w:rPr>
        <w:t>5</w:t>
      </w:r>
      <w:r w:rsidRPr="00CB1418">
        <w:rPr>
          <w:rFonts w:ascii="Verdana" w:hAnsi="Verdana"/>
          <w:sz w:val="20"/>
          <w:szCs w:val="20"/>
          <w:lang w:val="es-ES"/>
        </w:rPr>
        <w:t xml:space="preserve">) Mopikondre que se ubicaban en la comunidad </w:t>
      </w:r>
      <w:r w:rsidR="003946ED">
        <w:rPr>
          <w:rFonts w:ascii="Verdana" w:hAnsi="Verdana"/>
          <w:sz w:val="20"/>
          <w:szCs w:val="20"/>
          <w:lang w:val="es-ES"/>
        </w:rPr>
        <w:t>Kaliña</w:t>
      </w:r>
      <w:r w:rsidR="003946ED" w:rsidRPr="00CB1418">
        <w:rPr>
          <w:rFonts w:ascii="Verdana" w:hAnsi="Verdana"/>
          <w:sz w:val="20"/>
          <w:szCs w:val="20"/>
          <w:lang w:val="es-ES"/>
        </w:rPr>
        <w:t xml:space="preserve"> </w:t>
      </w:r>
      <w:r w:rsidRPr="00CB1418">
        <w:rPr>
          <w:rFonts w:ascii="Verdana" w:hAnsi="Verdana"/>
          <w:sz w:val="20"/>
          <w:szCs w:val="20"/>
          <w:lang w:val="es-ES"/>
        </w:rPr>
        <w:t xml:space="preserve">de </w:t>
      </w:r>
      <w:r w:rsidRPr="00D2614E">
        <w:rPr>
          <w:rFonts w:ascii="Verdana" w:hAnsi="Verdana"/>
          <w:sz w:val="20"/>
          <w:szCs w:val="20"/>
          <w:lang w:val="es-CR"/>
        </w:rPr>
        <w:t>Bigiston</w:t>
      </w:r>
      <w:r w:rsidRPr="00631DB5">
        <w:rPr>
          <w:rFonts w:ascii="Verdana" w:hAnsi="Verdana"/>
          <w:sz w:val="20"/>
          <w:szCs w:val="20"/>
          <w:lang w:val="es-CR"/>
        </w:rPr>
        <w:t xml:space="preserve">. </w:t>
      </w:r>
    </w:p>
    <w:p w14:paraId="4D313DDB" w14:textId="77777777" w:rsidR="00D2614E" w:rsidRPr="00D2614E" w:rsidRDefault="00D2614E" w:rsidP="00D2614E">
      <w:pPr>
        <w:pStyle w:val="ListParagraph"/>
        <w:ind w:left="0"/>
        <w:jc w:val="both"/>
        <w:rPr>
          <w:rFonts w:ascii="Verdana" w:hAnsi="Verdana"/>
          <w:sz w:val="20"/>
          <w:szCs w:val="20"/>
          <w:lang w:val="es-CR"/>
        </w:rPr>
      </w:pPr>
    </w:p>
    <w:p w14:paraId="751EC76F" w14:textId="77777777" w:rsidR="00D2614E" w:rsidRPr="00366D91" w:rsidRDefault="00D2614E" w:rsidP="00D2614E">
      <w:pPr>
        <w:pStyle w:val="ListParagraph"/>
        <w:numPr>
          <w:ilvl w:val="0"/>
          <w:numId w:val="2"/>
        </w:numPr>
        <w:ind w:left="0" w:hanging="11"/>
        <w:jc w:val="both"/>
        <w:rPr>
          <w:rFonts w:ascii="Verdana" w:hAnsi="Verdana"/>
          <w:sz w:val="20"/>
          <w:szCs w:val="20"/>
          <w:lang w:val="es-CR"/>
        </w:rPr>
      </w:pPr>
      <w:r w:rsidRPr="00366D91">
        <w:rPr>
          <w:rStyle w:val="Strong"/>
          <w:rFonts w:ascii="Verdana" w:hAnsi="Verdana"/>
          <w:b w:val="0"/>
          <w:sz w:val="20"/>
          <w:szCs w:val="20"/>
        </w:rPr>
        <w:t xml:space="preserve">Respecto de la comunidad Lokono de Alfonsdorp, los representantes manifestaron que dentro del territorio reclamado habitaban una familia de </w:t>
      </w:r>
      <w:r w:rsidR="006D4D2C">
        <w:rPr>
          <w:rStyle w:val="Strong"/>
          <w:rFonts w:ascii="Verdana" w:hAnsi="Verdana"/>
          <w:b w:val="0"/>
          <w:sz w:val="20"/>
          <w:szCs w:val="20"/>
        </w:rPr>
        <w:t>maroon</w:t>
      </w:r>
      <w:r w:rsidR="00F57D87">
        <w:rPr>
          <w:rStyle w:val="Strong"/>
          <w:rFonts w:ascii="Verdana" w:hAnsi="Verdana"/>
          <w:b w:val="0"/>
          <w:sz w:val="20"/>
          <w:szCs w:val="20"/>
        </w:rPr>
        <w:t>s</w:t>
      </w:r>
      <w:r w:rsidRPr="00366D91">
        <w:rPr>
          <w:rStyle w:val="Strong"/>
          <w:rFonts w:ascii="Verdana" w:hAnsi="Verdana"/>
          <w:b w:val="0"/>
          <w:sz w:val="20"/>
          <w:szCs w:val="20"/>
        </w:rPr>
        <w:t xml:space="preserve"> que contaba con el permiso del Capitán de Alfonsdorp y tres familias de </w:t>
      </w:r>
      <w:r w:rsidR="006D4D2C">
        <w:rPr>
          <w:rStyle w:val="Strong"/>
          <w:rFonts w:ascii="Verdana" w:hAnsi="Verdana"/>
          <w:b w:val="0"/>
          <w:sz w:val="20"/>
          <w:szCs w:val="20"/>
        </w:rPr>
        <w:t>maroon</w:t>
      </w:r>
      <w:r w:rsidR="00F57D87">
        <w:rPr>
          <w:rStyle w:val="Strong"/>
          <w:rFonts w:ascii="Verdana" w:hAnsi="Verdana"/>
          <w:b w:val="0"/>
          <w:sz w:val="20"/>
          <w:szCs w:val="20"/>
        </w:rPr>
        <w:t>s</w:t>
      </w:r>
      <w:r w:rsidRPr="00366D91">
        <w:rPr>
          <w:rStyle w:val="Strong"/>
          <w:rFonts w:ascii="Verdana" w:hAnsi="Verdana"/>
          <w:b w:val="0"/>
          <w:sz w:val="20"/>
          <w:szCs w:val="20"/>
        </w:rPr>
        <w:t xml:space="preserve"> que no contaban con la autorización de dicho Capitán.</w:t>
      </w:r>
    </w:p>
    <w:p w14:paraId="38D5D51A" w14:textId="77777777" w:rsidR="00D2614E" w:rsidRPr="00366D91" w:rsidRDefault="00D2614E" w:rsidP="00D2614E">
      <w:pPr>
        <w:jc w:val="both"/>
        <w:rPr>
          <w:rStyle w:val="Strong"/>
          <w:rFonts w:ascii="Verdana" w:hAnsi="Verdana"/>
          <w:b w:val="0"/>
          <w:sz w:val="20"/>
          <w:szCs w:val="20"/>
        </w:rPr>
      </w:pPr>
    </w:p>
    <w:p w14:paraId="7E5D0FF2" w14:textId="2F5411B8" w:rsidR="00D2614E" w:rsidRPr="00366D91" w:rsidRDefault="00D2614E" w:rsidP="00D2614E">
      <w:pPr>
        <w:pStyle w:val="ListParagraph"/>
        <w:numPr>
          <w:ilvl w:val="0"/>
          <w:numId w:val="2"/>
        </w:numPr>
        <w:ind w:left="0" w:hanging="11"/>
        <w:jc w:val="both"/>
        <w:rPr>
          <w:rStyle w:val="Strong"/>
          <w:rFonts w:ascii="Verdana" w:hAnsi="Verdana"/>
          <w:b w:val="0"/>
          <w:sz w:val="20"/>
          <w:szCs w:val="20"/>
        </w:rPr>
      </w:pPr>
      <w:r w:rsidRPr="00366D91">
        <w:rPr>
          <w:rStyle w:val="Strong"/>
          <w:rFonts w:ascii="Verdana" w:hAnsi="Verdana"/>
          <w:b w:val="0"/>
          <w:sz w:val="20"/>
          <w:szCs w:val="20"/>
        </w:rPr>
        <w:t>En cuanto a las comunidades de Pierrekondre y Marijkedorp (Wan Shi Sha), particularmente en el área conocida como Tuinstad Albina (</w:t>
      </w:r>
      <w:r w:rsidR="007829DF" w:rsidRPr="007829DF">
        <w:rPr>
          <w:rStyle w:val="Strong"/>
          <w:rFonts w:ascii="Verdana" w:hAnsi="Verdana"/>
          <w:b w:val="0"/>
          <w:i/>
          <w:sz w:val="20"/>
          <w:szCs w:val="20"/>
        </w:rPr>
        <w:t>infra</w:t>
      </w:r>
      <w:r w:rsidRPr="00366D91">
        <w:rPr>
          <w:rStyle w:val="Strong"/>
          <w:rFonts w:ascii="Verdana" w:hAnsi="Verdana"/>
          <w:b w:val="0"/>
          <w:sz w:val="20"/>
          <w:szCs w:val="20"/>
        </w:rPr>
        <w:t xml:space="preserve"> párrs. </w:t>
      </w:r>
      <w:r w:rsidR="00631DB5">
        <w:rPr>
          <w:rStyle w:val="Strong"/>
          <w:rFonts w:ascii="Verdana" w:hAnsi="Verdana"/>
          <w:b w:val="0"/>
          <w:sz w:val="20"/>
          <w:szCs w:val="20"/>
        </w:rPr>
        <w:t>96 a 99</w:t>
      </w:r>
      <w:r w:rsidRPr="00366D91">
        <w:rPr>
          <w:rStyle w:val="Strong"/>
          <w:rFonts w:ascii="Verdana" w:hAnsi="Verdana"/>
          <w:b w:val="0"/>
          <w:sz w:val="20"/>
          <w:szCs w:val="20"/>
        </w:rPr>
        <w:t>), se encontraba un asentamiento maroon denominado Bilokondre</w:t>
      </w:r>
      <w:r w:rsidRPr="00D2614E">
        <w:rPr>
          <w:rStyle w:val="FootnoteReference"/>
          <w:bCs/>
          <w:szCs w:val="20"/>
          <w:lang w:val="es-ES"/>
        </w:rPr>
        <w:footnoteReference w:id="56"/>
      </w:r>
      <w:r w:rsidRPr="00366D91">
        <w:rPr>
          <w:rStyle w:val="Strong"/>
          <w:rFonts w:ascii="Verdana" w:hAnsi="Verdana"/>
          <w:b w:val="0"/>
          <w:sz w:val="20"/>
          <w:szCs w:val="20"/>
        </w:rPr>
        <w:t xml:space="preserve">. Al respecto, los Capitanes de Marijkedorp (Wan Shi Sha) y Pierrekondre aclararon que no se oponían a que </w:t>
      </w:r>
      <w:r w:rsidRPr="00D2614E">
        <w:rPr>
          <w:rFonts w:ascii="Verdana" w:hAnsi="Verdana"/>
          <w:sz w:val="20"/>
          <w:szCs w:val="20"/>
          <w:lang w:val="es-ES"/>
        </w:rPr>
        <w:t>el asentamiento maroon de Bilokondre permaneciera en la zona en que se encuentra en la actualidad</w:t>
      </w:r>
      <w:r w:rsidRPr="00D2614E">
        <w:rPr>
          <w:rStyle w:val="FootnoteReference"/>
          <w:bCs/>
          <w:szCs w:val="20"/>
          <w:lang w:val="es-ES"/>
        </w:rPr>
        <w:footnoteReference w:id="57"/>
      </w:r>
      <w:r w:rsidRPr="00D2614E">
        <w:rPr>
          <w:rFonts w:ascii="Verdana" w:hAnsi="Verdana"/>
          <w:sz w:val="20"/>
          <w:szCs w:val="20"/>
          <w:lang w:val="es-ES"/>
        </w:rPr>
        <w:t>.</w:t>
      </w:r>
    </w:p>
    <w:p w14:paraId="5339BE62" w14:textId="77777777" w:rsidR="00D2614E" w:rsidRPr="00D2614E" w:rsidRDefault="00D2614E" w:rsidP="00D2614E">
      <w:pPr>
        <w:jc w:val="both"/>
        <w:rPr>
          <w:rFonts w:ascii="Verdana" w:hAnsi="Verdana"/>
          <w:sz w:val="20"/>
          <w:szCs w:val="20"/>
          <w:lang w:val="es-ES"/>
        </w:rPr>
      </w:pPr>
    </w:p>
    <w:p w14:paraId="69499F06" w14:textId="1E0117C0" w:rsidR="00D2614E" w:rsidRDefault="00D2614E" w:rsidP="00D2614E">
      <w:pPr>
        <w:pStyle w:val="ListParagraph"/>
        <w:numPr>
          <w:ilvl w:val="0"/>
          <w:numId w:val="2"/>
        </w:numPr>
        <w:ind w:left="0" w:hanging="11"/>
        <w:jc w:val="both"/>
        <w:rPr>
          <w:rFonts w:ascii="Verdana" w:hAnsi="Verdana"/>
          <w:sz w:val="20"/>
          <w:szCs w:val="20"/>
          <w:lang w:val="es-ES"/>
        </w:rPr>
      </w:pPr>
      <w:r w:rsidRPr="00366D91">
        <w:rPr>
          <w:rStyle w:val="Strong"/>
          <w:rFonts w:ascii="Verdana" w:hAnsi="Verdana"/>
          <w:b w:val="0"/>
          <w:sz w:val="20"/>
          <w:szCs w:val="20"/>
        </w:rPr>
        <w:t xml:space="preserve">Por otra parte, sobre la comunidad </w:t>
      </w:r>
      <w:r w:rsidR="003946ED">
        <w:rPr>
          <w:rStyle w:val="Strong"/>
          <w:rFonts w:ascii="Verdana" w:hAnsi="Verdana"/>
          <w:b w:val="0"/>
          <w:sz w:val="20"/>
          <w:szCs w:val="20"/>
        </w:rPr>
        <w:t>Kaliña</w:t>
      </w:r>
      <w:r w:rsidR="003946ED" w:rsidRPr="00366D91">
        <w:rPr>
          <w:rStyle w:val="Strong"/>
          <w:rFonts w:ascii="Verdana" w:hAnsi="Verdana"/>
          <w:b w:val="0"/>
          <w:sz w:val="20"/>
          <w:szCs w:val="20"/>
        </w:rPr>
        <w:t xml:space="preserve"> </w:t>
      </w:r>
      <w:r w:rsidRPr="00366D91">
        <w:rPr>
          <w:rStyle w:val="Strong"/>
          <w:rFonts w:ascii="Verdana" w:hAnsi="Verdana"/>
          <w:b w:val="0"/>
          <w:sz w:val="20"/>
          <w:szCs w:val="20"/>
        </w:rPr>
        <w:t>de Bigiston</w:t>
      </w:r>
      <w:r w:rsidRPr="00D2614E">
        <w:rPr>
          <w:rFonts w:ascii="Verdana" w:hAnsi="Verdana"/>
          <w:sz w:val="20"/>
          <w:szCs w:val="20"/>
          <w:lang w:val="es-ES"/>
        </w:rPr>
        <w:t xml:space="preserve">, la Corte toma nota de lo señalado por los representantes en cuanto a que en dicha comunidad y sus alrededores existen varios asentamientos </w:t>
      </w:r>
      <w:r w:rsidR="006D4D2C">
        <w:rPr>
          <w:rFonts w:ascii="Verdana" w:hAnsi="Verdana"/>
          <w:sz w:val="20"/>
          <w:szCs w:val="20"/>
          <w:lang w:val="es-ES"/>
        </w:rPr>
        <w:t>maroon</w:t>
      </w:r>
      <w:r w:rsidR="00F57D87">
        <w:rPr>
          <w:rFonts w:ascii="Verdana" w:hAnsi="Verdana"/>
          <w:sz w:val="20"/>
          <w:szCs w:val="20"/>
          <w:lang w:val="es-ES"/>
        </w:rPr>
        <w:t>s</w:t>
      </w:r>
      <w:r w:rsidRPr="00D2614E">
        <w:rPr>
          <w:rFonts w:ascii="Verdana" w:hAnsi="Verdana"/>
          <w:sz w:val="20"/>
          <w:szCs w:val="20"/>
          <w:lang w:val="es-ES"/>
        </w:rPr>
        <w:t>, a saber: Kronto</w:t>
      </w:r>
      <w:r w:rsidR="00631DB5">
        <w:rPr>
          <w:rFonts w:ascii="Verdana" w:hAnsi="Verdana"/>
          <w:sz w:val="20"/>
          <w:szCs w:val="20"/>
          <w:lang w:val="es-ES"/>
        </w:rPr>
        <w:t>k</w:t>
      </w:r>
      <w:r w:rsidRPr="00D2614E">
        <w:rPr>
          <w:rFonts w:ascii="Verdana" w:hAnsi="Verdana"/>
          <w:sz w:val="20"/>
          <w:szCs w:val="20"/>
          <w:lang w:val="es-ES"/>
        </w:rPr>
        <w:t>ondre, Soke, Pakirakondre</w:t>
      </w:r>
      <w:r w:rsidRPr="0014074B">
        <w:rPr>
          <w:rFonts w:ascii="Verdana" w:hAnsi="Verdana"/>
          <w:sz w:val="20"/>
          <w:szCs w:val="20"/>
          <w:lang w:val="es-ES"/>
        </w:rPr>
        <w:t xml:space="preserve"> y Mopikondre. Al respecto, de acuerdo con el señor Marchiano Aroepa, Asistente del Capitán </w:t>
      </w:r>
      <w:r w:rsidR="003946ED">
        <w:rPr>
          <w:rFonts w:ascii="Verdana" w:hAnsi="Verdana"/>
          <w:sz w:val="20"/>
          <w:szCs w:val="20"/>
          <w:lang w:val="es-ES"/>
        </w:rPr>
        <w:t>Kaliña</w:t>
      </w:r>
      <w:r w:rsidR="003946ED" w:rsidRPr="0014074B">
        <w:rPr>
          <w:rFonts w:ascii="Verdana" w:hAnsi="Verdana"/>
          <w:sz w:val="20"/>
          <w:szCs w:val="20"/>
          <w:lang w:val="es-ES"/>
        </w:rPr>
        <w:t xml:space="preserve"> </w:t>
      </w:r>
      <w:r w:rsidRPr="0014074B">
        <w:rPr>
          <w:rFonts w:ascii="Verdana" w:hAnsi="Verdana"/>
          <w:sz w:val="20"/>
          <w:szCs w:val="20"/>
          <w:lang w:val="es-ES"/>
        </w:rPr>
        <w:t xml:space="preserve">de Bigiston, dichos grupos han convivido en armonía con los </w:t>
      </w:r>
      <w:r w:rsidR="003946ED">
        <w:rPr>
          <w:rFonts w:ascii="Verdana" w:hAnsi="Verdana"/>
          <w:sz w:val="20"/>
          <w:szCs w:val="20"/>
          <w:lang w:val="es-ES"/>
        </w:rPr>
        <w:t>Kaliña</w:t>
      </w:r>
      <w:r w:rsidR="003946ED" w:rsidRPr="0014074B">
        <w:rPr>
          <w:rFonts w:ascii="Verdana" w:hAnsi="Verdana"/>
          <w:sz w:val="20"/>
          <w:szCs w:val="20"/>
          <w:lang w:val="es-ES"/>
        </w:rPr>
        <w:t xml:space="preserve"> </w:t>
      </w:r>
      <w:r w:rsidRPr="0014074B">
        <w:rPr>
          <w:rFonts w:ascii="Verdana" w:hAnsi="Verdana"/>
          <w:sz w:val="20"/>
          <w:szCs w:val="20"/>
          <w:lang w:val="es-ES"/>
        </w:rPr>
        <w:t xml:space="preserve">de Bigiston por largo tiempo, bajo la autoridad del Capitán de Bigiston. En este sentido, el señor Marchiano Aroepa señaló que un eventual reconocimiento del derecho a la propiedad ancestral de la comunidad </w:t>
      </w:r>
      <w:r w:rsidRPr="0014074B">
        <w:rPr>
          <w:rFonts w:ascii="Verdana" w:hAnsi="Verdana"/>
          <w:sz w:val="20"/>
          <w:szCs w:val="20"/>
          <w:lang w:val="es-ES"/>
        </w:rPr>
        <w:lastRenderedPageBreak/>
        <w:t>indígena de Bigiston sobre el territorio reclamado no afectaría la relación armoniosa que sostiene</w:t>
      </w:r>
      <w:r w:rsidRPr="00D2614E">
        <w:rPr>
          <w:rFonts w:ascii="Verdana" w:hAnsi="Verdana"/>
          <w:sz w:val="20"/>
          <w:szCs w:val="20"/>
          <w:lang w:val="es-ES"/>
        </w:rPr>
        <w:t xml:space="preserve">n con dichos asentamientos </w:t>
      </w:r>
      <w:r w:rsidR="006D4D2C">
        <w:rPr>
          <w:rFonts w:ascii="Verdana" w:hAnsi="Verdana"/>
          <w:sz w:val="20"/>
          <w:szCs w:val="20"/>
          <w:lang w:val="es-ES"/>
        </w:rPr>
        <w:t>maroon</w:t>
      </w:r>
      <w:r w:rsidR="00F57D87">
        <w:rPr>
          <w:rFonts w:ascii="Verdana" w:hAnsi="Verdana"/>
          <w:sz w:val="20"/>
          <w:szCs w:val="20"/>
          <w:lang w:val="es-ES"/>
        </w:rPr>
        <w:t>s</w:t>
      </w:r>
      <w:r w:rsidRPr="00CB1418">
        <w:rPr>
          <w:rStyle w:val="FootnoteReference"/>
          <w:szCs w:val="20"/>
          <w:lang w:val="es-ES"/>
        </w:rPr>
        <w:footnoteReference w:id="58"/>
      </w:r>
      <w:r w:rsidRPr="00D2614E">
        <w:rPr>
          <w:rFonts w:ascii="Verdana" w:hAnsi="Verdana"/>
          <w:sz w:val="20"/>
          <w:szCs w:val="20"/>
          <w:lang w:val="es-ES"/>
        </w:rPr>
        <w:t xml:space="preserve">. Sin embargo, de acuerdo con el Estado, estas aldeas </w:t>
      </w:r>
      <w:r w:rsidR="006D4D2C">
        <w:rPr>
          <w:rFonts w:ascii="Verdana" w:hAnsi="Verdana"/>
          <w:sz w:val="20"/>
          <w:szCs w:val="20"/>
          <w:lang w:val="es-ES"/>
        </w:rPr>
        <w:t>maroon</w:t>
      </w:r>
      <w:r w:rsidR="00F57D87">
        <w:rPr>
          <w:rFonts w:ascii="Verdana" w:hAnsi="Verdana"/>
          <w:sz w:val="20"/>
          <w:szCs w:val="20"/>
          <w:lang w:val="es-ES"/>
        </w:rPr>
        <w:t>s</w:t>
      </w:r>
      <w:r w:rsidRPr="00D2614E">
        <w:rPr>
          <w:rFonts w:ascii="Verdana" w:hAnsi="Verdana"/>
          <w:sz w:val="20"/>
          <w:szCs w:val="20"/>
          <w:lang w:val="es-ES"/>
        </w:rPr>
        <w:t xml:space="preserve"> cuentan con sus propias autoridades tradicionales. Por otra parte, la Corte observa que en una carta dirigida</w:t>
      </w:r>
      <w:r w:rsidR="00851E54">
        <w:rPr>
          <w:rFonts w:ascii="Verdana" w:hAnsi="Verdana"/>
          <w:sz w:val="20"/>
          <w:szCs w:val="20"/>
          <w:lang w:val="es-ES"/>
        </w:rPr>
        <w:t xml:space="preserve"> </w:t>
      </w:r>
      <w:r w:rsidR="00851E54" w:rsidRPr="004B0145">
        <w:rPr>
          <w:rFonts w:ascii="Verdana" w:hAnsi="Verdana"/>
          <w:sz w:val="20"/>
          <w:szCs w:val="20"/>
          <w:lang w:val="es-ES"/>
        </w:rPr>
        <w:t>al líder maroon de</w:t>
      </w:r>
      <w:r w:rsidRPr="007021B4">
        <w:rPr>
          <w:rFonts w:ascii="Verdana" w:hAnsi="Verdana"/>
          <w:sz w:val="20"/>
          <w:szCs w:val="20"/>
          <w:lang w:val="es-ES"/>
        </w:rPr>
        <w:t xml:space="preserve"> </w:t>
      </w:r>
      <w:r w:rsidR="009C2634" w:rsidRPr="007021B4">
        <w:rPr>
          <w:rFonts w:ascii="Verdana" w:hAnsi="Verdana"/>
          <w:sz w:val="20"/>
          <w:szCs w:val="20"/>
          <w:lang w:val="es-ES"/>
        </w:rPr>
        <w:t>Krontokondre</w:t>
      </w:r>
      <w:r w:rsidR="00851E54" w:rsidRPr="004B0145">
        <w:rPr>
          <w:rFonts w:ascii="Verdana" w:hAnsi="Verdana"/>
          <w:sz w:val="20"/>
          <w:szCs w:val="20"/>
          <w:lang w:val="es-ES"/>
        </w:rPr>
        <w:t>, Da Gazon Matodja, Paramount Chief (Gaaman)</w:t>
      </w:r>
      <w:r w:rsidR="00851E54" w:rsidRPr="007021B4">
        <w:rPr>
          <w:rFonts w:ascii="Verdana" w:hAnsi="Verdana"/>
          <w:sz w:val="20"/>
          <w:szCs w:val="20"/>
          <w:lang w:val="es-ES"/>
        </w:rPr>
        <w:t xml:space="preserve"> </w:t>
      </w:r>
      <w:r w:rsidRPr="007021B4">
        <w:rPr>
          <w:rFonts w:ascii="Verdana" w:hAnsi="Verdana"/>
          <w:sz w:val="20"/>
          <w:szCs w:val="20"/>
          <w:lang w:val="es-ES"/>
        </w:rPr>
        <w:t xml:space="preserve">de los N´djuka </w:t>
      </w:r>
      <w:r w:rsidR="006D4D2C" w:rsidRPr="007021B4">
        <w:rPr>
          <w:rFonts w:ascii="Verdana" w:hAnsi="Verdana"/>
          <w:sz w:val="20"/>
          <w:szCs w:val="20"/>
          <w:lang w:val="es-ES"/>
        </w:rPr>
        <w:t>maroon</w:t>
      </w:r>
      <w:r w:rsidR="00F57D87" w:rsidRPr="007021B4">
        <w:rPr>
          <w:rFonts w:ascii="Verdana" w:hAnsi="Verdana"/>
          <w:sz w:val="20"/>
          <w:szCs w:val="20"/>
          <w:lang w:val="es-ES"/>
        </w:rPr>
        <w:t>s</w:t>
      </w:r>
      <w:r w:rsidRPr="007021B4">
        <w:rPr>
          <w:rFonts w:ascii="Verdana" w:hAnsi="Verdana"/>
          <w:sz w:val="20"/>
          <w:szCs w:val="20"/>
          <w:lang w:val="es-ES"/>
        </w:rPr>
        <w:t xml:space="preserve"> se refirió a conflictos que los </w:t>
      </w:r>
      <w:r w:rsidR="006D4D2C" w:rsidRPr="007021B4">
        <w:rPr>
          <w:rFonts w:ascii="Verdana" w:hAnsi="Verdana"/>
          <w:sz w:val="20"/>
          <w:szCs w:val="20"/>
          <w:lang w:val="es-ES"/>
        </w:rPr>
        <w:t>maroon</w:t>
      </w:r>
      <w:r w:rsidR="00F57D87" w:rsidRPr="007021B4">
        <w:rPr>
          <w:rFonts w:ascii="Verdana" w:hAnsi="Verdana"/>
          <w:sz w:val="20"/>
          <w:szCs w:val="20"/>
          <w:lang w:val="es-ES"/>
        </w:rPr>
        <w:t>s</w:t>
      </w:r>
      <w:r w:rsidRPr="007021B4">
        <w:rPr>
          <w:rFonts w:ascii="Verdana" w:hAnsi="Verdana"/>
          <w:sz w:val="20"/>
          <w:szCs w:val="20"/>
          <w:lang w:val="es-ES"/>
        </w:rPr>
        <w:t xml:space="preserve"> habían tenido con los indígenas en 200</w:t>
      </w:r>
      <w:r w:rsidRPr="00D2614E">
        <w:rPr>
          <w:rFonts w:ascii="Verdana" w:hAnsi="Verdana"/>
          <w:sz w:val="20"/>
          <w:szCs w:val="20"/>
          <w:lang w:val="es-ES"/>
        </w:rPr>
        <w:t>9, y señaló que el territorio en cuestión era propiedad de los indígenas</w:t>
      </w:r>
      <w:r w:rsidRPr="00D2614E">
        <w:rPr>
          <w:rStyle w:val="FootnoteReference"/>
          <w:szCs w:val="20"/>
          <w:lang w:val="es-ES"/>
        </w:rPr>
        <w:footnoteReference w:id="59"/>
      </w:r>
      <w:r w:rsidRPr="00D2614E">
        <w:rPr>
          <w:rFonts w:ascii="Verdana" w:hAnsi="Verdana"/>
          <w:sz w:val="20"/>
          <w:szCs w:val="20"/>
          <w:lang w:val="es-ES"/>
        </w:rPr>
        <w:t xml:space="preserve">. En vista de ello, la Corte carece de elementos probatorios para </w:t>
      </w:r>
      <w:r w:rsidRPr="0014074B">
        <w:rPr>
          <w:rFonts w:ascii="Verdana" w:hAnsi="Verdana"/>
          <w:sz w:val="20"/>
          <w:szCs w:val="20"/>
          <w:lang w:val="es-ES"/>
        </w:rPr>
        <w:t xml:space="preserve">determinar la situación de los asentamientos </w:t>
      </w:r>
      <w:r w:rsidR="006D4D2C">
        <w:rPr>
          <w:rFonts w:ascii="Verdana" w:hAnsi="Verdana"/>
          <w:sz w:val="20"/>
          <w:szCs w:val="20"/>
          <w:lang w:val="es-ES"/>
        </w:rPr>
        <w:t>maroon</w:t>
      </w:r>
      <w:r w:rsidR="00F57D87">
        <w:rPr>
          <w:rFonts w:ascii="Verdana" w:hAnsi="Verdana"/>
          <w:sz w:val="20"/>
          <w:szCs w:val="20"/>
          <w:lang w:val="es-ES"/>
        </w:rPr>
        <w:t>s</w:t>
      </w:r>
      <w:r w:rsidRPr="0014074B">
        <w:rPr>
          <w:rFonts w:ascii="Verdana" w:hAnsi="Verdana"/>
          <w:sz w:val="20"/>
          <w:szCs w:val="20"/>
          <w:lang w:val="es-ES"/>
        </w:rPr>
        <w:t xml:space="preserve"> en Bigiston.</w:t>
      </w:r>
    </w:p>
    <w:p w14:paraId="19065445" w14:textId="77777777" w:rsidR="00050600" w:rsidRDefault="00050600" w:rsidP="004B0145">
      <w:pPr>
        <w:pStyle w:val="ListParagraph"/>
        <w:ind w:left="0"/>
        <w:jc w:val="both"/>
        <w:rPr>
          <w:rFonts w:ascii="Verdana" w:hAnsi="Verdana"/>
          <w:sz w:val="20"/>
          <w:szCs w:val="20"/>
          <w:lang w:val="es-ES"/>
        </w:rPr>
      </w:pPr>
    </w:p>
    <w:p w14:paraId="2301A2DB" w14:textId="77777777" w:rsidR="00D2614E" w:rsidRPr="00366D91" w:rsidRDefault="00D2614E" w:rsidP="00D2614E">
      <w:pPr>
        <w:pStyle w:val="ListParagraph"/>
        <w:numPr>
          <w:ilvl w:val="0"/>
          <w:numId w:val="2"/>
        </w:numPr>
        <w:ind w:left="0" w:hanging="11"/>
        <w:jc w:val="both"/>
        <w:rPr>
          <w:rFonts w:ascii="Verdana" w:hAnsi="Verdana"/>
          <w:sz w:val="20"/>
          <w:szCs w:val="20"/>
          <w:lang w:val="es-ES"/>
        </w:rPr>
      </w:pPr>
      <w:r w:rsidRPr="00D2614E">
        <w:rPr>
          <w:rFonts w:ascii="Verdana" w:hAnsi="Verdana"/>
          <w:sz w:val="20"/>
          <w:szCs w:val="20"/>
          <w:lang w:val="es-ES"/>
        </w:rPr>
        <w:t xml:space="preserve">Sobre la base de lo anterior, la Corte constata que quedarían excluidos del reclamo los </w:t>
      </w:r>
      <w:r w:rsidRPr="00366D91">
        <w:rPr>
          <w:rStyle w:val="Strong"/>
          <w:rFonts w:ascii="Verdana" w:hAnsi="Verdana"/>
          <w:b w:val="0"/>
          <w:sz w:val="20"/>
          <w:szCs w:val="20"/>
        </w:rPr>
        <w:t>territorios que se encuentran al sur del río</w:t>
      </w:r>
      <w:r w:rsidRPr="00366D91">
        <w:rPr>
          <w:rStyle w:val="Strong"/>
          <w:rFonts w:ascii="Verdana" w:hAnsi="Verdana"/>
          <w:b w:val="0"/>
          <w:sz w:val="20"/>
        </w:rPr>
        <w:t xml:space="preserve"> Anjoemara Creek</w:t>
      </w:r>
      <w:r w:rsidRPr="00366D91">
        <w:rPr>
          <w:rStyle w:val="Strong"/>
          <w:rFonts w:ascii="Verdana" w:hAnsi="Verdana"/>
          <w:b w:val="0"/>
          <w:sz w:val="20"/>
          <w:szCs w:val="20"/>
        </w:rPr>
        <w:t xml:space="preserve"> y al norte del río</w:t>
      </w:r>
      <w:r w:rsidRPr="00366D91">
        <w:rPr>
          <w:rStyle w:val="Strong"/>
          <w:rFonts w:ascii="Verdana" w:hAnsi="Verdana"/>
          <w:b w:val="0"/>
          <w:sz w:val="20"/>
        </w:rPr>
        <w:t xml:space="preserve"> Aloemada Creek</w:t>
      </w:r>
      <w:r w:rsidRPr="00366D91">
        <w:rPr>
          <w:rStyle w:val="Strong"/>
          <w:rFonts w:ascii="Verdana" w:hAnsi="Verdana"/>
          <w:b w:val="0"/>
          <w:sz w:val="20"/>
          <w:szCs w:val="20"/>
        </w:rPr>
        <w:t xml:space="preserve">, así como tampoco se incluyen en el reclamo </w:t>
      </w:r>
      <w:r w:rsidR="00635B8D">
        <w:rPr>
          <w:rStyle w:val="Strong"/>
          <w:rFonts w:ascii="Verdana" w:hAnsi="Verdana"/>
          <w:b w:val="0"/>
          <w:sz w:val="20"/>
          <w:szCs w:val="20"/>
        </w:rPr>
        <w:t>los</w:t>
      </w:r>
      <w:r w:rsidR="00635B8D" w:rsidRPr="00366D91">
        <w:rPr>
          <w:rStyle w:val="Strong"/>
          <w:rFonts w:ascii="Verdana" w:hAnsi="Verdana"/>
          <w:b w:val="0"/>
          <w:sz w:val="20"/>
          <w:szCs w:val="20"/>
        </w:rPr>
        <w:t xml:space="preserve"> </w:t>
      </w:r>
      <w:r w:rsidRPr="00366D91">
        <w:rPr>
          <w:rStyle w:val="Strong"/>
          <w:rFonts w:ascii="Verdana" w:hAnsi="Verdana"/>
          <w:b w:val="0"/>
          <w:sz w:val="20"/>
          <w:szCs w:val="20"/>
        </w:rPr>
        <w:t>territorio</w:t>
      </w:r>
      <w:r w:rsidR="00635B8D">
        <w:rPr>
          <w:rStyle w:val="Strong"/>
          <w:rFonts w:ascii="Verdana" w:hAnsi="Verdana"/>
          <w:b w:val="0"/>
          <w:sz w:val="20"/>
          <w:szCs w:val="20"/>
        </w:rPr>
        <w:t>s</w:t>
      </w:r>
      <w:r w:rsidRPr="00366D91">
        <w:rPr>
          <w:rStyle w:val="Strong"/>
          <w:rFonts w:ascii="Verdana" w:hAnsi="Verdana"/>
          <w:b w:val="0"/>
          <w:sz w:val="20"/>
          <w:szCs w:val="20"/>
        </w:rPr>
        <w:t xml:space="preserve"> en </w:t>
      </w:r>
      <w:r w:rsidR="00635B8D">
        <w:rPr>
          <w:rStyle w:val="Strong"/>
          <w:rFonts w:ascii="Verdana" w:hAnsi="Verdana"/>
          <w:b w:val="0"/>
          <w:sz w:val="20"/>
          <w:szCs w:val="20"/>
        </w:rPr>
        <w:t>los</w:t>
      </w:r>
      <w:r w:rsidR="00635B8D" w:rsidRPr="00366D91">
        <w:rPr>
          <w:rStyle w:val="Strong"/>
          <w:rFonts w:ascii="Verdana" w:hAnsi="Verdana"/>
          <w:b w:val="0"/>
          <w:sz w:val="20"/>
          <w:szCs w:val="20"/>
        </w:rPr>
        <w:t xml:space="preserve"> </w:t>
      </w:r>
      <w:r w:rsidRPr="00366D91">
        <w:rPr>
          <w:rStyle w:val="Strong"/>
          <w:rFonts w:ascii="Verdana" w:hAnsi="Verdana"/>
          <w:b w:val="0"/>
          <w:sz w:val="20"/>
          <w:szCs w:val="20"/>
        </w:rPr>
        <w:t>que se ubican los siguientes</w:t>
      </w:r>
      <w:r w:rsidRPr="00D2614E">
        <w:rPr>
          <w:rFonts w:ascii="Verdana" w:hAnsi="Verdana"/>
          <w:sz w:val="20"/>
          <w:szCs w:val="20"/>
          <w:lang w:val="es-ES"/>
        </w:rPr>
        <w:t xml:space="preserve"> asentamientos </w:t>
      </w:r>
      <w:r w:rsidR="006D4D2C">
        <w:rPr>
          <w:rFonts w:ascii="Verdana" w:hAnsi="Verdana"/>
          <w:sz w:val="20"/>
          <w:szCs w:val="20"/>
          <w:lang w:val="es-ES"/>
        </w:rPr>
        <w:t>maroon</w:t>
      </w:r>
      <w:r w:rsidR="00F57D87">
        <w:rPr>
          <w:rFonts w:ascii="Verdana" w:hAnsi="Verdana"/>
          <w:sz w:val="20"/>
          <w:szCs w:val="20"/>
          <w:lang w:val="es-ES"/>
        </w:rPr>
        <w:t>s</w:t>
      </w:r>
      <w:r w:rsidRPr="00D2614E">
        <w:rPr>
          <w:rFonts w:ascii="Verdana" w:hAnsi="Verdana"/>
          <w:sz w:val="20"/>
          <w:szCs w:val="20"/>
          <w:lang w:val="es-ES"/>
        </w:rPr>
        <w:t>: 1</w:t>
      </w:r>
      <w:r w:rsidRPr="00366D91">
        <w:rPr>
          <w:rStyle w:val="Strong"/>
          <w:rFonts w:ascii="Verdana" w:hAnsi="Verdana"/>
          <w:b w:val="0"/>
          <w:sz w:val="20"/>
          <w:szCs w:val="20"/>
        </w:rPr>
        <w:t>) Albina; 2) Papatam; 3) Mankelekampu; 4) Mariakondre; 5) Eduardkondre; 6) Akoloikondre; 7) Bamboesi; 8) Koni</w:t>
      </w:r>
      <w:r w:rsidRPr="00D2614E">
        <w:rPr>
          <w:rFonts w:ascii="Verdana" w:hAnsi="Verdana"/>
          <w:sz w:val="20"/>
          <w:szCs w:val="20"/>
          <w:lang w:val="es-ES"/>
        </w:rPr>
        <w:t>; 9)</w:t>
      </w:r>
      <w:r w:rsidRPr="00366D91">
        <w:rPr>
          <w:rFonts w:ascii="Verdana" w:hAnsi="Verdana"/>
          <w:sz w:val="20"/>
          <w:szCs w:val="20"/>
          <w:lang w:val="es-ES"/>
        </w:rPr>
        <w:t xml:space="preserve"> </w:t>
      </w:r>
      <w:r w:rsidRPr="00366D91">
        <w:rPr>
          <w:rStyle w:val="Strong"/>
          <w:rFonts w:ascii="Verdana" w:hAnsi="Verdana"/>
          <w:b w:val="0"/>
          <w:sz w:val="20"/>
          <w:szCs w:val="20"/>
        </w:rPr>
        <w:t>Moengotapu, y 10) Adjoemakondre.</w:t>
      </w:r>
    </w:p>
    <w:p w14:paraId="10D17AFC" w14:textId="77777777" w:rsidR="00D2614E" w:rsidRPr="00D2614E" w:rsidRDefault="00D2614E" w:rsidP="00D2614E">
      <w:pPr>
        <w:jc w:val="both"/>
        <w:rPr>
          <w:rFonts w:ascii="Verdana" w:hAnsi="Verdana"/>
          <w:sz w:val="20"/>
          <w:szCs w:val="20"/>
          <w:lang w:val="es-ES"/>
        </w:rPr>
      </w:pPr>
    </w:p>
    <w:p w14:paraId="4F67DDB4" w14:textId="27EF7B5D" w:rsidR="00D2614E" w:rsidRPr="00D2614E" w:rsidRDefault="00D2614E" w:rsidP="00D2614E">
      <w:pPr>
        <w:pStyle w:val="ListParagraph"/>
        <w:numPr>
          <w:ilvl w:val="0"/>
          <w:numId w:val="2"/>
        </w:numPr>
        <w:ind w:left="0" w:hanging="11"/>
        <w:jc w:val="both"/>
        <w:rPr>
          <w:rFonts w:ascii="Verdana" w:hAnsi="Verdana"/>
          <w:sz w:val="20"/>
          <w:szCs w:val="20"/>
          <w:lang w:val="es-ES"/>
        </w:rPr>
      </w:pPr>
      <w:r w:rsidRPr="00D2614E">
        <w:rPr>
          <w:rFonts w:ascii="Verdana" w:hAnsi="Verdana"/>
          <w:sz w:val="20"/>
          <w:szCs w:val="20"/>
          <w:lang w:val="es-ES"/>
        </w:rPr>
        <w:t xml:space="preserve">Asimismo, la Corte carece de información suficiente que le permita aclarar los </w:t>
      </w:r>
      <w:r w:rsidRPr="0014074B">
        <w:rPr>
          <w:rFonts w:ascii="Verdana" w:hAnsi="Verdana"/>
          <w:sz w:val="20"/>
          <w:szCs w:val="20"/>
          <w:lang w:val="es-ES"/>
        </w:rPr>
        <w:t xml:space="preserve">argumentos relacionados con diversos asentamientos </w:t>
      </w:r>
      <w:r w:rsidR="006D4D2C">
        <w:rPr>
          <w:rFonts w:ascii="Verdana" w:hAnsi="Verdana"/>
          <w:sz w:val="20"/>
          <w:szCs w:val="20"/>
          <w:lang w:val="es-ES"/>
        </w:rPr>
        <w:t>maroon</w:t>
      </w:r>
      <w:r w:rsidR="00F57D87">
        <w:rPr>
          <w:rFonts w:ascii="Verdana" w:hAnsi="Verdana"/>
          <w:sz w:val="20"/>
          <w:szCs w:val="20"/>
          <w:lang w:val="es-ES"/>
        </w:rPr>
        <w:t>s</w:t>
      </w:r>
      <w:r w:rsidRPr="0014074B">
        <w:rPr>
          <w:rFonts w:ascii="Verdana" w:hAnsi="Verdana"/>
          <w:sz w:val="20"/>
          <w:szCs w:val="20"/>
          <w:lang w:val="es-ES"/>
        </w:rPr>
        <w:t xml:space="preserve">. En cuanto a los asentamientos </w:t>
      </w:r>
      <w:r w:rsidR="006D4D2C">
        <w:rPr>
          <w:rFonts w:ascii="Verdana" w:hAnsi="Verdana"/>
          <w:sz w:val="20"/>
          <w:szCs w:val="20"/>
          <w:lang w:val="es-ES"/>
        </w:rPr>
        <w:t>maroon</w:t>
      </w:r>
      <w:r w:rsidR="00F57D87">
        <w:rPr>
          <w:rFonts w:ascii="Verdana" w:hAnsi="Verdana"/>
          <w:sz w:val="20"/>
          <w:szCs w:val="20"/>
          <w:lang w:val="es-ES"/>
        </w:rPr>
        <w:t>s</w:t>
      </w:r>
      <w:r w:rsidRPr="0014074B">
        <w:rPr>
          <w:rFonts w:ascii="Verdana" w:hAnsi="Verdana"/>
          <w:sz w:val="20"/>
          <w:szCs w:val="20"/>
          <w:lang w:val="es-ES"/>
        </w:rPr>
        <w:t xml:space="preserve"> de 1) Bilokondre, que se encuentra ubicado entre las comunidades de </w:t>
      </w:r>
      <w:r w:rsidRPr="00366D91">
        <w:rPr>
          <w:rStyle w:val="Strong"/>
          <w:rFonts w:ascii="Verdana" w:hAnsi="Verdana"/>
          <w:b w:val="0"/>
          <w:sz w:val="20"/>
          <w:szCs w:val="20"/>
        </w:rPr>
        <w:t>Pierrekondre y Marijkedorp (Wan Shi Sha)</w:t>
      </w:r>
      <w:r w:rsidRPr="00D2614E">
        <w:rPr>
          <w:rFonts w:ascii="Verdana" w:hAnsi="Verdana"/>
          <w:sz w:val="20"/>
          <w:szCs w:val="20"/>
          <w:lang w:val="es-ES"/>
        </w:rPr>
        <w:t>; 2) Kronto</w:t>
      </w:r>
      <w:r w:rsidR="00635B8D">
        <w:rPr>
          <w:rFonts w:ascii="Verdana" w:hAnsi="Verdana"/>
          <w:sz w:val="20"/>
          <w:szCs w:val="20"/>
          <w:lang w:val="es-ES"/>
        </w:rPr>
        <w:t>k</w:t>
      </w:r>
      <w:r w:rsidRPr="00D2614E">
        <w:rPr>
          <w:rFonts w:ascii="Verdana" w:hAnsi="Verdana"/>
          <w:sz w:val="20"/>
          <w:szCs w:val="20"/>
          <w:lang w:val="es-ES"/>
        </w:rPr>
        <w:t>ondre; 3) Soke, 4) Pakirakondre</w:t>
      </w:r>
      <w:r w:rsidR="00FB4175">
        <w:rPr>
          <w:rFonts w:ascii="Verdana" w:hAnsi="Verdana"/>
          <w:sz w:val="20"/>
          <w:szCs w:val="20"/>
          <w:lang w:val="es-ES"/>
        </w:rPr>
        <w:t>,</w:t>
      </w:r>
      <w:r w:rsidRPr="00D2614E">
        <w:rPr>
          <w:rFonts w:ascii="Verdana" w:hAnsi="Verdana"/>
          <w:sz w:val="20"/>
          <w:szCs w:val="20"/>
          <w:lang w:val="es-ES"/>
        </w:rPr>
        <w:t xml:space="preserve"> y 5) Mopikondre, que se encuentran ubicados en </w:t>
      </w:r>
      <w:r w:rsidR="00635B8D">
        <w:rPr>
          <w:rFonts w:ascii="Verdana" w:hAnsi="Verdana"/>
          <w:sz w:val="20"/>
          <w:szCs w:val="20"/>
          <w:lang w:val="es-ES"/>
        </w:rPr>
        <w:t xml:space="preserve">las cercanías de </w:t>
      </w:r>
      <w:r w:rsidRPr="00D2614E">
        <w:rPr>
          <w:rFonts w:ascii="Verdana" w:hAnsi="Verdana"/>
          <w:sz w:val="20"/>
          <w:szCs w:val="20"/>
          <w:lang w:val="es-ES"/>
        </w:rPr>
        <w:t xml:space="preserve">la comunidad </w:t>
      </w:r>
      <w:r w:rsidR="00414D80">
        <w:rPr>
          <w:rFonts w:ascii="Verdana" w:hAnsi="Verdana"/>
          <w:sz w:val="20"/>
          <w:szCs w:val="20"/>
          <w:lang w:val="es-ES"/>
        </w:rPr>
        <w:t xml:space="preserve">Kaliña </w:t>
      </w:r>
      <w:r w:rsidRPr="00D2614E">
        <w:rPr>
          <w:rFonts w:ascii="Verdana" w:hAnsi="Verdana"/>
          <w:sz w:val="20"/>
          <w:szCs w:val="20"/>
          <w:lang w:val="es-ES"/>
        </w:rPr>
        <w:t xml:space="preserve">de Bigiston, </w:t>
      </w:r>
      <w:r w:rsidRPr="0014074B">
        <w:rPr>
          <w:rFonts w:ascii="Verdana" w:hAnsi="Verdana"/>
          <w:sz w:val="20"/>
          <w:szCs w:val="20"/>
          <w:lang w:val="es-ES"/>
        </w:rPr>
        <w:t xml:space="preserve">la Corte observa que lo señalado por los representantes no esclarece si los </w:t>
      </w:r>
      <w:r w:rsidR="00382F4D">
        <w:rPr>
          <w:rFonts w:ascii="Verdana" w:hAnsi="Verdana"/>
          <w:sz w:val="20"/>
          <w:szCs w:val="20"/>
          <w:lang w:val="es-ES"/>
        </w:rPr>
        <w:t>Pueblos Kaliña y Lokono</w:t>
      </w:r>
      <w:r w:rsidRPr="0014074B">
        <w:rPr>
          <w:rFonts w:ascii="Verdana" w:hAnsi="Verdana"/>
          <w:sz w:val="20"/>
          <w:szCs w:val="20"/>
          <w:lang w:val="es-ES"/>
        </w:rPr>
        <w:t xml:space="preserve"> reclaman derechos a la propiedad indígena ancestral sobre los territorios en los cuales se encuentran dichos asentamientos </w:t>
      </w:r>
      <w:r w:rsidR="006D4D2C">
        <w:rPr>
          <w:rFonts w:ascii="Verdana" w:hAnsi="Verdana"/>
          <w:sz w:val="20"/>
          <w:szCs w:val="20"/>
          <w:lang w:val="es-ES"/>
        </w:rPr>
        <w:t>maroon</w:t>
      </w:r>
      <w:r w:rsidR="00F57D87">
        <w:rPr>
          <w:rFonts w:ascii="Verdana" w:hAnsi="Verdana"/>
          <w:sz w:val="20"/>
          <w:szCs w:val="20"/>
          <w:lang w:val="es-ES"/>
        </w:rPr>
        <w:t>s</w:t>
      </w:r>
      <w:r w:rsidRPr="0014074B">
        <w:rPr>
          <w:rFonts w:ascii="Verdana" w:hAnsi="Verdana"/>
          <w:sz w:val="20"/>
          <w:szCs w:val="20"/>
          <w:lang w:val="es-ES"/>
        </w:rPr>
        <w:t>, a la vez que los asentamientos de Soke, Pak</w:t>
      </w:r>
      <w:r w:rsidRPr="00D2614E">
        <w:rPr>
          <w:rFonts w:ascii="Verdana" w:hAnsi="Verdana"/>
          <w:sz w:val="20"/>
          <w:szCs w:val="20"/>
          <w:lang w:val="es-ES"/>
        </w:rPr>
        <w:t xml:space="preserve">irakondre y Mopikondre no fueron señalados por el Estado. </w:t>
      </w:r>
    </w:p>
    <w:p w14:paraId="5EB11928" w14:textId="77777777" w:rsidR="00D2614E" w:rsidRPr="00CB1418" w:rsidRDefault="00D2614E" w:rsidP="00D2614E">
      <w:pPr>
        <w:pStyle w:val="ListParagraph"/>
        <w:rPr>
          <w:rFonts w:ascii="Verdana" w:hAnsi="Verdana"/>
          <w:sz w:val="20"/>
          <w:szCs w:val="20"/>
          <w:lang w:val="es-ES"/>
        </w:rPr>
      </w:pPr>
    </w:p>
    <w:p w14:paraId="4B1EFA68" w14:textId="77777777" w:rsidR="00D2614E" w:rsidRPr="00710FCB" w:rsidRDefault="00D2614E" w:rsidP="00D2614E">
      <w:pPr>
        <w:pStyle w:val="ListParagraph"/>
        <w:numPr>
          <w:ilvl w:val="0"/>
          <w:numId w:val="2"/>
        </w:numPr>
        <w:ind w:left="0" w:hanging="11"/>
        <w:jc w:val="both"/>
        <w:rPr>
          <w:rFonts w:ascii="Verdana" w:hAnsi="Verdana"/>
          <w:sz w:val="20"/>
          <w:szCs w:val="20"/>
          <w:lang w:val="es-ES"/>
        </w:rPr>
      </w:pPr>
      <w:r w:rsidRPr="00D2614E">
        <w:rPr>
          <w:rFonts w:ascii="Verdana" w:hAnsi="Verdana"/>
          <w:sz w:val="20"/>
          <w:szCs w:val="20"/>
          <w:lang w:val="es-ES"/>
        </w:rPr>
        <w:t xml:space="preserve">Por otra parte, los asentamientos </w:t>
      </w:r>
      <w:r w:rsidR="006D4D2C">
        <w:rPr>
          <w:rFonts w:ascii="Verdana" w:hAnsi="Verdana"/>
          <w:sz w:val="20"/>
          <w:szCs w:val="20"/>
          <w:lang w:val="es-ES"/>
        </w:rPr>
        <w:t>maroon</w:t>
      </w:r>
      <w:r w:rsidR="00F57D87">
        <w:rPr>
          <w:rFonts w:ascii="Verdana" w:hAnsi="Verdana"/>
          <w:sz w:val="20"/>
          <w:szCs w:val="20"/>
          <w:lang w:val="es-ES"/>
        </w:rPr>
        <w:t>s</w:t>
      </w:r>
      <w:r w:rsidRPr="00D2614E">
        <w:rPr>
          <w:rFonts w:ascii="Verdana" w:hAnsi="Verdana"/>
          <w:sz w:val="20"/>
          <w:szCs w:val="20"/>
          <w:lang w:val="es-ES"/>
        </w:rPr>
        <w:t xml:space="preserve"> de: 1) Onikaikondre; 2) Manjabong; 3) Bonikondre o Baajoebekampu; 4) Nengrekriki; 5) Solegakampu y 6) Brunswijkkamp fueron señalados por el Estado pero lo</w:t>
      </w:r>
      <w:r w:rsidRPr="00710FCB">
        <w:rPr>
          <w:rFonts w:ascii="Verdana" w:hAnsi="Verdana"/>
          <w:sz w:val="20"/>
          <w:szCs w:val="20"/>
          <w:lang w:val="es-ES"/>
        </w:rPr>
        <w:t xml:space="preserve">s representantes no se refirieron respecto de ellos, por lo cual la Corte carece de certeza sobre su ubicación y si los territorios en los cuales se encuentran dichos asentamientos </w:t>
      </w:r>
      <w:r w:rsidR="006D4D2C">
        <w:rPr>
          <w:rFonts w:ascii="Verdana" w:hAnsi="Verdana"/>
          <w:sz w:val="20"/>
          <w:szCs w:val="20"/>
          <w:lang w:val="es-ES"/>
        </w:rPr>
        <w:t>maroon</w:t>
      </w:r>
      <w:r w:rsidR="00F57D87">
        <w:rPr>
          <w:rFonts w:ascii="Verdana" w:hAnsi="Verdana"/>
          <w:sz w:val="20"/>
          <w:szCs w:val="20"/>
          <w:lang w:val="es-ES"/>
        </w:rPr>
        <w:t>s</w:t>
      </w:r>
      <w:r w:rsidRPr="00710FCB">
        <w:rPr>
          <w:rFonts w:ascii="Verdana" w:hAnsi="Verdana"/>
          <w:sz w:val="20"/>
          <w:szCs w:val="20"/>
          <w:lang w:val="es-ES"/>
        </w:rPr>
        <w:t xml:space="preserve"> comprenden el reclamo de los </w:t>
      </w:r>
      <w:r w:rsidR="00382F4D">
        <w:rPr>
          <w:rFonts w:ascii="Verdana" w:hAnsi="Verdana"/>
          <w:sz w:val="20"/>
          <w:szCs w:val="20"/>
          <w:lang w:val="es-ES"/>
        </w:rPr>
        <w:t>Pueblos Kaliña y Lokono</w:t>
      </w:r>
      <w:r w:rsidRPr="00710FCB">
        <w:rPr>
          <w:rFonts w:ascii="Verdana" w:hAnsi="Verdana"/>
          <w:sz w:val="20"/>
          <w:szCs w:val="20"/>
          <w:lang w:val="es-ES"/>
        </w:rPr>
        <w:t>.</w:t>
      </w:r>
    </w:p>
    <w:p w14:paraId="7E7950AD" w14:textId="77777777" w:rsidR="00926E61" w:rsidRPr="00B657DA" w:rsidRDefault="00926E61" w:rsidP="00366D91">
      <w:pPr>
        <w:pStyle w:val="ListParagraph"/>
        <w:ind w:left="0"/>
        <w:jc w:val="both"/>
        <w:rPr>
          <w:rFonts w:ascii="Verdana" w:hAnsi="Verdana"/>
          <w:sz w:val="20"/>
          <w:szCs w:val="20"/>
          <w:lang w:val="es-ES"/>
        </w:rPr>
      </w:pPr>
    </w:p>
    <w:p w14:paraId="0F190871" w14:textId="77777777" w:rsidR="00926E61" w:rsidRPr="004D5C3E" w:rsidRDefault="00926E61" w:rsidP="00E26926">
      <w:pPr>
        <w:pStyle w:val="Heading2"/>
        <w:numPr>
          <w:ilvl w:val="0"/>
          <w:numId w:val="10"/>
        </w:numPr>
        <w:spacing w:before="0"/>
        <w:jc w:val="both"/>
        <w:rPr>
          <w:rFonts w:ascii="Verdana" w:hAnsi="Verdana"/>
          <w:b w:val="0"/>
          <w:sz w:val="20"/>
          <w:szCs w:val="20"/>
          <w:lang w:val="es-MX"/>
        </w:rPr>
      </w:pPr>
      <w:bookmarkStart w:id="19" w:name="_Toc441666160"/>
      <w:r w:rsidRPr="00E26926">
        <w:rPr>
          <w:rFonts w:ascii="Verdana" w:hAnsi="Verdana"/>
          <w:bCs w:val="0"/>
          <w:i/>
          <w:color w:val="auto"/>
          <w:sz w:val="20"/>
          <w:szCs w:val="20"/>
        </w:rPr>
        <w:t xml:space="preserve">Los pueblos indígenas de acuerdo con el ordenamiento jurídico de </w:t>
      </w:r>
      <w:r w:rsidR="00563E11">
        <w:rPr>
          <w:rFonts w:ascii="Verdana" w:hAnsi="Verdana"/>
          <w:bCs w:val="0"/>
          <w:i/>
          <w:color w:val="auto"/>
          <w:sz w:val="20"/>
          <w:szCs w:val="20"/>
        </w:rPr>
        <w:t>Surinam</w:t>
      </w:r>
      <w:bookmarkEnd w:id="19"/>
    </w:p>
    <w:p w14:paraId="4E6599D0" w14:textId="77777777" w:rsidR="00926E61" w:rsidRPr="00262413" w:rsidRDefault="00926E61" w:rsidP="00926E61">
      <w:pPr>
        <w:jc w:val="both"/>
        <w:rPr>
          <w:rStyle w:val="Strong"/>
          <w:rFonts w:ascii="Verdana" w:hAnsi="Verdana"/>
          <w:b w:val="0"/>
          <w:sz w:val="20"/>
          <w:szCs w:val="20"/>
          <w:lang w:val="es-ES"/>
        </w:rPr>
      </w:pPr>
    </w:p>
    <w:p w14:paraId="2ACA9455" w14:textId="727425DB" w:rsidR="00926E61" w:rsidRPr="00262413" w:rsidRDefault="00926E61" w:rsidP="00B935FA">
      <w:pPr>
        <w:pStyle w:val="ListParagraph"/>
        <w:numPr>
          <w:ilvl w:val="0"/>
          <w:numId w:val="2"/>
        </w:numPr>
        <w:ind w:left="0" w:hanging="11"/>
        <w:jc w:val="both"/>
        <w:rPr>
          <w:rStyle w:val="Strong"/>
          <w:rFonts w:ascii="Verdana" w:hAnsi="Verdana"/>
          <w:b w:val="0"/>
          <w:sz w:val="20"/>
          <w:szCs w:val="20"/>
          <w:lang w:val="es-ES"/>
        </w:rPr>
      </w:pPr>
      <w:r w:rsidRPr="00926E61">
        <w:rPr>
          <w:rStyle w:val="Strong"/>
          <w:rFonts w:ascii="Verdana" w:hAnsi="Verdana"/>
          <w:b w:val="0"/>
          <w:sz w:val="20"/>
          <w:szCs w:val="20"/>
          <w:lang w:val="es-ES"/>
        </w:rPr>
        <w:t xml:space="preserve">Es un hecho no controvertido que el ordenamiento interno de </w:t>
      </w:r>
      <w:r w:rsidR="00563E11" w:rsidRPr="00C15E08">
        <w:rPr>
          <w:rStyle w:val="Strong"/>
          <w:rFonts w:ascii="Verdana" w:hAnsi="Verdana"/>
          <w:b w:val="0"/>
          <w:sz w:val="20"/>
          <w:szCs w:val="20"/>
          <w:lang w:val="es-ES"/>
        </w:rPr>
        <w:t>Surinam</w:t>
      </w:r>
      <w:r w:rsidR="00C15E08" w:rsidRPr="00190AD3">
        <w:rPr>
          <w:rStyle w:val="Strong"/>
          <w:rFonts w:ascii="Verdana" w:hAnsi="Verdana"/>
          <w:b w:val="0"/>
          <w:sz w:val="20"/>
          <w:lang w:val="es-ES"/>
        </w:rPr>
        <w:t xml:space="preserve"> </w:t>
      </w:r>
      <w:r w:rsidRPr="00C15E08">
        <w:rPr>
          <w:rStyle w:val="Strong"/>
          <w:rFonts w:ascii="Verdana" w:hAnsi="Verdana"/>
          <w:b w:val="0"/>
          <w:sz w:val="20"/>
          <w:lang w:val="es-ES"/>
        </w:rPr>
        <w:t>no</w:t>
      </w:r>
      <w:r w:rsidRPr="00842770">
        <w:rPr>
          <w:rStyle w:val="Strong"/>
          <w:rFonts w:ascii="Verdana" w:hAnsi="Verdana"/>
          <w:b w:val="0"/>
          <w:sz w:val="20"/>
          <w:lang w:val="es-ES"/>
        </w:rPr>
        <w:t xml:space="preserve"> </w:t>
      </w:r>
      <w:r w:rsidRPr="00842770">
        <w:rPr>
          <w:rStyle w:val="Strong"/>
          <w:rFonts w:ascii="Verdana" w:hAnsi="Verdana"/>
          <w:b w:val="0"/>
          <w:sz w:val="20"/>
          <w:szCs w:val="20"/>
          <w:lang w:val="es-ES"/>
        </w:rPr>
        <w:t>r</w:t>
      </w:r>
      <w:r w:rsidRPr="00926E61">
        <w:rPr>
          <w:rStyle w:val="Strong"/>
          <w:rFonts w:ascii="Verdana" w:hAnsi="Verdana"/>
          <w:b w:val="0"/>
          <w:sz w:val="20"/>
          <w:szCs w:val="20"/>
          <w:lang w:val="es-ES"/>
        </w:rPr>
        <w:t>econoce la posibilidad de que los pueblos indígenas se constituyan como personas jurídicas, y en consecuencia carecen de capacidad para ostentar títulos de propiedad colectivos. En este sentido, durante la audiencia pública del presente caso,</w:t>
      </w:r>
      <w:r w:rsidR="000D7ED1">
        <w:rPr>
          <w:rStyle w:val="Strong"/>
          <w:rFonts w:ascii="Verdana" w:hAnsi="Verdana"/>
          <w:b w:val="0"/>
          <w:sz w:val="20"/>
          <w:szCs w:val="20"/>
          <w:lang w:val="es-ES"/>
        </w:rPr>
        <w:t xml:space="preserve"> </w:t>
      </w:r>
      <w:r w:rsidRPr="00926E61">
        <w:rPr>
          <w:rStyle w:val="Strong"/>
          <w:rFonts w:ascii="Verdana" w:hAnsi="Verdana"/>
          <w:b w:val="0"/>
          <w:sz w:val="20"/>
          <w:szCs w:val="20"/>
          <w:lang w:val="es-ES"/>
        </w:rPr>
        <w:t>el Estado manifestó que “</w:t>
      </w:r>
      <w:r w:rsidRPr="00262413">
        <w:rPr>
          <w:rFonts w:ascii="Verdana" w:hAnsi="Verdana"/>
          <w:sz w:val="20"/>
          <w:szCs w:val="20"/>
          <w:lang w:val="es-ES"/>
        </w:rPr>
        <w:t xml:space="preserve">en la legislación de </w:t>
      </w:r>
      <w:r w:rsidR="00563E11">
        <w:rPr>
          <w:rFonts w:ascii="Verdana" w:hAnsi="Verdana"/>
          <w:sz w:val="20"/>
          <w:szCs w:val="20"/>
          <w:lang w:val="es-ES"/>
        </w:rPr>
        <w:t>Surinam</w:t>
      </w:r>
      <w:r w:rsidRPr="00262413">
        <w:rPr>
          <w:rFonts w:ascii="Verdana" w:hAnsi="Verdana"/>
          <w:sz w:val="20"/>
          <w:szCs w:val="20"/>
          <w:lang w:val="es-ES"/>
        </w:rPr>
        <w:t xml:space="preserve"> se le otorga [la personalidad jurídica] únicamente a las personas naturales y legales, y no </w:t>
      </w:r>
      <w:r>
        <w:rPr>
          <w:rFonts w:ascii="Verdana" w:hAnsi="Verdana"/>
          <w:sz w:val="20"/>
          <w:szCs w:val="20"/>
          <w:lang w:val="es-ES"/>
        </w:rPr>
        <w:t>[…]</w:t>
      </w:r>
      <w:r w:rsidRPr="00262413">
        <w:rPr>
          <w:rFonts w:ascii="Verdana" w:hAnsi="Verdana"/>
          <w:sz w:val="20"/>
          <w:szCs w:val="20"/>
          <w:lang w:val="es-ES"/>
        </w:rPr>
        <w:t xml:space="preserve"> a los pueblos indígenas y tribales”</w:t>
      </w:r>
      <w:r w:rsidR="008A4ABB" w:rsidRPr="007E20F9">
        <w:rPr>
          <w:rFonts w:ascii="Verdana" w:hAnsi="Verdana"/>
          <w:sz w:val="20"/>
          <w:szCs w:val="20"/>
          <w:lang w:val="es-ES"/>
        </w:rPr>
        <w:t>.</w:t>
      </w:r>
      <w:r w:rsidRPr="00B95AA2">
        <w:rPr>
          <w:rFonts w:ascii="Verdana" w:hAnsi="Verdana"/>
          <w:sz w:val="20"/>
          <w:szCs w:val="20"/>
          <w:lang w:val="es-ES"/>
        </w:rPr>
        <w:t xml:space="preserve"> </w:t>
      </w:r>
      <w:r w:rsidRPr="00262413">
        <w:rPr>
          <w:rFonts w:ascii="Verdana" w:hAnsi="Verdana"/>
          <w:sz w:val="20"/>
          <w:szCs w:val="20"/>
          <w:lang w:val="es-ES"/>
        </w:rPr>
        <w:t>Lo anterior</w:t>
      </w:r>
      <w:r w:rsidRPr="00B95AA2">
        <w:rPr>
          <w:rFonts w:ascii="Verdana" w:hAnsi="Verdana"/>
          <w:sz w:val="20"/>
          <w:szCs w:val="20"/>
          <w:lang w:val="es-ES"/>
        </w:rPr>
        <w:t xml:space="preserve"> fue </w:t>
      </w:r>
      <w:r w:rsidRPr="00262413">
        <w:rPr>
          <w:rFonts w:ascii="Verdana" w:hAnsi="Verdana"/>
          <w:sz w:val="20"/>
          <w:szCs w:val="20"/>
          <w:lang w:val="es-ES"/>
        </w:rPr>
        <w:t>reafirmado</w:t>
      </w:r>
      <w:r w:rsidRPr="00476874">
        <w:rPr>
          <w:rFonts w:ascii="Verdana" w:hAnsi="Verdana"/>
          <w:sz w:val="20"/>
          <w:szCs w:val="20"/>
          <w:lang w:val="es-ES"/>
        </w:rPr>
        <w:t xml:space="preserve"> por los representantes indígenas de la Asamblea Nacional </w:t>
      </w:r>
      <w:r>
        <w:rPr>
          <w:rFonts w:ascii="Verdana" w:hAnsi="Verdana"/>
          <w:sz w:val="20"/>
          <w:szCs w:val="20"/>
          <w:lang w:val="es-ES"/>
        </w:rPr>
        <w:t xml:space="preserve">de </w:t>
      </w:r>
      <w:r w:rsidR="00563E11">
        <w:rPr>
          <w:rFonts w:ascii="Verdana" w:hAnsi="Verdana"/>
          <w:sz w:val="20"/>
          <w:szCs w:val="20"/>
          <w:lang w:val="es-ES"/>
        </w:rPr>
        <w:t>Surinam</w:t>
      </w:r>
      <w:r>
        <w:rPr>
          <w:rFonts w:ascii="Verdana" w:hAnsi="Verdana"/>
          <w:sz w:val="20"/>
          <w:szCs w:val="20"/>
          <w:lang w:val="es-ES"/>
        </w:rPr>
        <w:t xml:space="preserve"> </w:t>
      </w:r>
      <w:r w:rsidRPr="00476874">
        <w:rPr>
          <w:rFonts w:ascii="Verdana" w:hAnsi="Verdana"/>
          <w:sz w:val="20"/>
          <w:szCs w:val="20"/>
          <w:lang w:val="es-ES"/>
        </w:rPr>
        <w:t xml:space="preserve">durante </w:t>
      </w:r>
      <w:r w:rsidRPr="00B95AA2">
        <w:rPr>
          <w:rFonts w:ascii="Verdana" w:hAnsi="Verdana"/>
          <w:sz w:val="20"/>
          <w:szCs w:val="20"/>
          <w:lang w:val="es-ES"/>
        </w:rPr>
        <w:t xml:space="preserve">las diligencias </w:t>
      </w:r>
      <w:r w:rsidRPr="00B95AA2">
        <w:rPr>
          <w:rFonts w:ascii="Verdana" w:hAnsi="Verdana"/>
          <w:i/>
          <w:sz w:val="20"/>
          <w:szCs w:val="20"/>
          <w:lang w:val="es-ES"/>
        </w:rPr>
        <w:t>in situ</w:t>
      </w:r>
      <w:r w:rsidRPr="00B95AA2">
        <w:rPr>
          <w:rFonts w:ascii="Verdana" w:hAnsi="Verdana"/>
          <w:sz w:val="20"/>
          <w:szCs w:val="20"/>
          <w:lang w:val="es-ES"/>
        </w:rPr>
        <w:t xml:space="preserve"> </w:t>
      </w:r>
      <w:r w:rsidRPr="00262413">
        <w:rPr>
          <w:rFonts w:ascii="Verdana" w:hAnsi="Verdana"/>
          <w:sz w:val="20"/>
          <w:szCs w:val="20"/>
          <w:lang w:val="es-ES"/>
        </w:rPr>
        <w:t>realizadas en</w:t>
      </w:r>
      <w:r w:rsidRPr="00B95AA2">
        <w:rPr>
          <w:rFonts w:ascii="Verdana" w:hAnsi="Verdana"/>
          <w:sz w:val="20"/>
          <w:szCs w:val="20"/>
          <w:lang w:val="es-ES"/>
        </w:rPr>
        <w:t xml:space="preserve"> presente caso. </w:t>
      </w:r>
    </w:p>
    <w:p w14:paraId="38A95D91" w14:textId="77777777" w:rsidR="00926E61" w:rsidRPr="004D5C3E" w:rsidRDefault="00926E61" w:rsidP="00926E61">
      <w:pPr>
        <w:jc w:val="both"/>
        <w:rPr>
          <w:rStyle w:val="Strong"/>
          <w:rFonts w:ascii="Verdana" w:hAnsi="Verdana"/>
          <w:b w:val="0"/>
          <w:sz w:val="20"/>
          <w:szCs w:val="20"/>
          <w:lang w:val="es-ES"/>
        </w:rPr>
      </w:pPr>
    </w:p>
    <w:p w14:paraId="5477519A" w14:textId="77777777" w:rsidR="00926E61" w:rsidRDefault="00926E61" w:rsidP="00B935FA">
      <w:pPr>
        <w:pStyle w:val="ListParagraph"/>
        <w:numPr>
          <w:ilvl w:val="0"/>
          <w:numId w:val="2"/>
        </w:numPr>
        <w:ind w:left="0" w:hanging="11"/>
        <w:jc w:val="both"/>
        <w:rPr>
          <w:rFonts w:ascii="Verdana" w:hAnsi="Verdana"/>
          <w:sz w:val="20"/>
          <w:szCs w:val="20"/>
          <w:lang w:val="es-MX"/>
        </w:rPr>
      </w:pPr>
      <w:r w:rsidRPr="00E80197">
        <w:rPr>
          <w:rFonts w:ascii="Verdana" w:hAnsi="Verdana"/>
          <w:sz w:val="20"/>
          <w:szCs w:val="20"/>
          <w:lang w:val="es-ES"/>
        </w:rPr>
        <w:t xml:space="preserve">Además, se constata que mediante el Acuerdo de Paz de </w:t>
      </w:r>
      <w:r w:rsidRPr="00E80197">
        <w:rPr>
          <w:rFonts w:ascii="Verdana" w:hAnsi="Verdana"/>
          <w:sz w:val="20"/>
          <w:szCs w:val="20"/>
          <w:lang w:val="es-MX"/>
        </w:rPr>
        <w:t>Lelydorp de 1992 el Estado se comprometió a crear mecanismos legales para proveer protecciones p</w:t>
      </w:r>
      <w:r w:rsidRPr="00262413">
        <w:rPr>
          <w:rFonts w:ascii="Verdana" w:hAnsi="Verdana"/>
          <w:sz w:val="20"/>
          <w:szCs w:val="20"/>
          <w:lang w:val="es-MX"/>
        </w:rPr>
        <w:t xml:space="preserve">ara las tierras de los pueblos indígenas y tribales. En este sentido, el artículo 10 del referido Acuerdo establecía, entre otros, que “[e]l Gobierno procurará la creación de normativa interna, mediante la cual los ciudadanos que habiten en </w:t>
      </w:r>
      <w:r w:rsidR="00E26926">
        <w:rPr>
          <w:rFonts w:ascii="Verdana" w:hAnsi="Verdana"/>
          <w:sz w:val="20"/>
          <w:szCs w:val="20"/>
          <w:lang w:val="es-MX"/>
        </w:rPr>
        <w:t xml:space="preserve">asentamientos con características </w:t>
      </w:r>
      <w:r w:rsidRPr="00262413">
        <w:rPr>
          <w:rFonts w:ascii="Verdana" w:hAnsi="Verdana"/>
          <w:sz w:val="20"/>
          <w:szCs w:val="20"/>
          <w:lang w:val="es-MX"/>
        </w:rPr>
        <w:t xml:space="preserve">tribales podrán asegurar un </w:t>
      </w:r>
      <w:r w:rsidRPr="00262413">
        <w:rPr>
          <w:rFonts w:ascii="Verdana" w:hAnsi="Verdana"/>
          <w:sz w:val="20"/>
          <w:szCs w:val="20"/>
          <w:lang w:val="es-MX"/>
        </w:rPr>
        <w:lastRenderedPageBreak/>
        <w:t>título de propiedad legítimo en sus áreas de residencia</w:t>
      </w:r>
      <w:r>
        <w:rPr>
          <w:rFonts w:ascii="Verdana" w:hAnsi="Verdana"/>
          <w:sz w:val="20"/>
          <w:szCs w:val="20"/>
          <w:lang w:val="es-MX"/>
        </w:rPr>
        <w:t>. 2. La demarcación y extensión de las áreas residenciales respectivas […] serán determinadas sobre la base de un estudio ejecutado al respecto por el Consejo de Desarrollo Interior</w:t>
      </w:r>
      <w:r w:rsidRPr="00262413">
        <w:rPr>
          <w:rFonts w:ascii="Verdana" w:hAnsi="Verdana"/>
          <w:sz w:val="20"/>
          <w:szCs w:val="20"/>
          <w:lang w:val="es-MX"/>
        </w:rPr>
        <w:t>”. Sin embargo, el Estado no ha adoptado ninguna medida para dar efecto a esta disposición</w:t>
      </w:r>
      <w:r w:rsidRPr="00262413">
        <w:rPr>
          <w:rStyle w:val="FootnoteReference"/>
          <w:szCs w:val="20"/>
          <w:lang w:val="es-MX"/>
        </w:rPr>
        <w:footnoteReference w:id="60"/>
      </w:r>
      <w:r w:rsidRPr="00262413">
        <w:rPr>
          <w:rFonts w:ascii="Verdana" w:hAnsi="Verdana"/>
          <w:sz w:val="20"/>
          <w:szCs w:val="20"/>
          <w:lang w:val="es-MX"/>
        </w:rPr>
        <w:t>.</w:t>
      </w:r>
    </w:p>
    <w:p w14:paraId="1B9A9CE1" w14:textId="77777777" w:rsidR="00050600" w:rsidRPr="004B0145" w:rsidRDefault="00050600" w:rsidP="004B0145">
      <w:pPr>
        <w:pStyle w:val="ListParagraph"/>
        <w:rPr>
          <w:rFonts w:ascii="Verdana" w:hAnsi="Verdana"/>
          <w:sz w:val="20"/>
          <w:szCs w:val="20"/>
          <w:lang w:val="es-MX"/>
        </w:rPr>
      </w:pPr>
    </w:p>
    <w:p w14:paraId="00825731" w14:textId="77777777" w:rsidR="00926E61" w:rsidRDefault="00926E61" w:rsidP="00B935FA">
      <w:pPr>
        <w:pStyle w:val="ListParagraph"/>
        <w:numPr>
          <w:ilvl w:val="0"/>
          <w:numId w:val="2"/>
        </w:numPr>
        <w:ind w:left="0" w:hanging="11"/>
        <w:jc w:val="both"/>
        <w:rPr>
          <w:rFonts w:ascii="Verdana" w:hAnsi="Verdana"/>
          <w:sz w:val="20"/>
          <w:szCs w:val="20"/>
        </w:rPr>
      </w:pPr>
      <w:r w:rsidRPr="00926E61">
        <w:rPr>
          <w:rStyle w:val="Strong"/>
          <w:rFonts w:ascii="Verdana" w:hAnsi="Verdana"/>
          <w:b w:val="0"/>
          <w:sz w:val="20"/>
          <w:szCs w:val="20"/>
          <w:lang w:val="es-ES"/>
        </w:rPr>
        <w:t xml:space="preserve">Dicha situación fue previamente analizada por la Corte en el </w:t>
      </w:r>
      <w:r w:rsidR="00FB4175" w:rsidRPr="007E20F9">
        <w:rPr>
          <w:rStyle w:val="Strong"/>
          <w:rFonts w:ascii="Verdana" w:hAnsi="Verdana"/>
          <w:b w:val="0"/>
          <w:color w:val="000000"/>
          <w:sz w:val="20"/>
          <w:szCs w:val="20"/>
          <w:shd w:val="clear" w:color="auto" w:fill="FFFFFF"/>
        </w:rPr>
        <w:t>c</w:t>
      </w:r>
      <w:r w:rsidRPr="007E20F9">
        <w:rPr>
          <w:rStyle w:val="Strong"/>
          <w:rFonts w:ascii="Verdana" w:hAnsi="Verdana"/>
          <w:b w:val="0"/>
          <w:color w:val="000000"/>
          <w:sz w:val="20"/>
          <w:szCs w:val="20"/>
          <w:shd w:val="clear" w:color="auto" w:fill="FFFFFF"/>
        </w:rPr>
        <w:t>aso de la</w:t>
      </w:r>
      <w:r w:rsidRPr="00926E61">
        <w:rPr>
          <w:rStyle w:val="Strong"/>
          <w:rFonts w:ascii="Verdana" w:hAnsi="Verdana"/>
          <w:b w:val="0"/>
          <w:i/>
          <w:color w:val="000000"/>
          <w:sz w:val="20"/>
          <w:szCs w:val="20"/>
          <w:shd w:val="clear" w:color="auto" w:fill="FFFFFF"/>
        </w:rPr>
        <w:t xml:space="preserve"> Comunidad Moiwana Vs. </w:t>
      </w:r>
      <w:r w:rsidR="00563E11">
        <w:rPr>
          <w:rStyle w:val="Strong"/>
          <w:rFonts w:ascii="Verdana" w:hAnsi="Verdana"/>
          <w:b w:val="0"/>
          <w:i/>
          <w:color w:val="000000"/>
          <w:sz w:val="20"/>
          <w:szCs w:val="20"/>
          <w:shd w:val="clear" w:color="auto" w:fill="FFFFFF"/>
        </w:rPr>
        <w:t>Surinam</w:t>
      </w:r>
      <w:r w:rsidRPr="00926E61">
        <w:rPr>
          <w:rStyle w:val="Strong"/>
          <w:rFonts w:ascii="Verdana" w:hAnsi="Verdana"/>
          <w:b w:val="0"/>
          <w:color w:val="000000"/>
          <w:sz w:val="20"/>
          <w:szCs w:val="20"/>
          <w:shd w:val="clear" w:color="auto" w:fill="FFFFFF"/>
        </w:rPr>
        <w:t>, en el cual estableció como hecho probado que “[a]</w:t>
      </w:r>
      <w:r w:rsidRPr="00262413">
        <w:rPr>
          <w:rFonts w:ascii="Verdana" w:hAnsi="Verdana"/>
          <w:sz w:val="20"/>
          <w:szCs w:val="20"/>
        </w:rPr>
        <w:t xml:space="preserve"> pesar de que a los miembros individuales de las comunidades indígenas y tribales se les reconoce como personas en la Constitución de </w:t>
      </w:r>
      <w:r w:rsidR="00563E11">
        <w:rPr>
          <w:rFonts w:ascii="Verdana" w:hAnsi="Verdana"/>
          <w:sz w:val="20"/>
          <w:szCs w:val="20"/>
        </w:rPr>
        <w:t>Surinam</w:t>
      </w:r>
      <w:r w:rsidRPr="00262413">
        <w:rPr>
          <w:rFonts w:ascii="Verdana" w:hAnsi="Verdana"/>
          <w:sz w:val="20"/>
          <w:szCs w:val="20"/>
        </w:rPr>
        <w:t>, el ordenamiento jurídico del Estado no reconoce tales comunidades como entidades jurídicas. Igualmente, la legislación nacional no establece derechos colectivos a la propiedad”</w:t>
      </w:r>
      <w:r w:rsidRPr="00262413">
        <w:rPr>
          <w:rStyle w:val="FootnoteReference"/>
          <w:szCs w:val="20"/>
        </w:rPr>
        <w:footnoteReference w:id="61"/>
      </w:r>
      <w:r w:rsidRPr="00262413">
        <w:rPr>
          <w:rFonts w:ascii="Verdana" w:hAnsi="Verdana"/>
          <w:sz w:val="20"/>
          <w:szCs w:val="20"/>
        </w:rPr>
        <w:t>.</w:t>
      </w:r>
    </w:p>
    <w:p w14:paraId="2357A8E7" w14:textId="77777777" w:rsidR="00926E61" w:rsidRPr="00FC1FCF" w:rsidRDefault="00926E61" w:rsidP="00926E61">
      <w:pPr>
        <w:jc w:val="both"/>
        <w:rPr>
          <w:rFonts w:ascii="Verdana" w:hAnsi="Verdana"/>
          <w:sz w:val="20"/>
          <w:szCs w:val="20"/>
          <w:lang w:val="es-CR"/>
        </w:rPr>
      </w:pPr>
    </w:p>
    <w:p w14:paraId="74F75EF0" w14:textId="6CDD2AC8" w:rsidR="00926E61" w:rsidRPr="00020823" w:rsidRDefault="00926E61" w:rsidP="00B935FA">
      <w:pPr>
        <w:pStyle w:val="ListParagraph"/>
        <w:numPr>
          <w:ilvl w:val="0"/>
          <w:numId w:val="2"/>
        </w:numPr>
        <w:ind w:left="0" w:hanging="11"/>
        <w:jc w:val="both"/>
        <w:rPr>
          <w:rFonts w:ascii="Verdana" w:hAnsi="Verdana"/>
          <w:sz w:val="20"/>
          <w:szCs w:val="20"/>
        </w:rPr>
      </w:pPr>
      <w:r w:rsidRPr="00262413">
        <w:rPr>
          <w:rFonts w:ascii="Verdana" w:hAnsi="Verdana"/>
          <w:sz w:val="20"/>
          <w:szCs w:val="20"/>
        </w:rPr>
        <w:t xml:space="preserve">Asimismo, en el </w:t>
      </w:r>
      <w:r w:rsidR="00FB4175">
        <w:rPr>
          <w:rStyle w:val="Strong"/>
          <w:rFonts w:ascii="Verdana" w:hAnsi="Verdana"/>
          <w:b w:val="0"/>
          <w:color w:val="000000"/>
          <w:sz w:val="20"/>
          <w:szCs w:val="20"/>
          <w:shd w:val="clear" w:color="auto" w:fill="FFFFFF"/>
        </w:rPr>
        <w:t>c</w:t>
      </w:r>
      <w:r w:rsidRPr="007E20F9">
        <w:rPr>
          <w:rStyle w:val="Strong"/>
          <w:rFonts w:ascii="Verdana" w:hAnsi="Verdana"/>
          <w:b w:val="0"/>
          <w:color w:val="000000"/>
          <w:sz w:val="20"/>
          <w:szCs w:val="20"/>
          <w:shd w:val="clear" w:color="auto" w:fill="FFFFFF"/>
        </w:rPr>
        <w:t>aso del</w:t>
      </w:r>
      <w:r w:rsidRPr="00926E61">
        <w:rPr>
          <w:rStyle w:val="Strong"/>
          <w:rFonts w:ascii="Verdana" w:hAnsi="Verdana"/>
          <w:b w:val="0"/>
          <w:i/>
          <w:color w:val="000000"/>
          <w:sz w:val="20"/>
          <w:szCs w:val="20"/>
          <w:shd w:val="clear" w:color="auto" w:fill="FFFFFF"/>
        </w:rPr>
        <w:t xml:space="preserve"> Pueblo Saramaka Vs. </w:t>
      </w:r>
      <w:r w:rsidR="00563E11">
        <w:rPr>
          <w:rStyle w:val="Strong"/>
          <w:rFonts w:ascii="Verdana" w:hAnsi="Verdana"/>
          <w:b w:val="0"/>
          <w:i/>
          <w:color w:val="000000"/>
          <w:sz w:val="20"/>
          <w:szCs w:val="20"/>
          <w:shd w:val="clear" w:color="auto" w:fill="FFFFFF"/>
        </w:rPr>
        <w:t>Surinam</w:t>
      </w:r>
      <w:r w:rsidRPr="00926E61">
        <w:rPr>
          <w:rStyle w:val="Strong"/>
          <w:rFonts w:ascii="Verdana" w:hAnsi="Verdana"/>
          <w:b w:val="0"/>
          <w:color w:val="000000"/>
          <w:sz w:val="20"/>
          <w:szCs w:val="20"/>
          <w:shd w:val="clear" w:color="auto" w:fill="FFFFFF"/>
        </w:rPr>
        <w:t xml:space="preserve">, </w:t>
      </w:r>
      <w:r w:rsidRPr="00C07D70">
        <w:rPr>
          <w:rFonts w:ascii="Verdana" w:hAnsi="Verdana"/>
          <w:sz w:val="20"/>
          <w:szCs w:val="20"/>
        </w:rPr>
        <w:t>la Corte concluyó que “</w:t>
      </w:r>
      <w:r w:rsidRPr="00933C02">
        <w:rPr>
          <w:rFonts w:ascii="Verdana" w:hAnsi="Verdana"/>
          <w:sz w:val="20"/>
        </w:rPr>
        <w:t xml:space="preserve">el marco legal del Estado meramente le otorga a los integrantes del </w:t>
      </w:r>
      <w:r w:rsidR="00020823" w:rsidRPr="00415A21">
        <w:rPr>
          <w:rFonts w:ascii="Verdana" w:hAnsi="Verdana"/>
          <w:i/>
          <w:sz w:val="20"/>
        </w:rPr>
        <w:t>P</w:t>
      </w:r>
      <w:r w:rsidRPr="00415A21">
        <w:rPr>
          <w:rFonts w:ascii="Verdana" w:hAnsi="Verdana"/>
          <w:i/>
          <w:sz w:val="20"/>
        </w:rPr>
        <w:t>ueblo Saramaka</w:t>
      </w:r>
      <w:r w:rsidRPr="00933C02">
        <w:rPr>
          <w:rFonts w:ascii="Verdana" w:hAnsi="Verdana"/>
          <w:sz w:val="20"/>
        </w:rPr>
        <w:t xml:space="preserve"> un privilegio para usar la tierra, el cual no le garantiza el derecho de controlar efectivamente y ser propietarios de su territorio sin ningún tipo de interferencia externa”</w:t>
      </w:r>
      <w:r w:rsidRPr="00933C02">
        <w:rPr>
          <w:rStyle w:val="FootnoteReference"/>
        </w:rPr>
        <w:footnoteReference w:id="62"/>
      </w:r>
      <w:r w:rsidRPr="00933C02">
        <w:rPr>
          <w:rFonts w:ascii="Verdana" w:hAnsi="Verdana"/>
          <w:sz w:val="20"/>
        </w:rPr>
        <w:t>.</w:t>
      </w:r>
      <w:r w:rsidRPr="001B3698">
        <w:rPr>
          <w:rFonts w:ascii="Verdana" w:hAnsi="Verdana"/>
          <w:sz w:val="20"/>
        </w:rPr>
        <w:t xml:space="preserve">  </w:t>
      </w:r>
    </w:p>
    <w:p w14:paraId="1A61D6E9" w14:textId="77777777" w:rsidR="00020823" w:rsidRPr="00476874" w:rsidRDefault="00020823" w:rsidP="004B0145">
      <w:pPr>
        <w:pStyle w:val="ListParagraph"/>
        <w:ind w:left="0"/>
        <w:jc w:val="both"/>
        <w:rPr>
          <w:rFonts w:ascii="Verdana" w:hAnsi="Verdana"/>
          <w:sz w:val="20"/>
          <w:szCs w:val="20"/>
        </w:rPr>
      </w:pPr>
    </w:p>
    <w:p w14:paraId="56782645" w14:textId="77777777" w:rsidR="00926E61" w:rsidRPr="00262413" w:rsidRDefault="00926E61" w:rsidP="00B935FA">
      <w:pPr>
        <w:pStyle w:val="ListParagraph"/>
        <w:numPr>
          <w:ilvl w:val="0"/>
          <w:numId w:val="2"/>
        </w:numPr>
        <w:ind w:left="0" w:hanging="11"/>
        <w:jc w:val="both"/>
        <w:rPr>
          <w:rFonts w:ascii="Verdana" w:hAnsi="Verdana"/>
          <w:sz w:val="20"/>
          <w:szCs w:val="20"/>
        </w:rPr>
      </w:pPr>
      <w:r w:rsidRPr="00262413">
        <w:rPr>
          <w:rFonts w:ascii="Verdana" w:hAnsi="Verdana"/>
          <w:sz w:val="20"/>
          <w:szCs w:val="20"/>
        </w:rPr>
        <w:t xml:space="preserve">Por otra </w:t>
      </w:r>
      <w:r w:rsidRPr="00C15E08">
        <w:rPr>
          <w:rFonts w:ascii="Verdana" w:hAnsi="Verdana"/>
          <w:sz w:val="20"/>
          <w:szCs w:val="20"/>
        </w:rPr>
        <w:t>parte</w:t>
      </w:r>
      <w:r w:rsidR="00C15E08" w:rsidRPr="00002891">
        <w:rPr>
          <w:rFonts w:ascii="Verdana" w:hAnsi="Verdana"/>
          <w:sz w:val="20"/>
        </w:rPr>
        <w:t xml:space="preserve"> </w:t>
      </w:r>
      <w:r w:rsidRPr="00C15E08">
        <w:rPr>
          <w:rFonts w:ascii="Verdana" w:hAnsi="Verdana"/>
          <w:sz w:val="20"/>
          <w:szCs w:val="20"/>
        </w:rPr>
        <w:t>el</w:t>
      </w:r>
      <w:r w:rsidRPr="00262413">
        <w:rPr>
          <w:rFonts w:ascii="Verdana" w:hAnsi="Verdana"/>
          <w:sz w:val="20"/>
          <w:szCs w:val="20"/>
        </w:rPr>
        <w:t xml:space="preserve"> 27 de septiembre de 2013 se realizó una reunión entre autoridades estatales y representantes de comunidades indígenas y </w:t>
      </w:r>
      <w:r w:rsidR="006D4D2C">
        <w:rPr>
          <w:rFonts w:ascii="Verdana" w:hAnsi="Verdana"/>
          <w:sz w:val="20"/>
          <w:szCs w:val="20"/>
        </w:rPr>
        <w:t>maroon</w:t>
      </w:r>
      <w:r w:rsidR="00F57D87">
        <w:rPr>
          <w:rFonts w:ascii="Verdana" w:hAnsi="Verdana"/>
          <w:sz w:val="20"/>
          <w:szCs w:val="20"/>
        </w:rPr>
        <w:t>s</w:t>
      </w:r>
      <w:r w:rsidRPr="00262413">
        <w:rPr>
          <w:rFonts w:ascii="Verdana" w:hAnsi="Verdana"/>
          <w:sz w:val="20"/>
          <w:szCs w:val="20"/>
        </w:rPr>
        <w:t xml:space="preserve"> en la cual se constituyeron tres comités relacionados con el desarrollo de legislación sobre autoridades tradicionales, campañas de concientización y consulta previa e informada.</w:t>
      </w:r>
    </w:p>
    <w:p w14:paraId="5A60FFBA" w14:textId="77777777" w:rsidR="00926E61" w:rsidRPr="00262413" w:rsidRDefault="00926E61" w:rsidP="00926E61">
      <w:pPr>
        <w:jc w:val="both"/>
        <w:rPr>
          <w:rFonts w:ascii="Verdana" w:hAnsi="Verdana"/>
          <w:sz w:val="20"/>
          <w:szCs w:val="20"/>
        </w:rPr>
      </w:pPr>
    </w:p>
    <w:p w14:paraId="563F7A88" w14:textId="77777777" w:rsidR="00926E61" w:rsidRDefault="00926E61" w:rsidP="00B935FA">
      <w:pPr>
        <w:pStyle w:val="ListParagraph"/>
        <w:numPr>
          <w:ilvl w:val="0"/>
          <w:numId w:val="2"/>
        </w:numPr>
        <w:ind w:left="0" w:hanging="11"/>
        <w:jc w:val="both"/>
        <w:rPr>
          <w:rFonts w:ascii="Verdana" w:hAnsi="Verdana"/>
          <w:sz w:val="20"/>
          <w:szCs w:val="20"/>
        </w:rPr>
      </w:pPr>
      <w:r>
        <w:rPr>
          <w:rFonts w:ascii="Verdana" w:hAnsi="Verdana"/>
          <w:sz w:val="20"/>
          <w:szCs w:val="20"/>
        </w:rPr>
        <w:t xml:space="preserve">El 6 de enero de 2014 </w:t>
      </w:r>
      <w:r w:rsidRPr="00262413">
        <w:rPr>
          <w:rFonts w:ascii="Verdana" w:hAnsi="Verdana"/>
          <w:sz w:val="20"/>
          <w:szCs w:val="20"/>
        </w:rPr>
        <w:t xml:space="preserve">el Estado contrató un equipo de consultores </w:t>
      </w:r>
      <w:r>
        <w:rPr>
          <w:rFonts w:ascii="Verdana" w:hAnsi="Verdana"/>
          <w:sz w:val="20"/>
          <w:szCs w:val="20"/>
        </w:rPr>
        <w:t xml:space="preserve">para que elaborara </w:t>
      </w:r>
      <w:r w:rsidRPr="00262413">
        <w:rPr>
          <w:rFonts w:ascii="Verdana" w:hAnsi="Verdana"/>
          <w:sz w:val="20"/>
          <w:szCs w:val="20"/>
        </w:rPr>
        <w:t>un borrador de proyecto de ley sobre autoridades</w:t>
      </w:r>
      <w:r>
        <w:rPr>
          <w:rFonts w:ascii="Verdana" w:hAnsi="Verdana"/>
          <w:sz w:val="20"/>
          <w:szCs w:val="20"/>
        </w:rPr>
        <w:t xml:space="preserve"> tradicionales</w:t>
      </w:r>
      <w:r w:rsidRPr="00262413">
        <w:rPr>
          <w:rStyle w:val="FootnoteReference"/>
          <w:szCs w:val="20"/>
        </w:rPr>
        <w:footnoteReference w:id="63"/>
      </w:r>
      <w:r w:rsidRPr="0084405F">
        <w:rPr>
          <w:rFonts w:ascii="Verdana" w:hAnsi="Verdana"/>
          <w:sz w:val="20"/>
          <w:szCs w:val="20"/>
        </w:rPr>
        <w:t xml:space="preserve">. </w:t>
      </w:r>
      <w:r>
        <w:rPr>
          <w:rFonts w:ascii="Verdana" w:hAnsi="Verdana"/>
          <w:sz w:val="20"/>
          <w:szCs w:val="20"/>
        </w:rPr>
        <w:t>El proyecto de 3 de junio de 2014</w:t>
      </w:r>
      <w:r w:rsidRPr="0084405F">
        <w:rPr>
          <w:rFonts w:ascii="Verdana" w:hAnsi="Verdana"/>
          <w:sz w:val="20"/>
          <w:szCs w:val="20"/>
        </w:rPr>
        <w:t xml:space="preserve"> </w:t>
      </w:r>
      <w:r>
        <w:rPr>
          <w:rFonts w:ascii="Verdana" w:hAnsi="Verdana"/>
          <w:sz w:val="20"/>
          <w:szCs w:val="20"/>
        </w:rPr>
        <w:t xml:space="preserve">denominado </w:t>
      </w:r>
      <w:r w:rsidRPr="00FB4175">
        <w:rPr>
          <w:rFonts w:ascii="Verdana" w:hAnsi="Verdana"/>
          <w:sz w:val="20"/>
          <w:szCs w:val="20"/>
        </w:rPr>
        <w:t>“</w:t>
      </w:r>
      <w:r w:rsidR="008A4ABB" w:rsidRPr="00F77E53">
        <w:rPr>
          <w:rFonts w:ascii="Verdana" w:hAnsi="Verdana"/>
          <w:i/>
          <w:sz w:val="20"/>
          <w:szCs w:val="20"/>
        </w:rPr>
        <w:t>Draft Bill on Traditional Authorities</w:t>
      </w:r>
      <w:r w:rsidRPr="00FB4175">
        <w:rPr>
          <w:rFonts w:ascii="Verdana" w:hAnsi="Verdana"/>
          <w:sz w:val="20"/>
          <w:szCs w:val="20"/>
        </w:rPr>
        <w:t>”</w:t>
      </w:r>
      <w:r>
        <w:rPr>
          <w:rFonts w:ascii="Verdana" w:hAnsi="Verdana"/>
          <w:sz w:val="20"/>
          <w:szCs w:val="20"/>
        </w:rPr>
        <w:t xml:space="preserve"> </w:t>
      </w:r>
      <w:r w:rsidRPr="0084405F">
        <w:rPr>
          <w:rFonts w:ascii="Verdana" w:hAnsi="Verdana"/>
          <w:sz w:val="20"/>
          <w:szCs w:val="20"/>
        </w:rPr>
        <w:t>estableció, entre otros, que un Ministro encargado de los asuntos relacionados con autoridades tradicionales nombra</w:t>
      </w:r>
      <w:r>
        <w:rPr>
          <w:rFonts w:ascii="Verdana" w:hAnsi="Verdana"/>
          <w:sz w:val="20"/>
          <w:szCs w:val="20"/>
        </w:rPr>
        <w:t>ría</w:t>
      </w:r>
      <w:r w:rsidRPr="0084405F">
        <w:rPr>
          <w:rFonts w:ascii="Verdana" w:hAnsi="Verdana"/>
          <w:sz w:val="20"/>
          <w:szCs w:val="20"/>
        </w:rPr>
        <w:t xml:space="preserve"> a un grupo de dignatarios que servir</w:t>
      </w:r>
      <w:r>
        <w:rPr>
          <w:rFonts w:ascii="Verdana" w:hAnsi="Verdana"/>
          <w:sz w:val="20"/>
          <w:szCs w:val="20"/>
        </w:rPr>
        <w:t>ía</w:t>
      </w:r>
      <w:r w:rsidRPr="0084405F">
        <w:rPr>
          <w:rFonts w:ascii="Verdana" w:hAnsi="Verdana"/>
          <w:sz w:val="20"/>
          <w:szCs w:val="20"/>
        </w:rPr>
        <w:t xml:space="preserve">n como intermediarios entre el Gobierno </w:t>
      </w:r>
      <w:r w:rsidRPr="004D5C3E">
        <w:rPr>
          <w:rFonts w:ascii="Verdana" w:hAnsi="Verdana"/>
          <w:sz w:val="20"/>
          <w:szCs w:val="20"/>
        </w:rPr>
        <w:t>y l</w:t>
      </w:r>
      <w:r w:rsidRPr="00E80197">
        <w:rPr>
          <w:rFonts w:ascii="Verdana" w:hAnsi="Verdana"/>
          <w:sz w:val="20"/>
          <w:szCs w:val="20"/>
        </w:rPr>
        <w:t xml:space="preserve">as comunidades indígenas y/o </w:t>
      </w:r>
      <w:r w:rsidR="006D4D2C">
        <w:rPr>
          <w:rFonts w:ascii="Verdana" w:hAnsi="Verdana"/>
          <w:sz w:val="20"/>
          <w:szCs w:val="20"/>
        </w:rPr>
        <w:t>maroon</w:t>
      </w:r>
      <w:r w:rsidR="00F57D87">
        <w:rPr>
          <w:rFonts w:ascii="Verdana" w:hAnsi="Verdana"/>
          <w:sz w:val="20"/>
          <w:szCs w:val="20"/>
        </w:rPr>
        <w:t>s</w:t>
      </w:r>
      <w:r w:rsidRPr="00E80197">
        <w:rPr>
          <w:rFonts w:ascii="Verdana" w:hAnsi="Verdana"/>
          <w:sz w:val="20"/>
          <w:szCs w:val="20"/>
        </w:rPr>
        <w:t xml:space="preserve"> y ser</w:t>
      </w:r>
      <w:r>
        <w:rPr>
          <w:rFonts w:ascii="Verdana" w:hAnsi="Verdana"/>
          <w:sz w:val="20"/>
          <w:szCs w:val="20"/>
        </w:rPr>
        <w:t>ía</w:t>
      </w:r>
      <w:r w:rsidRPr="00E80197">
        <w:rPr>
          <w:rFonts w:ascii="Verdana" w:hAnsi="Verdana"/>
          <w:sz w:val="20"/>
          <w:szCs w:val="20"/>
        </w:rPr>
        <w:t>n responsables de mantener la paz y el orden en las comunidades, para lo cual cumplir</w:t>
      </w:r>
      <w:r>
        <w:rPr>
          <w:rFonts w:ascii="Verdana" w:hAnsi="Verdana"/>
          <w:sz w:val="20"/>
          <w:szCs w:val="20"/>
        </w:rPr>
        <w:t>ía</w:t>
      </w:r>
      <w:r w:rsidRPr="00E80197">
        <w:rPr>
          <w:rFonts w:ascii="Verdana" w:hAnsi="Verdana"/>
          <w:sz w:val="20"/>
          <w:szCs w:val="20"/>
        </w:rPr>
        <w:t>n con una jornada laboral y ser</w:t>
      </w:r>
      <w:r>
        <w:rPr>
          <w:rFonts w:ascii="Verdana" w:hAnsi="Verdana"/>
          <w:sz w:val="20"/>
          <w:szCs w:val="20"/>
        </w:rPr>
        <w:t>ía</w:t>
      </w:r>
      <w:r w:rsidRPr="00E80197">
        <w:rPr>
          <w:rFonts w:ascii="Verdana" w:hAnsi="Verdana"/>
          <w:sz w:val="20"/>
          <w:szCs w:val="20"/>
        </w:rPr>
        <w:t>n remunerados por el Estado</w:t>
      </w:r>
      <w:r w:rsidRPr="00262413">
        <w:rPr>
          <w:rStyle w:val="FootnoteReference"/>
          <w:szCs w:val="20"/>
        </w:rPr>
        <w:footnoteReference w:id="64"/>
      </w:r>
      <w:r w:rsidRPr="00262413">
        <w:rPr>
          <w:rFonts w:ascii="Verdana" w:hAnsi="Verdana"/>
          <w:sz w:val="20"/>
          <w:szCs w:val="20"/>
        </w:rPr>
        <w:t xml:space="preserve">. </w:t>
      </w:r>
      <w:r w:rsidRPr="0084405F">
        <w:rPr>
          <w:rFonts w:ascii="Verdana" w:hAnsi="Verdana"/>
          <w:sz w:val="20"/>
          <w:szCs w:val="20"/>
        </w:rPr>
        <w:t>Cabe señalar que, la Corte constató que di</w:t>
      </w:r>
      <w:r w:rsidRPr="004D5C3E">
        <w:rPr>
          <w:rFonts w:ascii="Verdana" w:hAnsi="Verdana"/>
          <w:sz w:val="20"/>
          <w:szCs w:val="20"/>
        </w:rPr>
        <w:t>cho proyecto</w:t>
      </w:r>
      <w:r w:rsidRPr="00262413">
        <w:rPr>
          <w:rFonts w:ascii="Verdana" w:hAnsi="Verdana"/>
          <w:sz w:val="20"/>
          <w:szCs w:val="20"/>
        </w:rPr>
        <w:t xml:space="preserve"> no contempla</w:t>
      </w:r>
      <w:r w:rsidR="00071DE8">
        <w:rPr>
          <w:rFonts w:ascii="Verdana" w:hAnsi="Verdana"/>
          <w:sz w:val="20"/>
          <w:szCs w:val="20"/>
        </w:rPr>
        <w:t>ba</w:t>
      </w:r>
      <w:r w:rsidRPr="00262413">
        <w:rPr>
          <w:rFonts w:ascii="Verdana" w:hAnsi="Verdana"/>
          <w:sz w:val="20"/>
          <w:szCs w:val="20"/>
        </w:rPr>
        <w:t xml:space="preserve"> </w:t>
      </w:r>
      <w:r>
        <w:rPr>
          <w:rFonts w:ascii="Verdana" w:hAnsi="Verdana"/>
          <w:sz w:val="20"/>
          <w:szCs w:val="20"/>
        </w:rPr>
        <w:t xml:space="preserve">a </w:t>
      </w:r>
      <w:r w:rsidRPr="00262413">
        <w:rPr>
          <w:rFonts w:ascii="Verdana" w:hAnsi="Verdana"/>
          <w:sz w:val="20"/>
          <w:szCs w:val="20"/>
        </w:rPr>
        <w:t xml:space="preserve">los </w:t>
      </w:r>
      <w:r w:rsidR="00031333">
        <w:rPr>
          <w:rFonts w:ascii="Verdana" w:hAnsi="Verdana"/>
          <w:sz w:val="20"/>
          <w:szCs w:val="20"/>
        </w:rPr>
        <w:t>pueblos indígenas y tribales</w:t>
      </w:r>
      <w:r w:rsidRPr="00926E61">
        <w:rPr>
          <w:rStyle w:val="Strong"/>
          <w:rFonts w:ascii="Verdana" w:hAnsi="Verdana"/>
          <w:b w:val="0"/>
          <w:sz w:val="20"/>
          <w:szCs w:val="20"/>
          <w:lang w:val="es-ES"/>
        </w:rPr>
        <w:t xml:space="preserve"> como personas jurídicas o</w:t>
      </w:r>
      <w:r w:rsidRPr="00262413">
        <w:rPr>
          <w:rStyle w:val="Strong"/>
          <w:rFonts w:ascii="Verdana" w:hAnsi="Verdana"/>
          <w:sz w:val="20"/>
          <w:szCs w:val="20"/>
          <w:lang w:val="es-ES"/>
        </w:rPr>
        <w:t xml:space="preserve"> </w:t>
      </w:r>
      <w:r w:rsidRPr="00262413">
        <w:rPr>
          <w:rFonts w:ascii="Verdana" w:hAnsi="Verdana"/>
          <w:sz w:val="20"/>
          <w:szCs w:val="20"/>
        </w:rPr>
        <w:t>derechos respecto de tierras, recursos y territorios comunales.</w:t>
      </w:r>
      <w:r>
        <w:rPr>
          <w:rFonts w:ascii="Verdana" w:hAnsi="Verdana"/>
          <w:sz w:val="20"/>
          <w:szCs w:val="20"/>
        </w:rPr>
        <w:t xml:space="preserve"> </w:t>
      </w:r>
    </w:p>
    <w:p w14:paraId="5C4C85D3" w14:textId="77777777" w:rsidR="00926E61" w:rsidRPr="004B4634" w:rsidRDefault="00926E61" w:rsidP="00926E61">
      <w:pPr>
        <w:jc w:val="both"/>
        <w:rPr>
          <w:rFonts w:ascii="Verdana" w:hAnsi="Verdana"/>
          <w:sz w:val="20"/>
          <w:szCs w:val="20"/>
        </w:rPr>
      </w:pPr>
    </w:p>
    <w:p w14:paraId="7EB6E85C" w14:textId="313CA8DC" w:rsidR="00926E61" w:rsidRPr="00CD3C46" w:rsidRDefault="00926E61" w:rsidP="00B935FA">
      <w:pPr>
        <w:pStyle w:val="ListParagraph"/>
        <w:numPr>
          <w:ilvl w:val="0"/>
          <w:numId w:val="2"/>
        </w:numPr>
        <w:ind w:left="0" w:hanging="11"/>
        <w:jc w:val="both"/>
        <w:rPr>
          <w:rFonts w:ascii="Verdana" w:hAnsi="Verdana"/>
          <w:sz w:val="20"/>
        </w:rPr>
      </w:pPr>
      <w:r w:rsidRPr="003C0B4E">
        <w:rPr>
          <w:rFonts w:ascii="Verdana" w:hAnsi="Verdana"/>
          <w:sz w:val="20"/>
        </w:rPr>
        <w:t xml:space="preserve">Asimismo, en </w:t>
      </w:r>
      <w:r w:rsidR="00257936" w:rsidRPr="001A4213">
        <w:rPr>
          <w:rFonts w:ascii="Verdana" w:hAnsi="Verdana"/>
          <w:sz w:val="20"/>
        </w:rPr>
        <w:t>una</w:t>
      </w:r>
      <w:r w:rsidR="00257936" w:rsidRPr="00B4017E">
        <w:rPr>
          <w:rFonts w:ascii="Verdana" w:hAnsi="Verdana"/>
          <w:sz w:val="20"/>
        </w:rPr>
        <w:t xml:space="preserve"> </w:t>
      </w:r>
      <w:r w:rsidRPr="007F4E4C">
        <w:rPr>
          <w:rFonts w:ascii="Verdana" w:hAnsi="Verdana"/>
          <w:sz w:val="20"/>
        </w:rPr>
        <w:t>comunicación del señor M</w:t>
      </w:r>
      <w:r w:rsidRPr="002E2E48">
        <w:rPr>
          <w:rFonts w:ascii="Verdana" w:hAnsi="Verdana"/>
          <w:sz w:val="20"/>
        </w:rPr>
        <w:t>artin Misiedjan, Presidente de la Comisión de Derechos Territoriales y agente del Estado</w:t>
      </w:r>
      <w:r w:rsidR="000D7ED1" w:rsidRPr="002E2E48">
        <w:rPr>
          <w:rFonts w:ascii="Verdana" w:hAnsi="Verdana"/>
          <w:sz w:val="20"/>
        </w:rPr>
        <w:t xml:space="preserve"> </w:t>
      </w:r>
      <w:r w:rsidR="000D7ED1" w:rsidRPr="004B0145">
        <w:rPr>
          <w:rFonts w:ascii="Verdana" w:hAnsi="Verdana"/>
          <w:sz w:val="20"/>
        </w:rPr>
        <w:t>para el</w:t>
      </w:r>
      <w:r w:rsidR="00257936">
        <w:rPr>
          <w:rFonts w:ascii="Verdana" w:hAnsi="Verdana"/>
          <w:sz w:val="20"/>
        </w:rPr>
        <w:t xml:space="preserve"> </w:t>
      </w:r>
      <w:r w:rsidRPr="006834B1">
        <w:rPr>
          <w:rFonts w:ascii="Verdana" w:hAnsi="Verdana"/>
          <w:sz w:val="20"/>
        </w:rPr>
        <w:t xml:space="preserve">presente caso, dirigida a comunidades indígenas y </w:t>
      </w:r>
      <w:r w:rsidR="006D4D2C">
        <w:rPr>
          <w:rFonts w:ascii="Verdana" w:hAnsi="Verdana"/>
          <w:sz w:val="20"/>
        </w:rPr>
        <w:t>maroon</w:t>
      </w:r>
      <w:r w:rsidR="00F57D87">
        <w:rPr>
          <w:rFonts w:ascii="Verdana" w:hAnsi="Verdana"/>
          <w:sz w:val="20"/>
        </w:rPr>
        <w:t>s</w:t>
      </w:r>
      <w:r w:rsidRPr="006834B1">
        <w:rPr>
          <w:rFonts w:ascii="Verdana" w:hAnsi="Verdana"/>
          <w:sz w:val="20"/>
        </w:rPr>
        <w:t xml:space="preserve">, se señaló que el borrador del proyecto de ley fue elaborado sin la contribución de comunidades indígenas y </w:t>
      </w:r>
      <w:r w:rsidR="006D4D2C">
        <w:rPr>
          <w:rFonts w:ascii="Verdana" w:hAnsi="Verdana"/>
          <w:sz w:val="20"/>
        </w:rPr>
        <w:t>maroon</w:t>
      </w:r>
      <w:r w:rsidR="00F57D87">
        <w:rPr>
          <w:rFonts w:ascii="Verdana" w:hAnsi="Verdana"/>
          <w:sz w:val="20"/>
        </w:rPr>
        <w:t>s</w:t>
      </w:r>
      <w:r w:rsidRPr="0067410A">
        <w:rPr>
          <w:rFonts w:ascii="Verdana" w:hAnsi="Verdana"/>
          <w:sz w:val="20"/>
        </w:rPr>
        <w:t>, por lo cual los invitó a una reunión para realizar la discusión del borrador</w:t>
      </w:r>
      <w:r w:rsidRPr="0067410A">
        <w:rPr>
          <w:rStyle w:val="FootnoteReference"/>
        </w:rPr>
        <w:footnoteReference w:id="65"/>
      </w:r>
      <w:r w:rsidRPr="00CB6CFC">
        <w:rPr>
          <w:rFonts w:ascii="Verdana" w:hAnsi="Verdana"/>
          <w:sz w:val="20"/>
        </w:rPr>
        <w:t xml:space="preserve">. No obstante, la Corte carece de información sobre </w:t>
      </w:r>
      <w:r w:rsidR="00823A0F" w:rsidRPr="00323B7B">
        <w:rPr>
          <w:rFonts w:ascii="Verdana" w:hAnsi="Verdana"/>
          <w:sz w:val="20"/>
        </w:rPr>
        <w:t>a quién iba dirigida la invitación</w:t>
      </w:r>
      <w:r w:rsidR="00823A0F" w:rsidRPr="00F568EB">
        <w:rPr>
          <w:rFonts w:ascii="Verdana" w:hAnsi="Verdana"/>
          <w:sz w:val="20"/>
        </w:rPr>
        <w:t xml:space="preserve">, </w:t>
      </w:r>
      <w:r w:rsidRPr="00CD3C46">
        <w:rPr>
          <w:rFonts w:ascii="Verdana" w:hAnsi="Verdana"/>
          <w:sz w:val="20"/>
        </w:rPr>
        <w:t xml:space="preserve">si dicha reunión fue efectuada y los resultados de la misma. </w:t>
      </w:r>
    </w:p>
    <w:p w14:paraId="49FD032A" w14:textId="77777777" w:rsidR="00926E61" w:rsidRPr="002C323A" w:rsidRDefault="00926E61" w:rsidP="00926E61">
      <w:pPr>
        <w:jc w:val="both"/>
        <w:rPr>
          <w:rFonts w:ascii="Verdana" w:hAnsi="Verdana"/>
          <w:strike/>
          <w:sz w:val="20"/>
          <w:highlight w:val="yellow"/>
        </w:rPr>
      </w:pPr>
    </w:p>
    <w:p w14:paraId="0A6F31C3" w14:textId="77777777" w:rsidR="00926E61" w:rsidRPr="00CB6CFC" w:rsidRDefault="00926E61" w:rsidP="00B935FA">
      <w:pPr>
        <w:pStyle w:val="ListParagraph"/>
        <w:numPr>
          <w:ilvl w:val="0"/>
          <w:numId w:val="2"/>
        </w:numPr>
        <w:ind w:left="0" w:hanging="11"/>
        <w:jc w:val="both"/>
        <w:rPr>
          <w:rFonts w:ascii="Verdana" w:hAnsi="Verdana"/>
          <w:sz w:val="20"/>
        </w:rPr>
      </w:pPr>
      <w:r w:rsidRPr="004B4634">
        <w:rPr>
          <w:rFonts w:ascii="Verdana" w:hAnsi="Verdana"/>
          <w:sz w:val="20"/>
        </w:rPr>
        <w:t>Por otra parte, la Corte toma nota de que el 1 de octubre de 2014,</w:t>
      </w:r>
      <w:r w:rsidRPr="003C0B4E">
        <w:rPr>
          <w:rFonts w:ascii="Verdana" w:hAnsi="Verdana"/>
          <w:sz w:val="20"/>
        </w:rPr>
        <w:t xml:space="preserve"> el señor Martin Misiedjan le dirigió una comunicación al Director Ejecutivo de “</w:t>
      </w:r>
      <w:r w:rsidR="008A4ABB" w:rsidRPr="007E20F9">
        <w:rPr>
          <w:rFonts w:ascii="Verdana" w:hAnsi="Verdana"/>
          <w:i/>
          <w:sz w:val="20"/>
        </w:rPr>
        <w:t xml:space="preserve">Conservation International </w:t>
      </w:r>
      <w:r w:rsidR="008A4ABB" w:rsidRPr="007E20F9">
        <w:rPr>
          <w:rFonts w:ascii="Verdana" w:hAnsi="Verdana"/>
          <w:i/>
          <w:sz w:val="20"/>
        </w:rPr>
        <w:lastRenderedPageBreak/>
        <w:t>Surinam</w:t>
      </w:r>
      <w:r w:rsidRPr="0067410A">
        <w:rPr>
          <w:rFonts w:ascii="Verdana" w:hAnsi="Verdana"/>
          <w:sz w:val="20"/>
        </w:rPr>
        <w:t xml:space="preserve">” en la cual le solicitó financiamiento para realizar futuras reuniones con las comunidades indígenas y </w:t>
      </w:r>
      <w:r w:rsidR="006D4D2C">
        <w:rPr>
          <w:rFonts w:ascii="Verdana" w:hAnsi="Verdana"/>
          <w:sz w:val="20"/>
        </w:rPr>
        <w:t>maroon</w:t>
      </w:r>
      <w:r w:rsidR="00F57D87">
        <w:rPr>
          <w:rFonts w:ascii="Verdana" w:hAnsi="Verdana"/>
          <w:sz w:val="20"/>
        </w:rPr>
        <w:t>s</w:t>
      </w:r>
      <w:r w:rsidRPr="0067410A">
        <w:rPr>
          <w:rFonts w:ascii="Verdana" w:hAnsi="Verdana"/>
          <w:sz w:val="20"/>
        </w:rPr>
        <w:t xml:space="preserve"> respecto del borrador de proyecto de ley</w:t>
      </w:r>
      <w:r w:rsidRPr="0067410A">
        <w:rPr>
          <w:rStyle w:val="FootnoteReference"/>
        </w:rPr>
        <w:footnoteReference w:id="66"/>
      </w:r>
      <w:r w:rsidRPr="00CB6CFC">
        <w:rPr>
          <w:rFonts w:ascii="Verdana" w:hAnsi="Verdana"/>
          <w:sz w:val="20"/>
        </w:rPr>
        <w:t>. Sin embargo, la Corte carece de información adicional sobre la solicitud realizada.</w:t>
      </w:r>
    </w:p>
    <w:p w14:paraId="66D4AE99" w14:textId="77777777" w:rsidR="00926E61" w:rsidRPr="00476874" w:rsidRDefault="00926E61" w:rsidP="00926E61">
      <w:pPr>
        <w:jc w:val="both"/>
        <w:rPr>
          <w:rFonts w:ascii="Verdana" w:hAnsi="Verdana"/>
          <w:sz w:val="20"/>
          <w:szCs w:val="20"/>
          <w:lang w:val="es-MX"/>
        </w:rPr>
      </w:pPr>
    </w:p>
    <w:p w14:paraId="083B1C98" w14:textId="77777777" w:rsidR="00926E61" w:rsidRPr="00E26926" w:rsidRDefault="00926E61" w:rsidP="00E26926">
      <w:pPr>
        <w:pStyle w:val="Heading2"/>
        <w:numPr>
          <w:ilvl w:val="0"/>
          <w:numId w:val="10"/>
        </w:numPr>
        <w:spacing w:before="0"/>
        <w:jc w:val="both"/>
        <w:rPr>
          <w:rFonts w:ascii="Verdana" w:hAnsi="Verdana"/>
          <w:bCs w:val="0"/>
          <w:i/>
          <w:color w:val="auto"/>
          <w:sz w:val="20"/>
          <w:szCs w:val="20"/>
        </w:rPr>
      </w:pPr>
      <w:bookmarkStart w:id="20" w:name="_Toc441666161"/>
      <w:r w:rsidRPr="00E26926">
        <w:rPr>
          <w:rFonts w:ascii="Verdana" w:hAnsi="Verdana"/>
          <w:bCs w:val="0"/>
          <w:i/>
          <w:color w:val="auto"/>
          <w:sz w:val="20"/>
          <w:szCs w:val="20"/>
        </w:rPr>
        <w:t>Acciones realizadas por los pueblos indígenas para el reconocimiento de sus derechos</w:t>
      </w:r>
      <w:bookmarkEnd w:id="20"/>
    </w:p>
    <w:p w14:paraId="5EC4B41B" w14:textId="77777777" w:rsidR="00926E61" w:rsidRPr="00262413" w:rsidRDefault="00926E61" w:rsidP="00926E61">
      <w:pPr>
        <w:jc w:val="both"/>
        <w:rPr>
          <w:rFonts w:ascii="Verdana" w:hAnsi="Verdana"/>
          <w:sz w:val="20"/>
          <w:szCs w:val="20"/>
          <w:lang w:val="es-ES"/>
        </w:rPr>
      </w:pPr>
    </w:p>
    <w:p w14:paraId="3B3E5530" w14:textId="77777777" w:rsidR="00926E61" w:rsidRPr="00262413"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 xml:space="preserve">En el siguiente apartado la Corte se referirá a distintas protestas sociales, peticiones administrativas y procedimientos judiciales relacionados con el territorio </w:t>
      </w:r>
      <w:r>
        <w:rPr>
          <w:rFonts w:ascii="Verdana" w:hAnsi="Verdana"/>
          <w:sz w:val="20"/>
          <w:szCs w:val="20"/>
          <w:lang w:val="es-ES"/>
        </w:rPr>
        <w:t>reclamado en el presente caso</w:t>
      </w:r>
      <w:r w:rsidRPr="00262413">
        <w:rPr>
          <w:rFonts w:ascii="Verdana" w:hAnsi="Verdana"/>
          <w:sz w:val="20"/>
          <w:szCs w:val="20"/>
          <w:lang w:val="es-ES"/>
        </w:rPr>
        <w:t xml:space="preserve">, realizados por los </w:t>
      </w:r>
      <w:r w:rsidR="00382F4D">
        <w:rPr>
          <w:rFonts w:ascii="Verdana" w:hAnsi="Verdana"/>
          <w:sz w:val="20"/>
          <w:szCs w:val="20"/>
          <w:lang w:val="es-ES"/>
        </w:rPr>
        <w:t>Pueblos Kaliña y Lokono</w:t>
      </w:r>
      <w:r w:rsidR="00CB39E1" w:rsidRPr="004D5C3E">
        <w:rPr>
          <w:rFonts w:ascii="Verdana" w:hAnsi="Verdana"/>
          <w:sz w:val="20"/>
          <w:szCs w:val="20"/>
          <w:lang w:val="es-ES"/>
        </w:rPr>
        <w:t xml:space="preserve"> </w:t>
      </w:r>
      <w:r w:rsidRPr="00262413">
        <w:rPr>
          <w:rFonts w:ascii="Verdana" w:hAnsi="Verdana"/>
          <w:sz w:val="20"/>
          <w:szCs w:val="20"/>
          <w:lang w:val="es-ES"/>
        </w:rPr>
        <w:t>para exigir ante las autoridades estatales el reconocimiento de sus derechos en la legislación y práctica interna.</w:t>
      </w:r>
    </w:p>
    <w:p w14:paraId="6156E30F" w14:textId="77777777" w:rsidR="00926E61" w:rsidRPr="00262413" w:rsidRDefault="00926E61" w:rsidP="00926E61">
      <w:pPr>
        <w:jc w:val="both"/>
        <w:rPr>
          <w:rFonts w:ascii="Verdana" w:hAnsi="Verdana"/>
          <w:sz w:val="20"/>
          <w:szCs w:val="20"/>
          <w:lang w:val="es-ES"/>
        </w:rPr>
      </w:pPr>
    </w:p>
    <w:p w14:paraId="5D51A15F" w14:textId="77777777" w:rsidR="00926E61" w:rsidRPr="007624EC" w:rsidRDefault="007624EC" w:rsidP="007624EC">
      <w:pPr>
        <w:pStyle w:val="Heading3"/>
        <w:spacing w:before="0"/>
        <w:ind w:firstLine="360"/>
        <w:jc w:val="both"/>
        <w:rPr>
          <w:rFonts w:ascii="Verdana" w:hAnsi="Verdana"/>
          <w:i/>
          <w:color w:val="auto"/>
          <w:sz w:val="20"/>
          <w:szCs w:val="20"/>
        </w:rPr>
      </w:pPr>
      <w:bookmarkStart w:id="21" w:name="_Toc441666162"/>
      <w:r>
        <w:rPr>
          <w:rFonts w:ascii="Verdana" w:hAnsi="Verdana"/>
          <w:i/>
          <w:color w:val="auto"/>
          <w:sz w:val="20"/>
          <w:szCs w:val="20"/>
          <w:lang w:val="es-ES"/>
        </w:rPr>
        <w:t>D</w:t>
      </w:r>
      <w:r w:rsidR="00926E61" w:rsidRPr="007624EC">
        <w:rPr>
          <w:rFonts w:ascii="Verdana" w:hAnsi="Verdana"/>
          <w:i/>
          <w:color w:val="auto"/>
          <w:sz w:val="20"/>
          <w:szCs w:val="20"/>
        </w:rPr>
        <w:t>.1 Acciones realizadas con anterioridad al reconocimiento de la competencia de la Corte (12 de noviembre de 1987)</w:t>
      </w:r>
      <w:bookmarkEnd w:id="21"/>
    </w:p>
    <w:p w14:paraId="1FA89B12" w14:textId="77777777" w:rsidR="00926E61" w:rsidRPr="00262413" w:rsidRDefault="00926E61" w:rsidP="00926E61">
      <w:pPr>
        <w:pStyle w:val="ListParagraph"/>
        <w:ind w:left="0"/>
        <w:jc w:val="both"/>
        <w:rPr>
          <w:rFonts w:ascii="Verdana" w:hAnsi="Verdana"/>
          <w:sz w:val="20"/>
          <w:szCs w:val="20"/>
          <w:lang w:val="es-MX"/>
        </w:rPr>
      </w:pPr>
    </w:p>
    <w:p w14:paraId="2251C80C" w14:textId="77777777" w:rsidR="00926E61" w:rsidRPr="00262413"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MX"/>
        </w:rPr>
        <w:t xml:space="preserve">Las acciones realizadas por los </w:t>
      </w:r>
      <w:r w:rsidR="00382F4D">
        <w:rPr>
          <w:rFonts w:ascii="Verdana" w:hAnsi="Verdana"/>
          <w:sz w:val="20"/>
          <w:szCs w:val="20"/>
          <w:lang w:val="es-MX"/>
        </w:rPr>
        <w:t>Pueblos Kaliña y Lokono</w:t>
      </w:r>
      <w:r w:rsidR="00CB39E1" w:rsidRPr="004D5C3E">
        <w:rPr>
          <w:rFonts w:ascii="Verdana" w:hAnsi="Verdana"/>
          <w:sz w:val="20"/>
          <w:szCs w:val="20"/>
          <w:lang w:val="es-ES"/>
        </w:rPr>
        <w:t xml:space="preserve"> </w:t>
      </w:r>
      <w:r w:rsidRPr="00262413">
        <w:rPr>
          <w:rFonts w:ascii="Verdana" w:hAnsi="Verdana"/>
          <w:sz w:val="20"/>
          <w:szCs w:val="20"/>
          <w:lang w:val="es-MX"/>
        </w:rPr>
        <w:t>para alcanzar el reconocimiento de sus derechos iniciaron con anterioridad a la independencia del</w:t>
      </w:r>
      <w:r w:rsidRPr="00262413">
        <w:rPr>
          <w:rFonts w:ascii="Verdana" w:hAnsi="Verdana"/>
          <w:sz w:val="20"/>
          <w:szCs w:val="20"/>
          <w:lang w:val="es-ES"/>
        </w:rPr>
        <w:t xml:space="preserve"> Estado de </w:t>
      </w:r>
      <w:r w:rsidR="00563E11">
        <w:rPr>
          <w:rFonts w:ascii="Verdana" w:hAnsi="Verdana"/>
          <w:sz w:val="20"/>
          <w:szCs w:val="20"/>
          <w:lang w:val="es-ES"/>
        </w:rPr>
        <w:t>Surinam</w:t>
      </w:r>
      <w:r w:rsidRPr="00262413">
        <w:rPr>
          <w:rFonts w:ascii="Verdana" w:hAnsi="Verdana"/>
          <w:sz w:val="20"/>
          <w:szCs w:val="20"/>
          <w:lang w:val="es-ES"/>
        </w:rPr>
        <w:t>, alcanzada el 25 de noviembre de 1975</w:t>
      </w:r>
      <w:r>
        <w:rPr>
          <w:rFonts w:ascii="Verdana" w:hAnsi="Verdana"/>
          <w:sz w:val="20"/>
          <w:szCs w:val="20"/>
          <w:lang w:val="es-ES"/>
        </w:rPr>
        <w:t>.</w:t>
      </w:r>
      <w:r w:rsidRPr="00262413">
        <w:rPr>
          <w:rFonts w:ascii="Verdana" w:hAnsi="Verdana"/>
          <w:sz w:val="20"/>
          <w:szCs w:val="20"/>
          <w:lang w:val="es-ES"/>
        </w:rPr>
        <w:t xml:space="preserve"> </w:t>
      </w:r>
      <w:r>
        <w:rPr>
          <w:rFonts w:ascii="Verdana" w:hAnsi="Verdana"/>
          <w:sz w:val="20"/>
          <w:szCs w:val="20"/>
          <w:lang w:val="es-ES"/>
        </w:rPr>
        <w:t>E</w:t>
      </w:r>
      <w:r w:rsidRPr="00262413">
        <w:rPr>
          <w:rFonts w:ascii="Verdana" w:hAnsi="Verdana"/>
          <w:sz w:val="20"/>
          <w:szCs w:val="20"/>
          <w:lang w:val="es-ES"/>
        </w:rPr>
        <w:t>n 1972 presentaron diversas peticiones a la Comisión de Independencia, en las que denunciaban, entre otros, que la clasificación de territorios indígenas bajo el dominio estatal era injusta</w:t>
      </w:r>
      <w:r w:rsidRPr="00262413">
        <w:rPr>
          <w:rStyle w:val="FootnoteReference"/>
          <w:szCs w:val="20"/>
          <w:lang w:val="es-ES"/>
        </w:rPr>
        <w:footnoteReference w:id="67"/>
      </w:r>
      <w:r w:rsidRPr="00262413">
        <w:rPr>
          <w:rFonts w:ascii="Verdana" w:hAnsi="Verdana"/>
          <w:sz w:val="20"/>
          <w:szCs w:val="20"/>
          <w:lang w:val="es-ES"/>
        </w:rPr>
        <w:t xml:space="preserve">. </w:t>
      </w:r>
    </w:p>
    <w:p w14:paraId="36744B47" w14:textId="77777777" w:rsidR="00926E61" w:rsidRPr="004D5C3E" w:rsidRDefault="00926E61" w:rsidP="00926E61">
      <w:pPr>
        <w:jc w:val="both"/>
        <w:rPr>
          <w:rFonts w:ascii="Verdana" w:hAnsi="Verdana"/>
          <w:sz w:val="20"/>
          <w:szCs w:val="20"/>
          <w:lang w:val="es-ES"/>
        </w:rPr>
      </w:pPr>
    </w:p>
    <w:p w14:paraId="2678B13F" w14:textId="77777777" w:rsidR="00926E61" w:rsidRPr="00476874"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Entre 1975 y 1976 interpusieron tres casos ante tribunales internos para reclamar sus derechos a tierras ancestrales, los cuales fueron desestimados aduciendo falta de base jurídica</w:t>
      </w:r>
      <w:r w:rsidRPr="00262413">
        <w:rPr>
          <w:rStyle w:val="FootnoteReference"/>
          <w:szCs w:val="20"/>
          <w:lang w:val="es-ES"/>
        </w:rPr>
        <w:footnoteReference w:id="68"/>
      </w:r>
      <w:r w:rsidRPr="00476874">
        <w:rPr>
          <w:rFonts w:ascii="Verdana" w:hAnsi="Verdana"/>
          <w:sz w:val="20"/>
          <w:szCs w:val="20"/>
          <w:lang w:val="es-ES"/>
        </w:rPr>
        <w:t xml:space="preserve">. </w:t>
      </w:r>
    </w:p>
    <w:p w14:paraId="7F34782D" w14:textId="77777777" w:rsidR="00926E61" w:rsidRPr="004D5C3E" w:rsidRDefault="00926E61" w:rsidP="00926E61">
      <w:pPr>
        <w:pStyle w:val="ListParagraph"/>
        <w:jc w:val="both"/>
        <w:rPr>
          <w:rFonts w:ascii="Verdana" w:hAnsi="Verdana"/>
          <w:sz w:val="20"/>
          <w:szCs w:val="20"/>
          <w:lang w:val="es-ES"/>
        </w:rPr>
      </w:pPr>
    </w:p>
    <w:p w14:paraId="1AF362B1" w14:textId="77777777" w:rsidR="00926E61" w:rsidRPr="004B03E2"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 xml:space="preserve">En 1976 </w:t>
      </w:r>
      <w:r w:rsidRPr="00B935FA">
        <w:rPr>
          <w:rFonts w:ascii="Verdana" w:hAnsi="Verdana"/>
          <w:sz w:val="20"/>
          <w:szCs w:val="20"/>
          <w:lang w:val="es-ES"/>
        </w:rPr>
        <w:t>los</w:t>
      </w:r>
      <w:r w:rsidRPr="00262413">
        <w:rPr>
          <w:rFonts w:ascii="Verdana" w:hAnsi="Verdana"/>
          <w:sz w:val="20"/>
          <w:szCs w:val="20"/>
          <w:lang w:val="es-ES"/>
        </w:rPr>
        <w:t xml:space="preserve"> </w:t>
      </w:r>
      <w:r w:rsidR="00382F4D">
        <w:rPr>
          <w:rFonts w:ascii="Verdana" w:hAnsi="Verdana"/>
          <w:sz w:val="20"/>
          <w:szCs w:val="20"/>
          <w:lang w:val="es-ES"/>
        </w:rPr>
        <w:t>Pueblos Kaliña y Lokono</w:t>
      </w:r>
      <w:r w:rsidR="00CB39E1" w:rsidRPr="004D5C3E">
        <w:rPr>
          <w:rFonts w:ascii="Verdana" w:hAnsi="Verdana"/>
          <w:sz w:val="20"/>
          <w:szCs w:val="20"/>
          <w:lang w:val="es-ES"/>
        </w:rPr>
        <w:t xml:space="preserve"> </w:t>
      </w:r>
      <w:r w:rsidR="00CB39E1">
        <w:rPr>
          <w:rFonts w:ascii="Verdana" w:hAnsi="Verdana"/>
          <w:sz w:val="20"/>
          <w:szCs w:val="20"/>
          <w:lang w:val="es-ES"/>
        </w:rPr>
        <w:t>participaron en</w:t>
      </w:r>
      <w:r w:rsidRPr="00262413">
        <w:rPr>
          <w:rFonts w:ascii="Verdana" w:hAnsi="Verdana"/>
          <w:sz w:val="20"/>
          <w:szCs w:val="20"/>
          <w:lang w:val="es-ES"/>
        </w:rPr>
        <w:t xml:space="preserve"> una marcha de 142 kilómetros</w:t>
      </w:r>
      <w:r w:rsidR="009F6368">
        <w:rPr>
          <w:rFonts w:ascii="Verdana" w:hAnsi="Verdana"/>
          <w:sz w:val="20"/>
          <w:szCs w:val="20"/>
          <w:lang w:val="es-ES"/>
        </w:rPr>
        <w:t xml:space="preserve">, </w:t>
      </w:r>
      <w:r w:rsidRPr="00262413">
        <w:rPr>
          <w:rFonts w:ascii="Verdana" w:hAnsi="Verdana"/>
          <w:sz w:val="20"/>
          <w:szCs w:val="20"/>
          <w:lang w:val="es-ES"/>
        </w:rPr>
        <w:t>de Albina a Paramaribo</w:t>
      </w:r>
      <w:r w:rsidR="009F6368">
        <w:rPr>
          <w:rFonts w:ascii="Verdana" w:hAnsi="Verdana"/>
          <w:sz w:val="20"/>
          <w:szCs w:val="20"/>
          <w:lang w:val="es-ES"/>
        </w:rPr>
        <w:t xml:space="preserve">, </w:t>
      </w:r>
      <w:r w:rsidRPr="00262413">
        <w:rPr>
          <w:rFonts w:ascii="Verdana" w:hAnsi="Verdana"/>
          <w:sz w:val="20"/>
          <w:szCs w:val="20"/>
          <w:lang w:val="es-ES"/>
        </w:rPr>
        <w:t xml:space="preserve">para protestar en contra de las violaciones a sus derechos territoriales por la creación de la Reserva Natural Galibi en 1969, así como la sub-división y parcelación de las aldeas de Erowarte, </w:t>
      </w:r>
      <w:r w:rsidR="009F6368">
        <w:rPr>
          <w:rFonts w:ascii="Verdana" w:hAnsi="Verdana"/>
          <w:sz w:val="20"/>
          <w:szCs w:val="20"/>
          <w:lang w:val="es-ES"/>
        </w:rPr>
        <w:t>Marijkedorp (</w:t>
      </w:r>
      <w:r w:rsidRPr="00262413">
        <w:rPr>
          <w:rFonts w:ascii="Verdana" w:hAnsi="Verdana"/>
          <w:sz w:val="20"/>
          <w:szCs w:val="20"/>
          <w:lang w:val="es-ES"/>
        </w:rPr>
        <w:t>Wan Shi Sha</w:t>
      </w:r>
      <w:r w:rsidR="009F6368">
        <w:rPr>
          <w:rFonts w:ascii="Verdana" w:hAnsi="Verdana"/>
          <w:sz w:val="20"/>
          <w:szCs w:val="20"/>
          <w:lang w:val="es-ES"/>
        </w:rPr>
        <w:t>)</w:t>
      </w:r>
      <w:r w:rsidRPr="00262413">
        <w:rPr>
          <w:rFonts w:ascii="Verdana" w:hAnsi="Verdana"/>
          <w:sz w:val="20"/>
          <w:szCs w:val="20"/>
          <w:lang w:val="es-ES"/>
        </w:rPr>
        <w:t>, Tapuku y Pierrekondre</w:t>
      </w:r>
      <w:r>
        <w:rPr>
          <w:rFonts w:ascii="Verdana" w:hAnsi="Verdana"/>
          <w:sz w:val="20"/>
          <w:szCs w:val="20"/>
          <w:lang w:val="es-ES"/>
        </w:rPr>
        <w:t xml:space="preserve">. La respuesta estatal al respecto </w:t>
      </w:r>
      <w:r w:rsidRPr="00E80197">
        <w:rPr>
          <w:rFonts w:ascii="Verdana" w:hAnsi="Verdana"/>
          <w:sz w:val="20"/>
          <w:szCs w:val="20"/>
          <w:lang w:val="es-ES"/>
        </w:rPr>
        <w:t>fue que los indígenas no tenían derechos territoriales y, por lo tanto, no cabía objeción alguna</w:t>
      </w:r>
      <w:r w:rsidRPr="00262413">
        <w:rPr>
          <w:rStyle w:val="FootnoteReference"/>
          <w:szCs w:val="20"/>
          <w:lang w:val="es-ES"/>
        </w:rPr>
        <w:footnoteReference w:id="69"/>
      </w:r>
      <w:r w:rsidRPr="0084405F">
        <w:rPr>
          <w:rFonts w:ascii="Verdana" w:hAnsi="Verdana"/>
          <w:sz w:val="20"/>
          <w:szCs w:val="20"/>
          <w:lang w:val="es-ES"/>
        </w:rPr>
        <w:t xml:space="preserve">. </w:t>
      </w:r>
      <w:r w:rsidRPr="004D5C3E">
        <w:rPr>
          <w:rFonts w:ascii="Verdana" w:hAnsi="Verdana"/>
          <w:sz w:val="20"/>
          <w:szCs w:val="20"/>
          <w:lang w:val="es-ES"/>
        </w:rPr>
        <w:t>También</w:t>
      </w:r>
      <w:r w:rsidRPr="00E80197">
        <w:rPr>
          <w:rFonts w:ascii="Verdana" w:hAnsi="Verdana"/>
          <w:sz w:val="20"/>
          <w:szCs w:val="20"/>
          <w:lang w:val="es-ES"/>
        </w:rPr>
        <w:t xml:space="preserve"> en 197</w:t>
      </w:r>
      <w:r w:rsidR="009F6368">
        <w:rPr>
          <w:rFonts w:ascii="Verdana" w:hAnsi="Verdana"/>
          <w:sz w:val="20"/>
          <w:szCs w:val="20"/>
          <w:lang w:val="es-ES"/>
        </w:rPr>
        <w:t>8</w:t>
      </w:r>
      <w:r w:rsidRPr="00E80197">
        <w:rPr>
          <w:rFonts w:ascii="Verdana" w:hAnsi="Verdana"/>
          <w:sz w:val="20"/>
          <w:szCs w:val="20"/>
          <w:lang w:val="es-ES"/>
        </w:rPr>
        <w:t xml:space="preserve">, los </w:t>
      </w:r>
      <w:r w:rsidR="00382F4D">
        <w:rPr>
          <w:rFonts w:ascii="Verdana" w:hAnsi="Verdana"/>
          <w:sz w:val="20"/>
          <w:szCs w:val="20"/>
          <w:lang w:val="es-ES"/>
        </w:rPr>
        <w:t>Pueblos Kaliña y Lokono</w:t>
      </w:r>
      <w:r w:rsidRPr="003C44C3">
        <w:rPr>
          <w:rFonts w:ascii="Verdana" w:hAnsi="Verdana"/>
          <w:sz w:val="20"/>
          <w:szCs w:val="20"/>
          <w:lang w:val="es-ES"/>
        </w:rPr>
        <w:t xml:space="preserve">, junto a otros indígenas y </w:t>
      </w:r>
      <w:r w:rsidR="006D4D2C">
        <w:rPr>
          <w:rFonts w:ascii="Verdana" w:hAnsi="Verdana"/>
          <w:sz w:val="20"/>
          <w:szCs w:val="20"/>
          <w:lang w:val="es-ES"/>
        </w:rPr>
        <w:t>maroon</w:t>
      </w:r>
      <w:r w:rsidR="00F57D87">
        <w:rPr>
          <w:rFonts w:ascii="Verdana" w:hAnsi="Verdana"/>
          <w:sz w:val="20"/>
          <w:szCs w:val="20"/>
          <w:lang w:val="es-ES"/>
        </w:rPr>
        <w:t>s</w:t>
      </w:r>
      <w:r w:rsidRPr="003C44C3">
        <w:rPr>
          <w:rFonts w:ascii="Verdana" w:hAnsi="Verdana"/>
          <w:sz w:val="20"/>
          <w:szCs w:val="20"/>
          <w:lang w:val="es-ES"/>
        </w:rPr>
        <w:t xml:space="preserve">, adoptaron la Declaración de Santigron </w:t>
      </w:r>
      <w:r w:rsidRPr="004B03E2">
        <w:rPr>
          <w:rFonts w:ascii="Verdana" w:hAnsi="Verdana"/>
          <w:sz w:val="20"/>
          <w:szCs w:val="20"/>
          <w:lang w:val="es-ES"/>
        </w:rPr>
        <w:t xml:space="preserve">en la cual </w:t>
      </w:r>
      <w:r w:rsidRPr="00933C02">
        <w:rPr>
          <w:rFonts w:ascii="Verdana" w:hAnsi="Verdana"/>
          <w:sz w:val="20"/>
          <w:szCs w:val="20"/>
        </w:rPr>
        <w:t>reclamaban participar en los planes y reconocimiento de los derechos de propiedad de su territorio</w:t>
      </w:r>
      <w:r w:rsidRPr="004B03E2">
        <w:rPr>
          <w:rStyle w:val="FootnoteReference"/>
          <w:szCs w:val="20"/>
          <w:lang w:val="es-ES"/>
        </w:rPr>
        <w:footnoteReference w:id="70"/>
      </w:r>
      <w:r w:rsidRPr="004B03E2">
        <w:rPr>
          <w:rFonts w:ascii="Verdana" w:hAnsi="Verdana"/>
          <w:sz w:val="20"/>
          <w:szCs w:val="20"/>
          <w:lang w:val="es-ES"/>
        </w:rPr>
        <w:t xml:space="preserve">. </w:t>
      </w:r>
    </w:p>
    <w:p w14:paraId="061DDC06" w14:textId="77777777" w:rsidR="00926E61" w:rsidRPr="004D5C3E" w:rsidRDefault="00926E61" w:rsidP="00926E61">
      <w:pPr>
        <w:pStyle w:val="ListParagraph"/>
        <w:ind w:left="0"/>
        <w:jc w:val="both"/>
        <w:rPr>
          <w:rFonts w:ascii="Verdana" w:hAnsi="Verdana"/>
          <w:sz w:val="20"/>
          <w:szCs w:val="20"/>
          <w:lang w:val="es-ES"/>
        </w:rPr>
      </w:pPr>
    </w:p>
    <w:p w14:paraId="428E7CBD" w14:textId="77777777" w:rsidR="00926E61" w:rsidRPr="007624EC" w:rsidRDefault="007624EC" w:rsidP="007624EC">
      <w:pPr>
        <w:pStyle w:val="Heading3"/>
        <w:spacing w:before="0"/>
        <w:ind w:firstLine="360"/>
        <w:jc w:val="both"/>
        <w:rPr>
          <w:rFonts w:ascii="Verdana" w:hAnsi="Verdana"/>
          <w:i/>
          <w:color w:val="auto"/>
          <w:sz w:val="20"/>
          <w:szCs w:val="20"/>
          <w:lang w:val="es-ES"/>
        </w:rPr>
      </w:pPr>
      <w:bookmarkStart w:id="22" w:name="_Toc441666163"/>
      <w:r>
        <w:rPr>
          <w:rFonts w:ascii="Verdana" w:hAnsi="Verdana"/>
          <w:i/>
          <w:color w:val="auto"/>
          <w:sz w:val="20"/>
          <w:szCs w:val="20"/>
          <w:lang w:val="es-ES"/>
        </w:rPr>
        <w:t>D</w:t>
      </w:r>
      <w:r w:rsidR="00926E61" w:rsidRPr="007624EC">
        <w:rPr>
          <w:rFonts w:ascii="Verdana" w:hAnsi="Verdana"/>
          <w:i/>
          <w:color w:val="auto"/>
          <w:sz w:val="20"/>
          <w:szCs w:val="20"/>
          <w:lang w:val="es-ES"/>
        </w:rPr>
        <w:t>.2 Acciones realizadas con posterioridad al reconocimiento de la competencia de la Corte (12 de noviembre de 1987)</w:t>
      </w:r>
      <w:bookmarkEnd w:id="22"/>
    </w:p>
    <w:p w14:paraId="6F543F17" w14:textId="77777777" w:rsidR="00926E61" w:rsidRPr="00262413" w:rsidRDefault="00926E61" w:rsidP="00926E61">
      <w:pPr>
        <w:pStyle w:val="ListParagraph"/>
        <w:ind w:left="0"/>
        <w:jc w:val="both"/>
        <w:rPr>
          <w:rFonts w:ascii="Verdana" w:hAnsi="Verdana"/>
          <w:sz w:val="20"/>
          <w:szCs w:val="20"/>
          <w:lang w:val="es-ES"/>
        </w:rPr>
      </w:pPr>
    </w:p>
    <w:p w14:paraId="0E054CCB" w14:textId="77777777" w:rsidR="00926E61" w:rsidRPr="00476874" w:rsidRDefault="00926E61" w:rsidP="00B935FA">
      <w:pPr>
        <w:pStyle w:val="ListParagraph"/>
        <w:numPr>
          <w:ilvl w:val="0"/>
          <w:numId w:val="2"/>
        </w:numPr>
        <w:ind w:left="0" w:hanging="11"/>
        <w:jc w:val="both"/>
        <w:rPr>
          <w:rFonts w:ascii="Verdana" w:hAnsi="Verdana"/>
          <w:sz w:val="20"/>
          <w:szCs w:val="20"/>
          <w:lang w:val="es-ES"/>
        </w:rPr>
      </w:pPr>
      <w:r w:rsidRPr="00262413">
        <w:rPr>
          <w:rFonts w:ascii="Verdana" w:hAnsi="Verdana"/>
          <w:sz w:val="20"/>
          <w:szCs w:val="20"/>
          <w:lang w:val="es-ES"/>
        </w:rPr>
        <w:t xml:space="preserve">Con motivo de la finalización del </w:t>
      </w:r>
      <w:r w:rsidRPr="00926E61">
        <w:rPr>
          <w:rStyle w:val="Strong"/>
          <w:rFonts w:ascii="Verdana" w:hAnsi="Verdana"/>
          <w:b w:val="0"/>
          <w:sz w:val="20"/>
          <w:szCs w:val="20"/>
          <w:lang w:val="es-ES"/>
        </w:rPr>
        <w:t xml:space="preserve">conflicto interno en </w:t>
      </w:r>
      <w:r w:rsidR="00563E11">
        <w:rPr>
          <w:rStyle w:val="Strong"/>
          <w:rFonts w:ascii="Verdana" w:hAnsi="Verdana"/>
          <w:b w:val="0"/>
          <w:sz w:val="20"/>
          <w:szCs w:val="20"/>
          <w:lang w:val="es-ES"/>
        </w:rPr>
        <w:t>Surinam</w:t>
      </w:r>
      <w:r w:rsidRPr="00926E61">
        <w:rPr>
          <w:rStyle w:val="Strong"/>
          <w:rFonts w:ascii="Verdana" w:hAnsi="Verdana"/>
          <w:b w:val="0"/>
          <w:sz w:val="20"/>
          <w:szCs w:val="20"/>
          <w:lang w:val="es-ES"/>
        </w:rPr>
        <w:t>, ocurrido en 1992 mediante el</w:t>
      </w:r>
      <w:r w:rsidRPr="00262413">
        <w:rPr>
          <w:rStyle w:val="Strong"/>
          <w:rFonts w:ascii="Verdana" w:hAnsi="Verdana"/>
          <w:sz w:val="20"/>
          <w:szCs w:val="20"/>
          <w:lang w:val="es-ES"/>
        </w:rPr>
        <w:t xml:space="preserve"> </w:t>
      </w:r>
      <w:r w:rsidRPr="00262413">
        <w:rPr>
          <w:rFonts w:ascii="Verdana" w:hAnsi="Verdana"/>
          <w:sz w:val="20"/>
          <w:szCs w:val="20"/>
          <w:lang w:val="es-ES"/>
        </w:rPr>
        <w:t xml:space="preserve">Acuerdo de Paz de </w:t>
      </w:r>
      <w:r w:rsidRPr="00262413">
        <w:rPr>
          <w:rFonts w:ascii="Verdana" w:hAnsi="Verdana"/>
          <w:sz w:val="20"/>
          <w:szCs w:val="20"/>
          <w:lang w:val="es-MX"/>
        </w:rPr>
        <w:t>Lelydorp</w:t>
      </w:r>
      <w:r w:rsidRPr="00926E61">
        <w:rPr>
          <w:rStyle w:val="Strong"/>
          <w:rFonts w:ascii="Verdana" w:hAnsi="Verdana"/>
          <w:b w:val="0"/>
          <w:sz w:val="20"/>
          <w:szCs w:val="20"/>
          <w:lang w:val="es-ES"/>
        </w:rPr>
        <w:t>,</w:t>
      </w:r>
      <w:r w:rsidRPr="00262413">
        <w:rPr>
          <w:rStyle w:val="Strong"/>
          <w:rFonts w:ascii="Verdana" w:hAnsi="Verdana"/>
          <w:sz w:val="20"/>
          <w:szCs w:val="20"/>
          <w:lang w:val="es-ES"/>
        </w:rPr>
        <w:t xml:space="preserve"> </w:t>
      </w:r>
      <w:r w:rsidRPr="00926E61">
        <w:rPr>
          <w:rStyle w:val="Strong"/>
          <w:rFonts w:ascii="Verdana" w:hAnsi="Verdana"/>
          <w:b w:val="0"/>
          <w:sz w:val="20"/>
          <w:szCs w:val="20"/>
          <w:lang w:val="es-ES"/>
        </w:rPr>
        <w:t xml:space="preserve">los </w:t>
      </w:r>
      <w:r w:rsidR="00382F4D">
        <w:rPr>
          <w:rStyle w:val="Strong"/>
          <w:rFonts w:ascii="Verdana" w:hAnsi="Verdana"/>
          <w:b w:val="0"/>
          <w:sz w:val="20"/>
          <w:szCs w:val="20"/>
          <w:lang w:val="es-ES"/>
        </w:rPr>
        <w:t>Pueblos Kaliña y Lokono</w:t>
      </w:r>
      <w:r w:rsidR="00CB39E1" w:rsidRPr="004D5C3E">
        <w:rPr>
          <w:rFonts w:ascii="Verdana" w:hAnsi="Verdana"/>
          <w:sz w:val="20"/>
          <w:szCs w:val="20"/>
          <w:lang w:val="es-ES"/>
        </w:rPr>
        <w:t xml:space="preserve"> </w:t>
      </w:r>
      <w:r w:rsidRPr="00926E61">
        <w:rPr>
          <w:rStyle w:val="Strong"/>
          <w:rFonts w:ascii="Verdana" w:hAnsi="Verdana"/>
          <w:b w:val="0"/>
          <w:sz w:val="20"/>
          <w:szCs w:val="20"/>
          <w:lang w:val="es-ES"/>
        </w:rPr>
        <w:t>comenzar a retornar a sus territorios y a reconstruir sus comunidades. Paralelamente, intentaron recuperar los territorios que habían sido otorgados por el Estado a terceros. En dicho contexto,</w:t>
      </w:r>
      <w:r w:rsidRPr="00262413">
        <w:rPr>
          <w:rStyle w:val="Strong"/>
          <w:rFonts w:ascii="Verdana" w:hAnsi="Verdana"/>
          <w:sz w:val="20"/>
          <w:szCs w:val="20"/>
          <w:lang w:val="es-ES"/>
        </w:rPr>
        <w:t xml:space="preserve"> </w:t>
      </w:r>
      <w:r w:rsidRPr="00262413">
        <w:rPr>
          <w:rFonts w:ascii="Verdana" w:hAnsi="Verdana"/>
          <w:sz w:val="20"/>
          <w:szCs w:val="20"/>
          <w:lang w:val="es-ES"/>
        </w:rPr>
        <w:t>el señor Tjan A. Sjin, propietario de una casa vacacional ubicada en la comunidad de Marijkedorp</w:t>
      </w:r>
      <w:r>
        <w:rPr>
          <w:rFonts w:ascii="Verdana" w:hAnsi="Verdana"/>
          <w:sz w:val="20"/>
          <w:szCs w:val="20"/>
          <w:lang w:val="es-ES"/>
        </w:rPr>
        <w:t xml:space="preserve"> (Wan Shi </w:t>
      </w:r>
      <w:r>
        <w:rPr>
          <w:rFonts w:ascii="Verdana" w:hAnsi="Verdana"/>
          <w:sz w:val="20"/>
          <w:szCs w:val="20"/>
          <w:lang w:val="es-ES"/>
        </w:rPr>
        <w:lastRenderedPageBreak/>
        <w:t>Sha)</w:t>
      </w:r>
      <w:r w:rsidRPr="00E80197">
        <w:rPr>
          <w:rFonts w:ascii="Verdana" w:hAnsi="Verdana"/>
          <w:sz w:val="20"/>
          <w:szCs w:val="20"/>
          <w:lang w:val="es-ES"/>
        </w:rPr>
        <w:t xml:space="preserve">, denunció </w:t>
      </w:r>
      <w:r w:rsidR="009F6368">
        <w:rPr>
          <w:rFonts w:ascii="Verdana" w:hAnsi="Verdana"/>
          <w:sz w:val="20"/>
          <w:szCs w:val="20"/>
          <w:lang w:val="es-ES"/>
        </w:rPr>
        <w:t xml:space="preserve">en sede interna </w:t>
      </w:r>
      <w:r w:rsidRPr="00E80197">
        <w:rPr>
          <w:rFonts w:ascii="Verdana" w:hAnsi="Verdana"/>
          <w:sz w:val="20"/>
          <w:szCs w:val="20"/>
          <w:lang w:val="es-ES"/>
        </w:rPr>
        <w:t>al Capitán Lokono Erick Zaalman en virtud de que este último y los habitantes de la comunidad le impedían al señor</w:t>
      </w:r>
      <w:r w:rsidRPr="00E80197">
        <w:rPr>
          <w:rFonts w:ascii="Verdana" w:hAnsi="Verdana"/>
          <w:i/>
          <w:sz w:val="20"/>
          <w:szCs w:val="20"/>
          <w:lang w:val="es-ES"/>
        </w:rPr>
        <w:t xml:space="preserve"> </w:t>
      </w:r>
      <w:r w:rsidRPr="00E80197">
        <w:rPr>
          <w:rFonts w:ascii="Verdana" w:hAnsi="Verdana"/>
          <w:sz w:val="20"/>
          <w:szCs w:val="20"/>
          <w:lang w:val="es-ES"/>
        </w:rPr>
        <w:t xml:space="preserve">Tjan A. Sjin  la reconstrucción de su casa, que había sido destruida durante el conflicto interno. Dicho caso fue conocido como </w:t>
      </w:r>
      <w:r w:rsidRPr="00E80197">
        <w:rPr>
          <w:rFonts w:ascii="Verdana" w:hAnsi="Verdana"/>
          <w:i/>
          <w:sz w:val="20"/>
          <w:szCs w:val="20"/>
          <w:lang w:val="es-ES"/>
        </w:rPr>
        <w:t xml:space="preserve">Tjang A Sjin </w:t>
      </w:r>
      <w:r w:rsidR="00FB4175">
        <w:rPr>
          <w:rFonts w:ascii="Verdana" w:hAnsi="Verdana"/>
          <w:i/>
          <w:sz w:val="20"/>
          <w:szCs w:val="20"/>
          <w:lang w:val="es-ES"/>
        </w:rPr>
        <w:t>v</w:t>
      </w:r>
      <w:r w:rsidRPr="001004EF">
        <w:rPr>
          <w:rFonts w:ascii="Verdana" w:hAnsi="Verdana"/>
          <w:i/>
          <w:sz w:val="20"/>
          <w:szCs w:val="20"/>
          <w:lang w:val="es-ES"/>
        </w:rPr>
        <w:t>. Zaalman y otros</w:t>
      </w:r>
      <w:r w:rsidRPr="00262413">
        <w:rPr>
          <w:rStyle w:val="FootnoteReference"/>
          <w:bCs/>
          <w:szCs w:val="20"/>
          <w:lang w:val="es-ES"/>
        </w:rPr>
        <w:footnoteReference w:id="71"/>
      </w:r>
      <w:r w:rsidRPr="00262413">
        <w:rPr>
          <w:rFonts w:ascii="Verdana" w:hAnsi="Verdana"/>
          <w:sz w:val="20"/>
          <w:szCs w:val="20"/>
          <w:lang w:val="es-ES"/>
        </w:rPr>
        <w:t xml:space="preserve">. </w:t>
      </w:r>
    </w:p>
    <w:p w14:paraId="7C5FCFC0" w14:textId="77777777" w:rsidR="00926E61" w:rsidRPr="004D5C3E" w:rsidRDefault="00926E61" w:rsidP="00926E61">
      <w:pPr>
        <w:jc w:val="both"/>
        <w:rPr>
          <w:rFonts w:ascii="Verdana" w:hAnsi="Verdana"/>
          <w:sz w:val="20"/>
          <w:szCs w:val="20"/>
          <w:lang w:val="es-ES"/>
        </w:rPr>
      </w:pPr>
    </w:p>
    <w:p w14:paraId="02B1E7F3" w14:textId="4BA743CE" w:rsidR="00926E61" w:rsidRPr="0084405F" w:rsidRDefault="00926E61" w:rsidP="00B935FA">
      <w:pPr>
        <w:pStyle w:val="ListParagraph"/>
        <w:numPr>
          <w:ilvl w:val="0"/>
          <w:numId w:val="2"/>
        </w:numPr>
        <w:ind w:left="0" w:hanging="11"/>
        <w:jc w:val="both"/>
        <w:rPr>
          <w:rFonts w:ascii="Verdana" w:hAnsi="Verdana"/>
          <w:snapToGrid w:val="0"/>
          <w:sz w:val="20"/>
          <w:szCs w:val="20"/>
        </w:rPr>
      </w:pPr>
      <w:r>
        <w:rPr>
          <w:rFonts w:ascii="Verdana" w:hAnsi="Verdana"/>
          <w:sz w:val="20"/>
          <w:szCs w:val="20"/>
          <w:lang w:val="es-ES"/>
        </w:rPr>
        <w:t>Al respecto, en 199</w:t>
      </w:r>
      <w:r w:rsidR="009F6368">
        <w:rPr>
          <w:rFonts w:ascii="Verdana" w:hAnsi="Verdana"/>
          <w:sz w:val="20"/>
          <w:szCs w:val="20"/>
          <w:lang w:val="es-ES"/>
        </w:rPr>
        <w:t>8</w:t>
      </w:r>
      <w:r>
        <w:rPr>
          <w:rFonts w:ascii="Verdana" w:hAnsi="Verdana"/>
          <w:sz w:val="20"/>
          <w:szCs w:val="20"/>
          <w:lang w:val="es-ES"/>
        </w:rPr>
        <w:t>, e</w:t>
      </w:r>
      <w:r w:rsidRPr="001004EF">
        <w:rPr>
          <w:rFonts w:ascii="Verdana" w:hAnsi="Verdana"/>
          <w:sz w:val="20"/>
          <w:szCs w:val="20"/>
          <w:lang w:val="es-ES"/>
        </w:rPr>
        <w:t xml:space="preserve">n protesta por la denuncia interpuesta contra el Capitán Zaalman, miembros de los </w:t>
      </w:r>
      <w:r w:rsidR="00CB39E1">
        <w:rPr>
          <w:rFonts w:ascii="Verdana" w:hAnsi="Verdana"/>
          <w:sz w:val="20"/>
          <w:szCs w:val="20"/>
          <w:lang w:val="es-ES"/>
        </w:rPr>
        <w:t>p</w:t>
      </w:r>
      <w:r w:rsidRPr="001004EF">
        <w:rPr>
          <w:rFonts w:ascii="Verdana" w:hAnsi="Verdana"/>
          <w:sz w:val="20"/>
          <w:szCs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sidRPr="001004EF">
        <w:rPr>
          <w:rFonts w:ascii="Verdana" w:hAnsi="Verdana"/>
          <w:sz w:val="20"/>
          <w:szCs w:val="20"/>
          <w:lang w:val="es-ES"/>
        </w:rPr>
        <w:t xml:space="preserve">en compañía de indígenas de otras zonas de </w:t>
      </w:r>
      <w:r w:rsidR="00563E11">
        <w:rPr>
          <w:rFonts w:ascii="Verdana" w:hAnsi="Verdana"/>
          <w:sz w:val="20"/>
          <w:szCs w:val="20"/>
          <w:lang w:val="es-ES"/>
        </w:rPr>
        <w:t>Surinam</w:t>
      </w:r>
      <w:r w:rsidRPr="001004EF">
        <w:rPr>
          <w:rFonts w:ascii="Verdana" w:hAnsi="Verdana"/>
          <w:sz w:val="20"/>
          <w:szCs w:val="20"/>
          <w:lang w:val="es-ES"/>
        </w:rPr>
        <w:t xml:space="preserve"> realizaron una vigilia por varios días frente a la Suprema Corte de Justicia de </w:t>
      </w:r>
      <w:r w:rsidR="00563E11">
        <w:rPr>
          <w:rFonts w:ascii="Verdana" w:hAnsi="Verdana"/>
          <w:sz w:val="20"/>
          <w:szCs w:val="20"/>
          <w:lang w:val="es-ES"/>
        </w:rPr>
        <w:t>Surinam</w:t>
      </w:r>
      <w:r w:rsidRPr="001004EF">
        <w:rPr>
          <w:rFonts w:ascii="Verdana" w:hAnsi="Verdana"/>
          <w:sz w:val="20"/>
          <w:szCs w:val="20"/>
          <w:lang w:val="es-ES"/>
        </w:rPr>
        <w:t xml:space="preserve"> en Paramaribo</w:t>
      </w:r>
      <w:r w:rsidRPr="00262413">
        <w:rPr>
          <w:rStyle w:val="FootnoteReference"/>
          <w:szCs w:val="20"/>
          <w:lang w:val="es-ES"/>
        </w:rPr>
        <w:footnoteReference w:id="72"/>
      </w:r>
      <w:r w:rsidRPr="00262413">
        <w:rPr>
          <w:rFonts w:ascii="Verdana" w:hAnsi="Verdana"/>
          <w:sz w:val="20"/>
          <w:szCs w:val="20"/>
          <w:lang w:val="es-ES"/>
        </w:rPr>
        <w:t>.</w:t>
      </w:r>
      <w:r w:rsidRPr="00476874">
        <w:rPr>
          <w:rFonts w:ascii="Verdana" w:hAnsi="Verdana"/>
          <w:sz w:val="20"/>
          <w:szCs w:val="20"/>
          <w:lang w:val="es-ES"/>
        </w:rPr>
        <w:t xml:space="preserve"> </w:t>
      </w:r>
      <w:r>
        <w:rPr>
          <w:rFonts w:ascii="Verdana" w:hAnsi="Verdana"/>
          <w:sz w:val="20"/>
          <w:szCs w:val="20"/>
          <w:lang w:val="es-ES"/>
        </w:rPr>
        <w:t>Sin embargo</w:t>
      </w:r>
      <w:r w:rsidRPr="00476874">
        <w:rPr>
          <w:rFonts w:ascii="Verdana" w:hAnsi="Verdana"/>
          <w:sz w:val="20"/>
          <w:szCs w:val="20"/>
          <w:lang w:val="es-ES"/>
        </w:rPr>
        <w:t xml:space="preserve">, </w:t>
      </w:r>
      <w:r>
        <w:rPr>
          <w:rFonts w:ascii="Verdana" w:hAnsi="Verdana"/>
          <w:sz w:val="20"/>
          <w:szCs w:val="20"/>
          <w:lang w:val="es-ES"/>
        </w:rPr>
        <w:t>la</w:t>
      </w:r>
      <w:r w:rsidRPr="00476874">
        <w:rPr>
          <w:rFonts w:ascii="Verdana" w:hAnsi="Verdana"/>
          <w:sz w:val="20"/>
          <w:szCs w:val="20"/>
          <w:lang w:val="es-ES"/>
        </w:rPr>
        <w:t xml:space="preserve"> </w:t>
      </w:r>
      <w:r w:rsidRPr="00C15E08">
        <w:rPr>
          <w:rFonts w:ascii="Verdana" w:hAnsi="Verdana"/>
          <w:sz w:val="20"/>
          <w:szCs w:val="20"/>
          <w:lang w:val="es-ES"/>
        </w:rPr>
        <w:t xml:space="preserve">sentencia </w:t>
      </w:r>
      <w:r w:rsidRPr="00F16345">
        <w:rPr>
          <w:rFonts w:ascii="Verdana" w:hAnsi="Verdana"/>
          <w:sz w:val="20"/>
          <w:szCs w:val="20"/>
          <w:lang w:val="es-ES"/>
        </w:rPr>
        <w:t xml:space="preserve">de </w:t>
      </w:r>
      <w:r w:rsidR="009F6368">
        <w:rPr>
          <w:rFonts w:ascii="Verdana" w:hAnsi="Verdana"/>
          <w:sz w:val="20"/>
          <w:szCs w:val="20"/>
          <w:lang w:val="es-ES"/>
        </w:rPr>
        <w:t xml:space="preserve">21 de </w:t>
      </w:r>
      <w:r w:rsidRPr="00F16345">
        <w:rPr>
          <w:rFonts w:ascii="Verdana" w:hAnsi="Verdana"/>
          <w:sz w:val="20"/>
          <w:szCs w:val="20"/>
          <w:lang w:val="es-ES"/>
        </w:rPr>
        <w:t>mayo de 1998</w:t>
      </w:r>
      <w:r w:rsidRPr="00190AD3">
        <w:rPr>
          <w:rFonts w:ascii="Verdana" w:hAnsi="Verdana"/>
          <w:sz w:val="20"/>
          <w:lang w:val="es-ES"/>
        </w:rPr>
        <w:t xml:space="preserve"> </w:t>
      </w:r>
      <w:r w:rsidR="00A84F18" w:rsidRPr="00941640">
        <w:rPr>
          <w:rFonts w:ascii="Verdana" w:hAnsi="Verdana"/>
          <w:sz w:val="20"/>
          <w:lang w:val="es-ES"/>
        </w:rPr>
        <w:t xml:space="preserve">emitida por </w:t>
      </w:r>
      <w:r w:rsidR="00A84F18" w:rsidRPr="00190AD3">
        <w:rPr>
          <w:rFonts w:ascii="Verdana" w:hAnsi="Verdana"/>
          <w:sz w:val="20"/>
        </w:rPr>
        <w:t>la Corte Cantonal del Primer Cantón de Paramaribo</w:t>
      </w:r>
      <w:r w:rsidR="008A4ABB" w:rsidRPr="007E20F9">
        <w:rPr>
          <w:rFonts w:ascii="Verdana" w:hAnsi="Verdana"/>
          <w:snapToGrid w:val="0"/>
          <w:sz w:val="20"/>
          <w:szCs w:val="20"/>
        </w:rPr>
        <w:t>,</w:t>
      </w:r>
      <w:r w:rsidR="00A84F18">
        <w:rPr>
          <w:rFonts w:ascii="Verdana" w:hAnsi="Verdana"/>
          <w:sz w:val="20"/>
          <w:szCs w:val="20"/>
          <w:lang w:val="es-ES"/>
        </w:rPr>
        <w:t xml:space="preserve"> </w:t>
      </w:r>
      <w:r w:rsidRPr="004D5C3E">
        <w:rPr>
          <w:rFonts w:ascii="Verdana" w:hAnsi="Verdana"/>
          <w:snapToGrid w:val="0"/>
          <w:sz w:val="20"/>
          <w:szCs w:val="20"/>
        </w:rPr>
        <w:t>estableció que</w:t>
      </w:r>
      <w:r w:rsidRPr="00E80197">
        <w:rPr>
          <w:rFonts w:ascii="Verdana" w:hAnsi="Verdana"/>
          <w:snapToGrid w:val="0"/>
          <w:sz w:val="20"/>
          <w:szCs w:val="20"/>
        </w:rPr>
        <w:t xml:space="preserve"> la comunidad indígena debía respetar el derecho de propiedad del señor </w:t>
      </w:r>
      <w:r w:rsidRPr="00262413">
        <w:rPr>
          <w:rFonts w:ascii="Verdana" w:hAnsi="Verdana"/>
          <w:sz w:val="20"/>
          <w:szCs w:val="20"/>
          <w:lang w:val="es-ES"/>
        </w:rPr>
        <w:t>Tjan A. Sjin, ya que éste era el propietario legítimo del terreno, de acuerdo con el título de propiedad emitido a tal efecto</w:t>
      </w:r>
      <w:r w:rsidRPr="00262413">
        <w:rPr>
          <w:rFonts w:ascii="Verdana" w:hAnsi="Verdana"/>
          <w:snapToGrid w:val="0"/>
          <w:sz w:val="20"/>
          <w:szCs w:val="20"/>
        </w:rPr>
        <w:t xml:space="preserve">. Este proceso judicial interno fue referido por esta Corte en el </w:t>
      </w:r>
      <w:r w:rsidR="00415A21" w:rsidRPr="00415A21">
        <w:rPr>
          <w:rFonts w:ascii="Verdana" w:hAnsi="Verdana"/>
          <w:snapToGrid w:val="0"/>
          <w:sz w:val="20"/>
          <w:szCs w:val="20"/>
        </w:rPr>
        <w:t>c</w:t>
      </w:r>
      <w:r w:rsidRPr="00415A21">
        <w:rPr>
          <w:rFonts w:ascii="Verdana" w:hAnsi="Verdana"/>
          <w:snapToGrid w:val="0"/>
          <w:sz w:val="20"/>
          <w:szCs w:val="20"/>
        </w:rPr>
        <w:t>aso del</w:t>
      </w:r>
      <w:r w:rsidRPr="00262413">
        <w:rPr>
          <w:rFonts w:ascii="Verdana" w:hAnsi="Verdana"/>
          <w:i/>
          <w:snapToGrid w:val="0"/>
          <w:sz w:val="20"/>
          <w:szCs w:val="20"/>
        </w:rPr>
        <w:t xml:space="preserve"> Pueblo Saramaka Vs. </w:t>
      </w:r>
      <w:r w:rsidR="00563E11">
        <w:rPr>
          <w:rFonts w:ascii="Verdana" w:hAnsi="Verdana"/>
          <w:i/>
          <w:snapToGrid w:val="0"/>
          <w:sz w:val="20"/>
          <w:szCs w:val="20"/>
        </w:rPr>
        <w:t>Surinam</w:t>
      </w:r>
      <w:r w:rsidRPr="00262413">
        <w:rPr>
          <w:rStyle w:val="FootnoteReference"/>
          <w:snapToGrid w:val="0"/>
          <w:szCs w:val="20"/>
        </w:rPr>
        <w:footnoteReference w:id="73"/>
      </w:r>
      <w:r w:rsidRPr="00262413">
        <w:rPr>
          <w:rFonts w:ascii="Verdana" w:hAnsi="Verdana"/>
          <w:snapToGrid w:val="0"/>
          <w:sz w:val="20"/>
          <w:szCs w:val="20"/>
        </w:rPr>
        <w:t>.</w:t>
      </w:r>
    </w:p>
    <w:p w14:paraId="7E1BF7AA" w14:textId="77777777" w:rsidR="00926E61" w:rsidRPr="004D5C3E" w:rsidRDefault="00926E61" w:rsidP="00926E61">
      <w:pPr>
        <w:jc w:val="both"/>
        <w:rPr>
          <w:rFonts w:ascii="Verdana" w:hAnsi="Verdana"/>
          <w:snapToGrid w:val="0"/>
          <w:sz w:val="20"/>
          <w:szCs w:val="20"/>
        </w:rPr>
      </w:pPr>
    </w:p>
    <w:p w14:paraId="11F94347" w14:textId="77777777" w:rsidR="00926E61" w:rsidRPr="00476874" w:rsidRDefault="00926E61" w:rsidP="00B935FA">
      <w:pPr>
        <w:pStyle w:val="ListParagraph"/>
        <w:numPr>
          <w:ilvl w:val="0"/>
          <w:numId w:val="2"/>
        </w:numPr>
        <w:ind w:left="0" w:hanging="11"/>
        <w:jc w:val="both"/>
        <w:rPr>
          <w:rFonts w:ascii="Verdana" w:hAnsi="Verdana"/>
          <w:snapToGrid w:val="0"/>
          <w:sz w:val="20"/>
          <w:szCs w:val="20"/>
        </w:rPr>
      </w:pPr>
      <w:r>
        <w:rPr>
          <w:rFonts w:ascii="Verdana" w:hAnsi="Verdana"/>
          <w:snapToGrid w:val="0"/>
          <w:sz w:val="20"/>
          <w:szCs w:val="20"/>
        </w:rPr>
        <w:t>E</w:t>
      </w:r>
      <w:r w:rsidRPr="00E80197">
        <w:rPr>
          <w:rFonts w:ascii="Verdana" w:hAnsi="Verdana"/>
          <w:snapToGrid w:val="0"/>
          <w:sz w:val="20"/>
          <w:szCs w:val="20"/>
        </w:rPr>
        <w:t>l 24 de diciembre de 2002 los habitantes de la comunidad de Pierrekondre denunciaron al Estado con la intención de que el juez revocara u</w:t>
      </w:r>
      <w:r w:rsidRPr="00262413">
        <w:rPr>
          <w:rFonts w:ascii="Verdana" w:hAnsi="Verdana"/>
          <w:snapToGrid w:val="0"/>
          <w:sz w:val="20"/>
          <w:szCs w:val="20"/>
        </w:rPr>
        <w:t>na concesión minera de arena que había sido otorgada sobre un territorio en el cual los habitantes de la comunidad indígena tenían una licencia para tala de árboles.</w:t>
      </w:r>
      <w:r w:rsidRPr="00476874">
        <w:rPr>
          <w:rFonts w:ascii="Verdana" w:hAnsi="Verdana"/>
          <w:snapToGrid w:val="0"/>
          <w:sz w:val="20"/>
          <w:szCs w:val="20"/>
        </w:rPr>
        <w:t xml:space="preserve"> Dicho caso fue conocido como </w:t>
      </w:r>
      <w:r w:rsidRPr="0084405F">
        <w:rPr>
          <w:rFonts w:ascii="Verdana" w:hAnsi="Verdana"/>
          <w:i/>
          <w:snapToGrid w:val="0"/>
          <w:sz w:val="20"/>
          <w:szCs w:val="20"/>
        </w:rPr>
        <w:t xml:space="preserve">Celientje Martina Joeroeja-Koewie y otros </w:t>
      </w:r>
      <w:r w:rsidR="00FB4175">
        <w:rPr>
          <w:rFonts w:ascii="Verdana" w:hAnsi="Verdana"/>
          <w:i/>
          <w:snapToGrid w:val="0"/>
          <w:sz w:val="20"/>
          <w:szCs w:val="20"/>
        </w:rPr>
        <w:t>v</w:t>
      </w:r>
      <w:r w:rsidRPr="0084405F">
        <w:rPr>
          <w:rFonts w:ascii="Verdana" w:hAnsi="Verdana"/>
          <w:i/>
          <w:snapToGrid w:val="0"/>
          <w:sz w:val="20"/>
          <w:szCs w:val="20"/>
        </w:rPr>
        <w:t xml:space="preserve">. </w:t>
      </w:r>
      <w:r w:rsidR="00563E11">
        <w:rPr>
          <w:rFonts w:ascii="Verdana" w:hAnsi="Verdana"/>
          <w:i/>
          <w:snapToGrid w:val="0"/>
          <w:sz w:val="20"/>
          <w:szCs w:val="20"/>
        </w:rPr>
        <w:t>Surinam</w:t>
      </w:r>
      <w:r w:rsidRPr="0084405F">
        <w:rPr>
          <w:rFonts w:ascii="Verdana" w:hAnsi="Verdana"/>
          <w:i/>
          <w:snapToGrid w:val="0"/>
          <w:sz w:val="20"/>
          <w:szCs w:val="20"/>
        </w:rPr>
        <w:t xml:space="preserve"> </w:t>
      </w:r>
      <w:r w:rsidRPr="00B95AA2">
        <w:rPr>
          <w:rFonts w:ascii="Verdana" w:hAnsi="Verdana"/>
          <w:i/>
          <w:sz w:val="20"/>
          <w:szCs w:val="20"/>
        </w:rPr>
        <w:t xml:space="preserve">&amp; </w:t>
      </w:r>
      <w:r w:rsidR="00563E11">
        <w:rPr>
          <w:rFonts w:ascii="Verdana" w:hAnsi="Verdana"/>
          <w:i/>
          <w:sz w:val="20"/>
          <w:szCs w:val="20"/>
        </w:rPr>
        <w:t>Surinam</w:t>
      </w:r>
      <w:r w:rsidRPr="00B95AA2">
        <w:rPr>
          <w:rFonts w:ascii="Verdana" w:hAnsi="Verdana"/>
          <w:i/>
          <w:sz w:val="20"/>
          <w:szCs w:val="20"/>
        </w:rPr>
        <w:t xml:space="preserve"> Stone &amp; Industries N.V</w:t>
      </w:r>
      <w:r w:rsidRPr="00262413">
        <w:rPr>
          <w:rFonts w:ascii="Verdana" w:hAnsi="Verdana"/>
          <w:i/>
          <w:snapToGrid w:val="0"/>
          <w:sz w:val="20"/>
          <w:szCs w:val="20"/>
        </w:rPr>
        <w:t xml:space="preserve">. </w:t>
      </w:r>
      <w:r w:rsidRPr="00476874">
        <w:rPr>
          <w:rFonts w:ascii="Verdana" w:hAnsi="Verdana"/>
          <w:snapToGrid w:val="0"/>
          <w:sz w:val="20"/>
          <w:szCs w:val="20"/>
        </w:rPr>
        <w:t xml:space="preserve">La defensa del Estado señaló que el argumento de los </w:t>
      </w:r>
      <w:r w:rsidRPr="0084405F">
        <w:rPr>
          <w:rFonts w:ascii="Verdana" w:hAnsi="Verdana"/>
          <w:snapToGrid w:val="0"/>
          <w:sz w:val="20"/>
          <w:szCs w:val="20"/>
        </w:rPr>
        <w:t>habitantes de la comunidad</w:t>
      </w:r>
      <w:r w:rsidRPr="004D5C3E">
        <w:rPr>
          <w:rFonts w:ascii="Verdana" w:hAnsi="Verdana"/>
          <w:snapToGrid w:val="0"/>
          <w:sz w:val="20"/>
          <w:szCs w:val="20"/>
        </w:rPr>
        <w:t xml:space="preserve"> habían habitado el territorio en disputa por siglos era groseramente exagerado</w:t>
      </w:r>
      <w:r w:rsidRPr="00262413">
        <w:rPr>
          <w:rFonts w:ascii="Verdana" w:hAnsi="Verdana"/>
          <w:snapToGrid w:val="0"/>
          <w:sz w:val="20"/>
          <w:szCs w:val="20"/>
        </w:rPr>
        <w:t>, a la vez que la legislación interna no contemplaba el reconocimiento de territorios ancestrales, y que el área de habitación de los peticionarios no se encontraba demarcada.</w:t>
      </w:r>
      <w:r w:rsidRPr="00476874">
        <w:rPr>
          <w:rFonts w:ascii="Verdana" w:hAnsi="Verdana"/>
          <w:snapToGrid w:val="0"/>
          <w:sz w:val="20"/>
          <w:szCs w:val="20"/>
        </w:rPr>
        <w:t xml:space="preserve"> </w:t>
      </w:r>
      <w:r>
        <w:rPr>
          <w:rFonts w:ascii="Verdana" w:hAnsi="Verdana"/>
          <w:snapToGrid w:val="0"/>
          <w:sz w:val="20"/>
          <w:szCs w:val="20"/>
        </w:rPr>
        <w:t>E</w:t>
      </w:r>
      <w:r w:rsidRPr="0084405F">
        <w:rPr>
          <w:rFonts w:ascii="Verdana" w:hAnsi="Verdana"/>
          <w:snapToGrid w:val="0"/>
          <w:sz w:val="20"/>
          <w:szCs w:val="20"/>
        </w:rPr>
        <w:t>l 24 de julio de 2003</w:t>
      </w:r>
      <w:r w:rsidRPr="004D5C3E">
        <w:rPr>
          <w:rFonts w:ascii="Verdana" w:hAnsi="Verdana"/>
          <w:snapToGrid w:val="0"/>
          <w:sz w:val="20"/>
          <w:szCs w:val="20"/>
        </w:rPr>
        <w:t xml:space="preserve"> </w:t>
      </w:r>
      <w:r w:rsidRPr="00E80197">
        <w:rPr>
          <w:rFonts w:ascii="Verdana" w:hAnsi="Verdana"/>
          <w:snapToGrid w:val="0"/>
          <w:sz w:val="20"/>
          <w:szCs w:val="20"/>
        </w:rPr>
        <w:t>la Corte Cantonal del Primer Cantón de Paramaribo</w:t>
      </w:r>
      <w:r>
        <w:rPr>
          <w:rFonts w:ascii="Verdana" w:hAnsi="Verdana"/>
          <w:snapToGrid w:val="0"/>
          <w:sz w:val="20"/>
          <w:szCs w:val="20"/>
        </w:rPr>
        <w:t xml:space="preserve"> emitió sentencia mediante la cual </w:t>
      </w:r>
      <w:r w:rsidRPr="00E80197">
        <w:rPr>
          <w:rFonts w:ascii="Verdana" w:hAnsi="Verdana"/>
          <w:snapToGrid w:val="0"/>
          <w:sz w:val="20"/>
          <w:szCs w:val="20"/>
        </w:rPr>
        <w:t xml:space="preserve">denegó la demanda en virtud de que los miembros de la comunidad indígena carecían de capacidad </w:t>
      </w:r>
      <w:r w:rsidRPr="00262413">
        <w:rPr>
          <w:rFonts w:ascii="Verdana" w:hAnsi="Verdana"/>
          <w:snapToGrid w:val="0"/>
          <w:sz w:val="20"/>
          <w:szCs w:val="20"/>
        </w:rPr>
        <w:t xml:space="preserve">legal como entidad colectiva, y por ello </w:t>
      </w:r>
      <w:r>
        <w:rPr>
          <w:rFonts w:ascii="Verdana" w:hAnsi="Verdana"/>
          <w:snapToGrid w:val="0"/>
          <w:sz w:val="20"/>
          <w:szCs w:val="20"/>
        </w:rPr>
        <w:t>carecían de competencia</w:t>
      </w:r>
      <w:r w:rsidRPr="001004EF">
        <w:rPr>
          <w:rFonts w:ascii="Verdana" w:hAnsi="Verdana"/>
          <w:snapToGrid w:val="0"/>
          <w:sz w:val="20"/>
          <w:szCs w:val="20"/>
        </w:rPr>
        <w:t xml:space="preserve"> para  requerir la revocación de la concesión minera</w:t>
      </w:r>
      <w:r w:rsidRPr="00262413">
        <w:rPr>
          <w:rStyle w:val="FootnoteReference"/>
          <w:snapToGrid w:val="0"/>
          <w:szCs w:val="20"/>
        </w:rPr>
        <w:footnoteReference w:id="74"/>
      </w:r>
      <w:r w:rsidRPr="00262413">
        <w:rPr>
          <w:rFonts w:ascii="Verdana" w:hAnsi="Verdana"/>
          <w:snapToGrid w:val="0"/>
          <w:sz w:val="20"/>
          <w:szCs w:val="20"/>
        </w:rPr>
        <w:t>.</w:t>
      </w:r>
    </w:p>
    <w:p w14:paraId="2296B145" w14:textId="77777777" w:rsidR="00926E61" w:rsidRPr="001004EF" w:rsidRDefault="00926E61" w:rsidP="00926E61">
      <w:pPr>
        <w:jc w:val="both"/>
        <w:rPr>
          <w:rFonts w:ascii="Verdana" w:hAnsi="Verdana"/>
          <w:sz w:val="20"/>
          <w:szCs w:val="20"/>
          <w:lang w:val="es-ES"/>
        </w:rPr>
      </w:pPr>
    </w:p>
    <w:p w14:paraId="0A1B5992" w14:textId="77777777"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 xml:space="preserve">Por otra parte, los días </w:t>
      </w:r>
      <w:r w:rsidR="009F6368">
        <w:rPr>
          <w:rFonts w:ascii="Verdana" w:hAnsi="Verdana"/>
          <w:sz w:val="20"/>
          <w:szCs w:val="20"/>
          <w:lang w:val="es-ES"/>
        </w:rPr>
        <w:t>31</w:t>
      </w:r>
      <w:r w:rsidR="009F6368" w:rsidRPr="009A23B9">
        <w:rPr>
          <w:rFonts w:ascii="Verdana" w:hAnsi="Verdana"/>
          <w:sz w:val="20"/>
          <w:szCs w:val="20"/>
          <w:lang w:val="es-ES"/>
        </w:rPr>
        <w:t xml:space="preserve"> </w:t>
      </w:r>
      <w:r w:rsidRPr="009A23B9">
        <w:rPr>
          <w:rFonts w:ascii="Verdana" w:hAnsi="Verdana"/>
          <w:sz w:val="20"/>
          <w:szCs w:val="20"/>
          <w:lang w:val="es-ES"/>
        </w:rPr>
        <w:t xml:space="preserve">de enero de 2003, 22 de marzo de 2004 y 25 de septiembre de 2005 los Capitanes de los </w:t>
      </w:r>
      <w:r w:rsidR="00CB39E1">
        <w:rPr>
          <w:rFonts w:ascii="Verdana" w:hAnsi="Verdana"/>
          <w:sz w:val="20"/>
          <w:szCs w:val="20"/>
          <w:lang w:val="es-ES"/>
        </w:rPr>
        <w:t>p</w:t>
      </w:r>
      <w:r w:rsidRPr="009A23B9">
        <w:rPr>
          <w:rFonts w:ascii="Verdana" w:hAnsi="Verdana"/>
          <w:sz w:val="20"/>
          <w:szCs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sidRPr="009A23B9">
        <w:rPr>
          <w:rFonts w:ascii="Verdana" w:hAnsi="Verdana"/>
          <w:sz w:val="20"/>
          <w:szCs w:val="20"/>
          <w:lang w:val="es-ES"/>
        </w:rPr>
        <w:t xml:space="preserve">presentaron peticiones formales ante el Presidente de </w:t>
      </w:r>
      <w:r w:rsidR="00563E11">
        <w:rPr>
          <w:rFonts w:ascii="Verdana" w:hAnsi="Verdana"/>
          <w:sz w:val="20"/>
          <w:szCs w:val="20"/>
          <w:lang w:val="es-ES"/>
        </w:rPr>
        <w:t>Surinam</w:t>
      </w:r>
      <w:r w:rsidRPr="009A23B9">
        <w:rPr>
          <w:rFonts w:ascii="Verdana" w:hAnsi="Verdana"/>
          <w:sz w:val="20"/>
          <w:szCs w:val="20"/>
          <w:lang w:val="es-ES"/>
        </w:rPr>
        <w:t>, el señor Ronald Venetiaan, sobre la base de lo establecido en el artículo 22 de la Constitución Política de 1987</w:t>
      </w:r>
      <w:r w:rsidRPr="009A23B9">
        <w:rPr>
          <w:rStyle w:val="FootnoteReference"/>
          <w:szCs w:val="20"/>
          <w:lang w:val="es-ES"/>
        </w:rPr>
        <w:footnoteReference w:id="75"/>
      </w:r>
      <w:r w:rsidRPr="009A23B9">
        <w:rPr>
          <w:rFonts w:ascii="Verdana" w:hAnsi="Verdana"/>
          <w:sz w:val="20"/>
          <w:szCs w:val="20"/>
          <w:lang w:val="es-ES"/>
        </w:rPr>
        <w:t>. En dichas comunicaciones, los Capitanes solicitaron el reconocimiento de los derechos a sus territorios ancestrales; manifestaron que el ordenamiento interno surinamés no contemplaba el reconocimiento de su personalidad jurídica ni la obligación de consulta en virtud de situaciones que afecten sus territorios y cultura, e impugnaron la creación de tres reservas naturales y el otorgamiento de concesiones mineras y de extracción maderera en su territorio ancestral</w:t>
      </w:r>
      <w:r w:rsidRPr="009A23B9">
        <w:rPr>
          <w:rStyle w:val="FootnoteReference"/>
          <w:szCs w:val="20"/>
          <w:lang w:val="es-ES"/>
        </w:rPr>
        <w:footnoteReference w:id="76"/>
      </w:r>
      <w:r w:rsidRPr="009A23B9">
        <w:rPr>
          <w:rFonts w:ascii="Verdana" w:hAnsi="Verdana"/>
          <w:sz w:val="20"/>
          <w:szCs w:val="20"/>
          <w:lang w:val="es-ES"/>
        </w:rPr>
        <w:t>. Dichas peticiones no obtuvieron respuesta por parte del Estado</w:t>
      </w:r>
      <w:r w:rsidRPr="009A23B9">
        <w:rPr>
          <w:rStyle w:val="FootnoteReference"/>
          <w:szCs w:val="20"/>
          <w:lang w:val="es-ES"/>
        </w:rPr>
        <w:footnoteReference w:id="77"/>
      </w:r>
      <w:r w:rsidRPr="009A23B9">
        <w:rPr>
          <w:rFonts w:ascii="Verdana" w:hAnsi="Verdana"/>
          <w:sz w:val="20"/>
          <w:szCs w:val="20"/>
          <w:lang w:val="es-ES"/>
        </w:rPr>
        <w:t xml:space="preserve">. </w:t>
      </w:r>
    </w:p>
    <w:p w14:paraId="5647DDAD" w14:textId="77777777" w:rsidR="00926E61" w:rsidRPr="009A23B9" w:rsidRDefault="00926E61" w:rsidP="00926E61">
      <w:pPr>
        <w:pStyle w:val="ListParagraph"/>
        <w:ind w:left="0"/>
        <w:jc w:val="both"/>
        <w:rPr>
          <w:rFonts w:ascii="Verdana" w:hAnsi="Verdana"/>
          <w:sz w:val="20"/>
          <w:szCs w:val="20"/>
          <w:lang w:val="es-ES"/>
        </w:rPr>
      </w:pPr>
    </w:p>
    <w:p w14:paraId="1E101310" w14:textId="77777777"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lastRenderedPageBreak/>
        <w:t xml:space="preserve">El 31 de enero y 28 de febrero de 2003 se llevaron a cabo reuniones con los Ministros de Desarrollo Regional y Recursos Naturales en las cuales se discutieron las preocupaciones de los </w:t>
      </w:r>
      <w:r w:rsidR="00382F4D">
        <w:rPr>
          <w:rFonts w:ascii="Verdana" w:hAnsi="Verdana"/>
          <w:sz w:val="20"/>
          <w:szCs w:val="20"/>
          <w:lang w:val="es-ES"/>
        </w:rPr>
        <w:t>Pueblos Kaliña y Lokono</w:t>
      </w:r>
      <w:r w:rsidR="00CB39E1" w:rsidRPr="004D5C3E">
        <w:rPr>
          <w:rFonts w:ascii="Verdana" w:hAnsi="Verdana"/>
          <w:sz w:val="20"/>
          <w:szCs w:val="20"/>
          <w:lang w:val="es-ES"/>
        </w:rPr>
        <w:t xml:space="preserve"> </w:t>
      </w:r>
      <w:r w:rsidRPr="009A23B9">
        <w:rPr>
          <w:rFonts w:ascii="Verdana" w:hAnsi="Verdana"/>
          <w:sz w:val="20"/>
          <w:szCs w:val="20"/>
          <w:lang w:val="es-ES"/>
        </w:rPr>
        <w:t>pero no se alcanzaron acuerdos concretos</w:t>
      </w:r>
      <w:r w:rsidRPr="009A23B9">
        <w:rPr>
          <w:rStyle w:val="FootnoteReference"/>
          <w:szCs w:val="20"/>
          <w:lang w:val="es-ES"/>
        </w:rPr>
        <w:footnoteReference w:id="78"/>
      </w:r>
      <w:r w:rsidRPr="009A23B9">
        <w:rPr>
          <w:rFonts w:ascii="Verdana" w:hAnsi="Verdana"/>
          <w:sz w:val="20"/>
          <w:szCs w:val="20"/>
          <w:lang w:val="es-ES"/>
        </w:rPr>
        <w:t>.</w:t>
      </w:r>
    </w:p>
    <w:p w14:paraId="69B7FECA" w14:textId="77777777" w:rsidR="00926E61" w:rsidRPr="009A23B9" w:rsidRDefault="00926E61" w:rsidP="00926E61">
      <w:pPr>
        <w:jc w:val="both"/>
        <w:rPr>
          <w:rFonts w:ascii="Verdana" w:hAnsi="Verdana"/>
          <w:sz w:val="20"/>
          <w:szCs w:val="20"/>
          <w:lang w:val="es-ES"/>
        </w:rPr>
      </w:pPr>
    </w:p>
    <w:p w14:paraId="52B66B24" w14:textId="77777777" w:rsidR="00926E61"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En diciembre de 2004 la organización CLIM, en representación de los</w:t>
      </w:r>
      <w:r w:rsidR="00584404">
        <w:rPr>
          <w:rFonts w:ascii="Verdana" w:hAnsi="Verdana"/>
          <w:sz w:val="20"/>
          <w:szCs w:val="20"/>
          <w:lang w:val="es-ES"/>
        </w:rPr>
        <w:t xml:space="preserve"> </w:t>
      </w:r>
      <w:r w:rsidR="00382F4D">
        <w:rPr>
          <w:rFonts w:ascii="Verdana" w:hAnsi="Verdana"/>
          <w:sz w:val="20"/>
          <w:szCs w:val="20"/>
          <w:lang w:val="es-ES"/>
        </w:rPr>
        <w:t>Pueblos Kaliña y Lokono</w:t>
      </w:r>
      <w:r w:rsidRPr="009A23B9">
        <w:rPr>
          <w:rFonts w:ascii="Verdana" w:hAnsi="Verdana"/>
          <w:sz w:val="20"/>
          <w:szCs w:val="20"/>
          <w:lang w:val="es-ES"/>
        </w:rPr>
        <w:t>, presentó una comunicación a la Oficina de Tierras Estatales en la cual solicitó la suspensión de la entrega de títulos en la zona denominada “Tuinstad</w:t>
      </w:r>
      <w:r w:rsidR="00127AF5">
        <w:rPr>
          <w:rFonts w:ascii="Verdana" w:hAnsi="Verdana"/>
          <w:sz w:val="20"/>
          <w:szCs w:val="20"/>
          <w:lang w:val="es-ES"/>
        </w:rPr>
        <w:t xml:space="preserve"> Albina</w:t>
      </w:r>
      <w:r w:rsidRPr="009A23B9">
        <w:rPr>
          <w:rFonts w:ascii="Verdana" w:hAnsi="Verdana"/>
          <w:sz w:val="20"/>
          <w:szCs w:val="20"/>
          <w:lang w:val="es-ES"/>
        </w:rPr>
        <w:t>” (</w:t>
      </w:r>
      <w:r w:rsidR="007829DF" w:rsidRPr="007829DF">
        <w:rPr>
          <w:rFonts w:ascii="Verdana" w:hAnsi="Verdana"/>
          <w:i/>
          <w:sz w:val="20"/>
          <w:szCs w:val="20"/>
          <w:lang w:val="es-ES"/>
        </w:rPr>
        <w:t>infra</w:t>
      </w:r>
      <w:r w:rsidRPr="009A23B9">
        <w:rPr>
          <w:rFonts w:ascii="Verdana" w:hAnsi="Verdana"/>
          <w:sz w:val="20"/>
          <w:szCs w:val="20"/>
          <w:lang w:val="es-ES"/>
        </w:rPr>
        <w:t xml:space="preserve"> párrs. </w:t>
      </w:r>
      <w:r w:rsidR="0078039A">
        <w:rPr>
          <w:rFonts w:ascii="Verdana" w:hAnsi="Verdana"/>
          <w:sz w:val="20"/>
          <w:szCs w:val="20"/>
          <w:lang w:val="es-ES"/>
        </w:rPr>
        <w:t>96 a 99</w:t>
      </w:r>
      <w:r w:rsidR="0078039A" w:rsidRPr="009A23B9">
        <w:rPr>
          <w:rFonts w:ascii="Verdana" w:hAnsi="Verdana"/>
          <w:sz w:val="20"/>
          <w:szCs w:val="20"/>
          <w:lang w:val="es-ES"/>
        </w:rPr>
        <w:t>)</w:t>
      </w:r>
      <w:r w:rsidR="0078039A" w:rsidRPr="009A23B9">
        <w:rPr>
          <w:rStyle w:val="FootnoteReference"/>
          <w:szCs w:val="20"/>
          <w:lang w:val="es-ES"/>
        </w:rPr>
        <w:footnoteReference w:id="79"/>
      </w:r>
      <w:r w:rsidR="0078039A" w:rsidRPr="009A23B9">
        <w:rPr>
          <w:rFonts w:ascii="Verdana" w:hAnsi="Verdana"/>
          <w:sz w:val="20"/>
          <w:szCs w:val="20"/>
          <w:lang w:val="es-ES"/>
        </w:rPr>
        <w:t xml:space="preserve">. </w:t>
      </w:r>
      <w:r w:rsidRPr="009A23B9">
        <w:rPr>
          <w:rFonts w:ascii="Verdana" w:hAnsi="Verdana"/>
          <w:sz w:val="20"/>
          <w:szCs w:val="20"/>
          <w:lang w:val="es-ES"/>
        </w:rPr>
        <w:t xml:space="preserve">Asimismo, el 22 de mayo de 2006 CLIM presentó una comunicación al Ministro de Planificación Territorial en la cual solicitó la suspensión de cualquier actividad que afectara su territorio ancestral </w:t>
      </w:r>
      <w:r w:rsidR="008A4ABB" w:rsidRPr="007E20F9">
        <w:rPr>
          <w:rFonts w:ascii="Verdana" w:hAnsi="Verdana"/>
          <w:sz w:val="20"/>
          <w:szCs w:val="20"/>
          <w:lang w:val="es-ES"/>
        </w:rPr>
        <w:t>en tanto</w:t>
      </w:r>
      <w:r w:rsidR="00A84F18" w:rsidRPr="009A23B9">
        <w:rPr>
          <w:rFonts w:ascii="Verdana" w:hAnsi="Verdana"/>
          <w:sz w:val="20"/>
          <w:szCs w:val="20"/>
          <w:lang w:val="es-ES"/>
        </w:rPr>
        <w:t xml:space="preserve"> </w:t>
      </w:r>
      <w:r w:rsidRPr="009A23B9">
        <w:rPr>
          <w:rFonts w:ascii="Verdana" w:hAnsi="Verdana"/>
          <w:sz w:val="20"/>
          <w:szCs w:val="20"/>
          <w:lang w:val="es-ES"/>
        </w:rPr>
        <w:t>que las reclamaciones presentadas al respecto fueran atendidas y resueltas</w:t>
      </w:r>
      <w:r w:rsidRPr="009A23B9">
        <w:rPr>
          <w:rStyle w:val="FootnoteReference"/>
          <w:szCs w:val="20"/>
          <w:lang w:val="es-ES"/>
        </w:rPr>
        <w:footnoteReference w:id="80"/>
      </w:r>
      <w:r w:rsidRPr="009A23B9">
        <w:rPr>
          <w:rFonts w:ascii="Verdana" w:hAnsi="Verdana"/>
          <w:sz w:val="20"/>
          <w:szCs w:val="20"/>
          <w:lang w:val="es-ES"/>
        </w:rPr>
        <w:t>. Ninguna de las comunicaciones obtuvo respuesta.</w:t>
      </w:r>
    </w:p>
    <w:p w14:paraId="3B39232A" w14:textId="77777777" w:rsidR="009B781F" w:rsidRDefault="009B781F" w:rsidP="007E20F9">
      <w:pPr>
        <w:pStyle w:val="ListParagraph"/>
        <w:ind w:left="0"/>
        <w:jc w:val="both"/>
        <w:rPr>
          <w:rFonts w:ascii="Verdana" w:hAnsi="Verdana"/>
          <w:sz w:val="20"/>
          <w:szCs w:val="20"/>
          <w:lang w:val="es-ES"/>
        </w:rPr>
      </w:pPr>
    </w:p>
    <w:p w14:paraId="1A06C8FE" w14:textId="77777777"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 xml:space="preserve">El 7 de octubre de 2007 los Capitanes de los ocho </w:t>
      </w:r>
      <w:r w:rsidR="00CB39E1">
        <w:rPr>
          <w:rFonts w:ascii="Verdana" w:hAnsi="Verdana"/>
          <w:sz w:val="20"/>
          <w:szCs w:val="20"/>
          <w:lang w:val="es-ES"/>
        </w:rPr>
        <w:t>p</w:t>
      </w:r>
      <w:r w:rsidRPr="009A23B9">
        <w:rPr>
          <w:rFonts w:ascii="Verdana" w:hAnsi="Verdana"/>
          <w:sz w:val="20"/>
          <w:szCs w:val="20"/>
          <w:lang w:val="es-ES"/>
        </w:rPr>
        <w:t xml:space="preserve">ueblos </w:t>
      </w:r>
      <w:r w:rsidR="00CB39E1">
        <w:rPr>
          <w:rFonts w:ascii="Verdana" w:hAnsi="Verdana"/>
          <w:sz w:val="20"/>
          <w:szCs w:val="20"/>
          <w:lang w:val="es-ES"/>
        </w:rPr>
        <w:t>Kaliña y Lokono</w:t>
      </w:r>
      <w:r w:rsidRPr="009A23B9">
        <w:rPr>
          <w:rFonts w:ascii="Verdana" w:hAnsi="Verdana"/>
          <w:sz w:val="20"/>
          <w:szCs w:val="20"/>
          <w:lang w:val="es-ES"/>
        </w:rPr>
        <w:t xml:space="preserve"> presentaron una comunicación al Presidente de </w:t>
      </w:r>
      <w:r w:rsidR="00563E11">
        <w:rPr>
          <w:rFonts w:ascii="Verdana" w:hAnsi="Verdana"/>
          <w:sz w:val="20"/>
          <w:szCs w:val="20"/>
          <w:lang w:val="es-ES"/>
        </w:rPr>
        <w:t>Surinam</w:t>
      </w:r>
      <w:r w:rsidRPr="009A23B9">
        <w:rPr>
          <w:rFonts w:ascii="Verdana" w:hAnsi="Verdana"/>
          <w:sz w:val="20"/>
          <w:szCs w:val="20"/>
          <w:lang w:val="es-ES"/>
        </w:rPr>
        <w:t xml:space="preserve"> impugnando la construcción de una casa de habitación, una estación de gasolina y un centro comercial en la comunidad de Pierrekondre</w:t>
      </w:r>
      <w:r w:rsidRPr="009A23B9">
        <w:rPr>
          <w:rStyle w:val="FootnoteReference"/>
          <w:szCs w:val="20"/>
          <w:lang w:val="es-ES"/>
        </w:rPr>
        <w:footnoteReference w:id="81"/>
      </w:r>
      <w:r w:rsidRPr="009A23B9">
        <w:rPr>
          <w:rFonts w:ascii="Verdana" w:hAnsi="Verdana"/>
          <w:sz w:val="20"/>
          <w:szCs w:val="20"/>
          <w:lang w:val="es-ES"/>
        </w:rPr>
        <w:t>, sin obtener respuesta de parte del Estado</w:t>
      </w:r>
      <w:r w:rsidRPr="0078039A">
        <w:rPr>
          <w:rStyle w:val="FootnoteReference"/>
          <w:szCs w:val="20"/>
          <w:lang w:val="es-ES"/>
        </w:rPr>
        <w:footnoteReference w:id="82"/>
      </w:r>
      <w:r w:rsidRPr="0078039A">
        <w:rPr>
          <w:rFonts w:ascii="Verdana" w:hAnsi="Verdana"/>
          <w:sz w:val="20"/>
          <w:szCs w:val="20"/>
          <w:lang w:val="es-ES"/>
        </w:rPr>
        <w:t>.</w:t>
      </w:r>
    </w:p>
    <w:p w14:paraId="11597DBC" w14:textId="77777777" w:rsidR="00926E61" w:rsidRPr="009A23B9" w:rsidRDefault="00926E61" w:rsidP="00926E61">
      <w:pPr>
        <w:pStyle w:val="ListParagraph"/>
        <w:ind w:left="0"/>
        <w:jc w:val="both"/>
        <w:rPr>
          <w:rFonts w:ascii="Verdana" w:hAnsi="Verdana"/>
          <w:sz w:val="20"/>
          <w:szCs w:val="20"/>
          <w:lang w:val="es-ES"/>
        </w:rPr>
      </w:pPr>
    </w:p>
    <w:p w14:paraId="31395763" w14:textId="77777777"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 xml:space="preserve">El 28 de enero de 2013 los Capitanes de Marijkedorp (Wan Shi Sha), Pierrekondre, Tapuku y Erowarte presentaron una comunicación al Presidente de la República protestando por la construcción de un casino en la comunidad de Marijkedorp </w:t>
      </w:r>
      <w:r w:rsidR="0078039A">
        <w:rPr>
          <w:rFonts w:ascii="Verdana" w:hAnsi="Verdana"/>
          <w:sz w:val="20"/>
          <w:szCs w:val="20"/>
          <w:lang w:val="es-ES"/>
        </w:rPr>
        <w:t xml:space="preserve">(Wan Shi Sha) </w:t>
      </w:r>
      <w:r w:rsidRPr="009A23B9">
        <w:rPr>
          <w:rFonts w:ascii="Verdana" w:hAnsi="Verdana"/>
          <w:sz w:val="20"/>
          <w:szCs w:val="20"/>
          <w:lang w:val="es-ES"/>
        </w:rPr>
        <w:t>sin haber realizado el correspondiente proceso de consulta a los indígenas de la zona</w:t>
      </w:r>
      <w:r w:rsidRPr="009A23B9">
        <w:rPr>
          <w:rStyle w:val="FootnoteReference"/>
          <w:szCs w:val="20"/>
          <w:lang w:val="es-ES"/>
        </w:rPr>
        <w:footnoteReference w:id="83"/>
      </w:r>
      <w:r w:rsidRPr="009A23B9">
        <w:rPr>
          <w:rFonts w:ascii="Verdana" w:hAnsi="Verdana"/>
          <w:sz w:val="20"/>
          <w:szCs w:val="20"/>
          <w:lang w:val="es-ES"/>
        </w:rPr>
        <w:t>. Sin embargo, dicha protesta no obtuvo respuesta por parte del Estado.</w:t>
      </w:r>
    </w:p>
    <w:p w14:paraId="7FDA2C61" w14:textId="77777777" w:rsidR="00926E61" w:rsidRPr="009A23B9" w:rsidRDefault="00926E61" w:rsidP="00926E61">
      <w:pPr>
        <w:pStyle w:val="ListParagraph"/>
        <w:ind w:left="0"/>
        <w:jc w:val="both"/>
        <w:rPr>
          <w:rFonts w:ascii="Verdana" w:hAnsi="Verdana"/>
          <w:sz w:val="20"/>
          <w:szCs w:val="20"/>
          <w:lang w:val="es-MX"/>
        </w:rPr>
      </w:pPr>
    </w:p>
    <w:p w14:paraId="6FE58703" w14:textId="0DA5A03C" w:rsidR="00926E61" w:rsidRPr="009A23B9" w:rsidRDefault="00926E61" w:rsidP="00E26926">
      <w:pPr>
        <w:pStyle w:val="Heading2"/>
        <w:numPr>
          <w:ilvl w:val="0"/>
          <w:numId w:val="10"/>
        </w:numPr>
        <w:spacing w:before="0"/>
        <w:jc w:val="both"/>
        <w:rPr>
          <w:rFonts w:ascii="Verdana" w:hAnsi="Verdana"/>
          <w:bCs w:val="0"/>
          <w:i/>
          <w:color w:val="auto"/>
          <w:sz w:val="20"/>
          <w:szCs w:val="20"/>
        </w:rPr>
      </w:pPr>
      <w:bookmarkStart w:id="23" w:name="_Toc441666164"/>
      <w:r w:rsidRPr="009A23B9">
        <w:rPr>
          <w:rFonts w:ascii="Verdana" w:hAnsi="Verdana"/>
          <w:bCs w:val="0"/>
          <w:i/>
          <w:color w:val="auto"/>
          <w:sz w:val="20"/>
          <w:szCs w:val="20"/>
        </w:rPr>
        <w:t xml:space="preserve">Establecimiento de las </w:t>
      </w:r>
      <w:r w:rsidR="00590C0C">
        <w:rPr>
          <w:rFonts w:ascii="Verdana" w:hAnsi="Verdana"/>
          <w:bCs w:val="0"/>
          <w:i/>
          <w:color w:val="auto"/>
          <w:sz w:val="20"/>
          <w:szCs w:val="20"/>
        </w:rPr>
        <w:t>r</w:t>
      </w:r>
      <w:r w:rsidRPr="009A23B9">
        <w:rPr>
          <w:rFonts w:ascii="Verdana" w:hAnsi="Verdana"/>
          <w:bCs w:val="0"/>
          <w:i/>
          <w:color w:val="auto"/>
          <w:sz w:val="20"/>
          <w:szCs w:val="20"/>
        </w:rPr>
        <w:t xml:space="preserve">eservas </w:t>
      </w:r>
      <w:r w:rsidR="00590C0C">
        <w:rPr>
          <w:rFonts w:ascii="Verdana" w:hAnsi="Verdana"/>
          <w:bCs w:val="0"/>
          <w:i/>
          <w:color w:val="auto"/>
          <w:sz w:val="20"/>
          <w:szCs w:val="20"/>
        </w:rPr>
        <w:t>n</w:t>
      </w:r>
      <w:r w:rsidRPr="009A23B9">
        <w:rPr>
          <w:rFonts w:ascii="Verdana" w:hAnsi="Verdana"/>
          <w:bCs w:val="0"/>
          <w:i/>
          <w:color w:val="auto"/>
          <w:sz w:val="20"/>
          <w:szCs w:val="20"/>
        </w:rPr>
        <w:t>aturales</w:t>
      </w:r>
      <w:bookmarkEnd w:id="23"/>
    </w:p>
    <w:p w14:paraId="53796F02" w14:textId="77777777" w:rsidR="00926E61" w:rsidRPr="009A23B9" w:rsidRDefault="00926E61" w:rsidP="00926E61">
      <w:pPr>
        <w:jc w:val="both"/>
        <w:rPr>
          <w:rFonts w:ascii="Verdana" w:hAnsi="Verdana"/>
          <w:b/>
          <w:sz w:val="20"/>
          <w:szCs w:val="20"/>
        </w:rPr>
      </w:pPr>
    </w:p>
    <w:p w14:paraId="74A46F5F" w14:textId="0736B683"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 xml:space="preserve">Dentro del territorio que se encuentra en discusión en el presente caso, se crearon tres </w:t>
      </w:r>
      <w:r w:rsidRPr="00D5142B">
        <w:rPr>
          <w:rFonts w:ascii="Verdana" w:hAnsi="Verdana"/>
          <w:sz w:val="20"/>
          <w:szCs w:val="20"/>
          <w:lang w:val="es-ES"/>
        </w:rPr>
        <w:t xml:space="preserve">reservas naturales, a saber: i) la Reserva Wia Wia en 1966; ii) la Reserva Galibi en 1969, y </w:t>
      </w:r>
      <w:r w:rsidR="008C0A3C" w:rsidRPr="00D5142B">
        <w:rPr>
          <w:rFonts w:ascii="Verdana" w:hAnsi="Verdana"/>
          <w:sz w:val="20"/>
          <w:szCs w:val="20"/>
          <w:lang w:val="es-ES"/>
        </w:rPr>
        <w:t xml:space="preserve">(iii) la </w:t>
      </w:r>
      <w:r w:rsidRPr="00D5142B">
        <w:rPr>
          <w:rFonts w:ascii="Verdana" w:hAnsi="Verdana"/>
          <w:sz w:val="20"/>
          <w:szCs w:val="20"/>
          <w:lang w:val="es-ES"/>
        </w:rPr>
        <w:t>Reserva</w:t>
      </w:r>
      <w:r w:rsidRPr="009A23B9">
        <w:rPr>
          <w:rFonts w:ascii="Verdana" w:hAnsi="Verdana"/>
          <w:sz w:val="20"/>
          <w:szCs w:val="20"/>
          <w:lang w:val="es-ES"/>
        </w:rPr>
        <w:t xml:space="preserve"> Wane Kreek en 1986</w:t>
      </w:r>
      <w:r w:rsidRPr="009A23B9">
        <w:rPr>
          <w:rStyle w:val="FootnoteReference"/>
          <w:szCs w:val="20"/>
          <w:lang w:val="es-ES"/>
        </w:rPr>
        <w:footnoteReference w:id="84"/>
      </w:r>
      <w:r w:rsidRPr="009A23B9">
        <w:rPr>
          <w:rFonts w:ascii="Verdana" w:hAnsi="Verdana"/>
          <w:sz w:val="20"/>
          <w:szCs w:val="20"/>
          <w:lang w:val="es-ES"/>
        </w:rPr>
        <w:t>. N</w:t>
      </w:r>
      <w:r w:rsidRPr="009A23B9">
        <w:rPr>
          <w:rFonts w:ascii="Verdana" w:hAnsi="Verdana"/>
          <w:sz w:val="20"/>
          <w:szCs w:val="20"/>
        </w:rPr>
        <w:t>o existe controversia entre las partes en cuanto a que</w:t>
      </w:r>
      <w:r w:rsidRPr="009A23B9">
        <w:rPr>
          <w:rFonts w:ascii="Verdana" w:hAnsi="Verdana"/>
          <w:sz w:val="20"/>
          <w:szCs w:val="20"/>
          <w:lang w:val="es-ES"/>
        </w:rPr>
        <w:t xml:space="preserve"> la Reserva Wia Wia tiene una extensión aproximada de 36,000 </w:t>
      </w:r>
      <w:r w:rsidR="004E7D46">
        <w:rPr>
          <w:rFonts w:ascii="Verdana" w:hAnsi="Verdana"/>
          <w:sz w:val="20"/>
          <w:szCs w:val="20"/>
          <w:lang w:val="es-ES"/>
        </w:rPr>
        <w:t>ha</w:t>
      </w:r>
      <w:r w:rsidRPr="0078039A">
        <w:rPr>
          <w:rFonts w:ascii="Verdana" w:hAnsi="Verdana"/>
          <w:sz w:val="20"/>
          <w:szCs w:val="20"/>
          <w:lang w:val="es-ES"/>
        </w:rPr>
        <w:t xml:space="preserve">, la Reserva Galibi de 4,000 </w:t>
      </w:r>
      <w:r w:rsidR="004E7D46">
        <w:rPr>
          <w:rFonts w:ascii="Verdana" w:hAnsi="Verdana"/>
          <w:sz w:val="20"/>
          <w:szCs w:val="20"/>
          <w:lang w:val="es-ES"/>
        </w:rPr>
        <w:t>ha</w:t>
      </w:r>
      <w:r w:rsidRPr="0078039A">
        <w:rPr>
          <w:rFonts w:ascii="Verdana" w:hAnsi="Verdana"/>
          <w:sz w:val="20"/>
          <w:szCs w:val="20"/>
          <w:lang w:val="es-ES"/>
        </w:rPr>
        <w:t xml:space="preserve"> y la Reserva Wane Kreek de 45,000 h</w:t>
      </w:r>
      <w:r w:rsidR="00D5142B">
        <w:rPr>
          <w:rFonts w:ascii="Verdana" w:hAnsi="Verdana"/>
          <w:sz w:val="20"/>
          <w:szCs w:val="20"/>
          <w:lang w:val="es-ES"/>
        </w:rPr>
        <w:t>a</w:t>
      </w:r>
      <w:r w:rsidRPr="0078039A">
        <w:rPr>
          <w:rFonts w:ascii="Verdana" w:hAnsi="Verdana"/>
          <w:sz w:val="20"/>
          <w:szCs w:val="20"/>
          <w:lang w:val="es-ES"/>
        </w:rPr>
        <w:t>.</w:t>
      </w:r>
      <w:r w:rsidRPr="009A23B9">
        <w:rPr>
          <w:rFonts w:ascii="Verdana" w:hAnsi="Verdana"/>
          <w:sz w:val="20"/>
          <w:szCs w:val="20"/>
          <w:lang w:val="es-ES"/>
        </w:rPr>
        <w:t xml:space="preserve"> </w:t>
      </w:r>
    </w:p>
    <w:p w14:paraId="635192EF" w14:textId="77777777" w:rsidR="00926E61" w:rsidRPr="009A23B9" w:rsidRDefault="00926E61" w:rsidP="00926E61">
      <w:pPr>
        <w:jc w:val="both"/>
        <w:rPr>
          <w:rFonts w:ascii="Verdana" w:hAnsi="Verdana"/>
          <w:sz w:val="20"/>
          <w:szCs w:val="20"/>
          <w:lang w:val="es-ES"/>
        </w:rPr>
      </w:pPr>
    </w:p>
    <w:p w14:paraId="4B7ECB97" w14:textId="6B6F3D6F" w:rsidR="00A84F18" w:rsidRPr="009A23B9" w:rsidRDefault="00A84F18" w:rsidP="00A84F18">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 xml:space="preserve">De acuerdo con lo señalado por los representantes, aproximadamente 10,800 </w:t>
      </w:r>
      <w:r w:rsidR="004E7D46">
        <w:rPr>
          <w:rFonts w:ascii="Verdana" w:hAnsi="Verdana"/>
          <w:sz w:val="20"/>
          <w:szCs w:val="20"/>
          <w:lang w:val="es-ES"/>
        </w:rPr>
        <w:t xml:space="preserve">ha </w:t>
      </w:r>
      <w:r w:rsidRPr="009A23B9">
        <w:rPr>
          <w:rFonts w:ascii="Verdana" w:hAnsi="Verdana"/>
          <w:sz w:val="20"/>
          <w:szCs w:val="20"/>
          <w:lang w:val="es-ES"/>
        </w:rPr>
        <w:t xml:space="preserve">de la Reserva Wia Wia, 4,000 </w:t>
      </w:r>
      <w:r w:rsidR="004E7D46">
        <w:rPr>
          <w:rFonts w:ascii="Verdana" w:hAnsi="Verdana"/>
          <w:sz w:val="20"/>
          <w:szCs w:val="20"/>
          <w:lang w:val="es-ES"/>
        </w:rPr>
        <w:t>ha</w:t>
      </w:r>
      <w:r w:rsidRPr="009A23B9">
        <w:rPr>
          <w:rFonts w:ascii="Verdana" w:hAnsi="Verdana"/>
          <w:sz w:val="20"/>
          <w:szCs w:val="20"/>
          <w:lang w:val="es-ES"/>
        </w:rPr>
        <w:t xml:space="preserve"> de la Reserva Galibi</w:t>
      </w:r>
      <w:r>
        <w:rPr>
          <w:rFonts w:ascii="Verdana" w:hAnsi="Verdana"/>
          <w:sz w:val="20"/>
          <w:szCs w:val="20"/>
          <w:lang w:val="es-ES"/>
        </w:rPr>
        <w:t>,</w:t>
      </w:r>
      <w:r w:rsidRPr="009A23B9">
        <w:rPr>
          <w:rFonts w:ascii="Verdana" w:hAnsi="Verdana"/>
          <w:sz w:val="20"/>
          <w:szCs w:val="20"/>
          <w:lang w:val="es-ES"/>
        </w:rPr>
        <w:t xml:space="preserve"> y 45,000 </w:t>
      </w:r>
      <w:r w:rsidR="004E7D46">
        <w:rPr>
          <w:rFonts w:ascii="Verdana" w:hAnsi="Verdana"/>
          <w:sz w:val="20"/>
          <w:szCs w:val="20"/>
          <w:lang w:val="es-ES"/>
        </w:rPr>
        <w:t>ha</w:t>
      </w:r>
      <w:r w:rsidRPr="009A23B9">
        <w:rPr>
          <w:rFonts w:ascii="Verdana" w:hAnsi="Verdana"/>
          <w:sz w:val="20"/>
          <w:szCs w:val="20"/>
          <w:lang w:val="es-ES"/>
        </w:rPr>
        <w:t xml:space="preserve"> de la Reserva Wane Kreek se encuentran ubicadas dentro del territorio ancestral de los </w:t>
      </w:r>
      <w:r>
        <w:rPr>
          <w:rFonts w:ascii="Verdana" w:hAnsi="Verdana"/>
          <w:sz w:val="20"/>
          <w:szCs w:val="20"/>
          <w:lang w:val="es-ES"/>
        </w:rPr>
        <w:t>Pueblos Kaliña y Lokono</w:t>
      </w:r>
      <w:r w:rsidRPr="009A23B9">
        <w:rPr>
          <w:rFonts w:ascii="Verdana" w:hAnsi="Verdana"/>
          <w:sz w:val="20"/>
          <w:szCs w:val="20"/>
          <w:lang w:val="es-ES"/>
        </w:rPr>
        <w:t xml:space="preserve">. De esta forma, las tres reservas en su conjunto abarcan un aproximado de 59.800 </w:t>
      </w:r>
      <w:r w:rsidR="004E7D46">
        <w:rPr>
          <w:rFonts w:ascii="Verdana" w:hAnsi="Verdana"/>
          <w:sz w:val="20"/>
          <w:szCs w:val="20"/>
          <w:lang w:val="es-ES"/>
        </w:rPr>
        <w:t>ha</w:t>
      </w:r>
      <w:r w:rsidRPr="009A23B9">
        <w:rPr>
          <w:rFonts w:ascii="Verdana" w:hAnsi="Verdana"/>
          <w:sz w:val="20"/>
          <w:szCs w:val="20"/>
          <w:lang w:val="es-ES"/>
        </w:rPr>
        <w:t xml:space="preserve"> de las 133.945 h</w:t>
      </w:r>
      <w:r w:rsidR="00D5142B">
        <w:rPr>
          <w:rFonts w:ascii="Verdana" w:hAnsi="Verdana"/>
          <w:sz w:val="20"/>
          <w:szCs w:val="20"/>
          <w:lang w:val="es-ES"/>
        </w:rPr>
        <w:t>a</w:t>
      </w:r>
      <w:r w:rsidRPr="009A23B9">
        <w:rPr>
          <w:rFonts w:ascii="Verdana" w:hAnsi="Verdana"/>
          <w:sz w:val="20"/>
          <w:szCs w:val="20"/>
          <w:lang w:val="es-ES"/>
        </w:rPr>
        <w:t xml:space="preserve"> reclamadas en el presente caso.</w:t>
      </w:r>
    </w:p>
    <w:p w14:paraId="5A5547DB" w14:textId="77777777" w:rsidR="00926E61" w:rsidRPr="009A23B9" w:rsidRDefault="00926E61" w:rsidP="00926E61">
      <w:pPr>
        <w:jc w:val="both"/>
        <w:rPr>
          <w:rFonts w:ascii="Verdana" w:hAnsi="Verdana"/>
          <w:sz w:val="20"/>
          <w:szCs w:val="20"/>
          <w:lang w:val="es-ES"/>
        </w:rPr>
      </w:pPr>
    </w:p>
    <w:p w14:paraId="14B27AE5" w14:textId="77777777"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lang w:val="es-ES"/>
        </w:rPr>
        <w:lastRenderedPageBreak/>
        <w:t>Las reservas fueron establecidas con fundamento en Ley de Protección de la Naturaleza</w:t>
      </w:r>
      <w:r w:rsidR="00AE3C94">
        <w:rPr>
          <w:rFonts w:ascii="Verdana" w:hAnsi="Verdana"/>
          <w:sz w:val="20"/>
          <w:szCs w:val="20"/>
          <w:lang w:val="es-ES"/>
        </w:rPr>
        <w:t xml:space="preserve"> (</w:t>
      </w:r>
      <w:r w:rsidR="008A4ABB" w:rsidRPr="007E20F9">
        <w:rPr>
          <w:rFonts w:ascii="Verdana" w:hAnsi="Verdana"/>
          <w:i/>
          <w:sz w:val="20"/>
          <w:szCs w:val="20"/>
          <w:lang w:val="es-ES"/>
        </w:rPr>
        <w:t>Nature Protection Act</w:t>
      </w:r>
      <w:r w:rsidR="00AE3C94">
        <w:rPr>
          <w:rFonts w:ascii="Verdana" w:hAnsi="Verdana"/>
          <w:sz w:val="20"/>
          <w:szCs w:val="20"/>
          <w:lang w:val="es-ES"/>
        </w:rPr>
        <w:t>)</w:t>
      </w:r>
      <w:r w:rsidRPr="009A23B9">
        <w:rPr>
          <w:rFonts w:ascii="Verdana" w:hAnsi="Verdana"/>
          <w:sz w:val="20"/>
          <w:szCs w:val="20"/>
          <w:lang w:val="es-ES"/>
        </w:rPr>
        <w:t xml:space="preserve"> de 1954</w:t>
      </w:r>
      <w:r w:rsidRPr="009A23B9">
        <w:rPr>
          <w:rStyle w:val="FootnoteReference"/>
          <w:szCs w:val="20"/>
          <w:lang w:val="es-ES"/>
        </w:rPr>
        <w:footnoteReference w:id="85"/>
      </w:r>
      <w:r w:rsidRPr="009A23B9">
        <w:rPr>
          <w:rFonts w:ascii="Verdana" w:hAnsi="Verdana"/>
          <w:sz w:val="20"/>
          <w:szCs w:val="20"/>
          <w:lang w:val="es-ES"/>
        </w:rPr>
        <w:t xml:space="preserve">. Dicha norma, tras las reformas introducidas en 1980 y 1992 establece que el Presidente de </w:t>
      </w:r>
      <w:r w:rsidR="00563E11">
        <w:rPr>
          <w:rFonts w:ascii="Verdana" w:hAnsi="Verdana"/>
          <w:sz w:val="20"/>
          <w:szCs w:val="20"/>
          <w:lang w:val="es-ES"/>
        </w:rPr>
        <w:t>Surinam</w:t>
      </w:r>
      <w:r w:rsidRPr="009A23B9">
        <w:rPr>
          <w:rFonts w:ascii="Verdana" w:hAnsi="Verdana"/>
          <w:sz w:val="20"/>
          <w:szCs w:val="20"/>
          <w:lang w:val="es-ES"/>
        </w:rPr>
        <w:t xml:space="preserve"> se encuentra facultado para designar mediante decreto las tierras y las aguas que sean propiedad del Estado como reserva natural</w:t>
      </w:r>
      <w:r w:rsidRPr="009A23B9">
        <w:rPr>
          <w:rStyle w:val="FootnoteReference"/>
          <w:szCs w:val="20"/>
          <w:lang w:val="es-ES"/>
        </w:rPr>
        <w:footnoteReference w:id="86"/>
      </w:r>
      <w:r w:rsidRPr="009A23B9">
        <w:rPr>
          <w:rFonts w:ascii="Verdana" w:hAnsi="Verdana"/>
          <w:sz w:val="20"/>
          <w:szCs w:val="20"/>
        </w:rPr>
        <w:t>.</w:t>
      </w:r>
    </w:p>
    <w:p w14:paraId="1E2170F8" w14:textId="77777777" w:rsidR="00926E61" w:rsidRPr="009A23B9" w:rsidRDefault="00926E61" w:rsidP="00926E61">
      <w:pPr>
        <w:jc w:val="both"/>
        <w:rPr>
          <w:rFonts w:ascii="Verdana" w:hAnsi="Verdana"/>
          <w:sz w:val="20"/>
          <w:szCs w:val="20"/>
        </w:rPr>
      </w:pPr>
    </w:p>
    <w:p w14:paraId="03F7A267" w14:textId="77777777"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rPr>
        <w:t>Asimismo</w:t>
      </w:r>
      <w:r w:rsidRPr="009A23B9">
        <w:rPr>
          <w:rFonts w:ascii="Verdana" w:hAnsi="Verdana"/>
          <w:sz w:val="20"/>
          <w:szCs w:val="20"/>
          <w:lang w:val="es-ES"/>
        </w:rPr>
        <w:t xml:space="preserve">, </w:t>
      </w:r>
      <w:r w:rsidRPr="009A23B9">
        <w:rPr>
          <w:rFonts w:ascii="Verdana" w:hAnsi="Verdana"/>
          <w:sz w:val="20"/>
          <w:szCs w:val="20"/>
        </w:rPr>
        <w:t>el artículo 5(c) de la referida ley determina que dentro de una reserva natural se prohíbe realizar actividades de caza y pesca</w:t>
      </w:r>
      <w:r w:rsidRPr="009A23B9">
        <w:rPr>
          <w:rStyle w:val="FootnoteReference"/>
          <w:szCs w:val="20"/>
        </w:rPr>
        <w:footnoteReference w:id="87"/>
      </w:r>
      <w:r w:rsidRPr="009A23B9">
        <w:rPr>
          <w:rFonts w:ascii="Verdana" w:hAnsi="Verdana"/>
          <w:sz w:val="20"/>
          <w:szCs w:val="20"/>
        </w:rPr>
        <w:t xml:space="preserve">. Sobre lo anterior, Ferdinand Baal, Bryan Drakenstein y Claudine Sakimin, quienes fueran Directores de la División de Conservación Natural desde 1978 hasta la actualidad, afirmaron que la </w:t>
      </w:r>
      <w:r w:rsidRPr="009A23B9">
        <w:rPr>
          <w:rFonts w:ascii="Verdana" w:hAnsi="Verdana"/>
          <w:sz w:val="20"/>
          <w:szCs w:val="20"/>
          <w:lang w:val="es-ES"/>
        </w:rPr>
        <w:t>Ley de Protección de la Naturaleza de 1954 no contemplaba el reconocimiento de derechos a los pueblos indígenas relacionados con sus costumbres y tradiciones</w:t>
      </w:r>
      <w:r w:rsidRPr="009A23B9">
        <w:rPr>
          <w:rStyle w:val="FootnoteReference"/>
          <w:szCs w:val="20"/>
          <w:lang w:val="es-ES"/>
        </w:rPr>
        <w:footnoteReference w:id="88"/>
      </w:r>
      <w:r w:rsidRPr="009A23B9">
        <w:rPr>
          <w:rFonts w:ascii="Verdana" w:hAnsi="Verdana"/>
          <w:sz w:val="20"/>
          <w:szCs w:val="20"/>
          <w:lang w:val="es-ES"/>
        </w:rPr>
        <w:t>.</w:t>
      </w:r>
    </w:p>
    <w:p w14:paraId="4E1E07C2" w14:textId="77777777" w:rsidR="00926E61" w:rsidRPr="009A23B9" w:rsidRDefault="00926E61" w:rsidP="00926E61">
      <w:pPr>
        <w:jc w:val="both"/>
        <w:rPr>
          <w:rFonts w:ascii="Verdana" w:hAnsi="Verdana"/>
          <w:b/>
          <w:sz w:val="20"/>
          <w:szCs w:val="20"/>
          <w:lang w:val="es-ES"/>
        </w:rPr>
      </w:pPr>
    </w:p>
    <w:p w14:paraId="711C7C1C" w14:textId="77777777" w:rsidR="00926E61" w:rsidRPr="009A23B9" w:rsidRDefault="00926E61" w:rsidP="007624EC">
      <w:pPr>
        <w:pStyle w:val="Heading3"/>
        <w:spacing w:before="0"/>
        <w:ind w:firstLine="360"/>
        <w:jc w:val="both"/>
        <w:rPr>
          <w:rFonts w:ascii="Verdana" w:hAnsi="Verdana"/>
          <w:i/>
          <w:color w:val="auto"/>
          <w:sz w:val="20"/>
          <w:szCs w:val="20"/>
          <w:lang w:val="es-ES"/>
        </w:rPr>
      </w:pPr>
      <w:bookmarkStart w:id="24" w:name="_Toc441666165"/>
      <w:r w:rsidRPr="009A23B9">
        <w:rPr>
          <w:rFonts w:ascii="Verdana" w:hAnsi="Verdana"/>
          <w:i/>
          <w:color w:val="auto"/>
          <w:sz w:val="20"/>
          <w:szCs w:val="20"/>
          <w:lang w:val="es-ES"/>
        </w:rPr>
        <w:t>E.1 Las Reservas Naturales Wia Wia y Galibi</w:t>
      </w:r>
      <w:bookmarkEnd w:id="24"/>
      <w:r w:rsidRPr="009A23B9">
        <w:rPr>
          <w:rFonts w:ascii="Verdana" w:hAnsi="Verdana"/>
          <w:i/>
          <w:color w:val="auto"/>
          <w:sz w:val="20"/>
          <w:szCs w:val="20"/>
          <w:lang w:val="es-ES"/>
        </w:rPr>
        <w:t xml:space="preserve"> </w:t>
      </w:r>
    </w:p>
    <w:p w14:paraId="6CD227D1" w14:textId="77777777" w:rsidR="00926E61" w:rsidRPr="009A23B9" w:rsidRDefault="00926E61" w:rsidP="00926E61">
      <w:pPr>
        <w:jc w:val="both"/>
        <w:rPr>
          <w:rFonts w:ascii="Verdana" w:hAnsi="Verdana"/>
          <w:b/>
          <w:sz w:val="20"/>
          <w:szCs w:val="20"/>
          <w:u w:val="single"/>
        </w:rPr>
      </w:pPr>
    </w:p>
    <w:p w14:paraId="554E8179" w14:textId="77777777" w:rsidR="00926E61" w:rsidRPr="009A23B9"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MX"/>
        </w:rPr>
        <w:t xml:space="preserve">Las reservas de Wia Wia y Galibi fueron establecidas durante la administración colonial holandesa por el Gobernador de </w:t>
      </w:r>
      <w:r w:rsidR="00563E11">
        <w:rPr>
          <w:rFonts w:ascii="Verdana" w:hAnsi="Verdana"/>
          <w:sz w:val="20"/>
          <w:szCs w:val="20"/>
          <w:lang w:val="es-MX"/>
        </w:rPr>
        <w:t>Surinam</w:t>
      </w:r>
      <w:r w:rsidRPr="009A23B9">
        <w:rPr>
          <w:rFonts w:ascii="Verdana" w:hAnsi="Verdana"/>
          <w:sz w:val="20"/>
          <w:szCs w:val="20"/>
          <w:lang w:val="es-MX"/>
        </w:rPr>
        <w:t xml:space="preserve"> los días 22 de abril de 1966</w:t>
      </w:r>
      <w:r w:rsidRPr="009A23B9">
        <w:rPr>
          <w:rStyle w:val="FootnoteReference"/>
          <w:szCs w:val="20"/>
          <w:lang w:val="es-MX"/>
        </w:rPr>
        <w:footnoteReference w:id="89"/>
      </w:r>
      <w:r w:rsidRPr="009A23B9">
        <w:rPr>
          <w:rFonts w:ascii="Verdana" w:hAnsi="Verdana"/>
          <w:sz w:val="20"/>
          <w:szCs w:val="20"/>
          <w:lang w:val="es-MX"/>
        </w:rPr>
        <w:t xml:space="preserve"> y 26 de mayo de 1969</w:t>
      </w:r>
      <w:r w:rsidRPr="009A23B9">
        <w:rPr>
          <w:rStyle w:val="FootnoteReference"/>
          <w:szCs w:val="20"/>
          <w:lang w:val="es-MX"/>
        </w:rPr>
        <w:footnoteReference w:id="90"/>
      </w:r>
      <w:r w:rsidRPr="009A23B9">
        <w:rPr>
          <w:rFonts w:ascii="Verdana" w:hAnsi="Verdana"/>
          <w:sz w:val="20"/>
          <w:szCs w:val="20"/>
          <w:lang w:val="es-MX"/>
        </w:rPr>
        <w:t>, respetivamente</w:t>
      </w:r>
      <w:r w:rsidRPr="009A23B9">
        <w:rPr>
          <w:rFonts w:ascii="Verdana" w:hAnsi="Verdana"/>
          <w:sz w:val="20"/>
          <w:szCs w:val="20"/>
          <w:lang w:val="es-ES"/>
        </w:rPr>
        <w:t xml:space="preserve">, </w:t>
      </w:r>
      <w:r w:rsidRPr="009A23B9">
        <w:rPr>
          <w:rFonts w:ascii="Verdana" w:hAnsi="Verdana"/>
          <w:sz w:val="20"/>
          <w:szCs w:val="20"/>
        </w:rPr>
        <w:t xml:space="preserve">para </w:t>
      </w:r>
      <w:r w:rsidRPr="009A23B9">
        <w:rPr>
          <w:rFonts w:ascii="Verdana" w:hAnsi="Verdana"/>
          <w:sz w:val="20"/>
          <w:szCs w:val="20"/>
          <w:lang w:val="es-MX"/>
        </w:rPr>
        <w:t xml:space="preserve">la protección de </w:t>
      </w:r>
      <w:r w:rsidRPr="009A23B9">
        <w:rPr>
          <w:rFonts w:ascii="Verdana" w:hAnsi="Verdana"/>
          <w:sz w:val="20"/>
          <w:szCs w:val="20"/>
          <w:lang w:val="es-ES"/>
        </w:rPr>
        <w:t>las playas de anidación de las tortugas marinas</w:t>
      </w:r>
      <w:r w:rsidRPr="009A23B9">
        <w:rPr>
          <w:rStyle w:val="FootnoteReference"/>
          <w:szCs w:val="20"/>
          <w:lang w:val="es-ES"/>
        </w:rPr>
        <w:footnoteReference w:id="91"/>
      </w:r>
      <w:r w:rsidRPr="009A23B9">
        <w:rPr>
          <w:rFonts w:ascii="Verdana" w:hAnsi="Verdana"/>
          <w:sz w:val="20"/>
          <w:szCs w:val="20"/>
          <w:lang w:val="es-ES"/>
        </w:rPr>
        <w:t xml:space="preserve">. Las </w:t>
      </w:r>
      <w:r w:rsidRPr="00C15E08">
        <w:rPr>
          <w:rFonts w:ascii="Verdana" w:hAnsi="Verdana"/>
          <w:sz w:val="20"/>
          <w:szCs w:val="20"/>
          <w:lang w:val="es-ES"/>
        </w:rPr>
        <w:t xml:space="preserve">comunidades </w:t>
      </w:r>
      <w:r w:rsidR="003214FF" w:rsidRPr="00190AD3">
        <w:rPr>
          <w:rFonts w:ascii="Verdana" w:hAnsi="Verdana"/>
          <w:sz w:val="20"/>
          <w:lang w:val="es-ES"/>
        </w:rPr>
        <w:t>más cercanas a</w:t>
      </w:r>
      <w:r w:rsidRPr="00C15E08">
        <w:rPr>
          <w:rFonts w:ascii="Verdana" w:hAnsi="Verdana"/>
          <w:sz w:val="20"/>
          <w:szCs w:val="20"/>
          <w:lang w:val="es-ES"/>
        </w:rPr>
        <w:t xml:space="preserve"> estas</w:t>
      </w:r>
      <w:r w:rsidRPr="009A23B9">
        <w:rPr>
          <w:rFonts w:ascii="Verdana" w:hAnsi="Verdana"/>
          <w:sz w:val="20"/>
          <w:szCs w:val="20"/>
          <w:lang w:val="es-ES"/>
        </w:rPr>
        <w:t xml:space="preserve"> reservas son Christiaankondre y Langamankondre, sin embargo son popularmente conocidas como Galibi</w:t>
      </w:r>
      <w:r w:rsidRPr="009A23B9">
        <w:rPr>
          <w:rStyle w:val="FootnoteReference"/>
          <w:szCs w:val="20"/>
          <w:lang w:val="es-ES"/>
        </w:rPr>
        <w:footnoteReference w:id="92"/>
      </w:r>
      <w:r w:rsidRPr="009A23B9">
        <w:rPr>
          <w:rFonts w:ascii="Verdana" w:hAnsi="Verdana"/>
          <w:sz w:val="20"/>
          <w:szCs w:val="20"/>
          <w:lang w:val="es-ES"/>
        </w:rPr>
        <w:t>.</w:t>
      </w:r>
    </w:p>
    <w:p w14:paraId="3FC9E53C" w14:textId="77777777" w:rsidR="00926E61" w:rsidRPr="009A23B9" w:rsidRDefault="00926E61" w:rsidP="00926E61">
      <w:pPr>
        <w:jc w:val="both"/>
        <w:rPr>
          <w:rFonts w:ascii="Verdana" w:hAnsi="Verdana"/>
          <w:sz w:val="20"/>
          <w:szCs w:val="20"/>
          <w:lang w:val="es-ES"/>
        </w:rPr>
      </w:pPr>
    </w:p>
    <w:p w14:paraId="3F6C0650" w14:textId="77777777"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lang w:val="es-ES"/>
        </w:rPr>
        <w:t xml:space="preserve">Los ex </w:t>
      </w:r>
      <w:r w:rsidRPr="009A23B9">
        <w:rPr>
          <w:rFonts w:ascii="Verdana" w:hAnsi="Verdana"/>
          <w:sz w:val="20"/>
          <w:szCs w:val="20"/>
        </w:rPr>
        <w:t>Directores de la División de Conservación Natural</w:t>
      </w:r>
      <w:r w:rsidRPr="009A23B9">
        <w:rPr>
          <w:rFonts w:ascii="Verdana" w:hAnsi="Verdana"/>
          <w:sz w:val="20"/>
          <w:szCs w:val="20"/>
          <w:lang w:val="es-ES"/>
        </w:rPr>
        <w:t xml:space="preserve"> </w:t>
      </w:r>
      <w:r w:rsidRPr="009A23B9">
        <w:rPr>
          <w:rFonts w:ascii="Verdana" w:hAnsi="Verdana"/>
          <w:sz w:val="20"/>
          <w:szCs w:val="20"/>
        </w:rPr>
        <w:t>Ferdinand Baal y Bryan Drakenstein manifestaron que no existían asentamientos de pueblos indígenas en los territorios designados para las reservas naturales y que ningún indígena había sido desplazado en el contexto del establecimiento o permanencia de las reservas</w:t>
      </w:r>
      <w:r w:rsidRPr="009A23B9">
        <w:rPr>
          <w:rStyle w:val="FootnoteReference"/>
          <w:szCs w:val="20"/>
        </w:rPr>
        <w:footnoteReference w:id="93"/>
      </w:r>
      <w:r w:rsidRPr="009A23B9">
        <w:rPr>
          <w:rFonts w:ascii="Verdana" w:hAnsi="Verdana"/>
          <w:sz w:val="20"/>
          <w:szCs w:val="20"/>
        </w:rPr>
        <w:t xml:space="preserve">. </w:t>
      </w:r>
    </w:p>
    <w:p w14:paraId="2E3B0AE6" w14:textId="77777777" w:rsidR="00926E61" w:rsidRPr="009A23B9" w:rsidRDefault="00926E61" w:rsidP="00926E61">
      <w:pPr>
        <w:jc w:val="both"/>
        <w:rPr>
          <w:rFonts w:ascii="Verdana" w:hAnsi="Verdana"/>
          <w:sz w:val="20"/>
          <w:szCs w:val="20"/>
        </w:rPr>
      </w:pPr>
    </w:p>
    <w:p w14:paraId="2A1DD93F" w14:textId="6646E55D"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rPr>
        <w:t>Sin embargo, tanto el perito Stuart Kirsh como el Capitán Ricardo Pané, líder de la Comunidad de Christiaankondre, contradijeron dicha versión. Al respecto, el señor Kirsh indicó que algunas zonas de cosecha y casas de habitación</w:t>
      </w:r>
      <w:r w:rsidR="003644A0" w:rsidRPr="001A4213">
        <w:rPr>
          <w:rFonts w:ascii="Verdana" w:hAnsi="Verdana"/>
          <w:sz w:val="20"/>
          <w:szCs w:val="20"/>
        </w:rPr>
        <w:t xml:space="preserve">, </w:t>
      </w:r>
      <w:r w:rsidR="00416061" w:rsidRPr="001A4213">
        <w:rPr>
          <w:rFonts w:ascii="Verdana" w:hAnsi="Verdana"/>
          <w:sz w:val="20"/>
          <w:szCs w:val="20"/>
        </w:rPr>
        <w:t>que</w:t>
      </w:r>
      <w:r w:rsidR="00416061" w:rsidRPr="00B4017E">
        <w:rPr>
          <w:rFonts w:ascii="Verdana" w:hAnsi="Verdana"/>
          <w:sz w:val="20"/>
          <w:szCs w:val="20"/>
        </w:rPr>
        <w:t xml:space="preserve"> </w:t>
      </w:r>
      <w:r w:rsidRPr="007F4E4C">
        <w:rPr>
          <w:rFonts w:ascii="Verdana" w:hAnsi="Verdana"/>
          <w:sz w:val="20"/>
          <w:szCs w:val="20"/>
        </w:rPr>
        <w:t>se</w:t>
      </w:r>
      <w:r w:rsidRPr="009A23B9">
        <w:rPr>
          <w:rFonts w:ascii="Verdana" w:hAnsi="Verdana"/>
          <w:sz w:val="20"/>
          <w:szCs w:val="20"/>
        </w:rPr>
        <w:t xml:space="preserve"> encontraban ubicadas dentro de las reservas naturales</w:t>
      </w:r>
      <w:r w:rsidR="003644A0">
        <w:rPr>
          <w:rFonts w:ascii="Verdana" w:hAnsi="Verdana"/>
          <w:sz w:val="20"/>
          <w:szCs w:val="20"/>
        </w:rPr>
        <w:t>,</w:t>
      </w:r>
      <w:r w:rsidRPr="009A23B9">
        <w:rPr>
          <w:rFonts w:ascii="Verdana" w:hAnsi="Verdana"/>
          <w:sz w:val="20"/>
          <w:szCs w:val="20"/>
        </w:rPr>
        <w:t xml:space="preserve"> tuvieron que ser reubicadas</w:t>
      </w:r>
      <w:r w:rsidRPr="009A23B9">
        <w:rPr>
          <w:rStyle w:val="FootnoteReference"/>
          <w:szCs w:val="20"/>
        </w:rPr>
        <w:footnoteReference w:id="94"/>
      </w:r>
      <w:r w:rsidRPr="009A23B9">
        <w:rPr>
          <w:rFonts w:ascii="Verdana" w:hAnsi="Verdana"/>
          <w:sz w:val="20"/>
          <w:szCs w:val="20"/>
        </w:rPr>
        <w:t xml:space="preserve">. Por su parte, el Capitán Pané afirmó ser </w:t>
      </w:r>
      <w:r w:rsidRPr="009A23B9">
        <w:rPr>
          <w:rFonts w:ascii="Verdana" w:hAnsi="Verdana"/>
          <w:sz w:val="20"/>
          <w:szCs w:val="20"/>
        </w:rPr>
        <w:lastRenderedPageBreak/>
        <w:t>testigo de situaciones en las que la policía sacaba a la fuerza a los indígenas que habitaban los territorios de las reservas al momento de su constitución</w:t>
      </w:r>
      <w:r w:rsidRPr="009A23B9">
        <w:rPr>
          <w:rStyle w:val="FootnoteReference"/>
          <w:szCs w:val="20"/>
        </w:rPr>
        <w:footnoteReference w:id="95"/>
      </w:r>
      <w:r w:rsidRPr="009A23B9">
        <w:rPr>
          <w:rFonts w:ascii="Verdana" w:hAnsi="Verdana"/>
          <w:sz w:val="20"/>
          <w:szCs w:val="20"/>
        </w:rPr>
        <w:t xml:space="preserve">. </w:t>
      </w:r>
    </w:p>
    <w:p w14:paraId="5624087F" w14:textId="77777777" w:rsidR="00926E61" w:rsidRPr="009A23B9" w:rsidRDefault="00926E61" w:rsidP="00926E61">
      <w:pPr>
        <w:jc w:val="both"/>
        <w:rPr>
          <w:rFonts w:ascii="Verdana" w:hAnsi="Verdana"/>
          <w:sz w:val="20"/>
          <w:szCs w:val="20"/>
        </w:rPr>
      </w:pPr>
    </w:p>
    <w:p w14:paraId="471B155B" w14:textId="77777777" w:rsidR="000D7C76" w:rsidRDefault="00DA4A40" w:rsidP="00B935FA">
      <w:pPr>
        <w:pStyle w:val="ListParagraph"/>
        <w:numPr>
          <w:ilvl w:val="0"/>
          <w:numId w:val="2"/>
        </w:numPr>
        <w:ind w:left="0" w:hanging="11"/>
        <w:jc w:val="both"/>
        <w:rPr>
          <w:rFonts w:ascii="Verdana" w:hAnsi="Verdana"/>
          <w:sz w:val="20"/>
          <w:szCs w:val="20"/>
          <w:lang w:val="es-ES"/>
        </w:rPr>
      </w:pPr>
      <w:r>
        <w:rPr>
          <w:rFonts w:ascii="Verdana" w:hAnsi="Verdana"/>
          <w:sz w:val="20"/>
        </w:rPr>
        <w:t>Por otra parte, a</w:t>
      </w:r>
      <w:r w:rsidR="00926E61" w:rsidRPr="00190AD3">
        <w:rPr>
          <w:rFonts w:ascii="Verdana" w:hAnsi="Verdana"/>
          <w:sz w:val="20"/>
        </w:rPr>
        <w:t>l</w:t>
      </w:r>
      <w:r w:rsidR="00926E61" w:rsidRPr="00C15E08">
        <w:rPr>
          <w:rFonts w:ascii="Verdana" w:hAnsi="Verdana"/>
          <w:sz w:val="20"/>
          <w:szCs w:val="20"/>
        </w:rPr>
        <w:t xml:space="preserve"> </w:t>
      </w:r>
      <w:r w:rsidR="00926E61" w:rsidRPr="009A23B9">
        <w:rPr>
          <w:rFonts w:ascii="Verdana" w:hAnsi="Verdana"/>
          <w:sz w:val="20"/>
          <w:szCs w:val="20"/>
        </w:rPr>
        <w:t xml:space="preserve">momento de la constitución de las reservas, las autoridades de gobierno llegaron a un acuerdo con los habitantes de las comunidades de </w:t>
      </w:r>
      <w:r w:rsidR="00926E61" w:rsidRPr="009A23B9">
        <w:rPr>
          <w:rFonts w:ascii="Verdana" w:hAnsi="Verdana"/>
          <w:sz w:val="20"/>
          <w:szCs w:val="20"/>
          <w:lang w:val="es-ES"/>
        </w:rPr>
        <w:t>Christiaankondre y Langamankondre mediante el cual se les autorizaba realizar la extracción de huevos de tortuga para su consumo personal, lo cual formaba parte de sus tradiciones, a la vez que se les autorizaba la comercialización de éstos, bajo el monitoreo de las autoridades estatales</w:t>
      </w:r>
      <w:r w:rsidR="00926E61" w:rsidRPr="009A23B9">
        <w:rPr>
          <w:rStyle w:val="FootnoteReference"/>
          <w:szCs w:val="20"/>
          <w:lang w:val="es-ES"/>
        </w:rPr>
        <w:footnoteReference w:id="96"/>
      </w:r>
      <w:r w:rsidR="00926E61" w:rsidRPr="009A23B9">
        <w:rPr>
          <w:rFonts w:ascii="Verdana" w:hAnsi="Verdana"/>
          <w:sz w:val="20"/>
          <w:szCs w:val="20"/>
          <w:lang w:val="es-ES"/>
        </w:rPr>
        <w:t>.</w:t>
      </w:r>
    </w:p>
    <w:p w14:paraId="579E6AA3" w14:textId="77777777" w:rsidR="000D7C76" w:rsidRPr="004B0145" w:rsidRDefault="000D7C76" w:rsidP="004B0145">
      <w:pPr>
        <w:pStyle w:val="ListParagraph"/>
        <w:rPr>
          <w:rFonts w:ascii="Verdana" w:hAnsi="Verdana"/>
          <w:sz w:val="20"/>
          <w:szCs w:val="20"/>
          <w:lang w:val="es-ES"/>
        </w:rPr>
      </w:pPr>
    </w:p>
    <w:p w14:paraId="1D900B61" w14:textId="77777777" w:rsidR="00926E61" w:rsidRPr="009A23B9" w:rsidRDefault="00154264" w:rsidP="00B935FA">
      <w:pPr>
        <w:pStyle w:val="ListParagraph"/>
        <w:numPr>
          <w:ilvl w:val="0"/>
          <w:numId w:val="2"/>
        </w:numPr>
        <w:ind w:left="0" w:hanging="11"/>
        <w:jc w:val="both"/>
        <w:rPr>
          <w:rFonts w:ascii="Verdana" w:hAnsi="Verdana"/>
          <w:sz w:val="20"/>
          <w:szCs w:val="20"/>
        </w:rPr>
      </w:pPr>
      <w:r>
        <w:rPr>
          <w:rFonts w:ascii="Verdana" w:hAnsi="Verdana"/>
          <w:sz w:val="20"/>
          <w:szCs w:val="20"/>
        </w:rPr>
        <w:t>D</w:t>
      </w:r>
      <w:r w:rsidR="00926E61" w:rsidRPr="009A23B9">
        <w:rPr>
          <w:rFonts w:ascii="Verdana" w:hAnsi="Verdana"/>
          <w:sz w:val="20"/>
          <w:szCs w:val="20"/>
        </w:rPr>
        <w:t xml:space="preserve">urante </w:t>
      </w:r>
      <w:r w:rsidR="000F0638">
        <w:rPr>
          <w:rFonts w:ascii="Verdana" w:hAnsi="Verdana"/>
          <w:sz w:val="20"/>
          <w:szCs w:val="20"/>
        </w:rPr>
        <w:t>el conflicto interno</w:t>
      </w:r>
      <w:r w:rsidR="00926E61" w:rsidRPr="009A23B9">
        <w:rPr>
          <w:rFonts w:ascii="Verdana" w:hAnsi="Verdana"/>
          <w:sz w:val="20"/>
          <w:szCs w:val="20"/>
        </w:rPr>
        <w:t xml:space="preserve"> </w:t>
      </w:r>
      <w:r w:rsidR="00DA4A40">
        <w:rPr>
          <w:rFonts w:ascii="Verdana" w:hAnsi="Verdana"/>
          <w:sz w:val="20"/>
          <w:szCs w:val="20"/>
        </w:rPr>
        <w:t>en Surinam (</w:t>
      </w:r>
      <w:r w:rsidR="008A4ABB" w:rsidRPr="007E20F9">
        <w:rPr>
          <w:rFonts w:ascii="Verdana" w:hAnsi="Verdana"/>
          <w:i/>
          <w:sz w:val="20"/>
          <w:szCs w:val="20"/>
        </w:rPr>
        <w:t>supra</w:t>
      </w:r>
      <w:r w:rsidR="00DA4A40">
        <w:rPr>
          <w:rFonts w:ascii="Verdana" w:hAnsi="Verdana"/>
          <w:sz w:val="20"/>
          <w:szCs w:val="20"/>
        </w:rPr>
        <w:t xml:space="preserve"> párr. 39) </w:t>
      </w:r>
      <w:r w:rsidR="00926E61" w:rsidRPr="009A23B9">
        <w:rPr>
          <w:rFonts w:ascii="Verdana" w:hAnsi="Verdana"/>
          <w:sz w:val="20"/>
          <w:szCs w:val="20"/>
        </w:rPr>
        <w:t>existieron prohibiciones que impedían el acceso a la Reserva de Galibi con motivo del incremento en los robos de huevo de tortuga y se pusieron puestos militares en las áreas de acceso</w:t>
      </w:r>
      <w:r w:rsidR="00926E61" w:rsidRPr="009A23B9">
        <w:rPr>
          <w:rStyle w:val="FootnoteReference"/>
          <w:szCs w:val="20"/>
        </w:rPr>
        <w:footnoteReference w:id="97"/>
      </w:r>
      <w:r w:rsidR="00926E61" w:rsidRPr="009A23B9">
        <w:rPr>
          <w:rFonts w:ascii="Verdana" w:hAnsi="Verdana"/>
          <w:sz w:val="20"/>
          <w:szCs w:val="20"/>
        </w:rPr>
        <w:t>.</w:t>
      </w:r>
    </w:p>
    <w:p w14:paraId="3A113F29" w14:textId="77777777" w:rsidR="00926E61" w:rsidRPr="009A23B9" w:rsidRDefault="00926E61" w:rsidP="00926E61">
      <w:pPr>
        <w:jc w:val="both"/>
        <w:rPr>
          <w:rFonts w:ascii="Verdana" w:hAnsi="Verdana"/>
          <w:sz w:val="20"/>
          <w:szCs w:val="20"/>
          <w:lang w:val="es-ES"/>
        </w:rPr>
      </w:pPr>
    </w:p>
    <w:p w14:paraId="42B0E734" w14:textId="3B652EA2" w:rsidR="00926E61" w:rsidRDefault="00926E61" w:rsidP="00B935FA">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 xml:space="preserve">El 30 de abril de 1998 se estableció una Comisión de Diálogo en Galibi que contaba con representantes de la </w:t>
      </w:r>
      <w:r w:rsidRPr="009A23B9">
        <w:rPr>
          <w:rFonts w:ascii="Verdana" w:hAnsi="Verdana"/>
          <w:sz w:val="20"/>
          <w:szCs w:val="20"/>
        </w:rPr>
        <w:t xml:space="preserve">División de Conservación Natural de </w:t>
      </w:r>
      <w:r w:rsidR="00563E11">
        <w:rPr>
          <w:rFonts w:ascii="Verdana" w:hAnsi="Verdana"/>
          <w:sz w:val="20"/>
          <w:szCs w:val="20"/>
        </w:rPr>
        <w:t>Surinam</w:t>
      </w:r>
      <w:r w:rsidRPr="009A23B9">
        <w:rPr>
          <w:rFonts w:ascii="Verdana" w:hAnsi="Verdana"/>
          <w:sz w:val="20"/>
          <w:szCs w:val="20"/>
        </w:rPr>
        <w:t xml:space="preserve">, la Fundación de Conservación Natural de </w:t>
      </w:r>
      <w:r w:rsidR="00563E11">
        <w:rPr>
          <w:rFonts w:ascii="Verdana" w:hAnsi="Verdana"/>
          <w:sz w:val="20"/>
          <w:szCs w:val="20"/>
        </w:rPr>
        <w:t>Surinam</w:t>
      </w:r>
      <w:r w:rsidRPr="009A23B9">
        <w:rPr>
          <w:rFonts w:ascii="Verdana" w:hAnsi="Verdana"/>
          <w:sz w:val="20"/>
          <w:szCs w:val="20"/>
        </w:rPr>
        <w:t xml:space="preserve"> (STINASU), el Comisario de Distrito de Marowijne, el Servicio de Pesca y habitantes de </w:t>
      </w:r>
      <w:r w:rsidRPr="009A23B9">
        <w:rPr>
          <w:rFonts w:ascii="Verdana" w:hAnsi="Verdana"/>
          <w:sz w:val="20"/>
          <w:szCs w:val="20"/>
          <w:lang w:val="es-ES"/>
        </w:rPr>
        <w:t>Christiaankondre y Langamankondre</w:t>
      </w:r>
      <w:r w:rsidRPr="009A23B9">
        <w:rPr>
          <w:rStyle w:val="FootnoteReference"/>
          <w:szCs w:val="20"/>
          <w:lang w:val="es-ES"/>
        </w:rPr>
        <w:footnoteReference w:id="98"/>
      </w:r>
      <w:r w:rsidRPr="009A23B9">
        <w:rPr>
          <w:rFonts w:ascii="Verdana" w:hAnsi="Verdana"/>
          <w:sz w:val="20"/>
          <w:szCs w:val="20"/>
          <w:lang w:val="es-ES"/>
        </w:rPr>
        <w:t xml:space="preserve">. </w:t>
      </w:r>
      <w:r w:rsidR="003214FF" w:rsidRPr="00842770">
        <w:rPr>
          <w:rFonts w:ascii="Verdana" w:hAnsi="Verdana"/>
          <w:sz w:val="20"/>
          <w:szCs w:val="20"/>
          <w:lang w:val="es-ES"/>
        </w:rPr>
        <w:t xml:space="preserve">En </w:t>
      </w:r>
      <w:r w:rsidRPr="00842770">
        <w:rPr>
          <w:rFonts w:ascii="Verdana" w:hAnsi="Verdana"/>
          <w:sz w:val="20"/>
          <w:szCs w:val="20"/>
          <w:lang w:val="es-ES"/>
        </w:rPr>
        <w:t xml:space="preserve">dicha Comisión se acordó limitar la extracción de huevos de tortuga, permitiéndose solamente para el consumo tradicional de las comunidades de Christiaankondre y Langamankondre, y no para su comercialización. Asimismo, se acordó compartir los beneficios generados por el incremento de turismo en la Reserva Galibi </w:t>
      </w:r>
      <w:r w:rsidRPr="00E312F2">
        <w:rPr>
          <w:rFonts w:ascii="Verdana" w:hAnsi="Verdana"/>
          <w:sz w:val="20"/>
          <w:szCs w:val="20"/>
          <w:lang w:val="es-ES"/>
        </w:rPr>
        <w:t xml:space="preserve">mediante la autorización de que una organización comunitaria denominada STIDUNAL realizara el transporte de </w:t>
      </w:r>
      <w:r w:rsidRPr="007021B4">
        <w:rPr>
          <w:rFonts w:ascii="Verdana" w:hAnsi="Verdana"/>
          <w:sz w:val="20"/>
          <w:szCs w:val="20"/>
          <w:lang w:val="es-ES"/>
        </w:rPr>
        <w:t xml:space="preserve">turistas </w:t>
      </w:r>
      <w:r w:rsidR="00E312F2" w:rsidRPr="004B0145">
        <w:rPr>
          <w:rFonts w:ascii="Verdana" w:hAnsi="Verdana"/>
          <w:sz w:val="20"/>
          <w:szCs w:val="20"/>
          <w:lang w:val="es-ES"/>
        </w:rPr>
        <w:t>hacia la</w:t>
      </w:r>
      <w:r w:rsidRPr="007021B4">
        <w:rPr>
          <w:rFonts w:ascii="Verdana" w:hAnsi="Verdana"/>
          <w:sz w:val="20"/>
          <w:szCs w:val="20"/>
          <w:lang w:val="es-ES"/>
        </w:rPr>
        <w:t xml:space="preserve"> </w:t>
      </w:r>
      <w:r w:rsidRPr="00E312F2">
        <w:rPr>
          <w:rFonts w:ascii="Verdana" w:hAnsi="Verdana"/>
          <w:sz w:val="20"/>
          <w:szCs w:val="20"/>
          <w:lang w:val="es-ES"/>
        </w:rPr>
        <w:t>Reserva Galibi</w:t>
      </w:r>
      <w:r w:rsidRPr="00E312F2">
        <w:rPr>
          <w:rStyle w:val="FootnoteReference"/>
          <w:szCs w:val="20"/>
          <w:lang w:val="es-ES"/>
        </w:rPr>
        <w:footnoteReference w:id="99"/>
      </w:r>
      <w:r w:rsidRPr="00E312F2">
        <w:rPr>
          <w:rFonts w:ascii="Verdana" w:hAnsi="Verdana"/>
          <w:sz w:val="20"/>
          <w:szCs w:val="20"/>
          <w:lang w:val="es-ES"/>
        </w:rPr>
        <w:t>.</w:t>
      </w:r>
      <w:r w:rsidR="00C15E08">
        <w:rPr>
          <w:rFonts w:ascii="Verdana" w:hAnsi="Verdana"/>
          <w:sz w:val="20"/>
          <w:szCs w:val="20"/>
          <w:lang w:val="es-ES"/>
        </w:rPr>
        <w:t xml:space="preserve"> </w:t>
      </w:r>
      <w:r w:rsidR="003214FF" w:rsidRPr="002C323A">
        <w:rPr>
          <w:rFonts w:ascii="Verdana" w:eastAsia="MS Gothic" w:hAnsi="Verdana" w:cs="Arial"/>
          <w:sz w:val="20"/>
          <w:szCs w:val="20"/>
        </w:rPr>
        <w:t xml:space="preserve">En la actualidad, </w:t>
      </w:r>
      <w:r w:rsidR="003214FF" w:rsidRPr="002C323A">
        <w:rPr>
          <w:rFonts w:ascii="Verdana" w:hAnsi="Verdana"/>
          <w:sz w:val="20"/>
          <w:szCs w:val="20"/>
          <w:lang w:val="es-ES"/>
        </w:rPr>
        <w:t>la Comisión de Diálogo se encuentra inactiva en virtud de que las comunidades no participan de las reuniones</w:t>
      </w:r>
      <w:r w:rsidR="003214FF" w:rsidRPr="002C323A">
        <w:rPr>
          <w:rStyle w:val="FootnoteReference"/>
          <w:szCs w:val="20"/>
          <w:lang w:val="es-ES"/>
        </w:rPr>
        <w:footnoteReference w:id="100"/>
      </w:r>
      <w:r w:rsidR="003214FF" w:rsidRPr="002C323A">
        <w:rPr>
          <w:rFonts w:ascii="Verdana" w:hAnsi="Verdana"/>
          <w:sz w:val="20"/>
          <w:szCs w:val="20"/>
          <w:lang w:val="es-ES"/>
        </w:rPr>
        <w:t>.</w:t>
      </w:r>
    </w:p>
    <w:p w14:paraId="0FD73F0B" w14:textId="77777777" w:rsidR="00E312F2" w:rsidRPr="00842770" w:rsidRDefault="00E312F2" w:rsidP="004B0145">
      <w:pPr>
        <w:pStyle w:val="ListParagraph"/>
        <w:ind w:left="0"/>
        <w:jc w:val="both"/>
        <w:rPr>
          <w:rFonts w:ascii="Verdana" w:hAnsi="Verdana"/>
          <w:sz w:val="20"/>
          <w:szCs w:val="20"/>
          <w:lang w:val="es-ES"/>
        </w:rPr>
      </w:pPr>
    </w:p>
    <w:p w14:paraId="52B5C780" w14:textId="77777777" w:rsidR="00926E61" w:rsidRPr="009A23B9" w:rsidRDefault="00926E61" w:rsidP="00B935FA">
      <w:pPr>
        <w:pStyle w:val="ListParagraph"/>
        <w:numPr>
          <w:ilvl w:val="0"/>
          <w:numId w:val="2"/>
        </w:numPr>
        <w:ind w:left="0" w:hanging="11"/>
        <w:jc w:val="both"/>
        <w:rPr>
          <w:rFonts w:ascii="Verdana" w:eastAsia="MS Gothic" w:hAnsi="Verdana" w:cs="Arial"/>
          <w:sz w:val="20"/>
          <w:szCs w:val="20"/>
        </w:rPr>
      </w:pPr>
      <w:r w:rsidRPr="009A23B9">
        <w:rPr>
          <w:rFonts w:ascii="Verdana" w:hAnsi="Verdana"/>
          <w:sz w:val="20"/>
          <w:szCs w:val="20"/>
        </w:rPr>
        <w:t xml:space="preserve">Por otra parte, en 2012 el Estado demarcó una zona frente a la costa de Galibi en la cual se prohibía actividades pesqueras de terceros. Sin </w:t>
      </w:r>
      <w:r w:rsidRPr="00C15E08">
        <w:rPr>
          <w:rFonts w:ascii="Verdana" w:hAnsi="Verdana"/>
          <w:sz w:val="20"/>
          <w:szCs w:val="20"/>
        </w:rPr>
        <w:t>embargo</w:t>
      </w:r>
      <w:r w:rsidRPr="00190AD3">
        <w:rPr>
          <w:rFonts w:ascii="Verdana" w:hAnsi="Verdana"/>
          <w:sz w:val="20"/>
        </w:rPr>
        <w:t xml:space="preserve">, </w:t>
      </w:r>
      <w:r w:rsidRPr="00C15E08">
        <w:rPr>
          <w:rFonts w:ascii="Verdana" w:hAnsi="Verdana"/>
          <w:sz w:val="20"/>
          <w:szCs w:val="20"/>
        </w:rPr>
        <w:t>ésta</w:t>
      </w:r>
      <w:r w:rsidRPr="009A23B9">
        <w:rPr>
          <w:rFonts w:ascii="Verdana" w:hAnsi="Verdana"/>
          <w:sz w:val="20"/>
          <w:szCs w:val="20"/>
        </w:rPr>
        <w:t xml:space="preserve"> prohibición no ha sido efectiva ya que la zona carece de un control o fiscalización idóneo, </w:t>
      </w:r>
      <w:r w:rsidRPr="009A23B9">
        <w:rPr>
          <w:rFonts w:ascii="Verdana" w:eastAsia="MS Gothic" w:hAnsi="Verdana" w:cs="Arial"/>
          <w:sz w:val="20"/>
          <w:szCs w:val="20"/>
        </w:rPr>
        <w:t>afectando con esto a los pueblos indígenas de la zona y poniendo en riesgo la conservación de las tortugas marinas</w:t>
      </w:r>
      <w:r w:rsidRPr="009A23B9">
        <w:rPr>
          <w:rStyle w:val="FootnoteReference"/>
          <w:rFonts w:eastAsia="MS Gothic" w:cs="Arial"/>
          <w:szCs w:val="20"/>
        </w:rPr>
        <w:footnoteReference w:id="101"/>
      </w:r>
      <w:r w:rsidRPr="009A23B9">
        <w:rPr>
          <w:rFonts w:ascii="Verdana" w:eastAsia="MS Gothic" w:hAnsi="Verdana" w:cs="Arial"/>
          <w:sz w:val="20"/>
          <w:szCs w:val="20"/>
        </w:rPr>
        <w:t>.</w:t>
      </w:r>
    </w:p>
    <w:p w14:paraId="22B36313" w14:textId="77777777" w:rsidR="00926E61" w:rsidRPr="009A23B9" w:rsidRDefault="00926E61" w:rsidP="00926E61">
      <w:pPr>
        <w:jc w:val="both"/>
        <w:rPr>
          <w:rFonts w:ascii="Verdana" w:eastAsia="MS Gothic" w:hAnsi="Verdana" w:cs="Arial"/>
          <w:sz w:val="20"/>
          <w:szCs w:val="20"/>
        </w:rPr>
      </w:pPr>
    </w:p>
    <w:p w14:paraId="56ECA71E" w14:textId="77777777" w:rsidR="00926E61" w:rsidRPr="009A23B9" w:rsidRDefault="00926E61" w:rsidP="007624EC">
      <w:pPr>
        <w:pStyle w:val="Heading3"/>
        <w:spacing w:before="0"/>
        <w:ind w:firstLine="360"/>
        <w:jc w:val="both"/>
        <w:rPr>
          <w:rFonts w:ascii="Verdana" w:hAnsi="Verdana"/>
          <w:b w:val="0"/>
          <w:sz w:val="20"/>
          <w:szCs w:val="20"/>
        </w:rPr>
      </w:pPr>
      <w:r w:rsidRPr="009A23B9">
        <w:rPr>
          <w:rFonts w:ascii="Verdana" w:eastAsia="MS Gothic" w:hAnsi="Verdana" w:cs="Arial"/>
          <w:sz w:val="20"/>
          <w:szCs w:val="20"/>
        </w:rPr>
        <w:tab/>
      </w:r>
      <w:bookmarkStart w:id="25" w:name="_Toc441666166"/>
      <w:r w:rsidRPr="009A23B9">
        <w:rPr>
          <w:rFonts w:ascii="Verdana" w:hAnsi="Verdana"/>
          <w:i/>
          <w:color w:val="auto"/>
          <w:sz w:val="20"/>
          <w:szCs w:val="20"/>
          <w:lang w:val="es-ES"/>
        </w:rPr>
        <w:t>E.2 La Reserva Natural Wane Kreek</w:t>
      </w:r>
      <w:bookmarkEnd w:id="25"/>
    </w:p>
    <w:p w14:paraId="4FD41439" w14:textId="77777777" w:rsidR="00926E61" w:rsidRPr="009A23B9" w:rsidRDefault="00926E61" w:rsidP="00926E61">
      <w:pPr>
        <w:jc w:val="both"/>
        <w:rPr>
          <w:rFonts w:ascii="Verdana" w:hAnsi="Verdana"/>
          <w:sz w:val="20"/>
          <w:szCs w:val="20"/>
        </w:rPr>
      </w:pPr>
    </w:p>
    <w:p w14:paraId="16189EE2" w14:textId="1AE74D77"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rPr>
        <w:t xml:space="preserve">La Reserva Natural Wane Kreek fue establecida el 26 de agosto de 1986 mediante el Decreto de Protección de la Naturaleza </w:t>
      </w:r>
      <w:r w:rsidR="00B926CC">
        <w:rPr>
          <w:rFonts w:ascii="Verdana" w:hAnsi="Verdana"/>
          <w:sz w:val="20"/>
          <w:szCs w:val="20"/>
        </w:rPr>
        <w:t>(</w:t>
      </w:r>
      <w:r w:rsidR="008A4ABB" w:rsidRPr="007E20F9">
        <w:rPr>
          <w:rFonts w:ascii="Verdana" w:hAnsi="Verdana"/>
          <w:i/>
          <w:sz w:val="20"/>
          <w:szCs w:val="20"/>
        </w:rPr>
        <w:t>Wane Kreek Nature Protection Order</w:t>
      </w:r>
      <w:r w:rsidR="00B926CC">
        <w:rPr>
          <w:rFonts w:ascii="Verdana" w:hAnsi="Verdana"/>
          <w:sz w:val="20"/>
          <w:szCs w:val="20"/>
        </w:rPr>
        <w:t xml:space="preserve">) </w:t>
      </w:r>
      <w:r w:rsidRPr="009A23B9">
        <w:rPr>
          <w:rFonts w:ascii="Verdana" w:hAnsi="Verdana"/>
          <w:sz w:val="20"/>
          <w:szCs w:val="20"/>
        </w:rPr>
        <w:t xml:space="preserve">de 1986. El territorio designado para la reserva es propiedad del Estado de </w:t>
      </w:r>
      <w:r w:rsidR="00563E11">
        <w:rPr>
          <w:rFonts w:ascii="Verdana" w:hAnsi="Verdana"/>
          <w:sz w:val="20"/>
          <w:szCs w:val="20"/>
        </w:rPr>
        <w:t>Surinam</w:t>
      </w:r>
      <w:r w:rsidRPr="009A23B9">
        <w:rPr>
          <w:rFonts w:ascii="Verdana" w:hAnsi="Verdana"/>
          <w:sz w:val="20"/>
          <w:szCs w:val="20"/>
        </w:rPr>
        <w:t xml:space="preserve">, y tiene una extensión </w:t>
      </w:r>
      <w:r w:rsidRPr="009A23B9">
        <w:rPr>
          <w:rFonts w:ascii="Verdana" w:hAnsi="Verdana"/>
          <w:sz w:val="20"/>
          <w:szCs w:val="20"/>
        </w:rPr>
        <w:lastRenderedPageBreak/>
        <w:t>de aproximadamente 45</w:t>
      </w:r>
      <w:r w:rsidR="001A4213">
        <w:rPr>
          <w:rFonts w:ascii="Verdana" w:hAnsi="Verdana"/>
          <w:sz w:val="20"/>
          <w:szCs w:val="20"/>
        </w:rPr>
        <w:t>,</w:t>
      </w:r>
      <w:r w:rsidRPr="009A23B9">
        <w:rPr>
          <w:rFonts w:ascii="Verdana" w:hAnsi="Verdana"/>
          <w:sz w:val="20"/>
          <w:szCs w:val="20"/>
        </w:rPr>
        <w:t xml:space="preserve">400 </w:t>
      </w:r>
      <w:r w:rsidR="004E7D46">
        <w:rPr>
          <w:rFonts w:ascii="Verdana" w:hAnsi="Verdana"/>
          <w:sz w:val="20"/>
          <w:szCs w:val="20"/>
        </w:rPr>
        <w:t>ha</w:t>
      </w:r>
      <w:r w:rsidRPr="009A23B9">
        <w:rPr>
          <w:rFonts w:ascii="Verdana" w:hAnsi="Verdana"/>
          <w:sz w:val="20"/>
          <w:szCs w:val="20"/>
        </w:rPr>
        <w:t>. La reserva cuenta con nueve ecosistemas únicos, siendo la protección y conservación de éstos el fundamento de la constitución de la reserva</w:t>
      </w:r>
      <w:r w:rsidRPr="009A23B9">
        <w:rPr>
          <w:rStyle w:val="FootnoteReference"/>
          <w:szCs w:val="20"/>
        </w:rPr>
        <w:footnoteReference w:id="102"/>
      </w:r>
      <w:r w:rsidRPr="009A23B9">
        <w:rPr>
          <w:rFonts w:ascii="Verdana" w:hAnsi="Verdana"/>
          <w:sz w:val="20"/>
          <w:szCs w:val="20"/>
        </w:rPr>
        <w:t xml:space="preserve">. </w:t>
      </w:r>
    </w:p>
    <w:p w14:paraId="49940537" w14:textId="77777777" w:rsidR="00926E61" w:rsidRPr="009A23B9" w:rsidRDefault="00926E61" w:rsidP="003D2C97">
      <w:pPr>
        <w:pStyle w:val="FootnoteText"/>
      </w:pPr>
    </w:p>
    <w:p w14:paraId="4E98E2E6" w14:textId="77777777"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rPr>
        <w:t>La “</w:t>
      </w:r>
      <w:r w:rsidR="008A4ABB" w:rsidRPr="007E20F9">
        <w:rPr>
          <w:rFonts w:ascii="Verdana" w:hAnsi="Verdana"/>
          <w:i/>
          <w:sz w:val="20"/>
          <w:szCs w:val="20"/>
        </w:rPr>
        <w:t>International Union for the Conservation of Nature and Natural Resources</w:t>
      </w:r>
      <w:r w:rsidRPr="009A23B9">
        <w:rPr>
          <w:rFonts w:ascii="Verdana" w:hAnsi="Verdana"/>
          <w:sz w:val="20"/>
          <w:szCs w:val="20"/>
        </w:rPr>
        <w:t>” designó a la Reserva Wane Kreek como un área protegida de categoría IV, lo cual la define como un área sujeta a la intervención activa para su administración, con el propósito de mantener el hábitat y las especies que en ella se encuentran</w:t>
      </w:r>
      <w:r w:rsidRPr="009A23B9">
        <w:rPr>
          <w:rStyle w:val="FootnoteReference"/>
          <w:szCs w:val="20"/>
        </w:rPr>
        <w:footnoteReference w:id="103"/>
      </w:r>
      <w:r w:rsidRPr="009A23B9">
        <w:rPr>
          <w:rFonts w:ascii="Verdana" w:hAnsi="Verdana"/>
          <w:sz w:val="20"/>
          <w:szCs w:val="20"/>
        </w:rPr>
        <w:t>.</w:t>
      </w:r>
    </w:p>
    <w:p w14:paraId="5A457C2D" w14:textId="77777777" w:rsidR="00926E61" w:rsidRPr="009A23B9" w:rsidRDefault="00926E61" w:rsidP="003D2C97">
      <w:pPr>
        <w:pStyle w:val="FootnoteText"/>
      </w:pPr>
    </w:p>
    <w:p w14:paraId="36B9B665" w14:textId="77777777"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rPr>
        <w:t>El artículo cuarto del Decreto de Protección de la Naturaleza de 1986 estableció que los derechos tradicionales de las comunidades y aldeas tribales que se encuentren ubicadas dentro de la reserva serían respetados</w:t>
      </w:r>
      <w:r w:rsidRPr="009A23B9">
        <w:rPr>
          <w:rStyle w:val="FootnoteReference"/>
          <w:szCs w:val="20"/>
        </w:rPr>
        <w:footnoteReference w:id="104"/>
      </w:r>
      <w:r w:rsidRPr="009A23B9">
        <w:rPr>
          <w:rFonts w:ascii="Verdana" w:hAnsi="Verdana"/>
          <w:sz w:val="20"/>
          <w:szCs w:val="20"/>
        </w:rPr>
        <w:t>. Sobre lo anterior, en las notas aclaratorias a dicho Decreto, elaboradas por el Ministro de Recursos Naturales y Energía, se estableció que el área seleccionada para la reserva era reclamada por las comunidades que residían alrededor de ésta como parte de sus territorio ancestral</w:t>
      </w:r>
      <w:r w:rsidRPr="009A23B9">
        <w:rPr>
          <w:rStyle w:val="FootnoteReference"/>
          <w:szCs w:val="20"/>
        </w:rPr>
        <w:footnoteReference w:id="105"/>
      </w:r>
      <w:r w:rsidRPr="009A23B9">
        <w:rPr>
          <w:rFonts w:ascii="Verdana" w:hAnsi="Verdana"/>
          <w:sz w:val="20"/>
          <w:szCs w:val="20"/>
        </w:rPr>
        <w:t>.</w:t>
      </w:r>
    </w:p>
    <w:p w14:paraId="0D9717B0" w14:textId="77777777" w:rsidR="00926E61" w:rsidRPr="009A23B9" w:rsidRDefault="00926E61" w:rsidP="003D2C97">
      <w:pPr>
        <w:pStyle w:val="FootnoteText"/>
      </w:pPr>
    </w:p>
    <w:p w14:paraId="787469FD" w14:textId="1FCB6CFF" w:rsidR="00926E61" w:rsidRPr="009A23B9" w:rsidRDefault="003214FF" w:rsidP="00B935FA">
      <w:pPr>
        <w:pStyle w:val="ListParagraph"/>
        <w:numPr>
          <w:ilvl w:val="0"/>
          <w:numId w:val="2"/>
        </w:numPr>
        <w:ind w:left="0" w:hanging="11"/>
        <w:jc w:val="both"/>
        <w:rPr>
          <w:rFonts w:ascii="Verdana" w:hAnsi="Verdana"/>
          <w:sz w:val="20"/>
          <w:szCs w:val="20"/>
        </w:rPr>
      </w:pPr>
      <w:r>
        <w:rPr>
          <w:rFonts w:ascii="Verdana" w:hAnsi="Verdana"/>
          <w:sz w:val="20"/>
          <w:szCs w:val="20"/>
        </w:rPr>
        <w:t xml:space="preserve">El </w:t>
      </w:r>
      <w:r w:rsidR="00926E61" w:rsidRPr="009A23B9">
        <w:rPr>
          <w:rFonts w:ascii="Verdana" w:hAnsi="Verdana"/>
          <w:sz w:val="20"/>
          <w:szCs w:val="20"/>
        </w:rPr>
        <w:t xml:space="preserve">territorio de la Reserva Wane Kreek forma parte de los territorios ancestrales </w:t>
      </w:r>
      <w:r w:rsidRPr="00190AD3">
        <w:rPr>
          <w:rFonts w:ascii="Verdana" w:hAnsi="Verdana"/>
          <w:sz w:val="20"/>
        </w:rPr>
        <w:t>reclamado por</w:t>
      </w:r>
      <w:r w:rsidR="00926E61" w:rsidRPr="00C15E08">
        <w:rPr>
          <w:rFonts w:ascii="Verdana" w:hAnsi="Verdana"/>
          <w:sz w:val="20"/>
          <w:szCs w:val="20"/>
        </w:rPr>
        <w:t xml:space="preserve"> los </w:t>
      </w:r>
      <w:r w:rsidR="00CB39E1" w:rsidRPr="00C15E08">
        <w:rPr>
          <w:rFonts w:ascii="Verdana" w:hAnsi="Verdana"/>
          <w:sz w:val="20"/>
          <w:szCs w:val="20"/>
        </w:rPr>
        <w:t>p</w:t>
      </w:r>
      <w:r w:rsidR="00926E61" w:rsidRPr="00C15E08">
        <w:rPr>
          <w:rFonts w:ascii="Verdana" w:hAnsi="Verdana"/>
          <w:sz w:val="20"/>
          <w:szCs w:val="20"/>
        </w:rPr>
        <w:t xml:space="preserve">ueblos </w:t>
      </w:r>
      <w:r w:rsidR="00CB39E1" w:rsidRPr="00C15E08">
        <w:rPr>
          <w:rFonts w:ascii="Verdana" w:hAnsi="Verdana"/>
          <w:sz w:val="20"/>
          <w:szCs w:val="20"/>
          <w:lang w:val="es-ES"/>
        </w:rPr>
        <w:t>Kaliña y Lokono</w:t>
      </w:r>
      <w:r w:rsidR="00926E61" w:rsidRPr="00C15E08">
        <w:rPr>
          <w:rStyle w:val="FootnoteReference"/>
          <w:szCs w:val="20"/>
        </w:rPr>
        <w:footnoteReference w:id="106"/>
      </w:r>
      <w:r w:rsidR="00926E61" w:rsidRPr="00C15E08">
        <w:rPr>
          <w:rFonts w:ascii="Verdana" w:hAnsi="Verdana"/>
          <w:sz w:val="20"/>
          <w:szCs w:val="20"/>
        </w:rPr>
        <w:t xml:space="preserve">. En este sentido, señalaron que el área de la Reserva es su </w:t>
      </w:r>
      <w:r w:rsidR="00926E61" w:rsidRPr="00F16345">
        <w:rPr>
          <w:rFonts w:ascii="Verdana" w:hAnsi="Verdana"/>
          <w:sz w:val="20"/>
          <w:szCs w:val="20"/>
        </w:rPr>
        <w:t>principal zona de caza y pesca, a la vez que es utilizada para extraer medicinas, arcilla</w:t>
      </w:r>
      <w:r w:rsidR="008868DB" w:rsidRPr="00F16345">
        <w:rPr>
          <w:rFonts w:ascii="Verdana" w:hAnsi="Verdana"/>
          <w:sz w:val="20"/>
          <w:szCs w:val="20"/>
        </w:rPr>
        <w:t xml:space="preserve"> </w:t>
      </w:r>
      <w:r w:rsidR="00926E61" w:rsidRPr="00F726FD">
        <w:rPr>
          <w:rFonts w:ascii="Verdana" w:hAnsi="Verdana"/>
          <w:sz w:val="20"/>
          <w:szCs w:val="20"/>
        </w:rPr>
        <w:t xml:space="preserve">y caolín. Asimismo, los </w:t>
      </w:r>
      <w:r w:rsidRPr="00190AD3">
        <w:rPr>
          <w:rFonts w:ascii="Verdana" w:hAnsi="Verdana"/>
          <w:sz w:val="20"/>
        </w:rPr>
        <w:t>Pueblos Kaliña y Lokono</w:t>
      </w:r>
      <w:r w:rsidRPr="00C15E08">
        <w:rPr>
          <w:rFonts w:ascii="Verdana" w:hAnsi="Verdana"/>
          <w:sz w:val="20"/>
          <w:szCs w:val="20"/>
        </w:rPr>
        <w:t xml:space="preserve"> </w:t>
      </w:r>
      <w:r w:rsidR="00926E61" w:rsidRPr="00C15E08">
        <w:rPr>
          <w:rFonts w:ascii="Verdana" w:hAnsi="Verdana"/>
          <w:sz w:val="20"/>
          <w:szCs w:val="20"/>
        </w:rPr>
        <w:t>siempre</w:t>
      </w:r>
      <w:r w:rsidR="00926E61" w:rsidRPr="009A23B9">
        <w:rPr>
          <w:rFonts w:ascii="Verdana" w:hAnsi="Verdana"/>
          <w:sz w:val="20"/>
          <w:szCs w:val="20"/>
        </w:rPr>
        <w:t xml:space="preserve"> han tenido campamentos y asentamientos en esa zona, y en ella se encuentran comunidades antiguas y sitios sagrados que consideran fundamentales para sus orígenes e identidad</w:t>
      </w:r>
      <w:r w:rsidR="00926E61" w:rsidRPr="009A23B9">
        <w:rPr>
          <w:rStyle w:val="FootnoteReference"/>
          <w:szCs w:val="20"/>
        </w:rPr>
        <w:footnoteReference w:id="107"/>
      </w:r>
      <w:r w:rsidR="00926E61" w:rsidRPr="009A23B9">
        <w:rPr>
          <w:rFonts w:ascii="Verdana" w:hAnsi="Verdana"/>
          <w:sz w:val="20"/>
          <w:szCs w:val="20"/>
        </w:rPr>
        <w:t xml:space="preserve">. Además, la zona presenta un gran valor arqueológico en virtud de </w:t>
      </w:r>
      <w:r w:rsidR="00245A27" w:rsidRPr="004B0145">
        <w:rPr>
          <w:rFonts w:ascii="Verdana" w:hAnsi="Verdana"/>
          <w:sz w:val="20"/>
          <w:szCs w:val="20"/>
        </w:rPr>
        <w:t>numerosos</w:t>
      </w:r>
      <w:r w:rsidR="00926E61" w:rsidRPr="001A4213">
        <w:rPr>
          <w:rFonts w:ascii="Verdana" w:hAnsi="Verdana"/>
          <w:sz w:val="20"/>
          <w:szCs w:val="20"/>
        </w:rPr>
        <w:t xml:space="preserve"> hallazgos</w:t>
      </w:r>
      <w:r w:rsidR="00926E61" w:rsidRPr="009A23B9">
        <w:rPr>
          <w:rFonts w:ascii="Verdana" w:hAnsi="Verdana"/>
          <w:sz w:val="20"/>
          <w:szCs w:val="20"/>
        </w:rPr>
        <w:t xml:space="preserve"> de poblaciones precolombinas</w:t>
      </w:r>
      <w:r w:rsidR="00926E61" w:rsidRPr="009A23B9">
        <w:rPr>
          <w:rStyle w:val="FootnoteReference"/>
          <w:szCs w:val="20"/>
        </w:rPr>
        <w:footnoteReference w:id="108"/>
      </w:r>
      <w:r w:rsidR="00926E61" w:rsidRPr="009A23B9">
        <w:rPr>
          <w:rFonts w:ascii="Verdana" w:hAnsi="Verdana"/>
          <w:sz w:val="20"/>
          <w:szCs w:val="20"/>
        </w:rPr>
        <w:t>.</w:t>
      </w:r>
    </w:p>
    <w:p w14:paraId="251311D0" w14:textId="77777777" w:rsidR="00926E61" w:rsidRPr="009A23B9" w:rsidRDefault="00926E61" w:rsidP="003D2C97">
      <w:pPr>
        <w:pStyle w:val="FootnoteText"/>
      </w:pPr>
    </w:p>
    <w:p w14:paraId="679F18A0" w14:textId="77777777" w:rsidR="00926E61" w:rsidRPr="009A23B9" w:rsidRDefault="00926E61" w:rsidP="007624EC">
      <w:pPr>
        <w:pStyle w:val="Heading4"/>
        <w:spacing w:before="0"/>
        <w:ind w:left="720" w:firstLine="720"/>
        <w:rPr>
          <w:rFonts w:ascii="Verdana" w:hAnsi="Verdana"/>
          <w:color w:val="auto"/>
          <w:sz w:val="20"/>
          <w:szCs w:val="20"/>
        </w:rPr>
      </w:pPr>
      <w:bookmarkStart w:id="26" w:name="_Toc441666167"/>
      <w:r w:rsidRPr="009A23B9">
        <w:rPr>
          <w:rFonts w:ascii="Verdana" w:hAnsi="Verdana"/>
          <w:color w:val="auto"/>
          <w:sz w:val="20"/>
          <w:szCs w:val="20"/>
        </w:rPr>
        <w:t>E.2.1 Proceso de consulta</w:t>
      </w:r>
      <w:bookmarkEnd w:id="26"/>
    </w:p>
    <w:p w14:paraId="5D809794" w14:textId="77777777" w:rsidR="00926E61" w:rsidRPr="009A23B9" w:rsidRDefault="00926E61" w:rsidP="003D2C97">
      <w:pPr>
        <w:pStyle w:val="FootnoteText"/>
      </w:pPr>
    </w:p>
    <w:p w14:paraId="2943E05C" w14:textId="77777777" w:rsidR="00926E61" w:rsidRPr="009A23B9" w:rsidRDefault="003214FF" w:rsidP="00B935FA">
      <w:pPr>
        <w:pStyle w:val="ListParagraph"/>
        <w:numPr>
          <w:ilvl w:val="0"/>
          <w:numId w:val="2"/>
        </w:numPr>
        <w:ind w:left="0" w:hanging="11"/>
        <w:jc w:val="both"/>
        <w:rPr>
          <w:rFonts w:ascii="Verdana" w:hAnsi="Verdana"/>
          <w:sz w:val="20"/>
          <w:szCs w:val="20"/>
        </w:rPr>
      </w:pPr>
      <w:r>
        <w:rPr>
          <w:rFonts w:ascii="Verdana" w:hAnsi="Verdana"/>
          <w:sz w:val="20"/>
          <w:szCs w:val="20"/>
        </w:rPr>
        <w:t>P</w:t>
      </w:r>
      <w:r w:rsidR="00926E61" w:rsidRPr="009A23B9">
        <w:rPr>
          <w:rFonts w:ascii="Verdana" w:hAnsi="Verdana"/>
          <w:sz w:val="20"/>
          <w:szCs w:val="20"/>
        </w:rPr>
        <w:t>revio al establecimiento de la Reserva Wane Kreek se realizaron diversas reuniones en las que participaron autoridades del Servicio de Manejo de Bosques Estatales, una organización de pueblos indígenas denominada “KANO”, jefes de las comunidades y algunos residentes</w:t>
      </w:r>
      <w:r w:rsidR="00926E61" w:rsidRPr="009A23B9">
        <w:rPr>
          <w:rStyle w:val="FootnoteReference"/>
          <w:szCs w:val="20"/>
        </w:rPr>
        <w:footnoteReference w:id="109"/>
      </w:r>
      <w:r w:rsidR="00926E61" w:rsidRPr="009A23B9">
        <w:rPr>
          <w:rFonts w:ascii="Verdana" w:hAnsi="Verdana"/>
          <w:sz w:val="20"/>
          <w:szCs w:val="20"/>
        </w:rPr>
        <w:t xml:space="preserve">. De acuerdo con el Estado, la organización KANO fue fundada en 1969 y se encontraba compuesta por indígenas Kaliña y Lokono. Sin embargo, </w:t>
      </w:r>
      <w:r w:rsidR="00926E61" w:rsidRPr="009A23B9">
        <w:rPr>
          <w:rFonts w:ascii="Verdana" w:hAnsi="Verdana"/>
          <w:sz w:val="20"/>
          <w:szCs w:val="20"/>
          <w:lang w:val="es-CR"/>
        </w:rPr>
        <w:t xml:space="preserve">los representantes señalaron que la organización KANO estaba compuesta por indígenas de diversas zonas de </w:t>
      </w:r>
      <w:r w:rsidR="00563E11">
        <w:rPr>
          <w:rFonts w:ascii="Verdana" w:hAnsi="Verdana"/>
          <w:sz w:val="20"/>
          <w:szCs w:val="20"/>
          <w:lang w:val="es-CR"/>
        </w:rPr>
        <w:lastRenderedPageBreak/>
        <w:t>Surinam</w:t>
      </w:r>
      <w:r w:rsidR="00926E61" w:rsidRPr="009A23B9">
        <w:rPr>
          <w:rFonts w:ascii="Verdana" w:hAnsi="Verdana"/>
          <w:sz w:val="20"/>
          <w:szCs w:val="20"/>
          <w:lang w:val="es-CR"/>
        </w:rPr>
        <w:t xml:space="preserve"> que no eran autoridades tradicionales ni representantes legítimos de las presuntas víctimas del caso</w:t>
      </w:r>
      <w:r w:rsidR="00057DB5">
        <w:rPr>
          <w:rFonts w:ascii="Verdana" w:hAnsi="Verdana"/>
          <w:sz w:val="20"/>
          <w:szCs w:val="20"/>
          <w:lang w:val="es-CR"/>
        </w:rPr>
        <w:t>. Asimismo,</w:t>
      </w:r>
      <w:r w:rsidR="00926E61" w:rsidRPr="009A23B9">
        <w:rPr>
          <w:rFonts w:ascii="Verdana" w:hAnsi="Verdana"/>
          <w:sz w:val="20"/>
          <w:szCs w:val="20"/>
          <w:lang w:val="es-CR"/>
        </w:rPr>
        <w:t xml:space="preserve"> KANO dejó de existir en 1980, </w:t>
      </w:r>
      <w:r w:rsidR="00057DB5">
        <w:rPr>
          <w:rFonts w:ascii="Verdana" w:hAnsi="Verdana"/>
          <w:sz w:val="20"/>
          <w:szCs w:val="20"/>
          <w:lang w:val="es-CR"/>
        </w:rPr>
        <w:t xml:space="preserve">es decir, </w:t>
      </w:r>
      <w:r w:rsidR="00926E61" w:rsidRPr="009A23B9">
        <w:rPr>
          <w:rFonts w:ascii="Verdana" w:hAnsi="Verdana"/>
          <w:sz w:val="20"/>
          <w:szCs w:val="20"/>
          <w:lang w:val="es-CR"/>
        </w:rPr>
        <w:t>6 años antes de la constitución de la Reserva Wane Kreek.</w:t>
      </w:r>
    </w:p>
    <w:p w14:paraId="2C02E9DD" w14:textId="77777777" w:rsidR="00926E61" w:rsidRPr="009A23B9" w:rsidRDefault="00926E61" w:rsidP="003D2C97">
      <w:pPr>
        <w:pStyle w:val="FootnoteText"/>
      </w:pPr>
    </w:p>
    <w:p w14:paraId="06D27EDB" w14:textId="77777777" w:rsidR="00926E61" w:rsidRPr="009A23B9"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rPr>
        <w:t xml:space="preserve">En este sentido, en comunicación de 26 de agosto de 1978 se estableció que en reunión celebrada el 21 de agosto de 1978, la Administración de Bosques Estatales y representantes de KANO acordaron lo siguiente: </w:t>
      </w:r>
    </w:p>
    <w:p w14:paraId="54595A8B" w14:textId="77777777" w:rsidR="00926E61" w:rsidRPr="009A23B9" w:rsidRDefault="00926E61" w:rsidP="003D2C97">
      <w:pPr>
        <w:pStyle w:val="FootnoteText"/>
      </w:pPr>
    </w:p>
    <w:p w14:paraId="02F36F2D" w14:textId="77777777" w:rsidR="00926E61" w:rsidRPr="009E77BD" w:rsidRDefault="00926E61" w:rsidP="00926E61">
      <w:pPr>
        <w:pStyle w:val="ListParagraph"/>
        <w:numPr>
          <w:ilvl w:val="0"/>
          <w:numId w:val="6"/>
        </w:numPr>
        <w:jc w:val="both"/>
        <w:rPr>
          <w:rFonts w:ascii="Verdana" w:hAnsi="Verdana"/>
          <w:sz w:val="18"/>
          <w:szCs w:val="20"/>
        </w:rPr>
      </w:pPr>
      <w:r w:rsidRPr="009E77BD">
        <w:rPr>
          <w:rFonts w:ascii="Verdana" w:hAnsi="Verdana"/>
          <w:sz w:val="18"/>
          <w:szCs w:val="20"/>
        </w:rPr>
        <w:t>Los derechos de los habitantes tradicionales serán respetados.</w:t>
      </w:r>
    </w:p>
    <w:p w14:paraId="4FFCBB4F" w14:textId="77777777" w:rsidR="00926E61" w:rsidRPr="009E77BD" w:rsidRDefault="00926E61" w:rsidP="00926E61">
      <w:pPr>
        <w:pStyle w:val="ListParagraph"/>
        <w:numPr>
          <w:ilvl w:val="0"/>
          <w:numId w:val="6"/>
        </w:numPr>
        <w:jc w:val="both"/>
        <w:rPr>
          <w:rFonts w:ascii="Verdana" w:hAnsi="Verdana"/>
          <w:sz w:val="18"/>
          <w:szCs w:val="20"/>
        </w:rPr>
      </w:pPr>
      <w:r w:rsidRPr="009E77BD">
        <w:rPr>
          <w:rFonts w:ascii="Verdana" w:hAnsi="Verdana"/>
          <w:sz w:val="18"/>
          <w:szCs w:val="20"/>
        </w:rPr>
        <w:t xml:space="preserve">Representantes de KANO y de la Administración de Bosques Estatales visitarán varias reservas naturales. KANO proporcionará información detallada a los habitantes locales sobre </w:t>
      </w:r>
      <w:r w:rsidR="00EE4500">
        <w:rPr>
          <w:rFonts w:ascii="Verdana" w:hAnsi="Verdana"/>
          <w:sz w:val="18"/>
          <w:szCs w:val="20"/>
        </w:rPr>
        <w:t>la reunión realizada con la Administración de Bosques Estatales y le consultará a los habitantes locales al respecto</w:t>
      </w:r>
      <w:r w:rsidRPr="009E77BD">
        <w:rPr>
          <w:rFonts w:ascii="Verdana" w:hAnsi="Verdana"/>
          <w:sz w:val="18"/>
          <w:szCs w:val="20"/>
        </w:rPr>
        <w:t xml:space="preserve">. </w:t>
      </w:r>
    </w:p>
    <w:p w14:paraId="2DAA94C1" w14:textId="77777777" w:rsidR="00926E61" w:rsidRPr="009E77BD" w:rsidRDefault="00926E61" w:rsidP="00926E61">
      <w:pPr>
        <w:pStyle w:val="ListParagraph"/>
        <w:numPr>
          <w:ilvl w:val="0"/>
          <w:numId w:val="6"/>
        </w:numPr>
        <w:jc w:val="both"/>
        <w:rPr>
          <w:rFonts w:ascii="Verdana" w:hAnsi="Verdana"/>
          <w:sz w:val="18"/>
          <w:szCs w:val="20"/>
        </w:rPr>
      </w:pPr>
      <w:r w:rsidRPr="009E77BD">
        <w:rPr>
          <w:rFonts w:ascii="Verdana" w:hAnsi="Verdana"/>
          <w:sz w:val="18"/>
          <w:szCs w:val="20"/>
        </w:rPr>
        <w:t>KANO contribuirá activamente en la formulación de los aspectos sociales de las políticas futuras en el campo de la conservación de la naturaleza</w:t>
      </w:r>
      <w:r w:rsidRPr="009E77BD">
        <w:rPr>
          <w:rStyle w:val="FootnoteReference"/>
          <w:sz w:val="18"/>
          <w:szCs w:val="20"/>
        </w:rPr>
        <w:footnoteReference w:id="110"/>
      </w:r>
      <w:r w:rsidRPr="009E77BD">
        <w:rPr>
          <w:rFonts w:ascii="Verdana" w:hAnsi="Verdana"/>
          <w:sz w:val="18"/>
          <w:szCs w:val="20"/>
        </w:rPr>
        <w:t>.</w:t>
      </w:r>
    </w:p>
    <w:p w14:paraId="04196C6F" w14:textId="77777777" w:rsidR="00926E61" w:rsidRPr="00C15E08" w:rsidRDefault="00926E61" w:rsidP="00926E61">
      <w:pPr>
        <w:pStyle w:val="ListParagraph"/>
        <w:jc w:val="both"/>
        <w:rPr>
          <w:rFonts w:ascii="Verdana" w:hAnsi="Verdana"/>
          <w:sz w:val="20"/>
          <w:szCs w:val="20"/>
        </w:rPr>
      </w:pPr>
    </w:p>
    <w:p w14:paraId="5E619A44" w14:textId="77777777" w:rsidR="00926E61" w:rsidRPr="00842770" w:rsidRDefault="00926E61" w:rsidP="00C15E08">
      <w:pPr>
        <w:pStyle w:val="ListParagraph"/>
        <w:numPr>
          <w:ilvl w:val="0"/>
          <w:numId w:val="2"/>
        </w:numPr>
        <w:ind w:left="0" w:hanging="11"/>
        <w:jc w:val="both"/>
        <w:rPr>
          <w:rFonts w:ascii="Verdana" w:hAnsi="Verdana"/>
          <w:sz w:val="20"/>
          <w:szCs w:val="20"/>
        </w:rPr>
      </w:pPr>
      <w:r w:rsidRPr="00C15E08">
        <w:rPr>
          <w:rFonts w:ascii="Verdana" w:hAnsi="Verdana"/>
          <w:sz w:val="20"/>
          <w:szCs w:val="20"/>
        </w:rPr>
        <w:t>Sin embargo, de acuerdo con los Capitanes Watamaleo y Gunther, la única reunión de la cual tienen conocimiento se realizó en 1986 en Marijkedorp (Wan Shi S</w:t>
      </w:r>
      <w:r w:rsidRPr="00F16345">
        <w:rPr>
          <w:rFonts w:ascii="Verdana" w:hAnsi="Verdana"/>
          <w:sz w:val="20"/>
          <w:szCs w:val="20"/>
        </w:rPr>
        <w:t>ha), en la cual los indígenas rechazaron enfáticamente la propuesta de crear la Reserva de Wane Kreek</w:t>
      </w:r>
      <w:r w:rsidRPr="00C15E08">
        <w:rPr>
          <w:rStyle w:val="FootnoteReference"/>
          <w:szCs w:val="20"/>
        </w:rPr>
        <w:footnoteReference w:id="111"/>
      </w:r>
      <w:r w:rsidRPr="00C15E08">
        <w:rPr>
          <w:rFonts w:ascii="Verdana" w:hAnsi="Verdana"/>
          <w:sz w:val="20"/>
          <w:szCs w:val="20"/>
        </w:rPr>
        <w:t xml:space="preserve">. En virtud de lo anterior, los </w:t>
      </w:r>
      <w:r w:rsidR="00CB39E1" w:rsidRPr="00C15E08">
        <w:rPr>
          <w:rFonts w:ascii="Verdana" w:hAnsi="Verdana"/>
          <w:sz w:val="20"/>
          <w:szCs w:val="20"/>
        </w:rPr>
        <w:t>p</w:t>
      </w:r>
      <w:r w:rsidRPr="00C15E08">
        <w:rPr>
          <w:rFonts w:ascii="Verdana" w:hAnsi="Verdana"/>
          <w:sz w:val="20"/>
          <w:szCs w:val="20"/>
        </w:rPr>
        <w:t xml:space="preserve">ueblos </w:t>
      </w:r>
      <w:r w:rsidR="00CB39E1" w:rsidRPr="00C15E08">
        <w:rPr>
          <w:rFonts w:ascii="Verdana" w:hAnsi="Verdana"/>
          <w:sz w:val="20"/>
          <w:szCs w:val="20"/>
          <w:lang w:val="es-ES"/>
        </w:rPr>
        <w:t xml:space="preserve">Kaliña y Lokono </w:t>
      </w:r>
      <w:r w:rsidRPr="00C15E08">
        <w:rPr>
          <w:rFonts w:ascii="Verdana" w:hAnsi="Verdana"/>
          <w:sz w:val="20"/>
          <w:szCs w:val="20"/>
        </w:rPr>
        <w:t xml:space="preserve">desconocían que la reserva había sido constituida, </w:t>
      </w:r>
      <w:r w:rsidRPr="00F16345">
        <w:rPr>
          <w:rFonts w:ascii="Verdana" w:hAnsi="Verdana"/>
          <w:sz w:val="20"/>
        </w:rPr>
        <w:t>hasta que en 1997 se percataron de la realización de actividades de extracción minera en la zona</w:t>
      </w:r>
      <w:r w:rsidRPr="00C15E08">
        <w:rPr>
          <w:rStyle w:val="FootnoteReference"/>
        </w:rPr>
        <w:footnoteReference w:id="112"/>
      </w:r>
      <w:r w:rsidRPr="00C15E08">
        <w:rPr>
          <w:rFonts w:ascii="Verdana" w:hAnsi="Verdana"/>
          <w:sz w:val="20"/>
        </w:rPr>
        <w:t>.</w:t>
      </w:r>
      <w:r w:rsidR="00C15E08">
        <w:rPr>
          <w:rFonts w:ascii="Verdana" w:hAnsi="Verdana"/>
          <w:sz w:val="20"/>
        </w:rPr>
        <w:t xml:space="preserve"> </w:t>
      </w:r>
      <w:r w:rsidRPr="00842770">
        <w:rPr>
          <w:rFonts w:ascii="Verdana" w:hAnsi="Verdana"/>
          <w:sz w:val="20"/>
        </w:rPr>
        <w:t xml:space="preserve">Por otra parte, en cuanto a las actuaciones previas realizadas por KANO, </w:t>
      </w:r>
      <w:r w:rsidR="00C15E08" w:rsidRPr="00190AD3">
        <w:rPr>
          <w:rFonts w:ascii="Verdana" w:hAnsi="Verdana"/>
          <w:sz w:val="20"/>
        </w:rPr>
        <w:t xml:space="preserve">los </w:t>
      </w:r>
      <w:r w:rsidR="008D0CA5" w:rsidRPr="00190AD3">
        <w:rPr>
          <w:rFonts w:ascii="Verdana" w:hAnsi="Verdana"/>
          <w:sz w:val="20"/>
        </w:rPr>
        <w:t>representantes de los Pueblos Kaliña y Lokono han señalado</w:t>
      </w:r>
      <w:r w:rsidRPr="00842770">
        <w:rPr>
          <w:rFonts w:ascii="Verdana" w:hAnsi="Verdana"/>
          <w:sz w:val="20"/>
        </w:rPr>
        <w:t xml:space="preserve"> que la organización KANO no les consultó ni los representó en ningún momento</w:t>
      </w:r>
      <w:r w:rsidRPr="00842770">
        <w:rPr>
          <w:rStyle w:val="FootnoteReference"/>
        </w:rPr>
        <w:footnoteReference w:id="113"/>
      </w:r>
      <w:r w:rsidRPr="00842770">
        <w:rPr>
          <w:rFonts w:ascii="Verdana" w:hAnsi="Verdana"/>
          <w:sz w:val="20"/>
        </w:rPr>
        <w:t>.</w:t>
      </w:r>
    </w:p>
    <w:p w14:paraId="61680887" w14:textId="77777777" w:rsidR="00926E61" w:rsidRPr="008C0FDC" w:rsidRDefault="00926E61" w:rsidP="003D2C97">
      <w:pPr>
        <w:pStyle w:val="FootnoteText"/>
      </w:pPr>
    </w:p>
    <w:p w14:paraId="6F1C1D79" w14:textId="77777777" w:rsidR="00926E61" w:rsidRPr="009A23B9" w:rsidRDefault="00926E61" w:rsidP="007624EC">
      <w:pPr>
        <w:pStyle w:val="Heading4"/>
        <w:spacing w:before="0"/>
        <w:ind w:left="720" w:firstLine="720"/>
        <w:rPr>
          <w:rFonts w:ascii="Verdana" w:hAnsi="Verdana"/>
          <w:color w:val="auto"/>
          <w:sz w:val="20"/>
          <w:szCs w:val="20"/>
        </w:rPr>
      </w:pPr>
      <w:bookmarkStart w:id="27" w:name="_Toc441666168"/>
      <w:r w:rsidRPr="009A23B9">
        <w:rPr>
          <w:rFonts w:ascii="Verdana" w:hAnsi="Verdana"/>
          <w:color w:val="auto"/>
          <w:sz w:val="20"/>
          <w:szCs w:val="20"/>
        </w:rPr>
        <w:t>E.2.2 Actividades de minería de bauxita</w:t>
      </w:r>
      <w:r w:rsidR="00995539">
        <w:rPr>
          <w:rStyle w:val="FootnoteReference"/>
          <w:color w:val="auto"/>
          <w:szCs w:val="20"/>
        </w:rPr>
        <w:footnoteReference w:id="114"/>
      </w:r>
      <w:bookmarkEnd w:id="27"/>
    </w:p>
    <w:p w14:paraId="24A3A385" w14:textId="77777777" w:rsidR="00926E61" w:rsidRPr="009A23B9" w:rsidRDefault="00926E61" w:rsidP="003D2C97">
      <w:pPr>
        <w:pStyle w:val="FootnoteText"/>
      </w:pPr>
    </w:p>
    <w:p w14:paraId="7D811602" w14:textId="77777777" w:rsidR="00800840" w:rsidRPr="004B0145" w:rsidRDefault="00CD3C46" w:rsidP="00CF360B">
      <w:pPr>
        <w:pStyle w:val="ListParagraph"/>
        <w:numPr>
          <w:ilvl w:val="0"/>
          <w:numId w:val="2"/>
        </w:numPr>
        <w:ind w:left="0" w:hanging="11"/>
        <w:jc w:val="both"/>
      </w:pPr>
      <w:r w:rsidRPr="00190AD3">
        <w:rPr>
          <w:rFonts w:ascii="Verdana" w:hAnsi="Verdana"/>
          <w:sz w:val="20"/>
        </w:rPr>
        <w:t>El 28 de</w:t>
      </w:r>
      <w:r>
        <w:rPr>
          <w:rFonts w:ascii="Verdana" w:hAnsi="Verdana"/>
          <w:sz w:val="20"/>
          <w:szCs w:val="20"/>
        </w:rPr>
        <w:t xml:space="preserve"> </w:t>
      </w:r>
      <w:r w:rsidRPr="009A23B9">
        <w:rPr>
          <w:rFonts w:ascii="Verdana" w:hAnsi="Verdana"/>
          <w:sz w:val="20"/>
          <w:szCs w:val="20"/>
        </w:rPr>
        <w:t xml:space="preserve">enero de 1958, </w:t>
      </w:r>
      <w:r w:rsidR="00F16345">
        <w:rPr>
          <w:rFonts w:ascii="Verdana" w:hAnsi="Verdana"/>
          <w:sz w:val="20"/>
          <w:szCs w:val="20"/>
        </w:rPr>
        <w:t>antes de la independencia de Surinam de los Países Bajos</w:t>
      </w:r>
      <w:r w:rsidRPr="009A23B9">
        <w:rPr>
          <w:rFonts w:ascii="Verdana" w:hAnsi="Verdana"/>
          <w:sz w:val="20"/>
          <w:szCs w:val="20"/>
        </w:rPr>
        <w:t>, el Estado otorgó</w:t>
      </w:r>
      <w:r w:rsidR="00F16345">
        <w:rPr>
          <w:rFonts w:ascii="Verdana" w:hAnsi="Verdana"/>
          <w:sz w:val="20"/>
          <w:szCs w:val="20"/>
        </w:rPr>
        <w:t xml:space="preserve"> </w:t>
      </w:r>
      <w:r w:rsidRPr="009A23B9">
        <w:rPr>
          <w:rFonts w:ascii="Verdana" w:hAnsi="Verdana"/>
          <w:sz w:val="20"/>
          <w:szCs w:val="20"/>
        </w:rPr>
        <w:t>una concesión a una compañía denominada “</w:t>
      </w:r>
      <w:r>
        <w:rPr>
          <w:rFonts w:ascii="Verdana" w:hAnsi="Verdana"/>
          <w:sz w:val="20"/>
          <w:szCs w:val="20"/>
        </w:rPr>
        <w:t>Suralco</w:t>
      </w:r>
      <w:r w:rsidRPr="009A23B9">
        <w:rPr>
          <w:rFonts w:ascii="Verdana" w:hAnsi="Verdana"/>
          <w:sz w:val="20"/>
          <w:szCs w:val="20"/>
        </w:rPr>
        <w:t>”, quien fuera una subsidiaria de la compañía denominada “</w:t>
      </w:r>
      <w:r w:rsidR="008A4ABB" w:rsidRPr="007E20F9">
        <w:rPr>
          <w:rFonts w:ascii="Verdana" w:hAnsi="Verdana"/>
          <w:i/>
          <w:sz w:val="20"/>
          <w:szCs w:val="20"/>
        </w:rPr>
        <w:t>Aluminum Company of Am</w:t>
      </w:r>
      <w:r w:rsidR="00B926CC">
        <w:rPr>
          <w:rFonts w:ascii="Verdana" w:hAnsi="Verdana"/>
          <w:i/>
          <w:sz w:val="20"/>
          <w:szCs w:val="20"/>
        </w:rPr>
        <w:t>e</w:t>
      </w:r>
      <w:r w:rsidR="008A4ABB" w:rsidRPr="007E20F9">
        <w:rPr>
          <w:rFonts w:ascii="Verdana" w:hAnsi="Verdana"/>
          <w:i/>
          <w:sz w:val="20"/>
          <w:szCs w:val="20"/>
        </w:rPr>
        <w:t>rica</w:t>
      </w:r>
      <w:r w:rsidRPr="009A23B9">
        <w:rPr>
          <w:rFonts w:ascii="Verdana" w:hAnsi="Verdana"/>
          <w:sz w:val="20"/>
          <w:szCs w:val="20"/>
        </w:rPr>
        <w:t xml:space="preserve">” (ALCOA), para que realizaran actividades de extracción de bauxita en la región este de </w:t>
      </w:r>
      <w:r>
        <w:rPr>
          <w:rFonts w:ascii="Verdana" w:hAnsi="Verdana"/>
          <w:sz w:val="20"/>
          <w:szCs w:val="20"/>
        </w:rPr>
        <w:t>Surinam</w:t>
      </w:r>
      <w:r w:rsidRPr="009A23B9">
        <w:rPr>
          <w:rFonts w:ascii="Verdana" w:hAnsi="Verdana"/>
          <w:sz w:val="20"/>
          <w:szCs w:val="20"/>
        </w:rPr>
        <w:t>, dentro del cual se incluía el territorio de Wane Kreek</w:t>
      </w:r>
      <w:r w:rsidRPr="00941640">
        <w:rPr>
          <w:rStyle w:val="FootnoteReference"/>
          <w:szCs w:val="20"/>
        </w:rPr>
        <w:footnoteReference w:id="115"/>
      </w:r>
      <w:r w:rsidRPr="00941640">
        <w:rPr>
          <w:rFonts w:ascii="Verdana" w:hAnsi="Verdana"/>
          <w:sz w:val="20"/>
          <w:szCs w:val="20"/>
        </w:rPr>
        <w:t xml:space="preserve">. </w:t>
      </w:r>
      <w:r w:rsidRPr="00D53828">
        <w:rPr>
          <w:rFonts w:ascii="Verdana" w:hAnsi="Verdana"/>
          <w:sz w:val="20"/>
        </w:rPr>
        <w:t xml:space="preserve">La concesión fue </w:t>
      </w:r>
      <w:r w:rsidR="00EE4500">
        <w:rPr>
          <w:rFonts w:ascii="Verdana" w:hAnsi="Verdana"/>
          <w:sz w:val="20"/>
        </w:rPr>
        <w:t>otorgada</w:t>
      </w:r>
      <w:r w:rsidR="00EE4500" w:rsidRPr="00D53828">
        <w:rPr>
          <w:rFonts w:ascii="Verdana" w:hAnsi="Verdana"/>
          <w:sz w:val="20"/>
        </w:rPr>
        <w:t xml:space="preserve"> </w:t>
      </w:r>
      <w:r w:rsidRPr="00D53828">
        <w:rPr>
          <w:rFonts w:ascii="Verdana" w:hAnsi="Verdana"/>
          <w:sz w:val="20"/>
        </w:rPr>
        <w:t xml:space="preserve">por un período de 75 años, </w:t>
      </w:r>
      <w:r w:rsidRPr="00D53828">
        <w:rPr>
          <w:rFonts w:ascii="Verdana" w:hAnsi="Verdana"/>
          <w:sz w:val="20"/>
        </w:rPr>
        <w:lastRenderedPageBreak/>
        <w:t>en virtud de lo cual vencería en 2033</w:t>
      </w:r>
      <w:r w:rsidRPr="00190AD3">
        <w:rPr>
          <w:rStyle w:val="FootnoteReference"/>
        </w:rPr>
        <w:footnoteReference w:id="116"/>
      </w:r>
      <w:r w:rsidRPr="00941640">
        <w:rPr>
          <w:rFonts w:ascii="Verdana" w:hAnsi="Verdana"/>
          <w:sz w:val="20"/>
        </w:rPr>
        <w:t>.</w:t>
      </w:r>
      <w:r w:rsidRPr="00941640">
        <w:rPr>
          <w:rFonts w:ascii="Verdana" w:hAnsi="Verdana"/>
          <w:sz w:val="20"/>
          <w:szCs w:val="20"/>
        </w:rPr>
        <w:t xml:space="preserve"> </w:t>
      </w:r>
      <w:r w:rsidRPr="00880EAE">
        <w:rPr>
          <w:rFonts w:ascii="Verdana" w:hAnsi="Verdana"/>
          <w:sz w:val="20"/>
        </w:rPr>
        <w:t>En</w:t>
      </w:r>
      <w:r w:rsidRPr="00C03B17">
        <w:rPr>
          <w:rFonts w:ascii="Verdana" w:hAnsi="Verdana"/>
          <w:b/>
          <w:sz w:val="20"/>
        </w:rPr>
        <w:t xml:space="preserve"> </w:t>
      </w:r>
      <w:r w:rsidRPr="009A23B9">
        <w:rPr>
          <w:rFonts w:ascii="Verdana" w:hAnsi="Verdana"/>
          <w:sz w:val="20"/>
          <w:szCs w:val="20"/>
        </w:rPr>
        <w:t xml:space="preserve">1997 la compañía </w:t>
      </w:r>
      <w:r>
        <w:rPr>
          <w:rFonts w:ascii="Verdana" w:hAnsi="Verdana"/>
          <w:sz w:val="20"/>
          <w:szCs w:val="20"/>
        </w:rPr>
        <w:t>Suralco</w:t>
      </w:r>
      <w:r w:rsidRPr="009A23B9">
        <w:rPr>
          <w:rFonts w:ascii="Verdana" w:hAnsi="Verdana"/>
          <w:sz w:val="20"/>
          <w:szCs w:val="20"/>
        </w:rPr>
        <w:t xml:space="preserve"> comenzó las actividades de extracción de depósitos de bauxita en Wane Hills</w:t>
      </w:r>
      <w:r w:rsidRPr="009A23B9">
        <w:rPr>
          <w:rStyle w:val="FootnoteReference"/>
          <w:szCs w:val="20"/>
        </w:rPr>
        <w:footnoteReference w:id="117"/>
      </w:r>
      <w:r w:rsidRPr="009A23B9">
        <w:rPr>
          <w:rFonts w:ascii="Verdana" w:hAnsi="Verdana"/>
          <w:sz w:val="20"/>
          <w:szCs w:val="20"/>
        </w:rPr>
        <w:t xml:space="preserve">. En 2003, la </w:t>
      </w:r>
      <w:r w:rsidRPr="009A23B9">
        <w:rPr>
          <w:rFonts w:ascii="Verdana" w:hAnsi="Verdana"/>
          <w:i/>
          <w:sz w:val="20"/>
          <w:szCs w:val="20"/>
        </w:rPr>
        <w:t>joint-venture</w:t>
      </w:r>
      <w:r w:rsidRPr="009A23B9">
        <w:rPr>
          <w:rFonts w:ascii="Verdana" w:hAnsi="Verdana"/>
          <w:sz w:val="20"/>
          <w:szCs w:val="20"/>
        </w:rPr>
        <w:t xml:space="preserve"> denominada BHP Billiton-Suralco se hizo cargo de la explotación minera en Wane Kreek</w:t>
      </w:r>
      <w:r w:rsidRPr="009A23B9">
        <w:rPr>
          <w:rStyle w:val="FootnoteReference"/>
          <w:szCs w:val="20"/>
        </w:rPr>
        <w:footnoteReference w:id="118"/>
      </w:r>
      <w:r w:rsidRPr="009A23B9">
        <w:rPr>
          <w:rFonts w:ascii="Verdana" w:hAnsi="Verdana"/>
          <w:sz w:val="20"/>
          <w:szCs w:val="20"/>
        </w:rPr>
        <w:t>.</w:t>
      </w:r>
    </w:p>
    <w:p w14:paraId="34C4E2D5" w14:textId="5C3641C9" w:rsidR="00926E61" w:rsidRPr="00CC091B" w:rsidRDefault="00926E61" w:rsidP="004B0145">
      <w:pPr>
        <w:pStyle w:val="ListParagraph"/>
        <w:ind w:left="0"/>
        <w:jc w:val="both"/>
      </w:pPr>
      <w:r w:rsidRPr="009A23B9">
        <w:rPr>
          <w:rFonts w:ascii="Verdana" w:hAnsi="Verdana"/>
          <w:sz w:val="20"/>
          <w:szCs w:val="20"/>
        </w:rPr>
        <w:t xml:space="preserve"> </w:t>
      </w:r>
    </w:p>
    <w:p w14:paraId="07C1109D" w14:textId="77777777" w:rsidR="00926E61" w:rsidRDefault="00926E61" w:rsidP="00B935FA">
      <w:pPr>
        <w:pStyle w:val="ListParagraph"/>
        <w:numPr>
          <w:ilvl w:val="0"/>
          <w:numId w:val="2"/>
        </w:numPr>
        <w:ind w:left="0" w:hanging="11"/>
        <w:jc w:val="both"/>
        <w:rPr>
          <w:rFonts w:ascii="Verdana" w:hAnsi="Verdana"/>
          <w:sz w:val="20"/>
          <w:szCs w:val="20"/>
        </w:rPr>
      </w:pPr>
      <w:r w:rsidRPr="009A23B9">
        <w:rPr>
          <w:rFonts w:ascii="Verdana" w:hAnsi="Verdana"/>
          <w:sz w:val="20"/>
          <w:szCs w:val="20"/>
        </w:rPr>
        <w:t>Dentro de los trabajos preparatorios realizados a mediados de la década de los noventa, se construyó una amplia carretera para acceder a la mina y transportar la bauxita. Además, la carretera era utilizada para actividades relacionadas con extracción maderera (</w:t>
      </w:r>
      <w:r w:rsidR="007829DF" w:rsidRPr="007829DF">
        <w:rPr>
          <w:rFonts w:ascii="Verdana" w:hAnsi="Verdana"/>
          <w:i/>
          <w:sz w:val="20"/>
          <w:szCs w:val="20"/>
        </w:rPr>
        <w:t>infra</w:t>
      </w:r>
      <w:r w:rsidRPr="009A23B9">
        <w:rPr>
          <w:rFonts w:ascii="Verdana" w:hAnsi="Verdana"/>
          <w:sz w:val="20"/>
          <w:szCs w:val="20"/>
        </w:rPr>
        <w:t xml:space="preserve"> párr. </w:t>
      </w:r>
      <w:r w:rsidR="00EE4500">
        <w:rPr>
          <w:rFonts w:ascii="Verdana" w:hAnsi="Verdana"/>
          <w:sz w:val="20"/>
          <w:szCs w:val="20"/>
        </w:rPr>
        <w:t>94</w:t>
      </w:r>
      <w:r w:rsidRPr="009A23B9">
        <w:rPr>
          <w:rFonts w:ascii="Verdana" w:hAnsi="Verdana"/>
          <w:sz w:val="20"/>
          <w:szCs w:val="20"/>
        </w:rPr>
        <w:t>), y se prohibía su utilización para ingresar al área de concesión con fines de caza y pesca por parte de los indígenas de la zona</w:t>
      </w:r>
      <w:r w:rsidRPr="009A23B9">
        <w:rPr>
          <w:rStyle w:val="FootnoteReference"/>
          <w:szCs w:val="20"/>
        </w:rPr>
        <w:footnoteReference w:id="119"/>
      </w:r>
      <w:r w:rsidRPr="009A23B9">
        <w:rPr>
          <w:rFonts w:ascii="Verdana" w:hAnsi="Verdana"/>
          <w:sz w:val="20"/>
          <w:szCs w:val="20"/>
        </w:rPr>
        <w:t>.</w:t>
      </w:r>
    </w:p>
    <w:p w14:paraId="354145D0" w14:textId="77777777" w:rsidR="00800840" w:rsidRPr="009A23B9" w:rsidRDefault="00800840" w:rsidP="004B0145">
      <w:pPr>
        <w:pStyle w:val="ListParagraph"/>
        <w:ind w:left="0"/>
        <w:jc w:val="both"/>
        <w:rPr>
          <w:rFonts w:ascii="Verdana" w:hAnsi="Verdana"/>
          <w:sz w:val="20"/>
          <w:szCs w:val="20"/>
        </w:rPr>
      </w:pPr>
    </w:p>
    <w:p w14:paraId="6753C340" w14:textId="5A212A4F" w:rsidR="00926E61" w:rsidRPr="009A23B9" w:rsidRDefault="00EE4500" w:rsidP="00B935FA">
      <w:pPr>
        <w:pStyle w:val="ListParagraph"/>
        <w:numPr>
          <w:ilvl w:val="0"/>
          <w:numId w:val="2"/>
        </w:numPr>
        <w:ind w:left="0" w:hanging="11"/>
        <w:jc w:val="both"/>
        <w:rPr>
          <w:rFonts w:ascii="Verdana" w:hAnsi="Verdana"/>
          <w:sz w:val="20"/>
          <w:szCs w:val="20"/>
          <w:lang w:val="es-CR"/>
        </w:rPr>
      </w:pPr>
      <w:r w:rsidRPr="009A23B9">
        <w:rPr>
          <w:rFonts w:ascii="Verdana" w:hAnsi="Verdana"/>
          <w:sz w:val="20"/>
          <w:szCs w:val="20"/>
          <w:lang w:val="es-CR"/>
        </w:rPr>
        <w:t>Típicamente, la bauxita se encuentra cercana a la superficie del suelo, por lo que para su extracción se requiere la realización de minería a cielo abierto en grandes extensiones de terreno</w:t>
      </w:r>
      <w:r w:rsidRPr="009A23B9">
        <w:rPr>
          <w:rStyle w:val="FootnoteReference"/>
          <w:szCs w:val="20"/>
          <w:lang w:val="es-CR"/>
        </w:rPr>
        <w:footnoteReference w:id="120"/>
      </w:r>
      <w:r w:rsidRPr="009A23B9">
        <w:rPr>
          <w:rFonts w:ascii="Verdana" w:hAnsi="Verdana"/>
          <w:sz w:val="20"/>
          <w:szCs w:val="20"/>
          <w:lang w:val="es-CR"/>
        </w:rPr>
        <w:t xml:space="preserve">. </w:t>
      </w:r>
      <w:r w:rsidR="00926E61" w:rsidRPr="009A23B9">
        <w:rPr>
          <w:rFonts w:ascii="Verdana" w:hAnsi="Verdana"/>
          <w:sz w:val="20"/>
          <w:szCs w:val="20"/>
        </w:rPr>
        <w:t xml:space="preserve">El proyecto de explotación minera se encontraba dividido en varias secciones, cuatro de las cuales se ubicaban dentro de la Reserva Wane Kreek. La extracción de la bauxita se realizó en las secciones Wane 1 y Wane 2 en un espacio de </w:t>
      </w:r>
      <w:r w:rsidR="00F16345">
        <w:rPr>
          <w:rFonts w:ascii="Verdana" w:hAnsi="Verdana"/>
          <w:sz w:val="20"/>
          <w:szCs w:val="20"/>
        </w:rPr>
        <w:t xml:space="preserve">entre </w:t>
      </w:r>
      <w:r w:rsidR="00926E61" w:rsidRPr="009A23B9">
        <w:rPr>
          <w:rFonts w:ascii="Verdana" w:hAnsi="Verdana"/>
          <w:sz w:val="20"/>
          <w:szCs w:val="20"/>
        </w:rPr>
        <w:t xml:space="preserve">100 </w:t>
      </w:r>
      <w:r>
        <w:rPr>
          <w:rFonts w:ascii="Verdana" w:hAnsi="Verdana"/>
          <w:sz w:val="20"/>
          <w:szCs w:val="20"/>
        </w:rPr>
        <w:t xml:space="preserve">y </w:t>
      </w:r>
      <w:r w:rsidR="00F16345">
        <w:rPr>
          <w:rFonts w:ascii="Verdana" w:hAnsi="Verdana"/>
          <w:sz w:val="20"/>
          <w:szCs w:val="20"/>
        </w:rPr>
        <w:t xml:space="preserve">144 </w:t>
      </w:r>
      <w:r w:rsidR="00926E61" w:rsidRPr="009A23B9">
        <w:rPr>
          <w:rFonts w:ascii="Verdana" w:hAnsi="Verdana"/>
          <w:sz w:val="20"/>
          <w:szCs w:val="20"/>
        </w:rPr>
        <w:t>h</w:t>
      </w:r>
      <w:r w:rsidR="001A4213">
        <w:rPr>
          <w:rFonts w:ascii="Verdana" w:hAnsi="Verdana"/>
          <w:sz w:val="20"/>
          <w:szCs w:val="20"/>
        </w:rPr>
        <w:t>a</w:t>
      </w:r>
      <w:r w:rsidR="00926E61" w:rsidRPr="009A23B9">
        <w:rPr>
          <w:rFonts w:ascii="Verdana" w:hAnsi="Verdana"/>
          <w:sz w:val="20"/>
          <w:szCs w:val="20"/>
        </w:rPr>
        <w:t xml:space="preserve">, mientras que las secciones </w:t>
      </w:r>
      <w:r w:rsidR="00926E61" w:rsidRPr="006A16CF">
        <w:rPr>
          <w:rFonts w:ascii="Verdana" w:hAnsi="Verdana"/>
          <w:sz w:val="20"/>
          <w:szCs w:val="20"/>
        </w:rPr>
        <w:t>Wane 3 y Wane 4 no fueron explotadas</w:t>
      </w:r>
      <w:r w:rsidR="00926E61" w:rsidRPr="009A23B9">
        <w:rPr>
          <w:rStyle w:val="FootnoteReference"/>
          <w:szCs w:val="20"/>
        </w:rPr>
        <w:footnoteReference w:id="121"/>
      </w:r>
      <w:r w:rsidR="00926E61" w:rsidRPr="009A23B9">
        <w:rPr>
          <w:rFonts w:ascii="Verdana" w:hAnsi="Verdana"/>
          <w:sz w:val="20"/>
          <w:szCs w:val="20"/>
        </w:rPr>
        <w:t>. Sin embargo, se aclara que en la sección Wane 4 si se realizaron actividades de exploración, lo cual a su vez generó un importante impacto ambiental a la zona</w:t>
      </w:r>
      <w:r w:rsidR="00926E61" w:rsidRPr="009A23B9">
        <w:rPr>
          <w:rStyle w:val="FootnoteReference"/>
          <w:szCs w:val="20"/>
        </w:rPr>
        <w:footnoteReference w:id="122"/>
      </w:r>
      <w:r w:rsidR="00926E61" w:rsidRPr="009A23B9">
        <w:rPr>
          <w:rFonts w:ascii="Verdana" w:hAnsi="Verdana"/>
          <w:sz w:val="20"/>
          <w:szCs w:val="20"/>
        </w:rPr>
        <w:t xml:space="preserve">. </w:t>
      </w:r>
    </w:p>
    <w:p w14:paraId="13764D99" w14:textId="77777777" w:rsidR="00521447" w:rsidRPr="009A23B9" w:rsidRDefault="00521447" w:rsidP="003D2C97">
      <w:pPr>
        <w:pStyle w:val="FootnoteText"/>
      </w:pPr>
    </w:p>
    <w:p w14:paraId="3C8BB28F" w14:textId="295C66CB" w:rsidR="00926E61" w:rsidRPr="002E2E48" w:rsidRDefault="00DB2BB3" w:rsidP="00B935FA">
      <w:pPr>
        <w:pStyle w:val="ListParagraph"/>
        <w:numPr>
          <w:ilvl w:val="0"/>
          <w:numId w:val="2"/>
        </w:numPr>
        <w:ind w:left="0" w:hanging="11"/>
        <w:jc w:val="both"/>
        <w:rPr>
          <w:rFonts w:ascii="Verdana" w:hAnsi="Verdana"/>
          <w:sz w:val="20"/>
          <w:szCs w:val="20"/>
        </w:rPr>
      </w:pPr>
      <w:r>
        <w:rPr>
          <w:rFonts w:ascii="Verdana" w:hAnsi="Verdana"/>
          <w:sz w:val="20"/>
          <w:szCs w:val="20"/>
        </w:rPr>
        <w:t>E</w:t>
      </w:r>
      <w:r w:rsidR="00926E61" w:rsidRPr="009A23B9">
        <w:rPr>
          <w:rFonts w:ascii="Verdana" w:hAnsi="Verdana"/>
          <w:sz w:val="20"/>
          <w:szCs w:val="20"/>
        </w:rPr>
        <w:t xml:space="preserve">l primer estudio de </w:t>
      </w:r>
      <w:r w:rsidR="00EE4500">
        <w:rPr>
          <w:rFonts w:ascii="Verdana" w:hAnsi="Verdana"/>
          <w:sz w:val="20"/>
          <w:szCs w:val="20"/>
        </w:rPr>
        <w:t>impacto</w:t>
      </w:r>
      <w:r w:rsidR="00EE4500" w:rsidRPr="009A23B9">
        <w:rPr>
          <w:rFonts w:ascii="Verdana" w:hAnsi="Verdana"/>
          <w:sz w:val="20"/>
          <w:szCs w:val="20"/>
        </w:rPr>
        <w:t xml:space="preserve"> </w:t>
      </w:r>
      <w:r w:rsidR="00926E61" w:rsidRPr="009A23B9">
        <w:rPr>
          <w:rFonts w:ascii="Verdana" w:hAnsi="Verdana"/>
          <w:sz w:val="20"/>
          <w:szCs w:val="20"/>
        </w:rPr>
        <w:t xml:space="preserve">ambiental </w:t>
      </w:r>
      <w:r w:rsidR="00E1097F" w:rsidRPr="00E1097F">
        <w:rPr>
          <w:rFonts w:ascii="Verdana" w:hAnsi="Verdana"/>
          <w:sz w:val="20"/>
          <w:szCs w:val="20"/>
        </w:rPr>
        <w:t>(</w:t>
      </w:r>
      <w:r w:rsidR="008A4ABB" w:rsidRPr="007E20F9">
        <w:rPr>
          <w:rFonts w:ascii="Verdana" w:hAnsi="Verdana"/>
          <w:sz w:val="20"/>
          <w:szCs w:val="20"/>
        </w:rPr>
        <w:t xml:space="preserve">Environmental Sensitivity Analysis of Wane 4 Concession) </w:t>
      </w:r>
      <w:r w:rsidR="00926E61" w:rsidRPr="009A23B9">
        <w:rPr>
          <w:rFonts w:ascii="Verdana" w:hAnsi="Verdana"/>
          <w:sz w:val="20"/>
          <w:szCs w:val="20"/>
        </w:rPr>
        <w:t>fue realizado</w:t>
      </w:r>
      <w:r w:rsidR="00926E61" w:rsidRPr="002C323A">
        <w:rPr>
          <w:rFonts w:ascii="Verdana" w:hAnsi="Verdana"/>
          <w:sz w:val="20"/>
          <w:szCs w:val="20"/>
        </w:rPr>
        <w:t xml:space="preserve"> </w:t>
      </w:r>
      <w:r w:rsidRPr="00190AD3">
        <w:rPr>
          <w:rFonts w:ascii="Verdana" w:hAnsi="Verdana"/>
          <w:sz w:val="20"/>
        </w:rPr>
        <w:t>en</w:t>
      </w:r>
      <w:r w:rsidR="00926E61" w:rsidRPr="009A23B9">
        <w:rPr>
          <w:rFonts w:ascii="Verdana" w:hAnsi="Verdana"/>
          <w:sz w:val="20"/>
          <w:szCs w:val="20"/>
        </w:rPr>
        <w:t xml:space="preserve"> 2005 por una consultora privada contratada por la empresa BHP Billiton, con la intención de iniciar actividades de extracción en la sección Wane 4</w:t>
      </w:r>
      <w:r w:rsidR="00926E61" w:rsidRPr="009A23B9">
        <w:rPr>
          <w:rStyle w:val="FootnoteReference"/>
          <w:szCs w:val="20"/>
        </w:rPr>
        <w:footnoteReference w:id="123"/>
      </w:r>
      <w:r w:rsidR="00926E61" w:rsidRPr="009A23B9">
        <w:rPr>
          <w:rFonts w:ascii="Verdana" w:hAnsi="Verdana"/>
          <w:sz w:val="20"/>
          <w:szCs w:val="20"/>
        </w:rPr>
        <w:t xml:space="preserve">. Dicho estudio determinó que las secciones Wane 1 y Wane 2 habían sufrido un daño ambiental considerable como consecuencia de la minería a cielo abierto de bauxita. Asimismo, entre otros, el estudio recomendó lo siguiente: i) </w:t>
      </w:r>
      <w:r w:rsidR="006A4B2D">
        <w:rPr>
          <w:rFonts w:ascii="Verdana" w:hAnsi="Verdana"/>
          <w:sz w:val="20"/>
          <w:szCs w:val="20"/>
        </w:rPr>
        <w:t xml:space="preserve">comprometerse a no minar Wane 3 y 4 y evitar mayores disturbios en esas áreas; ii) rehabilitar el daño ocasionado en Wane 4 producto de las actividades de exploración; iii) concluir las actividades de explotación </w:t>
      </w:r>
      <w:r w:rsidR="006A4B2D" w:rsidRPr="001A4213">
        <w:rPr>
          <w:rFonts w:ascii="Verdana" w:hAnsi="Verdana"/>
          <w:sz w:val="20"/>
          <w:szCs w:val="20"/>
        </w:rPr>
        <w:t xml:space="preserve">minera en Wane 1 y 2 </w:t>
      </w:r>
      <w:r w:rsidR="006A4B2D" w:rsidRPr="001A4213">
        <w:rPr>
          <w:rFonts w:ascii="Verdana" w:hAnsi="Verdana"/>
          <w:sz w:val="20"/>
          <w:szCs w:val="20"/>
        </w:rPr>
        <w:lastRenderedPageBreak/>
        <w:t xml:space="preserve">tan pronto sea posible, y iv) rehabilitar el daño ocasionado en Wane 1 y </w:t>
      </w:r>
      <w:r w:rsidR="003B50B0" w:rsidRPr="007F4E4C">
        <w:rPr>
          <w:rFonts w:ascii="Verdana" w:hAnsi="Verdana"/>
          <w:sz w:val="20"/>
          <w:szCs w:val="20"/>
        </w:rPr>
        <w:t>2</w:t>
      </w:r>
      <w:r w:rsidR="006A4B2D" w:rsidRPr="002E2E48">
        <w:rPr>
          <w:rFonts w:ascii="Verdana" w:hAnsi="Verdana"/>
          <w:sz w:val="20"/>
          <w:szCs w:val="20"/>
        </w:rPr>
        <w:t xml:space="preserve"> producto de las actividades de explotación</w:t>
      </w:r>
      <w:r w:rsidR="00926E61" w:rsidRPr="001A4213">
        <w:rPr>
          <w:rStyle w:val="FootnoteReference"/>
          <w:szCs w:val="20"/>
        </w:rPr>
        <w:footnoteReference w:id="124"/>
      </w:r>
      <w:r w:rsidR="00926E61" w:rsidRPr="001A4213">
        <w:rPr>
          <w:rFonts w:ascii="Verdana" w:hAnsi="Verdana"/>
          <w:sz w:val="20"/>
          <w:szCs w:val="20"/>
        </w:rPr>
        <w:t xml:space="preserve">. </w:t>
      </w:r>
    </w:p>
    <w:p w14:paraId="564DF8D5" w14:textId="77777777" w:rsidR="00926E61" w:rsidRPr="009A23B9" w:rsidRDefault="00926E61" w:rsidP="003D2C97">
      <w:pPr>
        <w:pStyle w:val="FootnoteText"/>
      </w:pPr>
    </w:p>
    <w:p w14:paraId="084FD7E7" w14:textId="77777777" w:rsidR="00CD3C46" w:rsidRPr="00E24882" w:rsidRDefault="00CD3C46" w:rsidP="00CD3C46">
      <w:pPr>
        <w:pStyle w:val="ListParagraph"/>
        <w:numPr>
          <w:ilvl w:val="0"/>
          <w:numId w:val="2"/>
        </w:numPr>
        <w:ind w:left="0" w:hanging="11"/>
        <w:jc w:val="both"/>
        <w:rPr>
          <w:rFonts w:ascii="Verdana" w:hAnsi="Verdana"/>
          <w:sz w:val="20"/>
          <w:szCs w:val="20"/>
          <w:lang w:val="es-CR"/>
        </w:rPr>
      </w:pPr>
      <w:r w:rsidRPr="00E24882">
        <w:rPr>
          <w:rFonts w:ascii="Verdana" w:hAnsi="Verdana"/>
          <w:sz w:val="20"/>
          <w:szCs w:val="20"/>
        </w:rPr>
        <w:t xml:space="preserve">En cuanto a las afectaciones generadas por las actividades de minería en la Reserva, </w:t>
      </w:r>
      <w:r w:rsidRPr="00E24882">
        <w:rPr>
          <w:rFonts w:ascii="Verdana" w:hAnsi="Verdana"/>
          <w:sz w:val="20"/>
          <w:szCs w:val="20"/>
          <w:lang w:val="es-CR"/>
        </w:rPr>
        <w:t>las actividades de caza y pesca, que eran tradicionales en la zona, se han reducido considerablemente. En este sentido, el ruido y las vibraciones generadas por los camiones y las explosiones de dinamita; la contaminación de los suelos y arroyos, así como la tala de árboles frutales, ahuyentaron a los animales que cazaban y pescaban los indígenas para alimentar a los miembros de las comunidades de la zona</w:t>
      </w:r>
      <w:r w:rsidRPr="009A23B9">
        <w:rPr>
          <w:rStyle w:val="FootnoteReference"/>
          <w:szCs w:val="20"/>
          <w:lang w:val="es-CR"/>
        </w:rPr>
        <w:footnoteReference w:id="125"/>
      </w:r>
      <w:r w:rsidRPr="00E24882">
        <w:rPr>
          <w:rFonts w:ascii="Verdana" w:hAnsi="Verdana"/>
          <w:sz w:val="20"/>
          <w:szCs w:val="20"/>
          <w:lang w:val="es-CR"/>
        </w:rPr>
        <w:t>. Por otra parte, el acceso de los indígenas y cualquier persona no autorizada al área de la concesión minera se encontraba prohibido</w:t>
      </w:r>
      <w:r w:rsidRPr="009A23B9">
        <w:rPr>
          <w:rStyle w:val="FootnoteReference"/>
          <w:szCs w:val="20"/>
          <w:lang w:val="es-CR"/>
        </w:rPr>
        <w:footnoteReference w:id="126"/>
      </w:r>
      <w:r w:rsidRPr="00E24882">
        <w:rPr>
          <w:rFonts w:ascii="Verdana" w:hAnsi="Verdana"/>
          <w:sz w:val="20"/>
          <w:szCs w:val="20"/>
          <w:lang w:val="es-CR"/>
        </w:rPr>
        <w:t>.</w:t>
      </w:r>
    </w:p>
    <w:p w14:paraId="7A1A6832" w14:textId="77777777" w:rsidR="00CD3C46" w:rsidRPr="009A23B9" w:rsidRDefault="00CD3C46" w:rsidP="00CD3C46">
      <w:pPr>
        <w:pStyle w:val="ListParagraph"/>
        <w:ind w:left="0"/>
        <w:jc w:val="both"/>
        <w:rPr>
          <w:rFonts w:ascii="Verdana" w:hAnsi="Verdana"/>
          <w:sz w:val="20"/>
          <w:szCs w:val="20"/>
          <w:lang w:val="es-CR"/>
        </w:rPr>
      </w:pPr>
    </w:p>
    <w:p w14:paraId="621C379B" w14:textId="77777777" w:rsidR="00CD3C46" w:rsidRPr="00E24882" w:rsidRDefault="00CD3C46" w:rsidP="00CD3C46">
      <w:pPr>
        <w:pStyle w:val="ListParagraph"/>
        <w:numPr>
          <w:ilvl w:val="0"/>
          <w:numId w:val="2"/>
        </w:numPr>
        <w:ind w:left="0" w:hanging="11"/>
        <w:jc w:val="both"/>
        <w:rPr>
          <w:rFonts w:ascii="Verdana" w:hAnsi="Verdana"/>
          <w:sz w:val="20"/>
          <w:szCs w:val="20"/>
          <w:lang w:val="es-CR"/>
        </w:rPr>
      </w:pPr>
      <w:r w:rsidRPr="009A23B9">
        <w:rPr>
          <w:rFonts w:ascii="Verdana" w:hAnsi="Verdana"/>
          <w:sz w:val="20"/>
          <w:szCs w:val="20"/>
        </w:rPr>
        <w:t xml:space="preserve">Las actividades de extracción de bauxita en la Reserva Wane Kreek concluyeron en </w:t>
      </w:r>
      <w:r>
        <w:rPr>
          <w:rFonts w:ascii="Verdana" w:hAnsi="Verdana"/>
          <w:sz w:val="20"/>
          <w:szCs w:val="20"/>
        </w:rPr>
        <w:t>2009</w:t>
      </w:r>
      <w:r w:rsidRPr="009A23B9">
        <w:rPr>
          <w:rFonts w:ascii="Verdana" w:hAnsi="Verdana"/>
          <w:sz w:val="20"/>
          <w:szCs w:val="20"/>
        </w:rPr>
        <w:t>, y en la actualidad la zona se encuentra en una fase de rehabilitación forestal a cargo de las empresas que realizaron la explotación minera</w:t>
      </w:r>
      <w:r>
        <w:rPr>
          <w:rStyle w:val="FootnoteReference"/>
          <w:szCs w:val="20"/>
        </w:rPr>
        <w:footnoteReference w:id="127"/>
      </w:r>
      <w:r w:rsidRPr="009A23B9">
        <w:rPr>
          <w:rFonts w:ascii="Verdana" w:hAnsi="Verdana"/>
          <w:sz w:val="20"/>
          <w:szCs w:val="20"/>
        </w:rPr>
        <w:t xml:space="preserve">. </w:t>
      </w:r>
      <w:r>
        <w:rPr>
          <w:rFonts w:ascii="Verdana" w:hAnsi="Verdana"/>
          <w:sz w:val="20"/>
          <w:szCs w:val="20"/>
        </w:rPr>
        <w:t xml:space="preserve">Al respecto, </w:t>
      </w:r>
      <w:r w:rsidRPr="00F16345">
        <w:rPr>
          <w:rFonts w:ascii="Verdana" w:hAnsi="Verdana"/>
          <w:sz w:val="20"/>
          <w:szCs w:val="20"/>
        </w:rPr>
        <w:t>e</w:t>
      </w:r>
      <w:r w:rsidRPr="00190AD3">
        <w:rPr>
          <w:rFonts w:ascii="Verdana" w:hAnsi="Verdana"/>
          <w:sz w:val="20"/>
        </w:rPr>
        <w:t xml:space="preserve">l Bauxite Institute of Surinam </w:t>
      </w:r>
      <w:r w:rsidR="00154264" w:rsidRPr="00190AD3">
        <w:rPr>
          <w:rFonts w:ascii="Verdana" w:hAnsi="Verdana"/>
          <w:sz w:val="20"/>
        </w:rPr>
        <w:t xml:space="preserve">señaló </w:t>
      </w:r>
      <w:r w:rsidRPr="00190AD3">
        <w:rPr>
          <w:rFonts w:ascii="Verdana" w:hAnsi="Verdana"/>
          <w:sz w:val="20"/>
        </w:rPr>
        <w:t>que las secciones Wane 1 y Wane 2 se enc</w:t>
      </w:r>
      <w:r w:rsidR="00154264" w:rsidRPr="00190AD3">
        <w:rPr>
          <w:rFonts w:ascii="Verdana" w:hAnsi="Verdana"/>
          <w:sz w:val="20"/>
        </w:rPr>
        <w:t>ontrarían ya</w:t>
      </w:r>
      <w:r w:rsidRPr="00190AD3">
        <w:rPr>
          <w:rFonts w:ascii="Verdana" w:hAnsi="Verdana"/>
          <w:sz w:val="20"/>
        </w:rPr>
        <w:t xml:space="preserve"> rehabilitadas</w:t>
      </w:r>
      <w:r w:rsidRPr="00190AD3">
        <w:rPr>
          <w:rStyle w:val="FootnoteReference"/>
        </w:rPr>
        <w:footnoteReference w:id="128"/>
      </w:r>
      <w:r w:rsidRPr="00190AD3">
        <w:rPr>
          <w:rFonts w:ascii="Verdana" w:hAnsi="Verdana"/>
          <w:sz w:val="20"/>
        </w:rPr>
        <w:t>. Sin embargo</w:t>
      </w:r>
      <w:r w:rsidR="00F16345">
        <w:rPr>
          <w:rFonts w:ascii="Verdana" w:hAnsi="Verdana"/>
          <w:sz w:val="20"/>
          <w:szCs w:val="20"/>
        </w:rPr>
        <w:t>,</w:t>
      </w:r>
      <w:r>
        <w:rPr>
          <w:rFonts w:ascii="Verdana" w:hAnsi="Verdana"/>
          <w:sz w:val="20"/>
          <w:szCs w:val="20"/>
          <w:lang w:val="es-CR"/>
        </w:rPr>
        <w:t xml:space="preserve"> </w:t>
      </w:r>
      <w:r w:rsidRPr="00E24882">
        <w:rPr>
          <w:rFonts w:ascii="Verdana" w:hAnsi="Verdana"/>
          <w:sz w:val="20"/>
          <w:szCs w:val="20"/>
          <w:lang w:val="es-CR"/>
        </w:rPr>
        <w:t>los miembros de las comunidades indígenas de la zona se encuentran disconformes, particularmente, con la</w:t>
      </w:r>
      <w:r w:rsidR="00F81137">
        <w:rPr>
          <w:rFonts w:ascii="Verdana" w:hAnsi="Verdana"/>
          <w:sz w:val="20"/>
          <w:szCs w:val="20"/>
          <w:lang w:val="es-CR"/>
        </w:rPr>
        <w:t>s</w:t>
      </w:r>
      <w:r w:rsidRPr="00E24882">
        <w:rPr>
          <w:rFonts w:ascii="Verdana" w:hAnsi="Verdana"/>
          <w:sz w:val="20"/>
          <w:szCs w:val="20"/>
          <w:lang w:val="es-CR"/>
        </w:rPr>
        <w:t xml:space="preserve"> </w:t>
      </w:r>
      <w:r w:rsidR="00F81137">
        <w:rPr>
          <w:rFonts w:ascii="Verdana" w:hAnsi="Verdana"/>
          <w:sz w:val="20"/>
          <w:szCs w:val="20"/>
          <w:lang w:val="es-CR"/>
        </w:rPr>
        <w:t>composiciones</w:t>
      </w:r>
      <w:r w:rsidR="00F81137" w:rsidRPr="00E24882">
        <w:rPr>
          <w:rFonts w:ascii="Verdana" w:hAnsi="Verdana"/>
          <w:sz w:val="20"/>
          <w:szCs w:val="20"/>
          <w:lang w:val="es-CR"/>
        </w:rPr>
        <w:t xml:space="preserve"> </w:t>
      </w:r>
      <w:r w:rsidRPr="00E24882">
        <w:rPr>
          <w:rFonts w:ascii="Verdana" w:hAnsi="Verdana"/>
          <w:sz w:val="20"/>
          <w:szCs w:val="20"/>
          <w:lang w:val="es-CR"/>
        </w:rPr>
        <w:t xml:space="preserve">de especies que </w:t>
      </w:r>
      <w:r w:rsidR="0083475A" w:rsidRPr="00E24882">
        <w:rPr>
          <w:rFonts w:ascii="Verdana" w:hAnsi="Verdana"/>
          <w:sz w:val="20"/>
          <w:szCs w:val="20"/>
          <w:lang w:val="es-CR"/>
        </w:rPr>
        <w:t>est</w:t>
      </w:r>
      <w:r w:rsidR="0083475A">
        <w:rPr>
          <w:rFonts w:ascii="Verdana" w:hAnsi="Verdana"/>
          <w:sz w:val="20"/>
          <w:szCs w:val="20"/>
          <w:lang w:val="es-CR"/>
        </w:rPr>
        <w:t>án</w:t>
      </w:r>
      <w:r w:rsidRPr="00E24882">
        <w:rPr>
          <w:rFonts w:ascii="Verdana" w:hAnsi="Verdana"/>
          <w:sz w:val="20"/>
          <w:szCs w:val="20"/>
          <w:lang w:val="es-CR"/>
        </w:rPr>
        <w:t xml:space="preserve"> siendo utilizada</w:t>
      </w:r>
      <w:r w:rsidR="00F81137">
        <w:rPr>
          <w:rFonts w:ascii="Verdana" w:hAnsi="Verdana"/>
          <w:sz w:val="20"/>
          <w:szCs w:val="20"/>
          <w:lang w:val="es-CR"/>
        </w:rPr>
        <w:t>s</w:t>
      </w:r>
      <w:r w:rsidRPr="00E24882">
        <w:rPr>
          <w:rFonts w:ascii="Verdana" w:hAnsi="Verdana"/>
          <w:sz w:val="20"/>
          <w:szCs w:val="20"/>
          <w:lang w:val="es-CR"/>
        </w:rPr>
        <w:t xml:space="preserve"> para la reforestación</w:t>
      </w:r>
      <w:r w:rsidRPr="009A23B9">
        <w:rPr>
          <w:rStyle w:val="FootnoteReference"/>
          <w:szCs w:val="20"/>
          <w:lang w:val="es-CR"/>
        </w:rPr>
        <w:footnoteReference w:id="129"/>
      </w:r>
      <w:r w:rsidRPr="00E24882">
        <w:rPr>
          <w:rFonts w:ascii="Verdana" w:hAnsi="Verdana"/>
          <w:sz w:val="20"/>
          <w:szCs w:val="20"/>
          <w:lang w:val="es-CR"/>
        </w:rPr>
        <w:t xml:space="preserve">. </w:t>
      </w:r>
      <w:r w:rsidR="00F16345">
        <w:rPr>
          <w:rFonts w:ascii="Verdana" w:hAnsi="Verdana"/>
          <w:sz w:val="20"/>
          <w:szCs w:val="20"/>
          <w:lang w:val="es-CR"/>
        </w:rPr>
        <w:t xml:space="preserve">Por otra parte, </w:t>
      </w:r>
      <w:r w:rsidR="00F16345" w:rsidRPr="00F32409">
        <w:rPr>
          <w:rFonts w:ascii="Verdana" w:hAnsi="Verdana"/>
          <w:sz w:val="20"/>
          <w:szCs w:val="20"/>
        </w:rPr>
        <w:t xml:space="preserve">la Corte </w:t>
      </w:r>
      <w:r w:rsidR="00F16345">
        <w:rPr>
          <w:rFonts w:ascii="Verdana" w:hAnsi="Verdana"/>
          <w:sz w:val="20"/>
          <w:szCs w:val="20"/>
        </w:rPr>
        <w:t>observó</w:t>
      </w:r>
      <w:r w:rsidR="00F16345" w:rsidRPr="00F32409">
        <w:rPr>
          <w:rFonts w:ascii="Verdana" w:hAnsi="Verdana"/>
          <w:sz w:val="20"/>
          <w:szCs w:val="20"/>
        </w:rPr>
        <w:t xml:space="preserve"> durante la diligencia </w:t>
      </w:r>
      <w:r w:rsidR="00F16345" w:rsidRPr="00F32409">
        <w:rPr>
          <w:rFonts w:ascii="Verdana" w:hAnsi="Verdana"/>
          <w:i/>
          <w:sz w:val="20"/>
          <w:szCs w:val="20"/>
        </w:rPr>
        <w:t>in situ</w:t>
      </w:r>
      <w:r w:rsidR="00F16345" w:rsidRPr="00F32409">
        <w:rPr>
          <w:rFonts w:ascii="Verdana" w:hAnsi="Verdana"/>
          <w:sz w:val="20"/>
          <w:szCs w:val="20"/>
        </w:rPr>
        <w:t xml:space="preserve"> que en las zonas de explotación existe una </w:t>
      </w:r>
      <w:r w:rsidR="00F16345">
        <w:rPr>
          <w:rFonts w:ascii="Verdana" w:hAnsi="Verdana"/>
          <w:sz w:val="20"/>
          <w:szCs w:val="20"/>
        </w:rPr>
        <w:t>transformación radical del paisaje</w:t>
      </w:r>
      <w:r w:rsidR="00F16345" w:rsidRPr="00F32409">
        <w:rPr>
          <w:rFonts w:ascii="Verdana" w:hAnsi="Verdana"/>
          <w:sz w:val="20"/>
          <w:szCs w:val="20"/>
        </w:rPr>
        <w:t>.</w:t>
      </w:r>
    </w:p>
    <w:p w14:paraId="6F8E0F4B" w14:textId="77777777" w:rsidR="00926E61" w:rsidRPr="009A23B9" w:rsidRDefault="00926E61" w:rsidP="002C323A">
      <w:pPr>
        <w:pStyle w:val="ListParagraph"/>
        <w:ind w:left="0"/>
        <w:jc w:val="both"/>
      </w:pPr>
    </w:p>
    <w:p w14:paraId="37EDB638" w14:textId="77777777" w:rsidR="00926E61" w:rsidRPr="009A23B9" w:rsidRDefault="00926E61" w:rsidP="007624EC">
      <w:pPr>
        <w:pStyle w:val="Heading4"/>
        <w:spacing w:before="0"/>
        <w:ind w:left="720" w:firstLine="720"/>
        <w:rPr>
          <w:rFonts w:ascii="Verdana" w:hAnsi="Verdana"/>
          <w:color w:val="auto"/>
          <w:sz w:val="20"/>
          <w:szCs w:val="20"/>
        </w:rPr>
      </w:pPr>
      <w:bookmarkStart w:id="28" w:name="_Toc441666169"/>
      <w:r w:rsidRPr="00DD537F">
        <w:rPr>
          <w:rFonts w:ascii="Verdana" w:hAnsi="Verdana"/>
          <w:color w:val="auto"/>
          <w:sz w:val="20"/>
          <w:szCs w:val="20"/>
        </w:rPr>
        <w:t>E.2.3 Otras actividades de extracción de recursos naturales</w:t>
      </w:r>
      <w:bookmarkEnd w:id="28"/>
    </w:p>
    <w:p w14:paraId="3574537E" w14:textId="77777777" w:rsidR="00926E61" w:rsidRPr="009A23B9" w:rsidRDefault="00926E61" w:rsidP="003D2C97">
      <w:pPr>
        <w:pStyle w:val="FootnoteText"/>
      </w:pPr>
    </w:p>
    <w:p w14:paraId="4AB3D7BF" w14:textId="77777777" w:rsidR="00926E61" w:rsidRPr="009A23B9" w:rsidRDefault="00F726FD" w:rsidP="009A23B9">
      <w:pPr>
        <w:pStyle w:val="ListParagraph"/>
        <w:numPr>
          <w:ilvl w:val="0"/>
          <w:numId w:val="2"/>
        </w:numPr>
        <w:ind w:left="0" w:hanging="11"/>
        <w:jc w:val="both"/>
        <w:rPr>
          <w:rFonts w:ascii="Verdana" w:hAnsi="Verdana"/>
          <w:sz w:val="20"/>
          <w:szCs w:val="20"/>
        </w:rPr>
      </w:pPr>
      <w:r w:rsidRPr="00190AD3">
        <w:rPr>
          <w:rFonts w:ascii="Verdana" w:hAnsi="Verdana"/>
          <w:sz w:val="20"/>
        </w:rPr>
        <w:t xml:space="preserve">Una de las consecuencias de </w:t>
      </w:r>
      <w:r w:rsidRPr="00F726FD">
        <w:rPr>
          <w:rFonts w:ascii="Verdana" w:hAnsi="Verdana"/>
          <w:sz w:val="20"/>
          <w:szCs w:val="20"/>
        </w:rPr>
        <w:t>l</w:t>
      </w:r>
      <w:r w:rsidR="00926E61" w:rsidRPr="00F726FD">
        <w:rPr>
          <w:rFonts w:ascii="Verdana" w:hAnsi="Verdana"/>
          <w:sz w:val="20"/>
          <w:szCs w:val="20"/>
        </w:rPr>
        <w:t xml:space="preserve">a construcción </w:t>
      </w:r>
      <w:r w:rsidR="000D7B24">
        <w:rPr>
          <w:rFonts w:ascii="Verdana" w:hAnsi="Verdana"/>
          <w:sz w:val="20"/>
          <w:szCs w:val="20"/>
        </w:rPr>
        <w:t xml:space="preserve">de </w:t>
      </w:r>
      <w:r w:rsidRPr="00F726FD">
        <w:rPr>
          <w:rFonts w:ascii="Verdana" w:hAnsi="Verdana"/>
          <w:sz w:val="20"/>
          <w:szCs w:val="20"/>
        </w:rPr>
        <w:t>la</w:t>
      </w:r>
      <w:r w:rsidR="00926E61" w:rsidRPr="00F726FD">
        <w:rPr>
          <w:rFonts w:ascii="Verdana" w:hAnsi="Verdana"/>
          <w:sz w:val="20"/>
          <w:szCs w:val="20"/>
        </w:rPr>
        <w:t xml:space="preserve"> carretera para la extracción de bauxita </w:t>
      </w:r>
      <w:r w:rsidRPr="00F726FD">
        <w:rPr>
          <w:rFonts w:ascii="Verdana" w:hAnsi="Verdana"/>
          <w:sz w:val="20"/>
          <w:szCs w:val="20"/>
        </w:rPr>
        <w:t xml:space="preserve">consistió en </w:t>
      </w:r>
      <w:r w:rsidR="00926E61" w:rsidRPr="00F726FD">
        <w:rPr>
          <w:rFonts w:ascii="Verdana" w:hAnsi="Verdana"/>
          <w:sz w:val="20"/>
          <w:szCs w:val="20"/>
        </w:rPr>
        <w:t>el desarrollo de actividades</w:t>
      </w:r>
      <w:r w:rsidR="00926E61" w:rsidRPr="009A23B9">
        <w:rPr>
          <w:rFonts w:ascii="Verdana" w:hAnsi="Verdana"/>
          <w:sz w:val="20"/>
          <w:szCs w:val="20"/>
        </w:rPr>
        <w:t xml:space="preserve"> </w:t>
      </w:r>
      <w:r>
        <w:rPr>
          <w:rFonts w:ascii="Verdana" w:hAnsi="Verdana"/>
          <w:sz w:val="20"/>
          <w:szCs w:val="20"/>
        </w:rPr>
        <w:t>de</w:t>
      </w:r>
      <w:r w:rsidR="00926E61" w:rsidRPr="009A23B9">
        <w:rPr>
          <w:rFonts w:ascii="Verdana" w:hAnsi="Verdana"/>
          <w:sz w:val="20"/>
          <w:szCs w:val="20"/>
        </w:rPr>
        <w:t xml:space="preserve"> extracción legal e ilegal de madera, la caza furtiva, y la minería de arena, grava y caolín</w:t>
      </w:r>
      <w:r w:rsidR="00926E61" w:rsidRPr="009A23B9">
        <w:rPr>
          <w:rStyle w:val="FootnoteReference"/>
          <w:szCs w:val="20"/>
        </w:rPr>
        <w:footnoteReference w:id="130"/>
      </w:r>
      <w:r w:rsidR="00926E61" w:rsidRPr="009A23B9">
        <w:rPr>
          <w:rFonts w:ascii="Verdana" w:hAnsi="Verdana"/>
          <w:sz w:val="20"/>
          <w:szCs w:val="20"/>
        </w:rPr>
        <w:t>.</w:t>
      </w:r>
    </w:p>
    <w:p w14:paraId="7068A575" w14:textId="77777777" w:rsidR="00926E61" w:rsidRPr="009A23B9" w:rsidRDefault="00926E61" w:rsidP="00926E61">
      <w:pPr>
        <w:jc w:val="both"/>
        <w:rPr>
          <w:rFonts w:ascii="Verdana" w:hAnsi="Verdana"/>
          <w:sz w:val="20"/>
          <w:szCs w:val="20"/>
        </w:rPr>
      </w:pPr>
    </w:p>
    <w:p w14:paraId="79A068FE" w14:textId="77777777" w:rsidR="00926E61" w:rsidRPr="009A23B9" w:rsidRDefault="00926E61" w:rsidP="009A23B9">
      <w:pPr>
        <w:pStyle w:val="ListParagraph"/>
        <w:numPr>
          <w:ilvl w:val="0"/>
          <w:numId w:val="2"/>
        </w:numPr>
        <w:ind w:left="0" w:hanging="11"/>
        <w:jc w:val="both"/>
        <w:rPr>
          <w:rFonts w:ascii="Verdana" w:hAnsi="Verdana"/>
          <w:sz w:val="20"/>
          <w:szCs w:val="20"/>
        </w:rPr>
      </w:pPr>
      <w:r w:rsidRPr="009A23B9">
        <w:rPr>
          <w:rFonts w:ascii="Verdana" w:hAnsi="Verdana"/>
          <w:sz w:val="20"/>
          <w:szCs w:val="20"/>
        </w:rPr>
        <w:t>En cuanto a la tala de árboles, en 2008 el Estado otorgó una concesión de extracción maderera a miembros de la comunidad indígena de Alfonsdorp</w:t>
      </w:r>
      <w:r w:rsidRPr="009A23B9">
        <w:rPr>
          <w:rStyle w:val="FootnoteReference"/>
          <w:szCs w:val="20"/>
        </w:rPr>
        <w:footnoteReference w:id="131"/>
      </w:r>
      <w:r w:rsidRPr="009A23B9">
        <w:rPr>
          <w:rFonts w:ascii="Verdana" w:hAnsi="Verdana"/>
          <w:sz w:val="20"/>
          <w:szCs w:val="20"/>
        </w:rPr>
        <w:t>. Sin embargo, de acuerdo con la Capitana Watamaleo, las personas no indígenas que participan de la extracción maderera son los responsables de la destrucción del bosque, ya que no cortan los árboles de forma tal que permita a los árboles jóvenes crecer. Asimismo, se están eliminando los senderos utilizados tradicionalmente por los indígenas para la caza</w:t>
      </w:r>
      <w:r w:rsidRPr="009A23B9">
        <w:rPr>
          <w:rStyle w:val="FootnoteReference"/>
          <w:szCs w:val="20"/>
        </w:rPr>
        <w:footnoteReference w:id="132"/>
      </w:r>
      <w:r w:rsidRPr="009A23B9">
        <w:rPr>
          <w:rFonts w:ascii="Verdana" w:hAnsi="Verdana"/>
          <w:sz w:val="20"/>
          <w:szCs w:val="20"/>
        </w:rPr>
        <w:t xml:space="preserve">. Además, las personas </w:t>
      </w:r>
      <w:r w:rsidRPr="009A23B9">
        <w:rPr>
          <w:rFonts w:ascii="Verdana" w:hAnsi="Verdana"/>
          <w:sz w:val="20"/>
          <w:szCs w:val="20"/>
        </w:rPr>
        <w:lastRenderedPageBreak/>
        <w:t xml:space="preserve">no indígenas han talado indiscriminadamente árboles que son sagrados de acuerdo con la cosmovisión de los </w:t>
      </w:r>
      <w:r w:rsidR="00382F4D">
        <w:rPr>
          <w:rFonts w:ascii="Verdana" w:hAnsi="Verdana"/>
          <w:sz w:val="20"/>
          <w:szCs w:val="20"/>
        </w:rPr>
        <w:t>Pueblos Kaliña y Lokono</w:t>
      </w:r>
      <w:r w:rsidRPr="009A23B9">
        <w:rPr>
          <w:rStyle w:val="FootnoteReference"/>
          <w:szCs w:val="20"/>
        </w:rPr>
        <w:footnoteReference w:id="133"/>
      </w:r>
      <w:r w:rsidRPr="009A23B9">
        <w:rPr>
          <w:rFonts w:ascii="Verdana" w:hAnsi="Verdana"/>
          <w:sz w:val="20"/>
          <w:szCs w:val="20"/>
        </w:rPr>
        <w:t>.</w:t>
      </w:r>
    </w:p>
    <w:p w14:paraId="19E8E345" w14:textId="77777777" w:rsidR="00926E61" w:rsidRPr="009A23B9" w:rsidRDefault="00926E61" w:rsidP="00926E61">
      <w:pPr>
        <w:jc w:val="both"/>
        <w:rPr>
          <w:rFonts w:ascii="Verdana" w:hAnsi="Verdana"/>
          <w:sz w:val="20"/>
          <w:szCs w:val="20"/>
        </w:rPr>
      </w:pPr>
    </w:p>
    <w:p w14:paraId="16637F72" w14:textId="77777777" w:rsidR="00926E61" w:rsidRPr="009A23B9" w:rsidRDefault="00926E61" w:rsidP="00E26926">
      <w:pPr>
        <w:pStyle w:val="Heading2"/>
        <w:numPr>
          <w:ilvl w:val="0"/>
          <w:numId w:val="10"/>
        </w:numPr>
        <w:spacing w:before="0"/>
        <w:jc w:val="both"/>
        <w:rPr>
          <w:rFonts w:ascii="Verdana" w:hAnsi="Verdana"/>
          <w:bCs w:val="0"/>
          <w:i/>
          <w:color w:val="auto"/>
          <w:sz w:val="20"/>
          <w:szCs w:val="20"/>
        </w:rPr>
      </w:pPr>
      <w:bookmarkStart w:id="29" w:name="_Toc441666170"/>
      <w:r w:rsidRPr="009A23B9">
        <w:rPr>
          <w:rFonts w:ascii="Verdana" w:hAnsi="Verdana"/>
          <w:bCs w:val="0"/>
          <w:i/>
          <w:color w:val="auto"/>
          <w:sz w:val="20"/>
          <w:szCs w:val="20"/>
        </w:rPr>
        <w:t>Proyecto de parcelación urbano denominado "Tuinstad Albina" (“Garden City Albina”)</w:t>
      </w:r>
      <w:bookmarkEnd w:id="29"/>
    </w:p>
    <w:p w14:paraId="021D06CB" w14:textId="77777777" w:rsidR="00926E61" w:rsidRPr="00190AD3" w:rsidRDefault="00926E61" w:rsidP="00926E61">
      <w:pPr>
        <w:jc w:val="both"/>
        <w:rPr>
          <w:rFonts w:ascii="Verdana" w:hAnsi="Verdana"/>
          <w:sz w:val="20"/>
          <w:highlight w:val="green"/>
        </w:rPr>
      </w:pPr>
    </w:p>
    <w:p w14:paraId="2E9A4D13" w14:textId="77777777" w:rsidR="00926E61" w:rsidRPr="009A23B9" w:rsidRDefault="00926E61" w:rsidP="009A23B9">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Es un hecho no controvertido que en 1975, el Estado inició un proyecto de parcelación urbano denominado "Tuinstad Albina" (“</w:t>
      </w:r>
      <w:r w:rsidR="008A4ABB" w:rsidRPr="007E20F9">
        <w:rPr>
          <w:rFonts w:ascii="Verdana" w:hAnsi="Verdana"/>
          <w:i/>
          <w:sz w:val="20"/>
          <w:szCs w:val="20"/>
          <w:lang w:val="es-ES"/>
        </w:rPr>
        <w:t>Garden City Albina</w:t>
      </w:r>
      <w:r w:rsidRPr="009A23B9">
        <w:rPr>
          <w:rFonts w:ascii="Verdana" w:hAnsi="Verdana"/>
          <w:sz w:val="20"/>
          <w:szCs w:val="20"/>
          <w:lang w:val="es-ES"/>
        </w:rPr>
        <w:t xml:space="preserve">”) paralelo al río Marowijne en las cercanías de los pueblos de Erowarte, Tapuku, Pierrekondre y </w:t>
      </w:r>
      <w:r w:rsidRPr="009A23B9">
        <w:rPr>
          <w:rFonts w:ascii="Verdana" w:hAnsi="Verdana"/>
          <w:sz w:val="20"/>
          <w:szCs w:val="20"/>
        </w:rPr>
        <w:t>Marijkedorp (Wan Shi Sha)</w:t>
      </w:r>
      <w:r w:rsidRPr="009A23B9">
        <w:rPr>
          <w:rStyle w:val="FootnoteReference"/>
          <w:szCs w:val="20"/>
          <w:lang w:val="es-ES"/>
        </w:rPr>
        <w:footnoteReference w:id="134"/>
      </w:r>
      <w:r w:rsidR="000D3370">
        <w:rPr>
          <w:rFonts w:ascii="Verdana" w:hAnsi="Verdana"/>
          <w:sz w:val="20"/>
          <w:szCs w:val="20"/>
          <w:lang w:val="es-ES"/>
        </w:rPr>
        <w:t>.</w:t>
      </w:r>
    </w:p>
    <w:p w14:paraId="708B95A3" w14:textId="77777777" w:rsidR="00926E61" w:rsidRPr="009A23B9" w:rsidRDefault="00926E61" w:rsidP="00926E61">
      <w:pPr>
        <w:jc w:val="both"/>
        <w:rPr>
          <w:rFonts w:ascii="Verdana" w:hAnsi="Verdana"/>
          <w:sz w:val="20"/>
          <w:szCs w:val="20"/>
          <w:lang w:val="es-ES"/>
        </w:rPr>
      </w:pPr>
    </w:p>
    <w:p w14:paraId="35F886DA" w14:textId="77777777" w:rsidR="00926E61" w:rsidRPr="009A23B9" w:rsidRDefault="00926E61" w:rsidP="009A23B9">
      <w:pPr>
        <w:pStyle w:val="ListParagraph"/>
        <w:numPr>
          <w:ilvl w:val="0"/>
          <w:numId w:val="2"/>
        </w:numPr>
        <w:ind w:left="0" w:hanging="11"/>
        <w:jc w:val="both"/>
        <w:rPr>
          <w:rFonts w:ascii="Verdana" w:hAnsi="Verdana"/>
          <w:sz w:val="20"/>
          <w:szCs w:val="20"/>
          <w:lang w:val="es-ES"/>
        </w:rPr>
      </w:pPr>
      <w:r w:rsidRPr="009A23B9">
        <w:rPr>
          <w:rFonts w:ascii="Verdana" w:hAnsi="Verdana"/>
          <w:sz w:val="20"/>
          <w:szCs w:val="20"/>
          <w:lang w:val="es-ES"/>
        </w:rPr>
        <w:t>De acuerdo con el Estado, el área donde se realizó el proyecto de parcelación no se encontraba habitada por pueblos indígenas. Sin embargo, diversas declaraciones de indígenas de las comunidades afectadas afirmaron lo contrario. En este sentido, la Capitana Watamaleo, manifestó que la división en parcelas de las comunidades fue ejecutada por el Estado a pesar de que personas indígenas se encontraban viviendo en dichos territorios en esa época</w:t>
      </w:r>
      <w:r w:rsidRPr="009A23B9">
        <w:rPr>
          <w:rStyle w:val="FootnoteReference"/>
          <w:szCs w:val="20"/>
          <w:lang w:val="es-ES"/>
        </w:rPr>
        <w:footnoteReference w:id="135"/>
      </w:r>
      <w:r w:rsidRPr="009A23B9">
        <w:rPr>
          <w:rFonts w:ascii="Verdana" w:hAnsi="Verdana"/>
          <w:sz w:val="20"/>
          <w:szCs w:val="20"/>
          <w:lang w:val="es-ES"/>
        </w:rPr>
        <w:t>. Asimismo, el Capitán Gunther, afirmó que miembros de su comunidad fueron forzados a salir de sus territorios</w:t>
      </w:r>
      <w:r w:rsidRPr="009A23B9">
        <w:rPr>
          <w:rStyle w:val="FootnoteReference"/>
          <w:szCs w:val="20"/>
          <w:lang w:val="es-ES"/>
        </w:rPr>
        <w:footnoteReference w:id="136"/>
      </w:r>
      <w:r w:rsidRPr="009A23B9">
        <w:rPr>
          <w:rFonts w:ascii="Verdana" w:hAnsi="Verdana"/>
          <w:sz w:val="20"/>
          <w:szCs w:val="20"/>
          <w:lang w:val="es-ES"/>
        </w:rPr>
        <w:t xml:space="preserve">. En similar sentido, el señor Max Sabajo, indígena Lokono de Marijkedorp, señaló que los pueblos indígenas de la zona fueron desplazados del margen del </w:t>
      </w:r>
      <w:r w:rsidR="008B0F0D">
        <w:rPr>
          <w:rFonts w:ascii="Verdana" w:hAnsi="Verdana"/>
          <w:sz w:val="20"/>
          <w:szCs w:val="20"/>
          <w:lang w:val="es-ES"/>
        </w:rPr>
        <w:t xml:space="preserve">río </w:t>
      </w:r>
      <w:r w:rsidRPr="009A23B9">
        <w:rPr>
          <w:rFonts w:ascii="Verdana" w:hAnsi="Verdana"/>
          <w:sz w:val="20"/>
          <w:szCs w:val="20"/>
          <w:lang w:val="es-ES"/>
        </w:rPr>
        <w:t xml:space="preserve"> Marowijne cuando el Estado comenzó a entregar parcelas a personas adineradas de la ciudad</w:t>
      </w:r>
      <w:r w:rsidRPr="009A23B9">
        <w:rPr>
          <w:rStyle w:val="FootnoteReference"/>
          <w:szCs w:val="20"/>
          <w:lang w:val="es-ES"/>
        </w:rPr>
        <w:footnoteReference w:id="137"/>
      </w:r>
      <w:r w:rsidRPr="009A23B9">
        <w:rPr>
          <w:rFonts w:ascii="Verdana" w:hAnsi="Verdana"/>
          <w:sz w:val="20"/>
          <w:szCs w:val="20"/>
          <w:lang w:val="es-ES"/>
        </w:rPr>
        <w:t xml:space="preserve">. </w:t>
      </w:r>
    </w:p>
    <w:p w14:paraId="1A5A1D9C" w14:textId="77777777" w:rsidR="00926E61" w:rsidRPr="009A23B9" w:rsidRDefault="00926E61" w:rsidP="00926E61">
      <w:pPr>
        <w:jc w:val="both"/>
        <w:rPr>
          <w:rFonts w:ascii="Verdana" w:hAnsi="Verdana"/>
          <w:sz w:val="20"/>
          <w:szCs w:val="20"/>
          <w:lang w:val="es-ES"/>
        </w:rPr>
      </w:pPr>
    </w:p>
    <w:p w14:paraId="0E2E96EF" w14:textId="77777777" w:rsidR="00926E61" w:rsidRPr="00842770" w:rsidRDefault="00926E61" w:rsidP="009A23B9">
      <w:pPr>
        <w:pStyle w:val="ListParagraph"/>
        <w:numPr>
          <w:ilvl w:val="0"/>
          <w:numId w:val="2"/>
        </w:numPr>
        <w:ind w:left="0" w:hanging="11"/>
        <w:jc w:val="both"/>
        <w:rPr>
          <w:rFonts w:ascii="Verdana" w:hAnsi="Verdana"/>
          <w:sz w:val="20"/>
          <w:szCs w:val="20"/>
        </w:rPr>
      </w:pPr>
      <w:r w:rsidRPr="009A23B9">
        <w:rPr>
          <w:rFonts w:ascii="Verdana" w:hAnsi="Verdana"/>
          <w:sz w:val="20"/>
          <w:szCs w:val="20"/>
          <w:lang w:val="es-ES"/>
        </w:rPr>
        <w:t xml:space="preserve">El principal uso que se le ha dado a los territorios titulados a terceros ha sido para la construcción de casas vacacionales, las cuales se encuentran a escasos metros de las casas de miembros de las comunidades indígenas, y así fue constatado por la Corte durante la diligencia </w:t>
      </w:r>
      <w:r w:rsidRPr="009A23B9">
        <w:rPr>
          <w:rFonts w:ascii="Verdana" w:hAnsi="Verdana"/>
          <w:i/>
          <w:sz w:val="20"/>
          <w:szCs w:val="20"/>
          <w:lang w:val="es-ES"/>
        </w:rPr>
        <w:t>in situ</w:t>
      </w:r>
      <w:r w:rsidRPr="009A23B9">
        <w:rPr>
          <w:rStyle w:val="FootnoteReference"/>
          <w:szCs w:val="20"/>
          <w:lang w:val="es-ES"/>
        </w:rPr>
        <w:footnoteReference w:id="138"/>
      </w:r>
      <w:r w:rsidRPr="009A23B9">
        <w:rPr>
          <w:rFonts w:ascii="Verdana" w:hAnsi="Verdana"/>
          <w:sz w:val="20"/>
          <w:szCs w:val="20"/>
          <w:lang w:val="es-ES"/>
        </w:rPr>
        <w:t xml:space="preserve">. Al respecto, </w:t>
      </w:r>
      <w:r w:rsidR="00DB2BB3" w:rsidRPr="00F726FD">
        <w:rPr>
          <w:rFonts w:ascii="Verdana" w:hAnsi="Verdana"/>
          <w:sz w:val="20"/>
          <w:szCs w:val="20"/>
        </w:rPr>
        <w:t>l</w:t>
      </w:r>
      <w:r w:rsidR="00DB2BB3" w:rsidRPr="00190AD3">
        <w:rPr>
          <w:rFonts w:ascii="Verdana" w:hAnsi="Verdana"/>
          <w:sz w:val="20"/>
        </w:rPr>
        <w:t>as casas vacacionales han restringido</w:t>
      </w:r>
      <w:r w:rsidR="00DB2BB3" w:rsidRPr="00F726FD">
        <w:rPr>
          <w:rFonts w:ascii="Verdana" w:hAnsi="Verdana"/>
          <w:sz w:val="20"/>
          <w:szCs w:val="20"/>
        </w:rPr>
        <w:t xml:space="preserve"> a los pueblos indígenas </w:t>
      </w:r>
      <w:r w:rsidR="00F726FD">
        <w:rPr>
          <w:rFonts w:ascii="Verdana" w:hAnsi="Verdana"/>
          <w:sz w:val="20"/>
          <w:szCs w:val="20"/>
        </w:rPr>
        <w:t>el</w:t>
      </w:r>
      <w:r w:rsidR="00F726FD" w:rsidRPr="00F726FD">
        <w:rPr>
          <w:rFonts w:ascii="Verdana" w:hAnsi="Verdana"/>
          <w:sz w:val="20"/>
          <w:szCs w:val="20"/>
        </w:rPr>
        <w:t xml:space="preserve"> </w:t>
      </w:r>
      <w:r w:rsidR="00DB2BB3" w:rsidRPr="00F726FD">
        <w:rPr>
          <w:rFonts w:ascii="Verdana" w:hAnsi="Verdana"/>
          <w:sz w:val="20"/>
          <w:szCs w:val="20"/>
        </w:rPr>
        <w:t xml:space="preserve">acceso </w:t>
      </w:r>
      <w:r w:rsidR="00DB2BB3" w:rsidRPr="00190AD3">
        <w:rPr>
          <w:rFonts w:ascii="Verdana" w:hAnsi="Verdana"/>
          <w:sz w:val="20"/>
        </w:rPr>
        <w:t>directo a ciertas zonas del</w:t>
      </w:r>
      <w:r w:rsidR="00DB2BB3" w:rsidRPr="00F726FD">
        <w:rPr>
          <w:rFonts w:ascii="Verdana" w:hAnsi="Verdana"/>
          <w:sz w:val="20"/>
          <w:szCs w:val="20"/>
        </w:rPr>
        <w:t xml:space="preserve"> </w:t>
      </w:r>
      <w:r w:rsidRPr="00F726FD">
        <w:rPr>
          <w:rFonts w:ascii="Verdana" w:hAnsi="Verdana"/>
          <w:sz w:val="20"/>
          <w:szCs w:val="20"/>
        </w:rPr>
        <w:t>río Marowijne</w:t>
      </w:r>
      <w:r w:rsidR="000D7B24">
        <w:rPr>
          <w:rFonts w:ascii="Verdana" w:hAnsi="Verdana"/>
          <w:sz w:val="20"/>
          <w:szCs w:val="20"/>
        </w:rPr>
        <w:t>,</w:t>
      </w:r>
      <w:r w:rsidR="008D0CA5" w:rsidRPr="00F726FD">
        <w:rPr>
          <w:rFonts w:ascii="Verdana" w:hAnsi="Verdana"/>
          <w:sz w:val="20"/>
          <w:szCs w:val="20"/>
        </w:rPr>
        <w:t xml:space="preserve"> </w:t>
      </w:r>
      <w:r w:rsidR="00F726FD">
        <w:rPr>
          <w:rFonts w:ascii="Verdana" w:hAnsi="Verdana"/>
          <w:sz w:val="20"/>
          <w:szCs w:val="20"/>
        </w:rPr>
        <w:t xml:space="preserve">las cuales son </w:t>
      </w:r>
      <w:r w:rsidR="008D0CA5" w:rsidRPr="00190AD3">
        <w:rPr>
          <w:rFonts w:ascii="Verdana" w:hAnsi="Verdana"/>
          <w:sz w:val="20"/>
        </w:rPr>
        <w:t xml:space="preserve">contiguas </w:t>
      </w:r>
      <w:r w:rsidR="00F726FD">
        <w:rPr>
          <w:rFonts w:ascii="Verdana" w:hAnsi="Verdana"/>
          <w:sz w:val="20"/>
          <w:szCs w:val="20"/>
        </w:rPr>
        <w:t>a</w:t>
      </w:r>
      <w:r w:rsidR="00F726FD" w:rsidRPr="00190AD3">
        <w:rPr>
          <w:rFonts w:ascii="Verdana" w:hAnsi="Verdana"/>
          <w:sz w:val="20"/>
          <w:szCs w:val="20"/>
        </w:rPr>
        <w:t xml:space="preserve"> </w:t>
      </w:r>
      <w:r w:rsidR="008D0CA5" w:rsidRPr="00190AD3">
        <w:rPr>
          <w:rFonts w:ascii="Verdana" w:hAnsi="Verdana"/>
          <w:sz w:val="20"/>
        </w:rPr>
        <w:t>sus centros poblacionales</w:t>
      </w:r>
      <w:r w:rsidRPr="00F726FD">
        <w:rPr>
          <w:rFonts w:ascii="Verdana" w:hAnsi="Verdana"/>
          <w:sz w:val="20"/>
          <w:szCs w:val="20"/>
        </w:rPr>
        <w:t>.</w:t>
      </w:r>
      <w:r w:rsidRPr="00842770">
        <w:rPr>
          <w:rFonts w:ascii="Verdana" w:hAnsi="Verdana"/>
          <w:sz w:val="20"/>
          <w:szCs w:val="20"/>
        </w:rPr>
        <w:t xml:space="preserve"> Esta situación ha sido especialmente compleja en tanto los pueblos indígenas de la zona tienen una fuerte relación espiritual con el </w:t>
      </w:r>
      <w:r w:rsidR="008B0F0D">
        <w:rPr>
          <w:rFonts w:ascii="Verdana" w:hAnsi="Verdana"/>
          <w:sz w:val="20"/>
          <w:szCs w:val="20"/>
        </w:rPr>
        <w:t xml:space="preserve">río </w:t>
      </w:r>
      <w:r w:rsidRPr="00842770">
        <w:rPr>
          <w:rFonts w:ascii="Verdana" w:hAnsi="Verdana"/>
          <w:sz w:val="20"/>
          <w:szCs w:val="20"/>
        </w:rPr>
        <w:t xml:space="preserve"> Marowijne, siendo este un elemento fundamental en su identidad cultural y tradiciones</w:t>
      </w:r>
      <w:r w:rsidRPr="00842770">
        <w:rPr>
          <w:rStyle w:val="FootnoteReference"/>
          <w:szCs w:val="20"/>
        </w:rPr>
        <w:footnoteReference w:id="139"/>
      </w:r>
      <w:r w:rsidRPr="00842770">
        <w:rPr>
          <w:rFonts w:ascii="Verdana" w:hAnsi="Verdana"/>
          <w:sz w:val="20"/>
          <w:szCs w:val="20"/>
        </w:rPr>
        <w:t>. Asimismo, dicho río es utilizado por los miembros de las comunidades para atracar sus botes, pescar, bañarse y lavar su vestimenta</w:t>
      </w:r>
      <w:r w:rsidRPr="00842770">
        <w:rPr>
          <w:rStyle w:val="FootnoteReference"/>
          <w:szCs w:val="20"/>
        </w:rPr>
        <w:footnoteReference w:id="140"/>
      </w:r>
      <w:r w:rsidRPr="00842770">
        <w:rPr>
          <w:rFonts w:ascii="Verdana" w:hAnsi="Verdana"/>
          <w:sz w:val="20"/>
          <w:szCs w:val="20"/>
        </w:rPr>
        <w:t>.</w:t>
      </w:r>
    </w:p>
    <w:p w14:paraId="2C60F736" w14:textId="77777777" w:rsidR="00926E61" w:rsidRPr="00842770" w:rsidRDefault="00926E61" w:rsidP="00926E61">
      <w:pPr>
        <w:jc w:val="both"/>
        <w:rPr>
          <w:rFonts w:ascii="Verdana" w:hAnsi="Verdana"/>
          <w:sz w:val="20"/>
          <w:szCs w:val="20"/>
          <w:lang w:val="es-ES"/>
        </w:rPr>
      </w:pPr>
    </w:p>
    <w:p w14:paraId="1EF8A8C9" w14:textId="77777777" w:rsidR="00926E61" w:rsidRPr="00842770" w:rsidRDefault="00926E61" w:rsidP="00F726FD">
      <w:pPr>
        <w:pStyle w:val="ListParagraph"/>
        <w:numPr>
          <w:ilvl w:val="0"/>
          <w:numId w:val="2"/>
        </w:numPr>
        <w:ind w:left="0" w:hanging="11"/>
        <w:jc w:val="both"/>
        <w:rPr>
          <w:rFonts w:ascii="Verdana" w:hAnsi="Verdana"/>
          <w:snapToGrid w:val="0"/>
          <w:sz w:val="20"/>
          <w:szCs w:val="20"/>
        </w:rPr>
      </w:pPr>
      <w:r w:rsidRPr="00842770">
        <w:rPr>
          <w:rFonts w:ascii="Verdana" w:hAnsi="Verdana"/>
          <w:sz w:val="20"/>
          <w:szCs w:val="20"/>
          <w:lang w:val="es-ES"/>
        </w:rPr>
        <w:lastRenderedPageBreak/>
        <w:t xml:space="preserve">Además de la construcción de casas vacacionales, </w:t>
      </w:r>
      <w:r w:rsidRPr="003C0B4E">
        <w:rPr>
          <w:rFonts w:ascii="Verdana" w:hAnsi="Verdana"/>
          <w:sz w:val="20"/>
          <w:lang w:val="es-ES"/>
        </w:rPr>
        <w:t xml:space="preserve">en </w:t>
      </w:r>
      <w:r w:rsidR="000D3370" w:rsidRPr="00842770">
        <w:rPr>
          <w:rFonts w:ascii="Verdana" w:hAnsi="Verdana"/>
          <w:sz w:val="20"/>
          <w:szCs w:val="20"/>
          <w:lang w:val="es-ES"/>
        </w:rPr>
        <w:t>Marijkedorp</w:t>
      </w:r>
      <w:r w:rsidR="000D3370">
        <w:rPr>
          <w:rFonts w:ascii="Verdana" w:hAnsi="Verdana"/>
          <w:sz w:val="20"/>
          <w:lang w:val="es-ES"/>
        </w:rPr>
        <w:t xml:space="preserve"> (</w:t>
      </w:r>
      <w:r w:rsidRPr="00842770">
        <w:rPr>
          <w:rFonts w:ascii="Verdana" w:hAnsi="Verdana"/>
          <w:sz w:val="20"/>
          <w:szCs w:val="20"/>
          <w:lang w:val="es-ES"/>
        </w:rPr>
        <w:t>Wan Shi Sha</w:t>
      </w:r>
      <w:r w:rsidR="000D3370">
        <w:rPr>
          <w:rFonts w:ascii="Verdana" w:hAnsi="Verdana"/>
          <w:sz w:val="20"/>
          <w:szCs w:val="20"/>
          <w:lang w:val="es-ES"/>
        </w:rPr>
        <w:t xml:space="preserve">) </w:t>
      </w:r>
      <w:r w:rsidRPr="00842770">
        <w:rPr>
          <w:rFonts w:ascii="Verdana" w:hAnsi="Verdana"/>
          <w:sz w:val="20"/>
          <w:szCs w:val="20"/>
          <w:lang w:val="es-ES"/>
        </w:rPr>
        <w:t xml:space="preserve">en 2008 se intentó construir un hangar para aviones, y en la actualidad se está construyendo un hotel/casino, el cual fue observado por la Corte durante las diligencias </w:t>
      </w:r>
      <w:r w:rsidRPr="00842770">
        <w:rPr>
          <w:rFonts w:ascii="Verdana" w:hAnsi="Verdana"/>
          <w:i/>
          <w:sz w:val="20"/>
          <w:szCs w:val="20"/>
          <w:lang w:val="es-ES"/>
        </w:rPr>
        <w:t>in situ</w:t>
      </w:r>
      <w:r w:rsidRPr="00842770">
        <w:rPr>
          <w:rFonts w:ascii="Verdana" w:hAnsi="Verdana"/>
          <w:sz w:val="20"/>
          <w:szCs w:val="20"/>
          <w:lang w:val="es-ES"/>
        </w:rPr>
        <w:t>. Por otra parte, en 2007 se limpió una parcela en Pierrekondre con la intención de construir una gasolinera y un centro comercial</w:t>
      </w:r>
      <w:r w:rsidRPr="00842770">
        <w:rPr>
          <w:rStyle w:val="FootnoteReference"/>
          <w:szCs w:val="20"/>
          <w:lang w:val="es-ES"/>
        </w:rPr>
        <w:footnoteReference w:id="141"/>
      </w:r>
      <w:r w:rsidRPr="00842770">
        <w:rPr>
          <w:rFonts w:ascii="Verdana" w:hAnsi="Verdana"/>
          <w:sz w:val="20"/>
          <w:szCs w:val="20"/>
          <w:lang w:val="es-ES"/>
        </w:rPr>
        <w:t>.</w:t>
      </w:r>
      <w:r w:rsidR="00F726FD">
        <w:rPr>
          <w:rFonts w:ascii="Verdana" w:hAnsi="Verdana"/>
          <w:snapToGrid w:val="0"/>
          <w:sz w:val="20"/>
          <w:szCs w:val="20"/>
        </w:rPr>
        <w:t xml:space="preserve"> </w:t>
      </w:r>
      <w:r w:rsidRPr="00842770">
        <w:rPr>
          <w:rFonts w:ascii="Verdana" w:hAnsi="Verdana"/>
          <w:snapToGrid w:val="0"/>
          <w:sz w:val="20"/>
          <w:szCs w:val="20"/>
        </w:rPr>
        <w:t xml:space="preserve">Sobre la base de lo anterior, </w:t>
      </w:r>
      <w:r w:rsidRPr="003C0B4E">
        <w:rPr>
          <w:rFonts w:ascii="Verdana" w:hAnsi="Verdana"/>
          <w:snapToGrid w:val="0"/>
          <w:sz w:val="20"/>
          <w:szCs w:val="20"/>
        </w:rPr>
        <w:t xml:space="preserve">los miembros de las comunidades indígenas </w:t>
      </w:r>
      <w:r w:rsidR="00AB4E75" w:rsidRPr="00190AD3">
        <w:rPr>
          <w:rFonts w:ascii="Verdana" w:hAnsi="Verdana"/>
          <w:snapToGrid w:val="0"/>
          <w:sz w:val="20"/>
          <w:szCs w:val="20"/>
        </w:rPr>
        <w:t>enfrentan una</w:t>
      </w:r>
      <w:r w:rsidR="00AB4E75" w:rsidRPr="00941640">
        <w:rPr>
          <w:rFonts w:ascii="Verdana" w:hAnsi="Verdana"/>
          <w:snapToGrid w:val="0"/>
          <w:sz w:val="20"/>
          <w:szCs w:val="20"/>
        </w:rPr>
        <w:t xml:space="preserve"> </w:t>
      </w:r>
      <w:r w:rsidR="00AB4E75" w:rsidRPr="00190AD3">
        <w:rPr>
          <w:rFonts w:ascii="Verdana" w:hAnsi="Verdana"/>
          <w:snapToGrid w:val="0"/>
          <w:sz w:val="20"/>
          <w:szCs w:val="20"/>
        </w:rPr>
        <w:t xml:space="preserve">inseguridad jurídica persistente </w:t>
      </w:r>
      <w:r w:rsidR="00DB2BB3" w:rsidRPr="00190AD3">
        <w:rPr>
          <w:rFonts w:ascii="Verdana" w:hAnsi="Verdana"/>
          <w:snapToGrid w:val="0"/>
          <w:sz w:val="20"/>
          <w:szCs w:val="20"/>
        </w:rPr>
        <w:t>ante la posibilidad de que sean expulsados de los territorios en los que habitan en la actualidad</w:t>
      </w:r>
      <w:r w:rsidR="00AB4E75" w:rsidRPr="00941640">
        <w:rPr>
          <w:rStyle w:val="FootnoteReference"/>
          <w:snapToGrid w:val="0"/>
        </w:rPr>
        <w:footnoteReference w:id="142"/>
      </w:r>
      <w:r w:rsidR="00AB4E75" w:rsidRPr="00190AD3">
        <w:rPr>
          <w:rFonts w:ascii="Verdana" w:hAnsi="Verdana"/>
          <w:snapToGrid w:val="0"/>
          <w:sz w:val="20"/>
          <w:szCs w:val="20"/>
        </w:rPr>
        <w:t>.</w:t>
      </w:r>
      <w:r w:rsidR="00AB4E75" w:rsidRPr="003C0B4E">
        <w:rPr>
          <w:rFonts w:ascii="Verdana" w:hAnsi="Verdana"/>
          <w:b/>
          <w:snapToGrid w:val="0"/>
          <w:sz w:val="20"/>
          <w:szCs w:val="20"/>
        </w:rPr>
        <w:t xml:space="preserve"> </w:t>
      </w:r>
    </w:p>
    <w:p w14:paraId="446FFC83" w14:textId="77777777" w:rsidR="00E4033A" w:rsidRPr="00842770" w:rsidRDefault="00E4033A" w:rsidP="00E4033A">
      <w:pPr>
        <w:pStyle w:val="ListParagraph"/>
        <w:ind w:left="0"/>
        <w:jc w:val="both"/>
      </w:pPr>
    </w:p>
    <w:p w14:paraId="17371119" w14:textId="77777777" w:rsidR="00A825D8" w:rsidRPr="002C323A" w:rsidRDefault="007E0325" w:rsidP="002C323A">
      <w:pPr>
        <w:pStyle w:val="Heading1"/>
        <w:tabs>
          <w:tab w:val="left" w:pos="851"/>
        </w:tabs>
        <w:spacing w:before="0"/>
        <w:jc w:val="center"/>
      </w:pPr>
      <w:bookmarkStart w:id="30" w:name="_Toc441666171"/>
      <w:r w:rsidRPr="002C323A">
        <w:rPr>
          <w:rFonts w:ascii="Verdana" w:hAnsi="Verdana" w:cs="Verdana"/>
          <w:caps/>
          <w:snapToGrid w:val="0"/>
          <w:color w:val="auto"/>
          <w:sz w:val="20"/>
          <w:szCs w:val="20"/>
        </w:rPr>
        <w:t>VI</w:t>
      </w:r>
      <w:r w:rsidRPr="002C323A">
        <w:rPr>
          <w:rFonts w:ascii="Verdana" w:hAnsi="Verdana" w:cs="Verdana"/>
          <w:caps/>
          <w:snapToGrid w:val="0"/>
          <w:color w:val="auto"/>
          <w:sz w:val="20"/>
          <w:szCs w:val="20"/>
        </w:rPr>
        <w:br/>
        <w:t>fondo</w:t>
      </w:r>
      <w:bookmarkEnd w:id="30"/>
    </w:p>
    <w:p w14:paraId="3697A7F3" w14:textId="77777777" w:rsidR="00A825D8" w:rsidRDefault="00A825D8" w:rsidP="007E0325">
      <w:pPr>
        <w:jc w:val="both"/>
        <w:rPr>
          <w:rFonts w:ascii="Verdana" w:hAnsi="Verdana"/>
          <w:sz w:val="20"/>
          <w:szCs w:val="20"/>
          <w:lang w:val="es-ES"/>
        </w:rPr>
      </w:pPr>
    </w:p>
    <w:p w14:paraId="7312F422" w14:textId="2AB7C081" w:rsidR="007E0325" w:rsidRPr="00261627" w:rsidRDefault="007E0325" w:rsidP="00B155BA">
      <w:pPr>
        <w:pStyle w:val="ListParagraph"/>
        <w:numPr>
          <w:ilvl w:val="0"/>
          <w:numId w:val="2"/>
        </w:numPr>
        <w:ind w:left="0" w:hanging="11"/>
        <w:jc w:val="both"/>
        <w:rPr>
          <w:rFonts w:ascii="Verdana" w:hAnsi="Verdana"/>
          <w:sz w:val="20"/>
          <w:szCs w:val="20"/>
          <w:lang w:val="es-CR"/>
        </w:rPr>
      </w:pPr>
      <w:r w:rsidRPr="00C447F8">
        <w:rPr>
          <w:rFonts w:ascii="Verdana" w:hAnsi="Verdana"/>
          <w:sz w:val="20"/>
          <w:szCs w:val="20"/>
          <w:lang w:val="es-CR"/>
        </w:rPr>
        <w:t xml:space="preserve">En atención a los derechos de la Convención alegados en el presente caso, la Corte realizará el siguiente análisis: 1) Derecho de la Personalidad Jurídica, en relación con los artículos 21, 25, 1.1 y 2 de la Convención Americana; 2) Derecho a la propiedad colectiva </w:t>
      </w:r>
      <w:r w:rsidR="001A4213">
        <w:rPr>
          <w:rFonts w:ascii="Verdana" w:hAnsi="Verdana"/>
          <w:sz w:val="20"/>
          <w:szCs w:val="20"/>
          <w:lang w:val="es-CR"/>
        </w:rPr>
        <w:t xml:space="preserve">y Derechos políticos, </w:t>
      </w:r>
      <w:r w:rsidRPr="00C447F8">
        <w:rPr>
          <w:rFonts w:ascii="Verdana" w:hAnsi="Verdana"/>
          <w:sz w:val="20"/>
          <w:szCs w:val="20"/>
          <w:lang w:val="es-CR"/>
        </w:rPr>
        <w:t>en relación con los artículos 1.1 y 2 de la Convención Americana, y 3) Derecho a la protección judicial, en rela</w:t>
      </w:r>
      <w:r w:rsidR="00566858">
        <w:rPr>
          <w:rFonts w:ascii="Verdana" w:hAnsi="Verdana"/>
          <w:sz w:val="20"/>
          <w:szCs w:val="20"/>
          <w:lang w:val="es-CR"/>
        </w:rPr>
        <w:t xml:space="preserve">ción con los artículos 1.1, 2, </w:t>
      </w:r>
      <w:r w:rsidRPr="00C447F8">
        <w:rPr>
          <w:rFonts w:ascii="Verdana" w:hAnsi="Verdana"/>
          <w:sz w:val="20"/>
          <w:szCs w:val="20"/>
          <w:lang w:val="es-CR"/>
        </w:rPr>
        <w:t xml:space="preserve">13 </w:t>
      </w:r>
      <w:r w:rsidR="00566858">
        <w:rPr>
          <w:rFonts w:ascii="Verdana" w:hAnsi="Verdana"/>
          <w:sz w:val="20"/>
          <w:szCs w:val="20"/>
          <w:lang w:val="es-CR"/>
        </w:rPr>
        <w:t xml:space="preserve">y 23 </w:t>
      </w:r>
      <w:r w:rsidRPr="00C447F8">
        <w:rPr>
          <w:rFonts w:ascii="Verdana" w:hAnsi="Verdana"/>
          <w:sz w:val="20"/>
          <w:szCs w:val="20"/>
          <w:lang w:val="es-CR"/>
        </w:rPr>
        <w:t>de la Convención Americana.</w:t>
      </w:r>
      <w:r w:rsidRPr="00C447F8">
        <w:rPr>
          <w:rFonts w:ascii="Verdana" w:hAnsi="Verdana"/>
          <w:b/>
          <w:sz w:val="20"/>
          <w:szCs w:val="20"/>
          <w:lang w:val="es-CR"/>
        </w:rPr>
        <w:t xml:space="preserve"> </w:t>
      </w:r>
      <w:r w:rsidR="00B155BA" w:rsidRPr="00063FA1">
        <w:rPr>
          <w:rFonts w:ascii="Verdana" w:hAnsi="Verdana"/>
          <w:sz w:val="20"/>
          <w:szCs w:val="20"/>
          <w:lang w:val="es-CR"/>
        </w:rPr>
        <w:t xml:space="preserve">Es preciso señalar que, de acuerdo con la jurisprudencia de la Corte, las alusiones que se hagan a los </w:t>
      </w:r>
      <w:r w:rsidR="00B155BA">
        <w:rPr>
          <w:rFonts w:ascii="Verdana" w:hAnsi="Verdana"/>
          <w:sz w:val="20"/>
          <w:szCs w:val="20"/>
          <w:lang w:val="es-CR"/>
        </w:rPr>
        <w:t xml:space="preserve">estándares sobre los </w:t>
      </w:r>
      <w:r w:rsidR="00B155BA" w:rsidRPr="00063FA1">
        <w:rPr>
          <w:rFonts w:ascii="Verdana" w:hAnsi="Verdana"/>
          <w:sz w:val="20"/>
          <w:szCs w:val="20"/>
          <w:lang w:val="es-CR"/>
        </w:rPr>
        <w:t xml:space="preserve">derechos de los pueblos indígenas, también son aplicables a los pueblos tribales. </w:t>
      </w:r>
    </w:p>
    <w:p w14:paraId="392CBAE8" w14:textId="77777777" w:rsidR="007E0325" w:rsidRPr="00C31C5A" w:rsidRDefault="007E0325" w:rsidP="007E0325">
      <w:pPr>
        <w:jc w:val="both"/>
        <w:rPr>
          <w:rFonts w:ascii="Verdana" w:hAnsi="Verdana"/>
          <w:sz w:val="20"/>
          <w:szCs w:val="20"/>
          <w:lang w:val="es-CR"/>
        </w:rPr>
      </w:pPr>
    </w:p>
    <w:p w14:paraId="040B282F" w14:textId="77777777" w:rsidR="00156905" w:rsidRDefault="007E0325" w:rsidP="007E0325">
      <w:pPr>
        <w:pStyle w:val="Heading1"/>
        <w:tabs>
          <w:tab w:val="left" w:pos="851"/>
        </w:tabs>
        <w:spacing w:before="0"/>
        <w:jc w:val="center"/>
        <w:rPr>
          <w:rFonts w:ascii="Verdana" w:hAnsi="Verdana" w:cs="Verdana"/>
          <w:caps/>
          <w:snapToGrid w:val="0"/>
          <w:color w:val="auto"/>
          <w:sz w:val="20"/>
          <w:szCs w:val="20"/>
        </w:rPr>
      </w:pPr>
      <w:bookmarkStart w:id="31" w:name="_Toc436065812"/>
      <w:bookmarkStart w:id="32" w:name="_Toc436289278"/>
      <w:bookmarkStart w:id="33" w:name="_Toc438137470"/>
      <w:bookmarkStart w:id="34" w:name="_Toc441666172"/>
      <w:r>
        <w:rPr>
          <w:rFonts w:ascii="Verdana" w:hAnsi="Verdana" w:cs="Verdana"/>
          <w:caps/>
          <w:snapToGrid w:val="0"/>
          <w:color w:val="auto"/>
          <w:sz w:val="20"/>
          <w:szCs w:val="20"/>
        </w:rPr>
        <w:t>VI-I</w:t>
      </w:r>
      <w:r w:rsidRPr="00FD7DB4">
        <w:rPr>
          <w:rFonts w:ascii="Verdana" w:hAnsi="Verdana" w:cs="Verdana"/>
          <w:caps/>
          <w:snapToGrid w:val="0"/>
          <w:color w:val="auto"/>
          <w:sz w:val="20"/>
          <w:szCs w:val="20"/>
        </w:rPr>
        <w:br/>
      </w:r>
      <w:r>
        <w:rPr>
          <w:rFonts w:ascii="Verdana" w:hAnsi="Verdana" w:cs="Verdana"/>
          <w:caps/>
          <w:snapToGrid w:val="0"/>
          <w:color w:val="auto"/>
          <w:sz w:val="20"/>
          <w:szCs w:val="20"/>
        </w:rPr>
        <w:t xml:space="preserve">derecho al reconocimiento de la personalidad jurídica </w:t>
      </w:r>
      <w:r w:rsidR="00A825D8">
        <w:rPr>
          <w:rFonts w:ascii="Verdana" w:hAnsi="Verdana" w:cs="Verdana"/>
          <w:caps/>
          <w:snapToGrid w:val="0"/>
          <w:color w:val="auto"/>
          <w:sz w:val="20"/>
          <w:szCs w:val="20"/>
        </w:rPr>
        <w:t xml:space="preserve">(Artículo 3) </w:t>
      </w:r>
      <w:r>
        <w:rPr>
          <w:rFonts w:ascii="Verdana" w:hAnsi="Verdana" w:cs="Verdana"/>
          <w:caps/>
          <w:snapToGrid w:val="0"/>
          <w:color w:val="auto"/>
          <w:sz w:val="20"/>
          <w:szCs w:val="20"/>
        </w:rPr>
        <w:t xml:space="preserve">en relación con los artículos </w:t>
      </w:r>
      <w:r w:rsidR="00156905">
        <w:rPr>
          <w:rFonts w:ascii="Verdana" w:hAnsi="Verdana" w:cs="Verdana"/>
          <w:caps/>
          <w:snapToGrid w:val="0"/>
          <w:color w:val="auto"/>
          <w:sz w:val="20"/>
          <w:szCs w:val="20"/>
        </w:rPr>
        <w:t xml:space="preserve">1.1, 2, </w:t>
      </w:r>
      <w:r>
        <w:rPr>
          <w:rFonts w:ascii="Verdana" w:hAnsi="Verdana" w:cs="Verdana"/>
          <w:caps/>
          <w:snapToGrid w:val="0"/>
          <w:color w:val="auto"/>
          <w:sz w:val="20"/>
          <w:szCs w:val="20"/>
        </w:rPr>
        <w:t>21 y 25</w:t>
      </w:r>
      <w:bookmarkEnd w:id="31"/>
      <w:bookmarkEnd w:id="32"/>
      <w:bookmarkEnd w:id="33"/>
      <w:bookmarkEnd w:id="34"/>
      <w:r w:rsidR="00156905">
        <w:rPr>
          <w:rFonts w:ascii="Verdana" w:hAnsi="Verdana" w:cs="Verdana"/>
          <w:caps/>
          <w:snapToGrid w:val="0"/>
          <w:color w:val="auto"/>
          <w:sz w:val="20"/>
          <w:szCs w:val="20"/>
        </w:rPr>
        <w:t xml:space="preserve"> </w:t>
      </w:r>
    </w:p>
    <w:p w14:paraId="3B1134A5" w14:textId="77777777" w:rsidR="007E0325" w:rsidRPr="00FD7DB4" w:rsidRDefault="007E0325" w:rsidP="007E0325">
      <w:pPr>
        <w:pStyle w:val="Heading1"/>
        <w:tabs>
          <w:tab w:val="left" w:pos="851"/>
        </w:tabs>
        <w:spacing w:before="0"/>
        <w:jc w:val="center"/>
        <w:rPr>
          <w:rFonts w:ascii="Verdana" w:hAnsi="Verdana" w:cs="Verdana"/>
          <w:caps/>
          <w:snapToGrid w:val="0"/>
          <w:color w:val="auto"/>
          <w:sz w:val="20"/>
          <w:szCs w:val="20"/>
        </w:rPr>
      </w:pPr>
      <w:bookmarkStart w:id="35" w:name="_Toc434249359"/>
      <w:bookmarkStart w:id="36" w:name="_Toc434939909"/>
      <w:bookmarkStart w:id="37" w:name="_Toc441666173"/>
      <w:r>
        <w:rPr>
          <w:rFonts w:ascii="Verdana" w:hAnsi="Verdana" w:cs="Verdana"/>
          <w:caps/>
          <w:snapToGrid w:val="0"/>
          <w:color w:val="auto"/>
          <w:sz w:val="20"/>
          <w:szCs w:val="20"/>
        </w:rPr>
        <w:t xml:space="preserve">de la convención americana </w:t>
      </w:r>
      <w:r w:rsidR="001A22BD">
        <w:rPr>
          <w:rFonts w:ascii="Verdana" w:hAnsi="Verdana" w:cs="Verdana"/>
          <w:caps/>
          <w:snapToGrid w:val="0"/>
          <w:color w:val="auto"/>
          <w:sz w:val="20"/>
          <w:szCs w:val="20"/>
        </w:rPr>
        <w:t>SOBRE</w:t>
      </w:r>
      <w:r>
        <w:rPr>
          <w:rFonts w:ascii="Verdana" w:hAnsi="Verdana" w:cs="Verdana"/>
          <w:caps/>
          <w:snapToGrid w:val="0"/>
          <w:color w:val="auto"/>
          <w:sz w:val="20"/>
          <w:szCs w:val="20"/>
        </w:rPr>
        <w:t xml:space="preserve"> derechos humanos</w:t>
      </w:r>
      <w:bookmarkEnd w:id="35"/>
      <w:bookmarkEnd w:id="36"/>
      <w:bookmarkEnd w:id="37"/>
    </w:p>
    <w:p w14:paraId="1E1D5FCE" w14:textId="77777777" w:rsidR="007E0325" w:rsidRPr="00465C2D" w:rsidRDefault="007E0325" w:rsidP="007E0325">
      <w:pPr>
        <w:jc w:val="both"/>
        <w:rPr>
          <w:rFonts w:ascii="Verdana" w:hAnsi="Verdana"/>
          <w:sz w:val="20"/>
          <w:szCs w:val="20"/>
          <w:lang w:val="es-ES"/>
        </w:rPr>
      </w:pPr>
    </w:p>
    <w:p w14:paraId="67F12EB6" w14:textId="77777777" w:rsidR="007E0325" w:rsidRPr="0017551B" w:rsidRDefault="007E0325" w:rsidP="007E0325">
      <w:pPr>
        <w:pStyle w:val="Heading2"/>
        <w:numPr>
          <w:ilvl w:val="0"/>
          <w:numId w:val="29"/>
        </w:numPr>
        <w:spacing w:before="0"/>
        <w:jc w:val="both"/>
        <w:rPr>
          <w:rFonts w:ascii="Verdana" w:eastAsia="Calibri" w:hAnsi="Verdana"/>
          <w:sz w:val="20"/>
          <w:szCs w:val="20"/>
          <w:lang w:val="es-ES"/>
        </w:rPr>
      </w:pPr>
      <w:bookmarkStart w:id="38" w:name="_Toc441666174"/>
      <w:r w:rsidRPr="007E0325">
        <w:rPr>
          <w:rFonts w:ascii="Verdana" w:hAnsi="Verdana"/>
          <w:bCs w:val="0"/>
          <w:i/>
          <w:color w:val="auto"/>
          <w:sz w:val="20"/>
          <w:szCs w:val="20"/>
        </w:rPr>
        <w:t>Argumentos de la Comisión y de las partes</w:t>
      </w:r>
      <w:bookmarkEnd w:id="38"/>
    </w:p>
    <w:p w14:paraId="2A99E3E5" w14:textId="77777777" w:rsidR="007E0325" w:rsidRDefault="007E0325" w:rsidP="007E0325">
      <w:pPr>
        <w:jc w:val="both"/>
        <w:rPr>
          <w:rFonts w:ascii="Verdana" w:hAnsi="Verdana"/>
          <w:sz w:val="20"/>
          <w:szCs w:val="20"/>
          <w:lang w:val="es-CR"/>
        </w:rPr>
      </w:pPr>
    </w:p>
    <w:p w14:paraId="6CC8919E" w14:textId="6AE118E4" w:rsidR="007E0325" w:rsidRPr="00465C2D" w:rsidRDefault="007E0325" w:rsidP="007E0325">
      <w:pPr>
        <w:pStyle w:val="ListParagraph"/>
        <w:numPr>
          <w:ilvl w:val="0"/>
          <w:numId w:val="2"/>
        </w:numPr>
        <w:ind w:left="0" w:hanging="11"/>
        <w:jc w:val="both"/>
        <w:rPr>
          <w:rFonts w:ascii="Verdana" w:hAnsi="Verdana"/>
          <w:sz w:val="20"/>
          <w:szCs w:val="20"/>
          <w:lang w:val="es-CR"/>
        </w:rPr>
      </w:pPr>
      <w:r w:rsidRPr="00465C2D">
        <w:rPr>
          <w:rFonts w:ascii="Verdana" w:hAnsi="Verdana"/>
          <w:sz w:val="20"/>
          <w:szCs w:val="20"/>
          <w:lang w:val="es-CR"/>
        </w:rPr>
        <w:t xml:space="preserve">La </w:t>
      </w:r>
      <w:r w:rsidRPr="00465C2D">
        <w:rPr>
          <w:rFonts w:ascii="Verdana" w:hAnsi="Verdana"/>
          <w:b/>
          <w:i/>
          <w:sz w:val="20"/>
          <w:szCs w:val="20"/>
          <w:lang w:val="es-CR"/>
        </w:rPr>
        <w:t>Comisión</w:t>
      </w:r>
      <w:r w:rsidRPr="00465C2D">
        <w:rPr>
          <w:rFonts w:ascii="Verdana" w:hAnsi="Verdana"/>
          <w:sz w:val="20"/>
          <w:szCs w:val="20"/>
          <w:lang w:val="es-CR"/>
        </w:rPr>
        <w:t xml:space="preserve"> concluyó que </w:t>
      </w:r>
      <w:r w:rsidR="00563E11">
        <w:rPr>
          <w:rFonts w:ascii="Verdana" w:hAnsi="Verdana"/>
          <w:sz w:val="20"/>
          <w:szCs w:val="20"/>
          <w:lang w:val="es-CR"/>
        </w:rPr>
        <w:t>Surinam</w:t>
      </w:r>
      <w:r w:rsidRPr="00465C2D">
        <w:rPr>
          <w:rFonts w:ascii="Verdana" w:hAnsi="Verdana"/>
          <w:sz w:val="20"/>
          <w:szCs w:val="20"/>
          <w:lang w:val="es-CR"/>
        </w:rPr>
        <w:t xml:space="preserve"> ha violado el derecho de los </w:t>
      </w:r>
      <w:r w:rsidR="00382F4D">
        <w:rPr>
          <w:rFonts w:ascii="Verdana" w:hAnsi="Verdana"/>
          <w:sz w:val="20"/>
          <w:szCs w:val="20"/>
          <w:lang w:val="es-CR"/>
        </w:rPr>
        <w:t>Pueblos Kaliña y Lokono</w:t>
      </w:r>
      <w:r w:rsidRPr="00465C2D">
        <w:rPr>
          <w:rFonts w:ascii="Verdana" w:hAnsi="Verdana"/>
          <w:sz w:val="20"/>
          <w:szCs w:val="20"/>
          <w:lang w:val="es-CR"/>
        </w:rPr>
        <w:t xml:space="preserve"> al reconocimiento de su personalidad jurídica, en virtud del artículo 3 de la Convención Americana, en relación con los artículos 1.1 y 2 del mismo instrumento, debido a que, al igual que en </w:t>
      </w:r>
      <w:r w:rsidR="001A22BD">
        <w:rPr>
          <w:rFonts w:ascii="Verdana" w:hAnsi="Verdana"/>
          <w:sz w:val="20"/>
          <w:szCs w:val="20"/>
          <w:lang w:val="es-CR"/>
        </w:rPr>
        <w:t xml:space="preserve">el </w:t>
      </w:r>
      <w:r w:rsidRPr="00465C2D">
        <w:rPr>
          <w:rFonts w:ascii="Verdana" w:hAnsi="Verdana"/>
          <w:sz w:val="20"/>
          <w:szCs w:val="20"/>
          <w:lang w:val="es-CR"/>
        </w:rPr>
        <w:t xml:space="preserve">caso del </w:t>
      </w:r>
      <w:r w:rsidRPr="00465C2D">
        <w:rPr>
          <w:rFonts w:ascii="Verdana" w:hAnsi="Verdana"/>
          <w:i/>
          <w:sz w:val="20"/>
          <w:szCs w:val="20"/>
          <w:lang w:val="es-CR"/>
        </w:rPr>
        <w:t>Pueblo Saramaka</w:t>
      </w:r>
      <w:r w:rsidRPr="00465C2D">
        <w:rPr>
          <w:rFonts w:ascii="Verdana" w:hAnsi="Verdana"/>
          <w:sz w:val="20"/>
          <w:szCs w:val="20"/>
          <w:lang w:val="es-CR"/>
        </w:rPr>
        <w:t xml:space="preserve">, la ley </w:t>
      </w:r>
      <w:r w:rsidR="001A22BD">
        <w:rPr>
          <w:rFonts w:ascii="Verdana" w:hAnsi="Verdana"/>
          <w:sz w:val="20"/>
          <w:szCs w:val="20"/>
          <w:lang w:val="es-CR"/>
        </w:rPr>
        <w:t>s</w:t>
      </w:r>
      <w:r w:rsidR="00563E11">
        <w:rPr>
          <w:rFonts w:ascii="Verdana" w:hAnsi="Verdana"/>
          <w:sz w:val="20"/>
          <w:szCs w:val="20"/>
          <w:lang w:val="es-CR"/>
        </w:rPr>
        <w:t>urinam</w:t>
      </w:r>
      <w:r w:rsidR="002706DE">
        <w:rPr>
          <w:rFonts w:ascii="Verdana" w:hAnsi="Verdana"/>
          <w:sz w:val="20"/>
          <w:szCs w:val="20"/>
          <w:lang w:val="es-CR"/>
        </w:rPr>
        <w:t>e</w:t>
      </w:r>
      <w:r w:rsidRPr="00465C2D">
        <w:rPr>
          <w:rFonts w:ascii="Verdana" w:hAnsi="Verdana"/>
          <w:sz w:val="20"/>
          <w:szCs w:val="20"/>
          <w:lang w:val="es-CR"/>
        </w:rPr>
        <w:t>sa no reconoce el derecho de los pueblos indígenas a la personalidad jurídic</w:t>
      </w:r>
      <w:r>
        <w:rPr>
          <w:rFonts w:ascii="Verdana" w:hAnsi="Verdana"/>
          <w:sz w:val="20"/>
          <w:szCs w:val="20"/>
          <w:lang w:val="es-CR"/>
        </w:rPr>
        <w:t>a, a pesar de que el Estado declara que se encuentra en proceso de reconocimiento de diversos derechos indígenas. Por tanto, la Comisión estim</w:t>
      </w:r>
      <w:r w:rsidR="001A4213">
        <w:rPr>
          <w:rFonts w:ascii="Verdana" w:hAnsi="Verdana"/>
          <w:sz w:val="20"/>
          <w:szCs w:val="20"/>
          <w:lang w:val="es-CR"/>
        </w:rPr>
        <w:t>ó</w:t>
      </w:r>
      <w:r>
        <w:rPr>
          <w:rFonts w:ascii="Verdana" w:hAnsi="Verdana"/>
          <w:sz w:val="20"/>
          <w:szCs w:val="20"/>
          <w:lang w:val="es-CR"/>
        </w:rPr>
        <w:t xml:space="preserve"> que al respecto no existe realmente una controversia, sino más bien una violación continuada al artículo 3 de la Convención</w:t>
      </w:r>
      <w:r w:rsidR="001A22BD">
        <w:rPr>
          <w:rFonts w:ascii="Verdana" w:hAnsi="Verdana"/>
          <w:sz w:val="20"/>
          <w:szCs w:val="20"/>
          <w:lang w:val="es-CR"/>
        </w:rPr>
        <w:t>,</w:t>
      </w:r>
      <w:r>
        <w:rPr>
          <w:rFonts w:ascii="Verdana" w:hAnsi="Verdana"/>
          <w:sz w:val="20"/>
          <w:szCs w:val="20"/>
          <w:lang w:val="es-CR"/>
        </w:rPr>
        <w:t xml:space="preserve"> toda vez que desde el caso </w:t>
      </w:r>
      <w:r w:rsidR="00415A21">
        <w:rPr>
          <w:rFonts w:ascii="Verdana" w:hAnsi="Verdana"/>
          <w:sz w:val="20"/>
          <w:szCs w:val="20"/>
          <w:lang w:val="es-CR"/>
        </w:rPr>
        <w:t xml:space="preserve">del </w:t>
      </w:r>
      <w:r w:rsidR="00415A21" w:rsidRPr="00415A21">
        <w:rPr>
          <w:rFonts w:ascii="Verdana" w:hAnsi="Verdana"/>
          <w:i/>
          <w:sz w:val="20"/>
          <w:szCs w:val="20"/>
          <w:lang w:val="es-CR"/>
        </w:rPr>
        <w:t xml:space="preserve">Pueblo </w:t>
      </w:r>
      <w:r w:rsidR="008A4ABB" w:rsidRPr="007E20F9">
        <w:rPr>
          <w:rFonts w:ascii="Verdana" w:hAnsi="Verdana"/>
          <w:i/>
          <w:sz w:val="20"/>
          <w:lang w:val="es-CR"/>
        </w:rPr>
        <w:t>Saramaka</w:t>
      </w:r>
      <w:r w:rsidR="008A4ABB" w:rsidRPr="007E20F9">
        <w:rPr>
          <w:rFonts w:ascii="Verdana" w:hAnsi="Verdana"/>
          <w:i/>
          <w:sz w:val="20"/>
          <w:szCs w:val="20"/>
          <w:lang w:val="es-CR"/>
        </w:rPr>
        <w:t xml:space="preserve"> </w:t>
      </w:r>
      <w:r>
        <w:rPr>
          <w:rFonts w:ascii="Verdana" w:hAnsi="Verdana"/>
          <w:sz w:val="20"/>
          <w:szCs w:val="20"/>
          <w:lang w:val="es-CR"/>
        </w:rPr>
        <w:t>est</w:t>
      </w:r>
      <w:r w:rsidR="0083475A">
        <w:rPr>
          <w:rFonts w:ascii="Verdana" w:hAnsi="Verdana"/>
          <w:sz w:val="20"/>
          <w:szCs w:val="20"/>
          <w:lang w:val="es-CR"/>
        </w:rPr>
        <w:t>a</w:t>
      </w:r>
      <w:r>
        <w:rPr>
          <w:rFonts w:ascii="Verdana" w:hAnsi="Verdana"/>
          <w:sz w:val="20"/>
          <w:szCs w:val="20"/>
          <w:lang w:val="es-CR"/>
        </w:rPr>
        <w:t xml:space="preserve"> Corte estableció que el Estado de </w:t>
      </w:r>
      <w:r w:rsidR="00563E11">
        <w:rPr>
          <w:rFonts w:ascii="Verdana" w:hAnsi="Verdana"/>
          <w:sz w:val="20"/>
          <w:szCs w:val="20"/>
          <w:lang w:val="es-CR"/>
        </w:rPr>
        <w:t>Surinam</w:t>
      </w:r>
      <w:r>
        <w:rPr>
          <w:rFonts w:ascii="Verdana" w:hAnsi="Verdana"/>
          <w:sz w:val="20"/>
          <w:szCs w:val="20"/>
          <w:lang w:val="es-CR"/>
        </w:rPr>
        <w:t xml:space="preserve"> tenía que reconocerles personalidad jurídica a los pueblos tribales e indígenas.</w:t>
      </w:r>
    </w:p>
    <w:p w14:paraId="65875AE6" w14:textId="77777777" w:rsidR="007E0325" w:rsidRPr="00465C2D" w:rsidRDefault="007E0325" w:rsidP="007E0325">
      <w:pPr>
        <w:jc w:val="both"/>
        <w:rPr>
          <w:rFonts w:ascii="Verdana" w:hAnsi="Verdana"/>
          <w:sz w:val="20"/>
          <w:szCs w:val="20"/>
          <w:lang w:val="es-CR"/>
        </w:rPr>
      </w:pPr>
    </w:p>
    <w:p w14:paraId="14B7172E" w14:textId="79612792" w:rsidR="007E0325" w:rsidRPr="00465C2D" w:rsidRDefault="007E0325" w:rsidP="007E0325">
      <w:pPr>
        <w:pStyle w:val="ListParagraph"/>
        <w:numPr>
          <w:ilvl w:val="0"/>
          <w:numId w:val="2"/>
        </w:numPr>
        <w:ind w:left="0" w:hanging="11"/>
        <w:jc w:val="both"/>
        <w:rPr>
          <w:rFonts w:ascii="Verdana" w:hAnsi="Verdana"/>
          <w:sz w:val="20"/>
          <w:szCs w:val="20"/>
          <w:lang w:val="es-CR"/>
        </w:rPr>
      </w:pPr>
      <w:r w:rsidRPr="00465C2D">
        <w:rPr>
          <w:rFonts w:ascii="Verdana" w:hAnsi="Verdana"/>
          <w:sz w:val="20"/>
          <w:szCs w:val="20"/>
          <w:lang w:val="es-CR"/>
        </w:rPr>
        <w:t xml:space="preserve">Los </w:t>
      </w:r>
      <w:r w:rsidRPr="00465C2D">
        <w:rPr>
          <w:rFonts w:ascii="Verdana" w:hAnsi="Verdana"/>
          <w:b/>
          <w:i/>
          <w:sz w:val="20"/>
          <w:szCs w:val="20"/>
          <w:lang w:val="es-CR"/>
        </w:rPr>
        <w:t>representantes</w:t>
      </w:r>
      <w:r w:rsidRPr="00465C2D">
        <w:rPr>
          <w:rFonts w:ascii="Verdana" w:hAnsi="Verdana"/>
          <w:sz w:val="20"/>
          <w:szCs w:val="20"/>
          <w:lang w:val="es-CR"/>
        </w:rPr>
        <w:t xml:space="preserve"> coincidieron en líneas generales con la Comisión. Señalaron que debido a que los </w:t>
      </w:r>
      <w:r w:rsidR="0083475A">
        <w:rPr>
          <w:rFonts w:ascii="Verdana" w:hAnsi="Verdana"/>
          <w:sz w:val="20"/>
          <w:szCs w:val="20"/>
          <w:lang w:val="es-CR"/>
        </w:rPr>
        <w:t xml:space="preserve">Pueblos </w:t>
      </w:r>
      <w:r w:rsidRPr="00465C2D">
        <w:rPr>
          <w:rFonts w:ascii="Verdana" w:hAnsi="Verdana"/>
          <w:sz w:val="20"/>
          <w:szCs w:val="20"/>
          <w:lang w:val="es-CR"/>
        </w:rPr>
        <w:t>Kaliña y Lokono se les niega el derecho a ser reconocidos como personas ante la ley, también se les niega la capacidad de mantener, ejercer y buscar la protección de su propiedad colectiva y otros derechos en la legislación nacional y los tribunales.</w:t>
      </w:r>
      <w:r>
        <w:rPr>
          <w:rFonts w:ascii="Verdana" w:hAnsi="Verdana"/>
          <w:sz w:val="20"/>
          <w:szCs w:val="20"/>
          <w:lang w:val="es-CR"/>
        </w:rPr>
        <w:t xml:space="preserve"> Asimismo, los representantes argumentan que el Estado ha incumplido lo establecido en el caso de</w:t>
      </w:r>
      <w:r w:rsidR="001A22BD">
        <w:rPr>
          <w:rFonts w:ascii="Verdana" w:hAnsi="Verdana"/>
          <w:sz w:val="20"/>
          <w:szCs w:val="20"/>
          <w:lang w:val="es-CR"/>
        </w:rPr>
        <w:t xml:space="preserve">l </w:t>
      </w:r>
      <w:r w:rsidR="008A4ABB" w:rsidRPr="007E20F9">
        <w:rPr>
          <w:rFonts w:ascii="Verdana" w:hAnsi="Verdana"/>
          <w:i/>
          <w:sz w:val="20"/>
          <w:szCs w:val="20"/>
          <w:lang w:val="es-CR"/>
        </w:rPr>
        <w:t>Pueblo</w:t>
      </w:r>
      <w:r>
        <w:rPr>
          <w:rFonts w:ascii="Verdana" w:hAnsi="Verdana"/>
          <w:sz w:val="20"/>
          <w:lang w:val="es-CR"/>
        </w:rPr>
        <w:t xml:space="preserve"> </w:t>
      </w:r>
      <w:r w:rsidR="008A4ABB" w:rsidRPr="007E20F9">
        <w:rPr>
          <w:rFonts w:ascii="Verdana" w:hAnsi="Verdana"/>
          <w:i/>
          <w:sz w:val="20"/>
          <w:lang w:val="es-CR"/>
        </w:rPr>
        <w:t>Saramaka</w:t>
      </w:r>
      <w:r>
        <w:rPr>
          <w:rFonts w:ascii="Verdana" w:hAnsi="Verdana"/>
          <w:sz w:val="20"/>
          <w:szCs w:val="20"/>
          <w:lang w:val="es-CR"/>
        </w:rPr>
        <w:t xml:space="preserve">, en el sentido de adoptar medidas legislativas y </w:t>
      </w:r>
      <w:r>
        <w:rPr>
          <w:rFonts w:ascii="Verdana" w:hAnsi="Verdana"/>
          <w:sz w:val="20"/>
          <w:szCs w:val="20"/>
          <w:lang w:val="es-CR"/>
        </w:rPr>
        <w:lastRenderedPageBreak/>
        <w:t>administrativas que reconozcan la personalidad jurídica de pueblos indígenas y tribales.</w:t>
      </w:r>
      <w:r w:rsidRPr="00465C2D">
        <w:rPr>
          <w:rFonts w:ascii="Verdana" w:hAnsi="Verdana"/>
          <w:sz w:val="20"/>
          <w:szCs w:val="20"/>
          <w:lang w:val="es-CR"/>
        </w:rPr>
        <w:t xml:space="preserve"> Por ello, </w:t>
      </w:r>
      <w:r w:rsidR="00563E11">
        <w:rPr>
          <w:rFonts w:ascii="Verdana" w:hAnsi="Verdana"/>
          <w:sz w:val="20"/>
          <w:szCs w:val="20"/>
          <w:lang w:val="es-CR"/>
        </w:rPr>
        <w:t>Surinam</w:t>
      </w:r>
      <w:r w:rsidRPr="00465C2D">
        <w:rPr>
          <w:rFonts w:ascii="Verdana" w:hAnsi="Verdana"/>
          <w:sz w:val="20"/>
          <w:szCs w:val="20"/>
          <w:lang w:val="es-CR"/>
        </w:rPr>
        <w:t xml:space="preserve"> ha violado el artículo 3 de la Convención en relación con los artículos 1 y 2 de la misma</w:t>
      </w:r>
      <w:r w:rsidRPr="000D7C76">
        <w:rPr>
          <w:rFonts w:ascii="Verdana" w:hAnsi="Verdana"/>
          <w:sz w:val="20"/>
          <w:szCs w:val="20"/>
          <w:lang w:val="es-CR"/>
        </w:rPr>
        <w:t>.</w:t>
      </w:r>
    </w:p>
    <w:p w14:paraId="4F00E938" w14:textId="77777777" w:rsidR="007E0325" w:rsidRDefault="007E0325" w:rsidP="007E0325">
      <w:pPr>
        <w:jc w:val="both"/>
        <w:rPr>
          <w:rFonts w:ascii="Verdana" w:hAnsi="Verdana"/>
          <w:sz w:val="20"/>
          <w:szCs w:val="20"/>
          <w:lang w:val="es-CR"/>
        </w:rPr>
      </w:pPr>
    </w:p>
    <w:p w14:paraId="70FFFB4F" w14:textId="1F38117D" w:rsidR="007E0325" w:rsidRPr="007E0325" w:rsidRDefault="007E0325" w:rsidP="007E0325">
      <w:pPr>
        <w:pStyle w:val="ListParagraph"/>
        <w:numPr>
          <w:ilvl w:val="0"/>
          <w:numId w:val="2"/>
        </w:numPr>
        <w:ind w:left="0" w:hanging="11"/>
        <w:jc w:val="both"/>
        <w:rPr>
          <w:rFonts w:ascii="Verdana" w:hAnsi="Verdana"/>
          <w:sz w:val="20"/>
          <w:szCs w:val="20"/>
          <w:lang w:val="es-CR"/>
        </w:rPr>
      </w:pPr>
      <w:r w:rsidRPr="00465C2D">
        <w:rPr>
          <w:rFonts w:ascii="Verdana" w:hAnsi="Verdana"/>
          <w:sz w:val="20"/>
          <w:szCs w:val="20"/>
          <w:lang w:val="es-CR"/>
        </w:rPr>
        <w:t xml:space="preserve">El </w:t>
      </w:r>
      <w:r w:rsidRPr="00465C2D">
        <w:rPr>
          <w:rFonts w:ascii="Verdana" w:hAnsi="Verdana"/>
          <w:b/>
          <w:i/>
          <w:sz w:val="20"/>
          <w:szCs w:val="20"/>
          <w:lang w:val="es-CR"/>
        </w:rPr>
        <w:t>Estado</w:t>
      </w:r>
      <w:r w:rsidRPr="00465C2D">
        <w:rPr>
          <w:rFonts w:ascii="Verdana" w:hAnsi="Verdana"/>
          <w:sz w:val="20"/>
          <w:szCs w:val="20"/>
          <w:lang w:val="es-CR"/>
        </w:rPr>
        <w:t xml:space="preserve"> alegó que es consciente de que los pueblos indígenas bajo el derecho internacional y la jurisprudencia, específicamente dentro del sistema interamericano de protección de los derechos humanos, tienen el derecho al reconocimiento de su personalidad jurídica colectiva. Sin embargo, el Estado señaló que la ley surinam</w:t>
      </w:r>
      <w:r w:rsidR="00BB789B">
        <w:rPr>
          <w:rFonts w:ascii="Verdana" w:hAnsi="Verdana"/>
          <w:sz w:val="20"/>
          <w:szCs w:val="20"/>
          <w:lang w:val="es-CR"/>
        </w:rPr>
        <w:t>esa</w:t>
      </w:r>
      <w:r w:rsidRPr="00465C2D">
        <w:rPr>
          <w:rFonts w:ascii="Verdana" w:hAnsi="Verdana"/>
          <w:sz w:val="20"/>
          <w:szCs w:val="20"/>
          <w:lang w:val="es-CR"/>
        </w:rPr>
        <w:t xml:space="preserve"> no está familiarizada con el concepto de otorgar personalidad jurídica colectiva a grupos étnicos. Asimismo, indicó que  la ley </w:t>
      </w:r>
      <w:r w:rsidR="00BB789B">
        <w:rPr>
          <w:rFonts w:ascii="Verdana" w:hAnsi="Verdana"/>
          <w:sz w:val="20"/>
          <w:szCs w:val="20"/>
          <w:lang w:val="es-CR"/>
        </w:rPr>
        <w:t xml:space="preserve">es </w:t>
      </w:r>
      <w:r w:rsidRPr="00465C2D">
        <w:rPr>
          <w:rFonts w:ascii="Verdana" w:hAnsi="Verdana"/>
          <w:sz w:val="20"/>
          <w:szCs w:val="20"/>
          <w:lang w:val="es-CR"/>
        </w:rPr>
        <w:t xml:space="preserve">la que establece de manera taxativa los sujetos que pueden acceder al reconocimiento de la personalidad jurídica, la cual reconoce a las personas naturales y a colectivos como asociaciones, fundaciones, ciertas compañías, entre otros, más no a grupos étnicos. El Estado indicó que el concepto de personalidad jurídica en el caso de los </w:t>
      </w:r>
      <w:r w:rsidR="00382F4D">
        <w:rPr>
          <w:rFonts w:ascii="Verdana" w:hAnsi="Verdana"/>
          <w:sz w:val="20"/>
          <w:szCs w:val="20"/>
          <w:lang w:val="es-CR"/>
        </w:rPr>
        <w:t>Pueblos Kaliña y Lokono</w:t>
      </w:r>
      <w:r w:rsidRPr="00465C2D">
        <w:rPr>
          <w:rFonts w:ascii="Verdana" w:hAnsi="Verdana"/>
          <w:sz w:val="20"/>
          <w:szCs w:val="20"/>
          <w:lang w:val="es-CR"/>
        </w:rPr>
        <w:t xml:space="preserve"> significa que cada miembro de la comunidad es considerado como </w:t>
      </w:r>
      <w:r w:rsidR="00ED473E">
        <w:rPr>
          <w:rFonts w:ascii="Verdana" w:hAnsi="Verdana"/>
          <w:sz w:val="20"/>
          <w:szCs w:val="20"/>
          <w:lang w:val="es-CR"/>
        </w:rPr>
        <w:t xml:space="preserve">titular </w:t>
      </w:r>
      <w:r w:rsidRPr="00465C2D">
        <w:rPr>
          <w:rFonts w:ascii="Verdana" w:hAnsi="Verdana"/>
          <w:sz w:val="20"/>
          <w:szCs w:val="20"/>
          <w:lang w:val="es-CR"/>
        </w:rPr>
        <w:t xml:space="preserve">de derechos y obligaciones. En este sentido, el Estado concluyó que aunque actualmente no existen disposiciones específicas relativas al reconocimiento de la </w:t>
      </w:r>
      <w:r w:rsidRPr="007E0325">
        <w:rPr>
          <w:rFonts w:ascii="Verdana" w:hAnsi="Verdana"/>
          <w:sz w:val="20"/>
          <w:szCs w:val="20"/>
          <w:lang w:val="es-CR"/>
        </w:rPr>
        <w:t>personalidad colectiva de los pueblos indígenas de Kaliña y Lokono, la legislación interna de ninguna manera limita los derechos de sus miembros como sujetos de derecho dentro del territorio nacional</w:t>
      </w:r>
      <w:r w:rsidR="00ED2DB3">
        <w:rPr>
          <w:rFonts w:ascii="Verdana" w:hAnsi="Verdana"/>
          <w:sz w:val="20"/>
          <w:szCs w:val="20"/>
          <w:lang w:val="es-CR"/>
        </w:rPr>
        <w:t>.</w:t>
      </w:r>
    </w:p>
    <w:p w14:paraId="2758EA1B" w14:textId="77777777" w:rsidR="007E0325" w:rsidRPr="007E0325" w:rsidRDefault="007E0325" w:rsidP="007E0325">
      <w:pPr>
        <w:jc w:val="both"/>
        <w:rPr>
          <w:rFonts w:ascii="Verdana" w:hAnsi="Verdana"/>
          <w:sz w:val="20"/>
          <w:szCs w:val="20"/>
          <w:lang w:val="es-CR"/>
        </w:rPr>
      </w:pPr>
    </w:p>
    <w:p w14:paraId="1919D093" w14:textId="43B13922" w:rsidR="007E0325" w:rsidRPr="004B0145" w:rsidRDefault="007E0325" w:rsidP="007E0325">
      <w:pPr>
        <w:pStyle w:val="ListParagraph"/>
        <w:numPr>
          <w:ilvl w:val="0"/>
          <w:numId w:val="2"/>
        </w:numPr>
        <w:ind w:left="0" w:hanging="11"/>
        <w:jc w:val="both"/>
        <w:rPr>
          <w:rFonts w:ascii="Verdana" w:hAnsi="Verdana"/>
          <w:sz w:val="20"/>
          <w:szCs w:val="20"/>
          <w:lang w:val="es-CR"/>
        </w:rPr>
      </w:pPr>
      <w:r w:rsidRPr="007E0325">
        <w:rPr>
          <w:rFonts w:ascii="Verdana" w:hAnsi="Verdana"/>
          <w:sz w:val="20"/>
          <w:szCs w:val="20"/>
          <w:lang w:val="es-CR"/>
        </w:rPr>
        <w:t xml:space="preserve">No obstante lo anterior, </w:t>
      </w:r>
      <w:r w:rsidR="00836F95">
        <w:rPr>
          <w:rFonts w:ascii="Verdana" w:hAnsi="Verdana"/>
          <w:sz w:val="20"/>
          <w:szCs w:val="20"/>
          <w:lang w:val="es-CR"/>
        </w:rPr>
        <w:t xml:space="preserve">el Estado señaló que, </w:t>
      </w:r>
      <w:r w:rsidRPr="007E0325">
        <w:rPr>
          <w:rFonts w:ascii="Verdana" w:hAnsi="Verdana"/>
          <w:sz w:val="20"/>
          <w:szCs w:val="20"/>
          <w:lang w:val="es-CR"/>
        </w:rPr>
        <w:t xml:space="preserve">de conformidad con las obligaciones </w:t>
      </w:r>
      <w:r w:rsidR="00ED473E">
        <w:rPr>
          <w:rFonts w:ascii="Verdana" w:hAnsi="Verdana"/>
          <w:sz w:val="20"/>
          <w:szCs w:val="20"/>
          <w:lang w:val="es-CR"/>
        </w:rPr>
        <w:t xml:space="preserve">adquiridas </w:t>
      </w:r>
      <w:r w:rsidRPr="007E0325">
        <w:rPr>
          <w:rFonts w:ascii="Verdana" w:hAnsi="Verdana"/>
          <w:sz w:val="20"/>
          <w:szCs w:val="20"/>
          <w:lang w:val="es-CR"/>
        </w:rPr>
        <w:t xml:space="preserve">en virtud de tratados, </w:t>
      </w:r>
      <w:r w:rsidR="00563E11">
        <w:rPr>
          <w:rFonts w:ascii="Verdana" w:hAnsi="Verdana"/>
          <w:sz w:val="20"/>
          <w:szCs w:val="20"/>
          <w:lang w:val="es-CR"/>
        </w:rPr>
        <w:t>Surinam</w:t>
      </w:r>
      <w:r w:rsidRPr="007E0325">
        <w:rPr>
          <w:rFonts w:ascii="Verdana" w:hAnsi="Verdana"/>
          <w:sz w:val="20"/>
          <w:szCs w:val="20"/>
          <w:lang w:val="es-CR"/>
        </w:rPr>
        <w:t xml:space="preserve"> inició un proceso para examinar o estudiar el impacto que el reconocimiento de los derechos colectivos tendría en </w:t>
      </w:r>
      <w:r w:rsidR="00790BF3">
        <w:rPr>
          <w:rFonts w:ascii="Verdana" w:hAnsi="Verdana"/>
          <w:sz w:val="20"/>
          <w:szCs w:val="20"/>
          <w:lang w:val="es-CR"/>
        </w:rPr>
        <w:t>su</w:t>
      </w:r>
      <w:r w:rsidRPr="007E0325">
        <w:rPr>
          <w:rFonts w:ascii="Verdana" w:hAnsi="Verdana"/>
          <w:sz w:val="20"/>
          <w:szCs w:val="20"/>
          <w:lang w:val="es-CR"/>
        </w:rPr>
        <w:t xml:space="preserve"> sistema jurídico</w:t>
      </w:r>
      <w:r w:rsidR="00790BF3">
        <w:rPr>
          <w:rFonts w:ascii="Verdana" w:hAnsi="Verdana"/>
          <w:sz w:val="20"/>
          <w:szCs w:val="20"/>
          <w:lang w:val="es-CR"/>
        </w:rPr>
        <w:t>.</w:t>
      </w:r>
      <w:r w:rsidRPr="007E0325">
        <w:rPr>
          <w:rFonts w:ascii="Verdana" w:hAnsi="Verdana"/>
          <w:sz w:val="20"/>
          <w:szCs w:val="20"/>
          <w:lang w:val="es-CR"/>
        </w:rPr>
        <w:t xml:space="preserve"> </w:t>
      </w:r>
      <w:r w:rsidR="00836F95">
        <w:rPr>
          <w:rFonts w:ascii="Verdana" w:hAnsi="Verdana"/>
          <w:sz w:val="20"/>
          <w:szCs w:val="20"/>
          <w:lang w:val="es-MX"/>
        </w:rPr>
        <w:t>Además,</w:t>
      </w:r>
      <w:r w:rsidRPr="007E0325">
        <w:rPr>
          <w:rFonts w:ascii="Verdana" w:hAnsi="Verdana"/>
          <w:sz w:val="20"/>
          <w:szCs w:val="20"/>
          <w:lang w:val="es-MX"/>
        </w:rPr>
        <w:t xml:space="preserve"> en la actualidad se está formulando legislación respecto a la relación legal entre las autoridades tradicionales y el gobierno, por lo que está previsto el reconocimiento de las autoridades tradicionales como los representantes legítimos de los pueblos indígenas y tribales ante el gobierno central, especialmente </w:t>
      </w:r>
      <w:r w:rsidR="00790BF3">
        <w:rPr>
          <w:rFonts w:ascii="Verdana" w:hAnsi="Verdana"/>
          <w:sz w:val="20"/>
          <w:szCs w:val="20"/>
          <w:lang w:val="es-MX"/>
        </w:rPr>
        <w:t>para</w:t>
      </w:r>
      <w:r w:rsidRPr="007E0325">
        <w:rPr>
          <w:rFonts w:ascii="Verdana" w:hAnsi="Verdana"/>
          <w:sz w:val="20"/>
          <w:szCs w:val="20"/>
          <w:lang w:val="es-MX"/>
        </w:rPr>
        <w:t xml:space="preserve"> temas relacionados con sus tradiciones</w:t>
      </w:r>
      <w:r w:rsidR="00790BF3">
        <w:rPr>
          <w:rFonts w:ascii="Verdana" w:hAnsi="Verdana"/>
          <w:sz w:val="20"/>
          <w:szCs w:val="20"/>
          <w:lang w:val="es-MX"/>
        </w:rPr>
        <w:t xml:space="preserve"> y</w:t>
      </w:r>
      <w:r w:rsidRPr="007E0325">
        <w:rPr>
          <w:rFonts w:ascii="Verdana" w:hAnsi="Verdana"/>
          <w:sz w:val="20"/>
          <w:szCs w:val="20"/>
          <w:lang w:val="es-MX"/>
        </w:rPr>
        <w:t xml:space="preserve"> </w:t>
      </w:r>
      <w:r w:rsidR="00790BF3">
        <w:rPr>
          <w:rFonts w:ascii="Verdana" w:hAnsi="Verdana"/>
          <w:sz w:val="20"/>
          <w:szCs w:val="20"/>
          <w:lang w:val="es-MX"/>
        </w:rPr>
        <w:t xml:space="preserve">para situaciones </w:t>
      </w:r>
      <w:r w:rsidRPr="007E0325">
        <w:rPr>
          <w:rFonts w:ascii="Verdana" w:hAnsi="Verdana"/>
          <w:sz w:val="20"/>
          <w:szCs w:val="20"/>
          <w:lang w:val="es-MX"/>
        </w:rPr>
        <w:t>en las que es necesari</w:t>
      </w:r>
      <w:r w:rsidR="00790BF3">
        <w:rPr>
          <w:rFonts w:ascii="Verdana" w:hAnsi="Verdana"/>
          <w:sz w:val="20"/>
          <w:szCs w:val="20"/>
          <w:lang w:val="es-MX"/>
        </w:rPr>
        <w:t>a la</w:t>
      </w:r>
      <w:r w:rsidRPr="007E0325">
        <w:rPr>
          <w:rFonts w:ascii="Verdana" w:hAnsi="Verdana"/>
          <w:sz w:val="20"/>
          <w:szCs w:val="20"/>
          <w:lang w:val="es-MX"/>
        </w:rPr>
        <w:t xml:space="preserve"> consult</w:t>
      </w:r>
      <w:r w:rsidR="00790BF3">
        <w:rPr>
          <w:rFonts w:ascii="Verdana" w:hAnsi="Verdana"/>
          <w:sz w:val="20"/>
          <w:szCs w:val="20"/>
          <w:lang w:val="es-MX"/>
        </w:rPr>
        <w:t>a a los pueblos</w:t>
      </w:r>
      <w:r w:rsidRPr="007E0325">
        <w:rPr>
          <w:rFonts w:ascii="Verdana" w:hAnsi="Verdana"/>
          <w:sz w:val="20"/>
          <w:szCs w:val="20"/>
          <w:lang w:val="es-MX"/>
        </w:rPr>
        <w:t>. El Estado consideró que la adopción de esta nueva ley significaría una solución aceptable a la problemática del reconocimiento de la personalidad jurídica colectiva</w:t>
      </w:r>
      <w:r w:rsidRPr="000D7C76">
        <w:rPr>
          <w:rFonts w:ascii="Verdana" w:hAnsi="Verdana"/>
          <w:sz w:val="20"/>
          <w:szCs w:val="20"/>
          <w:lang w:val="es-CR"/>
        </w:rPr>
        <w:t>.</w:t>
      </w:r>
      <w:r w:rsidRPr="007E0325">
        <w:rPr>
          <w:rFonts w:ascii="Verdana" w:hAnsi="Verdana"/>
          <w:sz w:val="20"/>
          <w:szCs w:val="20"/>
          <w:lang w:val="es-CR"/>
        </w:rPr>
        <w:t xml:space="preserve"> </w:t>
      </w:r>
      <w:r w:rsidRPr="002C323A">
        <w:rPr>
          <w:rFonts w:ascii="Verdana" w:hAnsi="Verdana"/>
          <w:sz w:val="20"/>
          <w:szCs w:val="20"/>
          <w:lang w:val="es-CR"/>
        </w:rPr>
        <w:t xml:space="preserve">En sus alegatos finales el Estado señaló </w:t>
      </w:r>
      <w:r w:rsidR="00790BF3">
        <w:rPr>
          <w:rFonts w:ascii="Verdana" w:hAnsi="Verdana"/>
          <w:sz w:val="20"/>
          <w:szCs w:val="20"/>
          <w:lang w:val="es-CR"/>
        </w:rPr>
        <w:t xml:space="preserve">de </w:t>
      </w:r>
      <w:r w:rsidRPr="002C323A">
        <w:rPr>
          <w:rFonts w:ascii="Verdana" w:hAnsi="Verdana"/>
          <w:sz w:val="20"/>
          <w:szCs w:val="20"/>
          <w:lang w:val="es-CR"/>
        </w:rPr>
        <w:t xml:space="preserve">que tenía conocimiento que es un hecho que los pueblos indígenas y tribales tienen el derecho </w:t>
      </w:r>
      <w:r w:rsidR="00790BF3">
        <w:rPr>
          <w:rFonts w:ascii="Verdana" w:hAnsi="Verdana"/>
          <w:sz w:val="20"/>
          <w:szCs w:val="20"/>
          <w:lang w:val="es-CR"/>
        </w:rPr>
        <w:t xml:space="preserve">al reconocimiento de la </w:t>
      </w:r>
      <w:r w:rsidRPr="002C323A">
        <w:rPr>
          <w:rFonts w:ascii="Verdana" w:hAnsi="Verdana"/>
          <w:sz w:val="20"/>
          <w:szCs w:val="20"/>
          <w:lang w:val="es-CR"/>
        </w:rPr>
        <w:t xml:space="preserve">personalidad jurídica de conformidad con lo establecido en el derecho internacional, concretamente, con </w:t>
      </w:r>
      <w:r w:rsidR="00D06921">
        <w:rPr>
          <w:rFonts w:ascii="Verdana" w:hAnsi="Verdana"/>
          <w:sz w:val="20"/>
          <w:szCs w:val="20"/>
          <w:lang w:val="es-CR"/>
        </w:rPr>
        <w:t>el sistema interamericano</w:t>
      </w:r>
      <w:r w:rsidRPr="002C323A">
        <w:rPr>
          <w:rFonts w:ascii="Verdana" w:hAnsi="Verdana"/>
          <w:sz w:val="20"/>
          <w:szCs w:val="20"/>
          <w:lang w:val="es-CR"/>
        </w:rPr>
        <w:t xml:space="preserve"> de </w:t>
      </w:r>
      <w:r w:rsidR="00D06921">
        <w:rPr>
          <w:rFonts w:ascii="Verdana" w:hAnsi="Verdana"/>
          <w:sz w:val="20"/>
          <w:szCs w:val="20"/>
          <w:lang w:val="es-CR"/>
        </w:rPr>
        <w:t>protección</w:t>
      </w:r>
      <w:r w:rsidRPr="002C323A">
        <w:rPr>
          <w:rFonts w:ascii="Verdana" w:hAnsi="Verdana"/>
          <w:sz w:val="20"/>
          <w:szCs w:val="20"/>
          <w:lang w:val="es-CR"/>
        </w:rPr>
        <w:t xml:space="preserve"> </w:t>
      </w:r>
      <w:r w:rsidRPr="002C323A" w:rsidDel="00BB789B">
        <w:rPr>
          <w:rFonts w:ascii="Verdana" w:hAnsi="Verdana"/>
          <w:sz w:val="20"/>
          <w:szCs w:val="20"/>
          <w:lang w:val="es-CR"/>
        </w:rPr>
        <w:t xml:space="preserve">de </w:t>
      </w:r>
      <w:r w:rsidR="00D06921">
        <w:rPr>
          <w:rFonts w:ascii="Verdana" w:hAnsi="Verdana"/>
          <w:sz w:val="20"/>
          <w:szCs w:val="20"/>
          <w:lang w:val="es-CR"/>
        </w:rPr>
        <w:t>los derechos humanos</w:t>
      </w:r>
      <w:r w:rsidR="000D7C76">
        <w:rPr>
          <w:rFonts w:ascii="Verdana" w:hAnsi="Verdana"/>
          <w:sz w:val="20"/>
          <w:szCs w:val="20"/>
          <w:lang w:val="es-CR"/>
        </w:rPr>
        <w:t>.</w:t>
      </w:r>
      <w:r w:rsidR="00D06921">
        <w:rPr>
          <w:rFonts w:ascii="Verdana" w:hAnsi="Verdana"/>
          <w:sz w:val="20"/>
          <w:szCs w:val="20"/>
          <w:lang w:val="es-CR"/>
        </w:rPr>
        <w:t xml:space="preserve"> </w:t>
      </w:r>
      <w:r w:rsidRPr="002C323A">
        <w:rPr>
          <w:rFonts w:ascii="Verdana" w:hAnsi="Verdana"/>
          <w:sz w:val="20"/>
          <w:szCs w:val="20"/>
          <w:lang w:val="es-CR"/>
        </w:rPr>
        <w:t>Aunado a lo anterior, el Estad</w:t>
      </w:r>
      <w:r w:rsidRPr="007E0325">
        <w:rPr>
          <w:rFonts w:ascii="Verdana" w:hAnsi="Verdana"/>
          <w:sz w:val="20"/>
          <w:szCs w:val="20"/>
          <w:lang w:val="es-CR"/>
        </w:rPr>
        <w:t>o también señaló que actualmente, en el Parlamento, existen posturas contrarias, en cuanto a que si los títulos de propiedad que se otorguen a los pueblos indígenas y tribales tienen que ser individuales o colectivos</w:t>
      </w:r>
      <w:r w:rsidRPr="007E0325">
        <w:rPr>
          <w:rFonts w:ascii="Verdana" w:hAnsi="Verdana"/>
          <w:i/>
          <w:sz w:val="20"/>
          <w:szCs w:val="20"/>
          <w:lang w:val="es-CR"/>
        </w:rPr>
        <w:t>.</w:t>
      </w:r>
    </w:p>
    <w:p w14:paraId="751CD46E" w14:textId="77777777" w:rsidR="00A54D68" w:rsidRPr="007E0325" w:rsidRDefault="00A54D68" w:rsidP="004B0145">
      <w:pPr>
        <w:pStyle w:val="ListParagraph"/>
        <w:ind w:left="0"/>
        <w:jc w:val="both"/>
        <w:rPr>
          <w:rFonts w:ascii="Verdana" w:hAnsi="Verdana"/>
          <w:sz w:val="20"/>
          <w:szCs w:val="20"/>
          <w:lang w:val="es-CR"/>
        </w:rPr>
      </w:pPr>
    </w:p>
    <w:p w14:paraId="115395E4" w14:textId="77777777" w:rsidR="007E0325" w:rsidRPr="007E0325" w:rsidRDefault="007E0325" w:rsidP="007E0325">
      <w:pPr>
        <w:pStyle w:val="Heading2"/>
        <w:numPr>
          <w:ilvl w:val="0"/>
          <w:numId w:val="29"/>
        </w:numPr>
        <w:spacing w:before="0"/>
        <w:jc w:val="both"/>
        <w:rPr>
          <w:rFonts w:ascii="Verdana" w:hAnsi="Verdana"/>
          <w:bCs w:val="0"/>
          <w:i/>
          <w:color w:val="auto"/>
          <w:sz w:val="20"/>
          <w:szCs w:val="20"/>
        </w:rPr>
      </w:pPr>
      <w:bookmarkStart w:id="39" w:name="_Toc441666175"/>
      <w:r w:rsidRPr="007E0325">
        <w:rPr>
          <w:rFonts w:ascii="Verdana" w:hAnsi="Verdana"/>
          <w:bCs w:val="0"/>
          <w:i/>
          <w:color w:val="auto"/>
          <w:sz w:val="20"/>
          <w:szCs w:val="20"/>
        </w:rPr>
        <w:t>Consideraciones de la Corte</w:t>
      </w:r>
      <w:bookmarkEnd w:id="39"/>
    </w:p>
    <w:p w14:paraId="4EA9F364" w14:textId="77777777" w:rsidR="007E0325" w:rsidRDefault="007E0325" w:rsidP="007E0325">
      <w:pPr>
        <w:jc w:val="both"/>
        <w:rPr>
          <w:rFonts w:ascii="Verdana" w:hAnsi="Verdana"/>
          <w:sz w:val="20"/>
          <w:szCs w:val="20"/>
          <w:lang w:val="es-CR"/>
        </w:rPr>
      </w:pPr>
    </w:p>
    <w:p w14:paraId="68EB1992" w14:textId="77777777" w:rsidR="007E0325" w:rsidRDefault="007E0325" w:rsidP="007E0325">
      <w:pPr>
        <w:pStyle w:val="ListParagraph"/>
        <w:numPr>
          <w:ilvl w:val="0"/>
          <w:numId w:val="2"/>
        </w:numPr>
        <w:ind w:left="0" w:hanging="11"/>
        <w:jc w:val="both"/>
        <w:rPr>
          <w:rFonts w:ascii="Verdana" w:hAnsi="Verdana"/>
          <w:sz w:val="20"/>
          <w:szCs w:val="20"/>
          <w:lang w:val="es-CR"/>
        </w:rPr>
      </w:pPr>
      <w:r>
        <w:rPr>
          <w:rFonts w:ascii="Verdana" w:hAnsi="Verdana"/>
          <w:sz w:val="20"/>
          <w:szCs w:val="20"/>
          <w:lang w:val="es-CR"/>
        </w:rPr>
        <w:t xml:space="preserve">La Corte advierte que la controversia del presente apartado, consiste en determinar el alegado incumplimiento por parte del Estado, </w:t>
      </w:r>
      <w:r w:rsidR="004947B9">
        <w:rPr>
          <w:rFonts w:ascii="Verdana" w:hAnsi="Verdana"/>
          <w:sz w:val="20"/>
          <w:szCs w:val="20"/>
          <w:lang w:val="es-CR"/>
        </w:rPr>
        <w:t xml:space="preserve">respecto </w:t>
      </w:r>
      <w:r>
        <w:rPr>
          <w:rFonts w:ascii="Verdana" w:hAnsi="Verdana"/>
          <w:sz w:val="20"/>
          <w:szCs w:val="20"/>
          <w:lang w:val="es-CR"/>
        </w:rPr>
        <w:t xml:space="preserve">del reconocimiento colectivo de la personalidad jurídica a los pueblos indígenas y tribales, especialmente a los </w:t>
      </w:r>
      <w:r w:rsidR="00382F4D">
        <w:rPr>
          <w:rFonts w:ascii="Verdana" w:hAnsi="Verdana"/>
          <w:sz w:val="20"/>
          <w:szCs w:val="20"/>
          <w:lang w:val="es-CR"/>
        </w:rPr>
        <w:t>Pueblos Kaliña y Lokono</w:t>
      </w:r>
      <w:r>
        <w:rPr>
          <w:rFonts w:ascii="Verdana" w:hAnsi="Verdana"/>
          <w:sz w:val="20"/>
          <w:szCs w:val="20"/>
          <w:lang w:val="es-CR"/>
        </w:rPr>
        <w:t xml:space="preserve">. </w:t>
      </w:r>
    </w:p>
    <w:p w14:paraId="1E40D281" w14:textId="77777777" w:rsidR="007E0325" w:rsidRDefault="007E0325" w:rsidP="007E0325">
      <w:pPr>
        <w:jc w:val="both"/>
        <w:rPr>
          <w:rFonts w:ascii="Verdana" w:hAnsi="Verdana"/>
          <w:sz w:val="20"/>
          <w:szCs w:val="20"/>
          <w:lang w:val="es-CR"/>
        </w:rPr>
      </w:pPr>
    </w:p>
    <w:p w14:paraId="37D857E2" w14:textId="77777777" w:rsidR="007E0325" w:rsidRDefault="007E0325" w:rsidP="007E0325">
      <w:pPr>
        <w:pStyle w:val="ListParagraph"/>
        <w:numPr>
          <w:ilvl w:val="0"/>
          <w:numId w:val="2"/>
        </w:numPr>
        <w:ind w:left="0" w:hanging="11"/>
        <w:jc w:val="both"/>
        <w:rPr>
          <w:rFonts w:ascii="Verdana" w:hAnsi="Verdana"/>
          <w:sz w:val="20"/>
          <w:szCs w:val="20"/>
          <w:lang w:val="es-MX"/>
        </w:rPr>
      </w:pPr>
      <w:r>
        <w:rPr>
          <w:rFonts w:ascii="Verdana" w:hAnsi="Verdana"/>
          <w:sz w:val="20"/>
          <w:szCs w:val="20"/>
          <w:lang w:val="es-MX"/>
        </w:rPr>
        <w:t xml:space="preserve">Esta Corte hace notar que respecto de </w:t>
      </w:r>
      <w:r w:rsidR="00563E11">
        <w:rPr>
          <w:rFonts w:ascii="Verdana" w:hAnsi="Verdana"/>
          <w:sz w:val="20"/>
          <w:szCs w:val="20"/>
          <w:lang w:val="es-MX"/>
        </w:rPr>
        <w:t>Surinam</w:t>
      </w:r>
      <w:r>
        <w:rPr>
          <w:rFonts w:ascii="Verdana" w:hAnsi="Verdana"/>
          <w:sz w:val="20"/>
          <w:szCs w:val="20"/>
          <w:lang w:val="es-MX"/>
        </w:rPr>
        <w:t xml:space="preserve">, en </w:t>
      </w:r>
      <w:r w:rsidRPr="007E0325">
        <w:rPr>
          <w:rStyle w:val="Strong"/>
          <w:rFonts w:ascii="Verdana" w:hAnsi="Verdana"/>
          <w:b w:val="0"/>
          <w:sz w:val="20"/>
          <w:szCs w:val="20"/>
          <w:lang w:val="es-ES"/>
        </w:rPr>
        <w:t xml:space="preserve">el </w:t>
      </w:r>
      <w:r w:rsidR="004947B9">
        <w:rPr>
          <w:rStyle w:val="Strong"/>
          <w:rFonts w:ascii="Verdana" w:hAnsi="Verdana"/>
          <w:b w:val="0"/>
          <w:i/>
          <w:color w:val="000000"/>
          <w:sz w:val="20"/>
          <w:szCs w:val="20"/>
          <w:shd w:val="clear" w:color="auto" w:fill="FFFFFF"/>
          <w:lang w:val="es-MX"/>
        </w:rPr>
        <w:t>c</w:t>
      </w:r>
      <w:r w:rsidR="008A4ABB" w:rsidRPr="007E20F9">
        <w:rPr>
          <w:rStyle w:val="Strong"/>
          <w:rFonts w:ascii="Verdana" w:hAnsi="Verdana"/>
          <w:b w:val="0"/>
          <w:color w:val="000000"/>
          <w:sz w:val="20"/>
          <w:szCs w:val="20"/>
          <w:shd w:val="clear" w:color="auto" w:fill="FFFFFF"/>
          <w:lang w:val="es-MX"/>
        </w:rPr>
        <w:t>aso</w:t>
      </w:r>
      <w:r w:rsidRPr="007E0325">
        <w:rPr>
          <w:rStyle w:val="Strong"/>
          <w:rFonts w:ascii="Verdana" w:hAnsi="Verdana"/>
          <w:b w:val="0"/>
          <w:i/>
          <w:color w:val="000000"/>
          <w:sz w:val="20"/>
          <w:shd w:val="clear" w:color="auto" w:fill="FFFFFF"/>
          <w:lang w:val="es-MX"/>
        </w:rPr>
        <w:t xml:space="preserve"> </w:t>
      </w:r>
      <w:r w:rsidR="008A4ABB" w:rsidRPr="007E20F9">
        <w:rPr>
          <w:rStyle w:val="Strong"/>
          <w:rFonts w:ascii="Verdana" w:hAnsi="Verdana"/>
          <w:b w:val="0"/>
          <w:color w:val="000000"/>
          <w:sz w:val="20"/>
          <w:shd w:val="clear" w:color="auto" w:fill="FFFFFF"/>
          <w:lang w:val="es-MX"/>
        </w:rPr>
        <w:t>de la</w:t>
      </w:r>
      <w:r w:rsidRPr="007E0325">
        <w:rPr>
          <w:rStyle w:val="Strong"/>
          <w:rFonts w:ascii="Verdana" w:hAnsi="Verdana"/>
          <w:b w:val="0"/>
          <w:i/>
          <w:color w:val="000000"/>
          <w:sz w:val="20"/>
          <w:shd w:val="clear" w:color="auto" w:fill="FFFFFF"/>
          <w:lang w:val="es-MX"/>
        </w:rPr>
        <w:t xml:space="preserve"> </w:t>
      </w:r>
      <w:r w:rsidRPr="007E0325">
        <w:rPr>
          <w:rStyle w:val="Strong"/>
          <w:rFonts w:ascii="Verdana" w:hAnsi="Verdana"/>
          <w:b w:val="0"/>
          <w:i/>
          <w:color w:val="000000"/>
          <w:sz w:val="20"/>
          <w:szCs w:val="20"/>
          <w:shd w:val="clear" w:color="auto" w:fill="FFFFFF"/>
          <w:lang w:val="es-MX"/>
        </w:rPr>
        <w:t xml:space="preserve">Comunidad Moiwana Vs. </w:t>
      </w:r>
      <w:r w:rsidR="00563E11">
        <w:rPr>
          <w:rStyle w:val="Strong"/>
          <w:rFonts w:ascii="Verdana" w:hAnsi="Verdana"/>
          <w:b w:val="0"/>
          <w:i/>
          <w:color w:val="000000"/>
          <w:sz w:val="20"/>
          <w:szCs w:val="20"/>
          <w:shd w:val="clear" w:color="auto" w:fill="FFFFFF"/>
          <w:lang w:val="es-MX"/>
        </w:rPr>
        <w:t>Surinam</w:t>
      </w:r>
      <w:r w:rsidRPr="007E0325">
        <w:rPr>
          <w:rStyle w:val="Strong"/>
          <w:rFonts w:ascii="Verdana" w:hAnsi="Verdana"/>
          <w:b w:val="0"/>
          <w:color w:val="000000"/>
          <w:sz w:val="20"/>
          <w:szCs w:val="20"/>
          <w:shd w:val="clear" w:color="auto" w:fill="FFFFFF"/>
          <w:lang w:val="es-MX"/>
        </w:rPr>
        <w:t>, el Tribunal destacó que el ordenamiento jurídico interno garantizaba derechos individuales a los miembros de las comunidades indígenas y tribales, pero no reconocía a tales comunidades como entidades jurídicas y tampoco establec</w:t>
      </w:r>
      <w:r w:rsidR="00EC22F5">
        <w:rPr>
          <w:rStyle w:val="Strong"/>
          <w:rFonts w:ascii="Verdana" w:hAnsi="Verdana"/>
          <w:b w:val="0"/>
          <w:color w:val="000000"/>
          <w:sz w:val="20"/>
          <w:szCs w:val="20"/>
          <w:shd w:val="clear" w:color="auto" w:fill="FFFFFF"/>
          <w:lang w:val="es-MX"/>
        </w:rPr>
        <w:t>ía</w:t>
      </w:r>
      <w:r w:rsidRPr="007E0325">
        <w:rPr>
          <w:rStyle w:val="Strong"/>
          <w:rFonts w:ascii="Verdana" w:hAnsi="Verdana"/>
          <w:b w:val="0"/>
          <w:color w:val="000000"/>
          <w:sz w:val="20"/>
          <w:szCs w:val="20"/>
          <w:shd w:val="clear" w:color="auto" w:fill="FFFFFF"/>
          <w:lang w:val="es-MX"/>
        </w:rPr>
        <w:t xml:space="preserve"> derechos colectivos a la propiedad</w:t>
      </w:r>
      <w:r w:rsidRPr="00262413">
        <w:rPr>
          <w:rStyle w:val="FootnoteReference"/>
          <w:szCs w:val="20"/>
        </w:rPr>
        <w:footnoteReference w:id="143"/>
      </w:r>
      <w:r>
        <w:rPr>
          <w:rFonts w:ascii="Verdana" w:hAnsi="Verdana"/>
          <w:sz w:val="20"/>
          <w:szCs w:val="20"/>
          <w:lang w:val="es-MX"/>
        </w:rPr>
        <w:t>.</w:t>
      </w:r>
    </w:p>
    <w:p w14:paraId="01B05BB6" w14:textId="77777777" w:rsidR="007E0325" w:rsidRDefault="007E0325" w:rsidP="007E0325">
      <w:pPr>
        <w:jc w:val="both"/>
        <w:rPr>
          <w:rFonts w:ascii="Verdana" w:hAnsi="Verdana"/>
          <w:sz w:val="20"/>
          <w:szCs w:val="20"/>
          <w:lang w:val="es-MX"/>
        </w:rPr>
      </w:pPr>
    </w:p>
    <w:p w14:paraId="65BB0A17" w14:textId="77777777" w:rsidR="007E0325" w:rsidRPr="00842770" w:rsidRDefault="007E0325" w:rsidP="007E0325">
      <w:pPr>
        <w:pStyle w:val="ListParagraph"/>
        <w:numPr>
          <w:ilvl w:val="0"/>
          <w:numId w:val="2"/>
        </w:numPr>
        <w:ind w:left="0" w:hanging="11"/>
        <w:jc w:val="both"/>
        <w:rPr>
          <w:rFonts w:ascii="Verdana" w:hAnsi="Verdana"/>
          <w:sz w:val="20"/>
          <w:szCs w:val="20"/>
          <w:lang w:val="es-CR"/>
        </w:rPr>
      </w:pPr>
      <w:r>
        <w:rPr>
          <w:rFonts w:ascii="Verdana" w:hAnsi="Verdana"/>
          <w:sz w:val="20"/>
          <w:szCs w:val="20"/>
          <w:lang w:val="es-MX"/>
        </w:rPr>
        <w:lastRenderedPageBreak/>
        <w:t xml:space="preserve">Posteriormente, </w:t>
      </w:r>
      <w:r>
        <w:rPr>
          <w:rFonts w:ascii="Verdana" w:hAnsi="Verdana"/>
          <w:sz w:val="20"/>
          <w:szCs w:val="20"/>
          <w:lang w:val="es-CR"/>
        </w:rPr>
        <w:t xml:space="preserve">en el </w:t>
      </w:r>
      <w:r w:rsidR="008A4ABB" w:rsidRPr="007E20F9">
        <w:rPr>
          <w:rFonts w:ascii="Verdana" w:hAnsi="Verdana"/>
          <w:sz w:val="20"/>
          <w:szCs w:val="20"/>
          <w:lang w:val="es-CR"/>
        </w:rPr>
        <w:t>caso</w:t>
      </w:r>
      <w:r>
        <w:rPr>
          <w:rFonts w:ascii="Verdana" w:hAnsi="Verdana"/>
          <w:i/>
          <w:sz w:val="20"/>
          <w:lang w:val="es-CR"/>
        </w:rPr>
        <w:t xml:space="preserve"> del</w:t>
      </w:r>
      <w:r>
        <w:rPr>
          <w:rFonts w:ascii="Verdana" w:hAnsi="Verdana"/>
          <w:i/>
          <w:sz w:val="20"/>
          <w:szCs w:val="20"/>
          <w:lang w:val="es-CR"/>
        </w:rPr>
        <w:t xml:space="preserve"> Pueblo</w:t>
      </w:r>
      <w:r w:rsidRPr="00C31C5A">
        <w:rPr>
          <w:rFonts w:ascii="Verdana" w:hAnsi="Verdana"/>
          <w:i/>
          <w:sz w:val="20"/>
          <w:szCs w:val="20"/>
          <w:lang w:val="es-CR"/>
        </w:rPr>
        <w:t xml:space="preserve"> Saramaka</w:t>
      </w:r>
      <w:r>
        <w:rPr>
          <w:rFonts w:ascii="Verdana" w:hAnsi="Verdana"/>
          <w:i/>
          <w:sz w:val="20"/>
          <w:szCs w:val="20"/>
          <w:lang w:val="es-CR"/>
        </w:rPr>
        <w:t xml:space="preserve"> Vs. </w:t>
      </w:r>
      <w:r w:rsidR="00563E11">
        <w:rPr>
          <w:rFonts w:ascii="Verdana" w:hAnsi="Verdana"/>
          <w:i/>
          <w:sz w:val="20"/>
          <w:szCs w:val="20"/>
          <w:lang w:val="es-CR"/>
        </w:rPr>
        <w:t>Surinam</w:t>
      </w:r>
      <w:r>
        <w:rPr>
          <w:rFonts w:ascii="Verdana" w:hAnsi="Verdana"/>
          <w:i/>
          <w:sz w:val="20"/>
          <w:szCs w:val="20"/>
          <w:lang w:val="es-CR"/>
        </w:rPr>
        <w:t>,</w:t>
      </w:r>
      <w:r>
        <w:rPr>
          <w:rFonts w:ascii="Verdana" w:hAnsi="Verdana"/>
          <w:sz w:val="20"/>
          <w:szCs w:val="20"/>
          <w:lang w:val="es-CR"/>
        </w:rPr>
        <w:t xml:space="preserve"> </w:t>
      </w:r>
      <w:r w:rsidR="00CB17C1" w:rsidRPr="00A26293">
        <w:rPr>
          <w:rFonts w:ascii="Verdana" w:hAnsi="Verdana"/>
          <w:sz w:val="20"/>
          <w:szCs w:val="20"/>
          <w:lang w:val="es-CR"/>
        </w:rPr>
        <w:t xml:space="preserve">la Corte constató que se había negado a otras comunidades en </w:t>
      </w:r>
      <w:r w:rsidR="00563E11">
        <w:rPr>
          <w:rFonts w:ascii="Verdana" w:hAnsi="Verdana"/>
          <w:sz w:val="20"/>
          <w:szCs w:val="20"/>
          <w:lang w:val="es-CR"/>
        </w:rPr>
        <w:t>Surinam</w:t>
      </w:r>
      <w:r w:rsidR="00CB17C1" w:rsidRPr="00A26293">
        <w:rPr>
          <w:rFonts w:ascii="Verdana" w:hAnsi="Verdana"/>
          <w:sz w:val="20"/>
          <w:szCs w:val="20"/>
          <w:lang w:val="es-CR"/>
        </w:rPr>
        <w:t xml:space="preserve"> sus derechos por falta de capacidad legal y consideró que </w:t>
      </w:r>
      <w:r w:rsidR="00BF5C01">
        <w:rPr>
          <w:rFonts w:ascii="Verdana" w:hAnsi="Verdana"/>
          <w:sz w:val="20"/>
          <w:szCs w:val="20"/>
          <w:lang w:val="es-CR"/>
        </w:rPr>
        <w:t>“</w:t>
      </w:r>
      <w:r w:rsidR="00CB17C1" w:rsidRPr="00A26293">
        <w:rPr>
          <w:rFonts w:ascii="Verdana" w:eastAsiaTheme="minorHAnsi" w:hAnsi="Verdana" w:cs="Verdana"/>
          <w:sz w:val="20"/>
          <w:szCs w:val="20"/>
          <w:lang w:val="es-CR"/>
        </w:rPr>
        <w:t>el derecho a que el Estado reconozca su personalidad jurídica es una de las medidas especiales que se debe proporcionar a los grupos indígenas y tribales a fin de garantizar que éstos puedan gozar de sus territorios según sus tradiciones. Ésta es la consecuencia natural del reconocimiento del derecho que tienen los miembros de los grupos indígenas y tribales a gozar de ciertos derechos de forma comunitaria</w:t>
      </w:r>
      <w:r w:rsidR="00BF5C01">
        <w:rPr>
          <w:rFonts w:ascii="Verdana" w:eastAsiaTheme="minorHAnsi" w:hAnsi="Verdana" w:cs="Verdana"/>
          <w:sz w:val="20"/>
          <w:szCs w:val="20"/>
          <w:lang w:val="es-CR"/>
        </w:rPr>
        <w:t>”</w:t>
      </w:r>
      <w:r w:rsidR="00CB17C1" w:rsidRPr="00F27DCA">
        <w:rPr>
          <w:rStyle w:val="FootnoteReference"/>
          <w:szCs w:val="20"/>
          <w:lang w:val="es-CR"/>
        </w:rPr>
        <w:footnoteReference w:id="144"/>
      </w:r>
      <w:r w:rsidR="00CB17C1" w:rsidRPr="00A26293">
        <w:rPr>
          <w:rFonts w:ascii="Verdana" w:eastAsiaTheme="minorHAnsi" w:hAnsi="Verdana" w:cs="Verdana"/>
          <w:sz w:val="20"/>
          <w:szCs w:val="20"/>
          <w:lang w:val="es-CR"/>
        </w:rPr>
        <w:t>.</w:t>
      </w:r>
      <w:r w:rsidR="00CB17C1" w:rsidRPr="00F27DCA">
        <w:rPr>
          <w:rFonts w:ascii="Verdana" w:hAnsi="Verdana"/>
          <w:sz w:val="20"/>
          <w:szCs w:val="20"/>
          <w:lang w:val="es-CR"/>
        </w:rPr>
        <w:t xml:space="preserve"> Así, estimó que dicho reconocimiento podía lograrse</w:t>
      </w:r>
      <w:r>
        <w:rPr>
          <w:rFonts w:ascii="Verdana" w:hAnsi="Verdana"/>
          <w:sz w:val="20"/>
          <w:szCs w:val="20"/>
          <w:lang w:val="es-CR"/>
        </w:rPr>
        <w:t xml:space="preserve"> mediante la adopción de medidas legislativas o de otra índole que reconocieran y tomaran en cuenta el modo particular en que un pueblo tribal se percibe como colectivamente capaz de ejercer y gozar del derecho a la propiedad. Por ello, el Estado debía establecer las condiciones judiciales y administrativas necesarias para garantizar la posibilidad de reconocimiento de su personalidad jurídica, a través de la realización de consultas, con pleno respeto a sus costumbres y tradiciones, y con el objeto de asegurarle el uso y goce de su territorio de conformidad con su sistema de propiedad comunal, así como del </w:t>
      </w:r>
      <w:r w:rsidRPr="00842770">
        <w:rPr>
          <w:rFonts w:ascii="Verdana" w:hAnsi="Verdana"/>
          <w:sz w:val="20"/>
          <w:szCs w:val="20"/>
          <w:lang w:val="es-CR"/>
        </w:rPr>
        <w:t>derecho de acceso a la justicia e igualdad ante la ley</w:t>
      </w:r>
      <w:r w:rsidRPr="00842770">
        <w:rPr>
          <w:rStyle w:val="FootnoteReference"/>
          <w:szCs w:val="20"/>
          <w:lang w:val="es-CR"/>
        </w:rPr>
        <w:footnoteReference w:id="145"/>
      </w:r>
      <w:r w:rsidRPr="00842770">
        <w:rPr>
          <w:rFonts w:ascii="Verdana" w:hAnsi="Verdana"/>
          <w:sz w:val="20"/>
          <w:szCs w:val="20"/>
          <w:lang w:val="es-CR"/>
        </w:rPr>
        <w:t>.</w:t>
      </w:r>
    </w:p>
    <w:p w14:paraId="537EFE4E" w14:textId="77777777" w:rsidR="0065326D" w:rsidRDefault="0065326D" w:rsidP="00190AD3">
      <w:pPr>
        <w:pStyle w:val="ListParagraph"/>
        <w:ind w:left="0"/>
        <w:jc w:val="both"/>
        <w:rPr>
          <w:rFonts w:ascii="Verdana" w:hAnsi="Verdana"/>
          <w:sz w:val="20"/>
          <w:szCs w:val="20"/>
          <w:lang w:val="es-CR"/>
        </w:rPr>
      </w:pPr>
    </w:p>
    <w:p w14:paraId="49EEE109" w14:textId="77777777" w:rsidR="00A64850" w:rsidRPr="00190AD3" w:rsidRDefault="009A4EFB" w:rsidP="00190AD3">
      <w:pPr>
        <w:pStyle w:val="ListParagraph"/>
        <w:numPr>
          <w:ilvl w:val="0"/>
          <w:numId w:val="2"/>
        </w:numPr>
        <w:ind w:left="0" w:hanging="11"/>
        <w:jc w:val="both"/>
        <w:rPr>
          <w:sz w:val="20"/>
        </w:rPr>
      </w:pPr>
      <w:r w:rsidRPr="00190AD3">
        <w:rPr>
          <w:rFonts w:ascii="Verdana" w:hAnsi="Verdana"/>
          <w:sz w:val="20"/>
        </w:rPr>
        <w:t xml:space="preserve">En este sentido, esta Corte </w:t>
      </w:r>
      <w:r w:rsidR="00E16261" w:rsidRPr="00190AD3">
        <w:rPr>
          <w:rFonts w:ascii="Verdana" w:hAnsi="Verdana"/>
          <w:sz w:val="20"/>
        </w:rPr>
        <w:t>señaló</w:t>
      </w:r>
      <w:r w:rsidRPr="00190AD3">
        <w:rPr>
          <w:rFonts w:ascii="Verdana" w:hAnsi="Verdana"/>
          <w:sz w:val="20"/>
        </w:rPr>
        <w:t xml:space="preserve"> que </w:t>
      </w:r>
      <w:r w:rsidR="00A64850" w:rsidRPr="00190AD3">
        <w:rPr>
          <w:rFonts w:ascii="Verdana" w:hAnsi="Verdana"/>
          <w:sz w:val="20"/>
        </w:rPr>
        <w:t xml:space="preserve">si bien “es necesario el reconocimiento de </w:t>
      </w:r>
      <w:r w:rsidR="00705A4F">
        <w:rPr>
          <w:rFonts w:ascii="Verdana" w:hAnsi="Verdana"/>
          <w:sz w:val="20"/>
        </w:rPr>
        <w:t>[</w:t>
      </w:r>
      <w:r w:rsidR="00A64850" w:rsidRPr="00190AD3">
        <w:rPr>
          <w:rFonts w:ascii="Verdana" w:hAnsi="Verdana"/>
          <w:sz w:val="20"/>
        </w:rPr>
        <w:t>la</w:t>
      </w:r>
      <w:r w:rsidR="00705A4F">
        <w:rPr>
          <w:rFonts w:ascii="Verdana" w:hAnsi="Verdana"/>
          <w:sz w:val="20"/>
        </w:rPr>
        <w:t>]</w:t>
      </w:r>
      <w:r w:rsidR="00A64850" w:rsidRPr="00190AD3">
        <w:rPr>
          <w:rFonts w:ascii="Verdana" w:hAnsi="Verdana"/>
          <w:sz w:val="20"/>
        </w:rPr>
        <w:t xml:space="preserve"> personalidad jurídica de los miembros individuales de la comunidad para el goce de otros derechos, como el derecho a la vida y a la integridad personal. Sin embargo, dicho reconocimiento individual no toma en cuenta el modo en que los miembros de los pueblos indígenas y tribales en general, y […] en particular, gozan y ejercen un derecho en especial; es decir, el derecho a usar y gozar colectivamente de la propiedad de conformidad con sus tradiciones ancestrales”</w:t>
      </w:r>
      <w:r w:rsidR="00A64850" w:rsidRPr="00190AD3">
        <w:rPr>
          <w:rFonts w:ascii="Verdana" w:hAnsi="Verdana"/>
          <w:sz w:val="20"/>
          <w:vertAlign w:val="superscript"/>
        </w:rPr>
        <w:footnoteReference w:id="146"/>
      </w:r>
      <w:r w:rsidR="00A64850" w:rsidRPr="00190AD3">
        <w:rPr>
          <w:rFonts w:ascii="Verdana" w:hAnsi="Verdana"/>
          <w:sz w:val="20"/>
        </w:rPr>
        <w:t>.</w:t>
      </w:r>
    </w:p>
    <w:p w14:paraId="6C3BE2EB" w14:textId="77777777" w:rsidR="0065326D" w:rsidRPr="00190AD3" w:rsidRDefault="0065326D" w:rsidP="00190AD3">
      <w:pPr>
        <w:pStyle w:val="ListParagraph"/>
        <w:ind w:left="0"/>
        <w:jc w:val="both"/>
        <w:rPr>
          <w:sz w:val="20"/>
          <w:szCs w:val="20"/>
        </w:rPr>
      </w:pPr>
    </w:p>
    <w:p w14:paraId="507D4A9B" w14:textId="77777777" w:rsidR="009A4EFB" w:rsidRPr="007E20F9" w:rsidRDefault="009A4EFB" w:rsidP="00190AD3">
      <w:pPr>
        <w:pStyle w:val="ListParagraph"/>
        <w:numPr>
          <w:ilvl w:val="0"/>
          <w:numId w:val="2"/>
        </w:numPr>
        <w:ind w:left="0" w:hanging="11"/>
        <w:jc w:val="both"/>
        <w:rPr>
          <w:sz w:val="20"/>
        </w:rPr>
      </w:pPr>
      <w:r w:rsidRPr="00190AD3">
        <w:rPr>
          <w:rFonts w:ascii="Verdana" w:hAnsi="Verdana"/>
          <w:sz w:val="20"/>
        </w:rPr>
        <w:t xml:space="preserve">No obstante, “el reconocimiento de la personalidad jurídica es un modo, aunque no sea el único, de asegurar que la comunidad, en su conjunto, podrá gozar y ejercer plenamente el derecho a la propiedad, de conformidad con sus sistema de propiedad </w:t>
      </w:r>
      <w:r w:rsidRPr="00ED2DB3">
        <w:rPr>
          <w:rFonts w:ascii="Verdana" w:hAnsi="Verdana"/>
          <w:sz w:val="20"/>
        </w:rPr>
        <w:t>comunal, así como el derecho a igual protección judicial contra toda violación de dicho derecho”</w:t>
      </w:r>
      <w:r w:rsidR="008A4ABB" w:rsidRPr="00ED2DB3">
        <w:rPr>
          <w:rFonts w:ascii="Verdana" w:hAnsi="Verdana"/>
          <w:sz w:val="20"/>
          <w:vertAlign w:val="superscript"/>
        </w:rPr>
        <w:footnoteReference w:id="147"/>
      </w:r>
      <w:r w:rsidR="008A4ABB" w:rsidRPr="00ED2DB3">
        <w:rPr>
          <w:rFonts w:ascii="Verdana" w:hAnsi="Verdana"/>
          <w:sz w:val="20"/>
        </w:rPr>
        <w:t>.</w:t>
      </w:r>
    </w:p>
    <w:p w14:paraId="71A3F219" w14:textId="77777777" w:rsidR="009B781F" w:rsidRDefault="009B781F" w:rsidP="007E20F9">
      <w:pPr>
        <w:pStyle w:val="ListParagraph"/>
        <w:ind w:left="0"/>
        <w:jc w:val="both"/>
        <w:rPr>
          <w:sz w:val="20"/>
        </w:rPr>
      </w:pPr>
    </w:p>
    <w:p w14:paraId="398BA876" w14:textId="77777777" w:rsidR="007E0325" w:rsidRPr="002C323A" w:rsidRDefault="007E0325" w:rsidP="007E0325">
      <w:pPr>
        <w:pStyle w:val="ListParagraph"/>
        <w:numPr>
          <w:ilvl w:val="0"/>
          <w:numId w:val="2"/>
        </w:numPr>
        <w:ind w:left="0" w:hanging="11"/>
        <w:jc w:val="both"/>
        <w:rPr>
          <w:rFonts w:ascii="Verdana" w:hAnsi="Verdana"/>
          <w:sz w:val="20"/>
          <w:szCs w:val="20"/>
          <w:lang w:val="es-MX"/>
        </w:rPr>
      </w:pPr>
      <w:r w:rsidRPr="002C323A">
        <w:rPr>
          <w:rFonts w:ascii="Verdana" w:hAnsi="Verdana"/>
          <w:sz w:val="20"/>
          <w:szCs w:val="20"/>
          <w:lang w:val="es-ES"/>
        </w:rPr>
        <w:t xml:space="preserve">Además, la Corte constata que desde el Acuerdo de Paz de </w:t>
      </w:r>
      <w:r w:rsidRPr="002C323A">
        <w:rPr>
          <w:rFonts w:ascii="Verdana" w:hAnsi="Verdana"/>
          <w:sz w:val="20"/>
          <w:szCs w:val="20"/>
          <w:lang w:val="es-MX"/>
        </w:rPr>
        <w:t>Lelydorp de 1992 el Estado se habría comprometido a crear mecanismos legales para proveer protecciones para las tierras de los pueblos indígenas y tribales (</w:t>
      </w:r>
      <w:r w:rsidR="00366D91" w:rsidRPr="002C323A">
        <w:rPr>
          <w:rFonts w:ascii="Verdana" w:hAnsi="Verdana"/>
          <w:i/>
          <w:sz w:val="20"/>
          <w:szCs w:val="20"/>
          <w:lang w:val="es-MX"/>
        </w:rPr>
        <w:t>supra</w:t>
      </w:r>
      <w:r w:rsidRPr="002C323A">
        <w:rPr>
          <w:rFonts w:ascii="Verdana" w:hAnsi="Verdana"/>
          <w:sz w:val="20"/>
          <w:szCs w:val="20"/>
          <w:lang w:val="es-MX"/>
        </w:rPr>
        <w:t>, párr</w:t>
      </w:r>
      <w:r w:rsidR="00093AF9" w:rsidRPr="002C323A">
        <w:rPr>
          <w:rFonts w:ascii="Verdana" w:hAnsi="Verdana"/>
          <w:sz w:val="20"/>
          <w:szCs w:val="20"/>
          <w:lang w:val="es-MX"/>
        </w:rPr>
        <w:t>.</w:t>
      </w:r>
      <w:r w:rsidR="00BF5C01">
        <w:rPr>
          <w:rFonts w:ascii="Verdana" w:hAnsi="Verdana"/>
          <w:sz w:val="20"/>
          <w:szCs w:val="20"/>
          <w:lang w:val="es-MX"/>
        </w:rPr>
        <w:t xml:space="preserve"> 51</w:t>
      </w:r>
      <w:r w:rsidRPr="002C323A">
        <w:rPr>
          <w:rFonts w:ascii="Verdana" w:hAnsi="Verdana"/>
          <w:sz w:val="20"/>
          <w:szCs w:val="20"/>
          <w:lang w:val="es-MX"/>
        </w:rPr>
        <w:t>)</w:t>
      </w:r>
      <w:r w:rsidR="003C0536" w:rsidRPr="002C323A">
        <w:rPr>
          <w:rFonts w:ascii="Verdana" w:hAnsi="Verdana"/>
          <w:sz w:val="20"/>
          <w:szCs w:val="20"/>
          <w:lang w:val="es-MX"/>
        </w:rPr>
        <w:t>.</w:t>
      </w:r>
    </w:p>
    <w:p w14:paraId="3DCA889D" w14:textId="77777777" w:rsidR="007E0325" w:rsidRDefault="007E0325" w:rsidP="007E0325">
      <w:pPr>
        <w:jc w:val="both"/>
        <w:rPr>
          <w:rFonts w:ascii="Verdana" w:hAnsi="Verdana"/>
          <w:sz w:val="20"/>
          <w:szCs w:val="20"/>
          <w:lang w:val="es-CR"/>
        </w:rPr>
      </w:pPr>
    </w:p>
    <w:p w14:paraId="1DE7CF65" w14:textId="77777777" w:rsidR="007E0325" w:rsidRDefault="007E0325" w:rsidP="007E0325">
      <w:pPr>
        <w:pStyle w:val="ListParagraph"/>
        <w:numPr>
          <w:ilvl w:val="0"/>
          <w:numId w:val="2"/>
        </w:numPr>
        <w:ind w:left="0" w:hanging="11"/>
        <w:jc w:val="both"/>
        <w:rPr>
          <w:rFonts w:ascii="Verdana" w:hAnsi="Verdana"/>
          <w:sz w:val="20"/>
          <w:szCs w:val="20"/>
          <w:lang w:val="es-MX"/>
        </w:rPr>
      </w:pPr>
      <w:r>
        <w:rPr>
          <w:rFonts w:ascii="Verdana" w:hAnsi="Verdana"/>
          <w:sz w:val="20"/>
          <w:szCs w:val="20"/>
          <w:lang w:val="es-MX"/>
        </w:rPr>
        <w:t xml:space="preserve">Por su parte, esta Corte toma nota de lo establecido </w:t>
      </w:r>
      <w:r w:rsidR="00A825D8">
        <w:rPr>
          <w:rFonts w:ascii="Verdana" w:hAnsi="Verdana"/>
          <w:sz w:val="20"/>
          <w:szCs w:val="20"/>
          <w:lang w:val="es-MX"/>
        </w:rPr>
        <w:t xml:space="preserve">también </w:t>
      </w:r>
      <w:r>
        <w:rPr>
          <w:rFonts w:ascii="Verdana" w:hAnsi="Verdana"/>
          <w:sz w:val="20"/>
          <w:szCs w:val="20"/>
          <w:lang w:val="es-MX"/>
        </w:rPr>
        <w:t xml:space="preserve">por diversos organismos internacionales, tales como: el Comité para la Eliminación de la Discriminación Racial de la </w:t>
      </w:r>
      <w:r w:rsidR="003C5DE4">
        <w:rPr>
          <w:rFonts w:ascii="Verdana" w:hAnsi="Verdana"/>
          <w:sz w:val="20"/>
          <w:szCs w:val="20"/>
          <w:lang w:val="es-MX"/>
        </w:rPr>
        <w:t>Organización de las Naciones Unidas</w:t>
      </w:r>
      <w:r>
        <w:rPr>
          <w:rStyle w:val="FootnoteReference"/>
          <w:szCs w:val="20"/>
          <w:lang w:val="es-MX"/>
        </w:rPr>
        <w:footnoteReference w:id="148"/>
      </w:r>
      <w:r w:rsidR="003C5DE4">
        <w:rPr>
          <w:rFonts w:ascii="Verdana" w:hAnsi="Verdana"/>
          <w:sz w:val="20"/>
          <w:szCs w:val="20"/>
          <w:lang w:val="es-MX"/>
        </w:rPr>
        <w:t xml:space="preserve"> (en adelante “ONU”)</w:t>
      </w:r>
      <w:r>
        <w:rPr>
          <w:rFonts w:ascii="Verdana" w:hAnsi="Verdana"/>
          <w:sz w:val="20"/>
          <w:szCs w:val="20"/>
          <w:lang w:val="es-MX"/>
        </w:rPr>
        <w:t>, el Comité de Derechos Humanos de la ONU</w:t>
      </w:r>
      <w:r>
        <w:rPr>
          <w:rStyle w:val="FootnoteReference"/>
          <w:szCs w:val="20"/>
          <w:lang w:val="es-MX"/>
        </w:rPr>
        <w:footnoteReference w:id="149"/>
      </w:r>
      <w:r>
        <w:rPr>
          <w:rFonts w:ascii="Verdana" w:hAnsi="Verdana"/>
          <w:sz w:val="20"/>
          <w:szCs w:val="20"/>
          <w:lang w:val="es-MX"/>
        </w:rPr>
        <w:t>, así como el Relator Especial sobre los Derechos de los Pueblos Indígenas</w:t>
      </w:r>
      <w:r>
        <w:rPr>
          <w:rStyle w:val="FootnoteReference"/>
          <w:szCs w:val="20"/>
          <w:lang w:val="es-MX"/>
        </w:rPr>
        <w:footnoteReference w:id="150"/>
      </w:r>
      <w:r>
        <w:rPr>
          <w:rFonts w:ascii="Verdana" w:hAnsi="Verdana"/>
          <w:sz w:val="20"/>
          <w:szCs w:val="20"/>
          <w:lang w:val="es-MX"/>
        </w:rPr>
        <w:t xml:space="preserve">, los </w:t>
      </w:r>
      <w:r>
        <w:rPr>
          <w:rFonts w:ascii="Verdana" w:hAnsi="Verdana"/>
          <w:sz w:val="20"/>
          <w:szCs w:val="20"/>
          <w:lang w:val="es-MX"/>
        </w:rPr>
        <w:lastRenderedPageBreak/>
        <w:t xml:space="preserve">cuales han manifestado que el marco jurídico de </w:t>
      </w:r>
      <w:r w:rsidR="00563E11">
        <w:rPr>
          <w:rFonts w:ascii="Verdana" w:hAnsi="Verdana"/>
          <w:sz w:val="20"/>
          <w:szCs w:val="20"/>
          <w:lang w:val="es-MX"/>
        </w:rPr>
        <w:t>Surinam</w:t>
      </w:r>
      <w:r>
        <w:rPr>
          <w:rFonts w:ascii="Verdana" w:hAnsi="Verdana"/>
          <w:sz w:val="20"/>
          <w:szCs w:val="20"/>
          <w:lang w:val="es-MX"/>
        </w:rPr>
        <w:t xml:space="preserve"> no reconoce la personalidad jurídica a los pueblos indígenas para la protección de sus territorios y recursos naturales. </w:t>
      </w:r>
    </w:p>
    <w:p w14:paraId="610C1FCB" w14:textId="77777777" w:rsidR="007E0325" w:rsidRDefault="007E0325" w:rsidP="007E0325">
      <w:pPr>
        <w:jc w:val="both"/>
        <w:rPr>
          <w:rFonts w:ascii="Verdana" w:hAnsi="Verdana"/>
          <w:sz w:val="20"/>
          <w:szCs w:val="20"/>
          <w:lang w:val="es-MX"/>
        </w:rPr>
      </w:pPr>
    </w:p>
    <w:p w14:paraId="292CA13D" w14:textId="20AE3E3B" w:rsidR="007E0325" w:rsidRPr="002D74A3" w:rsidRDefault="007E0325" w:rsidP="007E0325">
      <w:pPr>
        <w:pStyle w:val="ListParagraph"/>
        <w:numPr>
          <w:ilvl w:val="0"/>
          <w:numId w:val="2"/>
        </w:numPr>
        <w:ind w:left="0" w:hanging="11"/>
        <w:jc w:val="both"/>
        <w:rPr>
          <w:rFonts w:ascii="Verdana" w:hAnsi="Verdana"/>
          <w:sz w:val="20"/>
          <w:szCs w:val="20"/>
          <w:lang w:val="es-ES"/>
        </w:rPr>
      </w:pPr>
      <w:r>
        <w:rPr>
          <w:rFonts w:ascii="Verdana" w:hAnsi="Verdana"/>
          <w:sz w:val="20"/>
          <w:szCs w:val="20"/>
          <w:lang w:val="es-MX"/>
        </w:rPr>
        <w:t>En el presente caso,</w:t>
      </w:r>
      <w:r w:rsidRPr="002D74A3">
        <w:rPr>
          <w:rFonts w:ascii="Verdana" w:hAnsi="Verdana"/>
          <w:sz w:val="20"/>
          <w:szCs w:val="20"/>
          <w:lang w:val="es-MX"/>
        </w:rPr>
        <w:t xml:space="preserve"> es </w:t>
      </w:r>
      <w:r w:rsidRPr="007E0325">
        <w:rPr>
          <w:rStyle w:val="Strong"/>
          <w:rFonts w:ascii="Verdana" w:hAnsi="Verdana"/>
          <w:b w:val="0"/>
          <w:sz w:val="20"/>
          <w:szCs w:val="20"/>
          <w:lang w:val="es-ES"/>
        </w:rPr>
        <w:t xml:space="preserve">un hecho no controvertido que en la actualidad el ordenamiento interno de </w:t>
      </w:r>
      <w:r w:rsidR="00563E11">
        <w:rPr>
          <w:rStyle w:val="Strong"/>
          <w:rFonts w:ascii="Verdana" w:hAnsi="Verdana"/>
          <w:b w:val="0"/>
          <w:sz w:val="20"/>
          <w:szCs w:val="20"/>
          <w:lang w:val="es-ES"/>
        </w:rPr>
        <w:t>Surinam</w:t>
      </w:r>
      <w:r w:rsidRPr="007E0325">
        <w:rPr>
          <w:rStyle w:val="Strong"/>
          <w:rFonts w:ascii="Verdana" w:hAnsi="Verdana"/>
          <w:b w:val="0"/>
          <w:sz w:val="20"/>
          <w:szCs w:val="20"/>
          <w:lang w:val="es-ES"/>
        </w:rPr>
        <w:t xml:space="preserve"> </w:t>
      </w:r>
      <w:r w:rsidR="00E16261" w:rsidRPr="00830B9E">
        <w:rPr>
          <w:rStyle w:val="Strong"/>
          <w:rFonts w:ascii="Verdana" w:hAnsi="Verdana"/>
          <w:b w:val="0"/>
          <w:sz w:val="20"/>
          <w:lang w:val="es-ES"/>
        </w:rPr>
        <w:t>no reconoce</w:t>
      </w:r>
      <w:r w:rsidRPr="007E0325">
        <w:rPr>
          <w:rStyle w:val="Strong"/>
          <w:rFonts w:ascii="Verdana" w:hAnsi="Verdana"/>
          <w:b w:val="0"/>
          <w:sz w:val="20"/>
          <w:szCs w:val="20"/>
          <w:lang w:val="es-ES"/>
        </w:rPr>
        <w:t xml:space="preserve"> la personalidad jurídica a los pueblos indígenas, y en consecuencia carecen de capacidad para ostentar títulos de propiedad colectivos. Lo anterior, habría sido corroborado por el Estado en la audiencia y</w:t>
      </w:r>
      <w:r>
        <w:rPr>
          <w:rStyle w:val="Strong"/>
          <w:rFonts w:ascii="Verdana" w:hAnsi="Verdana"/>
          <w:sz w:val="20"/>
          <w:szCs w:val="20"/>
          <w:lang w:val="es-ES"/>
        </w:rPr>
        <w:t xml:space="preserve"> </w:t>
      </w:r>
      <w:r w:rsidRPr="002D74A3">
        <w:rPr>
          <w:rFonts w:ascii="Verdana" w:hAnsi="Verdana"/>
          <w:sz w:val="20"/>
          <w:szCs w:val="20"/>
          <w:lang w:val="es-ES"/>
        </w:rPr>
        <w:t xml:space="preserve">por los representantes indígenas de la Asamblea Nacional de </w:t>
      </w:r>
      <w:r w:rsidR="00563E11">
        <w:rPr>
          <w:rFonts w:ascii="Verdana" w:hAnsi="Verdana"/>
          <w:sz w:val="20"/>
          <w:szCs w:val="20"/>
          <w:lang w:val="es-ES"/>
        </w:rPr>
        <w:t>Surinam</w:t>
      </w:r>
      <w:r w:rsidRPr="002D74A3">
        <w:rPr>
          <w:rFonts w:ascii="Verdana" w:hAnsi="Verdana"/>
          <w:sz w:val="20"/>
          <w:szCs w:val="20"/>
          <w:lang w:val="es-ES"/>
        </w:rPr>
        <w:t xml:space="preserve"> durante la diligencia </w:t>
      </w:r>
      <w:r w:rsidRPr="002D74A3">
        <w:rPr>
          <w:rFonts w:ascii="Verdana" w:hAnsi="Verdana"/>
          <w:i/>
          <w:sz w:val="20"/>
          <w:szCs w:val="20"/>
          <w:lang w:val="es-ES"/>
        </w:rPr>
        <w:t>in situ</w:t>
      </w:r>
      <w:r>
        <w:rPr>
          <w:rFonts w:ascii="Verdana" w:hAnsi="Verdana"/>
          <w:i/>
          <w:sz w:val="20"/>
          <w:szCs w:val="20"/>
          <w:lang w:val="es-ES"/>
        </w:rPr>
        <w:t xml:space="preserve"> </w:t>
      </w:r>
      <w:r w:rsidR="00E16261" w:rsidRPr="00190AD3">
        <w:rPr>
          <w:rFonts w:ascii="Verdana" w:hAnsi="Verdana"/>
          <w:sz w:val="20"/>
          <w:szCs w:val="20"/>
          <w:lang w:val="es-ES"/>
        </w:rPr>
        <w:t>de la delegación de la Corte</w:t>
      </w:r>
      <w:r w:rsidR="00E16261" w:rsidRPr="002C323A">
        <w:rPr>
          <w:rFonts w:ascii="Verdana" w:hAnsi="Verdana"/>
          <w:b/>
          <w:sz w:val="20"/>
          <w:szCs w:val="20"/>
          <w:lang w:val="es-ES"/>
        </w:rPr>
        <w:t xml:space="preserve"> </w:t>
      </w:r>
      <w:r w:rsidRPr="00C31C5A">
        <w:rPr>
          <w:rFonts w:ascii="Verdana" w:hAnsi="Verdana"/>
          <w:sz w:val="20"/>
          <w:szCs w:val="20"/>
          <w:lang w:val="es-ES"/>
        </w:rPr>
        <w:t>a la misma</w:t>
      </w:r>
      <w:r w:rsidRPr="002D74A3">
        <w:rPr>
          <w:rFonts w:ascii="Verdana" w:hAnsi="Verdana"/>
          <w:sz w:val="20"/>
          <w:szCs w:val="20"/>
          <w:lang w:val="es-ES"/>
        </w:rPr>
        <w:t xml:space="preserve">. </w:t>
      </w:r>
    </w:p>
    <w:p w14:paraId="3032699E" w14:textId="77777777" w:rsidR="007E0325" w:rsidRPr="00B225ED" w:rsidRDefault="007E0325" w:rsidP="007E0325">
      <w:pPr>
        <w:jc w:val="both"/>
        <w:rPr>
          <w:rFonts w:ascii="Verdana" w:hAnsi="Verdana"/>
          <w:sz w:val="20"/>
          <w:szCs w:val="20"/>
          <w:lang w:val="es-CR"/>
        </w:rPr>
      </w:pPr>
    </w:p>
    <w:p w14:paraId="190A9EAE" w14:textId="77777777" w:rsidR="00CB17C1" w:rsidRPr="00B225ED" w:rsidRDefault="00CB17C1" w:rsidP="00CB17C1">
      <w:pPr>
        <w:pStyle w:val="ListParagraph"/>
        <w:numPr>
          <w:ilvl w:val="0"/>
          <w:numId w:val="2"/>
        </w:numPr>
        <w:ind w:left="0" w:hanging="11"/>
        <w:jc w:val="both"/>
        <w:rPr>
          <w:rFonts w:ascii="Verdana" w:hAnsi="Verdana"/>
          <w:sz w:val="20"/>
          <w:szCs w:val="20"/>
          <w:lang w:val="es-MX"/>
        </w:rPr>
      </w:pPr>
      <w:r>
        <w:rPr>
          <w:rFonts w:ascii="Verdana" w:hAnsi="Verdana"/>
          <w:sz w:val="20"/>
          <w:szCs w:val="20"/>
          <w:lang w:val="es-ES"/>
        </w:rPr>
        <w:t xml:space="preserve">Lo anterior, resulta aún más gravoso con motivo de lo ya dispuesto en la sentencia en el </w:t>
      </w:r>
      <w:r w:rsidRPr="00B225ED">
        <w:rPr>
          <w:rFonts w:ascii="Verdana" w:hAnsi="Verdana"/>
          <w:sz w:val="20"/>
          <w:szCs w:val="20"/>
          <w:lang w:val="es-ES"/>
        </w:rPr>
        <w:t xml:space="preserve">caso </w:t>
      </w:r>
      <w:r w:rsidR="008A4ABB" w:rsidRPr="007E20F9">
        <w:rPr>
          <w:rFonts w:ascii="Verdana" w:hAnsi="Verdana"/>
          <w:i/>
          <w:sz w:val="20"/>
          <w:szCs w:val="20"/>
          <w:lang w:val="es-ES"/>
        </w:rPr>
        <w:t>del Pueblo Saramaka</w:t>
      </w:r>
      <w:r w:rsidRPr="00B225ED">
        <w:rPr>
          <w:rFonts w:ascii="Verdana" w:hAnsi="Verdana"/>
          <w:sz w:val="20"/>
          <w:szCs w:val="20"/>
          <w:lang w:val="es-ES"/>
        </w:rPr>
        <w:t xml:space="preserve"> </w:t>
      </w:r>
      <w:r>
        <w:rPr>
          <w:rFonts w:ascii="Verdana" w:hAnsi="Verdana"/>
          <w:sz w:val="20"/>
          <w:szCs w:val="20"/>
          <w:lang w:val="es-ES"/>
        </w:rPr>
        <w:t xml:space="preserve">de </w:t>
      </w:r>
      <w:r w:rsidRPr="00B225ED">
        <w:rPr>
          <w:rFonts w:ascii="Verdana" w:hAnsi="Verdana"/>
          <w:sz w:val="20"/>
          <w:szCs w:val="20"/>
          <w:lang w:val="es-ES"/>
        </w:rPr>
        <w:t>28 de noviembre de 2007</w:t>
      </w:r>
      <w:r>
        <w:rPr>
          <w:rFonts w:ascii="Verdana" w:hAnsi="Verdana"/>
          <w:sz w:val="20"/>
          <w:szCs w:val="20"/>
          <w:lang w:val="es-ES"/>
        </w:rPr>
        <w:t xml:space="preserve"> (</w:t>
      </w:r>
      <w:r w:rsidR="00366D91" w:rsidRPr="00366D91">
        <w:rPr>
          <w:rFonts w:ascii="Verdana" w:hAnsi="Verdana"/>
          <w:i/>
          <w:sz w:val="20"/>
          <w:szCs w:val="20"/>
          <w:lang w:val="es-ES"/>
        </w:rPr>
        <w:t>supra</w:t>
      </w:r>
      <w:r>
        <w:rPr>
          <w:rFonts w:ascii="Verdana" w:hAnsi="Verdana"/>
          <w:sz w:val="20"/>
          <w:szCs w:val="20"/>
          <w:lang w:val="es-ES"/>
        </w:rPr>
        <w:t xml:space="preserve"> párr.</w:t>
      </w:r>
      <w:r w:rsidR="004A1254">
        <w:rPr>
          <w:rFonts w:ascii="Verdana" w:hAnsi="Verdana"/>
          <w:sz w:val="20"/>
          <w:szCs w:val="20"/>
          <w:lang w:val="es-ES"/>
        </w:rPr>
        <w:t xml:space="preserve"> 107</w:t>
      </w:r>
      <w:r>
        <w:rPr>
          <w:rFonts w:ascii="Verdana" w:hAnsi="Verdana"/>
          <w:sz w:val="20"/>
          <w:szCs w:val="20"/>
          <w:lang w:val="es-ES"/>
        </w:rPr>
        <w:t>)</w:t>
      </w:r>
      <w:r w:rsidRPr="00B225ED">
        <w:rPr>
          <w:rStyle w:val="FootnoteReference"/>
          <w:szCs w:val="20"/>
          <w:lang w:val="es-ES"/>
        </w:rPr>
        <w:footnoteReference w:id="151"/>
      </w:r>
      <w:r>
        <w:rPr>
          <w:rFonts w:ascii="Verdana" w:hAnsi="Verdana"/>
          <w:sz w:val="20"/>
          <w:szCs w:val="20"/>
          <w:lang w:val="es-ES"/>
        </w:rPr>
        <w:t>, que fue reiterad</w:t>
      </w:r>
      <w:r w:rsidR="00F64329">
        <w:rPr>
          <w:rFonts w:ascii="Verdana" w:hAnsi="Verdana"/>
          <w:sz w:val="20"/>
          <w:szCs w:val="20"/>
          <w:lang w:val="es-ES"/>
        </w:rPr>
        <w:t>o</w:t>
      </w:r>
      <w:r>
        <w:rPr>
          <w:rFonts w:ascii="Verdana" w:hAnsi="Verdana"/>
          <w:sz w:val="20"/>
          <w:szCs w:val="20"/>
          <w:lang w:val="es-ES"/>
        </w:rPr>
        <w:t xml:space="preserve"> al Estado</w:t>
      </w:r>
      <w:r w:rsidR="00F64329">
        <w:rPr>
          <w:rFonts w:ascii="Verdana" w:hAnsi="Verdana"/>
          <w:sz w:val="20"/>
          <w:szCs w:val="20"/>
          <w:lang w:val="es-ES"/>
        </w:rPr>
        <w:t xml:space="preserve">, </w:t>
      </w:r>
      <w:r>
        <w:rPr>
          <w:rFonts w:ascii="Verdana" w:hAnsi="Verdana"/>
          <w:sz w:val="20"/>
          <w:szCs w:val="20"/>
          <w:lang w:val="es-ES"/>
        </w:rPr>
        <w:t>para efectos de dicho caso, mediante Resolución de Cumplimiento de</w:t>
      </w:r>
      <w:r w:rsidRPr="00B225ED">
        <w:rPr>
          <w:rFonts w:ascii="Verdana" w:hAnsi="Verdana"/>
          <w:sz w:val="20"/>
          <w:szCs w:val="20"/>
          <w:lang w:val="es-ES"/>
        </w:rPr>
        <w:t xml:space="preserve"> 23 de noviembre de 2011</w:t>
      </w:r>
      <w:r w:rsidRPr="00B225ED">
        <w:rPr>
          <w:rStyle w:val="FootnoteReference"/>
          <w:szCs w:val="20"/>
          <w:lang w:val="es-MX"/>
        </w:rPr>
        <w:footnoteReference w:id="152"/>
      </w:r>
      <w:r w:rsidRPr="00B225ED">
        <w:rPr>
          <w:rFonts w:ascii="Verdana" w:hAnsi="Verdana"/>
          <w:sz w:val="20"/>
          <w:szCs w:val="20"/>
          <w:lang w:val="es-MX"/>
        </w:rPr>
        <w:t>.</w:t>
      </w:r>
      <w:r>
        <w:rPr>
          <w:rFonts w:ascii="Verdana" w:hAnsi="Verdana"/>
          <w:sz w:val="20"/>
          <w:szCs w:val="20"/>
          <w:lang w:val="es-MX"/>
        </w:rPr>
        <w:t xml:space="preserve"> </w:t>
      </w:r>
    </w:p>
    <w:p w14:paraId="4776293D" w14:textId="77777777" w:rsidR="00CB17C1" w:rsidRPr="00C31C5A" w:rsidRDefault="00CB17C1" w:rsidP="00CB17C1">
      <w:pPr>
        <w:jc w:val="both"/>
        <w:rPr>
          <w:rFonts w:ascii="Verdana" w:hAnsi="Verdana"/>
          <w:sz w:val="20"/>
          <w:szCs w:val="20"/>
          <w:lang w:val="es-MX"/>
        </w:rPr>
      </w:pPr>
    </w:p>
    <w:p w14:paraId="1B18F390" w14:textId="3604B5EF" w:rsidR="00CB17C1" w:rsidRPr="00A26293" w:rsidRDefault="00CB17C1" w:rsidP="00CB17C1">
      <w:pPr>
        <w:pStyle w:val="ListParagraph"/>
        <w:numPr>
          <w:ilvl w:val="0"/>
          <w:numId w:val="2"/>
        </w:numPr>
        <w:ind w:left="0" w:hanging="11"/>
        <w:jc w:val="both"/>
      </w:pPr>
      <w:r w:rsidRPr="00C31C5A">
        <w:rPr>
          <w:rFonts w:ascii="Verdana" w:hAnsi="Verdana"/>
          <w:sz w:val="20"/>
          <w:szCs w:val="20"/>
          <w:lang w:val="es-CR"/>
        </w:rPr>
        <w:t xml:space="preserve">En conclusión, </w:t>
      </w:r>
      <w:r w:rsidRPr="00C200E3">
        <w:rPr>
          <w:rFonts w:ascii="Verdana" w:hAnsi="Verdana"/>
          <w:sz w:val="20"/>
          <w:szCs w:val="20"/>
          <w:lang w:val="es-CR"/>
        </w:rPr>
        <w:t xml:space="preserve">ya que </w:t>
      </w:r>
      <w:r>
        <w:rPr>
          <w:rFonts w:ascii="Verdana" w:hAnsi="Verdana"/>
          <w:sz w:val="20"/>
          <w:szCs w:val="20"/>
          <w:lang w:val="es-CR"/>
        </w:rPr>
        <w:t xml:space="preserve">el </w:t>
      </w:r>
      <w:r w:rsidRPr="00C200E3">
        <w:rPr>
          <w:rFonts w:ascii="Verdana" w:hAnsi="Verdana"/>
          <w:sz w:val="20"/>
          <w:szCs w:val="20"/>
          <w:lang w:val="es-CR"/>
        </w:rPr>
        <w:t>ordenamiento jurídico interno</w:t>
      </w:r>
      <w:r>
        <w:rPr>
          <w:rFonts w:ascii="Verdana" w:hAnsi="Verdana"/>
          <w:sz w:val="20"/>
          <w:szCs w:val="20"/>
          <w:lang w:val="es-CR"/>
        </w:rPr>
        <w:t xml:space="preserve"> de </w:t>
      </w:r>
      <w:r w:rsidR="00563E11">
        <w:rPr>
          <w:rFonts w:ascii="Verdana" w:hAnsi="Verdana"/>
          <w:sz w:val="20"/>
          <w:szCs w:val="20"/>
          <w:lang w:val="es-CR"/>
        </w:rPr>
        <w:t>Surinam</w:t>
      </w:r>
      <w:r w:rsidRPr="00C200E3">
        <w:rPr>
          <w:rFonts w:ascii="Verdana" w:hAnsi="Verdana"/>
          <w:sz w:val="20"/>
          <w:szCs w:val="20"/>
          <w:lang w:val="es-CR"/>
        </w:rPr>
        <w:t xml:space="preserve"> no </w:t>
      </w:r>
      <w:r w:rsidRPr="00830B9E">
        <w:rPr>
          <w:rFonts w:ascii="Verdana" w:hAnsi="Verdana"/>
          <w:sz w:val="20"/>
          <w:szCs w:val="20"/>
          <w:lang w:val="es-CR"/>
        </w:rPr>
        <w:t xml:space="preserve">reconoce </w:t>
      </w:r>
      <w:r w:rsidR="00E16261" w:rsidRPr="00190AD3">
        <w:rPr>
          <w:rFonts w:ascii="Verdana" w:hAnsi="Verdana"/>
          <w:sz w:val="20"/>
          <w:szCs w:val="20"/>
          <w:lang w:val="es-CR"/>
        </w:rPr>
        <w:t>el ejercicio de la</w:t>
      </w:r>
      <w:r w:rsidR="00E16261" w:rsidRPr="00830B9E">
        <w:rPr>
          <w:rFonts w:ascii="Verdana" w:hAnsi="Verdana"/>
          <w:sz w:val="20"/>
          <w:szCs w:val="20"/>
          <w:lang w:val="es-CR"/>
        </w:rPr>
        <w:t xml:space="preserve"> </w:t>
      </w:r>
      <w:r w:rsidRPr="00830B9E">
        <w:rPr>
          <w:rFonts w:ascii="Verdana" w:hAnsi="Verdana"/>
          <w:sz w:val="20"/>
          <w:szCs w:val="20"/>
          <w:lang w:val="es-CR"/>
        </w:rPr>
        <w:t xml:space="preserve">personalidad jurídica </w:t>
      </w:r>
      <w:r w:rsidR="00E16261" w:rsidRPr="00830B9E">
        <w:rPr>
          <w:rFonts w:ascii="Verdana" w:hAnsi="Verdana"/>
          <w:sz w:val="20"/>
          <w:szCs w:val="20"/>
          <w:lang w:val="es-CR"/>
        </w:rPr>
        <w:t xml:space="preserve">de </w:t>
      </w:r>
      <w:r w:rsidRPr="00830B9E">
        <w:rPr>
          <w:rFonts w:ascii="Verdana" w:hAnsi="Verdana"/>
          <w:sz w:val="20"/>
          <w:szCs w:val="20"/>
          <w:lang w:val="es-CR"/>
        </w:rPr>
        <w:t>los pueblos indígenas y tribales</w:t>
      </w:r>
      <w:r w:rsidR="00E16261" w:rsidRPr="00E553B4">
        <w:rPr>
          <w:rFonts w:ascii="Verdana" w:hAnsi="Verdana"/>
          <w:sz w:val="20"/>
          <w:szCs w:val="20"/>
          <w:lang w:val="es-CR"/>
        </w:rPr>
        <w:t xml:space="preserve"> </w:t>
      </w:r>
      <w:r w:rsidR="00E16261" w:rsidRPr="00830B9E">
        <w:rPr>
          <w:rFonts w:ascii="Verdana" w:hAnsi="Verdana"/>
          <w:sz w:val="20"/>
          <w:szCs w:val="20"/>
          <w:lang w:val="es-CR"/>
        </w:rPr>
        <w:t>de manera colectiva</w:t>
      </w:r>
      <w:r w:rsidRPr="00830B9E">
        <w:rPr>
          <w:rFonts w:ascii="Verdana" w:hAnsi="Verdana"/>
          <w:sz w:val="20"/>
          <w:szCs w:val="20"/>
          <w:lang w:val="es-CR"/>
        </w:rPr>
        <w:t xml:space="preserve">, esta Corte considera que el Estado ha violado el artículo 3 de la Convención Americana, en perjuicio de los </w:t>
      </w:r>
      <w:r w:rsidR="00382F4D" w:rsidRPr="00830B9E">
        <w:rPr>
          <w:rFonts w:ascii="Verdana" w:hAnsi="Verdana"/>
          <w:sz w:val="20"/>
          <w:szCs w:val="20"/>
          <w:lang w:val="es-CR"/>
        </w:rPr>
        <w:t>Pueblos Kaliña y Lokono</w:t>
      </w:r>
      <w:r w:rsidR="00806004" w:rsidRPr="00830B9E">
        <w:rPr>
          <w:rFonts w:ascii="Verdana" w:hAnsi="Verdana"/>
          <w:sz w:val="20"/>
          <w:szCs w:val="20"/>
          <w:lang w:val="es-CR"/>
        </w:rPr>
        <w:t>,</w:t>
      </w:r>
      <w:r w:rsidR="00E16261" w:rsidRPr="00830B9E">
        <w:rPr>
          <w:rFonts w:ascii="Verdana" w:hAnsi="Verdana"/>
          <w:sz w:val="20"/>
          <w:szCs w:val="20"/>
          <w:lang w:val="es-CR"/>
        </w:rPr>
        <w:t xml:space="preserve"> en relación con el artículo 2 de la misma</w:t>
      </w:r>
      <w:r w:rsidRPr="00B225ED">
        <w:rPr>
          <w:rFonts w:ascii="Verdana" w:hAnsi="Verdana"/>
          <w:sz w:val="20"/>
          <w:szCs w:val="20"/>
          <w:lang w:val="es-ES"/>
        </w:rPr>
        <w:t>.</w:t>
      </w:r>
      <w:r>
        <w:rPr>
          <w:rFonts w:ascii="Verdana" w:hAnsi="Verdana"/>
          <w:sz w:val="20"/>
          <w:szCs w:val="20"/>
          <w:lang w:val="es-MX"/>
        </w:rPr>
        <w:t xml:space="preserve"> </w:t>
      </w:r>
      <w:r w:rsidR="00E16261">
        <w:rPr>
          <w:rFonts w:ascii="Verdana" w:hAnsi="Verdana"/>
          <w:sz w:val="20"/>
          <w:szCs w:val="20"/>
          <w:lang w:val="es-MX"/>
        </w:rPr>
        <w:t>Además</w:t>
      </w:r>
      <w:r w:rsidRPr="00054D90">
        <w:rPr>
          <w:rFonts w:ascii="Verdana" w:hAnsi="Verdana"/>
          <w:sz w:val="20"/>
          <w:szCs w:val="20"/>
          <w:lang w:val="es-CR"/>
        </w:rPr>
        <w:t xml:space="preserve">, para efectos del presente caso, la falta de </w:t>
      </w:r>
      <w:r w:rsidR="00806004">
        <w:rPr>
          <w:rFonts w:ascii="Verdana" w:hAnsi="Verdana"/>
          <w:sz w:val="20"/>
          <w:szCs w:val="20"/>
          <w:lang w:val="es-CR"/>
        </w:rPr>
        <w:t>reconocimiento</w:t>
      </w:r>
      <w:r w:rsidR="00806004" w:rsidRPr="00E16261">
        <w:rPr>
          <w:rFonts w:ascii="Verdana" w:hAnsi="Verdana"/>
          <w:sz w:val="20"/>
          <w:szCs w:val="20"/>
          <w:lang w:val="es-CR"/>
        </w:rPr>
        <w:t xml:space="preserve"> </w:t>
      </w:r>
      <w:r w:rsidR="00EC22F5" w:rsidRPr="002C323A">
        <w:rPr>
          <w:rFonts w:ascii="Verdana" w:hAnsi="Verdana"/>
          <w:sz w:val="20"/>
          <w:szCs w:val="20"/>
          <w:lang w:val="es-CR"/>
        </w:rPr>
        <w:t>de</w:t>
      </w:r>
      <w:r w:rsidRPr="00E16261">
        <w:rPr>
          <w:rFonts w:ascii="Verdana" w:hAnsi="Verdana"/>
          <w:sz w:val="20"/>
          <w:szCs w:val="20"/>
          <w:lang w:val="es-CR"/>
        </w:rPr>
        <w:t xml:space="preserve"> </w:t>
      </w:r>
      <w:r w:rsidRPr="00054D90">
        <w:rPr>
          <w:rFonts w:ascii="Verdana" w:hAnsi="Verdana"/>
          <w:sz w:val="20"/>
          <w:szCs w:val="20"/>
          <w:lang w:val="es-CR"/>
        </w:rPr>
        <w:t xml:space="preserve">la personalidad jurídica de los </w:t>
      </w:r>
      <w:r w:rsidR="0083475A">
        <w:rPr>
          <w:rFonts w:ascii="Verdana" w:hAnsi="Verdana"/>
          <w:sz w:val="20"/>
          <w:szCs w:val="20"/>
          <w:lang w:val="es-CR"/>
        </w:rPr>
        <w:t>Pueblos Kaliña</w:t>
      </w:r>
      <w:r w:rsidRPr="00054D90">
        <w:rPr>
          <w:rFonts w:ascii="Verdana" w:hAnsi="Verdana"/>
          <w:sz w:val="20"/>
          <w:szCs w:val="20"/>
          <w:lang w:val="es-CR"/>
        </w:rPr>
        <w:t xml:space="preserve"> </w:t>
      </w:r>
      <w:r w:rsidRPr="006329C8">
        <w:rPr>
          <w:rFonts w:ascii="Verdana" w:hAnsi="Verdana"/>
          <w:sz w:val="20"/>
          <w:szCs w:val="20"/>
          <w:lang w:val="es-CR"/>
        </w:rPr>
        <w:t xml:space="preserve">y Lokono </w:t>
      </w:r>
      <w:r w:rsidRPr="007060DF">
        <w:rPr>
          <w:rFonts w:ascii="Verdana" w:hAnsi="Verdana"/>
          <w:sz w:val="20"/>
          <w:szCs w:val="20"/>
          <w:lang w:val="es-CR"/>
        </w:rPr>
        <w:t xml:space="preserve">impacta, como será analizado </w:t>
      </w:r>
      <w:r w:rsidR="007829DF" w:rsidRPr="007829DF">
        <w:rPr>
          <w:rFonts w:ascii="Verdana" w:hAnsi="Verdana"/>
          <w:i/>
          <w:sz w:val="20"/>
          <w:szCs w:val="20"/>
          <w:lang w:val="es-CR"/>
        </w:rPr>
        <w:t>infra</w:t>
      </w:r>
      <w:r w:rsidRPr="007060DF">
        <w:rPr>
          <w:rFonts w:ascii="Verdana" w:hAnsi="Verdana"/>
          <w:sz w:val="20"/>
          <w:szCs w:val="20"/>
          <w:lang w:val="es-CR"/>
        </w:rPr>
        <w:t>, en la violación de otros derechos reconocidos en l</w:t>
      </w:r>
      <w:r w:rsidRPr="00E5489C">
        <w:rPr>
          <w:rFonts w:ascii="Verdana" w:hAnsi="Verdana"/>
          <w:sz w:val="20"/>
          <w:szCs w:val="20"/>
          <w:lang w:val="es-CR"/>
        </w:rPr>
        <w:t xml:space="preserve">os </w:t>
      </w:r>
      <w:r w:rsidRPr="00DA0214">
        <w:rPr>
          <w:rFonts w:ascii="Verdana" w:hAnsi="Verdana"/>
          <w:sz w:val="20"/>
          <w:szCs w:val="20"/>
          <w:lang w:val="es-CR"/>
        </w:rPr>
        <w:t>artículos 1.1</w:t>
      </w:r>
      <w:r w:rsidRPr="00D9753A">
        <w:rPr>
          <w:rFonts w:ascii="Verdana" w:hAnsi="Verdana"/>
          <w:sz w:val="20"/>
          <w:szCs w:val="20"/>
          <w:lang w:val="es-CR"/>
        </w:rPr>
        <w:t>,</w:t>
      </w:r>
      <w:r w:rsidRPr="00BD5075">
        <w:rPr>
          <w:rFonts w:ascii="Verdana" w:hAnsi="Verdana"/>
          <w:sz w:val="20"/>
          <w:szCs w:val="20"/>
          <w:lang w:val="es-CR"/>
        </w:rPr>
        <w:t xml:space="preserve"> 21 y 25 de la Convención</w:t>
      </w:r>
      <w:r w:rsidRPr="00A5488B">
        <w:rPr>
          <w:rFonts w:ascii="Verdana" w:hAnsi="Verdana"/>
          <w:sz w:val="20"/>
          <w:szCs w:val="20"/>
          <w:lang w:val="es-CR"/>
        </w:rPr>
        <w:t>.</w:t>
      </w:r>
    </w:p>
    <w:p w14:paraId="27448C18" w14:textId="77777777" w:rsidR="00FC1FCF" w:rsidRDefault="00FC1FCF" w:rsidP="00E4033A">
      <w:pPr>
        <w:pStyle w:val="ListParagraph"/>
        <w:ind w:left="0"/>
        <w:jc w:val="both"/>
      </w:pPr>
    </w:p>
    <w:p w14:paraId="0BBF31B7" w14:textId="77777777" w:rsidR="007E0325" w:rsidRPr="00FD7DB4" w:rsidRDefault="007E0325" w:rsidP="007E0325">
      <w:pPr>
        <w:pStyle w:val="Heading1"/>
        <w:tabs>
          <w:tab w:val="left" w:pos="851"/>
        </w:tabs>
        <w:spacing w:before="0"/>
        <w:jc w:val="center"/>
        <w:rPr>
          <w:rFonts w:ascii="Verdana" w:hAnsi="Verdana" w:cs="Verdana"/>
          <w:caps/>
          <w:snapToGrid w:val="0"/>
          <w:color w:val="auto"/>
          <w:sz w:val="20"/>
          <w:szCs w:val="20"/>
        </w:rPr>
      </w:pPr>
      <w:bookmarkStart w:id="40" w:name="_Toc441666176"/>
      <w:r>
        <w:rPr>
          <w:rFonts w:ascii="Verdana" w:hAnsi="Verdana" w:cs="Verdana"/>
          <w:caps/>
          <w:snapToGrid w:val="0"/>
          <w:color w:val="auto"/>
          <w:sz w:val="20"/>
          <w:szCs w:val="20"/>
        </w:rPr>
        <w:t>VI-ii</w:t>
      </w:r>
      <w:r w:rsidRPr="00FD7DB4">
        <w:rPr>
          <w:rFonts w:ascii="Verdana" w:hAnsi="Verdana" w:cs="Verdana"/>
          <w:caps/>
          <w:snapToGrid w:val="0"/>
          <w:color w:val="auto"/>
          <w:sz w:val="20"/>
          <w:szCs w:val="20"/>
        </w:rPr>
        <w:br/>
      </w:r>
      <w:r>
        <w:rPr>
          <w:rFonts w:ascii="Verdana" w:hAnsi="Verdana" w:cs="Verdana"/>
          <w:caps/>
          <w:snapToGrid w:val="0"/>
          <w:color w:val="auto"/>
          <w:sz w:val="20"/>
          <w:szCs w:val="20"/>
        </w:rPr>
        <w:t xml:space="preserve">DERECHO A LA PROPIEDAD COLECTIVA </w:t>
      </w:r>
      <w:r w:rsidR="00806004">
        <w:rPr>
          <w:rFonts w:ascii="Verdana" w:hAnsi="Verdana" w:cs="Verdana"/>
          <w:caps/>
          <w:snapToGrid w:val="0"/>
          <w:color w:val="auto"/>
          <w:sz w:val="20"/>
          <w:szCs w:val="20"/>
        </w:rPr>
        <w:t xml:space="preserve">(Artículo 21) </w:t>
      </w:r>
      <w:r w:rsidR="00D273B0">
        <w:rPr>
          <w:rFonts w:ascii="Verdana" w:hAnsi="Verdana" w:cs="Verdana"/>
          <w:caps/>
          <w:snapToGrid w:val="0"/>
          <w:color w:val="auto"/>
          <w:sz w:val="20"/>
          <w:szCs w:val="20"/>
        </w:rPr>
        <w:t xml:space="preserve">y Derechos Políticos (Artículo 23) </w:t>
      </w:r>
      <w:r>
        <w:rPr>
          <w:rFonts w:ascii="Verdana" w:hAnsi="Verdana" w:cs="Verdana"/>
          <w:caps/>
          <w:snapToGrid w:val="0"/>
          <w:color w:val="auto"/>
          <w:sz w:val="20"/>
          <w:szCs w:val="20"/>
        </w:rPr>
        <w:t>EN RELACIÓN CON LOS ARTÍCULOS 1.1 Y 2 DE LA CONVENCIÓN AMERICANA</w:t>
      </w:r>
      <w:bookmarkEnd w:id="40"/>
    </w:p>
    <w:p w14:paraId="40E2E769" w14:textId="77777777" w:rsidR="00FC1FCF" w:rsidRDefault="00FC1FCF" w:rsidP="002C323A">
      <w:pPr>
        <w:autoSpaceDE w:val="0"/>
        <w:autoSpaceDN w:val="0"/>
        <w:adjustRightInd w:val="0"/>
        <w:jc w:val="both"/>
        <w:rPr>
          <w:rFonts w:ascii="Verdana" w:hAnsi="Verdana" w:cs="Arial"/>
          <w:sz w:val="20"/>
          <w:szCs w:val="20"/>
          <w:lang w:val="es-CR"/>
        </w:rPr>
      </w:pPr>
    </w:p>
    <w:p w14:paraId="5BD48E3F" w14:textId="77777777" w:rsidR="00FC1FCF" w:rsidRPr="00FC1FCF" w:rsidRDefault="00FC1FCF" w:rsidP="00FC1FCF">
      <w:pPr>
        <w:pStyle w:val="Heading2"/>
        <w:numPr>
          <w:ilvl w:val="0"/>
          <w:numId w:val="27"/>
        </w:numPr>
        <w:spacing w:before="0"/>
        <w:jc w:val="both"/>
        <w:rPr>
          <w:rFonts w:ascii="Verdana" w:hAnsi="Verdana"/>
          <w:bCs w:val="0"/>
          <w:i/>
          <w:color w:val="auto"/>
          <w:sz w:val="20"/>
          <w:szCs w:val="20"/>
        </w:rPr>
      </w:pPr>
      <w:bookmarkStart w:id="41" w:name="_Toc423522828"/>
      <w:bookmarkStart w:id="42" w:name="_Toc441666177"/>
      <w:r w:rsidRPr="00FC1FCF">
        <w:rPr>
          <w:rFonts w:ascii="Verdana" w:hAnsi="Verdana"/>
          <w:bCs w:val="0"/>
          <w:i/>
          <w:color w:val="auto"/>
          <w:sz w:val="20"/>
          <w:szCs w:val="20"/>
        </w:rPr>
        <w:t>Argumentos de la Comisión y de las partes</w:t>
      </w:r>
      <w:bookmarkEnd w:id="41"/>
      <w:bookmarkEnd w:id="42"/>
      <w:r w:rsidRPr="00FC1FCF">
        <w:rPr>
          <w:rFonts w:ascii="Verdana" w:hAnsi="Verdana"/>
          <w:bCs w:val="0"/>
          <w:i/>
          <w:color w:val="auto"/>
          <w:sz w:val="20"/>
          <w:szCs w:val="20"/>
        </w:rPr>
        <w:t xml:space="preserve"> </w:t>
      </w:r>
    </w:p>
    <w:p w14:paraId="0461DE55" w14:textId="77777777" w:rsidR="00FC1FCF" w:rsidRPr="00C02552" w:rsidRDefault="00FC1FCF" w:rsidP="00FC1FCF">
      <w:pPr>
        <w:jc w:val="both"/>
        <w:rPr>
          <w:rFonts w:ascii="Verdana" w:hAnsi="Verdana" w:cs="Arial"/>
          <w:sz w:val="20"/>
          <w:szCs w:val="20"/>
        </w:rPr>
      </w:pPr>
    </w:p>
    <w:p w14:paraId="399B1562" w14:textId="1529E8D7" w:rsidR="00FC1FCF" w:rsidRPr="00C02552" w:rsidRDefault="00FC1FCF" w:rsidP="00FC1FCF">
      <w:pPr>
        <w:pStyle w:val="ListParagraph"/>
        <w:numPr>
          <w:ilvl w:val="0"/>
          <w:numId w:val="2"/>
        </w:numPr>
        <w:ind w:left="0" w:hanging="11"/>
        <w:jc w:val="both"/>
        <w:rPr>
          <w:rFonts w:ascii="Verdana" w:hAnsi="Verdana"/>
          <w:sz w:val="20"/>
          <w:szCs w:val="20"/>
          <w:lang w:val="es-MX"/>
        </w:rPr>
      </w:pPr>
      <w:r w:rsidRPr="00C02552">
        <w:rPr>
          <w:rFonts w:ascii="Verdana" w:hAnsi="Verdana"/>
          <w:sz w:val="20"/>
          <w:szCs w:val="20"/>
          <w:lang w:val="es-CR"/>
        </w:rPr>
        <w:t xml:space="preserve">La </w:t>
      </w:r>
      <w:r w:rsidRPr="00C02552">
        <w:rPr>
          <w:rFonts w:ascii="Verdana" w:hAnsi="Verdana" w:cs="Arial"/>
          <w:b/>
          <w:i/>
          <w:sz w:val="20"/>
          <w:szCs w:val="20"/>
          <w:lang w:val="es-CR"/>
        </w:rPr>
        <w:t>Comisión</w:t>
      </w:r>
      <w:r w:rsidRPr="00C02552">
        <w:rPr>
          <w:rFonts w:ascii="Verdana" w:hAnsi="Verdana" w:cs="Arial"/>
          <w:sz w:val="20"/>
          <w:szCs w:val="20"/>
          <w:lang w:val="es-CR"/>
        </w:rPr>
        <w:t xml:space="preserve"> alegó que el </w:t>
      </w:r>
      <w:r w:rsidRPr="00C02552">
        <w:rPr>
          <w:rFonts w:ascii="Verdana" w:hAnsi="Verdana" w:cs="Arial"/>
          <w:sz w:val="20"/>
          <w:szCs w:val="20"/>
          <w:lang w:val="es-MX"/>
        </w:rPr>
        <w:t xml:space="preserve">Estado de </w:t>
      </w:r>
      <w:r w:rsidR="00563E11">
        <w:rPr>
          <w:rFonts w:ascii="Verdana" w:hAnsi="Verdana" w:cs="Arial"/>
          <w:sz w:val="20"/>
          <w:szCs w:val="20"/>
          <w:lang w:val="es-MX"/>
        </w:rPr>
        <w:t>Surinam</w:t>
      </w:r>
      <w:r w:rsidRPr="00C02552">
        <w:rPr>
          <w:rFonts w:ascii="Verdana" w:hAnsi="Verdana" w:cs="Arial"/>
          <w:sz w:val="20"/>
          <w:szCs w:val="20"/>
          <w:lang w:val="es-MX"/>
        </w:rPr>
        <w:t xml:space="preserve"> violó el derecho a la propiedad establecido en el artículo 21 de la Convención Americana, en relación con los artículos 1.1 y 2 de</w:t>
      </w:r>
      <w:r w:rsidR="00FE4FBA">
        <w:rPr>
          <w:rFonts w:ascii="Verdana" w:hAnsi="Verdana" w:cs="Arial"/>
          <w:sz w:val="20"/>
          <w:szCs w:val="20"/>
          <w:lang w:val="es-MX"/>
        </w:rPr>
        <w:t>l mismo instrumento</w:t>
      </w:r>
      <w:r w:rsidRPr="00C02552">
        <w:rPr>
          <w:rFonts w:ascii="Verdana" w:hAnsi="Verdana" w:cs="Arial"/>
          <w:sz w:val="20"/>
          <w:szCs w:val="20"/>
          <w:lang w:val="es-MX"/>
        </w:rPr>
        <w:t xml:space="preserve">, en perjuicio de los </w:t>
      </w:r>
      <w:r w:rsidR="00FE4FBA">
        <w:rPr>
          <w:rFonts w:ascii="Verdana" w:hAnsi="Verdana" w:cs="Arial"/>
          <w:sz w:val="20"/>
          <w:szCs w:val="20"/>
          <w:lang w:val="es-MX"/>
        </w:rPr>
        <w:t>P</w:t>
      </w:r>
      <w:r w:rsidRPr="00C02552">
        <w:rPr>
          <w:rFonts w:ascii="Verdana" w:hAnsi="Verdana" w:cs="Arial"/>
          <w:sz w:val="20"/>
          <w:szCs w:val="20"/>
          <w:lang w:val="es-MX"/>
        </w:rPr>
        <w:t>ueblos Kaliña y Lokono, al no adoptar medidas efectivas para reconocer su derecho a la propiedad colectiva de las tierras, territorios y recursos naturales que tradicionalmente y ancestralmente han ocupado y utilizado</w:t>
      </w:r>
      <w:r w:rsidRPr="000D7C76">
        <w:rPr>
          <w:rFonts w:ascii="Verdana" w:hAnsi="Verdana" w:cs="Arial"/>
          <w:sz w:val="20"/>
          <w:szCs w:val="20"/>
          <w:lang w:val="es-MX"/>
        </w:rPr>
        <w:t>.</w:t>
      </w:r>
      <w:r w:rsidRPr="00C02552">
        <w:rPr>
          <w:rFonts w:ascii="Verdana" w:hAnsi="Verdana" w:cs="Arial"/>
          <w:sz w:val="20"/>
          <w:szCs w:val="20"/>
          <w:lang w:val="es-MX"/>
        </w:rPr>
        <w:t xml:space="preserve"> </w:t>
      </w:r>
      <w:r w:rsidRPr="00C02552">
        <w:rPr>
          <w:rFonts w:ascii="Verdana" w:hAnsi="Verdana"/>
          <w:sz w:val="20"/>
          <w:szCs w:val="20"/>
          <w:lang w:val="es-MX"/>
        </w:rPr>
        <w:t>Aunado a lo anterior, la Comisión agregó que el Estado violó</w:t>
      </w:r>
      <w:r w:rsidR="00FE4FBA">
        <w:rPr>
          <w:rFonts w:ascii="Verdana" w:hAnsi="Verdana"/>
          <w:sz w:val="20"/>
          <w:szCs w:val="20"/>
          <w:lang w:val="es-MX"/>
        </w:rPr>
        <w:t xml:space="preserve"> el derecho a la propiedad de los Pueblos Kaliña y Lokono </w:t>
      </w:r>
      <w:r w:rsidRPr="00C02552">
        <w:rPr>
          <w:rFonts w:ascii="Verdana" w:hAnsi="Verdana"/>
          <w:sz w:val="20"/>
          <w:szCs w:val="20"/>
          <w:lang w:val="es-MX"/>
        </w:rPr>
        <w:t>por: i) la concesión de títulos de propiedad a personas no indígenas dentro de</w:t>
      </w:r>
      <w:r w:rsidR="00FE4FBA">
        <w:rPr>
          <w:rFonts w:ascii="Verdana" w:hAnsi="Verdana"/>
          <w:sz w:val="20"/>
          <w:szCs w:val="20"/>
          <w:lang w:val="es-MX"/>
        </w:rPr>
        <w:t xml:space="preserve"> su</w:t>
      </w:r>
      <w:r w:rsidRPr="00C02552">
        <w:rPr>
          <w:rFonts w:ascii="Verdana" w:hAnsi="Verdana"/>
          <w:sz w:val="20"/>
          <w:szCs w:val="20"/>
          <w:lang w:val="es-MX"/>
        </w:rPr>
        <w:t xml:space="preserve"> territorio tradicional; ii) establecer y mantener las </w:t>
      </w:r>
      <w:r w:rsidR="007E5111">
        <w:rPr>
          <w:rFonts w:ascii="Verdana" w:hAnsi="Verdana"/>
          <w:sz w:val="20"/>
          <w:szCs w:val="20"/>
          <w:lang w:val="es-MX"/>
        </w:rPr>
        <w:t>R</w:t>
      </w:r>
      <w:r w:rsidRPr="00C02552">
        <w:rPr>
          <w:rFonts w:ascii="Verdana" w:hAnsi="Verdana"/>
          <w:sz w:val="20"/>
          <w:szCs w:val="20"/>
          <w:lang w:val="es-MX"/>
        </w:rPr>
        <w:t xml:space="preserve">eservas </w:t>
      </w:r>
      <w:r w:rsidR="007E5111">
        <w:rPr>
          <w:rFonts w:ascii="Verdana" w:hAnsi="Verdana"/>
          <w:sz w:val="20"/>
          <w:szCs w:val="20"/>
          <w:lang w:val="es-MX"/>
        </w:rPr>
        <w:t>N</w:t>
      </w:r>
      <w:r w:rsidRPr="00C02552">
        <w:rPr>
          <w:rFonts w:ascii="Verdana" w:hAnsi="Verdana"/>
          <w:sz w:val="20"/>
          <w:szCs w:val="20"/>
          <w:lang w:val="es-MX"/>
        </w:rPr>
        <w:t xml:space="preserve">aturales de Wia Wia, Galibi y Wane Kreek, y iii) el otorgamiento de una concesión minera y la autorización de actividades mineras dentro de su territorio tradicional, todo ello sin la realización de un proceso de consulta </w:t>
      </w:r>
      <w:r w:rsidR="005C7482">
        <w:rPr>
          <w:rFonts w:ascii="Verdana" w:hAnsi="Verdana"/>
          <w:sz w:val="20"/>
          <w:szCs w:val="20"/>
          <w:lang w:val="es-MX"/>
        </w:rPr>
        <w:t xml:space="preserve">previa, </w:t>
      </w:r>
      <w:r w:rsidRPr="00C02552">
        <w:rPr>
          <w:rFonts w:ascii="Verdana" w:hAnsi="Verdana"/>
          <w:sz w:val="20"/>
          <w:szCs w:val="20"/>
          <w:lang w:val="es-MX"/>
        </w:rPr>
        <w:t>libre e informad</w:t>
      </w:r>
      <w:r w:rsidR="005C7482">
        <w:rPr>
          <w:rFonts w:ascii="Verdana" w:hAnsi="Verdana"/>
          <w:sz w:val="20"/>
          <w:szCs w:val="20"/>
          <w:lang w:val="es-MX"/>
        </w:rPr>
        <w:t>a</w:t>
      </w:r>
      <w:r w:rsidRPr="00C02552">
        <w:rPr>
          <w:rFonts w:ascii="Verdana" w:hAnsi="Verdana"/>
          <w:sz w:val="20"/>
          <w:szCs w:val="20"/>
          <w:lang w:val="es-MX"/>
        </w:rPr>
        <w:t xml:space="preserve"> de acuerdo a los estándares interamericanos</w:t>
      </w:r>
      <w:r w:rsidR="006740C0" w:rsidRPr="004B0145">
        <w:rPr>
          <w:rFonts w:ascii="Verdana" w:hAnsi="Verdana"/>
          <w:sz w:val="20"/>
          <w:szCs w:val="20"/>
          <w:lang w:val="es-MX"/>
        </w:rPr>
        <w:t>,</w:t>
      </w:r>
      <w:r w:rsidR="006740C0" w:rsidRPr="00190AD3">
        <w:rPr>
          <w:rFonts w:ascii="Verdana" w:hAnsi="Verdana"/>
          <w:sz w:val="20"/>
          <w:szCs w:val="20"/>
          <w:lang w:val="es-MX"/>
        </w:rPr>
        <w:t xml:space="preserve"> sin la existencia de un estudio de impacto ambiental y social, </w:t>
      </w:r>
      <w:r w:rsidR="005F6285">
        <w:rPr>
          <w:rFonts w:ascii="Verdana" w:hAnsi="Verdana"/>
          <w:sz w:val="20"/>
          <w:szCs w:val="20"/>
          <w:lang w:val="es-MX"/>
        </w:rPr>
        <w:t>y sin</w:t>
      </w:r>
      <w:r w:rsidR="006740C0" w:rsidRPr="00190AD3">
        <w:rPr>
          <w:rFonts w:ascii="Verdana" w:hAnsi="Verdana"/>
          <w:sz w:val="20"/>
          <w:szCs w:val="20"/>
          <w:lang w:val="es-MX"/>
        </w:rPr>
        <w:t xml:space="preserve"> el reparto razonable de los beneficios derivados de la concesión</w:t>
      </w:r>
      <w:r w:rsidR="006740C0" w:rsidRPr="004B0145">
        <w:rPr>
          <w:rFonts w:ascii="Verdana" w:hAnsi="Verdana"/>
          <w:sz w:val="20"/>
          <w:szCs w:val="20"/>
          <w:lang w:val="es-MX"/>
        </w:rPr>
        <w:t>.</w:t>
      </w:r>
    </w:p>
    <w:p w14:paraId="6B6BE8BE" w14:textId="09E2D9CA" w:rsidR="00FC1FCF" w:rsidRPr="00C02552" w:rsidRDefault="00FC1FCF" w:rsidP="00FC1FCF">
      <w:pPr>
        <w:pStyle w:val="ListParagraph"/>
        <w:numPr>
          <w:ilvl w:val="0"/>
          <w:numId w:val="2"/>
        </w:numPr>
        <w:ind w:left="0" w:hanging="11"/>
        <w:jc w:val="both"/>
        <w:rPr>
          <w:rFonts w:ascii="Verdana" w:hAnsi="Verdana"/>
          <w:sz w:val="20"/>
          <w:szCs w:val="20"/>
          <w:lang w:val="es-MX"/>
        </w:rPr>
      </w:pPr>
      <w:r w:rsidRPr="00C02552">
        <w:rPr>
          <w:rFonts w:ascii="Verdana" w:hAnsi="Verdana"/>
          <w:sz w:val="20"/>
          <w:szCs w:val="20"/>
          <w:lang w:val="es-MX"/>
        </w:rPr>
        <w:lastRenderedPageBreak/>
        <w:t xml:space="preserve">En particular, la Comisión alegó que el continuo otorgamiento de títulos a terceros no indígenas ha provocado que los derechos de los </w:t>
      </w:r>
      <w:r w:rsidR="00382F4D">
        <w:rPr>
          <w:rFonts w:ascii="Verdana" w:hAnsi="Verdana"/>
          <w:sz w:val="20"/>
          <w:szCs w:val="20"/>
          <w:lang w:val="es-MX"/>
        </w:rPr>
        <w:t>Pueblos Kaliña y Lokono</w:t>
      </w:r>
      <w:r w:rsidRPr="00C02552">
        <w:rPr>
          <w:rFonts w:ascii="Verdana" w:hAnsi="Verdana"/>
          <w:sz w:val="20"/>
          <w:szCs w:val="20"/>
          <w:lang w:val="es-MX"/>
        </w:rPr>
        <w:t xml:space="preserve"> permane</w:t>
      </w:r>
      <w:r>
        <w:rPr>
          <w:rFonts w:ascii="Verdana" w:hAnsi="Verdana"/>
          <w:sz w:val="20"/>
          <w:szCs w:val="20"/>
          <w:lang w:val="es-MX"/>
        </w:rPr>
        <w:t>zcan</w:t>
      </w:r>
      <w:r w:rsidRPr="00C02552">
        <w:rPr>
          <w:rFonts w:ascii="Verdana" w:hAnsi="Verdana"/>
          <w:sz w:val="20"/>
          <w:szCs w:val="20"/>
          <w:lang w:val="es-MX"/>
        </w:rPr>
        <w:t xml:space="preserve"> desprotegidos</w:t>
      </w:r>
      <w:r w:rsidR="000819A3">
        <w:rPr>
          <w:rFonts w:ascii="Verdana" w:hAnsi="Verdana"/>
          <w:sz w:val="20"/>
          <w:szCs w:val="20"/>
          <w:lang w:val="es-MX"/>
        </w:rPr>
        <w:t>. Asimismo, señaló que</w:t>
      </w:r>
      <w:r w:rsidRPr="00C02552">
        <w:rPr>
          <w:rFonts w:ascii="Verdana" w:hAnsi="Verdana"/>
          <w:sz w:val="20"/>
          <w:szCs w:val="20"/>
          <w:lang w:val="es-MX"/>
        </w:rPr>
        <w:t xml:space="preserve"> algunos </w:t>
      </w:r>
      <w:r w:rsidR="000819A3">
        <w:rPr>
          <w:rFonts w:ascii="Verdana" w:hAnsi="Verdana"/>
          <w:sz w:val="20"/>
          <w:szCs w:val="20"/>
          <w:lang w:val="es-MX"/>
        </w:rPr>
        <w:t xml:space="preserve">de los terceros </w:t>
      </w:r>
      <w:r w:rsidRPr="00C02552">
        <w:rPr>
          <w:rFonts w:ascii="Verdana" w:hAnsi="Verdana"/>
          <w:sz w:val="20"/>
          <w:szCs w:val="20"/>
          <w:lang w:val="es-MX"/>
        </w:rPr>
        <w:t>ha</w:t>
      </w:r>
      <w:r w:rsidR="000819A3">
        <w:rPr>
          <w:rFonts w:ascii="Verdana" w:hAnsi="Verdana"/>
          <w:sz w:val="20"/>
          <w:szCs w:val="20"/>
          <w:lang w:val="es-MX"/>
        </w:rPr>
        <w:t>bían</w:t>
      </w:r>
      <w:r w:rsidRPr="00C02552">
        <w:rPr>
          <w:rFonts w:ascii="Verdana" w:hAnsi="Verdana"/>
          <w:sz w:val="20"/>
          <w:szCs w:val="20"/>
          <w:lang w:val="es-MX"/>
        </w:rPr>
        <w:t xml:space="preserve"> obtenido fallos judiciales </w:t>
      </w:r>
      <w:r w:rsidR="000819A3">
        <w:rPr>
          <w:rFonts w:ascii="Verdana" w:hAnsi="Verdana"/>
          <w:sz w:val="20"/>
          <w:szCs w:val="20"/>
          <w:lang w:val="es-MX"/>
        </w:rPr>
        <w:t>en</w:t>
      </w:r>
      <w:r w:rsidRPr="00C02552">
        <w:rPr>
          <w:rFonts w:ascii="Verdana" w:hAnsi="Verdana"/>
          <w:sz w:val="20"/>
          <w:szCs w:val="20"/>
          <w:lang w:val="es-MX"/>
        </w:rPr>
        <w:t xml:space="preserve"> favor de sus derechos </w:t>
      </w:r>
      <w:r w:rsidR="000819A3">
        <w:rPr>
          <w:rFonts w:ascii="Verdana" w:hAnsi="Verdana"/>
          <w:sz w:val="20"/>
          <w:szCs w:val="20"/>
          <w:lang w:val="es-MX"/>
        </w:rPr>
        <w:t>a la</w:t>
      </w:r>
      <w:r w:rsidRPr="00C02552">
        <w:rPr>
          <w:rFonts w:ascii="Verdana" w:hAnsi="Verdana"/>
          <w:sz w:val="20"/>
          <w:szCs w:val="20"/>
          <w:lang w:val="es-MX"/>
        </w:rPr>
        <w:t xml:space="preserve"> propiedad, </w:t>
      </w:r>
      <w:r w:rsidRPr="00DC0759">
        <w:rPr>
          <w:rFonts w:ascii="Verdana" w:hAnsi="Verdana"/>
          <w:sz w:val="20"/>
          <w:szCs w:val="20"/>
          <w:lang w:val="es-MX"/>
        </w:rPr>
        <w:t>excluyendo así los</w:t>
      </w:r>
      <w:r w:rsidR="00F5199E">
        <w:rPr>
          <w:rFonts w:ascii="Verdana" w:hAnsi="Verdana"/>
          <w:sz w:val="20"/>
          <w:szCs w:val="20"/>
          <w:lang w:val="es-MX"/>
        </w:rPr>
        <w:t xml:space="preserve"> derechos</w:t>
      </w:r>
      <w:r w:rsidRPr="00DC0759">
        <w:rPr>
          <w:rFonts w:ascii="Verdana" w:hAnsi="Verdana"/>
          <w:sz w:val="20"/>
          <w:szCs w:val="20"/>
          <w:lang w:val="es-MX"/>
        </w:rPr>
        <w:t xml:space="preserve"> de los </w:t>
      </w:r>
      <w:r w:rsidR="00F5199E">
        <w:rPr>
          <w:rFonts w:ascii="Verdana" w:hAnsi="Verdana"/>
          <w:sz w:val="20"/>
          <w:szCs w:val="20"/>
          <w:lang w:val="es-MX"/>
        </w:rPr>
        <w:t>P</w:t>
      </w:r>
      <w:r w:rsidRPr="00DC0759">
        <w:rPr>
          <w:rFonts w:ascii="Verdana" w:hAnsi="Verdana"/>
          <w:sz w:val="20"/>
          <w:szCs w:val="20"/>
          <w:lang w:val="es-MX"/>
        </w:rPr>
        <w:t>ueblos</w:t>
      </w:r>
      <w:r w:rsidR="00F5199E">
        <w:rPr>
          <w:rFonts w:ascii="Verdana" w:hAnsi="Verdana"/>
          <w:sz w:val="20"/>
          <w:szCs w:val="20"/>
          <w:lang w:val="es-MX"/>
        </w:rPr>
        <w:t xml:space="preserve"> Kaliña y Lokono</w:t>
      </w:r>
      <w:r w:rsidRPr="00C31C5A">
        <w:rPr>
          <w:rFonts w:ascii="Verdana" w:hAnsi="Verdana"/>
          <w:sz w:val="20"/>
          <w:szCs w:val="20"/>
          <w:lang w:val="es-MX"/>
        </w:rPr>
        <w:t xml:space="preserve">. </w:t>
      </w:r>
      <w:r w:rsidRPr="00C02552">
        <w:rPr>
          <w:rFonts w:ascii="Verdana" w:hAnsi="Verdana"/>
          <w:sz w:val="20"/>
          <w:szCs w:val="20"/>
          <w:lang w:val="es-MX"/>
        </w:rPr>
        <w:t>En relación con las reservas naturales, la Comisión aseguró que no existía una conexión racional entre la protección del medio ambiente y las restricciones del uso y goce de</w:t>
      </w:r>
      <w:r w:rsidR="00237BC5">
        <w:rPr>
          <w:rFonts w:ascii="Verdana" w:hAnsi="Verdana"/>
          <w:sz w:val="20"/>
          <w:szCs w:val="20"/>
          <w:lang w:val="es-MX"/>
        </w:rPr>
        <w:t xml:space="preserve"> los</w:t>
      </w:r>
      <w:r w:rsidRPr="00C02552">
        <w:rPr>
          <w:rFonts w:ascii="Verdana" w:hAnsi="Verdana"/>
          <w:sz w:val="20"/>
          <w:szCs w:val="20"/>
          <w:lang w:val="es-MX"/>
        </w:rPr>
        <w:t xml:space="preserve"> territorios y recursos</w:t>
      </w:r>
      <w:r w:rsidR="00237BC5">
        <w:rPr>
          <w:rFonts w:ascii="Verdana" w:hAnsi="Verdana"/>
          <w:sz w:val="20"/>
          <w:szCs w:val="20"/>
          <w:lang w:val="es-MX"/>
        </w:rPr>
        <w:t xml:space="preserve"> por parte de personas indígenas</w:t>
      </w:r>
      <w:r w:rsidRPr="00C02552">
        <w:rPr>
          <w:rFonts w:ascii="Verdana" w:hAnsi="Verdana"/>
          <w:sz w:val="20"/>
          <w:szCs w:val="20"/>
          <w:lang w:val="es-MX"/>
        </w:rPr>
        <w:t xml:space="preserve">, ya que </w:t>
      </w:r>
      <w:r w:rsidR="00F5199E">
        <w:rPr>
          <w:rFonts w:ascii="Verdana" w:hAnsi="Verdana"/>
          <w:sz w:val="20"/>
          <w:szCs w:val="20"/>
          <w:lang w:val="es-MX"/>
        </w:rPr>
        <w:t>e</w:t>
      </w:r>
      <w:r w:rsidRPr="00C02552">
        <w:rPr>
          <w:rFonts w:ascii="Verdana" w:hAnsi="Verdana"/>
          <w:sz w:val="20"/>
          <w:szCs w:val="20"/>
          <w:lang w:val="es-MX"/>
        </w:rPr>
        <w:t>stas contribu</w:t>
      </w:r>
      <w:r w:rsidR="00237BC5">
        <w:rPr>
          <w:rFonts w:ascii="Verdana" w:hAnsi="Verdana"/>
          <w:sz w:val="20"/>
          <w:szCs w:val="20"/>
          <w:lang w:val="es-MX"/>
        </w:rPr>
        <w:t>ían</w:t>
      </w:r>
      <w:r w:rsidRPr="00C02552">
        <w:rPr>
          <w:rFonts w:ascii="Verdana" w:hAnsi="Verdana"/>
          <w:sz w:val="20"/>
          <w:szCs w:val="20"/>
          <w:lang w:val="es-MX"/>
        </w:rPr>
        <w:t xml:space="preserve"> a la protección de</w:t>
      </w:r>
      <w:r w:rsidR="00237BC5">
        <w:rPr>
          <w:rFonts w:ascii="Verdana" w:hAnsi="Verdana"/>
          <w:sz w:val="20"/>
          <w:szCs w:val="20"/>
          <w:lang w:val="es-MX"/>
        </w:rPr>
        <w:t xml:space="preserve"> los</w:t>
      </w:r>
      <w:r w:rsidRPr="00C02552">
        <w:rPr>
          <w:rFonts w:ascii="Verdana" w:hAnsi="Verdana"/>
          <w:sz w:val="20"/>
          <w:szCs w:val="20"/>
          <w:lang w:val="es-MX"/>
        </w:rPr>
        <w:t xml:space="preserve"> mismo</w:t>
      </w:r>
      <w:r w:rsidR="00237BC5">
        <w:rPr>
          <w:rFonts w:ascii="Verdana" w:hAnsi="Verdana"/>
          <w:sz w:val="20"/>
          <w:szCs w:val="20"/>
          <w:lang w:val="es-MX"/>
        </w:rPr>
        <w:t>s</w:t>
      </w:r>
      <w:r w:rsidRPr="00C02552">
        <w:rPr>
          <w:rFonts w:ascii="Verdana" w:hAnsi="Verdana"/>
          <w:sz w:val="20"/>
          <w:szCs w:val="20"/>
          <w:lang w:val="es-CR"/>
        </w:rPr>
        <w:t xml:space="preserve">. Además, la Comisión remarcó la necesidad de iniciar un proceso de consulta libre e informada con las comunidades, a fin de discutir sobre la posibilidad de levantar las reservas o mantenerlas bajo un modelo de administración conjunta que incorpore la plena participación de los </w:t>
      </w:r>
      <w:r w:rsidR="00382F4D">
        <w:rPr>
          <w:rFonts w:ascii="Verdana" w:hAnsi="Verdana"/>
          <w:sz w:val="20"/>
          <w:szCs w:val="20"/>
          <w:lang w:val="es-CR"/>
        </w:rPr>
        <w:t>Pueblos Kaliña y Lokono</w:t>
      </w:r>
      <w:r w:rsidRPr="00C02552">
        <w:rPr>
          <w:rFonts w:ascii="Verdana" w:hAnsi="Verdana"/>
          <w:sz w:val="20"/>
          <w:szCs w:val="20"/>
          <w:lang w:val="es-CR"/>
        </w:rPr>
        <w:t xml:space="preserve">. </w:t>
      </w:r>
      <w:r w:rsidRPr="00C02552">
        <w:rPr>
          <w:rFonts w:ascii="Verdana" w:hAnsi="Verdana"/>
          <w:sz w:val="20"/>
          <w:szCs w:val="20"/>
          <w:lang w:val="es-MX"/>
        </w:rPr>
        <w:t xml:space="preserve">En relación </w:t>
      </w:r>
      <w:r w:rsidR="005F6285">
        <w:rPr>
          <w:rFonts w:ascii="Verdana" w:hAnsi="Verdana"/>
          <w:sz w:val="20"/>
          <w:szCs w:val="20"/>
          <w:lang w:val="es-MX"/>
        </w:rPr>
        <w:t>con</w:t>
      </w:r>
      <w:r w:rsidRPr="00C02552">
        <w:rPr>
          <w:rFonts w:ascii="Verdana" w:hAnsi="Verdana"/>
          <w:sz w:val="20"/>
          <w:szCs w:val="20"/>
          <w:lang w:val="es-MX"/>
        </w:rPr>
        <w:t xml:space="preserve"> las concesiones mineras, la Comisión señaló que el Estado no consultó a las comunidades afectadas cuando se planearon o comenzaron las actividades mineras y no se incluyó ningún tipo de protección a los pueblos indígenas. Asimismo, las concesiones generaron un impacto negativo </w:t>
      </w:r>
      <w:r w:rsidR="005F6285">
        <w:rPr>
          <w:rFonts w:ascii="Verdana" w:hAnsi="Verdana"/>
          <w:sz w:val="20"/>
          <w:szCs w:val="20"/>
          <w:lang w:val="es-MX"/>
        </w:rPr>
        <w:t xml:space="preserve">en </w:t>
      </w:r>
      <w:r w:rsidRPr="00C02552">
        <w:rPr>
          <w:rFonts w:ascii="Verdana" w:hAnsi="Verdana"/>
          <w:sz w:val="20"/>
          <w:szCs w:val="20"/>
          <w:lang w:val="es-MX"/>
        </w:rPr>
        <w:t xml:space="preserve">las actividades en el territorio tradicional de los </w:t>
      </w:r>
      <w:r w:rsidR="005F6285">
        <w:rPr>
          <w:rFonts w:ascii="Verdana" w:hAnsi="Verdana"/>
          <w:sz w:val="20"/>
          <w:szCs w:val="20"/>
          <w:lang w:val="es-MX"/>
        </w:rPr>
        <w:t>P</w:t>
      </w:r>
      <w:r w:rsidRPr="00C02552">
        <w:rPr>
          <w:rFonts w:ascii="Verdana" w:hAnsi="Verdana"/>
          <w:sz w:val="20"/>
          <w:szCs w:val="20"/>
          <w:lang w:val="es-MX"/>
        </w:rPr>
        <w:t xml:space="preserve">ueblos Kaliña y Lokono, </w:t>
      </w:r>
      <w:r w:rsidR="005F6285">
        <w:rPr>
          <w:rFonts w:ascii="Verdana" w:hAnsi="Verdana"/>
          <w:sz w:val="20"/>
          <w:szCs w:val="20"/>
          <w:lang w:val="es-MX"/>
        </w:rPr>
        <w:t>entre ellos</w:t>
      </w:r>
      <w:r w:rsidRPr="00C02552">
        <w:rPr>
          <w:rFonts w:ascii="Verdana" w:hAnsi="Verdana"/>
          <w:sz w:val="20"/>
          <w:szCs w:val="20"/>
          <w:lang w:val="es-MX"/>
        </w:rPr>
        <w:t xml:space="preserve"> la contaminación de los recursos, la reducción de </w:t>
      </w:r>
      <w:r w:rsidR="005F6285">
        <w:rPr>
          <w:rFonts w:ascii="Verdana" w:hAnsi="Verdana"/>
          <w:sz w:val="20"/>
          <w:szCs w:val="20"/>
          <w:lang w:val="es-MX"/>
        </w:rPr>
        <w:t xml:space="preserve">la </w:t>
      </w:r>
      <w:r w:rsidRPr="00C02552">
        <w:rPr>
          <w:rFonts w:ascii="Verdana" w:hAnsi="Verdana"/>
          <w:sz w:val="20"/>
          <w:szCs w:val="20"/>
          <w:lang w:val="es-MX"/>
        </w:rPr>
        <w:t>fauna para la caza,</w:t>
      </w:r>
      <w:r w:rsidR="005F6285">
        <w:rPr>
          <w:rFonts w:ascii="Verdana" w:hAnsi="Verdana"/>
          <w:sz w:val="20"/>
          <w:szCs w:val="20"/>
          <w:lang w:val="es-MX"/>
        </w:rPr>
        <w:t xml:space="preserve"> así como la</w:t>
      </w:r>
      <w:r w:rsidRPr="00C02552">
        <w:rPr>
          <w:rFonts w:ascii="Verdana" w:hAnsi="Verdana"/>
          <w:sz w:val="20"/>
          <w:szCs w:val="20"/>
          <w:lang w:val="es-MX"/>
        </w:rPr>
        <w:t xml:space="preserve"> deforestación y destrucción del hábitat. </w:t>
      </w:r>
    </w:p>
    <w:p w14:paraId="25CCB0BE" w14:textId="77777777" w:rsidR="00FC1FCF" w:rsidRPr="00C02552" w:rsidRDefault="00FC1FCF" w:rsidP="00FC1FCF">
      <w:pPr>
        <w:pStyle w:val="ListParagraph"/>
        <w:ind w:left="0"/>
        <w:jc w:val="both"/>
        <w:rPr>
          <w:rFonts w:ascii="Verdana" w:hAnsi="Verdana"/>
          <w:sz w:val="20"/>
          <w:szCs w:val="20"/>
          <w:lang w:val="es-MX"/>
        </w:rPr>
      </w:pPr>
    </w:p>
    <w:p w14:paraId="38A53C45" w14:textId="2E66F086" w:rsidR="00FC1FCF" w:rsidRPr="00C02552"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MX"/>
        </w:rPr>
        <w:t xml:space="preserve">Los </w:t>
      </w:r>
      <w:r w:rsidRPr="00C02552">
        <w:rPr>
          <w:rFonts w:ascii="Verdana" w:hAnsi="Verdana"/>
          <w:b/>
          <w:i/>
          <w:sz w:val="20"/>
          <w:szCs w:val="20"/>
          <w:lang w:val="es-MX"/>
        </w:rPr>
        <w:t>representantes</w:t>
      </w:r>
      <w:r w:rsidRPr="00C02552">
        <w:rPr>
          <w:rFonts w:ascii="Verdana" w:hAnsi="Verdana"/>
          <w:sz w:val="20"/>
          <w:szCs w:val="20"/>
          <w:lang w:val="es-MX"/>
        </w:rPr>
        <w:t xml:space="preserve"> coincidieron con la Comisión en el sentido de que el Estado no ha reconocido ni garantizado el derecho de los pueblos indígenas a la propiedad colectiva. Asimismo, indicaron que los actos y omisiones de </w:t>
      </w:r>
      <w:r w:rsidR="00563E11">
        <w:rPr>
          <w:rFonts w:ascii="Verdana" w:hAnsi="Verdana"/>
          <w:sz w:val="20"/>
          <w:szCs w:val="20"/>
          <w:lang w:val="es-MX"/>
        </w:rPr>
        <w:t>Surinam</w:t>
      </w:r>
      <w:r w:rsidRPr="00C02552">
        <w:rPr>
          <w:rFonts w:ascii="Verdana" w:hAnsi="Verdana"/>
          <w:sz w:val="20"/>
          <w:szCs w:val="20"/>
          <w:lang w:val="es-MX"/>
        </w:rPr>
        <w:t xml:space="preserve"> son aún más graves debido a la relación existente entre el reconocimiento, garantía y protección del derecho de propiedad y la supervivencia y bienestar de las víctimas, así como el respeto de otros derechos interrelacionados e interdependientes.</w:t>
      </w:r>
      <w:r w:rsidRPr="00C02552">
        <w:rPr>
          <w:rFonts w:ascii="Verdana" w:hAnsi="Verdana"/>
          <w:sz w:val="20"/>
          <w:szCs w:val="20"/>
          <w:lang w:val="es-CR"/>
        </w:rPr>
        <w:t xml:space="preserve"> A</w:t>
      </w:r>
      <w:r w:rsidR="00F64329">
        <w:rPr>
          <w:rFonts w:ascii="Verdana" w:hAnsi="Verdana"/>
          <w:sz w:val="20"/>
          <w:szCs w:val="20"/>
          <w:lang w:val="es-CR"/>
        </w:rPr>
        <w:t>ñadieron que</w:t>
      </w:r>
      <w:r w:rsidRPr="00C02552">
        <w:rPr>
          <w:rFonts w:ascii="Verdana" w:hAnsi="Verdana"/>
          <w:sz w:val="20"/>
          <w:szCs w:val="20"/>
          <w:lang w:val="es-CR"/>
        </w:rPr>
        <w:t xml:space="preserve"> al no reconocer y garantizar los derechos de las presuntas víctimas a su territorio, </w:t>
      </w:r>
      <w:r w:rsidR="00563E11">
        <w:rPr>
          <w:rFonts w:ascii="Verdana" w:hAnsi="Verdana"/>
          <w:sz w:val="20"/>
          <w:szCs w:val="20"/>
          <w:lang w:val="es-CR"/>
        </w:rPr>
        <w:t>Surinam</w:t>
      </w:r>
      <w:r w:rsidRPr="00C02552">
        <w:rPr>
          <w:rFonts w:ascii="Verdana" w:hAnsi="Verdana"/>
          <w:sz w:val="20"/>
          <w:szCs w:val="20"/>
          <w:lang w:val="es-CR"/>
        </w:rPr>
        <w:t xml:space="preserve"> violó el derecho a la propiedad de los </w:t>
      </w:r>
      <w:r w:rsidR="00382F4D">
        <w:rPr>
          <w:rFonts w:ascii="Verdana" w:hAnsi="Verdana"/>
          <w:sz w:val="20"/>
          <w:szCs w:val="20"/>
          <w:lang w:val="es-CR"/>
        </w:rPr>
        <w:t>Pueblos Kaliña y Lokono</w:t>
      </w:r>
      <w:r w:rsidRPr="00C02552">
        <w:rPr>
          <w:rFonts w:ascii="Verdana" w:hAnsi="Verdana"/>
          <w:sz w:val="20"/>
          <w:szCs w:val="20"/>
          <w:lang w:val="es-CR"/>
        </w:rPr>
        <w:t xml:space="preserve"> por </w:t>
      </w:r>
      <w:r w:rsidRPr="00DC0759">
        <w:rPr>
          <w:rFonts w:ascii="Verdana" w:hAnsi="Verdana"/>
          <w:sz w:val="20"/>
          <w:szCs w:val="20"/>
          <w:lang w:val="es-CR"/>
        </w:rPr>
        <w:t xml:space="preserve">la asignación de áreas de tierras </w:t>
      </w:r>
      <w:r w:rsidRPr="00C31C5A">
        <w:rPr>
          <w:rFonts w:ascii="Verdana" w:hAnsi="Verdana"/>
          <w:sz w:val="20"/>
          <w:szCs w:val="20"/>
          <w:lang w:val="es-CR"/>
        </w:rPr>
        <w:t xml:space="preserve">a terceros y </w:t>
      </w:r>
      <w:r w:rsidRPr="00DC0759">
        <w:rPr>
          <w:rFonts w:ascii="Verdana" w:hAnsi="Verdana"/>
          <w:sz w:val="20"/>
          <w:szCs w:val="20"/>
          <w:lang w:val="es-CR"/>
        </w:rPr>
        <w:t xml:space="preserve">la emisión de títulos </w:t>
      </w:r>
      <w:r w:rsidRPr="00C31C5A">
        <w:rPr>
          <w:rFonts w:ascii="Verdana" w:hAnsi="Verdana"/>
          <w:sz w:val="20"/>
          <w:szCs w:val="20"/>
          <w:lang w:val="es-CR"/>
        </w:rPr>
        <w:t xml:space="preserve">individuales </w:t>
      </w:r>
      <w:r w:rsidRPr="00DC0759">
        <w:rPr>
          <w:rFonts w:ascii="Verdana" w:hAnsi="Verdana"/>
          <w:sz w:val="20"/>
          <w:szCs w:val="20"/>
          <w:lang w:val="es-CR"/>
        </w:rPr>
        <w:t>en cuatro de las comunidades de las víctimas</w:t>
      </w:r>
      <w:r w:rsidRPr="00C31C5A">
        <w:rPr>
          <w:rFonts w:ascii="Verdana" w:hAnsi="Verdana"/>
          <w:sz w:val="20"/>
          <w:szCs w:val="20"/>
          <w:lang w:val="es-CR"/>
        </w:rPr>
        <w:t xml:space="preserve"> (</w:t>
      </w:r>
      <w:r w:rsidRPr="00DC0759">
        <w:rPr>
          <w:rFonts w:ascii="Verdana" w:hAnsi="Verdana"/>
          <w:sz w:val="20"/>
          <w:szCs w:val="20"/>
          <w:lang w:val="es-MX"/>
        </w:rPr>
        <w:t>Erowarte, Tapuku, Pi</w:t>
      </w:r>
      <w:r w:rsidRPr="00753541">
        <w:rPr>
          <w:rFonts w:ascii="Verdana" w:hAnsi="Verdana"/>
          <w:sz w:val="20"/>
          <w:szCs w:val="20"/>
          <w:lang w:val="es-MX"/>
        </w:rPr>
        <w:t>errekond</w:t>
      </w:r>
      <w:r w:rsidRPr="009B6DA6">
        <w:rPr>
          <w:rFonts w:ascii="Verdana" w:hAnsi="Verdana"/>
          <w:sz w:val="20"/>
          <w:szCs w:val="20"/>
          <w:lang w:val="es-MX"/>
        </w:rPr>
        <w:t xml:space="preserve">re y </w:t>
      </w:r>
      <w:r w:rsidR="00F1174A">
        <w:rPr>
          <w:rFonts w:ascii="Verdana" w:hAnsi="Verdana"/>
          <w:sz w:val="20"/>
          <w:szCs w:val="20"/>
          <w:lang w:val="es-MX"/>
        </w:rPr>
        <w:t xml:space="preserve">Marijkedorp </w:t>
      </w:r>
      <w:r w:rsidR="00985054">
        <w:rPr>
          <w:rFonts w:ascii="Verdana" w:hAnsi="Verdana"/>
          <w:sz w:val="20"/>
          <w:szCs w:val="20"/>
          <w:lang w:val="es-MX"/>
        </w:rPr>
        <w:t>[</w:t>
      </w:r>
      <w:r w:rsidR="00F1174A">
        <w:rPr>
          <w:rFonts w:ascii="Verdana" w:hAnsi="Verdana"/>
          <w:sz w:val="20"/>
          <w:szCs w:val="20"/>
          <w:lang w:val="es-MX"/>
        </w:rPr>
        <w:t>Wan Shi Sha</w:t>
      </w:r>
      <w:r w:rsidR="00985054">
        <w:rPr>
          <w:rFonts w:ascii="Verdana" w:hAnsi="Verdana"/>
          <w:sz w:val="20"/>
          <w:szCs w:val="20"/>
          <w:lang w:val="es-MX"/>
        </w:rPr>
        <w:t>]</w:t>
      </w:r>
      <w:r w:rsidR="00414D80">
        <w:rPr>
          <w:rFonts w:ascii="Verdana" w:hAnsi="Verdana"/>
          <w:sz w:val="20"/>
          <w:szCs w:val="20"/>
          <w:lang w:val="es-MX"/>
        </w:rPr>
        <w:t>)</w:t>
      </w:r>
      <w:r>
        <w:rPr>
          <w:rFonts w:ascii="Verdana" w:hAnsi="Verdana"/>
          <w:sz w:val="20"/>
          <w:szCs w:val="20"/>
          <w:lang w:val="es-CR"/>
        </w:rPr>
        <w:t xml:space="preserve">; </w:t>
      </w:r>
      <w:r w:rsidRPr="00C02552">
        <w:rPr>
          <w:rFonts w:ascii="Verdana" w:hAnsi="Verdana"/>
          <w:sz w:val="20"/>
          <w:szCs w:val="20"/>
          <w:lang w:val="es-CR"/>
        </w:rPr>
        <w:t xml:space="preserve">por el establecimiento de reservas naturales en su territorio y la expedición unilateral de concesiones para explotar los recursos naturales. </w:t>
      </w:r>
    </w:p>
    <w:p w14:paraId="3605F557" w14:textId="77777777" w:rsidR="00FC1FCF" w:rsidRPr="00C02552" w:rsidRDefault="00FC1FCF" w:rsidP="00FC1FCF">
      <w:pPr>
        <w:pStyle w:val="ListParagraph"/>
        <w:ind w:left="0"/>
        <w:jc w:val="both"/>
        <w:rPr>
          <w:rFonts w:ascii="Verdana" w:hAnsi="Verdana"/>
          <w:sz w:val="20"/>
          <w:szCs w:val="20"/>
          <w:lang w:val="es-CR"/>
        </w:rPr>
      </w:pPr>
    </w:p>
    <w:p w14:paraId="1DA1CF04" w14:textId="7B6F3350" w:rsidR="00FC1FCF" w:rsidRPr="00C02552"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CR"/>
        </w:rPr>
        <w:t>En particular, los representantes alegaron que el otorgamiento de títulos a terceros no indígenas</w:t>
      </w:r>
      <w:r w:rsidR="000819A3">
        <w:rPr>
          <w:rFonts w:ascii="Verdana" w:hAnsi="Verdana"/>
          <w:sz w:val="20"/>
          <w:szCs w:val="20"/>
          <w:lang w:val="es-CR"/>
        </w:rPr>
        <w:t>,</w:t>
      </w:r>
      <w:r w:rsidRPr="00C02552">
        <w:rPr>
          <w:rFonts w:ascii="Verdana" w:hAnsi="Verdana"/>
          <w:sz w:val="20"/>
          <w:szCs w:val="20"/>
          <w:lang w:val="es-CR"/>
        </w:rPr>
        <w:t xml:space="preserve"> a pesar de las objeciones de la comunidad, violaba el deber del Estado de asegurar el disfrute efectivo del derecho a la propiedad</w:t>
      </w:r>
      <w:r w:rsidRPr="006C6B91">
        <w:rPr>
          <w:rFonts w:ascii="Verdana" w:hAnsi="Verdana"/>
          <w:sz w:val="20"/>
          <w:szCs w:val="20"/>
          <w:lang w:val="es-CR"/>
        </w:rPr>
        <w:t xml:space="preserve">. </w:t>
      </w:r>
      <w:r w:rsidRPr="00C02552">
        <w:rPr>
          <w:rFonts w:ascii="Verdana" w:hAnsi="Verdana"/>
          <w:sz w:val="20"/>
          <w:szCs w:val="20"/>
          <w:lang w:val="es-CR"/>
        </w:rPr>
        <w:t>Con respecto a las reservas naturales añadieron que no es necesario ni proporcional negarle a los pueblos indígenas el derecho a la propiedad y otros derechos dentro de las reservas, pues los objetivos de conservación pueden lograrse con medios menos invasivos. En específico, sostuvieron que el Estado por un lado</w:t>
      </w:r>
      <w:r w:rsidR="000819A3">
        <w:rPr>
          <w:rFonts w:ascii="Verdana" w:hAnsi="Verdana"/>
          <w:sz w:val="20"/>
          <w:szCs w:val="20"/>
          <w:lang w:val="es-CR"/>
        </w:rPr>
        <w:t>,</w:t>
      </w:r>
      <w:r w:rsidRPr="00C02552">
        <w:rPr>
          <w:rFonts w:ascii="Verdana" w:hAnsi="Verdana"/>
          <w:sz w:val="20"/>
          <w:szCs w:val="20"/>
          <w:lang w:val="es-CR"/>
        </w:rPr>
        <w:t xml:space="preserve"> ha permitido concesiones mineras en reservas naturales, pero por el otro ha justificado la negación de los derechos a la ca</w:t>
      </w:r>
      <w:r>
        <w:rPr>
          <w:rFonts w:ascii="Verdana" w:hAnsi="Verdana"/>
          <w:sz w:val="20"/>
          <w:szCs w:val="20"/>
          <w:lang w:val="es-CR"/>
        </w:rPr>
        <w:t>z</w:t>
      </w:r>
      <w:r w:rsidRPr="00C02552">
        <w:rPr>
          <w:rFonts w:ascii="Verdana" w:hAnsi="Verdana"/>
          <w:sz w:val="20"/>
          <w:szCs w:val="20"/>
          <w:lang w:val="es-CR"/>
        </w:rPr>
        <w:t>a y pesca de las presuntas víctimas</w:t>
      </w:r>
      <w:r w:rsidRPr="004B0145">
        <w:rPr>
          <w:rFonts w:ascii="Verdana" w:hAnsi="Verdana"/>
          <w:sz w:val="20"/>
          <w:szCs w:val="20"/>
          <w:lang w:val="es-CR"/>
        </w:rPr>
        <w:t>.</w:t>
      </w:r>
      <w:r w:rsidRPr="00C02552">
        <w:rPr>
          <w:rFonts w:ascii="Verdana" w:hAnsi="Verdana"/>
          <w:sz w:val="20"/>
          <w:szCs w:val="20"/>
          <w:lang w:val="es-CR"/>
        </w:rPr>
        <w:t xml:space="preserve"> Asimismo, los representantes señalaron que </w:t>
      </w:r>
      <w:r w:rsidR="006740C0" w:rsidRPr="00190AD3">
        <w:rPr>
          <w:rFonts w:ascii="Verdana" w:hAnsi="Verdana"/>
          <w:sz w:val="20"/>
          <w:szCs w:val="20"/>
          <w:lang w:val="es-CR"/>
        </w:rPr>
        <w:t xml:space="preserve">los Pueblos Kaliña y Lokono no fueron consultados respecto del proceso para otorgar los permisos mineros que autorizaron actividades de extracción en 1997; </w:t>
      </w:r>
      <w:r w:rsidR="00F64329">
        <w:rPr>
          <w:rFonts w:ascii="Verdana" w:hAnsi="Verdana"/>
          <w:sz w:val="20"/>
          <w:szCs w:val="20"/>
          <w:lang w:val="es-CR"/>
        </w:rPr>
        <w:t xml:space="preserve">tampoco se realizó </w:t>
      </w:r>
      <w:r w:rsidR="006740C0" w:rsidRPr="00190AD3">
        <w:rPr>
          <w:rFonts w:ascii="Verdana" w:hAnsi="Verdana"/>
          <w:sz w:val="20"/>
          <w:szCs w:val="20"/>
          <w:lang w:val="es-CR"/>
        </w:rPr>
        <w:t xml:space="preserve">el estudio de impacto ambiental </w:t>
      </w:r>
      <w:r w:rsidR="00F64329">
        <w:rPr>
          <w:rFonts w:ascii="Verdana" w:hAnsi="Verdana"/>
          <w:sz w:val="20"/>
          <w:szCs w:val="20"/>
          <w:lang w:val="es-CR"/>
        </w:rPr>
        <w:t xml:space="preserve">antes del </w:t>
      </w:r>
      <w:r w:rsidR="006740C0" w:rsidRPr="00190AD3">
        <w:rPr>
          <w:rFonts w:ascii="Verdana" w:hAnsi="Verdana"/>
          <w:sz w:val="20"/>
          <w:szCs w:val="20"/>
          <w:lang w:val="es-CR"/>
        </w:rPr>
        <w:t>inicio de dichas actividades ni los Pueblos Kaliña y Lokono se beneficiaron o fueron compensados por la utilización de su territorio debido a las actividades mineras. Los representantes alegaron que por el contrario,</w:t>
      </w:r>
      <w:r w:rsidR="006740C0" w:rsidRPr="005B77D2">
        <w:rPr>
          <w:rFonts w:ascii="Verdana" w:hAnsi="Verdana"/>
          <w:sz w:val="20"/>
          <w:szCs w:val="20"/>
          <w:lang w:val="es-CR"/>
        </w:rPr>
        <w:t xml:space="preserve"> </w:t>
      </w:r>
      <w:r w:rsidRPr="005B77D2">
        <w:rPr>
          <w:rFonts w:ascii="Verdana" w:hAnsi="Verdana"/>
          <w:sz w:val="20"/>
          <w:szCs w:val="20"/>
          <w:lang w:val="es-CR"/>
        </w:rPr>
        <w:t xml:space="preserve">las operaciones mineras y madereras </w:t>
      </w:r>
      <w:r w:rsidR="00F641FA">
        <w:rPr>
          <w:rFonts w:ascii="Verdana" w:hAnsi="Verdana"/>
          <w:sz w:val="20"/>
          <w:lang w:val="es-CR"/>
        </w:rPr>
        <w:t xml:space="preserve">que </w:t>
      </w:r>
      <w:r w:rsidRPr="00C02552">
        <w:rPr>
          <w:rFonts w:ascii="Verdana" w:hAnsi="Verdana"/>
          <w:sz w:val="20"/>
          <w:lang w:val="es-CR"/>
        </w:rPr>
        <w:t>tuvieron lugar en el territorio tradicional de las presuntas víctimas</w:t>
      </w:r>
      <w:r w:rsidR="00F641FA">
        <w:rPr>
          <w:rFonts w:ascii="Verdana" w:hAnsi="Verdana"/>
          <w:sz w:val="20"/>
          <w:lang w:val="es-CR"/>
        </w:rPr>
        <w:t xml:space="preserve">, </w:t>
      </w:r>
      <w:r w:rsidR="00F641FA" w:rsidRPr="00190AD3">
        <w:rPr>
          <w:rFonts w:ascii="Verdana" w:hAnsi="Verdana"/>
          <w:sz w:val="20"/>
          <w:szCs w:val="20"/>
          <w:lang w:val="es-CR"/>
        </w:rPr>
        <w:t>ocurrieron sin</w:t>
      </w:r>
      <w:r w:rsidRPr="005B77D2">
        <w:rPr>
          <w:rFonts w:ascii="Verdana" w:hAnsi="Verdana"/>
          <w:sz w:val="20"/>
          <w:szCs w:val="20"/>
          <w:lang w:val="es-CR"/>
        </w:rPr>
        <w:t xml:space="preserve"> regulación</w:t>
      </w:r>
      <w:r w:rsidRPr="00C02552">
        <w:rPr>
          <w:rFonts w:ascii="Verdana" w:hAnsi="Verdana"/>
          <w:sz w:val="20"/>
          <w:szCs w:val="20"/>
          <w:lang w:val="es-CR"/>
        </w:rPr>
        <w:t xml:space="preserve"> significativa o control del Estado y en detrimento de sus fuentes tradicionales de alimentos, medio ambiente, y valores espirituales y culturales. Los representantes indicaron que el Estado tampoco garantizó que dichas actividades no generarían daños significativos en las tierras tradicionales de las víctimas y que no causarían una degradación ambiental severa. </w:t>
      </w:r>
    </w:p>
    <w:p w14:paraId="638FA012" w14:textId="77777777" w:rsidR="00FC1FCF" w:rsidRPr="00C02552" w:rsidRDefault="00FC1FCF" w:rsidP="00FC1FCF">
      <w:pPr>
        <w:pStyle w:val="ListParagraph"/>
        <w:ind w:left="0"/>
        <w:jc w:val="both"/>
        <w:rPr>
          <w:rFonts w:ascii="Verdana" w:hAnsi="Verdana"/>
          <w:sz w:val="20"/>
          <w:szCs w:val="20"/>
          <w:lang w:val="es-CR"/>
        </w:rPr>
      </w:pPr>
    </w:p>
    <w:p w14:paraId="17FCC7A8" w14:textId="6777DEA9" w:rsidR="00FC1FCF" w:rsidRPr="00DB0E7C" w:rsidRDefault="008A4ABB" w:rsidP="00DB0E7C">
      <w:pPr>
        <w:pStyle w:val="ListParagraph"/>
        <w:numPr>
          <w:ilvl w:val="0"/>
          <w:numId w:val="2"/>
        </w:numPr>
        <w:ind w:left="0" w:hanging="14"/>
        <w:jc w:val="both"/>
        <w:rPr>
          <w:rFonts w:ascii="Verdana" w:hAnsi="Verdana"/>
          <w:sz w:val="20"/>
          <w:szCs w:val="20"/>
          <w:lang w:val="es-CR"/>
        </w:rPr>
      </w:pPr>
      <w:r w:rsidRPr="00DB0E7C">
        <w:rPr>
          <w:rFonts w:ascii="Verdana" w:hAnsi="Verdana"/>
          <w:sz w:val="20"/>
          <w:szCs w:val="20"/>
          <w:lang w:val="es-CR"/>
        </w:rPr>
        <w:t xml:space="preserve">El </w:t>
      </w:r>
      <w:r w:rsidRPr="00DB0E7C">
        <w:rPr>
          <w:rFonts w:ascii="Verdana" w:hAnsi="Verdana"/>
          <w:b/>
          <w:i/>
          <w:sz w:val="20"/>
          <w:szCs w:val="20"/>
          <w:lang w:val="es-CR"/>
        </w:rPr>
        <w:t>Estado</w:t>
      </w:r>
      <w:r w:rsidRPr="00DB0E7C">
        <w:rPr>
          <w:rFonts w:ascii="Verdana" w:hAnsi="Verdana"/>
          <w:sz w:val="20"/>
          <w:szCs w:val="20"/>
          <w:lang w:val="es-CR"/>
        </w:rPr>
        <w:t xml:space="preserve"> </w:t>
      </w:r>
      <w:r w:rsidR="008902AB" w:rsidRPr="00DB0E7C">
        <w:rPr>
          <w:rFonts w:ascii="Verdana" w:hAnsi="Verdana"/>
          <w:sz w:val="20"/>
          <w:szCs w:val="20"/>
          <w:lang w:val="es-ES"/>
        </w:rPr>
        <w:t>señaló que alrededor de 1975, el gobierno puso en marcha un proyecto llamado “Tuinstad Albina”, con el fin de parcelar una zona en las inmediaciones de las localidades de Erowarte, Tapuku, Pierrekondre y Marijkedorp (Wan Shi Sha)</w:t>
      </w:r>
      <w:r w:rsidR="00DB0E7C">
        <w:rPr>
          <w:rFonts w:ascii="Verdana" w:hAnsi="Verdana"/>
          <w:sz w:val="20"/>
          <w:szCs w:val="20"/>
          <w:lang w:val="es-ES"/>
        </w:rPr>
        <w:t>, en la</w:t>
      </w:r>
      <w:r w:rsidR="008902AB" w:rsidRPr="00DB0E7C">
        <w:rPr>
          <w:rFonts w:ascii="Verdana" w:hAnsi="Verdana"/>
          <w:sz w:val="20"/>
          <w:szCs w:val="20"/>
          <w:lang w:val="es-ES"/>
        </w:rPr>
        <w:t xml:space="preserve"> cual se </w:t>
      </w:r>
      <w:r w:rsidR="008902AB" w:rsidRPr="00DB0E7C">
        <w:rPr>
          <w:rFonts w:ascii="Verdana" w:hAnsi="Verdana"/>
          <w:sz w:val="20"/>
          <w:szCs w:val="20"/>
          <w:lang w:val="es-ES"/>
        </w:rPr>
        <w:lastRenderedPageBreak/>
        <w:t>otorgaron títulos de propiedad, contratos de arrendamiento y arrendamientos a largo plazo a un número de individuos no indígenas e indígenas</w:t>
      </w:r>
      <w:r w:rsidR="000E6257" w:rsidRPr="00DB0E7C">
        <w:rPr>
          <w:rStyle w:val="FootnoteReference"/>
          <w:szCs w:val="20"/>
          <w:lang w:val="es-ES"/>
        </w:rPr>
        <w:footnoteReference w:id="153"/>
      </w:r>
      <w:r w:rsidR="008902AB" w:rsidRPr="00DB0E7C">
        <w:rPr>
          <w:rFonts w:ascii="Verdana" w:hAnsi="Verdana"/>
          <w:sz w:val="20"/>
          <w:szCs w:val="20"/>
          <w:lang w:val="es-ES"/>
        </w:rPr>
        <w:t>. El Estado alegó que la zona</w:t>
      </w:r>
      <w:r w:rsidR="000E6257" w:rsidRPr="00DB0E7C">
        <w:rPr>
          <w:rFonts w:ascii="Verdana" w:hAnsi="Verdana"/>
          <w:sz w:val="20"/>
          <w:szCs w:val="20"/>
          <w:lang w:val="es-ES"/>
        </w:rPr>
        <w:t xml:space="preserve">, la cual constituía los suburbios de Albina, </w:t>
      </w:r>
      <w:r w:rsidR="008902AB" w:rsidRPr="00DB0E7C">
        <w:rPr>
          <w:rFonts w:ascii="Verdana" w:hAnsi="Verdana"/>
          <w:sz w:val="20"/>
          <w:szCs w:val="20"/>
          <w:lang w:val="es-ES"/>
        </w:rPr>
        <w:t>no había sido habitada por los pueblos indígenas del Bajo Marowijne, ni en el momento de la parcelación de tierras ni durante los años anteriores al inicio de dichas actividades</w:t>
      </w:r>
      <w:r w:rsidR="000E6257" w:rsidRPr="00DB0E7C">
        <w:rPr>
          <w:rFonts w:ascii="Verdana" w:hAnsi="Verdana"/>
          <w:sz w:val="20"/>
          <w:szCs w:val="20"/>
          <w:lang w:val="es-ES"/>
        </w:rPr>
        <w:t>, e</w:t>
      </w:r>
      <w:r w:rsidR="008902AB" w:rsidRPr="00DB0E7C">
        <w:rPr>
          <w:rFonts w:ascii="Verdana" w:hAnsi="Verdana"/>
          <w:sz w:val="20"/>
          <w:szCs w:val="20"/>
          <w:lang w:val="es-ES"/>
        </w:rPr>
        <w:t xml:space="preserve"> indicó que la ciudad de Albina, capital del distrito de Marowijne, ha sido un núcleo de actividades sociales, económicas y culturales en la región de</w:t>
      </w:r>
      <w:r w:rsidR="00DB0E7C">
        <w:rPr>
          <w:rFonts w:ascii="Verdana" w:hAnsi="Verdana"/>
          <w:sz w:val="20"/>
          <w:szCs w:val="20"/>
          <w:lang w:val="es-ES"/>
        </w:rPr>
        <w:t xml:space="preserve">l Bajo Marowijne durante siglos. Además indicó </w:t>
      </w:r>
      <w:r w:rsidR="008902AB" w:rsidRPr="00DB0E7C">
        <w:rPr>
          <w:rFonts w:ascii="Verdana" w:hAnsi="Verdana"/>
          <w:sz w:val="20"/>
          <w:szCs w:val="20"/>
          <w:lang w:val="es-ES"/>
        </w:rPr>
        <w:t xml:space="preserve">que si bien los </w:t>
      </w:r>
      <w:r w:rsidR="000E6257" w:rsidRPr="00DB0E7C">
        <w:rPr>
          <w:rFonts w:ascii="Verdana" w:hAnsi="Verdana"/>
          <w:sz w:val="20"/>
          <w:szCs w:val="20"/>
          <w:lang w:val="es-ES"/>
        </w:rPr>
        <w:t>Pueblos Kaliña y Lokono</w:t>
      </w:r>
      <w:r w:rsidR="008902AB" w:rsidRPr="00DB0E7C">
        <w:rPr>
          <w:rFonts w:ascii="Verdana" w:hAnsi="Verdana"/>
          <w:sz w:val="20"/>
          <w:szCs w:val="20"/>
          <w:lang w:val="es-ES"/>
        </w:rPr>
        <w:t xml:space="preserve"> han participado en dichas actividades, no consideran Albina como parte de su territorio ancestral sobre el cual pueden demandar derechos de propiedad. En este se</w:t>
      </w:r>
      <w:r w:rsidR="000E6257" w:rsidRPr="00DB0E7C">
        <w:rPr>
          <w:rFonts w:ascii="Verdana" w:hAnsi="Verdana"/>
          <w:sz w:val="20"/>
          <w:szCs w:val="20"/>
          <w:lang w:val="es-ES"/>
        </w:rPr>
        <w:t>ntido, el Estado señaló que dichos pueblos</w:t>
      </w:r>
      <w:r w:rsidR="008902AB" w:rsidRPr="00DB0E7C">
        <w:rPr>
          <w:rFonts w:ascii="Verdana" w:hAnsi="Verdana"/>
          <w:sz w:val="20"/>
          <w:szCs w:val="20"/>
          <w:lang w:val="es-ES"/>
        </w:rPr>
        <w:t xml:space="preserve"> nunca protestaron contra este proyecto, ya que el área sobre el cual se llevó a c</w:t>
      </w:r>
      <w:r w:rsidR="000E6257" w:rsidRPr="00DB0E7C">
        <w:rPr>
          <w:rFonts w:ascii="Verdana" w:hAnsi="Verdana"/>
          <w:sz w:val="20"/>
          <w:szCs w:val="20"/>
          <w:lang w:val="es-ES"/>
        </w:rPr>
        <w:t>abo</w:t>
      </w:r>
      <w:r w:rsidR="008902AB" w:rsidRPr="00DB0E7C">
        <w:rPr>
          <w:rFonts w:ascii="Verdana" w:hAnsi="Verdana"/>
          <w:sz w:val="20"/>
          <w:szCs w:val="20"/>
          <w:lang w:val="es-ES"/>
        </w:rPr>
        <w:t>, no forma parte de la tier</w:t>
      </w:r>
      <w:r w:rsidR="00DB0E7C">
        <w:rPr>
          <w:rFonts w:ascii="Verdana" w:hAnsi="Verdana"/>
          <w:sz w:val="20"/>
          <w:szCs w:val="20"/>
          <w:lang w:val="es-ES"/>
        </w:rPr>
        <w:t xml:space="preserve">ra sobre la cual </w:t>
      </w:r>
      <w:r w:rsidR="008902AB" w:rsidRPr="00DB0E7C">
        <w:rPr>
          <w:rFonts w:ascii="Verdana" w:hAnsi="Verdana"/>
          <w:sz w:val="20"/>
          <w:szCs w:val="20"/>
          <w:lang w:val="es-ES"/>
        </w:rPr>
        <w:t xml:space="preserve">mantienen una relación especial. </w:t>
      </w:r>
      <w:r w:rsidRPr="00DB0E7C">
        <w:rPr>
          <w:rFonts w:ascii="Verdana" w:hAnsi="Verdana"/>
          <w:sz w:val="20"/>
          <w:szCs w:val="20"/>
          <w:lang w:val="es-CR"/>
        </w:rPr>
        <w:t xml:space="preserve">Asimismo, el Estado declaró que parte de los pueblos </w:t>
      </w:r>
      <w:r w:rsidR="00DB0E7C">
        <w:rPr>
          <w:rFonts w:ascii="Verdana" w:hAnsi="Verdana"/>
          <w:sz w:val="20"/>
          <w:szCs w:val="20"/>
          <w:lang w:val="es-CR"/>
        </w:rPr>
        <w:t xml:space="preserve">reclamados, </w:t>
      </w:r>
      <w:r w:rsidRPr="00DB0E7C">
        <w:rPr>
          <w:rFonts w:ascii="Verdana" w:hAnsi="Verdana"/>
          <w:sz w:val="20"/>
          <w:szCs w:val="20"/>
          <w:lang w:val="es-CR"/>
        </w:rPr>
        <w:t>en lo</w:t>
      </w:r>
      <w:r w:rsidR="00DB0E7C">
        <w:rPr>
          <w:rFonts w:ascii="Verdana" w:hAnsi="Verdana"/>
          <w:sz w:val="20"/>
          <w:szCs w:val="20"/>
          <w:lang w:val="es-CR"/>
        </w:rPr>
        <w:t xml:space="preserve">s que sí habitaban </w:t>
      </w:r>
      <w:r w:rsidRPr="00DB0E7C">
        <w:rPr>
          <w:rFonts w:ascii="Verdana" w:hAnsi="Verdana"/>
          <w:sz w:val="20"/>
          <w:szCs w:val="20"/>
          <w:lang w:val="es-CR"/>
        </w:rPr>
        <w:t>los indígenas</w:t>
      </w:r>
      <w:r w:rsidR="00DB0E7C">
        <w:rPr>
          <w:rFonts w:ascii="Verdana" w:hAnsi="Verdana"/>
          <w:sz w:val="20"/>
          <w:szCs w:val="20"/>
          <w:lang w:val="es-CR"/>
        </w:rPr>
        <w:t>,</w:t>
      </w:r>
      <w:r w:rsidRPr="00DB0E7C">
        <w:rPr>
          <w:rFonts w:ascii="Verdana" w:hAnsi="Verdana"/>
          <w:sz w:val="20"/>
          <w:szCs w:val="20"/>
          <w:lang w:val="es-CR"/>
        </w:rPr>
        <w:t xml:space="preserve"> los comparten con las tribus </w:t>
      </w:r>
      <w:r w:rsidR="006D4D2C">
        <w:rPr>
          <w:rFonts w:ascii="Verdana" w:hAnsi="Verdana"/>
          <w:sz w:val="20"/>
          <w:szCs w:val="20"/>
          <w:lang w:val="es-CR"/>
        </w:rPr>
        <w:t>maroon</w:t>
      </w:r>
      <w:r w:rsidR="000E6257" w:rsidRPr="00DB0E7C">
        <w:rPr>
          <w:rFonts w:ascii="Verdana" w:hAnsi="Verdana"/>
          <w:sz w:val="20"/>
          <w:szCs w:val="20"/>
          <w:lang w:val="es-CR"/>
        </w:rPr>
        <w:t>s</w:t>
      </w:r>
      <w:r w:rsidRPr="00DB0E7C">
        <w:rPr>
          <w:rStyle w:val="FootnoteReference"/>
          <w:rFonts w:cs="Arial"/>
          <w:szCs w:val="20"/>
          <w:lang w:val="es-CR"/>
        </w:rPr>
        <w:footnoteReference w:id="154"/>
      </w:r>
      <w:r w:rsidRPr="00DB0E7C">
        <w:rPr>
          <w:rFonts w:ascii="Verdana" w:hAnsi="Verdana"/>
          <w:sz w:val="20"/>
          <w:szCs w:val="20"/>
          <w:lang w:val="es-CR"/>
        </w:rPr>
        <w:t xml:space="preserve">. En la visita, </w:t>
      </w:r>
      <w:r w:rsidR="00956677" w:rsidRPr="001A4213">
        <w:rPr>
          <w:rFonts w:ascii="Verdana" w:hAnsi="Verdana"/>
          <w:sz w:val="20"/>
          <w:szCs w:val="20"/>
          <w:lang w:val="es-CR"/>
        </w:rPr>
        <w:t>agregó</w:t>
      </w:r>
      <w:r w:rsidR="003644A0" w:rsidRPr="003847EB">
        <w:rPr>
          <w:rFonts w:ascii="Verdana" w:hAnsi="Verdana"/>
          <w:sz w:val="20"/>
          <w:szCs w:val="20"/>
          <w:lang w:val="es-CR"/>
        </w:rPr>
        <w:t xml:space="preserve"> </w:t>
      </w:r>
      <w:r w:rsidRPr="00DB0E7C">
        <w:rPr>
          <w:rFonts w:ascii="Verdana" w:hAnsi="Verdana"/>
          <w:sz w:val="20"/>
          <w:szCs w:val="20"/>
          <w:lang w:val="es-CR"/>
        </w:rPr>
        <w:t xml:space="preserve">que hay alrededor de 18 comunidades donde habitan </w:t>
      </w:r>
      <w:r w:rsidR="006D4D2C">
        <w:rPr>
          <w:rFonts w:ascii="Verdana" w:hAnsi="Verdana"/>
          <w:sz w:val="20"/>
          <w:szCs w:val="20"/>
          <w:lang w:val="es-CR"/>
        </w:rPr>
        <w:t>maroon</w:t>
      </w:r>
      <w:r w:rsidRPr="00DB0E7C">
        <w:rPr>
          <w:rFonts w:ascii="Verdana" w:hAnsi="Verdana"/>
          <w:sz w:val="20"/>
          <w:szCs w:val="20"/>
          <w:lang w:val="es-CR"/>
        </w:rPr>
        <w:t>s en el área reclamada (</w:t>
      </w:r>
      <w:r w:rsidRPr="00DB0E7C">
        <w:rPr>
          <w:rFonts w:ascii="Verdana" w:hAnsi="Verdana"/>
          <w:i/>
          <w:sz w:val="20"/>
          <w:szCs w:val="20"/>
          <w:lang w:val="es-CR"/>
        </w:rPr>
        <w:t>supra</w:t>
      </w:r>
      <w:r w:rsidRPr="00DB0E7C">
        <w:rPr>
          <w:rFonts w:ascii="Verdana" w:hAnsi="Verdana"/>
          <w:sz w:val="20"/>
          <w:szCs w:val="20"/>
          <w:lang w:val="es-CR"/>
        </w:rPr>
        <w:t xml:space="preserve"> párr. 41). </w:t>
      </w:r>
    </w:p>
    <w:p w14:paraId="578427D6" w14:textId="77777777" w:rsidR="00FC1FCF" w:rsidRPr="00C02552" w:rsidRDefault="00FC1FCF" w:rsidP="00FC1FCF">
      <w:pPr>
        <w:pStyle w:val="ListParagraph"/>
        <w:ind w:left="0"/>
        <w:jc w:val="both"/>
        <w:rPr>
          <w:rFonts w:ascii="Verdana" w:hAnsi="Verdana"/>
          <w:sz w:val="20"/>
          <w:szCs w:val="20"/>
          <w:lang w:val="es-CR"/>
        </w:rPr>
      </w:pPr>
    </w:p>
    <w:p w14:paraId="03F9123D" w14:textId="047C8A3E" w:rsidR="00FC1FCF" w:rsidRPr="00C02552"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CR"/>
        </w:rPr>
        <w:t>En cuanto a las reservas naturales, el Estado afirmó que se establecieron con la finalidad de prosperar en los esfuerzos de conservación de la naturaleza y que las mismas respondieron a un interés superior que prevalecía sobre los derechos de propiedad de l</w:t>
      </w:r>
      <w:r w:rsidR="00F02CF3">
        <w:rPr>
          <w:rFonts w:ascii="Verdana" w:hAnsi="Verdana"/>
          <w:sz w:val="20"/>
          <w:szCs w:val="20"/>
          <w:lang w:val="es-CR"/>
        </w:rPr>
        <w:t>os Pueblos Kaliña y Lokono</w:t>
      </w:r>
      <w:r w:rsidRPr="00C02552">
        <w:rPr>
          <w:rFonts w:ascii="Verdana" w:hAnsi="Verdana"/>
          <w:sz w:val="20"/>
          <w:szCs w:val="20"/>
          <w:lang w:val="es-CR"/>
        </w:rPr>
        <w:t>. También alegó que a</w:t>
      </w:r>
      <w:r w:rsidR="000B415F">
        <w:rPr>
          <w:rFonts w:ascii="Verdana" w:hAnsi="Verdana"/>
          <w:sz w:val="20"/>
          <w:szCs w:val="20"/>
          <w:lang w:val="es-CR"/>
        </w:rPr>
        <w:t xml:space="preserve"> dichos</w:t>
      </w:r>
      <w:r w:rsidRPr="00C02552">
        <w:rPr>
          <w:rFonts w:ascii="Verdana" w:hAnsi="Verdana"/>
          <w:sz w:val="20"/>
          <w:szCs w:val="20"/>
          <w:lang w:val="es-CR"/>
        </w:rPr>
        <w:t xml:space="preserve"> pueblos nunca se les ha restringido el acceso ni el uso de los recursos </w:t>
      </w:r>
      <w:r w:rsidR="000B415F">
        <w:rPr>
          <w:rFonts w:ascii="Verdana" w:hAnsi="Verdana"/>
          <w:sz w:val="20"/>
          <w:szCs w:val="20"/>
          <w:lang w:val="es-CR"/>
        </w:rPr>
        <w:t xml:space="preserve">dentro </w:t>
      </w:r>
      <w:r w:rsidRPr="00C02552">
        <w:rPr>
          <w:rFonts w:ascii="Verdana" w:hAnsi="Verdana"/>
          <w:sz w:val="20"/>
          <w:szCs w:val="20"/>
          <w:lang w:val="es-CR"/>
        </w:rPr>
        <w:t>de las reservas, y que además se ha propiciado su participación en la administración de las mismas</w:t>
      </w:r>
      <w:r w:rsidRPr="00C02552">
        <w:rPr>
          <w:rStyle w:val="FootnoteReference"/>
          <w:rFonts w:cs="Arial"/>
          <w:szCs w:val="20"/>
          <w:lang w:val="es-CR"/>
        </w:rPr>
        <w:footnoteReference w:id="155"/>
      </w:r>
      <w:r w:rsidRPr="00C02552">
        <w:rPr>
          <w:rFonts w:ascii="Verdana" w:hAnsi="Verdana"/>
          <w:sz w:val="20"/>
          <w:szCs w:val="20"/>
          <w:lang w:val="es-CR"/>
        </w:rPr>
        <w:t xml:space="preserve">. No obstante, el Estado aclaró que </w:t>
      </w:r>
      <w:r w:rsidRPr="00585F2A">
        <w:rPr>
          <w:rFonts w:ascii="Verdana" w:hAnsi="Verdana"/>
          <w:sz w:val="20"/>
          <w:szCs w:val="20"/>
          <w:lang w:val="es-CR"/>
        </w:rPr>
        <w:t>estaba en contra de que los pueblos indígenas administraran por sí solos las “reservas naturales en su totalidad”.</w:t>
      </w:r>
      <w:r w:rsidRPr="00C02552">
        <w:rPr>
          <w:rFonts w:ascii="Verdana" w:hAnsi="Verdana"/>
          <w:sz w:val="20"/>
          <w:szCs w:val="20"/>
          <w:lang w:val="es-CR"/>
        </w:rPr>
        <w:t xml:space="preserve"> Por lo mismo, el Estado alegó que la restitución de las tierras que ahora son parte de las reservas sería una amenaza a las obligaciones que tiene con sus ciudadanos y podría implicar una ruptura en un sistema que ha demostrado que mantiene la paz, </w:t>
      </w:r>
      <w:r w:rsidR="00AB19FB">
        <w:rPr>
          <w:rFonts w:ascii="Verdana" w:hAnsi="Verdana"/>
          <w:sz w:val="20"/>
          <w:szCs w:val="20"/>
          <w:lang w:val="es-CR"/>
        </w:rPr>
        <w:t>debido a</w:t>
      </w:r>
      <w:r w:rsidRPr="00C02552">
        <w:rPr>
          <w:rFonts w:ascii="Verdana" w:hAnsi="Verdana"/>
          <w:sz w:val="20"/>
          <w:szCs w:val="20"/>
          <w:lang w:val="es-CR"/>
        </w:rPr>
        <w:t xml:space="preserve"> las implicaciones legales, sociales, económicas, étnicas y raciales</w:t>
      </w:r>
      <w:r w:rsidR="00FF62CF">
        <w:rPr>
          <w:rFonts w:ascii="Verdana" w:hAnsi="Verdana"/>
          <w:sz w:val="20"/>
          <w:szCs w:val="20"/>
          <w:lang w:val="es-CR"/>
        </w:rPr>
        <w:t xml:space="preserve"> que dicha restitución podría significar</w:t>
      </w:r>
      <w:r w:rsidRPr="00C02552">
        <w:rPr>
          <w:rFonts w:ascii="Verdana" w:hAnsi="Verdana"/>
          <w:sz w:val="20"/>
          <w:szCs w:val="20"/>
          <w:lang w:val="es-CR"/>
        </w:rPr>
        <w:t>. Conjuntamente, el Estado sostuvo que no puede compartir el manejo de los recursos naturales, pues si</w:t>
      </w:r>
      <w:r w:rsidR="006D4D2C">
        <w:rPr>
          <w:rFonts w:ascii="Verdana" w:hAnsi="Verdana"/>
          <w:sz w:val="20"/>
          <w:szCs w:val="20"/>
          <w:lang w:val="es-CR"/>
        </w:rPr>
        <w:t xml:space="preserve"> todos los pueblos indígenas y m</w:t>
      </w:r>
      <w:r w:rsidRPr="00C02552">
        <w:rPr>
          <w:rFonts w:ascii="Verdana" w:hAnsi="Verdana"/>
          <w:sz w:val="20"/>
          <w:szCs w:val="20"/>
          <w:lang w:val="es-CR"/>
        </w:rPr>
        <w:t>aroon</w:t>
      </w:r>
      <w:r w:rsidR="006D4D2C">
        <w:rPr>
          <w:rFonts w:ascii="Verdana" w:hAnsi="Verdana"/>
          <w:sz w:val="20"/>
          <w:szCs w:val="20"/>
          <w:lang w:val="es-CR"/>
        </w:rPr>
        <w:t>s</w:t>
      </w:r>
      <w:r w:rsidRPr="00C02552">
        <w:rPr>
          <w:rFonts w:ascii="Verdana" w:hAnsi="Verdana"/>
          <w:sz w:val="20"/>
          <w:szCs w:val="20"/>
          <w:lang w:val="es-CR"/>
        </w:rPr>
        <w:t xml:space="preserve"> solicitaran el control de los mismos en sus territorios ancestrales, sería desastroso para la economía </w:t>
      </w:r>
      <w:r w:rsidR="00AB19FB">
        <w:rPr>
          <w:rFonts w:ascii="Verdana" w:hAnsi="Verdana"/>
          <w:sz w:val="20"/>
          <w:szCs w:val="20"/>
          <w:lang w:val="es-CR"/>
        </w:rPr>
        <w:t xml:space="preserve">de </w:t>
      </w:r>
      <w:r w:rsidR="00563E11">
        <w:rPr>
          <w:rFonts w:ascii="Verdana" w:hAnsi="Verdana"/>
          <w:sz w:val="20"/>
          <w:szCs w:val="20"/>
          <w:lang w:val="es-CR"/>
        </w:rPr>
        <w:t>Surinam</w:t>
      </w:r>
      <w:r w:rsidRPr="00C02552">
        <w:rPr>
          <w:rStyle w:val="FootnoteReference"/>
          <w:rFonts w:cs="Arial"/>
          <w:szCs w:val="20"/>
          <w:lang w:val="es-CR"/>
        </w:rPr>
        <w:footnoteReference w:id="156"/>
      </w:r>
      <w:r w:rsidRPr="004B0145">
        <w:rPr>
          <w:rFonts w:ascii="Verdana" w:hAnsi="Verdana"/>
          <w:sz w:val="20"/>
          <w:szCs w:val="20"/>
          <w:lang w:val="es-CR"/>
        </w:rPr>
        <w:t>.</w:t>
      </w:r>
    </w:p>
    <w:p w14:paraId="053D6B4E" w14:textId="77777777" w:rsidR="00FC1FCF" w:rsidRPr="00C02552" w:rsidRDefault="00FC1FCF" w:rsidP="00FC1FCF">
      <w:pPr>
        <w:pStyle w:val="ListParagraph"/>
        <w:ind w:left="0"/>
        <w:jc w:val="both"/>
        <w:rPr>
          <w:rFonts w:ascii="Verdana" w:hAnsi="Verdana"/>
          <w:sz w:val="20"/>
          <w:szCs w:val="20"/>
          <w:lang w:val="es-CR"/>
        </w:rPr>
      </w:pPr>
    </w:p>
    <w:p w14:paraId="204A4B35" w14:textId="1165F58F" w:rsidR="00FC1FCF" w:rsidRPr="00C02552"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CR"/>
        </w:rPr>
        <w:t xml:space="preserve">Respecto de las concesiones mineras para extraer bauxita, el Estado afirmó que los pueblos indígenas no habitaban la zona minera o sus alrededores y que la distancia entre </w:t>
      </w:r>
      <w:r>
        <w:rPr>
          <w:rFonts w:ascii="Verdana" w:hAnsi="Verdana"/>
          <w:sz w:val="20"/>
          <w:szCs w:val="20"/>
          <w:lang w:val="es-CR"/>
        </w:rPr>
        <w:t>é</w:t>
      </w:r>
      <w:r w:rsidRPr="00C02552">
        <w:rPr>
          <w:rFonts w:ascii="Verdana" w:hAnsi="Verdana"/>
          <w:sz w:val="20"/>
          <w:szCs w:val="20"/>
          <w:lang w:val="es-CR"/>
        </w:rPr>
        <w:t>sta y el pueblo indígena</w:t>
      </w:r>
      <w:r w:rsidR="00AB19FB">
        <w:rPr>
          <w:rFonts w:ascii="Verdana" w:hAnsi="Verdana"/>
          <w:sz w:val="20"/>
          <w:szCs w:val="20"/>
          <w:lang w:val="es-CR"/>
        </w:rPr>
        <w:t xml:space="preserve"> (Alfonsdorp)</w:t>
      </w:r>
      <w:r w:rsidRPr="00C02552">
        <w:rPr>
          <w:rFonts w:ascii="Verdana" w:hAnsi="Verdana"/>
          <w:sz w:val="20"/>
          <w:szCs w:val="20"/>
          <w:lang w:val="es-CR"/>
        </w:rPr>
        <w:t xml:space="preserve"> más cercano era aproximadamente 6.3 km. Asimismo, el Estado señaló que en la actualidad no existían actividades de exploración o explotación en el área, sin embargo, la empresa Suralco tenía la intención de </w:t>
      </w:r>
      <w:r>
        <w:rPr>
          <w:rFonts w:ascii="Verdana" w:hAnsi="Verdana"/>
          <w:sz w:val="20"/>
          <w:szCs w:val="20"/>
          <w:lang w:val="es-CR"/>
        </w:rPr>
        <w:t>re</w:t>
      </w:r>
      <w:r w:rsidRPr="00C02552">
        <w:rPr>
          <w:rFonts w:ascii="Verdana" w:hAnsi="Verdana"/>
          <w:sz w:val="20"/>
          <w:szCs w:val="20"/>
          <w:lang w:val="es-CR"/>
        </w:rPr>
        <w:t xml:space="preserve">iniciar actividades de </w:t>
      </w:r>
      <w:r w:rsidRPr="00C02552">
        <w:rPr>
          <w:rFonts w:ascii="Verdana" w:hAnsi="Verdana"/>
          <w:sz w:val="20"/>
          <w:szCs w:val="20"/>
          <w:lang w:val="es-CR"/>
        </w:rPr>
        <w:lastRenderedPageBreak/>
        <w:t>exploración</w:t>
      </w:r>
      <w:r>
        <w:rPr>
          <w:rFonts w:ascii="Verdana" w:hAnsi="Verdana"/>
          <w:sz w:val="20"/>
          <w:szCs w:val="20"/>
          <w:lang w:val="es-CR"/>
        </w:rPr>
        <w:t xml:space="preserve">, </w:t>
      </w:r>
      <w:r w:rsidRPr="00C02552">
        <w:rPr>
          <w:rFonts w:ascii="Verdana" w:hAnsi="Verdana"/>
          <w:sz w:val="20"/>
          <w:szCs w:val="20"/>
          <w:lang w:val="es-CR"/>
        </w:rPr>
        <w:t xml:space="preserve">por lo que un grupo de exploración recolectaría muestras de bauxita del área. De igual manera, el Estado alegó que estas actividades mineras no tuvieron efectos nocivos sobre la comunidad y que las presuntas víctimas, en todo caso, fueron compensadas por los posibles daños que les podría haber causado las concesiones mineras, ya que se vieron beneficiados al contar con la posibilidad de utilizar el camino existente para sus actividades de tala y transporte de madera. </w:t>
      </w:r>
    </w:p>
    <w:p w14:paraId="5D33E8C0" w14:textId="77777777" w:rsidR="00FC1FCF" w:rsidRPr="00C02552" w:rsidRDefault="00FC1FCF" w:rsidP="00FC1FCF">
      <w:pPr>
        <w:jc w:val="both"/>
        <w:rPr>
          <w:rFonts w:ascii="Verdana" w:hAnsi="Verdana" w:cs="Arial"/>
          <w:sz w:val="20"/>
          <w:szCs w:val="20"/>
          <w:lang w:val="es-CR"/>
        </w:rPr>
      </w:pPr>
    </w:p>
    <w:p w14:paraId="2B74E5F1" w14:textId="77777777" w:rsidR="00FC1FCF" w:rsidRDefault="00FC1FCF" w:rsidP="00FC1FCF">
      <w:pPr>
        <w:pStyle w:val="Heading2"/>
        <w:numPr>
          <w:ilvl w:val="0"/>
          <w:numId w:val="27"/>
        </w:numPr>
        <w:spacing w:before="0"/>
        <w:jc w:val="both"/>
        <w:rPr>
          <w:rFonts w:ascii="Verdana" w:hAnsi="Verdana"/>
          <w:bCs w:val="0"/>
          <w:i/>
          <w:color w:val="auto"/>
          <w:sz w:val="20"/>
          <w:szCs w:val="20"/>
        </w:rPr>
      </w:pPr>
      <w:bookmarkStart w:id="43" w:name="_Toc441666178"/>
      <w:r w:rsidRPr="00FC1FCF">
        <w:rPr>
          <w:rFonts w:ascii="Verdana" w:hAnsi="Verdana"/>
          <w:bCs w:val="0"/>
          <w:i/>
          <w:color w:val="auto"/>
          <w:sz w:val="20"/>
          <w:szCs w:val="20"/>
        </w:rPr>
        <w:t>Consideraciones de la Corte</w:t>
      </w:r>
      <w:bookmarkEnd w:id="43"/>
    </w:p>
    <w:p w14:paraId="3EA6205F" w14:textId="77777777" w:rsidR="00830B9E" w:rsidRPr="00190AD3" w:rsidRDefault="00830B9E" w:rsidP="00190AD3">
      <w:pPr>
        <w:rPr>
          <w:b/>
        </w:rPr>
      </w:pPr>
    </w:p>
    <w:p w14:paraId="0634C3D7" w14:textId="42A9DF87" w:rsidR="00ED02F8" w:rsidRPr="00190AD3" w:rsidRDefault="00AE60CD" w:rsidP="00190AD3">
      <w:pPr>
        <w:pStyle w:val="Heading3"/>
        <w:spacing w:before="0"/>
        <w:ind w:left="360" w:firstLine="360"/>
        <w:jc w:val="both"/>
        <w:rPr>
          <w:rFonts w:ascii="Verdana" w:hAnsi="Verdana"/>
          <w:i/>
          <w:color w:val="auto"/>
          <w:sz w:val="20"/>
          <w:szCs w:val="20"/>
          <w:lang w:val="es-ES"/>
        </w:rPr>
      </w:pPr>
      <w:bookmarkStart w:id="44" w:name="_Toc441666179"/>
      <w:r w:rsidRPr="00190AD3">
        <w:rPr>
          <w:rFonts w:ascii="Verdana" w:hAnsi="Verdana"/>
          <w:i/>
          <w:color w:val="auto"/>
          <w:sz w:val="20"/>
          <w:szCs w:val="20"/>
          <w:lang w:val="es-ES"/>
        </w:rPr>
        <w:t xml:space="preserve">B.1 </w:t>
      </w:r>
      <w:r w:rsidR="00ED02F8" w:rsidRPr="00190AD3">
        <w:rPr>
          <w:rFonts w:ascii="Verdana" w:hAnsi="Verdana"/>
          <w:i/>
          <w:color w:val="auto"/>
          <w:sz w:val="20"/>
          <w:szCs w:val="20"/>
          <w:lang w:val="es-ES"/>
        </w:rPr>
        <w:t xml:space="preserve">Interpretación del derecho a la propiedad colectiva </w:t>
      </w:r>
      <w:r w:rsidR="001A4213" w:rsidRPr="007021B4">
        <w:rPr>
          <w:rFonts w:ascii="Verdana" w:hAnsi="Verdana"/>
          <w:i/>
          <w:color w:val="auto"/>
          <w:sz w:val="20"/>
          <w:szCs w:val="20"/>
          <w:lang w:val="es-ES"/>
        </w:rPr>
        <w:t>y participación en asuntos públicos</w:t>
      </w:r>
      <w:r w:rsidR="001A4213">
        <w:rPr>
          <w:rFonts w:ascii="Verdana" w:hAnsi="Verdana"/>
          <w:i/>
          <w:color w:val="auto"/>
          <w:sz w:val="20"/>
          <w:szCs w:val="20"/>
          <w:lang w:val="es-ES"/>
        </w:rPr>
        <w:t xml:space="preserve"> </w:t>
      </w:r>
      <w:r w:rsidR="00ED02F8" w:rsidRPr="00190AD3">
        <w:rPr>
          <w:rFonts w:ascii="Verdana" w:hAnsi="Verdana"/>
          <w:i/>
          <w:color w:val="auto"/>
          <w:sz w:val="20"/>
          <w:szCs w:val="20"/>
          <w:lang w:val="es-ES"/>
        </w:rPr>
        <w:t>de los pueblos indígenas en el presente caso</w:t>
      </w:r>
      <w:bookmarkEnd w:id="44"/>
    </w:p>
    <w:p w14:paraId="3149D517" w14:textId="77777777" w:rsidR="00ED02F8" w:rsidRDefault="00ED02F8" w:rsidP="002D0F97">
      <w:pPr>
        <w:pStyle w:val="ListParagraph"/>
        <w:ind w:left="0"/>
        <w:jc w:val="both"/>
        <w:rPr>
          <w:rFonts w:ascii="Verdana" w:hAnsi="Verdana"/>
          <w:sz w:val="20"/>
          <w:lang w:val="es-CR"/>
        </w:rPr>
      </w:pPr>
    </w:p>
    <w:p w14:paraId="78809FDB" w14:textId="77777777" w:rsidR="002D0F97" w:rsidRPr="002D0F97" w:rsidRDefault="00ED02F8" w:rsidP="002D0F97">
      <w:pPr>
        <w:pStyle w:val="ListParagraph"/>
        <w:numPr>
          <w:ilvl w:val="0"/>
          <w:numId w:val="2"/>
        </w:numPr>
        <w:ind w:left="0" w:hanging="11"/>
        <w:jc w:val="both"/>
        <w:rPr>
          <w:rFonts w:ascii="Verdana" w:hAnsi="Verdana"/>
          <w:sz w:val="20"/>
          <w:szCs w:val="20"/>
          <w:lang w:val="es-CR"/>
        </w:rPr>
      </w:pPr>
      <w:r w:rsidRPr="00190AD3">
        <w:rPr>
          <w:rFonts w:ascii="Verdana" w:hAnsi="Verdana"/>
          <w:sz w:val="20"/>
          <w:szCs w:val="20"/>
          <w:lang w:val="es-CR"/>
        </w:rPr>
        <w:t xml:space="preserve">De conformidad con lo dispuesto por esta Corte </w:t>
      </w:r>
      <w:r w:rsidR="00FF62CF">
        <w:rPr>
          <w:rFonts w:ascii="Verdana" w:hAnsi="Verdana"/>
          <w:sz w:val="20"/>
          <w:szCs w:val="20"/>
          <w:lang w:val="es-CR"/>
        </w:rPr>
        <w:t xml:space="preserve">en el 2007, </w:t>
      </w:r>
      <w:r w:rsidRPr="00190AD3">
        <w:rPr>
          <w:rFonts w:ascii="Verdana" w:hAnsi="Verdana"/>
          <w:sz w:val="20"/>
          <w:szCs w:val="20"/>
          <w:lang w:val="es-CR"/>
        </w:rPr>
        <w:t xml:space="preserve">en el </w:t>
      </w:r>
      <w:r w:rsidRPr="00190AD3">
        <w:rPr>
          <w:rFonts w:ascii="Verdana" w:hAnsi="Verdana"/>
          <w:i/>
          <w:sz w:val="20"/>
          <w:szCs w:val="20"/>
          <w:lang w:val="es-CR"/>
        </w:rPr>
        <w:t xml:space="preserve">caso </w:t>
      </w:r>
      <w:r w:rsidR="00403E34">
        <w:rPr>
          <w:rFonts w:ascii="Verdana" w:hAnsi="Verdana"/>
          <w:i/>
          <w:sz w:val="20"/>
          <w:szCs w:val="20"/>
          <w:lang w:val="es-CR"/>
        </w:rPr>
        <w:t xml:space="preserve">del Pueblo </w:t>
      </w:r>
      <w:r w:rsidRPr="00190AD3">
        <w:rPr>
          <w:rFonts w:ascii="Verdana" w:hAnsi="Verdana"/>
          <w:i/>
          <w:sz w:val="20"/>
          <w:szCs w:val="20"/>
          <w:lang w:val="es-CR"/>
        </w:rPr>
        <w:t>Saramaka Vs. Surinam,</w:t>
      </w:r>
      <w:r w:rsidRPr="00190AD3">
        <w:rPr>
          <w:rFonts w:ascii="Verdana" w:hAnsi="Verdana"/>
          <w:sz w:val="20"/>
          <w:szCs w:val="20"/>
          <w:lang w:val="es-CR"/>
        </w:rPr>
        <w:t xml:space="preserve"> l</w:t>
      </w:r>
      <w:r w:rsidRPr="00190AD3">
        <w:rPr>
          <w:rFonts w:ascii="Verdana" w:hAnsi="Verdana"/>
          <w:sz w:val="20"/>
          <w:szCs w:val="20"/>
        </w:rPr>
        <w:t>a legislación interna de Surinam no reconoce el derecho a la propiedad comunal de los miembros de sus pueblos tribales y no ha ratificado el Convenio No. 169</w:t>
      </w:r>
      <w:r w:rsidR="00FF62CF">
        <w:rPr>
          <w:rFonts w:ascii="Verdana" w:hAnsi="Verdana"/>
          <w:sz w:val="20"/>
          <w:szCs w:val="20"/>
        </w:rPr>
        <w:t xml:space="preserve"> de la OIT</w:t>
      </w:r>
      <w:r w:rsidR="008A4ABB" w:rsidRPr="007E20F9">
        <w:rPr>
          <w:rStyle w:val="FootnoteReference"/>
          <w:szCs w:val="20"/>
        </w:rPr>
        <w:footnoteReference w:id="157"/>
      </w:r>
      <w:r w:rsidRPr="00FF62CF">
        <w:rPr>
          <w:rFonts w:ascii="Verdana" w:hAnsi="Verdana"/>
          <w:sz w:val="20"/>
          <w:szCs w:val="20"/>
        </w:rPr>
        <w:t>.</w:t>
      </w:r>
      <w:r w:rsidRPr="00190AD3">
        <w:rPr>
          <w:rFonts w:ascii="Verdana" w:hAnsi="Verdana"/>
          <w:sz w:val="20"/>
          <w:szCs w:val="20"/>
        </w:rPr>
        <w:t xml:space="preserve"> No obstante, Surinam ratificó tanto el Pacto Internacional de Derechos Civiles y Políticos</w:t>
      </w:r>
      <w:r w:rsidR="003C1B17">
        <w:rPr>
          <w:rFonts w:ascii="Verdana" w:hAnsi="Verdana"/>
          <w:sz w:val="20"/>
          <w:szCs w:val="20"/>
        </w:rPr>
        <w:t xml:space="preserve"> (PIDCP),</w:t>
      </w:r>
      <w:r w:rsidRPr="00190AD3">
        <w:rPr>
          <w:rFonts w:ascii="Verdana" w:hAnsi="Verdana"/>
          <w:sz w:val="20"/>
          <w:szCs w:val="20"/>
        </w:rPr>
        <w:t xml:space="preserve"> como el Pacto Internacional de Derechos Económicos, Sociales y Culturale</w:t>
      </w:r>
      <w:r w:rsidRPr="00FF62CF">
        <w:rPr>
          <w:rFonts w:ascii="Verdana" w:hAnsi="Verdana"/>
          <w:sz w:val="20"/>
          <w:szCs w:val="20"/>
        </w:rPr>
        <w:t>s</w:t>
      </w:r>
      <w:r w:rsidR="008A4ABB" w:rsidRPr="007E20F9">
        <w:rPr>
          <w:rStyle w:val="FootnoteReference"/>
          <w:szCs w:val="20"/>
        </w:rPr>
        <w:footnoteReference w:id="158"/>
      </w:r>
      <w:r w:rsidRPr="00FF62CF">
        <w:rPr>
          <w:rFonts w:ascii="Verdana" w:hAnsi="Verdana"/>
          <w:sz w:val="20"/>
          <w:szCs w:val="20"/>
        </w:rPr>
        <w:t xml:space="preserve"> </w:t>
      </w:r>
      <w:r w:rsidRPr="00190AD3">
        <w:rPr>
          <w:rFonts w:ascii="Verdana" w:hAnsi="Verdana"/>
          <w:sz w:val="20"/>
          <w:szCs w:val="20"/>
        </w:rPr>
        <w:t>(PIDES</w:t>
      </w:r>
      <w:r w:rsidR="002D0F97" w:rsidRPr="00190AD3">
        <w:rPr>
          <w:rFonts w:ascii="Verdana" w:hAnsi="Verdana"/>
          <w:sz w:val="20"/>
          <w:szCs w:val="20"/>
        </w:rPr>
        <w:t>C</w:t>
      </w:r>
      <w:r w:rsidRPr="00190AD3">
        <w:rPr>
          <w:rFonts w:ascii="Verdana" w:hAnsi="Verdana"/>
          <w:sz w:val="20"/>
          <w:szCs w:val="20"/>
        </w:rPr>
        <w:t xml:space="preserve">), </w:t>
      </w:r>
      <w:r w:rsidR="003C1B17">
        <w:rPr>
          <w:rFonts w:ascii="Verdana" w:hAnsi="Verdana"/>
          <w:sz w:val="20"/>
          <w:szCs w:val="20"/>
        </w:rPr>
        <w:t>y</w:t>
      </w:r>
      <w:r w:rsidRPr="00190AD3">
        <w:rPr>
          <w:rFonts w:ascii="Verdana" w:hAnsi="Verdana"/>
          <w:sz w:val="20"/>
          <w:szCs w:val="20"/>
        </w:rPr>
        <w:t xml:space="preserve"> votó a favor de la Declaración de Naciones Unidas sobre Pueblos Indígenas. El Comité sobre Derechos Económicos, Sociales y Culturales, que es el organismo de expertos independientes que supervisa la implementación del PIDESC por parte de los Estados Parte, ha interpretado el artículo 1 en común de dichos pactos como aplicable a los pueblos indígenas</w:t>
      </w:r>
      <w:r w:rsidR="00D929E5" w:rsidRPr="00D929E5">
        <w:rPr>
          <w:rFonts w:ascii="Verdana" w:hAnsi="Verdana"/>
          <w:sz w:val="20"/>
          <w:szCs w:val="20"/>
          <w:vertAlign w:val="superscript"/>
        </w:rPr>
        <w:footnoteReference w:id="159"/>
      </w:r>
      <w:r w:rsidRPr="00FF62CF">
        <w:rPr>
          <w:rFonts w:ascii="Verdana" w:hAnsi="Verdana"/>
          <w:sz w:val="20"/>
          <w:szCs w:val="20"/>
        </w:rPr>
        <w:t>.</w:t>
      </w:r>
      <w:r w:rsidRPr="00190AD3">
        <w:rPr>
          <w:rFonts w:ascii="Verdana" w:hAnsi="Verdana"/>
          <w:sz w:val="20"/>
          <w:szCs w:val="20"/>
        </w:rPr>
        <w:t xml:space="preserve"> Al respecto, en virtud del derecho a la autodeterminación de los pueblos indígenas conforme a dicho artículo 1, los pueblos podrán “provee[r] </w:t>
      </w:r>
      <w:r w:rsidR="002242E4">
        <w:rPr>
          <w:rFonts w:ascii="Verdana" w:hAnsi="Verdana"/>
          <w:sz w:val="20"/>
          <w:szCs w:val="20"/>
        </w:rPr>
        <w:t xml:space="preserve">asimismo </w:t>
      </w:r>
      <w:r w:rsidRPr="00190AD3">
        <w:rPr>
          <w:rFonts w:ascii="Verdana" w:hAnsi="Verdana"/>
          <w:sz w:val="20"/>
          <w:szCs w:val="20"/>
        </w:rPr>
        <w:t>a su desarrollo económico, social y cultural” y pueden  “disponer libremente de sus riquezas y recursos naturales” para que no se los prive de “sus propios medios de subsistencia”</w:t>
      </w:r>
      <w:r w:rsidRPr="002D0F97">
        <w:rPr>
          <w:rStyle w:val="FootnoteReference"/>
          <w:szCs w:val="20"/>
        </w:rPr>
        <w:footnoteReference w:id="160"/>
      </w:r>
      <w:r w:rsidRPr="00190AD3">
        <w:rPr>
          <w:rFonts w:ascii="Verdana" w:hAnsi="Verdana"/>
          <w:sz w:val="20"/>
          <w:szCs w:val="20"/>
        </w:rPr>
        <w:t xml:space="preserve">. </w:t>
      </w:r>
      <w:r w:rsidRPr="00190AD3">
        <w:rPr>
          <w:rFonts w:ascii="Verdana" w:hAnsi="Verdana" w:cs="Tahoma"/>
          <w:sz w:val="20"/>
          <w:szCs w:val="20"/>
        </w:rPr>
        <w:t>C</w:t>
      </w:r>
      <w:r w:rsidRPr="00190AD3">
        <w:rPr>
          <w:rFonts w:ascii="Verdana" w:hAnsi="Verdana"/>
          <w:sz w:val="20"/>
          <w:szCs w:val="20"/>
        </w:rPr>
        <w:t>onforme al artículo 29.b de la Convención Americana, esta Corte no puede interpretar las disposiciones del artículo 21 de dicho instrumento en el sentido que limite el goce y ejercicio de los derechos reconocidos por Surinam en dichos Pactos</w:t>
      </w:r>
      <w:r w:rsidRPr="002D0F97">
        <w:rPr>
          <w:rStyle w:val="FootnoteReference"/>
          <w:szCs w:val="20"/>
        </w:rPr>
        <w:footnoteReference w:id="161"/>
      </w:r>
      <w:r w:rsidRPr="00190AD3">
        <w:rPr>
          <w:rFonts w:ascii="Verdana" w:hAnsi="Verdana" w:cs="Tahoma"/>
          <w:sz w:val="20"/>
          <w:szCs w:val="20"/>
        </w:rPr>
        <w:t>.</w:t>
      </w:r>
    </w:p>
    <w:p w14:paraId="79817FDA" w14:textId="77777777" w:rsidR="002D0F97" w:rsidRPr="002D0F97" w:rsidRDefault="002D0F97" w:rsidP="002D0F97">
      <w:pPr>
        <w:pStyle w:val="ListParagraph"/>
        <w:ind w:left="0"/>
        <w:jc w:val="both"/>
        <w:rPr>
          <w:rFonts w:ascii="Verdana" w:hAnsi="Verdana"/>
          <w:sz w:val="20"/>
          <w:szCs w:val="20"/>
          <w:lang w:val="es-CR"/>
        </w:rPr>
      </w:pPr>
    </w:p>
    <w:p w14:paraId="7812D297" w14:textId="77777777" w:rsidR="00ED02F8" w:rsidRPr="002D0F97" w:rsidRDefault="00ED02F8" w:rsidP="00ED02F8">
      <w:pPr>
        <w:pStyle w:val="ListParagraph"/>
        <w:numPr>
          <w:ilvl w:val="0"/>
          <w:numId w:val="2"/>
        </w:numPr>
        <w:ind w:left="0" w:hanging="11"/>
        <w:jc w:val="both"/>
        <w:rPr>
          <w:rFonts w:ascii="Verdana" w:hAnsi="Verdana"/>
          <w:sz w:val="20"/>
          <w:lang w:val="es-CR"/>
        </w:rPr>
      </w:pPr>
      <w:r w:rsidRPr="00190AD3">
        <w:rPr>
          <w:rFonts w:ascii="Verdana" w:hAnsi="Verdana"/>
          <w:sz w:val="20"/>
        </w:rPr>
        <w:t xml:space="preserve"> </w:t>
      </w:r>
      <w:r w:rsidRPr="002D0F97">
        <w:rPr>
          <w:rFonts w:ascii="Verdana" w:hAnsi="Verdana"/>
          <w:sz w:val="20"/>
        </w:rPr>
        <w:t>Asimismo, el Comité de Derechos Humanos ha analizado las obligaciones de los Estados Parte del PIDCP, incluido Surinam, bajo el artículo 27 de dicho instrumento y notó que "no se negará a las personas que pertenezcan a dichas minorías el derecho que les corresponde, en comunidad con los demás miembros de su grupo, a gozar de su propia cultura, [la cual] podrá consistir en un modo de vida que está fuertemente asociado con el territorio y el uso de sus recursos naturales. Esto podría ser particularmente cierto de los miembros de comunidades indígenas que constituyen una minoría”</w:t>
      </w:r>
      <w:r w:rsidRPr="002D0F97">
        <w:rPr>
          <w:rStyle w:val="FootnoteReference"/>
        </w:rPr>
        <w:footnoteReference w:id="162"/>
      </w:r>
      <w:r w:rsidRPr="002D0F97">
        <w:rPr>
          <w:rFonts w:ascii="Verdana" w:hAnsi="Verdana"/>
          <w:sz w:val="20"/>
        </w:rPr>
        <w:t>.</w:t>
      </w:r>
    </w:p>
    <w:p w14:paraId="0525E990" w14:textId="77777777" w:rsidR="00ED02F8" w:rsidRPr="002D0F97" w:rsidRDefault="00ED02F8" w:rsidP="002D0F97">
      <w:pPr>
        <w:pStyle w:val="ListParagraph"/>
        <w:rPr>
          <w:rFonts w:ascii="Verdana" w:hAnsi="Verdana"/>
          <w:sz w:val="20"/>
          <w:lang w:val="es-CR"/>
        </w:rPr>
      </w:pPr>
    </w:p>
    <w:p w14:paraId="1A7DF2C9" w14:textId="0F8A1DEF" w:rsidR="00ED02F8" w:rsidRPr="002D0F97" w:rsidRDefault="00ED02F8" w:rsidP="00ED02F8">
      <w:pPr>
        <w:pStyle w:val="ListParagraph"/>
        <w:numPr>
          <w:ilvl w:val="0"/>
          <w:numId w:val="2"/>
        </w:numPr>
        <w:ind w:left="0" w:hanging="11"/>
        <w:jc w:val="both"/>
        <w:rPr>
          <w:rFonts w:ascii="Verdana" w:hAnsi="Verdana"/>
          <w:sz w:val="20"/>
          <w:lang w:val="es-CR"/>
        </w:rPr>
      </w:pPr>
      <w:r w:rsidRPr="002D0F97">
        <w:rPr>
          <w:rFonts w:ascii="Verdana" w:hAnsi="Verdana"/>
          <w:sz w:val="20"/>
        </w:rPr>
        <w:t>El análisis anterior sustenta una interpretación del artículo 21 de la Convención Americana al grado de exigir el derecho de los integrantes de los pueblos indígenas y tribales a que determinen y gocen, libremente, de su propio desarrollo social, cultural y económico, el cual incluye el derecho a gozar de la particular relación espiritual con el territorio que han usado y ocupado tradicionalmente. Por ello, en el presente caso, el derecho a la propiedad protegido conforme al artículo 21 de la Convención Americana, e interpretado a la luz de los derechos reconocidos en los artículos 1 en común y 27 del PIDCP</w:t>
      </w:r>
      <w:r w:rsidR="003847EB">
        <w:rPr>
          <w:rFonts w:ascii="Verdana" w:hAnsi="Verdana"/>
          <w:sz w:val="20"/>
        </w:rPr>
        <w:t>,</w:t>
      </w:r>
      <w:r w:rsidRPr="002D0F97">
        <w:rPr>
          <w:rFonts w:ascii="Verdana" w:hAnsi="Verdana"/>
          <w:sz w:val="20"/>
        </w:rPr>
        <w:t xml:space="preserve"> los cuales no podrán ser restringidos al interpretar la Convención Americana en el presente caso, confiere a los integrantes de los Pueblos Kaliña y Lokono el derecho al goce de su propiedad de conformidad con su tradición comunitaria</w:t>
      </w:r>
      <w:r w:rsidRPr="002D0F97">
        <w:rPr>
          <w:rStyle w:val="FootnoteReference"/>
        </w:rPr>
        <w:footnoteReference w:id="163"/>
      </w:r>
      <w:r w:rsidRPr="002D0F97">
        <w:rPr>
          <w:rFonts w:ascii="Verdana" w:hAnsi="Verdana"/>
          <w:sz w:val="20"/>
        </w:rPr>
        <w:t xml:space="preserve">. </w:t>
      </w:r>
    </w:p>
    <w:p w14:paraId="6CD7C8B5" w14:textId="77777777" w:rsidR="00ED02F8" w:rsidRPr="002D0F97" w:rsidRDefault="00ED02F8" w:rsidP="002D0F97">
      <w:pPr>
        <w:pStyle w:val="ListParagraph"/>
        <w:rPr>
          <w:rFonts w:ascii="Verdana" w:hAnsi="Verdana"/>
          <w:sz w:val="20"/>
          <w:lang w:val="es-CR"/>
        </w:rPr>
      </w:pPr>
    </w:p>
    <w:p w14:paraId="2D3BB0BB" w14:textId="77777777" w:rsidR="00ED02F8" w:rsidRPr="002D0F97" w:rsidRDefault="00ED02F8" w:rsidP="00ED02F8">
      <w:pPr>
        <w:pStyle w:val="ListParagraph"/>
        <w:numPr>
          <w:ilvl w:val="0"/>
          <w:numId w:val="2"/>
        </w:numPr>
        <w:ind w:left="0" w:hanging="11"/>
        <w:jc w:val="both"/>
        <w:rPr>
          <w:rFonts w:ascii="Verdana" w:hAnsi="Verdana"/>
          <w:sz w:val="20"/>
          <w:lang w:val="es-CR"/>
        </w:rPr>
      </w:pPr>
      <w:r w:rsidRPr="002D0F97">
        <w:rPr>
          <w:rFonts w:ascii="Verdana" w:hAnsi="Verdana"/>
          <w:sz w:val="20"/>
        </w:rPr>
        <w:t>Aplicando el criterio mencionado al presente caso, la Corte, concluye que los Pueblos Kaliña y Lokono conformados como pueblos indígenas, se encuentran protegidos por el derecho internacional de los derechos humanos que garantiza el derecho al territorio colectivo que han usado y ocupado tradicionalmente, derivado del uso y ocupación de la tierra y de los recursos necesarios para su subsistencia física y cultural y, asimismo, que el Estado tiene la obligación de adoptar medidas especiales para reconocer, respetar, proteger y garantizar a sus integrantes el derecho de propiedad comunal respecto de dicho territorio</w:t>
      </w:r>
      <w:r w:rsidRPr="002D0F97">
        <w:rPr>
          <w:rStyle w:val="FootnoteReference"/>
        </w:rPr>
        <w:footnoteReference w:id="164"/>
      </w:r>
      <w:r w:rsidRPr="002D0F97">
        <w:rPr>
          <w:rFonts w:ascii="Verdana" w:hAnsi="Verdana"/>
          <w:sz w:val="20"/>
        </w:rPr>
        <w:t xml:space="preserve">. </w:t>
      </w:r>
    </w:p>
    <w:p w14:paraId="65F7BBD7" w14:textId="77777777" w:rsidR="00ED02F8" w:rsidRDefault="00ED02F8" w:rsidP="00ED02F8">
      <w:pPr>
        <w:jc w:val="both"/>
        <w:rPr>
          <w:rFonts w:ascii="Verdana" w:hAnsi="Verdana"/>
          <w:b/>
          <w:sz w:val="20"/>
        </w:rPr>
      </w:pPr>
    </w:p>
    <w:p w14:paraId="6BEE1300" w14:textId="77777777" w:rsidR="00ED02F8" w:rsidRDefault="00ED02F8" w:rsidP="00ED02F8">
      <w:pPr>
        <w:pStyle w:val="ListParagraph"/>
        <w:numPr>
          <w:ilvl w:val="0"/>
          <w:numId w:val="2"/>
        </w:numPr>
        <w:ind w:left="0" w:hanging="11"/>
        <w:jc w:val="both"/>
        <w:rPr>
          <w:rFonts w:ascii="Verdana" w:hAnsi="Verdana"/>
          <w:sz w:val="20"/>
          <w:szCs w:val="20"/>
        </w:rPr>
      </w:pPr>
      <w:r>
        <w:rPr>
          <w:rFonts w:ascii="Verdana" w:hAnsi="Verdana"/>
          <w:sz w:val="20"/>
          <w:szCs w:val="20"/>
        </w:rPr>
        <w:t xml:space="preserve">Asimismo, la Corte considera importante resaltar que si bien las partes no han alegado la violación del artículo 23 de la Convención durante el procedimiento ante este Tribunal, estima pertinente aplicar el principio </w:t>
      </w:r>
      <w:r>
        <w:rPr>
          <w:rFonts w:ascii="Verdana" w:hAnsi="Verdana"/>
          <w:i/>
          <w:sz w:val="20"/>
          <w:szCs w:val="20"/>
        </w:rPr>
        <w:t>iura novit curia</w:t>
      </w:r>
      <w:r>
        <w:rPr>
          <w:rFonts w:ascii="Verdana" w:hAnsi="Verdana"/>
          <w:sz w:val="20"/>
          <w:szCs w:val="20"/>
        </w:rPr>
        <w:t xml:space="preserve">, el cual </w:t>
      </w:r>
      <w:r w:rsidR="00480171">
        <w:rPr>
          <w:rFonts w:ascii="Verdana" w:hAnsi="Verdana"/>
          <w:sz w:val="20"/>
          <w:szCs w:val="20"/>
        </w:rPr>
        <w:t>“</w:t>
      </w:r>
      <w:r>
        <w:rPr>
          <w:rFonts w:ascii="Verdana" w:hAnsi="Verdana"/>
          <w:sz w:val="20"/>
          <w:szCs w:val="20"/>
        </w:rPr>
        <w:t xml:space="preserve">permite estudiar la posible violación de las normas de la Convención que no han sido alegadas en los escritos presentados por las </w:t>
      </w:r>
      <w:r w:rsidRPr="00ED02F8">
        <w:rPr>
          <w:rFonts w:ascii="Verdana" w:hAnsi="Verdana"/>
          <w:sz w:val="20"/>
          <w:szCs w:val="20"/>
        </w:rPr>
        <w:t>partes, siempre y cuando éstas hayan tenido la oportunidad de expresar sus respectivas posiciones en re</w:t>
      </w:r>
      <w:r w:rsidRPr="00181972">
        <w:rPr>
          <w:rFonts w:ascii="Verdana" w:hAnsi="Verdana"/>
          <w:sz w:val="20"/>
          <w:szCs w:val="20"/>
        </w:rPr>
        <w:t>lación con los hechos que las sustentan</w:t>
      </w:r>
      <w:r w:rsidR="00480171">
        <w:rPr>
          <w:rFonts w:ascii="Verdana" w:hAnsi="Verdana"/>
          <w:sz w:val="20"/>
          <w:szCs w:val="20"/>
        </w:rPr>
        <w:t>”</w:t>
      </w:r>
      <w:r w:rsidRPr="00181972">
        <w:rPr>
          <w:rStyle w:val="FootnoteReference"/>
          <w:szCs w:val="20"/>
        </w:rPr>
        <w:footnoteReference w:id="165"/>
      </w:r>
      <w:r w:rsidR="000D7B24">
        <w:rPr>
          <w:rFonts w:ascii="Verdana" w:hAnsi="Verdana"/>
          <w:sz w:val="20"/>
          <w:szCs w:val="20"/>
        </w:rPr>
        <w:t xml:space="preserve">. Por lo que la Corte se pronunciará respecto de este derecho. </w:t>
      </w:r>
      <w:r w:rsidRPr="00181972">
        <w:rPr>
          <w:rFonts w:ascii="Verdana" w:hAnsi="Verdana"/>
          <w:sz w:val="20"/>
          <w:szCs w:val="20"/>
        </w:rPr>
        <w:t xml:space="preserve"> </w:t>
      </w:r>
    </w:p>
    <w:p w14:paraId="275BD66C" w14:textId="77777777" w:rsidR="00830B9E" w:rsidRPr="00181972" w:rsidRDefault="00830B9E" w:rsidP="00190AD3">
      <w:pPr>
        <w:pStyle w:val="ListParagraph"/>
        <w:ind w:left="0"/>
        <w:jc w:val="both"/>
        <w:rPr>
          <w:rFonts w:ascii="Verdana" w:hAnsi="Verdana"/>
          <w:sz w:val="20"/>
          <w:szCs w:val="20"/>
        </w:rPr>
      </w:pPr>
    </w:p>
    <w:p w14:paraId="093DA49C" w14:textId="77777777" w:rsidR="00FC1FCF" w:rsidRPr="00190AD3" w:rsidRDefault="00181972" w:rsidP="00FC1FCF">
      <w:pPr>
        <w:pStyle w:val="ListParagraph"/>
        <w:numPr>
          <w:ilvl w:val="0"/>
          <w:numId w:val="2"/>
        </w:numPr>
        <w:ind w:left="0" w:hanging="11"/>
        <w:jc w:val="both"/>
        <w:rPr>
          <w:rFonts w:ascii="Verdana" w:hAnsi="Verdana"/>
          <w:sz w:val="20"/>
          <w:lang w:val="es-CR"/>
        </w:rPr>
      </w:pPr>
      <w:r>
        <w:rPr>
          <w:rFonts w:ascii="Verdana" w:hAnsi="Verdana" w:cs="Arial"/>
          <w:sz w:val="20"/>
          <w:szCs w:val="20"/>
          <w:lang w:val="es-ES"/>
        </w:rPr>
        <w:t xml:space="preserve">En vista de lo anterior, a </w:t>
      </w:r>
      <w:r w:rsidR="00FC1FCF" w:rsidRPr="00ED02F8">
        <w:rPr>
          <w:rFonts w:ascii="Verdana" w:hAnsi="Verdana" w:cs="Arial"/>
          <w:sz w:val="20"/>
          <w:szCs w:val="20"/>
          <w:lang w:val="es-ES"/>
        </w:rPr>
        <w:t>la luz de los alegatos de las partes, la Corte constata que las violaciones alegadas se relaciona</w:t>
      </w:r>
      <w:r w:rsidR="00FC1FCF" w:rsidRPr="00181972">
        <w:rPr>
          <w:rFonts w:ascii="Verdana" w:hAnsi="Verdana" w:cs="Arial"/>
          <w:sz w:val="20"/>
          <w:szCs w:val="20"/>
          <w:lang w:val="es-ES"/>
        </w:rPr>
        <w:t>n con cuatro controversias principales: a) la falta de reconocimiento del derecho a la propiedad colectiva y la ausencia de delimitación, demarcación y titulación de las tierras ancestrales</w:t>
      </w:r>
      <w:r w:rsidR="00FC1FCF" w:rsidRPr="00B551DB">
        <w:rPr>
          <w:rFonts w:ascii="Verdana" w:hAnsi="Verdana" w:cs="Arial"/>
          <w:sz w:val="20"/>
          <w:szCs w:val="20"/>
          <w:lang w:val="es-ES"/>
        </w:rPr>
        <w:t xml:space="preserve"> de los pueblos indígenas Kaliña y Lokono; b) el </w:t>
      </w:r>
      <w:r w:rsidR="00FC1FCF" w:rsidRPr="00B551DB">
        <w:rPr>
          <w:rFonts w:ascii="Verdana" w:hAnsi="Verdana" w:cs="Arial"/>
          <w:sz w:val="20"/>
          <w:szCs w:val="20"/>
          <w:lang w:val="es-ES"/>
        </w:rPr>
        <w:lastRenderedPageBreak/>
        <w:t xml:space="preserve">otorgamiento de títulos de propiedad y de otra naturaleza a personas no indígenas dentro del territorio </w:t>
      </w:r>
      <w:r w:rsidR="00CB17C1">
        <w:rPr>
          <w:rFonts w:ascii="Verdana" w:hAnsi="Verdana" w:cs="Arial"/>
          <w:sz w:val="20"/>
          <w:szCs w:val="20"/>
          <w:lang w:val="es-ES"/>
        </w:rPr>
        <w:t xml:space="preserve">reclamado por los </w:t>
      </w:r>
      <w:r w:rsidR="003C1665">
        <w:rPr>
          <w:rFonts w:ascii="Verdana" w:hAnsi="Verdana" w:cs="Arial"/>
          <w:sz w:val="20"/>
          <w:szCs w:val="20"/>
          <w:lang w:val="es-ES"/>
        </w:rPr>
        <w:t>Pueblos Kaliña y Lokono</w:t>
      </w:r>
      <w:r w:rsidR="00FC1FCF" w:rsidRPr="00B551DB">
        <w:rPr>
          <w:rFonts w:ascii="Verdana" w:hAnsi="Verdana" w:cs="Arial"/>
          <w:sz w:val="20"/>
          <w:szCs w:val="20"/>
          <w:lang w:val="es-ES"/>
        </w:rPr>
        <w:t xml:space="preserve">; c) </w:t>
      </w:r>
      <w:r w:rsidR="00FC1FCF">
        <w:rPr>
          <w:rFonts w:ascii="Verdana" w:hAnsi="Verdana" w:cs="Arial"/>
          <w:sz w:val="20"/>
          <w:szCs w:val="20"/>
          <w:lang w:val="es-ES"/>
        </w:rPr>
        <w:t xml:space="preserve">las </w:t>
      </w:r>
      <w:r w:rsidR="00806004" w:rsidRPr="002D0F97">
        <w:rPr>
          <w:rFonts w:ascii="Verdana" w:hAnsi="Verdana"/>
          <w:sz w:val="20"/>
          <w:lang w:val="es-ES"/>
        </w:rPr>
        <w:t>afectaciones</w:t>
      </w:r>
      <w:r w:rsidR="00806004">
        <w:rPr>
          <w:rFonts w:ascii="Verdana" w:hAnsi="Verdana" w:cs="Arial"/>
          <w:sz w:val="20"/>
          <w:szCs w:val="20"/>
          <w:lang w:val="es-ES"/>
        </w:rPr>
        <w:t xml:space="preserve"> </w:t>
      </w:r>
      <w:r w:rsidR="00806004" w:rsidRPr="002D0F97">
        <w:rPr>
          <w:rFonts w:ascii="Verdana" w:hAnsi="Verdana"/>
          <w:sz w:val="20"/>
          <w:lang w:val="es-ES"/>
        </w:rPr>
        <w:t>en el</w:t>
      </w:r>
      <w:r w:rsidR="00FC1FCF">
        <w:rPr>
          <w:rFonts w:ascii="Verdana" w:hAnsi="Verdana" w:cs="Arial"/>
          <w:sz w:val="20"/>
          <w:szCs w:val="20"/>
          <w:lang w:val="es-ES"/>
        </w:rPr>
        <w:t xml:space="preserve"> uso y goce de las áreas de </w:t>
      </w:r>
      <w:r w:rsidR="00FC1FCF" w:rsidRPr="00B551DB">
        <w:rPr>
          <w:rFonts w:ascii="Verdana" w:hAnsi="Verdana" w:cs="Arial"/>
          <w:sz w:val="20"/>
          <w:szCs w:val="20"/>
          <w:lang w:val="es-ES"/>
        </w:rPr>
        <w:t>las reservas naturales dentro de</w:t>
      </w:r>
      <w:r w:rsidR="00FC1FCF">
        <w:rPr>
          <w:rFonts w:ascii="Verdana" w:hAnsi="Verdana" w:cs="Arial"/>
          <w:sz w:val="20"/>
          <w:szCs w:val="20"/>
          <w:lang w:val="es-ES"/>
        </w:rPr>
        <w:t xml:space="preserve"> los alegados </w:t>
      </w:r>
      <w:r w:rsidR="00FC1FCF" w:rsidRPr="00B551DB">
        <w:rPr>
          <w:rFonts w:ascii="Verdana" w:hAnsi="Verdana" w:cs="Arial"/>
          <w:sz w:val="20"/>
          <w:szCs w:val="20"/>
          <w:lang w:val="es-ES"/>
        </w:rPr>
        <w:t xml:space="preserve">territorios </w:t>
      </w:r>
      <w:r w:rsidR="00FC1FCF">
        <w:rPr>
          <w:rFonts w:ascii="Verdana" w:hAnsi="Verdana" w:cs="Arial"/>
          <w:sz w:val="20"/>
          <w:szCs w:val="20"/>
          <w:lang w:val="es-ES"/>
        </w:rPr>
        <w:t>tradicionales</w:t>
      </w:r>
      <w:r w:rsidR="003C1665">
        <w:rPr>
          <w:rFonts w:ascii="Verdana" w:hAnsi="Verdana" w:cs="Arial"/>
          <w:sz w:val="20"/>
          <w:szCs w:val="20"/>
          <w:lang w:val="es-ES"/>
        </w:rPr>
        <w:t>,</w:t>
      </w:r>
      <w:r w:rsidR="00FC1FCF" w:rsidRPr="00181972">
        <w:rPr>
          <w:rFonts w:ascii="Verdana" w:hAnsi="Verdana" w:cs="Arial"/>
          <w:sz w:val="20"/>
          <w:szCs w:val="20"/>
          <w:lang w:val="es-ES"/>
        </w:rPr>
        <w:t xml:space="preserve"> </w:t>
      </w:r>
      <w:r w:rsidR="00FC1FCF" w:rsidRPr="00190AD3">
        <w:rPr>
          <w:rFonts w:ascii="Verdana" w:hAnsi="Verdana"/>
          <w:sz w:val="20"/>
          <w:lang w:val="es-ES"/>
        </w:rPr>
        <w:t xml:space="preserve">y d) </w:t>
      </w:r>
      <w:r w:rsidR="00CB17C1" w:rsidRPr="00190AD3">
        <w:rPr>
          <w:rFonts w:ascii="Verdana" w:hAnsi="Verdana"/>
          <w:sz w:val="20"/>
          <w:lang w:val="es-ES"/>
        </w:rPr>
        <w:t>la falta</w:t>
      </w:r>
      <w:r w:rsidR="00CB17C1" w:rsidRPr="00190AD3">
        <w:rPr>
          <w:rFonts w:ascii="Verdana" w:hAnsi="Verdana" w:cs="Arial"/>
          <w:sz w:val="20"/>
          <w:szCs w:val="20"/>
          <w:lang w:val="es-ES"/>
        </w:rPr>
        <w:t xml:space="preserve"> de</w:t>
      </w:r>
      <w:r>
        <w:rPr>
          <w:rFonts w:ascii="Verdana" w:hAnsi="Verdana" w:cs="Arial"/>
          <w:sz w:val="20"/>
          <w:szCs w:val="20"/>
          <w:lang w:val="es-ES"/>
        </w:rPr>
        <w:t xml:space="preserve"> participación efectiva, a través de un proceso</w:t>
      </w:r>
      <w:r w:rsidRPr="00190AD3">
        <w:rPr>
          <w:rFonts w:ascii="Verdana" w:hAnsi="Verdana"/>
          <w:sz w:val="20"/>
          <w:lang w:val="es-ES"/>
        </w:rPr>
        <w:t xml:space="preserve"> de consulta </w:t>
      </w:r>
      <w:r w:rsidR="00CB17C1" w:rsidRPr="00190AD3">
        <w:rPr>
          <w:rFonts w:ascii="Verdana" w:hAnsi="Verdana"/>
          <w:sz w:val="20"/>
          <w:lang w:val="es-ES"/>
        </w:rPr>
        <w:t xml:space="preserve">frente a las </w:t>
      </w:r>
      <w:r w:rsidR="00FC1FCF" w:rsidRPr="00190AD3">
        <w:rPr>
          <w:rFonts w:ascii="Verdana" w:hAnsi="Verdana"/>
          <w:sz w:val="20"/>
          <w:lang w:val="es-ES"/>
        </w:rPr>
        <w:t xml:space="preserve">concesiones mineras dentro de </w:t>
      </w:r>
      <w:r w:rsidR="00806004" w:rsidRPr="00190AD3">
        <w:rPr>
          <w:rFonts w:ascii="Verdana" w:hAnsi="Verdana"/>
          <w:sz w:val="20"/>
          <w:lang w:val="es-ES"/>
        </w:rPr>
        <w:t xml:space="preserve">una de </w:t>
      </w:r>
      <w:r w:rsidR="00FC1FCF" w:rsidRPr="00190AD3">
        <w:rPr>
          <w:rFonts w:ascii="Verdana" w:hAnsi="Verdana"/>
          <w:sz w:val="20"/>
          <w:lang w:val="es-ES"/>
        </w:rPr>
        <w:t>l</w:t>
      </w:r>
      <w:r w:rsidR="00806004" w:rsidRPr="00190AD3">
        <w:rPr>
          <w:rFonts w:ascii="Verdana" w:hAnsi="Verdana"/>
          <w:sz w:val="20"/>
          <w:lang w:val="es-ES"/>
        </w:rPr>
        <w:t>as</w:t>
      </w:r>
      <w:r w:rsidR="00FC1FCF" w:rsidRPr="00190AD3">
        <w:rPr>
          <w:rFonts w:ascii="Verdana" w:hAnsi="Verdana"/>
          <w:sz w:val="20"/>
          <w:lang w:val="es-ES"/>
        </w:rPr>
        <w:t xml:space="preserve"> reserva</w:t>
      </w:r>
      <w:r w:rsidR="00806004" w:rsidRPr="00190AD3">
        <w:rPr>
          <w:rFonts w:ascii="Verdana" w:hAnsi="Verdana"/>
          <w:sz w:val="20"/>
          <w:lang w:val="es-ES"/>
        </w:rPr>
        <w:t>s</w:t>
      </w:r>
      <w:r w:rsidR="00FC1FCF" w:rsidRPr="00190AD3">
        <w:rPr>
          <w:rFonts w:ascii="Verdana" w:hAnsi="Verdana"/>
          <w:sz w:val="20"/>
          <w:lang w:val="es-ES"/>
        </w:rPr>
        <w:t xml:space="preserve"> natural</w:t>
      </w:r>
      <w:r w:rsidR="00806004" w:rsidRPr="00190AD3">
        <w:rPr>
          <w:rFonts w:ascii="Verdana" w:hAnsi="Verdana"/>
          <w:sz w:val="20"/>
          <w:lang w:val="es-ES"/>
        </w:rPr>
        <w:t>es</w:t>
      </w:r>
      <w:r w:rsidR="00FC1FCF" w:rsidRPr="00190AD3">
        <w:rPr>
          <w:rFonts w:ascii="Verdana" w:hAnsi="Verdana"/>
          <w:sz w:val="20"/>
          <w:lang w:val="es-ES"/>
        </w:rPr>
        <w:t xml:space="preserve"> en el territorio ancestral</w:t>
      </w:r>
      <w:r w:rsidR="003F0781" w:rsidRPr="00190AD3">
        <w:rPr>
          <w:rFonts w:ascii="Verdana" w:hAnsi="Verdana"/>
          <w:sz w:val="20"/>
          <w:lang w:val="es-ES"/>
        </w:rPr>
        <w:t>.</w:t>
      </w:r>
    </w:p>
    <w:p w14:paraId="1CE0B111" w14:textId="77777777" w:rsidR="00FC1FCF" w:rsidRPr="00C02552" w:rsidRDefault="00FC1FCF" w:rsidP="00FC1FCF">
      <w:pPr>
        <w:pStyle w:val="ListParagraph"/>
        <w:ind w:left="0"/>
        <w:jc w:val="both"/>
        <w:rPr>
          <w:rFonts w:ascii="Verdana" w:hAnsi="Verdana"/>
          <w:sz w:val="20"/>
          <w:szCs w:val="20"/>
          <w:lang w:val="es-CR"/>
        </w:rPr>
      </w:pPr>
    </w:p>
    <w:p w14:paraId="72F59C15" w14:textId="40AB0908" w:rsidR="00FC1FCF" w:rsidRPr="00C02552" w:rsidRDefault="00FC1FCF" w:rsidP="00FC1FCF">
      <w:pPr>
        <w:pStyle w:val="ListParagraph"/>
        <w:numPr>
          <w:ilvl w:val="0"/>
          <w:numId w:val="2"/>
        </w:numPr>
        <w:ind w:left="0" w:hanging="11"/>
        <w:jc w:val="both"/>
        <w:rPr>
          <w:rFonts w:ascii="Verdana" w:hAnsi="Verdana"/>
          <w:sz w:val="20"/>
          <w:szCs w:val="20"/>
          <w:lang w:val="es-ES"/>
        </w:rPr>
      </w:pPr>
      <w:r w:rsidRPr="00C02552">
        <w:rPr>
          <w:rFonts w:ascii="Verdana" w:hAnsi="Verdana"/>
          <w:sz w:val="20"/>
          <w:szCs w:val="20"/>
          <w:lang w:val="es-ES"/>
        </w:rPr>
        <w:t xml:space="preserve">El Tribunal nota que </w:t>
      </w:r>
      <w:r w:rsidRPr="00806004">
        <w:rPr>
          <w:rFonts w:ascii="Verdana" w:hAnsi="Verdana"/>
          <w:sz w:val="20"/>
          <w:szCs w:val="20"/>
          <w:lang w:val="es-ES"/>
        </w:rPr>
        <w:t>a pesar</w:t>
      </w:r>
      <w:r w:rsidRPr="00C02552">
        <w:rPr>
          <w:rFonts w:ascii="Verdana" w:hAnsi="Verdana"/>
          <w:sz w:val="20"/>
          <w:szCs w:val="20"/>
          <w:lang w:val="es-ES"/>
        </w:rPr>
        <w:t xml:space="preserve"> de que el Estado </w:t>
      </w:r>
      <w:r w:rsidRPr="00806004">
        <w:rPr>
          <w:rFonts w:ascii="Verdana" w:hAnsi="Verdana"/>
          <w:sz w:val="20"/>
          <w:szCs w:val="20"/>
          <w:lang w:val="es-ES"/>
        </w:rPr>
        <w:t xml:space="preserve">reconoció el </w:t>
      </w:r>
      <w:r w:rsidRPr="00C02552">
        <w:rPr>
          <w:rFonts w:ascii="Verdana" w:hAnsi="Verdana"/>
          <w:sz w:val="20"/>
          <w:szCs w:val="20"/>
          <w:lang w:val="es-ES"/>
        </w:rPr>
        <w:t xml:space="preserve">establecimiento de reservas naturales y la expedición de concesiones de minería, </w:t>
      </w:r>
      <w:r w:rsidR="00806004">
        <w:rPr>
          <w:rFonts w:ascii="Verdana" w:hAnsi="Verdana"/>
          <w:sz w:val="20"/>
          <w:szCs w:val="20"/>
          <w:lang w:val="es-ES"/>
        </w:rPr>
        <w:t>estas</w:t>
      </w:r>
      <w:r w:rsidRPr="00C02552">
        <w:rPr>
          <w:rFonts w:ascii="Verdana" w:hAnsi="Verdana"/>
          <w:sz w:val="20"/>
          <w:szCs w:val="20"/>
          <w:lang w:val="es-ES"/>
        </w:rPr>
        <w:t xml:space="preserve"> fueron otorgad</w:t>
      </w:r>
      <w:r w:rsidR="00806004">
        <w:rPr>
          <w:rFonts w:ascii="Verdana" w:hAnsi="Verdana"/>
          <w:sz w:val="20"/>
          <w:szCs w:val="20"/>
          <w:lang w:val="es-ES"/>
        </w:rPr>
        <w:t>a</w:t>
      </w:r>
      <w:r w:rsidRPr="00C02552">
        <w:rPr>
          <w:rFonts w:ascii="Verdana" w:hAnsi="Verdana"/>
          <w:sz w:val="20"/>
          <w:szCs w:val="20"/>
          <w:lang w:val="es-ES"/>
        </w:rPr>
        <w:t xml:space="preserve">s antes de la ratificación de la Convención por parte de </w:t>
      </w:r>
      <w:r w:rsidR="00563E11">
        <w:rPr>
          <w:rFonts w:ascii="Verdana" w:hAnsi="Verdana"/>
          <w:sz w:val="20"/>
          <w:szCs w:val="20"/>
          <w:lang w:val="es-ES"/>
        </w:rPr>
        <w:t>Surinam</w:t>
      </w:r>
      <w:r w:rsidRPr="00C02552">
        <w:rPr>
          <w:rFonts w:ascii="Verdana" w:hAnsi="Verdana"/>
          <w:sz w:val="20"/>
          <w:szCs w:val="20"/>
          <w:lang w:val="es-ES"/>
        </w:rPr>
        <w:t xml:space="preserve"> en el año 1987. </w:t>
      </w:r>
      <w:r w:rsidR="00806004">
        <w:rPr>
          <w:rFonts w:ascii="Verdana" w:hAnsi="Verdana"/>
          <w:sz w:val="20"/>
          <w:szCs w:val="20"/>
          <w:lang w:val="es-ES"/>
        </w:rPr>
        <w:t>No obstante</w:t>
      </w:r>
      <w:r w:rsidRPr="00C02552">
        <w:rPr>
          <w:rFonts w:ascii="Verdana" w:hAnsi="Verdana"/>
          <w:sz w:val="20"/>
          <w:szCs w:val="20"/>
          <w:lang w:val="es-ES"/>
        </w:rPr>
        <w:t xml:space="preserve"> que el Estado no </w:t>
      </w:r>
      <w:r>
        <w:rPr>
          <w:rFonts w:ascii="Verdana" w:hAnsi="Verdana"/>
          <w:sz w:val="20"/>
          <w:szCs w:val="20"/>
          <w:lang w:val="es-ES"/>
        </w:rPr>
        <w:t>interpuso</w:t>
      </w:r>
      <w:r w:rsidRPr="00C02552">
        <w:rPr>
          <w:rFonts w:ascii="Verdana" w:hAnsi="Verdana"/>
          <w:sz w:val="20"/>
          <w:szCs w:val="20"/>
          <w:lang w:val="es-ES"/>
        </w:rPr>
        <w:t xml:space="preserve"> </w:t>
      </w:r>
      <w:r>
        <w:rPr>
          <w:rFonts w:ascii="Verdana" w:hAnsi="Verdana"/>
          <w:sz w:val="20"/>
          <w:szCs w:val="20"/>
          <w:lang w:val="es-ES"/>
        </w:rPr>
        <w:t xml:space="preserve">una </w:t>
      </w:r>
      <w:r w:rsidRPr="00C02552">
        <w:rPr>
          <w:rFonts w:ascii="Verdana" w:hAnsi="Verdana"/>
          <w:sz w:val="20"/>
          <w:szCs w:val="20"/>
          <w:lang w:val="es-ES"/>
        </w:rPr>
        <w:t>excepci</w:t>
      </w:r>
      <w:r>
        <w:rPr>
          <w:rFonts w:ascii="Verdana" w:hAnsi="Verdana"/>
          <w:sz w:val="20"/>
          <w:szCs w:val="20"/>
          <w:lang w:val="es-ES"/>
        </w:rPr>
        <w:t>ón</w:t>
      </w:r>
      <w:r w:rsidRPr="00C02552">
        <w:rPr>
          <w:rFonts w:ascii="Verdana" w:hAnsi="Verdana"/>
          <w:sz w:val="20"/>
          <w:szCs w:val="20"/>
          <w:lang w:val="es-ES"/>
        </w:rPr>
        <w:t xml:space="preserve"> </w:t>
      </w:r>
      <w:r>
        <w:rPr>
          <w:rFonts w:ascii="Verdana" w:hAnsi="Verdana"/>
          <w:sz w:val="20"/>
          <w:szCs w:val="20"/>
          <w:lang w:val="es-ES"/>
        </w:rPr>
        <w:t>p</w:t>
      </w:r>
      <w:r w:rsidRPr="00C02552">
        <w:rPr>
          <w:rFonts w:ascii="Verdana" w:hAnsi="Verdana"/>
          <w:sz w:val="20"/>
          <w:szCs w:val="20"/>
          <w:lang w:val="es-ES"/>
        </w:rPr>
        <w:t xml:space="preserve">reliminar al respecto, la Corte </w:t>
      </w:r>
      <w:r>
        <w:rPr>
          <w:rFonts w:ascii="Verdana" w:hAnsi="Verdana"/>
          <w:sz w:val="20"/>
          <w:szCs w:val="20"/>
          <w:lang w:val="es-ES"/>
        </w:rPr>
        <w:t>tomará en cuenta</w:t>
      </w:r>
      <w:r w:rsidRPr="00C02552">
        <w:rPr>
          <w:rFonts w:ascii="Verdana" w:hAnsi="Verdana"/>
          <w:sz w:val="20"/>
          <w:szCs w:val="20"/>
          <w:lang w:val="es-ES"/>
        </w:rPr>
        <w:t xml:space="preserve"> su competencia </w:t>
      </w:r>
      <w:r w:rsidRPr="00C31C5A">
        <w:rPr>
          <w:rFonts w:ascii="Verdana" w:hAnsi="Verdana"/>
          <w:i/>
          <w:sz w:val="20"/>
          <w:szCs w:val="20"/>
          <w:lang w:val="es-ES"/>
        </w:rPr>
        <w:t>ratione temporis</w:t>
      </w:r>
      <w:r w:rsidR="003C1665">
        <w:rPr>
          <w:rFonts w:ascii="Verdana" w:hAnsi="Verdana"/>
          <w:i/>
          <w:sz w:val="20"/>
          <w:szCs w:val="20"/>
          <w:lang w:val="es-ES"/>
        </w:rPr>
        <w:t>,</w:t>
      </w:r>
      <w:r w:rsidRPr="00C02552">
        <w:rPr>
          <w:rFonts w:ascii="Verdana" w:hAnsi="Verdana"/>
          <w:sz w:val="20"/>
          <w:szCs w:val="20"/>
          <w:lang w:val="es-ES"/>
        </w:rPr>
        <w:t xml:space="preserve"> </w:t>
      </w:r>
      <w:r w:rsidR="00CB17C1">
        <w:rPr>
          <w:rFonts w:ascii="Verdana" w:hAnsi="Verdana"/>
          <w:sz w:val="20"/>
          <w:szCs w:val="20"/>
          <w:lang w:val="es-ES"/>
        </w:rPr>
        <w:t xml:space="preserve">en relación con </w:t>
      </w:r>
      <w:r w:rsidRPr="00C02552">
        <w:rPr>
          <w:rFonts w:ascii="Verdana" w:hAnsi="Verdana"/>
          <w:sz w:val="20"/>
          <w:szCs w:val="20"/>
          <w:lang w:val="es-ES"/>
        </w:rPr>
        <w:t xml:space="preserve">las </w:t>
      </w:r>
      <w:r>
        <w:rPr>
          <w:rFonts w:ascii="Verdana" w:hAnsi="Verdana"/>
          <w:sz w:val="20"/>
          <w:szCs w:val="20"/>
          <w:lang w:val="es-ES"/>
        </w:rPr>
        <w:t xml:space="preserve">controversias </w:t>
      </w:r>
      <w:r w:rsidRPr="00C02552">
        <w:rPr>
          <w:rFonts w:ascii="Verdana" w:hAnsi="Verdana"/>
          <w:sz w:val="20"/>
          <w:szCs w:val="20"/>
          <w:lang w:val="es-ES"/>
        </w:rPr>
        <w:t>señaladas en el párrafo anterior.</w:t>
      </w:r>
    </w:p>
    <w:p w14:paraId="5371D9B3" w14:textId="77777777" w:rsidR="00FC1FCF" w:rsidRPr="00C02552" w:rsidRDefault="00FC1FCF" w:rsidP="00FC1FCF">
      <w:pPr>
        <w:pStyle w:val="ListParagraph"/>
        <w:ind w:left="0"/>
        <w:jc w:val="both"/>
        <w:rPr>
          <w:rFonts w:ascii="Verdana" w:hAnsi="Verdana"/>
          <w:sz w:val="20"/>
          <w:szCs w:val="20"/>
          <w:lang w:val="es-ES"/>
        </w:rPr>
      </w:pPr>
    </w:p>
    <w:p w14:paraId="51B97C79" w14:textId="77777777" w:rsidR="00FC1FCF" w:rsidRPr="00FC1FCF" w:rsidRDefault="00FC1FCF" w:rsidP="00AE4A66">
      <w:pPr>
        <w:pStyle w:val="Heading3"/>
        <w:spacing w:before="0"/>
        <w:ind w:left="360" w:firstLine="360"/>
        <w:jc w:val="both"/>
        <w:rPr>
          <w:rFonts w:ascii="Verdana" w:hAnsi="Verdana"/>
          <w:i/>
          <w:color w:val="auto"/>
          <w:sz w:val="20"/>
          <w:szCs w:val="20"/>
          <w:lang w:val="es-ES"/>
        </w:rPr>
      </w:pPr>
      <w:bookmarkStart w:id="45" w:name="_Toc441666180"/>
      <w:r w:rsidRPr="00FC1FCF">
        <w:rPr>
          <w:rFonts w:ascii="Verdana" w:hAnsi="Verdana"/>
          <w:i/>
          <w:color w:val="auto"/>
          <w:sz w:val="20"/>
          <w:szCs w:val="20"/>
          <w:lang w:val="es-ES"/>
        </w:rPr>
        <w:t>B.</w:t>
      </w:r>
      <w:r w:rsidR="00830B9E">
        <w:rPr>
          <w:rFonts w:ascii="Verdana" w:hAnsi="Verdana"/>
          <w:i/>
          <w:color w:val="auto"/>
          <w:sz w:val="20"/>
          <w:szCs w:val="20"/>
          <w:lang w:val="es-ES"/>
        </w:rPr>
        <w:t>2</w:t>
      </w:r>
      <w:r w:rsidRPr="00FC1FCF">
        <w:rPr>
          <w:rFonts w:ascii="Verdana" w:hAnsi="Verdana"/>
          <w:i/>
          <w:color w:val="auto"/>
          <w:sz w:val="20"/>
          <w:szCs w:val="20"/>
          <w:lang w:val="es-ES"/>
        </w:rPr>
        <w:t xml:space="preserve"> La falta de reconocimiento del derecho a la propiedad colectiva de los pueblos indígenas Kaliña y Lokono</w:t>
      </w:r>
      <w:bookmarkEnd w:id="45"/>
    </w:p>
    <w:p w14:paraId="53E8FCA1" w14:textId="77777777" w:rsidR="00FC1FCF" w:rsidRPr="00C02552" w:rsidRDefault="00FC1FCF" w:rsidP="00FC1FCF">
      <w:pPr>
        <w:jc w:val="both"/>
        <w:rPr>
          <w:rFonts w:ascii="Verdana" w:hAnsi="Verdana"/>
          <w:sz w:val="20"/>
          <w:szCs w:val="20"/>
          <w:lang w:val="es-ES"/>
        </w:rPr>
      </w:pPr>
    </w:p>
    <w:p w14:paraId="2C30A20D" w14:textId="77777777" w:rsidR="00FC1FCF" w:rsidRPr="00FC1FCF" w:rsidRDefault="00FC1FCF" w:rsidP="00FC1FCF">
      <w:pPr>
        <w:pStyle w:val="Heading4"/>
        <w:spacing w:before="0"/>
        <w:ind w:left="1440"/>
        <w:jc w:val="both"/>
        <w:rPr>
          <w:rFonts w:ascii="Verdana" w:hAnsi="Verdana"/>
          <w:color w:val="auto"/>
          <w:sz w:val="20"/>
          <w:szCs w:val="20"/>
        </w:rPr>
      </w:pPr>
      <w:bookmarkStart w:id="46" w:name="_Toc423522830"/>
      <w:bookmarkStart w:id="47" w:name="_Toc441666181"/>
      <w:r w:rsidRPr="00FC1FCF">
        <w:rPr>
          <w:rFonts w:ascii="Verdana" w:hAnsi="Verdana"/>
          <w:color w:val="auto"/>
          <w:sz w:val="20"/>
          <w:szCs w:val="20"/>
        </w:rPr>
        <w:t>B.</w:t>
      </w:r>
      <w:r w:rsidR="00830B9E">
        <w:rPr>
          <w:rFonts w:ascii="Verdana" w:hAnsi="Verdana"/>
          <w:color w:val="auto"/>
          <w:sz w:val="20"/>
          <w:szCs w:val="20"/>
        </w:rPr>
        <w:t>2</w:t>
      </w:r>
      <w:r w:rsidRPr="00FC1FCF">
        <w:rPr>
          <w:rFonts w:ascii="Verdana" w:hAnsi="Verdana"/>
          <w:color w:val="auto"/>
          <w:sz w:val="20"/>
          <w:szCs w:val="20"/>
        </w:rPr>
        <w:t xml:space="preserve">.1 El derecho a la propiedad colectiva </w:t>
      </w:r>
      <w:bookmarkEnd w:id="46"/>
      <w:r w:rsidRPr="00FC1FCF">
        <w:rPr>
          <w:rFonts w:ascii="Verdana" w:hAnsi="Verdana"/>
          <w:color w:val="auto"/>
          <w:sz w:val="20"/>
          <w:szCs w:val="20"/>
        </w:rPr>
        <w:t>y el deber de delimitar, demarcar, titular y garantizar el uso y goce del territorio colectivo</w:t>
      </w:r>
      <w:bookmarkEnd w:id="47"/>
    </w:p>
    <w:p w14:paraId="60C5A656" w14:textId="77777777" w:rsidR="00FC1FCF" w:rsidRPr="00C02552" w:rsidRDefault="00FC1FCF" w:rsidP="00FC1FCF">
      <w:pPr>
        <w:rPr>
          <w:rFonts w:ascii="Verdana" w:hAnsi="Verdana"/>
          <w:sz w:val="20"/>
          <w:szCs w:val="20"/>
          <w:lang w:val="es-CR"/>
        </w:rPr>
      </w:pPr>
    </w:p>
    <w:p w14:paraId="198B1460" w14:textId="77777777" w:rsidR="00FC1FCF" w:rsidRPr="00C02552" w:rsidRDefault="00FC1FCF" w:rsidP="00FC1FCF">
      <w:pPr>
        <w:pStyle w:val="ListParagraph"/>
        <w:numPr>
          <w:ilvl w:val="0"/>
          <w:numId w:val="2"/>
        </w:numPr>
        <w:ind w:left="0" w:hanging="11"/>
        <w:jc w:val="both"/>
        <w:rPr>
          <w:rFonts w:ascii="Verdana" w:hAnsi="Verdana"/>
          <w:sz w:val="20"/>
          <w:szCs w:val="20"/>
          <w:lang w:val="es-ES"/>
        </w:rPr>
      </w:pPr>
      <w:r w:rsidRPr="00C02552">
        <w:rPr>
          <w:rFonts w:ascii="Verdana" w:hAnsi="Verdana"/>
          <w:sz w:val="20"/>
          <w:szCs w:val="20"/>
          <w:lang w:val="es-ES"/>
        </w:rPr>
        <w:t xml:space="preserve">La Corte recuerda su jurisprudencia en la materia, en el sentido que el artículo 21 de la Convención Americana protege la estrecha vinculación que los pueblos indígenas guardan con sus tierras, así como con los recursos naturales de las mismas y los elementos incorporales que se desprendan de ellos. </w:t>
      </w:r>
      <w:r w:rsidR="00480171">
        <w:rPr>
          <w:rFonts w:ascii="Verdana" w:hAnsi="Verdana"/>
          <w:sz w:val="20"/>
          <w:szCs w:val="20"/>
          <w:lang w:val="es-ES"/>
        </w:rPr>
        <w:t>“</w:t>
      </w:r>
      <w:r w:rsidRPr="00C02552">
        <w:rPr>
          <w:rFonts w:ascii="Verdana" w:hAnsi="Verdana"/>
          <w:sz w:val="20"/>
          <w:szCs w:val="20"/>
          <w:lang w:val="es-ES"/>
        </w:rPr>
        <w:t xml:space="preserve">Entre los pueblos indígenas existe una tradición comunitaria sobre la propiedad colectiva de la tierra, en el sentido de que la pertenencia a ésta no se centra en un individuo sino en el grupo y su comunidad. Tales nociones del dominio y de la posesión sobre las tierras no necesariamente corresponden a la concepción clásica de propiedad, pero la Corte ha establecido que merecen igual protección del artículo 21 de la Convención Americana. Desconocer las versiones específicas del ejercicio del derecho al uso y goce de los bienes, dadas por la cultura, usos, costumbres y creencias de cada pueblo, equivaldría a sostener que solamente existe una forma de usar y disponer de los bienes, lo que a su vez significaría hacer ilusoria la protección de tal disposición para </w:t>
      </w:r>
      <w:r>
        <w:rPr>
          <w:rFonts w:ascii="Verdana" w:hAnsi="Verdana"/>
          <w:sz w:val="20"/>
          <w:szCs w:val="20"/>
          <w:lang w:val="es-ES"/>
        </w:rPr>
        <w:t>estos colectivos</w:t>
      </w:r>
      <w:r w:rsidR="00480171">
        <w:rPr>
          <w:rFonts w:ascii="Verdana" w:hAnsi="Verdana"/>
          <w:sz w:val="20"/>
          <w:szCs w:val="20"/>
          <w:lang w:val="es-ES"/>
        </w:rPr>
        <w:t>”</w:t>
      </w:r>
      <w:r w:rsidRPr="000955FE">
        <w:rPr>
          <w:rFonts w:ascii="Verdana" w:hAnsi="Verdana"/>
          <w:sz w:val="20"/>
          <w:szCs w:val="20"/>
          <w:vertAlign w:val="superscript"/>
        </w:rPr>
        <w:footnoteReference w:id="166"/>
      </w:r>
      <w:r w:rsidRPr="00C02552">
        <w:rPr>
          <w:rFonts w:ascii="Verdana" w:hAnsi="Verdana"/>
          <w:sz w:val="20"/>
          <w:szCs w:val="20"/>
          <w:lang w:val="es-ES"/>
        </w:rPr>
        <w:t>.</w:t>
      </w:r>
    </w:p>
    <w:p w14:paraId="07996645" w14:textId="77777777" w:rsidR="00FC1FCF" w:rsidRPr="00C02552" w:rsidRDefault="00FC1FCF" w:rsidP="00FC1FCF">
      <w:pPr>
        <w:pStyle w:val="ListParagraph"/>
        <w:ind w:left="0"/>
        <w:jc w:val="both"/>
        <w:rPr>
          <w:rFonts w:ascii="Verdana" w:hAnsi="Verdana"/>
          <w:sz w:val="20"/>
          <w:szCs w:val="20"/>
          <w:lang w:val="es-ES"/>
        </w:rPr>
      </w:pPr>
    </w:p>
    <w:p w14:paraId="22F50BCE" w14:textId="77777777" w:rsidR="00FC1FCF" w:rsidRPr="00FC1FCF" w:rsidRDefault="00FC1FCF" w:rsidP="00FC1FCF">
      <w:pPr>
        <w:pStyle w:val="ListParagraph"/>
        <w:numPr>
          <w:ilvl w:val="0"/>
          <w:numId w:val="2"/>
        </w:numPr>
        <w:ind w:left="0" w:hanging="11"/>
        <w:jc w:val="both"/>
        <w:rPr>
          <w:rFonts w:ascii="Verdana" w:hAnsi="Verdana"/>
          <w:sz w:val="20"/>
          <w:szCs w:val="20"/>
          <w:lang w:val="es-ES"/>
        </w:rPr>
      </w:pPr>
      <w:r w:rsidRPr="00C02552">
        <w:rPr>
          <w:rFonts w:ascii="Verdana" w:hAnsi="Verdana"/>
          <w:sz w:val="20"/>
          <w:szCs w:val="20"/>
          <w:lang w:val="es-ES"/>
        </w:rPr>
        <w:t xml:space="preserve">La Corte ha </w:t>
      </w:r>
      <w:r w:rsidR="00D9634E">
        <w:rPr>
          <w:rFonts w:ascii="Verdana" w:hAnsi="Verdana"/>
          <w:sz w:val="20"/>
          <w:szCs w:val="20"/>
          <w:lang w:val="es-ES"/>
        </w:rPr>
        <w:t>considerado</w:t>
      </w:r>
      <w:r w:rsidRPr="00C02552">
        <w:rPr>
          <w:rFonts w:ascii="Verdana" w:hAnsi="Verdana"/>
          <w:sz w:val="20"/>
          <w:szCs w:val="20"/>
          <w:lang w:val="es-ES"/>
        </w:rPr>
        <w:t xml:space="preserve"> que los </w:t>
      </w:r>
      <w:r w:rsidRPr="00C447F8">
        <w:rPr>
          <w:rFonts w:ascii="Verdana" w:hAnsi="Verdana"/>
          <w:sz w:val="20"/>
          <w:szCs w:val="20"/>
          <w:lang w:val="es-ES"/>
        </w:rPr>
        <w:t>indígenas</w:t>
      </w:r>
      <w:r w:rsidR="00D9634E">
        <w:rPr>
          <w:rFonts w:ascii="Verdana" w:hAnsi="Verdana"/>
          <w:sz w:val="20"/>
          <w:szCs w:val="20"/>
          <w:lang w:val="es-ES"/>
        </w:rPr>
        <w:t>,</w:t>
      </w:r>
      <w:r w:rsidRPr="00C447F8">
        <w:rPr>
          <w:rFonts w:ascii="Verdana" w:hAnsi="Verdana"/>
          <w:sz w:val="20"/>
          <w:szCs w:val="20"/>
          <w:lang w:val="es-ES"/>
        </w:rPr>
        <w:t xml:space="preserve"> por el hecho de su propia existencia tienen derecho a vivir libremente en sus territorios</w:t>
      </w:r>
      <w:r w:rsidR="00D9634E">
        <w:rPr>
          <w:rFonts w:ascii="Verdana" w:hAnsi="Verdana"/>
          <w:sz w:val="20"/>
          <w:szCs w:val="20"/>
          <w:lang w:val="es-ES"/>
        </w:rPr>
        <w:t>. Asimismo,</w:t>
      </w:r>
      <w:r w:rsidRPr="00C02552">
        <w:rPr>
          <w:rFonts w:ascii="Verdana" w:hAnsi="Verdana"/>
          <w:sz w:val="20"/>
          <w:szCs w:val="20"/>
          <w:lang w:val="es-ES"/>
        </w:rPr>
        <w:t xml:space="preserve"> la estrecha relación que los indígenas mantienen con la tierra debe ser reconocida y comprendida como la base fundamental de su cultura, vida espiritual, </w:t>
      </w:r>
      <w:r w:rsidR="00772D46">
        <w:rPr>
          <w:rFonts w:ascii="Verdana" w:hAnsi="Verdana"/>
          <w:sz w:val="20"/>
          <w:szCs w:val="20"/>
          <w:lang w:val="es-ES"/>
        </w:rPr>
        <w:t xml:space="preserve">integridad y sistema económico. </w:t>
      </w:r>
      <w:r w:rsidR="00480171">
        <w:rPr>
          <w:rFonts w:ascii="Verdana" w:hAnsi="Verdana"/>
          <w:sz w:val="20"/>
          <w:szCs w:val="20"/>
          <w:lang w:val="es-ES"/>
        </w:rPr>
        <w:t>“</w:t>
      </w:r>
      <w:r w:rsidRPr="00C02552">
        <w:rPr>
          <w:rFonts w:ascii="Verdana" w:hAnsi="Verdana"/>
          <w:sz w:val="20"/>
          <w:szCs w:val="20"/>
          <w:lang w:val="es-ES"/>
        </w:rPr>
        <w:t>Para las comunidades indígenas la relación con la tierra no es meramente una cuestión de posesión y producción sino un elemento material y espiritual del que deben gozar plenamente, inclusive para preservar su legado cultural y transmitirlo a las generaciones futuras</w:t>
      </w:r>
      <w:r w:rsidR="00480171">
        <w:rPr>
          <w:rFonts w:ascii="Verdana" w:hAnsi="Verdana"/>
          <w:sz w:val="20"/>
          <w:szCs w:val="20"/>
          <w:lang w:val="es-ES"/>
        </w:rPr>
        <w:t>”</w:t>
      </w:r>
      <w:r w:rsidRPr="00165858">
        <w:rPr>
          <w:rFonts w:ascii="Verdana" w:hAnsi="Verdana"/>
          <w:sz w:val="20"/>
          <w:szCs w:val="20"/>
          <w:vertAlign w:val="superscript"/>
        </w:rPr>
        <w:footnoteReference w:id="167"/>
      </w:r>
      <w:r w:rsidRPr="00C02552">
        <w:rPr>
          <w:rFonts w:ascii="Verdana" w:hAnsi="Verdana"/>
          <w:sz w:val="20"/>
          <w:szCs w:val="20"/>
          <w:lang w:val="es-ES"/>
        </w:rPr>
        <w:t>.</w:t>
      </w:r>
      <w:r w:rsidR="003644A0">
        <w:rPr>
          <w:rFonts w:ascii="Verdana" w:hAnsi="Verdana"/>
          <w:sz w:val="20"/>
          <w:szCs w:val="20"/>
          <w:lang w:val="es-ES"/>
        </w:rPr>
        <w:t xml:space="preserve"> </w:t>
      </w:r>
      <w:r w:rsidRPr="00C02552">
        <w:rPr>
          <w:rFonts w:ascii="Verdana" w:hAnsi="Verdana"/>
          <w:sz w:val="20"/>
          <w:szCs w:val="20"/>
          <w:lang w:val="es-ES"/>
        </w:rPr>
        <w:t xml:space="preserve">La cultura de los miembros de las comunidades indígenas corresponde a una forma de vida particular de ser, ver y actuar en el mundo, constituido a partir de su estrecha relación con sus tierras </w:t>
      </w:r>
      <w:r w:rsidRPr="00FC1FCF">
        <w:rPr>
          <w:rFonts w:ascii="Verdana" w:hAnsi="Verdana"/>
          <w:sz w:val="20"/>
          <w:szCs w:val="20"/>
          <w:lang w:val="es-ES"/>
        </w:rPr>
        <w:t>tradicionales y recursos naturales, no sólo por ser estos su principal medio de subsistencia, sino además porque constituyen un elemento integrante de su cosmovisión, religiosidad y, por ende, de su identidad cultural</w:t>
      </w:r>
      <w:r w:rsidRPr="00FC1FCF">
        <w:rPr>
          <w:rFonts w:ascii="Verdana" w:hAnsi="Verdana"/>
          <w:sz w:val="20"/>
          <w:szCs w:val="20"/>
          <w:vertAlign w:val="superscript"/>
        </w:rPr>
        <w:footnoteReference w:id="168"/>
      </w:r>
      <w:r w:rsidRPr="00FC1FCF">
        <w:rPr>
          <w:rFonts w:ascii="Verdana" w:hAnsi="Verdana"/>
          <w:sz w:val="20"/>
          <w:szCs w:val="20"/>
          <w:lang w:val="es-ES"/>
        </w:rPr>
        <w:t xml:space="preserve">, por lo que la protección y garantía del derecho al uso y goce de su </w:t>
      </w:r>
      <w:r w:rsidRPr="00FC1FCF">
        <w:rPr>
          <w:rFonts w:ascii="Verdana" w:hAnsi="Verdana"/>
          <w:sz w:val="20"/>
          <w:szCs w:val="20"/>
          <w:lang w:val="es-ES"/>
        </w:rPr>
        <w:lastRenderedPageBreak/>
        <w:t xml:space="preserve">territorio, es necesaria para garantizar no sólo </w:t>
      </w:r>
      <w:r w:rsidR="00D9634E">
        <w:rPr>
          <w:rFonts w:ascii="Verdana" w:hAnsi="Verdana"/>
          <w:sz w:val="20"/>
          <w:szCs w:val="20"/>
          <w:lang w:val="es-ES"/>
        </w:rPr>
        <w:t>la</w:t>
      </w:r>
      <w:r w:rsidRPr="00FC1FCF">
        <w:rPr>
          <w:rFonts w:ascii="Verdana" w:hAnsi="Verdana"/>
          <w:sz w:val="20"/>
          <w:szCs w:val="20"/>
          <w:lang w:val="es-ES"/>
        </w:rPr>
        <w:t xml:space="preserve"> supervivencia sino </w:t>
      </w:r>
      <w:r w:rsidR="00D9634E">
        <w:rPr>
          <w:rFonts w:ascii="Verdana" w:hAnsi="Verdana"/>
          <w:sz w:val="20"/>
          <w:szCs w:val="20"/>
          <w:lang w:val="es-ES"/>
        </w:rPr>
        <w:t>el</w:t>
      </w:r>
      <w:r w:rsidRPr="00FC1FCF">
        <w:rPr>
          <w:rFonts w:ascii="Verdana" w:hAnsi="Verdana"/>
          <w:sz w:val="20"/>
          <w:szCs w:val="20"/>
          <w:lang w:val="es-ES"/>
        </w:rPr>
        <w:t xml:space="preserve"> desarrollo y evolución como </w:t>
      </w:r>
      <w:r w:rsidR="00D9634E">
        <w:rPr>
          <w:rFonts w:ascii="Verdana" w:hAnsi="Verdana"/>
          <w:sz w:val="20"/>
          <w:szCs w:val="20"/>
          <w:lang w:val="es-ES"/>
        </w:rPr>
        <w:t>p</w:t>
      </w:r>
      <w:r w:rsidRPr="00FC1FCF">
        <w:rPr>
          <w:rFonts w:ascii="Verdana" w:hAnsi="Verdana"/>
          <w:sz w:val="20"/>
          <w:szCs w:val="20"/>
          <w:lang w:val="es-ES"/>
        </w:rPr>
        <w:t>ueblo</w:t>
      </w:r>
      <w:r w:rsidR="00D9634E">
        <w:rPr>
          <w:rFonts w:ascii="Verdana" w:hAnsi="Verdana"/>
          <w:sz w:val="20"/>
          <w:szCs w:val="20"/>
          <w:lang w:val="es-ES"/>
        </w:rPr>
        <w:t xml:space="preserve"> de estas comunidades</w:t>
      </w:r>
      <w:r w:rsidRPr="00FC1FCF">
        <w:rPr>
          <w:rFonts w:ascii="Verdana" w:hAnsi="Verdana"/>
          <w:sz w:val="20"/>
          <w:szCs w:val="20"/>
          <w:vertAlign w:val="superscript"/>
        </w:rPr>
        <w:footnoteReference w:id="169"/>
      </w:r>
      <w:r w:rsidRPr="00FC1FCF">
        <w:rPr>
          <w:rFonts w:ascii="Verdana" w:hAnsi="Verdana"/>
          <w:sz w:val="20"/>
          <w:szCs w:val="20"/>
          <w:lang w:val="es-ES"/>
        </w:rPr>
        <w:t>.</w:t>
      </w:r>
      <w:bookmarkStart w:id="48" w:name="_ftnref1"/>
      <w:bookmarkEnd w:id="48"/>
      <w:r w:rsidRPr="00FC1FCF">
        <w:rPr>
          <w:rFonts w:ascii="Verdana" w:hAnsi="Verdana"/>
          <w:sz w:val="20"/>
          <w:szCs w:val="20"/>
          <w:lang w:val="es-ES"/>
        </w:rPr>
        <w:t xml:space="preserve"> </w:t>
      </w:r>
    </w:p>
    <w:p w14:paraId="2DD2B428" w14:textId="77777777" w:rsidR="00FC1FCF" w:rsidRPr="00FC1FCF" w:rsidRDefault="00FC1FCF" w:rsidP="00FC1FCF">
      <w:pPr>
        <w:pStyle w:val="ListParagraph"/>
        <w:ind w:left="0"/>
        <w:jc w:val="both"/>
        <w:rPr>
          <w:rFonts w:ascii="Verdana" w:hAnsi="Verdana"/>
          <w:sz w:val="20"/>
          <w:szCs w:val="20"/>
          <w:lang w:val="es-ES"/>
        </w:rPr>
      </w:pPr>
    </w:p>
    <w:p w14:paraId="07561F9A" w14:textId="77777777" w:rsidR="00FC1FCF" w:rsidRPr="00FC1FCF" w:rsidRDefault="00FC1FCF" w:rsidP="00FC1FCF">
      <w:pPr>
        <w:pStyle w:val="ListParagraph"/>
        <w:numPr>
          <w:ilvl w:val="0"/>
          <w:numId w:val="2"/>
        </w:numPr>
        <w:ind w:left="0" w:hanging="11"/>
        <w:jc w:val="both"/>
        <w:rPr>
          <w:rFonts w:ascii="Verdana" w:hAnsi="Verdana"/>
          <w:sz w:val="20"/>
          <w:szCs w:val="20"/>
          <w:lang w:val="es-ES"/>
        </w:rPr>
      </w:pPr>
      <w:r w:rsidRPr="00FC1FCF">
        <w:rPr>
          <w:rFonts w:ascii="Verdana" w:hAnsi="Verdana"/>
          <w:sz w:val="20"/>
          <w:szCs w:val="20"/>
          <w:lang w:val="es-ES"/>
        </w:rPr>
        <w:t>A</w:t>
      </w:r>
      <w:r w:rsidRPr="00FC1FCF">
        <w:rPr>
          <w:rFonts w:ascii="Verdana" w:hAnsi="Verdana"/>
          <w:sz w:val="20"/>
          <w:szCs w:val="20"/>
          <w:lang w:val="es-CR"/>
        </w:rPr>
        <w:t xml:space="preserve"> lo largo de su jurisprudencia en la materia, la Corte ha enfatizado la relevancia de garantizar la protección del carácter colectivo de la propiedad indígena (</w:t>
      </w:r>
      <w:r w:rsidR="00366D91" w:rsidRPr="00366D91">
        <w:rPr>
          <w:rFonts w:ascii="Verdana" w:hAnsi="Verdana"/>
          <w:i/>
          <w:sz w:val="20"/>
          <w:szCs w:val="20"/>
          <w:lang w:val="es-CR"/>
        </w:rPr>
        <w:t>supra</w:t>
      </w:r>
      <w:r w:rsidRPr="00FC1FCF">
        <w:rPr>
          <w:rFonts w:ascii="Verdana" w:hAnsi="Verdana"/>
          <w:sz w:val="20"/>
          <w:szCs w:val="20"/>
          <w:lang w:val="es-CR"/>
        </w:rPr>
        <w:t xml:space="preserve"> párr. </w:t>
      </w:r>
      <w:r w:rsidR="00D9634E">
        <w:rPr>
          <w:rFonts w:ascii="Verdana" w:hAnsi="Verdana"/>
          <w:sz w:val="20"/>
          <w:szCs w:val="20"/>
          <w:lang w:val="es-CR"/>
        </w:rPr>
        <w:t>129</w:t>
      </w:r>
      <w:r w:rsidRPr="00FC1FCF">
        <w:rPr>
          <w:rFonts w:ascii="Verdana" w:hAnsi="Verdana"/>
          <w:sz w:val="20"/>
          <w:szCs w:val="20"/>
          <w:lang w:val="es-CR"/>
        </w:rPr>
        <w:t xml:space="preserve">). Al respecto, </w:t>
      </w:r>
      <w:r w:rsidRPr="00FC1FCF">
        <w:rPr>
          <w:rFonts w:ascii="Verdana" w:eastAsiaTheme="minorHAnsi" w:hAnsi="Verdana"/>
          <w:sz w:val="20"/>
          <w:szCs w:val="20"/>
          <w:lang w:val="es-CR"/>
        </w:rPr>
        <w:t xml:space="preserve">en los casos </w:t>
      </w:r>
      <w:r w:rsidR="00D9634E">
        <w:rPr>
          <w:rFonts w:ascii="Verdana" w:eastAsiaTheme="minorHAnsi" w:hAnsi="Verdana"/>
          <w:sz w:val="20"/>
          <w:szCs w:val="20"/>
          <w:lang w:val="es-CR"/>
        </w:rPr>
        <w:t>p</w:t>
      </w:r>
      <w:r w:rsidRPr="00FC1FCF">
        <w:rPr>
          <w:rFonts w:ascii="Verdana" w:eastAsiaTheme="minorHAnsi" w:hAnsi="Verdana"/>
          <w:sz w:val="20"/>
          <w:szCs w:val="20"/>
          <w:lang w:val="es-CR"/>
        </w:rPr>
        <w:t>araguayos</w:t>
      </w:r>
      <w:r w:rsidR="00D9634E">
        <w:rPr>
          <w:rFonts w:ascii="Verdana" w:eastAsiaTheme="minorHAnsi" w:hAnsi="Verdana"/>
          <w:sz w:val="20"/>
          <w:szCs w:val="20"/>
          <w:lang w:val="es-CR"/>
        </w:rPr>
        <w:t xml:space="preserve"> de las comunidades</w:t>
      </w:r>
      <w:r w:rsidRPr="00FC1FCF">
        <w:rPr>
          <w:rFonts w:ascii="Verdana" w:eastAsiaTheme="minorHAnsi" w:hAnsi="Verdana"/>
          <w:sz w:val="20"/>
          <w:szCs w:val="20"/>
          <w:lang w:val="es-CR"/>
        </w:rPr>
        <w:t xml:space="preserve"> </w:t>
      </w:r>
      <w:r w:rsidRPr="00FC1FCF">
        <w:rPr>
          <w:rFonts w:ascii="Verdana" w:eastAsiaTheme="minorHAnsi" w:hAnsi="Verdana"/>
          <w:i/>
          <w:sz w:val="20"/>
          <w:szCs w:val="20"/>
          <w:lang w:val="es-CR"/>
        </w:rPr>
        <w:t>Yakye Axa, Sawhoyamaxa y Xákmok Kásek</w:t>
      </w:r>
      <w:r w:rsidRPr="00FC1FCF">
        <w:rPr>
          <w:rFonts w:ascii="Verdana" w:eastAsiaTheme="minorHAnsi" w:hAnsi="Verdana"/>
          <w:sz w:val="20"/>
          <w:szCs w:val="20"/>
          <w:lang w:val="es-CR"/>
        </w:rPr>
        <w:t xml:space="preserve"> se estableció que: </w:t>
      </w:r>
      <w:r w:rsidRPr="00FC1FCF">
        <w:rPr>
          <w:rFonts w:ascii="Verdana" w:hAnsi="Verdana"/>
          <w:sz w:val="20"/>
          <w:szCs w:val="20"/>
          <w:lang w:val="es-MX"/>
        </w:rPr>
        <w:t xml:space="preserve">a) la posesión tradicional de los indígenas sobre sus tierras tiene efectos equivalentes al título de pleno dominio que otorga el Estado, por lo que el área poseída en la práctica es equivalente a la propiedad; b) </w:t>
      </w:r>
      <w:r w:rsidRPr="00FC1FCF">
        <w:rPr>
          <w:rFonts w:ascii="Verdana" w:hAnsi="Verdana"/>
          <w:sz w:val="20"/>
          <w:szCs w:val="20"/>
          <w:lang w:val="es-CR"/>
        </w:rPr>
        <w:t>los miembros de los pueblos indígenas que por causas ajenas a su voluntad han salido o perdido la posesión de sus tierras tradicionales mantienen el derecho de propiedad sobre las mismas, aún a falta de título legal, salvo cuando las tierras hayan sido legítimamente traslada</w:t>
      </w:r>
      <w:r w:rsidR="00D9634E">
        <w:rPr>
          <w:rFonts w:ascii="Verdana" w:hAnsi="Verdana"/>
          <w:sz w:val="20"/>
          <w:szCs w:val="20"/>
          <w:lang w:val="es-CR"/>
        </w:rPr>
        <w:t>da</w:t>
      </w:r>
      <w:r w:rsidRPr="00FC1FCF">
        <w:rPr>
          <w:rFonts w:ascii="Verdana" w:hAnsi="Verdana"/>
          <w:sz w:val="20"/>
          <w:szCs w:val="20"/>
          <w:lang w:val="es-CR"/>
        </w:rPr>
        <w:t>s a terceros de buena fe, y c) los miembros de los pueblos indígenas que involuntariamente han perdido la posesión de sus tierras, y éstas han sido traslada</w:t>
      </w:r>
      <w:r w:rsidR="00D9634E">
        <w:rPr>
          <w:rFonts w:ascii="Verdana" w:hAnsi="Verdana"/>
          <w:sz w:val="20"/>
          <w:szCs w:val="20"/>
          <w:lang w:val="es-CR"/>
        </w:rPr>
        <w:t>da</w:t>
      </w:r>
      <w:r w:rsidRPr="00FC1FCF">
        <w:rPr>
          <w:rFonts w:ascii="Verdana" w:hAnsi="Verdana"/>
          <w:sz w:val="20"/>
          <w:szCs w:val="20"/>
          <w:lang w:val="es-CR"/>
        </w:rPr>
        <w:t>s legítimamente a terceros inocentes, tienen el derecho de recuperarlas o a obtener otras tierras de igual extensión y calidad</w:t>
      </w:r>
      <w:r w:rsidRPr="00FC1FCF">
        <w:rPr>
          <w:rStyle w:val="FootnoteReference"/>
          <w:szCs w:val="20"/>
          <w:lang w:val="es-CR"/>
        </w:rPr>
        <w:footnoteReference w:id="170"/>
      </w:r>
      <w:r w:rsidRPr="00FC1FCF">
        <w:rPr>
          <w:rFonts w:ascii="Verdana" w:hAnsi="Verdana"/>
          <w:sz w:val="20"/>
          <w:szCs w:val="20"/>
          <w:lang w:val="es-CR"/>
        </w:rPr>
        <w:t>.</w:t>
      </w:r>
      <w:r w:rsidRPr="00FC1FCF">
        <w:rPr>
          <w:rFonts w:ascii="Verdana" w:hAnsi="Verdana"/>
          <w:sz w:val="20"/>
          <w:szCs w:val="20"/>
          <w:lang w:val="es-MX"/>
        </w:rPr>
        <w:t xml:space="preserve"> </w:t>
      </w:r>
      <w:r>
        <w:rPr>
          <w:rFonts w:ascii="Verdana" w:hAnsi="Verdana"/>
          <w:sz w:val="20"/>
          <w:szCs w:val="20"/>
          <w:lang w:val="es-MX"/>
        </w:rPr>
        <w:t xml:space="preserve"> </w:t>
      </w:r>
    </w:p>
    <w:p w14:paraId="0E070BD9" w14:textId="77777777" w:rsidR="00FC1FCF" w:rsidRPr="007E20F9" w:rsidRDefault="00FC1FCF" w:rsidP="00FC1FCF">
      <w:pPr>
        <w:pStyle w:val="ListParagraph"/>
        <w:rPr>
          <w:rFonts w:ascii="Verdana" w:hAnsi="Verdana"/>
          <w:sz w:val="20"/>
          <w:szCs w:val="20"/>
          <w:lang w:val="es-ES"/>
        </w:rPr>
      </w:pPr>
    </w:p>
    <w:p w14:paraId="3F5E4073" w14:textId="77777777" w:rsidR="00FC1FCF" w:rsidRPr="00FC1FCF" w:rsidRDefault="00FC1FCF" w:rsidP="00FC1FCF">
      <w:pPr>
        <w:pStyle w:val="ListParagraph"/>
        <w:numPr>
          <w:ilvl w:val="0"/>
          <w:numId w:val="2"/>
        </w:numPr>
        <w:ind w:left="0" w:hanging="11"/>
        <w:jc w:val="both"/>
        <w:rPr>
          <w:rFonts w:ascii="Verdana" w:hAnsi="Verdana"/>
          <w:sz w:val="20"/>
          <w:szCs w:val="20"/>
          <w:lang w:val="es-ES"/>
        </w:rPr>
      </w:pPr>
      <w:r w:rsidRPr="00FC1FCF">
        <w:rPr>
          <w:rFonts w:ascii="Verdana" w:hAnsi="Verdana"/>
          <w:sz w:val="20"/>
          <w:szCs w:val="20"/>
          <w:lang w:val="es-MX"/>
        </w:rPr>
        <w:t xml:space="preserve">Por su parte, </w:t>
      </w:r>
      <w:r w:rsidR="00014B9A">
        <w:rPr>
          <w:rFonts w:ascii="Verdana" w:hAnsi="Verdana"/>
          <w:sz w:val="20"/>
          <w:szCs w:val="20"/>
          <w:lang w:val="es-MX"/>
        </w:rPr>
        <w:t xml:space="preserve">en cuanto a las garantías del uso y goce de la propiedad, </w:t>
      </w:r>
      <w:r w:rsidRPr="00FC1FCF">
        <w:rPr>
          <w:rFonts w:ascii="Verdana" w:hAnsi="Verdana"/>
          <w:sz w:val="20"/>
          <w:szCs w:val="20"/>
          <w:lang w:val="es-CR"/>
        </w:rPr>
        <w:t>en el caso</w:t>
      </w:r>
      <w:r w:rsidR="00D9634E">
        <w:rPr>
          <w:rFonts w:ascii="Verdana" w:hAnsi="Verdana"/>
          <w:sz w:val="20"/>
          <w:szCs w:val="20"/>
          <w:lang w:val="es-CR"/>
        </w:rPr>
        <w:t xml:space="preserve"> de la Comunidad</w:t>
      </w:r>
      <w:r w:rsidRPr="00FC1FCF">
        <w:rPr>
          <w:rFonts w:ascii="Verdana" w:hAnsi="Verdana"/>
          <w:sz w:val="20"/>
          <w:szCs w:val="20"/>
          <w:lang w:val="es-CR"/>
        </w:rPr>
        <w:t xml:space="preserve"> </w:t>
      </w:r>
      <w:r w:rsidRPr="00FC1FCF">
        <w:rPr>
          <w:rFonts w:ascii="Verdana" w:hAnsi="Verdana"/>
          <w:i/>
          <w:sz w:val="20"/>
          <w:szCs w:val="20"/>
          <w:lang w:val="es-CR"/>
        </w:rPr>
        <w:t xml:space="preserve">Mayagna </w:t>
      </w:r>
      <w:r w:rsidR="00D9634E">
        <w:rPr>
          <w:rFonts w:ascii="Verdana" w:hAnsi="Verdana"/>
          <w:i/>
          <w:sz w:val="20"/>
          <w:szCs w:val="20"/>
          <w:lang w:val="es-CR"/>
        </w:rPr>
        <w:t>(S</w:t>
      </w:r>
      <w:r w:rsidRPr="00FC1FCF">
        <w:rPr>
          <w:rFonts w:ascii="Verdana" w:hAnsi="Verdana"/>
          <w:i/>
          <w:sz w:val="20"/>
          <w:szCs w:val="20"/>
          <w:lang w:val="es-CR"/>
        </w:rPr>
        <w:t>umo</w:t>
      </w:r>
      <w:r w:rsidR="00D9634E">
        <w:rPr>
          <w:rFonts w:ascii="Verdana" w:hAnsi="Verdana"/>
          <w:i/>
          <w:sz w:val="20"/>
          <w:szCs w:val="20"/>
          <w:lang w:val="es-CR"/>
        </w:rPr>
        <w:t>)</w:t>
      </w:r>
      <w:r w:rsidRPr="00FC1FCF">
        <w:rPr>
          <w:rFonts w:ascii="Verdana" w:hAnsi="Verdana"/>
          <w:i/>
          <w:sz w:val="20"/>
          <w:szCs w:val="20"/>
          <w:lang w:val="es-CR"/>
        </w:rPr>
        <w:t xml:space="preserve"> Awas Tingni</w:t>
      </w:r>
      <w:r w:rsidR="007626EB">
        <w:rPr>
          <w:rFonts w:ascii="Verdana" w:hAnsi="Verdana"/>
          <w:i/>
          <w:sz w:val="20"/>
          <w:szCs w:val="20"/>
          <w:lang w:val="es-CR"/>
        </w:rPr>
        <w:t xml:space="preserve"> Vs. Nicaragua</w:t>
      </w:r>
      <w:r w:rsidRPr="00FC1FCF">
        <w:rPr>
          <w:rFonts w:ascii="Verdana" w:hAnsi="Verdana"/>
          <w:sz w:val="20"/>
          <w:szCs w:val="20"/>
          <w:lang w:val="es-CR"/>
        </w:rPr>
        <w:t xml:space="preserve"> </w:t>
      </w:r>
      <w:r w:rsidR="00CB17C1">
        <w:rPr>
          <w:rFonts w:ascii="Verdana" w:hAnsi="Verdana"/>
          <w:sz w:val="20"/>
          <w:szCs w:val="20"/>
          <w:lang w:val="es-CR"/>
        </w:rPr>
        <w:t xml:space="preserve">la Corte </w:t>
      </w:r>
      <w:r w:rsidRPr="00FC1FCF">
        <w:rPr>
          <w:rFonts w:ascii="Verdana" w:hAnsi="Verdana"/>
          <w:sz w:val="20"/>
          <w:szCs w:val="20"/>
          <w:lang w:val="es-CR"/>
        </w:rPr>
        <w:t xml:space="preserve">señaló que </w:t>
      </w:r>
      <w:r w:rsidRPr="00FC1FCF">
        <w:rPr>
          <w:rFonts w:ascii="Verdana" w:eastAsiaTheme="minorHAnsi" w:hAnsi="Verdana"/>
          <w:sz w:val="20"/>
          <w:szCs w:val="20"/>
          <w:lang w:val="es-CR"/>
        </w:rPr>
        <w:t>los Estados deben garantizar la propiedad efectiva de los pueblos indígenas y abstenerse de realizar actos que puedan llevar a que los agentes del propio Estado, o terceros que actúen con su aquiescencia o su tolerancia, afecten la existencia, valor, uso o goce de su territorio</w:t>
      </w:r>
      <w:r w:rsidR="00D929E5">
        <w:rPr>
          <w:rFonts w:ascii="Verdana" w:hAnsi="Verdana"/>
          <w:sz w:val="20"/>
          <w:vertAlign w:val="superscript"/>
        </w:rPr>
        <w:footnoteReference w:id="171"/>
      </w:r>
      <w:r w:rsidRPr="00FC1FCF">
        <w:rPr>
          <w:rFonts w:ascii="Verdana" w:eastAsiaTheme="minorHAnsi" w:hAnsi="Verdana"/>
          <w:sz w:val="20"/>
          <w:szCs w:val="20"/>
          <w:lang w:val="es-CR"/>
        </w:rPr>
        <w:t xml:space="preserve">. En el caso </w:t>
      </w:r>
      <w:r w:rsidR="00403E34">
        <w:rPr>
          <w:rFonts w:ascii="Verdana" w:eastAsiaTheme="minorHAnsi" w:hAnsi="Verdana"/>
          <w:sz w:val="20"/>
          <w:szCs w:val="20"/>
          <w:lang w:val="es-CR"/>
        </w:rPr>
        <w:t xml:space="preserve">del Pueblo </w:t>
      </w:r>
      <w:r w:rsidRPr="00FC1FCF">
        <w:rPr>
          <w:rFonts w:ascii="Verdana" w:eastAsiaTheme="minorHAnsi" w:hAnsi="Verdana"/>
          <w:i/>
          <w:sz w:val="20"/>
          <w:szCs w:val="20"/>
          <w:lang w:val="es-CR"/>
        </w:rPr>
        <w:t>Saramaka</w:t>
      </w:r>
      <w:r w:rsidR="002C6BFD">
        <w:rPr>
          <w:rFonts w:ascii="Verdana" w:eastAsiaTheme="minorHAnsi" w:hAnsi="Verdana"/>
          <w:i/>
          <w:sz w:val="20"/>
          <w:szCs w:val="20"/>
          <w:lang w:val="es-CR"/>
        </w:rPr>
        <w:t xml:space="preserve"> Vs. Surinam</w:t>
      </w:r>
      <w:r w:rsidRPr="00FC1FCF">
        <w:rPr>
          <w:rFonts w:ascii="Verdana" w:eastAsiaTheme="minorHAnsi" w:hAnsi="Verdana"/>
          <w:sz w:val="20"/>
          <w:szCs w:val="20"/>
          <w:lang w:val="es-CR"/>
        </w:rPr>
        <w:t xml:space="preserve"> se estableció que </w:t>
      </w:r>
      <w:r w:rsidRPr="00FC1FCF">
        <w:rPr>
          <w:rFonts w:ascii="Verdana" w:hAnsi="Verdana"/>
          <w:sz w:val="20"/>
          <w:szCs w:val="20"/>
          <w:lang w:val="es-CR"/>
        </w:rPr>
        <w:t>los Estados deben garantizar el derecho de los pueblos indígenas de controlar efectivamente y ser propietarios de su territorio sin ningún tipo de interferencia externa de terceros</w:t>
      </w:r>
      <w:r w:rsidR="00D929E5">
        <w:rPr>
          <w:rFonts w:ascii="Verdana" w:hAnsi="Verdana"/>
          <w:sz w:val="20"/>
          <w:vertAlign w:val="superscript"/>
        </w:rPr>
        <w:footnoteReference w:id="172"/>
      </w:r>
      <w:r w:rsidRPr="00FC1FCF">
        <w:rPr>
          <w:rFonts w:ascii="Verdana" w:hAnsi="Verdana"/>
          <w:sz w:val="20"/>
          <w:szCs w:val="20"/>
          <w:lang w:val="es-CR"/>
        </w:rPr>
        <w:t xml:space="preserve">. En el caso </w:t>
      </w:r>
      <w:r w:rsidRPr="00FC1FCF">
        <w:rPr>
          <w:rFonts w:ascii="Verdana" w:hAnsi="Verdana"/>
          <w:i/>
          <w:sz w:val="20"/>
          <w:szCs w:val="20"/>
          <w:lang w:val="es-CR"/>
        </w:rPr>
        <w:t>Sarayaku</w:t>
      </w:r>
      <w:r w:rsidR="007626EB">
        <w:rPr>
          <w:rFonts w:ascii="Verdana" w:hAnsi="Verdana"/>
          <w:i/>
          <w:sz w:val="20"/>
          <w:szCs w:val="20"/>
          <w:lang w:val="es-CR"/>
        </w:rPr>
        <w:t xml:space="preserve"> Vs. Ecuador</w:t>
      </w:r>
      <w:r w:rsidRPr="00FC1FCF">
        <w:rPr>
          <w:rFonts w:ascii="Verdana" w:hAnsi="Verdana"/>
          <w:sz w:val="20"/>
          <w:szCs w:val="20"/>
          <w:lang w:val="es-CR"/>
        </w:rPr>
        <w:t xml:space="preserve"> se dispuso que </w:t>
      </w:r>
      <w:r w:rsidRPr="00FC1FCF">
        <w:rPr>
          <w:rFonts w:ascii="Verdana" w:eastAsiaTheme="minorHAnsi" w:hAnsi="Verdana"/>
          <w:sz w:val="20"/>
          <w:szCs w:val="20"/>
          <w:lang w:val="es-CR"/>
        </w:rPr>
        <w:t xml:space="preserve">los Estados deben </w:t>
      </w:r>
      <w:r w:rsidRPr="00FC1FCF">
        <w:rPr>
          <w:rFonts w:ascii="Verdana" w:eastAsia="HiddenHorzOCR" w:hAnsi="Verdana"/>
          <w:sz w:val="20"/>
          <w:szCs w:val="20"/>
          <w:lang w:val="es-CR"/>
        </w:rPr>
        <w:t xml:space="preserve">garantizar </w:t>
      </w:r>
      <w:r w:rsidRPr="00FC1FCF">
        <w:rPr>
          <w:rFonts w:ascii="Verdana" w:eastAsiaTheme="minorHAnsi" w:hAnsi="Verdana"/>
          <w:sz w:val="20"/>
          <w:szCs w:val="20"/>
          <w:lang w:val="es-CR"/>
        </w:rPr>
        <w:t xml:space="preserve">el derecho de los pueblos indígenas </w:t>
      </w:r>
      <w:r w:rsidR="00F1174A">
        <w:rPr>
          <w:rFonts w:ascii="Verdana" w:eastAsiaTheme="minorHAnsi" w:hAnsi="Verdana"/>
          <w:sz w:val="20"/>
          <w:szCs w:val="20"/>
          <w:lang w:val="es-CR"/>
        </w:rPr>
        <w:t>y</w:t>
      </w:r>
      <w:r w:rsidRPr="00FC1FCF">
        <w:rPr>
          <w:rFonts w:ascii="Verdana" w:eastAsiaTheme="minorHAnsi" w:hAnsi="Verdana"/>
          <w:sz w:val="20"/>
          <w:szCs w:val="20"/>
          <w:lang w:val="es-CR"/>
        </w:rPr>
        <w:t xml:space="preserve"> tribales para el control y uso de su territorio y recursos naturales</w:t>
      </w:r>
      <w:r w:rsidR="008A4ABB" w:rsidRPr="007E20F9">
        <w:rPr>
          <w:rFonts w:ascii="Verdana" w:hAnsi="Verdana"/>
          <w:sz w:val="16"/>
          <w:vertAlign w:val="superscript"/>
        </w:rPr>
        <w:footnoteReference w:id="173"/>
      </w:r>
      <w:r w:rsidRPr="00FC1FCF">
        <w:rPr>
          <w:rFonts w:ascii="Verdana" w:eastAsiaTheme="minorHAnsi" w:hAnsi="Verdana"/>
          <w:sz w:val="20"/>
          <w:szCs w:val="20"/>
          <w:lang w:val="es-CR"/>
        </w:rPr>
        <w:t>.</w:t>
      </w:r>
    </w:p>
    <w:p w14:paraId="1DDB5399" w14:textId="77777777" w:rsidR="00FC1FCF" w:rsidRDefault="00FC1FCF" w:rsidP="00FC1FCF">
      <w:pPr>
        <w:pStyle w:val="ListParagraph"/>
        <w:ind w:left="0"/>
        <w:jc w:val="both"/>
        <w:rPr>
          <w:rFonts w:ascii="Verdana" w:hAnsi="Verdana"/>
          <w:sz w:val="20"/>
          <w:szCs w:val="20"/>
          <w:lang w:val="es-ES"/>
        </w:rPr>
      </w:pPr>
    </w:p>
    <w:p w14:paraId="0222C391" w14:textId="77777777" w:rsidR="00FC1FCF" w:rsidRPr="004B1D0E" w:rsidRDefault="00FC1FCF" w:rsidP="004B1D0E">
      <w:pPr>
        <w:pStyle w:val="Heading5"/>
        <w:spacing w:before="0" w:line="240" w:lineRule="auto"/>
        <w:ind w:left="2160"/>
        <w:jc w:val="both"/>
        <w:rPr>
          <w:rFonts w:ascii="Verdana" w:hAnsi="Verdana"/>
          <w:b/>
          <w:i/>
          <w:color w:val="auto"/>
          <w:sz w:val="20"/>
          <w:szCs w:val="20"/>
          <w:lang w:val="es-CR"/>
        </w:rPr>
      </w:pPr>
      <w:bookmarkStart w:id="49" w:name="_Toc441666182"/>
      <w:r w:rsidRPr="004B1D0E">
        <w:rPr>
          <w:rFonts w:ascii="Verdana" w:hAnsi="Verdana"/>
          <w:b/>
          <w:i/>
          <w:color w:val="auto"/>
          <w:sz w:val="20"/>
          <w:szCs w:val="20"/>
          <w:lang w:val="es-CR"/>
        </w:rPr>
        <w:t>B.</w:t>
      </w:r>
      <w:r w:rsidR="00830B9E">
        <w:rPr>
          <w:rFonts w:ascii="Verdana" w:hAnsi="Verdana"/>
          <w:b/>
          <w:i/>
          <w:color w:val="auto"/>
          <w:sz w:val="20"/>
          <w:szCs w:val="20"/>
          <w:lang w:val="es-CR"/>
        </w:rPr>
        <w:t>2</w:t>
      </w:r>
      <w:r w:rsidRPr="004B1D0E">
        <w:rPr>
          <w:rFonts w:ascii="Verdana" w:hAnsi="Verdana"/>
          <w:b/>
          <w:i/>
          <w:color w:val="auto"/>
          <w:sz w:val="20"/>
          <w:szCs w:val="20"/>
          <w:lang w:val="es-CR"/>
        </w:rPr>
        <w:t>.1.1 Respecto de la falta de delimitación, demarcación y titulación</w:t>
      </w:r>
      <w:r w:rsidR="00CB17C1">
        <w:rPr>
          <w:rFonts w:ascii="Verdana" w:hAnsi="Verdana"/>
          <w:b/>
          <w:i/>
          <w:color w:val="auto"/>
          <w:sz w:val="20"/>
          <w:szCs w:val="20"/>
          <w:lang w:val="es-CR"/>
        </w:rPr>
        <w:t xml:space="preserve"> en el caso</w:t>
      </w:r>
      <w:bookmarkEnd w:id="49"/>
    </w:p>
    <w:p w14:paraId="0AB540E2" w14:textId="77777777" w:rsidR="00FC1FCF" w:rsidRPr="00C02552" w:rsidRDefault="00FC1FCF" w:rsidP="00FC1FCF">
      <w:pPr>
        <w:pStyle w:val="ListParagraph"/>
        <w:ind w:left="708"/>
        <w:jc w:val="both"/>
        <w:rPr>
          <w:rFonts w:ascii="Verdana" w:hAnsi="Verdana"/>
          <w:sz w:val="20"/>
          <w:szCs w:val="20"/>
          <w:lang w:val="es-ES"/>
        </w:rPr>
      </w:pPr>
    </w:p>
    <w:p w14:paraId="6686E236" w14:textId="77777777" w:rsidR="00FC1FCF" w:rsidRPr="00C02552" w:rsidRDefault="00FC1FCF" w:rsidP="00FC1FCF">
      <w:pPr>
        <w:pStyle w:val="ListParagraph"/>
        <w:numPr>
          <w:ilvl w:val="0"/>
          <w:numId w:val="2"/>
        </w:numPr>
        <w:ind w:left="0" w:hanging="11"/>
        <w:jc w:val="both"/>
        <w:rPr>
          <w:rFonts w:ascii="Verdana" w:hAnsi="Verdana"/>
          <w:sz w:val="20"/>
          <w:szCs w:val="20"/>
          <w:lang w:val="es-CR"/>
        </w:rPr>
      </w:pPr>
      <w:r>
        <w:rPr>
          <w:rFonts w:ascii="Verdana" w:hAnsi="Verdana"/>
          <w:sz w:val="20"/>
          <w:szCs w:val="20"/>
          <w:lang w:val="es-ES"/>
        </w:rPr>
        <w:t>L</w:t>
      </w:r>
      <w:r w:rsidRPr="00C02552">
        <w:rPr>
          <w:rFonts w:ascii="Verdana" w:hAnsi="Verdana"/>
          <w:sz w:val="20"/>
          <w:szCs w:val="20"/>
          <w:lang w:val="es-ES"/>
        </w:rPr>
        <w:t>a Corte ha establecido que</w:t>
      </w:r>
      <w:r>
        <w:rPr>
          <w:rFonts w:ascii="Verdana" w:hAnsi="Verdana"/>
          <w:sz w:val="20"/>
          <w:szCs w:val="20"/>
          <w:lang w:val="es-ES"/>
        </w:rPr>
        <w:t>,</w:t>
      </w:r>
      <w:r w:rsidRPr="00C02552">
        <w:rPr>
          <w:rFonts w:ascii="Verdana" w:hAnsi="Verdana"/>
          <w:sz w:val="20"/>
          <w:szCs w:val="20"/>
          <w:lang w:val="es-ES"/>
        </w:rPr>
        <w:t xml:space="preserve"> </w:t>
      </w:r>
      <w:r w:rsidRPr="00947162">
        <w:rPr>
          <w:rFonts w:ascii="Verdana" w:hAnsi="Verdana"/>
          <w:sz w:val="20"/>
          <w:szCs w:val="20"/>
          <w:lang w:val="es-CR"/>
        </w:rPr>
        <w:t xml:space="preserve">en atención al principio de seguridad jurídica, </w:t>
      </w:r>
      <w:r w:rsidRPr="00C02552">
        <w:rPr>
          <w:rFonts w:ascii="Verdana" w:hAnsi="Verdana"/>
          <w:sz w:val="20"/>
          <w:szCs w:val="20"/>
          <w:lang w:val="es-ES"/>
        </w:rPr>
        <w:t>es necesario materializar los derechos territoriales de los pueblos indígenas a través de la adopción de medidas legislativas y administrativas necesarias para crear un mecanismo efectivo de delimitación, demarcación y titulación, que reconozca tales derechos en la práctica</w:t>
      </w:r>
      <w:r w:rsidR="0063053D" w:rsidRPr="00C02552">
        <w:rPr>
          <w:rFonts w:ascii="Verdana" w:hAnsi="Verdana"/>
          <w:sz w:val="20"/>
          <w:szCs w:val="20"/>
          <w:vertAlign w:val="superscript"/>
          <w:lang w:val="es-ES"/>
        </w:rPr>
        <w:footnoteReference w:id="174"/>
      </w:r>
      <w:r w:rsidRPr="00C02552">
        <w:rPr>
          <w:rFonts w:ascii="Verdana" w:hAnsi="Verdana"/>
          <w:sz w:val="20"/>
          <w:szCs w:val="20"/>
          <w:lang w:val="es-ES"/>
        </w:rPr>
        <w:t xml:space="preserve">. Lo anterior, considerando que el reconocimiento de los derechos de propiedad comunal indígena </w:t>
      </w:r>
      <w:r w:rsidRPr="00C02552">
        <w:rPr>
          <w:rFonts w:ascii="Verdana" w:hAnsi="Verdana"/>
          <w:sz w:val="20"/>
          <w:szCs w:val="20"/>
          <w:lang w:val="es-ES"/>
        </w:rPr>
        <w:lastRenderedPageBreak/>
        <w:t>debe garantizarse a través del otorgamiento de un título de propiedad formal, u otra forma similar de reconocimiento estatal, que otorgue seguridad jurídica a la tenencia indígena de la tierra frente a la acción de terceros o de los agentes del propio Estado, y que este “reconocimiento meramente abstracto o jurídico de las tierras, territorios o recursos indígenas carece prácticamente de sentido si no se [establece, delimita y demarca] físicamente la propiedad</w:t>
      </w:r>
      <w:r w:rsidRPr="00C02552">
        <w:rPr>
          <w:rFonts w:ascii="Verdana" w:hAnsi="Verdana"/>
          <w:sz w:val="20"/>
          <w:szCs w:val="20"/>
          <w:lang w:val="es-CR"/>
        </w:rPr>
        <w:t>”</w:t>
      </w:r>
      <w:bookmarkStart w:id="50" w:name="_ftnref7"/>
      <w:r w:rsidRPr="00C02552">
        <w:rPr>
          <w:rFonts w:ascii="Verdana" w:hAnsi="Verdana"/>
          <w:sz w:val="20"/>
          <w:szCs w:val="20"/>
          <w:vertAlign w:val="superscript"/>
        </w:rPr>
        <w:footnoteReference w:id="175"/>
      </w:r>
      <w:bookmarkEnd w:id="50"/>
      <w:r w:rsidRPr="00C02552">
        <w:rPr>
          <w:rFonts w:ascii="Verdana" w:hAnsi="Verdana"/>
          <w:sz w:val="20"/>
          <w:szCs w:val="20"/>
          <w:lang w:val="es-CR"/>
        </w:rPr>
        <w:t xml:space="preserve">.  </w:t>
      </w:r>
    </w:p>
    <w:p w14:paraId="5FA126B8" w14:textId="77777777" w:rsidR="00FC1FCF" w:rsidRPr="00C02552" w:rsidRDefault="00FC1FCF" w:rsidP="00FC1FCF">
      <w:pPr>
        <w:pStyle w:val="ListParagraph"/>
        <w:ind w:left="0"/>
        <w:jc w:val="both"/>
        <w:rPr>
          <w:rFonts w:ascii="Verdana" w:hAnsi="Verdana"/>
          <w:sz w:val="20"/>
          <w:szCs w:val="20"/>
          <w:lang w:val="es-CR"/>
        </w:rPr>
      </w:pPr>
    </w:p>
    <w:p w14:paraId="44574E17" w14:textId="7C863C03" w:rsidR="00FC1FCF"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CR"/>
        </w:rPr>
        <w:t xml:space="preserve">Al respecto, en el caso </w:t>
      </w:r>
      <w:r w:rsidR="00D97182" w:rsidRPr="007021B4">
        <w:rPr>
          <w:rFonts w:ascii="Verdana" w:hAnsi="Verdana"/>
          <w:sz w:val="20"/>
          <w:szCs w:val="20"/>
          <w:lang w:val="es-CR"/>
        </w:rPr>
        <w:t>del</w:t>
      </w:r>
      <w:r w:rsidR="00D97182" w:rsidRPr="004B0145">
        <w:rPr>
          <w:rFonts w:ascii="Verdana" w:hAnsi="Verdana"/>
          <w:i/>
          <w:sz w:val="20"/>
          <w:szCs w:val="20"/>
          <w:lang w:val="es-CR"/>
        </w:rPr>
        <w:t xml:space="preserve"> Pueblo </w:t>
      </w:r>
      <w:r w:rsidRPr="007021B4">
        <w:rPr>
          <w:rFonts w:ascii="Verdana" w:hAnsi="Verdana"/>
          <w:i/>
          <w:sz w:val="20"/>
          <w:szCs w:val="20"/>
          <w:lang w:val="es-CR"/>
        </w:rPr>
        <w:t>Saramaka</w:t>
      </w:r>
      <w:r w:rsidRPr="00C02552">
        <w:rPr>
          <w:rFonts w:ascii="Verdana" w:hAnsi="Verdana"/>
          <w:sz w:val="20"/>
          <w:szCs w:val="20"/>
          <w:lang w:val="es-CR"/>
        </w:rPr>
        <w:t xml:space="preserve"> la Corte determinó que el marco legal del Estado de </w:t>
      </w:r>
      <w:r w:rsidR="00563E11">
        <w:rPr>
          <w:rFonts w:ascii="Verdana" w:hAnsi="Verdana"/>
          <w:sz w:val="20"/>
          <w:szCs w:val="20"/>
          <w:lang w:val="es-CR"/>
        </w:rPr>
        <w:t>Surinam</w:t>
      </w:r>
      <w:r w:rsidRPr="00C02552">
        <w:rPr>
          <w:rFonts w:ascii="Verdana" w:hAnsi="Verdana"/>
          <w:sz w:val="20"/>
          <w:szCs w:val="20"/>
          <w:lang w:val="es-CR"/>
        </w:rPr>
        <w:t xml:space="preserve"> “meramente le otorga</w:t>
      </w:r>
      <w:r w:rsidR="004167E6">
        <w:rPr>
          <w:rFonts w:ascii="Verdana" w:hAnsi="Verdana"/>
          <w:sz w:val="20"/>
          <w:szCs w:val="20"/>
          <w:lang w:val="es-CR"/>
        </w:rPr>
        <w:t>[</w:t>
      </w:r>
      <w:r>
        <w:rPr>
          <w:rFonts w:ascii="Verdana" w:hAnsi="Verdana"/>
          <w:sz w:val="20"/>
          <w:szCs w:val="20"/>
          <w:lang w:val="es-CR"/>
        </w:rPr>
        <w:t>ba</w:t>
      </w:r>
      <w:r w:rsidR="004167E6">
        <w:rPr>
          <w:rFonts w:ascii="Verdana" w:hAnsi="Verdana"/>
          <w:sz w:val="20"/>
          <w:szCs w:val="20"/>
          <w:lang w:val="es-CR"/>
        </w:rPr>
        <w:t>]</w:t>
      </w:r>
      <w:r w:rsidRPr="00C02552">
        <w:rPr>
          <w:rFonts w:ascii="Verdana" w:hAnsi="Verdana"/>
          <w:sz w:val="20"/>
          <w:szCs w:val="20"/>
          <w:lang w:val="es-CR"/>
        </w:rPr>
        <w:t xml:space="preserve"> a los integrantes del pueblo […] un privilegio para usar la tierra, el cual no le garantiza</w:t>
      </w:r>
      <w:r w:rsidR="004167E6">
        <w:rPr>
          <w:rFonts w:ascii="Verdana" w:hAnsi="Verdana"/>
          <w:sz w:val="20"/>
          <w:szCs w:val="20"/>
          <w:lang w:val="es-CR"/>
        </w:rPr>
        <w:t>[</w:t>
      </w:r>
      <w:r>
        <w:rPr>
          <w:rFonts w:ascii="Verdana" w:hAnsi="Verdana"/>
          <w:sz w:val="20"/>
          <w:szCs w:val="20"/>
          <w:lang w:val="es-CR"/>
        </w:rPr>
        <w:t>ba</w:t>
      </w:r>
      <w:r w:rsidR="004167E6">
        <w:rPr>
          <w:rFonts w:ascii="Verdana" w:hAnsi="Verdana"/>
          <w:sz w:val="20"/>
          <w:szCs w:val="20"/>
          <w:lang w:val="es-CR"/>
        </w:rPr>
        <w:t>]</w:t>
      </w:r>
      <w:r w:rsidRPr="00C02552">
        <w:rPr>
          <w:rFonts w:ascii="Verdana" w:hAnsi="Verdana"/>
          <w:sz w:val="20"/>
          <w:szCs w:val="20"/>
          <w:lang w:val="es-CR"/>
        </w:rPr>
        <w:t xml:space="preserve"> el derecho de controlar efectivamente y ser propietarios de su territorio sin ningún tipo de interferencia externa [… Por tanto,] [a] fin de obtener [un] título, el territorio que los miembros de [los] pueblo[s] </w:t>
      </w:r>
      <w:r w:rsidR="00F829AA" w:rsidRPr="00C02552">
        <w:rPr>
          <w:rFonts w:ascii="Verdana" w:hAnsi="Verdana"/>
          <w:sz w:val="20"/>
          <w:szCs w:val="20"/>
          <w:lang w:val="es-CR"/>
        </w:rPr>
        <w:t>[…]</w:t>
      </w:r>
      <w:r w:rsidR="00F829AA">
        <w:rPr>
          <w:rFonts w:ascii="Verdana" w:hAnsi="Verdana"/>
          <w:sz w:val="20"/>
          <w:szCs w:val="20"/>
          <w:lang w:val="es-CR"/>
        </w:rPr>
        <w:t xml:space="preserve"> </w:t>
      </w:r>
      <w:r w:rsidRPr="00C02552">
        <w:rPr>
          <w:rFonts w:ascii="Verdana" w:hAnsi="Verdana"/>
          <w:sz w:val="20"/>
          <w:szCs w:val="20"/>
          <w:lang w:val="es-CR"/>
        </w:rPr>
        <w:t>han usado y ocupado tradicionalmente debe ser primero demarcado y delimitado, a través de consultas realizadas con dicho pueblo y con los pueblos vecinos”</w:t>
      </w:r>
      <w:r w:rsidR="00EC22F5" w:rsidRPr="00C02552">
        <w:rPr>
          <w:rStyle w:val="FootnoteReference"/>
          <w:szCs w:val="20"/>
        </w:rPr>
        <w:footnoteReference w:id="176"/>
      </w:r>
      <w:r w:rsidRPr="00C02552">
        <w:rPr>
          <w:rFonts w:ascii="Verdana" w:hAnsi="Verdana"/>
          <w:sz w:val="20"/>
          <w:szCs w:val="20"/>
          <w:lang w:val="es-CR"/>
        </w:rPr>
        <w:t>.</w:t>
      </w:r>
    </w:p>
    <w:p w14:paraId="645B9BC0" w14:textId="77777777" w:rsidR="00FC1FCF" w:rsidRPr="00C31C5A" w:rsidRDefault="00FC1FCF" w:rsidP="00FC1FCF">
      <w:pPr>
        <w:pStyle w:val="ListParagraph"/>
        <w:spacing w:after="200" w:line="276" w:lineRule="auto"/>
        <w:rPr>
          <w:rFonts w:ascii="Verdana" w:hAnsi="Verdana"/>
          <w:sz w:val="20"/>
          <w:szCs w:val="20"/>
          <w:lang w:val="es-CR"/>
        </w:rPr>
      </w:pPr>
    </w:p>
    <w:p w14:paraId="2972F4F6" w14:textId="77777777" w:rsidR="00FC1FCF" w:rsidRDefault="00FC1FCF" w:rsidP="00FC1FCF">
      <w:pPr>
        <w:pStyle w:val="ListParagraph"/>
        <w:numPr>
          <w:ilvl w:val="0"/>
          <w:numId w:val="2"/>
        </w:numPr>
        <w:ind w:left="0" w:hanging="11"/>
        <w:jc w:val="both"/>
        <w:rPr>
          <w:rFonts w:ascii="Verdana" w:hAnsi="Verdana"/>
          <w:sz w:val="20"/>
          <w:szCs w:val="20"/>
          <w:lang w:val="es-CR"/>
        </w:rPr>
      </w:pPr>
      <w:r>
        <w:rPr>
          <w:rFonts w:ascii="Verdana" w:hAnsi="Verdana"/>
          <w:sz w:val="20"/>
          <w:szCs w:val="20"/>
          <w:lang w:val="es-CR"/>
        </w:rPr>
        <w:t>La Corte hace notar que el artículo 10 del</w:t>
      </w:r>
      <w:r w:rsidRPr="00E80197">
        <w:rPr>
          <w:rFonts w:ascii="Verdana" w:hAnsi="Verdana"/>
          <w:sz w:val="20"/>
          <w:szCs w:val="20"/>
          <w:lang w:val="es-ES"/>
        </w:rPr>
        <w:t xml:space="preserve"> Acuerdo de Paz de </w:t>
      </w:r>
      <w:r w:rsidRPr="00E80197">
        <w:rPr>
          <w:rFonts w:ascii="Verdana" w:hAnsi="Verdana"/>
          <w:sz w:val="20"/>
          <w:szCs w:val="20"/>
          <w:lang w:val="es-MX"/>
        </w:rPr>
        <w:t xml:space="preserve">Lelydorp de 1992 </w:t>
      </w:r>
      <w:r>
        <w:rPr>
          <w:rFonts w:ascii="Verdana" w:hAnsi="Verdana"/>
          <w:sz w:val="20"/>
          <w:szCs w:val="20"/>
          <w:lang w:val="es-MX"/>
        </w:rPr>
        <w:t xml:space="preserve">establecía el compromiso del </w:t>
      </w:r>
      <w:r w:rsidRPr="00E80197">
        <w:rPr>
          <w:rFonts w:ascii="Verdana" w:hAnsi="Verdana"/>
          <w:sz w:val="20"/>
          <w:szCs w:val="20"/>
          <w:lang w:val="es-MX"/>
        </w:rPr>
        <w:t>Estado</w:t>
      </w:r>
      <w:r>
        <w:rPr>
          <w:rFonts w:ascii="Verdana" w:hAnsi="Verdana"/>
          <w:sz w:val="20"/>
          <w:szCs w:val="20"/>
          <w:lang w:val="es-MX"/>
        </w:rPr>
        <w:t xml:space="preserve"> con los pueblos indígenas y tribales de demarcar y otorgar títulos legítimos en sus territorios (</w:t>
      </w:r>
      <w:r w:rsidR="00366D91" w:rsidRPr="00366D91">
        <w:rPr>
          <w:rFonts w:ascii="Verdana" w:hAnsi="Verdana"/>
          <w:i/>
          <w:sz w:val="20"/>
          <w:szCs w:val="20"/>
          <w:lang w:val="es-MX"/>
        </w:rPr>
        <w:t>supra</w:t>
      </w:r>
      <w:r>
        <w:rPr>
          <w:rFonts w:ascii="Verdana" w:hAnsi="Verdana"/>
          <w:sz w:val="20"/>
          <w:szCs w:val="20"/>
          <w:lang w:val="es-MX"/>
        </w:rPr>
        <w:t xml:space="preserve"> párr</w:t>
      </w:r>
      <w:r w:rsidR="00A504FC">
        <w:rPr>
          <w:rFonts w:ascii="Verdana" w:hAnsi="Verdana"/>
          <w:sz w:val="20"/>
          <w:szCs w:val="20"/>
          <w:lang w:val="es-MX"/>
        </w:rPr>
        <w:t xml:space="preserve">. </w:t>
      </w:r>
      <w:r w:rsidR="00F829AA">
        <w:rPr>
          <w:rFonts w:ascii="Verdana" w:hAnsi="Verdana"/>
          <w:sz w:val="20"/>
          <w:szCs w:val="20"/>
          <w:lang w:val="es-MX"/>
        </w:rPr>
        <w:t>51</w:t>
      </w:r>
      <w:r>
        <w:rPr>
          <w:rFonts w:ascii="Verdana" w:hAnsi="Verdana"/>
          <w:sz w:val="20"/>
          <w:szCs w:val="20"/>
          <w:lang w:val="es-MX"/>
        </w:rPr>
        <w:t>).</w:t>
      </w:r>
    </w:p>
    <w:p w14:paraId="3A2C3D89" w14:textId="77777777" w:rsidR="00FC1FCF" w:rsidRPr="00C31C5A" w:rsidRDefault="00FC1FCF" w:rsidP="00FC1FCF">
      <w:pPr>
        <w:pStyle w:val="ListParagraph"/>
        <w:spacing w:after="200" w:line="276" w:lineRule="auto"/>
        <w:rPr>
          <w:rFonts w:ascii="Verdana" w:hAnsi="Verdana"/>
          <w:sz w:val="20"/>
          <w:szCs w:val="20"/>
          <w:lang w:val="es-CR"/>
        </w:rPr>
      </w:pPr>
    </w:p>
    <w:p w14:paraId="4E418523" w14:textId="77777777" w:rsidR="00FC1FCF" w:rsidRPr="002C323A" w:rsidRDefault="0019351F" w:rsidP="00FC1FCF">
      <w:pPr>
        <w:pStyle w:val="ListParagraph"/>
        <w:numPr>
          <w:ilvl w:val="0"/>
          <w:numId w:val="2"/>
        </w:numPr>
        <w:ind w:left="0" w:hanging="11"/>
        <w:jc w:val="both"/>
        <w:rPr>
          <w:rFonts w:ascii="Verdana" w:hAnsi="Verdana"/>
          <w:strike/>
          <w:sz w:val="20"/>
          <w:szCs w:val="20"/>
          <w:lang w:val="es-ES"/>
        </w:rPr>
      </w:pPr>
      <w:r>
        <w:rPr>
          <w:rFonts w:ascii="Verdana" w:hAnsi="Verdana"/>
          <w:sz w:val="20"/>
          <w:szCs w:val="20"/>
          <w:lang w:val="es-CR"/>
        </w:rPr>
        <w:t>D</w:t>
      </w:r>
      <w:r w:rsidR="00FC1FCF">
        <w:rPr>
          <w:rFonts w:ascii="Verdana" w:hAnsi="Verdana"/>
          <w:sz w:val="20"/>
          <w:szCs w:val="20"/>
          <w:lang w:val="es-CR"/>
        </w:rPr>
        <w:t xml:space="preserve">e la prueba obrante en el expediente, así como de la diligencia </w:t>
      </w:r>
      <w:r w:rsidR="00FC1FCF" w:rsidRPr="00C31C5A">
        <w:rPr>
          <w:rFonts w:ascii="Verdana" w:eastAsiaTheme="minorEastAsia" w:hAnsi="Verdana"/>
          <w:i/>
          <w:sz w:val="20"/>
          <w:szCs w:val="20"/>
          <w:lang w:val="es-CR"/>
        </w:rPr>
        <w:t>in situ</w:t>
      </w:r>
      <w:r w:rsidR="00FC1FCF">
        <w:rPr>
          <w:rFonts w:ascii="Verdana" w:hAnsi="Verdana"/>
          <w:sz w:val="20"/>
          <w:szCs w:val="20"/>
          <w:lang w:val="es-CR"/>
        </w:rPr>
        <w:t xml:space="preserve"> realizada por la delegación de la Corte, quedó evidenciado que, en la actualidad </w:t>
      </w:r>
      <w:r w:rsidR="00563E11">
        <w:rPr>
          <w:rFonts w:ascii="Verdana" w:hAnsi="Verdana"/>
          <w:sz w:val="20"/>
          <w:szCs w:val="20"/>
          <w:lang w:val="es-ES"/>
        </w:rPr>
        <w:t>Surinam</w:t>
      </w:r>
      <w:r w:rsidR="00FC1FCF" w:rsidRPr="00C02552">
        <w:rPr>
          <w:rFonts w:ascii="Verdana" w:hAnsi="Verdana"/>
          <w:sz w:val="20"/>
          <w:szCs w:val="20"/>
          <w:lang w:val="es-ES"/>
        </w:rPr>
        <w:t xml:space="preserve"> aún no reconoce </w:t>
      </w:r>
      <w:r w:rsidR="00161542">
        <w:rPr>
          <w:rFonts w:ascii="Verdana" w:hAnsi="Verdana"/>
          <w:sz w:val="20"/>
          <w:szCs w:val="20"/>
          <w:lang w:val="es-ES"/>
        </w:rPr>
        <w:t>el</w:t>
      </w:r>
      <w:r w:rsidR="00FC1FCF" w:rsidRPr="00C02552">
        <w:rPr>
          <w:rFonts w:ascii="Verdana" w:hAnsi="Verdana"/>
          <w:sz w:val="20"/>
          <w:szCs w:val="20"/>
          <w:lang w:val="es-ES"/>
        </w:rPr>
        <w:t xml:space="preserve"> derecho a la propiedad colectiva de pueblos indígenas </w:t>
      </w:r>
      <w:r w:rsidR="00161542">
        <w:rPr>
          <w:rFonts w:ascii="Verdana" w:hAnsi="Verdana"/>
          <w:sz w:val="20"/>
          <w:szCs w:val="20"/>
          <w:lang w:val="es-ES"/>
        </w:rPr>
        <w:t>y</w:t>
      </w:r>
      <w:r w:rsidR="00FC1FCF">
        <w:rPr>
          <w:rFonts w:ascii="Verdana" w:hAnsi="Verdana"/>
          <w:sz w:val="20"/>
          <w:szCs w:val="20"/>
          <w:lang w:val="es-ES"/>
        </w:rPr>
        <w:t xml:space="preserve"> </w:t>
      </w:r>
      <w:r w:rsidR="00FC1FCF" w:rsidRPr="00C02552">
        <w:rPr>
          <w:rFonts w:ascii="Verdana" w:hAnsi="Verdana"/>
          <w:sz w:val="20"/>
          <w:szCs w:val="20"/>
          <w:lang w:val="es-ES"/>
        </w:rPr>
        <w:t xml:space="preserve">tribales, </w:t>
      </w:r>
      <w:r w:rsidR="00FC1FCF">
        <w:rPr>
          <w:rFonts w:ascii="Verdana" w:hAnsi="Verdana"/>
          <w:sz w:val="20"/>
          <w:szCs w:val="20"/>
          <w:lang w:val="es-ES"/>
        </w:rPr>
        <w:t xml:space="preserve">tampoco existen mecanismos </w:t>
      </w:r>
      <w:r w:rsidR="00CB17C1">
        <w:rPr>
          <w:rFonts w:ascii="Verdana" w:hAnsi="Verdana"/>
          <w:sz w:val="20"/>
          <w:szCs w:val="20"/>
          <w:lang w:val="es-ES"/>
        </w:rPr>
        <w:t xml:space="preserve">o procedimientos </w:t>
      </w:r>
      <w:r w:rsidR="00FC1FCF">
        <w:rPr>
          <w:rFonts w:ascii="Verdana" w:hAnsi="Verdana"/>
          <w:sz w:val="20"/>
          <w:szCs w:val="20"/>
          <w:lang w:val="es-ES"/>
        </w:rPr>
        <w:t>para de</w:t>
      </w:r>
      <w:r w:rsidR="00CB17C1">
        <w:rPr>
          <w:rFonts w:ascii="Verdana" w:hAnsi="Verdana"/>
          <w:sz w:val="20"/>
          <w:szCs w:val="20"/>
          <w:lang w:val="es-ES"/>
        </w:rPr>
        <w:t xml:space="preserve">limitar </w:t>
      </w:r>
      <w:r w:rsidR="00FC1FCF">
        <w:rPr>
          <w:rFonts w:ascii="Verdana" w:hAnsi="Verdana"/>
          <w:sz w:val="20"/>
          <w:szCs w:val="20"/>
          <w:lang w:val="es-ES"/>
        </w:rPr>
        <w:t xml:space="preserve">los territorios tradicionales. Como consecuencia, </w:t>
      </w:r>
      <w:r w:rsidR="00FC1FCF" w:rsidRPr="00C02552">
        <w:rPr>
          <w:rFonts w:ascii="Verdana" w:hAnsi="Verdana"/>
          <w:sz w:val="20"/>
          <w:szCs w:val="20"/>
          <w:lang w:val="es-ES"/>
        </w:rPr>
        <w:t xml:space="preserve">los </w:t>
      </w:r>
      <w:r w:rsidR="00382F4D" w:rsidRPr="00B17B8E">
        <w:rPr>
          <w:rFonts w:ascii="Verdana" w:hAnsi="Verdana"/>
          <w:sz w:val="20"/>
          <w:szCs w:val="20"/>
          <w:lang w:val="es-ES"/>
        </w:rPr>
        <w:t>Pueblos Kaliña y Lokono</w:t>
      </w:r>
      <w:r w:rsidR="00FC1FCF">
        <w:rPr>
          <w:rFonts w:ascii="Verdana" w:hAnsi="Verdana"/>
          <w:sz w:val="20"/>
          <w:szCs w:val="20"/>
          <w:lang w:val="es-ES"/>
        </w:rPr>
        <w:t xml:space="preserve"> </w:t>
      </w:r>
      <w:r w:rsidR="00FC1FCF" w:rsidRPr="00C02552">
        <w:rPr>
          <w:rFonts w:ascii="Verdana" w:hAnsi="Verdana"/>
          <w:sz w:val="20"/>
          <w:szCs w:val="20"/>
          <w:lang w:val="es-ES"/>
        </w:rPr>
        <w:t xml:space="preserve">no cuenten con ningún tipo de garantía o título respecto del territorio </w:t>
      </w:r>
      <w:r w:rsidR="00FC1FCF">
        <w:rPr>
          <w:rFonts w:ascii="Verdana" w:hAnsi="Verdana"/>
          <w:sz w:val="20"/>
          <w:szCs w:val="20"/>
          <w:lang w:val="es-ES"/>
        </w:rPr>
        <w:t xml:space="preserve">y hábitat </w:t>
      </w:r>
      <w:r w:rsidR="00FC1FCF" w:rsidRPr="00C02552">
        <w:rPr>
          <w:rFonts w:ascii="Verdana" w:hAnsi="Verdana"/>
          <w:sz w:val="20"/>
          <w:szCs w:val="20"/>
          <w:lang w:val="es-ES"/>
        </w:rPr>
        <w:t>que tradicionalmente han ocupado</w:t>
      </w:r>
      <w:r w:rsidR="00FC1FCF">
        <w:rPr>
          <w:rFonts w:ascii="Verdana" w:hAnsi="Verdana"/>
          <w:sz w:val="20"/>
          <w:szCs w:val="20"/>
          <w:lang w:val="es-ES"/>
        </w:rPr>
        <w:t xml:space="preserve"> </w:t>
      </w:r>
      <w:r w:rsidR="00FC1FCF" w:rsidRPr="00C02552">
        <w:rPr>
          <w:rFonts w:ascii="Verdana" w:hAnsi="Verdana"/>
          <w:sz w:val="20"/>
          <w:szCs w:val="20"/>
          <w:lang w:val="es-ES"/>
        </w:rPr>
        <w:t xml:space="preserve">ni del que actualmente tienen posesión. </w:t>
      </w:r>
      <w:r w:rsidR="00FC1FCF">
        <w:rPr>
          <w:rFonts w:ascii="Verdana" w:hAnsi="Verdana"/>
          <w:sz w:val="20"/>
          <w:szCs w:val="20"/>
          <w:lang w:val="es-ES"/>
        </w:rPr>
        <w:t xml:space="preserve">Además, </w:t>
      </w:r>
      <w:r w:rsidR="00FC1FCF" w:rsidRPr="00C02552">
        <w:rPr>
          <w:rFonts w:ascii="Verdana" w:hAnsi="Verdana"/>
          <w:sz w:val="20"/>
          <w:szCs w:val="20"/>
          <w:lang w:val="es-ES"/>
        </w:rPr>
        <w:t>el Estado no ha realizado ninguna acción a fin de delimitar, demarcar y titular el territorio tradicional ni garantizar el uso y goce de su territorio</w:t>
      </w:r>
      <w:r w:rsidR="00FC1FCF">
        <w:rPr>
          <w:rFonts w:ascii="Verdana" w:hAnsi="Verdana"/>
          <w:sz w:val="20"/>
          <w:szCs w:val="20"/>
          <w:lang w:val="es-ES"/>
        </w:rPr>
        <w:t xml:space="preserve"> frente a terceros</w:t>
      </w:r>
      <w:r w:rsidR="00014B9A">
        <w:rPr>
          <w:rFonts w:ascii="Verdana" w:hAnsi="Verdana"/>
          <w:sz w:val="20"/>
          <w:szCs w:val="20"/>
          <w:lang w:val="es-ES"/>
        </w:rPr>
        <w:t>.</w:t>
      </w:r>
      <w:r w:rsidR="00CB17C1">
        <w:rPr>
          <w:rFonts w:ascii="Verdana" w:hAnsi="Verdana"/>
          <w:sz w:val="20"/>
          <w:szCs w:val="20"/>
          <w:lang w:val="es-ES"/>
        </w:rPr>
        <w:t xml:space="preserve"> </w:t>
      </w:r>
    </w:p>
    <w:p w14:paraId="429D7DC9" w14:textId="77777777" w:rsidR="00FC1FCF" w:rsidRPr="00C02552" w:rsidRDefault="00FC1FCF" w:rsidP="00190AD3">
      <w:pPr>
        <w:rPr>
          <w:rFonts w:ascii="Verdana" w:hAnsi="Verdana"/>
          <w:i/>
          <w:sz w:val="20"/>
          <w:lang w:val="es-ES"/>
        </w:rPr>
      </w:pPr>
    </w:p>
    <w:p w14:paraId="2EEF5B57" w14:textId="0CF2338D" w:rsidR="00FC1FCF" w:rsidRDefault="00014B9A" w:rsidP="00FC1FCF">
      <w:pPr>
        <w:pStyle w:val="ListParagraph"/>
        <w:numPr>
          <w:ilvl w:val="0"/>
          <w:numId w:val="2"/>
        </w:numPr>
        <w:ind w:left="0" w:hanging="11"/>
        <w:jc w:val="both"/>
        <w:rPr>
          <w:rFonts w:ascii="Verdana" w:hAnsi="Verdana"/>
          <w:sz w:val="20"/>
          <w:szCs w:val="20"/>
          <w:lang w:val="es-ES"/>
        </w:rPr>
      </w:pPr>
      <w:r w:rsidRPr="00880EAE">
        <w:rPr>
          <w:rFonts w:ascii="Verdana" w:hAnsi="Verdana"/>
          <w:sz w:val="20"/>
          <w:szCs w:val="20"/>
          <w:lang w:val="es-CR"/>
        </w:rPr>
        <w:t>Respecto de la extensión del territorio tradicional y ocupación por otros pueblos tribales (</w:t>
      </w:r>
      <w:r w:rsidR="006D4D2C">
        <w:rPr>
          <w:rFonts w:ascii="Verdana" w:hAnsi="Verdana"/>
          <w:sz w:val="20"/>
          <w:szCs w:val="20"/>
          <w:lang w:val="es-CR"/>
        </w:rPr>
        <w:t>maroon</w:t>
      </w:r>
      <w:r w:rsidRPr="00880EAE">
        <w:rPr>
          <w:rFonts w:ascii="Verdana" w:hAnsi="Verdana"/>
          <w:sz w:val="20"/>
          <w:szCs w:val="20"/>
          <w:lang w:val="es-CR"/>
        </w:rPr>
        <w:t>s)</w:t>
      </w:r>
      <w:r w:rsidR="00CA47E7" w:rsidRPr="00880EAE">
        <w:rPr>
          <w:rFonts w:ascii="Verdana" w:hAnsi="Verdana"/>
          <w:sz w:val="20"/>
          <w:szCs w:val="20"/>
          <w:lang w:val="es-ES"/>
        </w:rPr>
        <w:t>,</w:t>
      </w:r>
      <w:r>
        <w:rPr>
          <w:rFonts w:ascii="Verdana" w:hAnsi="Verdana"/>
          <w:sz w:val="20"/>
          <w:szCs w:val="20"/>
          <w:lang w:val="es-ES"/>
        </w:rPr>
        <w:t xml:space="preserve"> e</w:t>
      </w:r>
      <w:r w:rsidR="00FC1FCF" w:rsidRPr="00C02552">
        <w:rPr>
          <w:rFonts w:ascii="Verdana" w:hAnsi="Verdana"/>
          <w:sz w:val="20"/>
          <w:szCs w:val="20"/>
          <w:lang w:val="es-ES"/>
        </w:rPr>
        <w:t>n el presente caso</w:t>
      </w:r>
      <w:r w:rsidR="00161542">
        <w:rPr>
          <w:rFonts w:ascii="Verdana" w:hAnsi="Verdana"/>
          <w:sz w:val="20"/>
          <w:szCs w:val="20"/>
          <w:lang w:val="es-ES"/>
        </w:rPr>
        <w:t>,</w:t>
      </w:r>
      <w:r w:rsidR="00FC1FCF" w:rsidRPr="00C02552">
        <w:rPr>
          <w:rFonts w:ascii="Verdana" w:hAnsi="Verdana"/>
          <w:sz w:val="20"/>
          <w:szCs w:val="20"/>
          <w:lang w:val="es-ES"/>
        </w:rPr>
        <w:t xml:space="preserve"> los representantes han señalado que </w:t>
      </w:r>
      <w:r w:rsidR="00CB17C1">
        <w:rPr>
          <w:rFonts w:ascii="Verdana" w:hAnsi="Verdana"/>
          <w:sz w:val="20"/>
          <w:szCs w:val="20"/>
          <w:lang w:val="es-ES"/>
        </w:rPr>
        <w:t>el</w:t>
      </w:r>
      <w:r w:rsidR="00FC1FCF" w:rsidRPr="00C02552">
        <w:rPr>
          <w:rFonts w:ascii="Verdana" w:hAnsi="Verdana"/>
          <w:sz w:val="20"/>
          <w:szCs w:val="20"/>
          <w:lang w:val="es-ES"/>
        </w:rPr>
        <w:t xml:space="preserve"> territorio tradicional </w:t>
      </w:r>
      <w:r w:rsidR="00CB17C1" w:rsidRPr="00C02552">
        <w:rPr>
          <w:rFonts w:ascii="Verdana" w:hAnsi="Verdana"/>
          <w:sz w:val="20"/>
          <w:szCs w:val="20"/>
          <w:lang w:val="es-ES"/>
        </w:rPr>
        <w:t>co</w:t>
      </w:r>
      <w:r w:rsidR="00CB17C1">
        <w:rPr>
          <w:rFonts w:ascii="Verdana" w:hAnsi="Verdana"/>
          <w:sz w:val="20"/>
          <w:szCs w:val="20"/>
          <w:lang w:val="es-ES"/>
        </w:rPr>
        <w:t>mprende</w:t>
      </w:r>
      <w:r w:rsidR="00FC1FCF" w:rsidRPr="00C02552">
        <w:rPr>
          <w:rFonts w:ascii="Verdana" w:hAnsi="Verdana"/>
          <w:sz w:val="20"/>
          <w:szCs w:val="20"/>
          <w:lang w:val="es-ES"/>
        </w:rPr>
        <w:t xml:space="preserve"> una extensión aproximada de </w:t>
      </w:r>
      <w:r w:rsidR="00FC1FCF" w:rsidRPr="00C02552">
        <w:rPr>
          <w:rFonts w:ascii="Verdana" w:hAnsi="Verdana"/>
          <w:sz w:val="20"/>
          <w:szCs w:val="20"/>
          <w:lang w:val="es-CR"/>
        </w:rPr>
        <w:t xml:space="preserve">133,945 </w:t>
      </w:r>
      <w:r w:rsidR="004E7D46">
        <w:rPr>
          <w:rFonts w:ascii="Verdana" w:hAnsi="Verdana"/>
          <w:sz w:val="20"/>
          <w:szCs w:val="20"/>
          <w:lang w:val="es-CR"/>
        </w:rPr>
        <w:t>ha</w:t>
      </w:r>
      <w:r w:rsidR="00FC1FCF" w:rsidRPr="00C02552">
        <w:rPr>
          <w:rFonts w:ascii="Verdana" w:hAnsi="Verdana"/>
          <w:sz w:val="20"/>
          <w:szCs w:val="20"/>
          <w:lang w:val="es-CR"/>
        </w:rPr>
        <w:t xml:space="preserve"> </w:t>
      </w:r>
      <w:r w:rsidR="00FC1FCF" w:rsidRPr="00C02552">
        <w:rPr>
          <w:rFonts w:ascii="Verdana" w:hAnsi="Verdana"/>
          <w:sz w:val="20"/>
          <w:szCs w:val="20"/>
          <w:lang w:val="es-ES"/>
        </w:rPr>
        <w:t xml:space="preserve">y han remitido un mapa con </w:t>
      </w:r>
      <w:r w:rsidR="00161542">
        <w:rPr>
          <w:rFonts w:ascii="Verdana" w:hAnsi="Verdana"/>
          <w:sz w:val="20"/>
          <w:szCs w:val="20"/>
          <w:lang w:val="es-ES"/>
        </w:rPr>
        <w:t xml:space="preserve">las </w:t>
      </w:r>
      <w:r w:rsidR="00FC1FCF" w:rsidRPr="00C02552">
        <w:rPr>
          <w:rFonts w:ascii="Verdana" w:hAnsi="Verdana"/>
          <w:sz w:val="20"/>
          <w:szCs w:val="20"/>
          <w:lang w:val="es-ES"/>
        </w:rPr>
        <w:t>áreas aproximadas</w:t>
      </w:r>
      <w:r w:rsidR="00161542">
        <w:rPr>
          <w:rFonts w:ascii="Verdana" w:hAnsi="Verdana"/>
          <w:sz w:val="20"/>
          <w:szCs w:val="20"/>
          <w:lang w:val="es-ES"/>
        </w:rPr>
        <w:t xml:space="preserve"> que dicho territorio abarcaría</w:t>
      </w:r>
      <w:r w:rsidR="0014074B">
        <w:rPr>
          <w:rFonts w:ascii="Verdana" w:hAnsi="Verdana"/>
          <w:sz w:val="20"/>
          <w:szCs w:val="20"/>
          <w:lang w:val="es-ES"/>
        </w:rPr>
        <w:t xml:space="preserve"> </w:t>
      </w:r>
      <w:r w:rsidR="00CB17C1">
        <w:rPr>
          <w:rFonts w:ascii="Verdana" w:hAnsi="Verdana"/>
          <w:sz w:val="20"/>
          <w:szCs w:val="20"/>
          <w:lang w:val="es-ES"/>
        </w:rPr>
        <w:t>(</w:t>
      </w:r>
      <w:r w:rsidR="00366D91" w:rsidRPr="00366D91">
        <w:rPr>
          <w:rFonts w:ascii="Verdana" w:hAnsi="Verdana"/>
          <w:i/>
          <w:sz w:val="20"/>
          <w:szCs w:val="20"/>
          <w:lang w:val="es-ES"/>
        </w:rPr>
        <w:t>supra</w:t>
      </w:r>
      <w:r w:rsidR="00CB17C1">
        <w:rPr>
          <w:rFonts w:ascii="Verdana" w:hAnsi="Verdana"/>
          <w:sz w:val="20"/>
          <w:szCs w:val="20"/>
          <w:lang w:val="es-ES"/>
        </w:rPr>
        <w:t xml:space="preserve"> párr</w:t>
      </w:r>
      <w:r w:rsidR="00A504FC">
        <w:rPr>
          <w:rFonts w:ascii="Verdana" w:hAnsi="Verdana"/>
          <w:sz w:val="20"/>
          <w:szCs w:val="20"/>
          <w:lang w:val="es-ES"/>
        </w:rPr>
        <w:t>s</w:t>
      </w:r>
      <w:r w:rsidR="00161542">
        <w:rPr>
          <w:rFonts w:ascii="Verdana" w:hAnsi="Verdana"/>
          <w:sz w:val="20"/>
          <w:szCs w:val="20"/>
          <w:lang w:val="es-ES"/>
        </w:rPr>
        <w:t xml:space="preserve">. </w:t>
      </w:r>
      <w:r w:rsidR="00A504FC">
        <w:rPr>
          <w:rFonts w:ascii="Verdana" w:hAnsi="Verdana"/>
          <w:sz w:val="20"/>
          <w:szCs w:val="20"/>
          <w:lang w:val="es-ES"/>
        </w:rPr>
        <w:t xml:space="preserve">8 y </w:t>
      </w:r>
      <w:r w:rsidR="00161542">
        <w:rPr>
          <w:rFonts w:ascii="Verdana" w:hAnsi="Verdana"/>
          <w:sz w:val="20"/>
          <w:szCs w:val="20"/>
          <w:lang w:val="es-ES"/>
        </w:rPr>
        <w:t>30</w:t>
      </w:r>
      <w:r w:rsidR="00CB17C1">
        <w:rPr>
          <w:rFonts w:ascii="Verdana" w:hAnsi="Verdana"/>
          <w:sz w:val="20"/>
          <w:szCs w:val="20"/>
          <w:lang w:val="es-ES"/>
        </w:rPr>
        <w:t xml:space="preserve">). </w:t>
      </w:r>
      <w:r w:rsidR="00CB17C1" w:rsidRPr="00C02552">
        <w:rPr>
          <w:rFonts w:ascii="Verdana" w:hAnsi="Verdana"/>
          <w:sz w:val="20"/>
          <w:szCs w:val="20"/>
          <w:lang w:val="es-ES"/>
        </w:rPr>
        <w:t xml:space="preserve"> </w:t>
      </w:r>
    </w:p>
    <w:p w14:paraId="2F8FF1D9" w14:textId="77777777" w:rsidR="00FC1FCF" w:rsidRDefault="00FC1FCF" w:rsidP="00FC1FCF">
      <w:pPr>
        <w:pStyle w:val="ListParagraph"/>
        <w:jc w:val="both"/>
        <w:rPr>
          <w:rFonts w:ascii="Verdana" w:hAnsi="Verdana"/>
          <w:sz w:val="20"/>
          <w:szCs w:val="20"/>
          <w:lang w:val="es-ES"/>
        </w:rPr>
      </w:pPr>
    </w:p>
    <w:p w14:paraId="403DD21F" w14:textId="77777777" w:rsidR="00CB17C1" w:rsidRPr="00A26293" w:rsidRDefault="00CB17C1" w:rsidP="0014074B">
      <w:pPr>
        <w:pStyle w:val="ListParagraph"/>
        <w:numPr>
          <w:ilvl w:val="0"/>
          <w:numId w:val="2"/>
        </w:numPr>
        <w:ind w:left="0" w:hanging="11"/>
        <w:jc w:val="both"/>
        <w:rPr>
          <w:rFonts w:ascii="Verdana" w:hAnsi="Verdana" w:cs="Verdana"/>
          <w:lang w:val="es-CR"/>
        </w:rPr>
      </w:pPr>
      <w:r>
        <w:rPr>
          <w:rFonts w:ascii="Verdana" w:eastAsiaTheme="minorHAnsi" w:hAnsi="Verdana" w:cs="Verdana"/>
          <w:color w:val="000000"/>
          <w:sz w:val="20"/>
          <w:szCs w:val="20"/>
          <w:lang w:val="es-CR"/>
        </w:rPr>
        <w:t xml:space="preserve">La Corte ha establecido que </w:t>
      </w:r>
      <w:r w:rsidRPr="00C31C5A">
        <w:rPr>
          <w:rFonts w:ascii="Verdana" w:hAnsi="Verdana"/>
          <w:sz w:val="20"/>
          <w:szCs w:val="20"/>
          <w:lang w:val="es-ES"/>
        </w:rPr>
        <w:t>los derechos territoriales de los pueblos indígenas “</w:t>
      </w:r>
      <w:r>
        <w:rPr>
          <w:rFonts w:ascii="Verdana" w:hAnsi="Verdana"/>
          <w:sz w:val="20"/>
          <w:szCs w:val="20"/>
          <w:lang w:val="es-ES"/>
        </w:rPr>
        <w:t>abarcan un concepto más amplio y diferente que está relacionado con</w:t>
      </w:r>
      <w:r w:rsidRPr="00C31C5A">
        <w:rPr>
          <w:rFonts w:ascii="Verdana" w:hAnsi="Verdana"/>
          <w:sz w:val="20"/>
          <w:szCs w:val="20"/>
          <w:lang w:val="es-ES"/>
        </w:rPr>
        <w:t xml:space="preserve"> el derecho colectivo a la supervivencia como pueblo organizado, con el control de su hábitat como una condición necesaria para la reproducción de su cultura, para su propio desarrollo y para llevar a cabo sus </w:t>
      </w:r>
      <w:r>
        <w:rPr>
          <w:rFonts w:ascii="Verdana" w:hAnsi="Verdana"/>
          <w:sz w:val="20"/>
          <w:szCs w:val="20"/>
          <w:lang w:val="es-ES"/>
        </w:rPr>
        <w:t>planes</w:t>
      </w:r>
      <w:r w:rsidRPr="00C31C5A">
        <w:rPr>
          <w:rFonts w:ascii="Verdana" w:hAnsi="Verdana"/>
          <w:sz w:val="20"/>
          <w:szCs w:val="20"/>
          <w:lang w:val="es-ES"/>
        </w:rPr>
        <w:t xml:space="preserve"> de vida</w:t>
      </w:r>
      <w:r w:rsidR="00E92150">
        <w:rPr>
          <w:rFonts w:ascii="Verdana" w:hAnsi="Verdana"/>
          <w:sz w:val="20"/>
          <w:szCs w:val="20"/>
          <w:lang w:val="es-ES"/>
        </w:rPr>
        <w:t>”</w:t>
      </w:r>
      <w:r w:rsidR="00BD1AFF">
        <w:rPr>
          <w:rStyle w:val="FootnoteReference"/>
          <w:szCs w:val="20"/>
          <w:lang w:val="es-ES"/>
        </w:rPr>
        <w:footnoteReference w:id="177"/>
      </w:r>
      <w:r w:rsidRPr="00C31C5A">
        <w:rPr>
          <w:rFonts w:ascii="Verdana" w:hAnsi="Verdana"/>
          <w:sz w:val="20"/>
          <w:szCs w:val="20"/>
          <w:lang w:val="es-ES"/>
        </w:rPr>
        <w:t>.</w:t>
      </w:r>
      <w:r w:rsidR="00772D46">
        <w:rPr>
          <w:rFonts w:ascii="Verdana" w:hAnsi="Verdana"/>
          <w:sz w:val="20"/>
          <w:szCs w:val="20"/>
          <w:lang w:val="es-ES"/>
        </w:rPr>
        <w:t xml:space="preserve"> </w:t>
      </w:r>
      <w:r w:rsidR="00E92150">
        <w:rPr>
          <w:rFonts w:ascii="Verdana" w:hAnsi="Verdana"/>
          <w:sz w:val="20"/>
          <w:szCs w:val="20"/>
          <w:lang w:val="es-ES"/>
        </w:rPr>
        <w:t>“</w:t>
      </w:r>
      <w:r w:rsidRPr="00EC1CDE">
        <w:rPr>
          <w:rFonts w:ascii="Verdana" w:eastAsiaTheme="minorHAnsi" w:hAnsi="Verdana" w:cs="Verdana"/>
          <w:sz w:val="20"/>
          <w:szCs w:val="20"/>
          <w:lang w:val="es-CR"/>
        </w:rPr>
        <w:t>La propiedad sobre la tierra</w:t>
      </w:r>
      <w:r>
        <w:rPr>
          <w:rFonts w:ascii="Verdana" w:eastAsiaTheme="minorHAnsi" w:hAnsi="Verdana" w:cs="Verdana"/>
          <w:sz w:val="20"/>
          <w:szCs w:val="20"/>
          <w:lang w:val="es-CR"/>
        </w:rPr>
        <w:t xml:space="preserve"> </w:t>
      </w:r>
      <w:r w:rsidRPr="00EC1CDE">
        <w:rPr>
          <w:rFonts w:ascii="Verdana" w:eastAsiaTheme="minorHAnsi" w:hAnsi="Verdana" w:cs="Verdana"/>
          <w:sz w:val="20"/>
          <w:szCs w:val="20"/>
          <w:lang w:val="es-CR"/>
        </w:rPr>
        <w:t>ga</w:t>
      </w:r>
      <w:r w:rsidRPr="00357B8A">
        <w:rPr>
          <w:rFonts w:ascii="Verdana" w:eastAsiaTheme="minorHAnsi" w:hAnsi="Verdana" w:cs="Verdana"/>
          <w:sz w:val="20"/>
          <w:szCs w:val="20"/>
          <w:lang w:val="es-CR"/>
        </w:rPr>
        <w:t>rantiza que los miembros de las</w:t>
      </w:r>
      <w:r>
        <w:rPr>
          <w:rFonts w:ascii="Verdana" w:eastAsiaTheme="minorHAnsi" w:hAnsi="Verdana" w:cs="Verdana"/>
          <w:sz w:val="20"/>
          <w:szCs w:val="20"/>
          <w:lang w:val="es-CR"/>
        </w:rPr>
        <w:t xml:space="preserve"> </w:t>
      </w:r>
      <w:r w:rsidRPr="00EC1CDE">
        <w:rPr>
          <w:rFonts w:ascii="Verdana" w:eastAsiaTheme="minorHAnsi" w:hAnsi="Verdana" w:cs="Verdana"/>
          <w:sz w:val="20"/>
          <w:szCs w:val="20"/>
          <w:lang w:val="es-CR"/>
        </w:rPr>
        <w:t>comunidades indígenas conserven su patrimonio</w:t>
      </w:r>
      <w:r>
        <w:rPr>
          <w:rFonts w:ascii="Verdana" w:hAnsi="Verdana"/>
          <w:sz w:val="20"/>
          <w:szCs w:val="20"/>
          <w:lang w:val="es-ES"/>
        </w:rPr>
        <w:t xml:space="preserve"> </w:t>
      </w:r>
      <w:r w:rsidRPr="00357B8A">
        <w:rPr>
          <w:rFonts w:ascii="Verdana" w:eastAsiaTheme="minorHAnsi" w:hAnsi="Verdana" w:cs="Verdana"/>
          <w:sz w:val="20"/>
          <w:szCs w:val="20"/>
          <w:lang w:val="es-CR"/>
        </w:rPr>
        <w:t>cultural</w:t>
      </w:r>
      <w:r w:rsidR="005938FE">
        <w:rPr>
          <w:rFonts w:ascii="Verdana" w:eastAsiaTheme="minorHAnsi" w:hAnsi="Verdana" w:cs="Verdana"/>
          <w:sz w:val="20"/>
          <w:szCs w:val="20"/>
          <w:lang w:val="es-CR"/>
        </w:rPr>
        <w:t>”</w:t>
      </w:r>
      <w:r w:rsidRPr="00C31C5A">
        <w:rPr>
          <w:rFonts w:ascii="Verdana" w:hAnsi="Verdana"/>
          <w:sz w:val="20"/>
          <w:szCs w:val="20"/>
          <w:vertAlign w:val="superscript"/>
        </w:rPr>
        <w:footnoteReference w:id="178"/>
      </w:r>
      <w:r w:rsidRPr="00357B8A">
        <w:rPr>
          <w:rFonts w:ascii="Verdana" w:eastAsiaTheme="minorHAnsi" w:hAnsi="Verdana" w:cs="Verdana"/>
          <w:sz w:val="20"/>
          <w:szCs w:val="20"/>
          <w:lang w:val="es-CR"/>
        </w:rPr>
        <w:t>.</w:t>
      </w:r>
      <w:r>
        <w:rPr>
          <w:rFonts w:ascii="Verdana" w:eastAsiaTheme="minorHAnsi" w:hAnsi="Verdana" w:cs="Verdana"/>
          <w:sz w:val="20"/>
          <w:szCs w:val="20"/>
          <w:lang w:val="es-CR"/>
        </w:rPr>
        <w:t xml:space="preserve"> </w:t>
      </w:r>
    </w:p>
    <w:p w14:paraId="1EB2C342" w14:textId="77777777" w:rsidR="00FC1FCF" w:rsidRPr="00522BD5" w:rsidRDefault="00FC1FCF" w:rsidP="00FC1FCF">
      <w:pPr>
        <w:pStyle w:val="ListParagraph"/>
        <w:jc w:val="both"/>
        <w:rPr>
          <w:rFonts w:ascii="Verdana" w:hAnsi="Verdana"/>
          <w:sz w:val="20"/>
          <w:szCs w:val="20"/>
          <w:lang w:val="es-ES"/>
        </w:rPr>
      </w:pPr>
    </w:p>
    <w:p w14:paraId="4AF98634" w14:textId="77777777" w:rsidR="00CB17C1" w:rsidRPr="00261627" w:rsidRDefault="00CB17C1" w:rsidP="00CB17C1">
      <w:pPr>
        <w:pStyle w:val="ListParagraph"/>
        <w:numPr>
          <w:ilvl w:val="0"/>
          <w:numId w:val="2"/>
        </w:numPr>
        <w:ind w:left="0" w:hanging="11"/>
        <w:jc w:val="both"/>
        <w:rPr>
          <w:rFonts w:ascii="Verdana" w:hAnsi="Verdana"/>
          <w:sz w:val="20"/>
          <w:szCs w:val="20"/>
          <w:lang w:val="es-ES"/>
        </w:rPr>
      </w:pPr>
      <w:r w:rsidRPr="00CB17C1">
        <w:rPr>
          <w:rFonts w:ascii="Verdana" w:hAnsi="Verdana"/>
          <w:sz w:val="20"/>
          <w:szCs w:val="20"/>
          <w:lang w:val="es-ES"/>
        </w:rPr>
        <w:t xml:space="preserve">Cabe precisar, que </w:t>
      </w:r>
      <w:r w:rsidR="00FC1FCF" w:rsidRPr="00CB17C1">
        <w:rPr>
          <w:rFonts w:ascii="Verdana" w:hAnsi="Verdana"/>
          <w:sz w:val="20"/>
          <w:szCs w:val="20"/>
          <w:lang w:val="es-ES"/>
        </w:rPr>
        <w:t>pa</w:t>
      </w:r>
      <w:r w:rsidR="00C447F8" w:rsidRPr="00CB17C1">
        <w:rPr>
          <w:rFonts w:ascii="Verdana" w:hAnsi="Verdana"/>
          <w:sz w:val="20"/>
          <w:szCs w:val="20"/>
          <w:lang w:val="es-ES"/>
        </w:rPr>
        <w:t xml:space="preserve">ra efectos de la delimitación, </w:t>
      </w:r>
      <w:r w:rsidR="00FC1FCF" w:rsidRPr="00CB17C1">
        <w:rPr>
          <w:rFonts w:ascii="Verdana" w:hAnsi="Verdana"/>
          <w:sz w:val="20"/>
          <w:szCs w:val="20"/>
          <w:lang w:val="es-ES"/>
        </w:rPr>
        <w:t xml:space="preserve">demarcación </w:t>
      </w:r>
      <w:r w:rsidR="00C447F8" w:rsidRPr="00CB17C1">
        <w:rPr>
          <w:rFonts w:ascii="Verdana" w:hAnsi="Verdana"/>
          <w:sz w:val="20"/>
          <w:szCs w:val="20"/>
          <w:lang w:val="es-ES"/>
        </w:rPr>
        <w:t xml:space="preserve">y titulación </w:t>
      </w:r>
      <w:r w:rsidR="00FC1FCF" w:rsidRPr="00CB17C1">
        <w:rPr>
          <w:rFonts w:ascii="Verdana" w:hAnsi="Verdana"/>
          <w:sz w:val="20"/>
          <w:szCs w:val="20"/>
          <w:lang w:val="es-ES"/>
        </w:rPr>
        <w:t xml:space="preserve">del territorio tradicional en el presente caso, la Corte estima que el derecho a la propiedad de los pueblos indígenas y tribales </w:t>
      </w:r>
      <w:r w:rsidR="00C447F8" w:rsidRPr="00CB17C1">
        <w:rPr>
          <w:rFonts w:ascii="Verdana" w:hAnsi="Verdana"/>
          <w:sz w:val="20"/>
          <w:szCs w:val="20"/>
          <w:lang w:val="es-ES"/>
        </w:rPr>
        <w:t xml:space="preserve">contempla garantías plenas sobre </w:t>
      </w:r>
      <w:r>
        <w:rPr>
          <w:rFonts w:ascii="Verdana" w:hAnsi="Verdana"/>
          <w:sz w:val="20"/>
          <w:szCs w:val="20"/>
          <w:lang w:val="es-ES"/>
        </w:rPr>
        <w:t>los territorios</w:t>
      </w:r>
      <w:r w:rsidR="00FC1FCF" w:rsidRPr="00CB17C1">
        <w:rPr>
          <w:rFonts w:ascii="Verdana" w:hAnsi="Verdana"/>
          <w:sz w:val="20"/>
          <w:szCs w:val="20"/>
          <w:lang w:val="es-ES"/>
        </w:rPr>
        <w:t xml:space="preserve"> que tradicionalmente han poseído, ocupado,</w:t>
      </w:r>
      <w:r w:rsidRPr="00CB17C1">
        <w:rPr>
          <w:rFonts w:ascii="Verdana" w:hAnsi="Verdana"/>
          <w:sz w:val="20"/>
          <w:szCs w:val="20"/>
          <w:lang w:val="es-ES"/>
        </w:rPr>
        <w:t xml:space="preserve"> y </w:t>
      </w:r>
      <w:r w:rsidR="00FC1FCF" w:rsidRPr="00CB17C1">
        <w:rPr>
          <w:rFonts w:ascii="Verdana" w:hAnsi="Verdana"/>
          <w:sz w:val="20"/>
          <w:szCs w:val="20"/>
          <w:lang w:val="es-ES"/>
        </w:rPr>
        <w:t xml:space="preserve">utilizado para ejercer su propia forma de vida, </w:t>
      </w:r>
      <w:r w:rsidR="00FC1FCF" w:rsidRPr="00CB17C1">
        <w:rPr>
          <w:rFonts w:ascii="Verdana" w:hAnsi="Verdana"/>
          <w:sz w:val="20"/>
          <w:szCs w:val="20"/>
          <w:lang w:val="es-ES"/>
        </w:rPr>
        <w:lastRenderedPageBreak/>
        <w:t>subsistencia, tradiciones, cultura y desarrollo como pueblos</w:t>
      </w:r>
      <w:r>
        <w:rPr>
          <w:rStyle w:val="FootnoteReference"/>
          <w:szCs w:val="20"/>
          <w:lang w:val="es-ES"/>
        </w:rPr>
        <w:footnoteReference w:id="179"/>
      </w:r>
      <w:r w:rsidR="00FC1FCF" w:rsidRPr="00CB17C1">
        <w:rPr>
          <w:rFonts w:ascii="Verdana" w:hAnsi="Verdana"/>
          <w:sz w:val="20"/>
          <w:szCs w:val="20"/>
          <w:lang w:val="es-ES"/>
        </w:rPr>
        <w:t xml:space="preserve">. </w:t>
      </w:r>
      <w:r w:rsidR="00C447F8" w:rsidRPr="00CB17C1">
        <w:rPr>
          <w:rFonts w:ascii="Verdana" w:hAnsi="Verdana"/>
          <w:sz w:val="20"/>
          <w:szCs w:val="20"/>
          <w:lang w:val="es-ES"/>
        </w:rPr>
        <w:t>S</w:t>
      </w:r>
      <w:r w:rsidR="00FC1FCF" w:rsidRPr="00CB17C1">
        <w:rPr>
          <w:rFonts w:ascii="Verdana" w:hAnsi="Verdana"/>
          <w:sz w:val="20"/>
          <w:szCs w:val="20"/>
          <w:lang w:val="es-ES"/>
        </w:rPr>
        <w:t xml:space="preserve">in perjuicio de </w:t>
      </w:r>
      <w:r w:rsidR="00C447F8" w:rsidRPr="00CB17C1">
        <w:rPr>
          <w:rFonts w:ascii="Verdana" w:hAnsi="Verdana"/>
          <w:sz w:val="20"/>
          <w:szCs w:val="20"/>
          <w:lang w:val="es-ES"/>
        </w:rPr>
        <w:t xml:space="preserve">lo anterior, existirían </w:t>
      </w:r>
      <w:r w:rsidR="00FC1FCF" w:rsidRPr="00CB17C1">
        <w:rPr>
          <w:rFonts w:ascii="Verdana" w:hAnsi="Verdana"/>
          <w:sz w:val="20"/>
          <w:szCs w:val="20"/>
          <w:lang w:val="es-ES"/>
        </w:rPr>
        <w:t>otras áreas tradicionales complementarias o adicionales</w:t>
      </w:r>
      <w:r w:rsidRPr="00CB17C1">
        <w:rPr>
          <w:rFonts w:ascii="Verdana" w:hAnsi="Verdana"/>
          <w:sz w:val="20"/>
          <w:szCs w:val="20"/>
          <w:lang w:val="es-ES"/>
        </w:rPr>
        <w:t xml:space="preserve"> a las que hayan tenido acceso para sus actividades tradicionales o de subsistencia</w:t>
      </w:r>
      <w:r w:rsidR="00FC1FCF" w:rsidRPr="00CB17C1">
        <w:rPr>
          <w:rFonts w:ascii="Verdana" w:hAnsi="Verdana"/>
          <w:sz w:val="20"/>
          <w:szCs w:val="20"/>
          <w:lang w:val="es-ES"/>
        </w:rPr>
        <w:t xml:space="preserve"> (que en su caso pueden compartir otros fines),</w:t>
      </w:r>
      <w:r w:rsidR="00C447F8" w:rsidRPr="00CB17C1">
        <w:rPr>
          <w:rFonts w:ascii="Verdana" w:hAnsi="Verdana"/>
          <w:sz w:val="20"/>
          <w:szCs w:val="20"/>
          <w:lang w:val="es-ES"/>
        </w:rPr>
        <w:t xml:space="preserve"> respecto de las que</w:t>
      </w:r>
      <w:r w:rsidR="00FC1FCF" w:rsidRPr="00CB17C1">
        <w:rPr>
          <w:rFonts w:ascii="Verdana" w:hAnsi="Verdana"/>
          <w:sz w:val="20"/>
          <w:szCs w:val="20"/>
          <w:lang w:val="es-ES"/>
        </w:rPr>
        <w:t xml:space="preserve"> se debe garantizar, al menos, su acceso y uso en la medida de lo que corresponda</w:t>
      </w:r>
      <w:r>
        <w:rPr>
          <w:rFonts w:ascii="Verdana" w:hAnsi="Verdana"/>
          <w:sz w:val="20"/>
          <w:szCs w:val="20"/>
          <w:lang w:val="es-ES"/>
        </w:rPr>
        <w:t xml:space="preserve">. </w:t>
      </w:r>
    </w:p>
    <w:p w14:paraId="619E60D0" w14:textId="77777777" w:rsidR="00FC1FCF" w:rsidRPr="00CB17C1" w:rsidRDefault="00FC1FCF" w:rsidP="00261627">
      <w:pPr>
        <w:pStyle w:val="ListParagraph"/>
        <w:ind w:left="0"/>
        <w:jc w:val="both"/>
        <w:rPr>
          <w:rFonts w:ascii="Verdana" w:hAnsi="Verdana"/>
          <w:sz w:val="20"/>
          <w:szCs w:val="20"/>
          <w:lang w:val="es-ES"/>
        </w:rPr>
      </w:pPr>
    </w:p>
    <w:p w14:paraId="13F5094C" w14:textId="77777777" w:rsidR="00D2614E" w:rsidRPr="0014074B" w:rsidRDefault="00D2614E" w:rsidP="00D2614E">
      <w:pPr>
        <w:pStyle w:val="ListParagraph"/>
        <w:numPr>
          <w:ilvl w:val="0"/>
          <w:numId w:val="2"/>
        </w:numPr>
        <w:ind w:left="0" w:hanging="11"/>
        <w:jc w:val="both"/>
        <w:rPr>
          <w:rFonts w:ascii="Verdana" w:hAnsi="Verdana"/>
          <w:sz w:val="20"/>
          <w:szCs w:val="20"/>
          <w:lang w:val="es-ES"/>
        </w:rPr>
      </w:pPr>
      <w:r w:rsidRPr="00D2614E">
        <w:rPr>
          <w:rFonts w:ascii="Verdana" w:hAnsi="Verdana"/>
          <w:sz w:val="20"/>
          <w:szCs w:val="20"/>
          <w:lang w:val="es-ES"/>
        </w:rPr>
        <w:t>A</w:t>
      </w:r>
      <w:r w:rsidR="0019351F">
        <w:rPr>
          <w:rFonts w:ascii="Verdana" w:hAnsi="Verdana"/>
          <w:sz w:val="20"/>
          <w:szCs w:val="20"/>
          <w:lang w:val="es-ES"/>
        </w:rPr>
        <w:t>simismo</w:t>
      </w:r>
      <w:r w:rsidRPr="00D2614E">
        <w:rPr>
          <w:rFonts w:ascii="Verdana" w:hAnsi="Verdana"/>
          <w:sz w:val="20"/>
          <w:szCs w:val="20"/>
          <w:lang w:val="es-ES"/>
        </w:rPr>
        <w:t xml:space="preserve">, la Corte ha constatado que efectivamente dentro del territorio alegado como tradicional por los </w:t>
      </w:r>
      <w:r w:rsidR="00382F4D">
        <w:rPr>
          <w:rFonts w:ascii="Verdana" w:hAnsi="Verdana"/>
          <w:sz w:val="20"/>
          <w:szCs w:val="20"/>
          <w:lang w:val="es-ES"/>
        </w:rPr>
        <w:t>Pueblos Kaliña y Lokono</w:t>
      </w:r>
      <w:r w:rsidRPr="00D2614E">
        <w:rPr>
          <w:rFonts w:ascii="Verdana" w:hAnsi="Verdana"/>
          <w:sz w:val="20"/>
          <w:szCs w:val="20"/>
          <w:lang w:val="es-ES"/>
        </w:rPr>
        <w:t xml:space="preserve">, habrían al menos 10 asentamientos </w:t>
      </w:r>
      <w:r w:rsidR="006D4D2C">
        <w:rPr>
          <w:rFonts w:ascii="Verdana" w:hAnsi="Verdana"/>
          <w:sz w:val="20"/>
          <w:szCs w:val="20"/>
          <w:lang w:val="es-ES"/>
        </w:rPr>
        <w:t>maroon</w:t>
      </w:r>
      <w:r w:rsidRPr="00D2614E">
        <w:rPr>
          <w:rFonts w:ascii="Verdana" w:hAnsi="Verdana"/>
          <w:sz w:val="20"/>
          <w:szCs w:val="20"/>
          <w:lang w:val="es-ES"/>
        </w:rPr>
        <w:t xml:space="preserve">s </w:t>
      </w:r>
      <w:r w:rsidRPr="0014074B">
        <w:rPr>
          <w:rFonts w:ascii="Verdana" w:hAnsi="Verdana"/>
          <w:sz w:val="20"/>
          <w:szCs w:val="20"/>
          <w:lang w:val="es-ES"/>
        </w:rPr>
        <w:t>que estarían excluidos de dicho reclamo, a saber: 1</w:t>
      </w:r>
      <w:r w:rsidRPr="00366D91">
        <w:rPr>
          <w:rStyle w:val="Strong"/>
          <w:rFonts w:ascii="Verdana" w:hAnsi="Verdana"/>
          <w:b w:val="0"/>
          <w:sz w:val="20"/>
          <w:szCs w:val="20"/>
        </w:rPr>
        <w:t>) Albina; 2) Papatam; 3) Mankelekampu; 4) Mariakondre; 5) Eduardkondre; 6) Akoloikondre; 7) Bamboesi; 8) Koni</w:t>
      </w:r>
      <w:r w:rsidRPr="00D2614E">
        <w:rPr>
          <w:rFonts w:ascii="Verdana" w:hAnsi="Verdana"/>
          <w:sz w:val="20"/>
          <w:szCs w:val="20"/>
          <w:lang w:val="es-ES"/>
        </w:rPr>
        <w:t>; 9)</w:t>
      </w:r>
      <w:r w:rsidRPr="00366D91">
        <w:rPr>
          <w:rFonts w:ascii="Verdana" w:hAnsi="Verdana"/>
          <w:sz w:val="20"/>
          <w:szCs w:val="20"/>
          <w:lang w:val="es-ES"/>
        </w:rPr>
        <w:t xml:space="preserve"> </w:t>
      </w:r>
      <w:r w:rsidRPr="00366D91">
        <w:rPr>
          <w:rStyle w:val="Strong"/>
          <w:rFonts w:ascii="Verdana" w:hAnsi="Verdana"/>
          <w:b w:val="0"/>
          <w:sz w:val="20"/>
          <w:szCs w:val="20"/>
        </w:rPr>
        <w:t>Moengotapu, y 10) Adjoemakondre</w:t>
      </w:r>
      <w:r w:rsidRPr="00D2614E">
        <w:rPr>
          <w:rFonts w:ascii="Verdana" w:hAnsi="Verdana"/>
          <w:sz w:val="20"/>
          <w:szCs w:val="20"/>
          <w:lang w:val="es-ES"/>
        </w:rPr>
        <w:t xml:space="preserve"> (</w:t>
      </w:r>
      <w:r w:rsidR="00366D91" w:rsidRPr="00366D91">
        <w:rPr>
          <w:rFonts w:ascii="Verdana" w:hAnsi="Verdana"/>
          <w:i/>
          <w:sz w:val="20"/>
          <w:szCs w:val="20"/>
          <w:lang w:val="es-ES"/>
        </w:rPr>
        <w:t>supra</w:t>
      </w:r>
      <w:r w:rsidRPr="0014074B">
        <w:rPr>
          <w:rFonts w:ascii="Verdana" w:hAnsi="Verdana"/>
          <w:sz w:val="20"/>
          <w:szCs w:val="20"/>
          <w:lang w:val="es-ES"/>
        </w:rPr>
        <w:t xml:space="preserve"> párr. </w:t>
      </w:r>
      <w:r w:rsidR="00D84B7E">
        <w:rPr>
          <w:rFonts w:ascii="Verdana" w:hAnsi="Verdana"/>
          <w:sz w:val="20"/>
          <w:szCs w:val="20"/>
          <w:lang w:val="es-ES"/>
        </w:rPr>
        <w:t>47</w:t>
      </w:r>
      <w:r w:rsidRPr="0014074B">
        <w:rPr>
          <w:rFonts w:ascii="Verdana" w:hAnsi="Verdana"/>
          <w:sz w:val="20"/>
          <w:szCs w:val="20"/>
          <w:lang w:val="es-ES"/>
        </w:rPr>
        <w:t xml:space="preserve">). Sin embargo, la Corte carece de información suficiente que le permita aclarar los argumentos relacionados con posibles asentamientos </w:t>
      </w:r>
      <w:r w:rsidR="006D4D2C">
        <w:rPr>
          <w:rFonts w:ascii="Verdana" w:hAnsi="Verdana"/>
          <w:sz w:val="20"/>
          <w:szCs w:val="20"/>
          <w:lang w:val="es-ES"/>
        </w:rPr>
        <w:t>maroon</w:t>
      </w:r>
      <w:r w:rsidRPr="0014074B">
        <w:rPr>
          <w:rFonts w:ascii="Verdana" w:hAnsi="Verdana"/>
          <w:sz w:val="20"/>
          <w:szCs w:val="20"/>
          <w:lang w:val="es-ES"/>
        </w:rPr>
        <w:t>s</w:t>
      </w:r>
      <w:r w:rsidR="006A0CFB">
        <w:rPr>
          <w:rFonts w:ascii="Verdana" w:hAnsi="Verdana"/>
          <w:sz w:val="20"/>
          <w:szCs w:val="20"/>
          <w:lang w:val="es-ES"/>
        </w:rPr>
        <w:t xml:space="preserve"> </w:t>
      </w:r>
      <w:r w:rsidR="00EC22F5" w:rsidRPr="00190AD3">
        <w:rPr>
          <w:rFonts w:ascii="Verdana" w:hAnsi="Verdana"/>
          <w:sz w:val="20"/>
          <w:szCs w:val="20"/>
          <w:lang w:val="es-ES"/>
        </w:rPr>
        <w:t>en</w:t>
      </w:r>
      <w:r w:rsidRPr="0014074B">
        <w:rPr>
          <w:rFonts w:ascii="Verdana" w:hAnsi="Verdana"/>
          <w:sz w:val="20"/>
          <w:szCs w:val="20"/>
          <w:lang w:val="es-ES"/>
        </w:rPr>
        <w:t>: 1) Bilokondre; 2) Kronto</w:t>
      </w:r>
      <w:r w:rsidR="00D84B7E">
        <w:rPr>
          <w:rFonts w:ascii="Verdana" w:hAnsi="Verdana"/>
          <w:sz w:val="20"/>
          <w:szCs w:val="20"/>
          <w:lang w:val="es-ES"/>
        </w:rPr>
        <w:t>k</w:t>
      </w:r>
      <w:r w:rsidRPr="0014074B">
        <w:rPr>
          <w:rFonts w:ascii="Verdana" w:hAnsi="Verdana"/>
          <w:sz w:val="20"/>
          <w:szCs w:val="20"/>
          <w:lang w:val="es-ES"/>
        </w:rPr>
        <w:t>ondre; 3) Soke; 4) Pakirakondre; 5) Mopikondre; 6) Onikaikondre; 7) Manjabong; 8) Bonikondre o Baajoebekampu; 9) Nengrekriki; 10) Solegakampu, y 11) Brunswijkkamp (</w:t>
      </w:r>
      <w:r w:rsidR="00366D91" w:rsidRPr="00366D91">
        <w:rPr>
          <w:rFonts w:ascii="Verdana" w:hAnsi="Verdana"/>
          <w:i/>
          <w:sz w:val="20"/>
          <w:szCs w:val="20"/>
          <w:lang w:val="es-ES"/>
        </w:rPr>
        <w:t>supra</w:t>
      </w:r>
      <w:r w:rsidRPr="0014074B">
        <w:rPr>
          <w:rFonts w:ascii="Verdana" w:hAnsi="Verdana"/>
          <w:sz w:val="20"/>
          <w:szCs w:val="20"/>
          <w:lang w:val="es-ES"/>
        </w:rPr>
        <w:t xml:space="preserve"> párrs. </w:t>
      </w:r>
      <w:r w:rsidR="00364CD1">
        <w:rPr>
          <w:rFonts w:ascii="Verdana" w:hAnsi="Verdana"/>
          <w:sz w:val="20"/>
          <w:szCs w:val="20"/>
          <w:lang w:val="es-ES"/>
        </w:rPr>
        <w:t>4</w:t>
      </w:r>
      <w:r w:rsidR="00A504FC">
        <w:rPr>
          <w:rFonts w:ascii="Verdana" w:hAnsi="Verdana"/>
          <w:sz w:val="20"/>
          <w:szCs w:val="20"/>
          <w:lang w:val="es-ES"/>
        </w:rPr>
        <w:t xml:space="preserve">8 y </w:t>
      </w:r>
      <w:r w:rsidR="00D84B7E">
        <w:rPr>
          <w:rFonts w:ascii="Verdana" w:hAnsi="Verdana"/>
          <w:sz w:val="20"/>
          <w:szCs w:val="20"/>
          <w:lang w:val="es-ES"/>
        </w:rPr>
        <w:t>49</w:t>
      </w:r>
      <w:r w:rsidRPr="0014074B">
        <w:rPr>
          <w:rFonts w:ascii="Verdana" w:hAnsi="Verdana"/>
          <w:sz w:val="20"/>
          <w:szCs w:val="20"/>
          <w:lang w:val="es-ES"/>
        </w:rPr>
        <w:t>).</w:t>
      </w:r>
    </w:p>
    <w:p w14:paraId="3A725425" w14:textId="77777777" w:rsidR="00FC1FCF" w:rsidRPr="00C31C5A" w:rsidRDefault="00FC1FCF" w:rsidP="00FC1FCF">
      <w:pPr>
        <w:pStyle w:val="ListParagraph"/>
        <w:jc w:val="both"/>
        <w:rPr>
          <w:rFonts w:ascii="Verdana" w:hAnsi="Verdana"/>
          <w:sz w:val="20"/>
          <w:szCs w:val="20"/>
          <w:lang w:val="es-ES"/>
        </w:rPr>
      </w:pPr>
    </w:p>
    <w:p w14:paraId="4F12D75F" w14:textId="77777777" w:rsidR="00FC1FCF" w:rsidRPr="00880EAE" w:rsidRDefault="00FC1FCF" w:rsidP="00FC1FCF">
      <w:pPr>
        <w:pStyle w:val="ListParagraph"/>
        <w:numPr>
          <w:ilvl w:val="0"/>
          <w:numId w:val="2"/>
        </w:numPr>
        <w:ind w:left="0" w:hanging="11"/>
        <w:jc w:val="both"/>
        <w:rPr>
          <w:rFonts w:ascii="Verdana" w:hAnsi="Verdana"/>
          <w:sz w:val="20"/>
          <w:szCs w:val="20"/>
          <w:lang w:val="es-ES"/>
        </w:rPr>
      </w:pPr>
      <w:r w:rsidRPr="00C02552">
        <w:rPr>
          <w:rFonts w:ascii="Verdana" w:hAnsi="Verdana"/>
          <w:sz w:val="20"/>
          <w:szCs w:val="20"/>
          <w:lang w:val="es-ES"/>
        </w:rPr>
        <w:t xml:space="preserve"> Sin perjuicio de lo anterior, siendo que es un deber del Estado delimitar los territorios tradicionales</w:t>
      </w:r>
      <w:r w:rsidRPr="00C02552">
        <w:rPr>
          <w:rStyle w:val="FootnoteReference"/>
          <w:szCs w:val="20"/>
          <w:lang w:val="es-ES"/>
        </w:rPr>
        <w:footnoteReference w:id="180"/>
      </w:r>
      <w:r w:rsidRPr="00C02552">
        <w:rPr>
          <w:rFonts w:ascii="Verdana" w:hAnsi="Verdana"/>
          <w:sz w:val="20"/>
          <w:szCs w:val="20"/>
          <w:lang w:val="es-ES"/>
        </w:rPr>
        <w:t xml:space="preserve">, corresponde a éste, mediante un proceso consultivo y a través de </w:t>
      </w:r>
      <w:r w:rsidR="006A0CFB">
        <w:rPr>
          <w:rFonts w:ascii="Verdana" w:hAnsi="Verdana"/>
          <w:sz w:val="20"/>
          <w:szCs w:val="20"/>
          <w:lang w:val="es-ES"/>
        </w:rPr>
        <w:t xml:space="preserve">las </w:t>
      </w:r>
      <w:r w:rsidRPr="00C02552">
        <w:rPr>
          <w:rFonts w:ascii="Verdana" w:hAnsi="Verdana"/>
          <w:sz w:val="20"/>
          <w:szCs w:val="20"/>
          <w:lang w:val="es-ES"/>
        </w:rPr>
        <w:t xml:space="preserve">medidas </w:t>
      </w:r>
      <w:r w:rsidR="006A0CFB">
        <w:rPr>
          <w:rFonts w:ascii="Verdana" w:hAnsi="Verdana"/>
          <w:sz w:val="20"/>
          <w:szCs w:val="20"/>
          <w:lang w:val="es-ES"/>
        </w:rPr>
        <w:t xml:space="preserve">necesarias </w:t>
      </w:r>
      <w:r w:rsidRPr="00C02552">
        <w:rPr>
          <w:rFonts w:ascii="Verdana" w:hAnsi="Verdana"/>
          <w:sz w:val="20"/>
          <w:szCs w:val="20"/>
          <w:lang w:val="es-ES"/>
        </w:rPr>
        <w:t xml:space="preserve">de carácter administrativo y legales, conforme a los estándares internacionales en la materia, </w:t>
      </w:r>
      <w:r>
        <w:rPr>
          <w:rFonts w:ascii="Verdana" w:hAnsi="Verdana"/>
          <w:sz w:val="20"/>
          <w:szCs w:val="20"/>
          <w:lang w:val="es-ES"/>
        </w:rPr>
        <w:t xml:space="preserve">primeramente </w:t>
      </w:r>
      <w:r w:rsidRPr="00C02552">
        <w:rPr>
          <w:rFonts w:ascii="Verdana" w:hAnsi="Verdana"/>
          <w:sz w:val="20"/>
          <w:szCs w:val="20"/>
          <w:lang w:val="es-ES"/>
        </w:rPr>
        <w:t xml:space="preserve">delimitar los territorios que le corresponden a los </w:t>
      </w:r>
      <w:r w:rsidR="00382F4D">
        <w:rPr>
          <w:rFonts w:ascii="Verdana" w:hAnsi="Verdana"/>
          <w:sz w:val="20"/>
          <w:szCs w:val="20"/>
          <w:lang w:val="es-ES"/>
        </w:rPr>
        <w:t>Pueblos Kaliña y Lokono</w:t>
      </w:r>
      <w:r w:rsidR="00CB17C1">
        <w:rPr>
          <w:rFonts w:ascii="Verdana" w:hAnsi="Verdana"/>
          <w:sz w:val="20"/>
          <w:szCs w:val="20"/>
          <w:lang w:val="es-ES"/>
        </w:rPr>
        <w:t>,</w:t>
      </w:r>
      <w:r>
        <w:rPr>
          <w:rFonts w:ascii="Verdana" w:hAnsi="Verdana"/>
          <w:sz w:val="20"/>
          <w:szCs w:val="20"/>
          <w:lang w:val="es-ES"/>
        </w:rPr>
        <w:t xml:space="preserve"> </w:t>
      </w:r>
      <w:r w:rsidR="00CB17C1">
        <w:rPr>
          <w:rFonts w:ascii="Verdana" w:hAnsi="Verdana"/>
          <w:sz w:val="20"/>
          <w:szCs w:val="20"/>
          <w:lang w:val="es-ES"/>
        </w:rPr>
        <w:t xml:space="preserve">de conformidad </w:t>
      </w:r>
      <w:r w:rsidR="00CB17C1" w:rsidRPr="00020007">
        <w:rPr>
          <w:rFonts w:ascii="Verdana" w:hAnsi="Verdana"/>
          <w:sz w:val="20"/>
          <w:szCs w:val="20"/>
          <w:lang w:val="es-ES"/>
        </w:rPr>
        <w:t xml:space="preserve">con el </w:t>
      </w:r>
      <w:r w:rsidR="008A4ABB" w:rsidRPr="007E20F9">
        <w:rPr>
          <w:rFonts w:ascii="Verdana" w:hAnsi="Verdana"/>
          <w:sz w:val="20"/>
          <w:szCs w:val="20"/>
          <w:lang w:val="es-ES"/>
        </w:rPr>
        <w:t>párrafo 139 de esta Sentencia</w:t>
      </w:r>
      <w:r w:rsidR="00CB17C1" w:rsidRPr="00020007">
        <w:rPr>
          <w:rFonts w:ascii="Verdana" w:hAnsi="Verdana"/>
          <w:sz w:val="20"/>
          <w:szCs w:val="20"/>
          <w:lang w:val="es-ES"/>
        </w:rPr>
        <w:t>,</w:t>
      </w:r>
      <w:r w:rsidR="00CB17C1">
        <w:rPr>
          <w:rFonts w:ascii="Verdana" w:hAnsi="Verdana"/>
          <w:sz w:val="20"/>
          <w:szCs w:val="20"/>
          <w:lang w:val="es-ES"/>
        </w:rPr>
        <w:t xml:space="preserve"> para así proceder a demarcarlos</w:t>
      </w:r>
      <w:r w:rsidR="00CB17C1" w:rsidRPr="00C02552">
        <w:rPr>
          <w:rFonts w:ascii="Verdana" w:hAnsi="Verdana"/>
          <w:sz w:val="20"/>
          <w:szCs w:val="20"/>
          <w:lang w:val="es-ES"/>
        </w:rPr>
        <w:t xml:space="preserve"> </w:t>
      </w:r>
      <w:r w:rsidR="00CB17C1">
        <w:rPr>
          <w:rFonts w:ascii="Verdana" w:hAnsi="Verdana"/>
          <w:sz w:val="20"/>
          <w:szCs w:val="20"/>
          <w:lang w:val="es-ES"/>
        </w:rPr>
        <w:t xml:space="preserve">y </w:t>
      </w:r>
      <w:r w:rsidRPr="00C02552">
        <w:rPr>
          <w:rFonts w:ascii="Verdana" w:hAnsi="Verdana"/>
          <w:sz w:val="20"/>
          <w:szCs w:val="20"/>
          <w:lang w:val="es-ES"/>
        </w:rPr>
        <w:t>titularlos</w:t>
      </w:r>
      <w:r w:rsidR="005E4DCB">
        <w:rPr>
          <w:rFonts w:ascii="Verdana" w:hAnsi="Verdana"/>
          <w:sz w:val="20"/>
          <w:szCs w:val="20"/>
          <w:lang w:val="es-ES"/>
        </w:rPr>
        <w:t xml:space="preserve">, </w:t>
      </w:r>
      <w:r>
        <w:rPr>
          <w:rFonts w:ascii="Verdana" w:hAnsi="Verdana"/>
          <w:sz w:val="20"/>
          <w:szCs w:val="20"/>
          <w:lang w:val="es-ES"/>
        </w:rPr>
        <w:t>garantizando su uso y goce efectivo.</w:t>
      </w:r>
      <w:r w:rsidRPr="00C02552">
        <w:rPr>
          <w:rFonts w:ascii="Verdana" w:hAnsi="Verdana"/>
          <w:sz w:val="20"/>
          <w:szCs w:val="20"/>
          <w:lang w:val="es-ES"/>
        </w:rPr>
        <w:t xml:space="preserve"> </w:t>
      </w:r>
      <w:r>
        <w:rPr>
          <w:rFonts w:ascii="Verdana" w:hAnsi="Verdana"/>
          <w:sz w:val="20"/>
          <w:szCs w:val="20"/>
          <w:lang w:val="es-ES"/>
        </w:rPr>
        <w:t xml:space="preserve">Para ello, el Estado también debe </w:t>
      </w:r>
      <w:r w:rsidRPr="00C02552">
        <w:rPr>
          <w:rFonts w:ascii="Verdana" w:hAnsi="Verdana"/>
          <w:sz w:val="20"/>
          <w:szCs w:val="20"/>
          <w:lang w:val="es-ES"/>
        </w:rPr>
        <w:t>respeta</w:t>
      </w:r>
      <w:r>
        <w:rPr>
          <w:rFonts w:ascii="Verdana" w:hAnsi="Verdana"/>
          <w:sz w:val="20"/>
          <w:szCs w:val="20"/>
          <w:lang w:val="es-ES"/>
        </w:rPr>
        <w:t>r</w:t>
      </w:r>
      <w:r w:rsidRPr="00C02552">
        <w:rPr>
          <w:rFonts w:ascii="Verdana" w:hAnsi="Verdana"/>
          <w:sz w:val="20"/>
          <w:szCs w:val="20"/>
          <w:lang w:val="es-ES"/>
        </w:rPr>
        <w:t xml:space="preserve"> los </w:t>
      </w:r>
      <w:r>
        <w:rPr>
          <w:rFonts w:ascii="Verdana" w:hAnsi="Verdana"/>
          <w:sz w:val="20"/>
          <w:szCs w:val="20"/>
          <w:lang w:val="es-ES"/>
        </w:rPr>
        <w:t xml:space="preserve">derechos que le puedan asistir a los </w:t>
      </w:r>
      <w:r w:rsidRPr="00C02552">
        <w:rPr>
          <w:rFonts w:ascii="Verdana" w:hAnsi="Verdana"/>
          <w:sz w:val="20"/>
          <w:szCs w:val="20"/>
          <w:lang w:val="es-ES"/>
        </w:rPr>
        <w:t>pueblos tribales</w:t>
      </w:r>
      <w:r>
        <w:rPr>
          <w:rFonts w:ascii="Verdana" w:hAnsi="Verdana"/>
          <w:sz w:val="20"/>
          <w:szCs w:val="20"/>
          <w:lang w:val="es-ES"/>
        </w:rPr>
        <w:t xml:space="preserve"> o sus miembros en el área</w:t>
      </w:r>
      <w:r w:rsidRPr="003A0B87">
        <w:rPr>
          <w:rFonts w:ascii="Verdana" w:hAnsi="Verdana"/>
          <w:sz w:val="20"/>
          <w:szCs w:val="20"/>
          <w:lang w:val="es-ES"/>
        </w:rPr>
        <w:t xml:space="preserve">. </w:t>
      </w:r>
      <w:r w:rsidR="00014B9A" w:rsidRPr="00880EAE">
        <w:rPr>
          <w:rFonts w:ascii="Verdana" w:hAnsi="Verdana"/>
          <w:sz w:val="20"/>
          <w:szCs w:val="20"/>
          <w:lang w:val="es-ES"/>
        </w:rPr>
        <w:t xml:space="preserve">Para ello, el Estado </w:t>
      </w:r>
      <w:r w:rsidR="003A0B87" w:rsidRPr="00880EAE">
        <w:rPr>
          <w:rFonts w:ascii="Verdana" w:hAnsi="Verdana"/>
          <w:color w:val="000000"/>
          <w:sz w:val="20"/>
          <w:szCs w:val="20"/>
        </w:rPr>
        <w:t xml:space="preserve">deberá desarrollar, de común acuerdo con las comunidades indígenas y </w:t>
      </w:r>
      <w:r w:rsidR="006D4D2C">
        <w:rPr>
          <w:rFonts w:ascii="Verdana" w:hAnsi="Verdana"/>
          <w:color w:val="000000"/>
          <w:sz w:val="20"/>
          <w:szCs w:val="20"/>
        </w:rPr>
        <w:t>maroon</w:t>
      </w:r>
      <w:r w:rsidR="003A0B87" w:rsidRPr="00880EAE">
        <w:rPr>
          <w:rFonts w:ascii="Verdana" w:hAnsi="Verdana"/>
          <w:color w:val="000000"/>
          <w:sz w:val="20"/>
          <w:szCs w:val="20"/>
        </w:rPr>
        <w:t>s, reglas de convivencia pacíficas y armoniosas en el territorio en cuestión</w:t>
      </w:r>
      <w:r w:rsidR="003A0B87" w:rsidRPr="00880EAE">
        <w:rPr>
          <w:rStyle w:val="FootnoteReference"/>
          <w:color w:val="000000"/>
          <w:szCs w:val="20"/>
        </w:rPr>
        <w:footnoteReference w:id="181"/>
      </w:r>
      <w:r w:rsidR="003A0B87" w:rsidRPr="00880EAE">
        <w:rPr>
          <w:rFonts w:ascii="Verdana" w:hAnsi="Verdana"/>
          <w:sz w:val="20"/>
          <w:szCs w:val="20"/>
          <w:lang w:val="es-ES"/>
        </w:rPr>
        <w:t xml:space="preserve">. </w:t>
      </w:r>
    </w:p>
    <w:p w14:paraId="20DD3FBD" w14:textId="77777777" w:rsidR="00FC1FCF" w:rsidRPr="00880EAE" w:rsidRDefault="00FC1FCF" w:rsidP="00FC1FCF">
      <w:pPr>
        <w:pStyle w:val="ListParagraph"/>
        <w:spacing w:after="200" w:line="276" w:lineRule="auto"/>
        <w:rPr>
          <w:rFonts w:ascii="Verdana" w:hAnsi="Verdana"/>
          <w:sz w:val="20"/>
          <w:szCs w:val="20"/>
          <w:lang w:val="es-ES"/>
        </w:rPr>
      </w:pPr>
    </w:p>
    <w:p w14:paraId="62E30289" w14:textId="520CEB9F" w:rsidR="00261627" w:rsidRDefault="00CB17C1" w:rsidP="00FC1FCF">
      <w:pPr>
        <w:pStyle w:val="ListParagraph"/>
        <w:numPr>
          <w:ilvl w:val="0"/>
          <w:numId w:val="2"/>
        </w:numPr>
        <w:ind w:left="0" w:hanging="11"/>
        <w:jc w:val="both"/>
        <w:rPr>
          <w:rFonts w:ascii="Verdana" w:hAnsi="Verdana"/>
          <w:sz w:val="20"/>
          <w:szCs w:val="20"/>
          <w:lang w:val="es-ES"/>
        </w:rPr>
      </w:pPr>
      <w:r>
        <w:rPr>
          <w:rFonts w:ascii="Verdana" w:hAnsi="Verdana"/>
          <w:sz w:val="20"/>
          <w:szCs w:val="20"/>
          <w:lang w:val="es-ES"/>
        </w:rPr>
        <w:t xml:space="preserve">En vista de lo </w:t>
      </w:r>
      <w:r w:rsidR="0019351F">
        <w:rPr>
          <w:rFonts w:ascii="Verdana" w:hAnsi="Verdana"/>
          <w:sz w:val="20"/>
          <w:szCs w:val="20"/>
          <w:lang w:val="es-ES"/>
        </w:rPr>
        <w:t>señalado</w:t>
      </w:r>
      <w:r w:rsidRPr="006A16CF">
        <w:rPr>
          <w:rFonts w:ascii="Verdana" w:hAnsi="Verdana"/>
          <w:sz w:val="20"/>
          <w:szCs w:val="20"/>
          <w:lang w:val="es-ES"/>
        </w:rPr>
        <w:t>,</w:t>
      </w:r>
      <w:r w:rsidR="00FC1FCF" w:rsidRPr="006A16CF">
        <w:rPr>
          <w:rFonts w:ascii="Verdana" w:hAnsi="Verdana"/>
          <w:sz w:val="20"/>
          <w:szCs w:val="20"/>
          <w:lang w:val="es-ES"/>
        </w:rPr>
        <w:t xml:space="preserve"> la falta de delimitación, demarcación y titulación de los</w:t>
      </w:r>
      <w:r w:rsidR="00E6167D" w:rsidRPr="004B0145">
        <w:rPr>
          <w:rFonts w:ascii="Verdana" w:hAnsi="Verdana"/>
          <w:sz w:val="20"/>
          <w:szCs w:val="20"/>
          <w:lang w:val="es-ES"/>
        </w:rPr>
        <w:t xml:space="preserve"> territori</w:t>
      </w:r>
      <w:r w:rsidR="003644A0" w:rsidRPr="004B0145">
        <w:rPr>
          <w:rFonts w:ascii="Verdana" w:hAnsi="Verdana"/>
          <w:sz w:val="20"/>
          <w:szCs w:val="20"/>
          <w:lang w:val="es-ES"/>
        </w:rPr>
        <w:t>os</w:t>
      </w:r>
      <w:r w:rsidR="00E6167D" w:rsidRPr="004B0145">
        <w:rPr>
          <w:rFonts w:ascii="Verdana" w:hAnsi="Verdana"/>
          <w:sz w:val="20"/>
          <w:szCs w:val="20"/>
          <w:lang w:val="es-ES"/>
        </w:rPr>
        <w:t xml:space="preserve"> de los</w:t>
      </w:r>
      <w:r w:rsidR="003644A0" w:rsidRPr="004B0145">
        <w:rPr>
          <w:rFonts w:ascii="Verdana" w:hAnsi="Verdana"/>
          <w:sz w:val="20"/>
          <w:szCs w:val="20"/>
          <w:lang w:val="es-ES"/>
        </w:rPr>
        <w:t xml:space="preserve"> </w:t>
      </w:r>
      <w:r w:rsidR="00382F4D" w:rsidRPr="00D97182">
        <w:rPr>
          <w:rFonts w:ascii="Verdana" w:hAnsi="Verdana"/>
          <w:sz w:val="20"/>
          <w:szCs w:val="20"/>
          <w:lang w:val="es-ES"/>
        </w:rPr>
        <w:t>Pu</w:t>
      </w:r>
      <w:r w:rsidR="00382F4D" w:rsidRPr="00476486">
        <w:rPr>
          <w:rFonts w:ascii="Verdana" w:hAnsi="Verdana"/>
          <w:sz w:val="20"/>
          <w:szCs w:val="20"/>
          <w:lang w:val="es-ES"/>
        </w:rPr>
        <w:t>eblos</w:t>
      </w:r>
      <w:r w:rsidR="00382F4D" w:rsidRPr="006A16CF">
        <w:rPr>
          <w:rFonts w:ascii="Verdana" w:hAnsi="Verdana"/>
          <w:sz w:val="20"/>
          <w:szCs w:val="20"/>
          <w:lang w:val="es-ES"/>
        </w:rPr>
        <w:t xml:space="preserve"> Kaliña y Lokono</w:t>
      </w:r>
      <w:r w:rsidR="00FC1FCF">
        <w:rPr>
          <w:rFonts w:ascii="Verdana" w:hAnsi="Verdana"/>
          <w:sz w:val="20"/>
          <w:szCs w:val="20"/>
          <w:lang w:val="es-ES"/>
        </w:rPr>
        <w:t xml:space="preserve"> </w:t>
      </w:r>
      <w:r w:rsidR="00014B9A">
        <w:rPr>
          <w:rFonts w:ascii="Verdana" w:hAnsi="Verdana"/>
          <w:sz w:val="20"/>
          <w:szCs w:val="20"/>
          <w:lang w:val="es-ES"/>
        </w:rPr>
        <w:t xml:space="preserve">por parte del Estado </w:t>
      </w:r>
      <w:r w:rsidR="00F44DDE">
        <w:rPr>
          <w:rFonts w:ascii="Verdana" w:hAnsi="Verdana"/>
          <w:sz w:val="20"/>
          <w:szCs w:val="20"/>
          <w:lang w:val="es-ES"/>
        </w:rPr>
        <w:t xml:space="preserve">ha </w:t>
      </w:r>
      <w:r w:rsidR="00014B9A" w:rsidRPr="00880EAE">
        <w:rPr>
          <w:rFonts w:ascii="Verdana" w:hAnsi="Verdana"/>
          <w:sz w:val="20"/>
          <w:szCs w:val="20"/>
          <w:lang w:val="es-ES"/>
        </w:rPr>
        <w:t xml:space="preserve">violado </w:t>
      </w:r>
      <w:r w:rsidRPr="00880EAE">
        <w:rPr>
          <w:rFonts w:ascii="Verdana" w:hAnsi="Verdana"/>
          <w:sz w:val="20"/>
          <w:szCs w:val="20"/>
          <w:lang w:val="es-ES"/>
        </w:rPr>
        <w:t xml:space="preserve">el </w:t>
      </w:r>
      <w:r w:rsidR="00014B9A" w:rsidRPr="00880EAE">
        <w:rPr>
          <w:rFonts w:ascii="Verdana" w:hAnsi="Verdana"/>
          <w:sz w:val="20"/>
          <w:szCs w:val="20"/>
          <w:lang w:val="es-ES"/>
        </w:rPr>
        <w:t xml:space="preserve">derecho a la propiedad colectiva, reconocido en el </w:t>
      </w:r>
      <w:r w:rsidR="00FC1FCF">
        <w:rPr>
          <w:rFonts w:ascii="Verdana" w:hAnsi="Verdana"/>
          <w:sz w:val="20"/>
          <w:szCs w:val="20"/>
          <w:lang w:val="es-ES"/>
        </w:rPr>
        <w:t xml:space="preserve">artículo 21 de la Convención Americana, </w:t>
      </w:r>
      <w:r w:rsidR="00014B9A" w:rsidRPr="00880EAE">
        <w:rPr>
          <w:rFonts w:ascii="Verdana" w:hAnsi="Verdana"/>
          <w:sz w:val="20"/>
          <w:szCs w:val="20"/>
          <w:lang w:val="es-ES"/>
        </w:rPr>
        <w:t>y el deber de adoptar medidas de derecho interno, establecido en el artículo 2 de la misma,</w:t>
      </w:r>
      <w:r w:rsidR="00014B9A" w:rsidRPr="002C323A">
        <w:rPr>
          <w:rFonts w:ascii="Verdana" w:hAnsi="Verdana"/>
          <w:b/>
          <w:sz w:val="20"/>
          <w:szCs w:val="20"/>
          <w:lang w:val="es-ES"/>
        </w:rPr>
        <w:t xml:space="preserve"> </w:t>
      </w:r>
      <w:r w:rsidR="00FC1FCF">
        <w:rPr>
          <w:rFonts w:ascii="Verdana" w:hAnsi="Verdana"/>
          <w:sz w:val="20"/>
          <w:szCs w:val="20"/>
          <w:lang w:val="es-ES"/>
        </w:rPr>
        <w:t>en perjuici</w:t>
      </w:r>
      <w:r w:rsidR="00014B9A">
        <w:rPr>
          <w:rFonts w:ascii="Verdana" w:hAnsi="Verdana"/>
          <w:sz w:val="20"/>
          <w:szCs w:val="20"/>
          <w:lang w:val="es-ES"/>
        </w:rPr>
        <w:t>o de tales pueblos.</w:t>
      </w:r>
    </w:p>
    <w:p w14:paraId="39E5298C" w14:textId="77777777" w:rsidR="00014B9A" w:rsidRDefault="00014B9A" w:rsidP="002C323A">
      <w:pPr>
        <w:pStyle w:val="ListParagraph"/>
        <w:ind w:left="0"/>
        <w:jc w:val="both"/>
        <w:rPr>
          <w:rFonts w:ascii="Verdana" w:hAnsi="Verdana"/>
          <w:sz w:val="20"/>
          <w:szCs w:val="20"/>
          <w:lang w:val="es-ES"/>
        </w:rPr>
      </w:pPr>
    </w:p>
    <w:p w14:paraId="2777A94A" w14:textId="77777777" w:rsidR="002E4580" w:rsidRPr="007118DE" w:rsidRDefault="002E4580" w:rsidP="007118DE">
      <w:pPr>
        <w:pStyle w:val="Heading4"/>
        <w:spacing w:before="0"/>
        <w:ind w:left="1440"/>
        <w:jc w:val="both"/>
        <w:rPr>
          <w:rFonts w:ascii="Verdana" w:hAnsi="Verdana"/>
          <w:color w:val="auto"/>
          <w:sz w:val="20"/>
          <w:szCs w:val="20"/>
        </w:rPr>
      </w:pPr>
      <w:bookmarkStart w:id="51" w:name="_Toc441666183"/>
      <w:r w:rsidRPr="007118DE">
        <w:rPr>
          <w:rFonts w:ascii="Verdana" w:hAnsi="Verdana"/>
          <w:color w:val="auto"/>
          <w:sz w:val="20"/>
          <w:szCs w:val="20"/>
        </w:rPr>
        <w:t>B.</w:t>
      </w:r>
      <w:r w:rsidR="00830B9E">
        <w:rPr>
          <w:rFonts w:ascii="Verdana" w:hAnsi="Verdana"/>
          <w:color w:val="auto"/>
          <w:sz w:val="20"/>
          <w:szCs w:val="20"/>
        </w:rPr>
        <w:t>2</w:t>
      </w:r>
      <w:r w:rsidRPr="007118DE">
        <w:rPr>
          <w:rFonts w:ascii="Verdana" w:hAnsi="Verdana"/>
          <w:color w:val="auto"/>
          <w:sz w:val="20"/>
          <w:szCs w:val="20"/>
        </w:rPr>
        <w:t xml:space="preserve">.2 Respecto del </w:t>
      </w:r>
      <w:r w:rsidR="00DC7265">
        <w:rPr>
          <w:rFonts w:ascii="Verdana" w:hAnsi="Verdana"/>
          <w:color w:val="auto"/>
          <w:sz w:val="20"/>
          <w:szCs w:val="20"/>
        </w:rPr>
        <w:t>derecho a solicitar la reivindicación del territo</w:t>
      </w:r>
      <w:r w:rsidR="00D84742">
        <w:rPr>
          <w:rFonts w:ascii="Verdana" w:hAnsi="Verdana"/>
          <w:color w:val="auto"/>
          <w:sz w:val="20"/>
          <w:szCs w:val="20"/>
        </w:rPr>
        <w:t xml:space="preserve">rio </w:t>
      </w:r>
      <w:r w:rsidR="00DC7265">
        <w:rPr>
          <w:rFonts w:ascii="Verdana" w:hAnsi="Verdana"/>
          <w:color w:val="auto"/>
          <w:sz w:val="20"/>
          <w:szCs w:val="20"/>
        </w:rPr>
        <w:t>ante la existencia de títulos individuales a favor de</w:t>
      </w:r>
      <w:r w:rsidRPr="007118DE">
        <w:rPr>
          <w:rFonts w:ascii="Verdana" w:hAnsi="Verdana"/>
          <w:color w:val="auto"/>
          <w:sz w:val="20"/>
          <w:szCs w:val="20"/>
        </w:rPr>
        <w:t xml:space="preserve"> </w:t>
      </w:r>
      <w:r w:rsidR="00156905" w:rsidRPr="007118DE">
        <w:rPr>
          <w:rFonts w:ascii="Verdana" w:hAnsi="Verdana"/>
          <w:color w:val="auto"/>
          <w:sz w:val="20"/>
          <w:szCs w:val="20"/>
        </w:rPr>
        <w:t xml:space="preserve">terceros </w:t>
      </w:r>
      <w:r w:rsidRPr="007118DE">
        <w:rPr>
          <w:rFonts w:ascii="Verdana" w:hAnsi="Verdana"/>
          <w:color w:val="auto"/>
          <w:sz w:val="20"/>
          <w:szCs w:val="20"/>
        </w:rPr>
        <w:t>no indígenas</w:t>
      </w:r>
      <w:r w:rsidR="003A0B87">
        <w:rPr>
          <w:rFonts w:ascii="Verdana" w:hAnsi="Verdana"/>
          <w:color w:val="auto"/>
          <w:sz w:val="20"/>
          <w:szCs w:val="20"/>
        </w:rPr>
        <w:t xml:space="preserve"> ni tribales</w:t>
      </w:r>
      <w:bookmarkEnd w:id="51"/>
    </w:p>
    <w:p w14:paraId="34A65606" w14:textId="77777777" w:rsidR="002109E0" w:rsidRPr="002109E0" w:rsidRDefault="002109E0" w:rsidP="002109E0">
      <w:pPr>
        <w:rPr>
          <w:lang w:val="es-MX"/>
        </w:rPr>
      </w:pPr>
    </w:p>
    <w:p w14:paraId="6C3EEB5C" w14:textId="77777777" w:rsidR="002109E0" w:rsidRPr="00C90492" w:rsidRDefault="002109E0" w:rsidP="00261627">
      <w:pPr>
        <w:pStyle w:val="ListParagraph"/>
        <w:numPr>
          <w:ilvl w:val="0"/>
          <w:numId w:val="2"/>
        </w:numPr>
        <w:ind w:left="0" w:hanging="11"/>
        <w:jc w:val="both"/>
        <w:rPr>
          <w:rFonts w:ascii="Verdana" w:hAnsi="Verdana"/>
          <w:sz w:val="20"/>
          <w:szCs w:val="20"/>
          <w:lang w:val="es-MX"/>
        </w:rPr>
      </w:pPr>
      <w:r w:rsidRPr="00C90492">
        <w:rPr>
          <w:rFonts w:ascii="Verdana" w:hAnsi="Verdana"/>
          <w:sz w:val="20"/>
          <w:szCs w:val="20"/>
          <w:lang w:val="es-MX"/>
        </w:rPr>
        <w:t xml:space="preserve">En el presente apartado, corresponde al Tribunal analizar las alegadas afectaciones con motivo de la titulación a terceros en el territorio reclamado como tradicional por los </w:t>
      </w:r>
      <w:r w:rsidR="00AC77BA">
        <w:rPr>
          <w:rFonts w:ascii="Verdana" w:hAnsi="Verdana"/>
          <w:sz w:val="20"/>
          <w:szCs w:val="20"/>
          <w:lang w:val="es-MX"/>
        </w:rPr>
        <w:t>P</w:t>
      </w:r>
      <w:r w:rsidRPr="00C90492">
        <w:rPr>
          <w:rFonts w:ascii="Verdana" w:hAnsi="Verdana"/>
          <w:sz w:val="20"/>
          <w:szCs w:val="20"/>
          <w:lang w:val="es-MX"/>
        </w:rPr>
        <w:t>ueblos</w:t>
      </w:r>
      <w:r w:rsidR="00C90492">
        <w:rPr>
          <w:rFonts w:ascii="Verdana" w:hAnsi="Verdana"/>
          <w:sz w:val="20"/>
          <w:szCs w:val="20"/>
          <w:lang w:val="es-MX"/>
        </w:rPr>
        <w:t xml:space="preserve"> Kaliña y Lokono</w:t>
      </w:r>
      <w:r w:rsidRPr="00C90492">
        <w:rPr>
          <w:rFonts w:ascii="Verdana" w:hAnsi="Verdana"/>
          <w:sz w:val="20"/>
          <w:szCs w:val="20"/>
          <w:lang w:val="es-MX"/>
        </w:rPr>
        <w:t xml:space="preserve"> y </w:t>
      </w:r>
      <w:r w:rsidR="00F44DDE">
        <w:rPr>
          <w:rFonts w:ascii="Verdana" w:hAnsi="Verdana"/>
          <w:sz w:val="20"/>
          <w:szCs w:val="20"/>
          <w:lang w:val="es-MX"/>
        </w:rPr>
        <w:t>con ello determinar sí, en su caso, les asiste el</w:t>
      </w:r>
      <w:r w:rsidRPr="00C90492">
        <w:rPr>
          <w:rFonts w:ascii="Verdana" w:hAnsi="Verdana"/>
          <w:sz w:val="20"/>
          <w:szCs w:val="20"/>
          <w:lang w:val="es-MX"/>
        </w:rPr>
        <w:t xml:space="preserve"> derecho a la reivindicación </w:t>
      </w:r>
      <w:r w:rsidR="00AC77BA">
        <w:rPr>
          <w:rFonts w:ascii="Verdana" w:hAnsi="Verdana"/>
          <w:sz w:val="20"/>
          <w:szCs w:val="20"/>
          <w:lang w:val="es-MX"/>
        </w:rPr>
        <w:t>en su</w:t>
      </w:r>
      <w:r w:rsidRPr="00C90492">
        <w:rPr>
          <w:rFonts w:ascii="Verdana" w:hAnsi="Verdana"/>
          <w:sz w:val="20"/>
          <w:szCs w:val="20"/>
          <w:lang w:val="es-MX"/>
        </w:rPr>
        <w:t xml:space="preserve"> favor</w:t>
      </w:r>
      <w:r w:rsidR="00F44DDE">
        <w:rPr>
          <w:rFonts w:ascii="Verdana" w:hAnsi="Verdana"/>
          <w:sz w:val="20"/>
          <w:szCs w:val="20"/>
          <w:lang w:val="es-MX"/>
        </w:rPr>
        <w:t xml:space="preserve">. </w:t>
      </w:r>
      <w:r w:rsidR="00DB62DD">
        <w:rPr>
          <w:rFonts w:ascii="Verdana" w:hAnsi="Verdana"/>
          <w:sz w:val="20"/>
          <w:szCs w:val="20"/>
          <w:lang w:val="es-MX"/>
        </w:rPr>
        <w:t>Por ello</w:t>
      </w:r>
      <w:r w:rsidR="00F44DDE">
        <w:rPr>
          <w:rFonts w:ascii="Verdana" w:hAnsi="Verdana"/>
          <w:sz w:val="20"/>
          <w:szCs w:val="20"/>
          <w:lang w:val="es-MX"/>
        </w:rPr>
        <w:t xml:space="preserve">, </w:t>
      </w:r>
      <w:r w:rsidR="00C90492" w:rsidRPr="00C90492">
        <w:rPr>
          <w:rFonts w:ascii="Verdana" w:hAnsi="Verdana"/>
          <w:sz w:val="20"/>
          <w:szCs w:val="20"/>
          <w:lang w:val="es-MX"/>
        </w:rPr>
        <w:t xml:space="preserve">el Tribunal considerará la existencia de dichos títulos, la posesión de las tierras reclamadas, </w:t>
      </w:r>
      <w:r w:rsidRPr="00C90492">
        <w:rPr>
          <w:rFonts w:ascii="Verdana" w:hAnsi="Verdana"/>
          <w:sz w:val="20"/>
          <w:szCs w:val="20"/>
          <w:lang w:val="es-MX"/>
        </w:rPr>
        <w:t>la vigencia del derecho de</w:t>
      </w:r>
      <w:r w:rsidR="00C90492" w:rsidRPr="00366D91">
        <w:rPr>
          <w:rFonts w:ascii="Verdana" w:hAnsi="Verdana"/>
          <w:sz w:val="20"/>
          <w:szCs w:val="20"/>
          <w:lang w:val="es-MX"/>
        </w:rPr>
        <w:t xml:space="preserve"> reivindicación, así como </w:t>
      </w:r>
      <w:r w:rsidR="00F44DDE">
        <w:rPr>
          <w:rFonts w:ascii="Verdana" w:hAnsi="Verdana"/>
          <w:sz w:val="20"/>
          <w:szCs w:val="20"/>
          <w:lang w:val="es-MX"/>
        </w:rPr>
        <w:t>la ponderación</w:t>
      </w:r>
      <w:r w:rsidR="00C90492" w:rsidRPr="00366D91">
        <w:rPr>
          <w:rFonts w:ascii="Verdana" w:hAnsi="Verdana"/>
          <w:sz w:val="20"/>
          <w:szCs w:val="20"/>
          <w:lang w:val="es-MX"/>
        </w:rPr>
        <w:t xml:space="preserve"> entre los derechos </w:t>
      </w:r>
      <w:r w:rsidRPr="00C90492">
        <w:rPr>
          <w:rFonts w:ascii="Verdana" w:hAnsi="Verdana"/>
          <w:sz w:val="20"/>
          <w:szCs w:val="20"/>
          <w:lang w:val="es-MX"/>
        </w:rPr>
        <w:t xml:space="preserve">a la propiedad privada y colectiva. </w:t>
      </w:r>
    </w:p>
    <w:p w14:paraId="44D817B1" w14:textId="77777777" w:rsidR="002109E0" w:rsidRPr="00490894" w:rsidRDefault="002109E0" w:rsidP="00366D91">
      <w:pPr>
        <w:rPr>
          <w:lang w:val="es-MX"/>
        </w:rPr>
      </w:pPr>
    </w:p>
    <w:p w14:paraId="3111B11A" w14:textId="77777777" w:rsidR="00F44542" w:rsidRDefault="005309C2" w:rsidP="00F44542">
      <w:pPr>
        <w:pStyle w:val="ListParagraph"/>
        <w:numPr>
          <w:ilvl w:val="0"/>
          <w:numId w:val="2"/>
        </w:numPr>
        <w:ind w:left="0" w:hanging="11"/>
        <w:jc w:val="both"/>
        <w:rPr>
          <w:rFonts w:ascii="Verdana" w:hAnsi="Verdana"/>
          <w:sz w:val="20"/>
          <w:szCs w:val="20"/>
          <w:lang w:val="es-ES"/>
        </w:rPr>
      </w:pPr>
      <w:r>
        <w:rPr>
          <w:rFonts w:ascii="Verdana" w:hAnsi="Verdana"/>
          <w:sz w:val="20"/>
          <w:szCs w:val="20"/>
          <w:lang w:val="es-MX"/>
        </w:rPr>
        <w:lastRenderedPageBreak/>
        <w:t xml:space="preserve">La Corte ha constatado que </w:t>
      </w:r>
      <w:r w:rsidR="00385902">
        <w:rPr>
          <w:rFonts w:ascii="Verdana" w:hAnsi="Verdana"/>
          <w:sz w:val="20"/>
          <w:szCs w:val="20"/>
          <w:lang w:val="es-ES"/>
        </w:rPr>
        <w:t xml:space="preserve">diversos </w:t>
      </w:r>
      <w:r>
        <w:rPr>
          <w:rFonts w:ascii="Verdana" w:hAnsi="Verdana"/>
          <w:sz w:val="20"/>
          <w:szCs w:val="20"/>
          <w:lang w:val="es-ES"/>
        </w:rPr>
        <w:t>Pueblos Kaliña y el Pueblo Lokono de</w:t>
      </w:r>
      <w:r w:rsidRPr="00EC7DD3">
        <w:rPr>
          <w:rFonts w:ascii="Verdana" w:hAnsi="Verdana"/>
          <w:sz w:val="20"/>
          <w:szCs w:val="20"/>
          <w:lang w:val="es-MX"/>
        </w:rPr>
        <w:t xml:space="preserve"> </w:t>
      </w:r>
      <w:r w:rsidR="00F1174A">
        <w:rPr>
          <w:rFonts w:ascii="Verdana" w:hAnsi="Verdana"/>
          <w:sz w:val="20"/>
          <w:szCs w:val="20"/>
          <w:lang w:val="es-MX"/>
        </w:rPr>
        <w:t>Marijkedorp (Wan Shi Sha)</w:t>
      </w:r>
      <w:r w:rsidRPr="008A0239">
        <w:rPr>
          <w:rFonts w:ascii="Verdana" w:hAnsi="Verdana"/>
          <w:sz w:val="20"/>
          <w:szCs w:val="20"/>
          <w:lang w:val="es-MX"/>
        </w:rPr>
        <w:t xml:space="preserve"> </w:t>
      </w:r>
      <w:r w:rsidR="00F44542" w:rsidRPr="00262413">
        <w:rPr>
          <w:rFonts w:ascii="Verdana" w:hAnsi="Verdana"/>
          <w:sz w:val="20"/>
          <w:szCs w:val="20"/>
          <w:lang w:val="es-ES"/>
        </w:rPr>
        <w:t xml:space="preserve">habitaban </w:t>
      </w:r>
      <w:r w:rsidR="00F44542">
        <w:rPr>
          <w:rFonts w:ascii="Verdana" w:hAnsi="Verdana"/>
          <w:sz w:val="20"/>
          <w:szCs w:val="20"/>
          <w:lang w:val="es-ES"/>
        </w:rPr>
        <w:t xml:space="preserve">tradicionalmente </w:t>
      </w:r>
      <w:r w:rsidR="00F44542" w:rsidRPr="00262413">
        <w:rPr>
          <w:rFonts w:ascii="Verdana" w:hAnsi="Verdana"/>
          <w:sz w:val="20"/>
          <w:szCs w:val="20"/>
          <w:lang w:val="es-ES"/>
        </w:rPr>
        <w:t xml:space="preserve">al margen del </w:t>
      </w:r>
      <w:r w:rsidR="00DB62DD">
        <w:rPr>
          <w:rFonts w:ascii="Verdana" w:hAnsi="Verdana"/>
          <w:sz w:val="20"/>
          <w:szCs w:val="20"/>
          <w:lang w:val="es-ES"/>
        </w:rPr>
        <w:t>r</w:t>
      </w:r>
      <w:r w:rsidR="00F44542" w:rsidRPr="00262413">
        <w:rPr>
          <w:rFonts w:ascii="Verdana" w:hAnsi="Verdana"/>
          <w:sz w:val="20"/>
          <w:szCs w:val="20"/>
          <w:lang w:val="es-ES"/>
        </w:rPr>
        <w:t>ío Marowijne</w:t>
      </w:r>
      <w:r w:rsidR="000E3E0B">
        <w:rPr>
          <w:rFonts w:ascii="Verdana" w:hAnsi="Verdana"/>
          <w:sz w:val="20"/>
          <w:szCs w:val="20"/>
          <w:lang w:val="es-ES"/>
        </w:rPr>
        <w:t>, tal como lo señalaron los relatos orales de los ancianos</w:t>
      </w:r>
      <w:r w:rsidR="000E3E0B" w:rsidRPr="00262413">
        <w:rPr>
          <w:rStyle w:val="FootnoteReference"/>
          <w:szCs w:val="20"/>
          <w:lang w:val="es-ES"/>
        </w:rPr>
        <w:footnoteReference w:id="182"/>
      </w:r>
      <w:r w:rsidR="00F44542">
        <w:rPr>
          <w:rFonts w:ascii="Verdana" w:hAnsi="Verdana"/>
          <w:sz w:val="20"/>
          <w:szCs w:val="20"/>
          <w:lang w:val="es-ES"/>
        </w:rPr>
        <w:t>,</w:t>
      </w:r>
      <w:r w:rsidR="00F44542" w:rsidRPr="00F44542">
        <w:rPr>
          <w:rFonts w:ascii="Verdana" w:hAnsi="Verdana"/>
          <w:sz w:val="20"/>
          <w:szCs w:val="20"/>
          <w:lang w:val="es-ES"/>
        </w:rPr>
        <w:t xml:space="preserve"> </w:t>
      </w:r>
      <w:r w:rsidR="00F44542">
        <w:rPr>
          <w:rFonts w:ascii="Verdana" w:hAnsi="Verdana"/>
          <w:sz w:val="20"/>
          <w:szCs w:val="20"/>
          <w:lang w:val="es-ES"/>
        </w:rPr>
        <w:t xml:space="preserve">con el cual han mantenido </w:t>
      </w:r>
      <w:r w:rsidR="00F44542" w:rsidRPr="009A23B9">
        <w:rPr>
          <w:rFonts w:ascii="Verdana" w:hAnsi="Verdana"/>
          <w:sz w:val="20"/>
          <w:szCs w:val="20"/>
        </w:rPr>
        <w:t xml:space="preserve">una fuerte relación </w:t>
      </w:r>
      <w:r w:rsidR="00F44542">
        <w:rPr>
          <w:rFonts w:ascii="Verdana" w:hAnsi="Verdana"/>
          <w:sz w:val="20"/>
          <w:szCs w:val="20"/>
        </w:rPr>
        <w:t xml:space="preserve">material y </w:t>
      </w:r>
      <w:r w:rsidR="00F44542" w:rsidRPr="009A23B9">
        <w:rPr>
          <w:rFonts w:ascii="Verdana" w:hAnsi="Verdana"/>
          <w:sz w:val="20"/>
          <w:szCs w:val="20"/>
        </w:rPr>
        <w:t>espiritual</w:t>
      </w:r>
      <w:r w:rsidR="00F44542">
        <w:rPr>
          <w:rFonts w:ascii="Verdana" w:hAnsi="Verdana"/>
          <w:sz w:val="20"/>
          <w:szCs w:val="20"/>
        </w:rPr>
        <w:t xml:space="preserve"> </w:t>
      </w:r>
      <w:r w:rsidR="000E3E0B">
        <w:rPr>
          <w:rFonts w:ascii="Verdana" w:hAnsi="Verdana"/>
          <w:sz w:val="20"/>
          <w:szCs w:val="20"/>
          <w:lang w:val="es-MX"/>
        </w:rPr>
        <w:t xml:space="preserve">conforme a diversas declaraciones </w:t>
      </w:r>
      <w:r w:rsidR="000E3E0B" w:rsidRPr="00A82D8D">
        <w:rPr>
          <w:rFonts w:ascii="Verdana" w:hAnsi="Verdana"/>
          <w:sz w:val="20"/>
          <w:szCs w:val="20"/>
          <w:lang w:val="es-MX"/>
        </w:rPr>
        <w:t>(</w:t>
      </w:r>
      <w:r w:rsidR="000E3E0B" w:rsidRPr="00366D91">
        <w:rPr>
          <w:rFonts w:ascii="Verdana" w:hAnsi="Verdana"/>
          <w:i/>
          <w:sz w:val="20"/>
          <w:szCs w:val="20"/>
          <w:lang w:val="es-MX"/>
        </w:rPr>
        <w:t>supra</w:t>
      </w:r>
      <w:r w:rsidR="000E3E0B" w:rsidRPr="005C1763">
        <w:rPr>
          <w:rFonts w:ascii="Verdana" w:hAnsi="Verdana"/>
          <w:sz w:val="20"/>
          <w:szCs w:val="20"/>
          <w:lang w:val="es-MX"/>
        </w:rPr>
        <w:t xml:space="preserve"> párr</w:t>
      </w:r>
      <w:r w:rsidR="00020007">
        <w:rPr>
          <w:rFonts w:ascii="Verdana" w:hAnsi="Verdana"/>
          <w:sz w:val="20"/>
          <w:szCs w:val="20"/>
          <w:lang w:val="es-MX"/>
        </w:rPr>
        <w:t>s</w:t>
      </w:r>
      <w:r w:rsidR="000E3E0B" w:rsidRPr="005C1763">
        <w:rPr>
          <w:rFonts w:ascii="Verdana" w:hAnsi="Verdana"/>
          <w:sz w:val="20"/>
          <w:szCs w:val="20"/>
          <w:lang w:val="es-MX"/>
        </w:rPr>
        <w:t xml:space="preserve">. </w:t>
      </w:r>
      <w:r w:rsidR="00DB62DD">
        <w:rPr>
          <w:rFonts w:ascii="Verdana" w:hAnsi="Verdana"/>
          <w:sz w:val="20"/>
          <w:szCs w:val="20"/>
          <w:lang w:val="es-MX"/>
        </w:rPr>
        <w:t>30</w:t>
      </w:r>
      <w:r w:rsidR="00020007">
        <w:rPr>
          <w:rFonts w:ascii="Verdana" w:hAnsi="Verdana"/>
          <w:sz w:val="20"/>
          <w:szCs w:val="20"/>
          <w:lang w:val="es-MX"/>
        </w:rPr>
        <w:t xml:space="preserve"> y 33</w:t>
      </w:r>
      <w:r w:rsidR="000E3E0B" w:rsidRPr="005C1763">
        <w:rPr>
          <w:rFonts w:ascii="Verdana" w:hAnsi="Verdana"/>
          <w:sz w:val="20"/>
          <w:szCs w:val="20"/>
          <w:lang w:val="es-MX"/>
        </w:rPr>
        <w:t>)</w:t>
      </w:r>
      <w:r w:rsidR="00F44542">
        <w:rPr>
          <w:rFonts w:ascii="Verdana" w:hAnsi="Verdana"/>
          <w:sz w:val="20"/>
          <w:szCs w:val="20"/>
          <w:lang w:val="es-MX"/>
        </w:rPr>
        <w:t xml:space="preserve">, y </w:t>
      </w:r>
      <w:r w:rsidR="00521447">
        <w:rPr>
          <w:rFonts w:ascii="Verdana" w:hAnsi="Verdana"/>
          <w:sz w:val="20"/>
          <w:szCs w:val="20"/>
          <w:lang w:val="es-MX"/>
        </w:rPr>
        <w:t>son</w:t>
      </w:r>
      <w:r w:rsidR="00521447">
        <w:rPr>
          <w:rFonts w:ascii="Verdana" w:hAnsi="Verdana"/>
          <w:sz w:val="20"/>
          <w:szCs w:val="20"/>
          <w:lang w:val="es-ES"/>
        </w:rPr>
        <w:t xml:space="preserve"> reconocidos en Surinam</w:t>
      </w:r>
      <w:r w:rsidR="00F44542">
        <w:rPr>
          <w:rFonts w:ascii="Verdana" w:hAnsi="Verdana"/>
          <w:sz w:val="20"/>
          <w:szCs w:val="20"/>
          <w:lang w:val="es-ES"/>
        </w:rPr>
        <w:t xml:space="preserve"> como los </w:t>
      </w:r>
      <w:r w:rsidR="00DB62DD">
        <w:rPr>
          <w:rFonts w:ascii="Verdana" w:hAnsi="Verdana"/>
          <w:sz w:val="20"/>
          <w:szCs w:val="20"/>
          <w:lang w:val="es-ES"/>
        </w:rPr>
        <w:t>“</w:t>
      </w:r>
      <w:r w:rsidR="00521447">
        <w:rPr>
          <w:rFonts w:ascii="Verdana" w:hAnsi="Verdana"/>
          <w:sz w:val="20"/>
          <w:szCs w:val="20"/>
          <w:lang w:val="es-ES"/>
        </w:rPr>
        <w:t>P</w:t>
      </w:r>
      <w:r w:rsidR="00F44542" w:rsidRPr="00262413">
        <w:rPr>
          <w:rFonts w:ascii="Verdana" w:hAnsi="Verdana"/>
          <w:sz w:val="20"/>
          <w:szCs w:val="20"/>
          <w:lang w:val="es-ES"/>
        </w:rPr>
        <w:t>ueblos del Bajo Marowijne</w:t>
      </w:r>
      <w:r w:rsidR="00F44542">
        <w:rPr>
          <w:rFonts w:ascii="Verdana" w:hAnsi="Verdana"/>
          <w:sz w:val="20"/>
          <w:szCs w:val="20"/>
          <w:lang w:val="es-ES"/>
        </w:rPr>
        <w:t>” (</w:t>
      </w:r>
      <w:r w:rsidR="00F44542" w:rsidRPr="00445029">
        <w:rPr>
          <w:rFonts w:ascii="Verdana" w:hAnsi="Verdana"/>
          <w:i/>
          <w:sz w:val="20"/>
          <w:szCs w:val="20"/>
          <w:lang w:val="es-ES"/>
        </w:rPr>
        <w:t>supra</w:t>
      </w:r>
      <w:r w:rsidR="00F44542">
        <w:rPr>
          <w:rFonts w:ascii="Verdana" w:hAnsi="Verdana"/>
          <w:sz w:val="20"/>
          <w:szCs w:val="20"/>
          <w:lang w:val="es-ES"/>
        </w:rPr>
        <w:t xml:space="preserve"> párr. </w:t>
      </w:r>
      <w:r w:rsidR="00DB62DD">
        <w:rPr>
          <w:rFonts w:ascii="Verdana" w:hAnsi="Verdana"/>
          <w:sz w:val="20"/>
          <w:szCs w:val="20"/>
          <w:lang w:val="es-ES"/>
        </w:rPr>
        <w:t>29</w:t>
      </w:r>
      <w:r w:rsidR="00F44542">
        <w:rPr>
          <w:rFonts w:ascii="Verdana" w:hAnsi="Verdana"/>
          <w:sz w:val="20"/>
          <w:szCs w:val="20"/>
          <w:lang w:val="es-ES"/>
        </w:rPr>
        <w:t>)</w:t>
      </w:r>
      <w:r w:rsidRPr="005C1763">
        <w:rPr>
          <w:rFonts w:ascii="Verdana" w:hAnsi="Verdana"/>
          <w:sz w:val="20"/>
          <w:szCs w:val="20"/>
          <w:lang w:val="es-MX"/>
        </w:rPr>
        <w:t>.</w:t>
      </w:r>
      <w:r w:rsidR="004748A3">
        <w:rPr>
          <w:rFonts w:ascii="Verdana" w:hAnsi="Verdana"/>
          <w:sz w:val="20"/>
          <w:szCs w:val="20"/>
          <w:lang w:val="es-ES"/>
        </w:rPr>
        <w:t xml:space="preserve"> </w:t>
      </w:r>
    </w:p>
    <w:p w14:paraId="2AD13D3C" w14:textId="77777777" w:rsidR="00B22EC8" w:rsidRDefault="00B22EC8" w:rsidP="00B22EC8">
      <w:pPr>
        <w:pStyle w:val="ListParagraph"/>
        <w:ind w:left="0"/>
        <w:jc w:val="both"/>
        <w:rPr>
          <w:rFonts w:ascii="Verdana" w:hAnsi="Verdana"/>
          <w:sz w:val="20"/>
          <w:szCs w:val="20"/>
          <w:lang w:val="es-ES"/>
        </w:rPr>
      </w:pPr>
    </w:p>
    <w:p w14:paraId="0EEAA2CB" w14:textId="19932B45" w:rsidR="00CA4D4B" w:rsidRPr="00E477FD" w:rsidRDefault="004748A3" w:rsidP="00F44542">
      <w:pPr>
        <w:pStyle w:val="ListParagraph"/>
        <w:numPr>
          <w:ilvl w:val="0"/>
          <w:numId w:val="2"/>
        </w:numPr>
        <w:ind w:left="0" w:hanging="11"/>
        <w:jc w:val="both"/>
        <w:rPr>
          <w:rFonts w:ascii="Verdana" w:hAnsi="Verdana"/>
          <w:sz w:val="20"/>
          <w:szCs w:val="20"/>
          <w:lang w:val="es-ES"/>
        </w:rPr>
      </w:pPr>
      <w:r w:rsidRPr="00F44542">
        <w:rPr>
          <w:rFonts w:ascii="Verdana" w:hAnsi="Verdana"/>
          <w:sz w:val="20"/>
          <w:szCs w:val="20"/>
          <w:lang w:val="es-ES"/>
        </w:rPr>
        <w:t xml:space="preserve">Asimismo, </w:t>
      </w:r>
      <w:r w:rsidRPr="00F44542">
        <w:rPr>
          <w:rFonts w:ascii="Verdana" w:hAnsi="Verdana"/>
          <w:sz w:val="20"/>
          <w:szCs w:val="20"/>
          <w:lang w:val="es-MX"/>
        </w:rPr>
        <w:t>e</w:t>
      </w:r>
      <w:r w:rsidR="002109E0" w:rsidRPr="00F44542">
        <w:rPr>
          <w:rFonts w:ascii="Verdana" w:hAnsi="Verdana"/>
          <w:sz w:val="20"/>
          <w:szCs w:val="20"/>
          <w:lang w:val="es-MX"/>
        </w:rPr>
        <w:t>l Tribunal ha establecido que es un hecho no controvertido que en 1975, el Estado inició un proyecto de parcelación urbano llamado “Tuinstad Albina”</w:t>
      </w:r>
      <w:r w:rsidR="00DB62DD">
        <w:rPr>
          <w:rFonts w:ascii="Verdana" w:hAnsi="Verdana"/>
          <w:sz w:val="20"/>
          <w:szCs w:val="20"/>
          <w:lang w:val="es-MX"/>
        </w:rPr>
        <w:t xml:space="preserve"> (Garden City Albina)</w:t>
      </w:r>
      <w:r w:rsidR="002109E0" w:rsidRPr="00F44542">
        <w:rPr>
          <w:rFonts w:ascii="Verdana" w:hAnsi="Verdana"/>
          <w:sz w:val="20"/>
          <w:szCs w:val="20"/>
          <w:lang w:val="es-MX"/>
        </w:rPr>
        <w:t xml:space="preserve"> </w:t>
      </w:r>
      <w:r w:rsidR="00CA4D4B" w:rsidRPr="00F44542">
        <w:rPr>
          <w:rFonts w:ascii="Verdana" w:hAnsi="Verdana"/>
          <w:sz w:val="20"/>
          <w:szCs w:val="20"/>
          <w:lang w:val="es-ES"/>
        </w:rPr>
        <w:t>paralelo al río Marowijne</w:t>
      </w:r>
      <w:r w:rsidRPr="00F44542">
        <w:rPr>
          <w:rFonts w:ascii="Verdana" w:hAnsi="Verdana"/>
          <w:sz w:val="20"/>
          <w:szCs w:val="20"/>
          <w:lang w:val="es-ES"/>
        </w:rPr>
        <w:t>,</w:t>
      </w:r>
      <w:r w:rsidR="00CA4D4B" w:rsidRPr="00F44542">
        <w:rPr>
          <w:rFonts w:ascii="Verdana" w:hAnsi="Verdana"/>
          <w:sz w:val="20"/>
          <w:szCs w:val="20"/>
          <w:lang w:val="es-ES"/>
        </w:rPr>
        <w:t xml:space="preserve"> </w:t>
      </w:r>
      <w:r w:rsidR="002109E0" w:rsidRPr="00F44542">
        <w:rPr>
          <w:rFonts w:ascii="Verdana" w:hAnsi="Verdana"/>
          <w:sz w:val="20"/>
          <w:szCs w:val="20"/>
          <w:lang w:val="es-MX"/>
        </w:rPr>
        <w:t xml:space="preserve">en las cercanías de los pueblos Erowarte, Tapuku, Pierrekondre y </w:t>
      </w:r>
      <w:r w:rsidR="00F1174A">
        <w:rPr>
          <w:rFonts w:ascii="Verdana" w:hAnsi="Verdana"/>
          <w:sz w:val="20"/>
          <w:szCs w:val="20"/>
          <w:lang w:val="es-MX"/>
        </w:rPr>
        <w:t>Marijkedorp (Wan Shi Sha)</w:t>
      </w:r>
      <w:r w:rsidR="002109E0" w:rsidRPr="00F44542">
        <w:rPr>
          <w:rFonts w:ascii="Verdana" w:hAnsi="Verdana"/>
          <w:sz w:val="20"/>
          <w:szCs w:val="20"/>
          <w:lang w:val="es-MX"/>
        </w:rPr>
        <w:t xml:space="preserve"> </w:t>
      </w:r>
      <w:r w:rsidR="00CA4D4B" w:rsidRPr="00F44542">
        <w:rPr>
          <w:rFonts w:ascii="Verdana" w:hAnsi="Verdana"/>
          <w:sz w:val="20"/>
          <w:szCs w:val="20"/>
          <w:lang w:val="es-MX"/>
        </w:rPr>
        <w:t>y que a</w:t>
      </w:r>
      <w:r w:rsidR="002109E0" w:rsidRPr="00F44542">
        <w:rPr>
          <w:rFonts w:ascii="Verdana" w:hAnsi="Verdana"/>
          <w:sz w:val="20"/>
          <w:szCs w:val="20"/>
          <w:lang w:val="es-MX"/>
        </w:rPr>
        <w:t>lgunas de estas parcelas fueron entregadas a personas no indígenas, a través de la emisión de títulos de propiedad</w:t>
      </w:r>
      <w:r w:rsidR="00304E96" w:rsidRPr="00F44542">
        <w:rPr>
          <w:rFonts w:ascii="Verdana" w:hAnsi="Verdana"/>
          <w:sz w:val="20"/>
          <w:szCs w:val="20"/>
          <w:lang w:val="es-MX"/>
        </w:rPr>
        <w:t xml:space="preserve"> y</w:t>
      </w:r>
      <w:r w:rsidR="002109E0" w:rsidRPr="00F44542">
        <w:rPr>
          <w:rFonts w:ascii="Verdana" w:hAnsi="Verdana"/>
          <w:sz w:val="20"/>
          <w:szCs w:val="20"/>
          <w:lang w:val="es-MX"/>
        </w:rPr>
        <w:t xml:space="preserve"> arrendamientos </w:t>
      </w:r>
      <w:r w:rsidR="00304E96" w:rsidRPr="00F44542">
        <w:rPr>
          <w:rFonts w:ascii="Verdana" w:hAnsi="Verdana"/>
          <w:sz w:val="20"/>
          <w:szCs w:val="20"/>
          <w:lang w:val="es-MX"/>
        </w:rPr>
        <w:t xml:space="preserve">a corto y </w:t>
      </w:r>
      <w:r w:rsidR="002109E0" w:rsidRPr="00F44542">
        <w:rPr>
          <w:rFonts w:ascii="Verdana" w:hAnsi="Verdana"/>
          <w:sz w:val="20"/>
          <w:szCs w:val="20"/>
          <w:lang w:val="es-MX"/>
        </w:rPr>
        <w:t>largo plazo</w:t>
      </w:r>
      <w:r w:rsidR="00CA4D4B" w:rsidRPr="00F44542">
        <w:rPr>
          <w:rFonts w:ascii="Verdana" w:hAnsi="Verdana"/>
          <w:sz w:val="20"/>
          <w:szCs w:val="20"/>
          <w:lang w:val="es-MX"/>
        </w:rPr>
        <w:t xml:space="preserve">, </w:t>
      </w:r>
      <w:r w:rsidR="00CA4D4B" w:rsidRPr="00E477FD">
        <w:rPr>
          <w:rFonts w:ascii="Verdana" w:hAnsi="Verdana"/>
          <w:sz w:val="20"/>
          <w:szCs w:val="20"/>
          <w:lang w:val="es-MX"/>
        </w:rPr>
        <w:t>hasta por lo menos el año 2013</w:t>
      </w:r>
      <w:r w:rsidR="00D712F8" w:rsidRPr="00F44542">
        <w:rPr>
          <w:rFonts w:ascii="Verdana" w:hAnsi="Verdana"/>
          <w:sz w:val="20"/>
          <w:szCs w:val="20"/>
          <w:lang w:val="es-MX"/>
        </w:rPr>
        <w:t>,</w:t>
      </w:r>
      <w:r w:rsidR="00CA4D4B" w:rsidRPr="00E477FD">
        <w:rPr>
          <w:rFonts w:ascii="Verdana" w:hAnsi="Verdana"/>
          <w:sz w:val="20"/>
          <w:szCs w:val="20"/>
          <w:lang w:val="es-MX"/>
        </w:rPr>
        <w:t xml:space="preserve"> </w:t>
      </w:r>
      <w:r w:rsidRPr="00F44542">
        <w:rPr>
          <w:rFonts w:ascii="Verdana" w:hAnsi="Verdana"/>
          <w:sz w:val="20"/>
          <w:szCs w:val="20"/>
        </w:rPr>
        <w:t xml:space="preserve">sobre </w:t>
      </w:r>
      <w:r w:rsidR="00D712F8" w:rsidRPr="00F44542">
        <w:rPr>
          <w:rFonts w:ascii="Verdana" w:hAnsi="Verdana"/>
          <w:sz w:val="20"/>
          <w:szCs w:val="20"/>
        </w:rPr>
        <w:t xml:space="preserve">parte de </w:t>
      </w:r>
      <w:r w:rsidRPr="00F44542">
        <w:rPr>
          <w:rFonts w:ascii="Verdana" w:hAnsi="Verdana"/>
          <w:sz w:val="20"/>
          <w:szCs w:val="20"/>
        </w:rPr>
        <w:t xml:space="preserve">las tierras tradicionales de los Pueblos Kaliña y Lokono </w:t>
      </w:r>
      <w:r w:rsidRPr="00F44542">
        <w:rPr>
          <w:rFonts w:ascii="Verdana" w:hAnsi="Verdana"/>
          <w:sz w:val="20"/>
          <w:szCs w:val="20"/>
          <w:lang w:val="es-MX"/>
        </w:rPr>
        <w:t>(</w:t>
      </w:r>
      <w:r w:rsidRPr="00F44542">
        <w:rPr>
          <w:rFonts w:ascii="Verdana" w:hAnsi="Verdana"/>
          <w:i/>
          <w:sz w:val="20"/>
          <w:szCs w:val="20"/>
          <w:lang w:val="es-MX"/>
        </w:rPr>
        <w:t>supra</w:t>
      </w:r>
      <w:r w:rsidRPr="00F44542">
        <w:rPr>
          <w:rFonts w:ascii="Verdana" w:hAnsi="Verdana"/>
          <w:sz w:val="20"/>
          <w:szCs w:val="20"/>
          <w:lang w:val="es-MX"/>
        </w:rPr>
        <w:t xml:space="preserve"> párr</w:t>
      </w:r>
      <w:r w:rsidR="00020007">
        <w:rPr>
          <w:rFonts w:ascii="Verdana" w:hAnsi="Verdana"/>
          <w:sz w:val="20"/>
          <w:szCs w:val="20"/>
          <w:lang w:val="es-MX"/>
        </w:rPr>
        <w:t>s</w:t>
      </w:r>
      <w:r w:rsidRPr="00F44542">
        <w:rPr>
          <w:rFonts w:ascii="Verdana" w:hAnsi="Verdana"/>
          <w:sz w:val="20"/>
          <w:szCs w:val="20"/>
          <w:lang w:val="es-MX"/>
        </w:rPr>
        <w:t xml:space="preserve">. </w:t>
      </w:r>
      <w:r w:rsidR="00DB62DD">
        <w:rPr>
          <w:rFonts w:ascii="Verdana" w:hAnsi="Verdana"/>
          <w:sz w:val="20"/>
          <w:szCs w:val="20"/>
          <w:lang w:val="es-MX"/>
        </w:rPr>
        <w:t>9</w:t>
      </w:r>
      <w:r w:rsidR="00020007">
        <w:rPr>
          <w:rFonts w:ascii="Verdana" w:hAnsi="Verdana"/>
          <w:sz w:val="20"/>
          <w:szCs w:val="20"/>
          <w:lang w:val="es-MX"/>
        </w:rPr>
        <w:t>6 a 98</w:t>
      </w:r>
      <w:r w:rsidRPr="00F44542">
        <w:rPr>
          <w:rFonts w:ascii="Verdana" w:hAnsi="Verdana"/>
          <w:sz w:val="20"/>
          <w:szCs w:val="20"/>
          <w:lang w:val="es-MX"/>
        </w:rPr>
        <w:t>).</w:t>
      </w:r>
    </w:p>
    <w:p w14:paraId="5A740822" w14:textId="77777777" w:rsidR="00CA4D4B" w:rsidRPr="00E477FD" w:rsidRDefault="00CA4D4B" w:rsidP="00E477FD">
      <w:pPr>
        <w:pStyle w:val="ListParagraph"/>
        <w:rPr>
          <w:rFonts w:ascii="Verdana" w:hAnsi="Verdana"/>
          <w:sz w:val="20"/>
          <w:szCs w:val="20"/>
          <w:lang w:val="es-MX"/>
        </w:rPr>
      </w:pPr>
    </w:p>
    <w:p w14:paraId="3068D7A5" w14:textId="10FB7D34" w:rsidR="001B19DD" w:rsidRPr="00F64329" w:rsidRDefault="002109E0" w:rsidP="001B19DD">
      <w:pPr>
        <w:pStyle w:val="ListParagraph"/>
        <w:numPr>
          <w:ilvl w:val="0"/>
          <w:numId w:val="2"/>
        </w:numPr>
        <w:ind w:left="0" w:hanging="11"/>
        <w:jc w:val="both"/>
        <w:rPr>
          <w:rFonts w:ascii="Verdana" w:hAnsi="Verdana"/>
          <w:b/>
          <w:sz w:val="20"/>
          <w:szCs w:val="20"/>
          <w:lang w:val="es-MX"/>
        </w:rPr>
      </w:pPr>
      <w:r w:rsidRPr="00E477FD">
        <w:rPr>
          <w:rFonts w:ascii="Verdana" w:hAnsi="Verdana"/>
          <w:sz w:val="20"/>
          <w:szCs w:val="20"/>
          <w:lang w:val="es-MX"/>
        </w:rPr>
        <w:t>A</w:t>
      </w:r>
      <w:r w:rsidR="00EA66FF" w:rsidRPr="00E477FD">
        <w:rPr>
          <w:rFonts w:ascii="Verdana" w:hAnsi="Verdana"/>
          <w:sz w:val="20"/>
          <w:szCs w:val="20"/>
          <w:lang w:val="es-MX"/>
        </w:rPr>
        <w:t xml:space="preserve"> pesar de que e</w:t>
      </w:r>
      <w:r w:rsidRPr="00E477FD">
        <w:rPr>
          <w:rFonts w:ascii="Verdana" w:hAnsi="Verdana"/>
          <w:sz w:val="20"/>
          <w:szCs w:val="20"/>
          <w:lang w:val="es-MX"/>
        </w:rPr>
        <w:t xml:space="preserve">l Tribunal no cuenta con información clara </w:t>
      </w:r>
      <w:r w:rsidR="00EA66FF" w:rsidRPr="00E477FD">
        <w:rPr>
          <w:rFonts w:ascii="Verdana" w:hAnsi="Verdana"/>
          <w:sz w:val="20"/>
          <w:szCs w:val="20"/>
          <w:lang w:val="es-MX"/>
        </w:rPr>
        <w:t>respecto a la cantidad, ubicación, extensión y fechas de emisión de los títulos de propiedad o arrendamiento, de la información como prueba para mejor resolver enviada por el Estado, se comprueba al menos la existencia de diversos títulos inscritos en el registro de la Oficina de Dominios de Surinam, todos localizados en el proyecto de Tuinstad Albina</w:t>
      </w:r>
      <w:r w:rsidR="001B19DD" w:rsidRPr="00E477FD">
        <w:rPr>
          <w:rFonts w:ascii="Verdana" w:hAnsi="Verdana"/>
          <w:sz w:val="20"/>
          <w:szCs w:val="20"/>
          <w:lang w:val="es-MX"/>
        </w:rPr>
        <w:t xml:space="preserve"> (</w:t>
      </w:r>
      <w:r w:rsidR="001B19DD" w:rsidRPr="00E477FD">
        <w:rPr>
          <w:rFonts w:ascii="Verdana" w:hAnsi="Verdana"/>
          <w:i/>
          <w:sz w:val="20"/>
          <w:szCs w:val="20"/>
          <w:lang w:val="es-MX"/>
        </w:rPr>
        <w:t>supra</w:t>
      </w:r>
      <w:r w:rsidR="001B19DD" w:rsidRPr="00E477FD">
        <w:rPr>
          <w:rFonts w:ascii="Verdana" w:hAnsi="Verdana"/>
          <w:sz w:val="20"/>
          <w:szCs w:val="20"/>
          <w:lang w:val="es-MX"/>
        </w:rPr>
        <w:t xml:space="preserve"> párr. </w:t>
      </w:r>
      <w:r w:rsidR="00DB62DD">
        <w:rPr>
          <w:rFonts w:ascii="Verdana" w:hAnsi="Verdana"/>
          <w:sz w:val="20"/>
          <w:szCs w:val="20"/>
          <w:lang w:val="es-MX"/>
        </w:rPr>
        <w:t>27</w:t>
      </w:r>
      <w:r w:rsidR="001B19DD" w:rsidRPr="00E477FD">
        <w:rPr>
          <w:rFonts w:ascii="Verdana" w:hAnsi="Verdana"/>
          <w:sz w:val="20"/>
          <w:szCs w:val="20"/>
          <w:lang w:val="es-MX"/>
        </w:rPr>
        <w:t>)</w:t>
      </w:r>
      <w:r w:rsidR="0014427B">
        <w:rPr>
          <w:rFonts w:ascii="Verdana" w:hAnsi="Verdana"/>
          <w:sz w:val="20"/>
          <w:szCs w:val="20"/>
          <w:lang w:val="es-MX"/>
        </w:rPr>
        <w:t>.</w:t>
      </w:r>
      <w:r w:rsidR="00EA66FF" w:rsidRPr="00E477FD">
        <w:rPr>
          <w:rFonts w:ascii="Verdana" w:hAnsi="Verdana"/>
          <w:sz w:val="20"/>
          <w:szCs w:val="20"/>
          <w:lang w:val="es-MX"/>
        </w:rPr>
        <w:t xml:space="preserve"> </w:t>
      </w:r>
      <w:r w:rsidR="0014427B">
        <w:rPr>
          <w:rFonts w:ascii="Verdana" w:hAnsi="Verdana"/>
          <w:sz w:val="20"/>
          <w:szCs w:val="20"/>
          <w:lang w:val="es-MX"/>
        </w:rPr>
        <w:t>Algunos de ellos serían de</w:t>
      </w:r>
      <w:r w:rsidR="00E74C30">
        <w:rPr>
          <w:rFonts w:ascii="Verdana" w:hAnsi="Verdana"/>
          <w:sz w:val="20"/>
          <w:szCs w:val="20"/>
          <w:lang w:val="es-MX"/>
        </w:rPr>
        <w:t xml:space="preserve"> propiedad privada, y otros </w:t>
      </w:r>
      <w:r w:rsidR="0014427B">
        <w:rPr>
          <w:rFonts w:ascii="Verdana" w:hAnsi="Verdana"/>
          <w:sz w:val="20"/>
          <w:szCs w:val="20"/>
          <w:lang w:val="es-MX"/>
        </w:rPr>
        <w:t xml:space="preserve">de </w:t>
      </w:r>
      <w:r w:rsidR="00EA66FF" w:rsidRPr="00E477FD">
        <w:rPr>
          <w:rFonts w:ascii="Verdana" w:hAnsi="Verdana"/>
          <w:sz w:val="20"/>
          <w:szCs w:val="20"/>
          <w:lang w:val="es-MX"/>
        </w:rPr>
        <w:t>arrendamientos a corto y largo plazo otorgados a privados sobre tierras en las que el Estado sería el propietario.</w:t>
      </w:r>
      <w:r w:rsidR="001B19DD" w:rsidRPr="00E477FD">
        <w:rPr>
          <w:rFonts w:ascii="Verdana" w:hAnsi="Verdana"/>
          <w:sz w:val="20"/>
          <w:szCs w:val="20"/>
          <w:lang w:val="es-MX"/>
        </w:rPr>
        <w:t xml:space="preserve"> </w:t>
      </w:r>
      <w:r w:rsidRPr="00E477FD">
        <w:rPr>
          <w:rFonts w:ascii="Verdana" w:hAnsi="Verdana"/>
          <w:sz w:val="20"/>
          <w:szCs w:val="20"/>
          <w:lang w:val="es-MX"/>
        </w:rPr>
        <w:t xml:space="preserve">Por otro lado, en el acervo probatorio del caso, existe una lista parcial con los nombres de </w:t>
      </w:r>
      <w:r w:rsidR="00D40CA3">
        <w:rPr>
          <w:rFonts w:ascii="Verdana" w:hAnsi="Verdana"/>
          <w:sz w:val="20"/>
          <w:szCs w:val="20"/>
          <w:lang w:val="es-MX"/>
        </w:rPr>
        <w:t>aproximadamente 17</w:t>
      </w:r>
      <w:r w:rsidRPr="00E477FD">
        <w:rPr>
          <w:rFonts w:ascii="Verdana" w:hAnsi="Verdana"/>
          <w:sz w:val="20"/>
          <w:szCs w:val="20"/>
          <w:lang w:val="es-MX"/>
        </w:rPr>
        <w:t xml:space="preserve"> personas no indígenas que poseerían títulos en los </w:t>
      </w:r>
      <w:r w:rsidR="00AC77BA" w:rsidRPr="00E477FD">
        <w:rPr>
          <w:rFonts w:ascii="Verdana" w:hAnsi="Verdana"/>
          <w:sz w:val="20"/>
          <w:szCs w:val="20"/>
          <w:lang w:val="es-MX"/>
        </w:rPr>
        <w:t xml:space="preserve">territorios de los </w:t>
      </w:r>
      <w:r w:rsidRPr="00E477FD">
        <w:rPr>
          <w:rFonts w:ascii="Verdana" w:hAnsi="Verdana"/>
          <w:sz w:val="20"/>
          <w:szCs w:val="20"/>
          <w:lang w:val="es-MX"/>
        </w:rPr>
        <w:t>pueblos de Pierrekondre</w:t>
      </w:r>
      <w:r w:rsidR="00DB62DD">
        <w:rPr>
          <w:rFonts w:ascii="Verdana" w:hAnsi="Verdana"/>
          <w:sz w:val="20"/>
          <w:szCs w:val="20"/>
          <w:lang w:val="es-MX"/>
        </w:rPr>
        <w:t xml:space="preserve"> y</w:t>
      </w:r>
      <w:r w:rsidRPr="00E477FD">
        <w:rPr>
          <w:rFonts w:ascii="Verdana" w:hAnsi="Verdana"/>
          <w:sz w:val="20"/>
          <w:szCs w:val="20"/>
          <w:lang w:val="es-MX"/>
        </w:rPr>
        <w:t xml:space="preserve"> </w:t>
      </w:r>
      <w:r w:rsidR="00F1174A">
        <w:rPr>
          <w:rFonts w:ascii="Verdana" w:hAnsi="Verdana"/>
          <w:sz w:val="20"/>
          <w:szCs w:val="20"/>
          <w:lang w:val="es-MX"/>
        </w:rPr>
        <w:t>Marijkedorp (Wan Shi Sha)</w:t>
      </w:r>
      <w:r w:rsidRPr="00E477FD">
        <w:rPr>
          <w:rStyle w:val="FootnoteReference"/>
          <w:szCs w:val="20"/>
          <w:lang w:val="es-MX"/>
        </w:rPr>
        <w:footnoteReference w:id="183"/>
      </w:r>
      <w:r w:rsidR="00831049" w:rsidRPr="00E477FD">
        <w:rPr>
          <w:rFonts w:ascii="Verdana" w:hAnsi="Verdana"/>
          <w:sz w:val="20"/>
          <w:szCs w:val="20"/>
          <w:lang w:val="es-MX"/>
        </w:rPr>
        <w:t>.</w:t>
      </w:r>
      <w:r w:rsidR="0014427B">
        <w:rPr>
          <w:rFonts w:ascii="Verdana" w:hAnsi="Verdana"/>
          <w:sz w:val="20"/>
          <w:szCs w:val="20"/>
          <w:lang w:val="es-MX"/>
        </w:rPr>
        <w:t xml:space="preserve"> </w:t>
      </w:r>
      <w:r w:rsidR="00EC22F5" w:rsidRPr="002C323A">
        <w:rPr>
          <w:rFonts w:ascii="Verdana" w:hAnsi="Verdana"/>
          <w:sz w:val="20"/>
          <w:szCs w:val="20"/>
          <w:lang w:val="es-MX"/>
        </w:rPr>
        <w:t xml:space="preserve">Se desconoce </w:t>
      </w:r>
      <w:r w:rsidR="0014427B" w:rsidRPr="002C323A">
        <w:rPr>
          <w:rFonts w:ascii="Verdana" w:hAnsi="Verdana"/>
          <w:sz w:val="20"/>
          <w:szCs w:val="20"/>
          <w:lang w:val="es-MX"/>
        </w:rPr>
        <w:t>la calidad de</w:t>
      </w:r>
      <w:r w:rsidR="00EC22F5" w:rsidRPr="002C323A">
        <w:rPr>
          <w:rFonts w:ascii="Verdana" w:hAnsi="Verdana"/>
          <w:sz w:val="20"/>
          <w:szCs w:val="20"/>
          <w:lang w:val="es-MX"/>
        </w:rPr>
        <w:t xml:space="preserve"> dichos</w:t>
      </w:r>
      <w:r w:rsidR="0014427B" w:rsidRPr="002C323A">
        <w:rPr>
          <w:rFonts w:ascii="Verdana" w:hAnsi="Verdana"/>
          <w:sz w:val="20"/>
          <w:szCs w:val="20"/>
          <w:lang w:val="es-MX"/>
        </w:rPr>
        <w:t xml:space="preserve"> título</w:t>
      </w:r>
      <w:r w:rsidR="00EC22F5" w:rsidRPr="002C323A">
        <w:rPr>
          <w:rFonts w:ascii="Verdana" w:hAnsi="Verdana"/>
          <w:sz w:val="20"/>
          <w:szCs w:val="20"/>
          <w:lang w:val="es-MX"/>
        </w:rPr>
        <w:t>s</w:t>
      </w:r>
      <w:r w:rsidR="0014427B" w:rsidRPr="002C323A">
        <w:rPr>
          <w:rFonts w:ascii="Verdana" w:hAnsi="Verdana"/>
          <w:sz w:val="20"/>
          <w:szCs w:val="20"/>
          <w:lang w:val="es-MX"/>
        </w:rPr>
        <w:t xml:space="preserve"> otorgado</w:t>
      </w:r>
      <w:r w:rsidR="00EC22F5" w:rsidRPr="002C323A">
        <w:rPr>
          <w:rFonts w:ascii="Verdana" w:hAnsi="Verdana"/>
          <w:sz w:val="20"/>
          <w:szCs w:val="20"/>
          <w:lang w:val="es-MX"/>
        </w:rPr>
        <w:t>s</w:t>
      </w:r>
      <w:r w:rsidR="0014427B" w:rsidRPr="002C323A">
        <w:rPr>
          <w:rFonts w:ascii="Verdana" w:hAnsi="Verdana"/>
          <w:sz w:val="20"/>
          <w:szCs w:val="20"/>
          <w:lang w:val="es-MX"/>
        </w:rPr>
        <w:t xml:space="preserve"> (propiedad o arrendamiento).</w:t>
      </w:r>
    </w:p>
    <w:p w14:paraId="41259FDF" w14:textId="77777777" w:rsidR="00B15FEF" w:rsidRDefault="00B15FEF">
      <w:pPr>
        <w:pStyle w:val="ListParagraph"/>
        <w:ind w:left="0"/>
        <w:jc w:val="both"/>
        <w:rPr>
          <w:rFonts w:ascii="Verdana" w:hAnsi="Verdana"/>
          <w:b/>
          <w:sz w:val="20"/>
          <w:szCs w:val="20"/>
          <w:lang w:val="es-MX"/>
        </w:rPr>
      </w:pPr>
    </w:p>
    <w:p w14:paraId="5B72FA10" w14:textId="77777777" w:rsidR="001920C5" w:rsidRPr="007304C6" w:rsidRDefault="002109E0" w:rsidP="001920C5">
      <w:pPr>
        <w:pStyle w:val="ListParagraph"/>
        <w:numPr>
          <w:ilvl w:val="0"/>
          <w:numId w:val="2"/>
        </w:numPr>
        <w:ind w:left="0" w:hanging="11"/>
        <w:jc w:val="both"/>
        <w:rPr>
          <w:rFonts w:ascii="Verdana" w:hAnsi="Verdana"/>
          <w:sz w:val="20"/>
          <w:szCs w:val="20"/>
          <w:lang w:val="es-CR"/>
        </w:rPr>
      </w:pPr>
      <w:r w:rsidRPr="001920C5">
        <w:rPr>
          <w:rFonts w:ascii="Verdana" w:hAnsi="Verdana"/>
          <w:sz w:val="20"/>
          <w:lang w:val="es-MX"/>
        </w:rPr>
        <w:t xml:space="preserve">Adicionalmente, durante la diligencia </w:t>
      </w:r>
      <w:r w:rsidRPr="001920C5">
        <w:rPr>
          <w:rFonts w:ascii="Verdana" w:hAnsi="Verdana"/>
          <w:i/>
          <w:sz w:val="20"/>
          <w:lang w:val="es-MX"/>
        </w:rPr>
        <w:t>in situ</w:t>
      </w:r>
      <w:r w:rsidRPr="001920C5">
        <w:rPr>
          <w:rFonts w:ascii="Verdana" w:hAnsi="Verdana"/>
          <w:sz w:val="20"/>
          <w:lang w:val="es-MX"/>
        </w:rPr>
        <w:t xml:space="preserve">, la delegación de la Corte pudo constatar la existencia de </w:t>
      </w:r>
      <w:r w:rsidR="001B19DD" w:rsidRPr="001920C5">
        <w:rPr>
          <w:rFonts w:ascii="Verdana" w:hAnsi="Verdana"/>
          <w:sz w:val="20"/>
          <w:szCs w:val="20"/>
          <w:lang w:val="es-MX"/>
        </w:rPr>
        <w:t xml:space="preserve">diversas </w:t>
      </w:r>
      <w:r w:rsidRPr="001920C5">
        <w:rPr>
          <w:rFonts w:ascii="Verdana" w:hAnsi="Verdana"/>
          <w:sz w:val="20"/>
          <w:lang w:val="es-MX"/>
        </w:rPr>
        <w:t xml:space="preserve">edificaciones en los territorios de Pierrekondre y </w:t>
      </w:r>
      <w:r w:rsidR="00F1174A">
        <w:rPr>
          <w:rFonts w:ascii="Verdana" w:hAnsi="Verdana"/>
          <w:sz w:val="20"/>
          <w:lang w:val="es-MX"/>
        </w:rPr>
        <w:t>Marijkedorp (Wan Shi Sha)</w:t>
      </w:r>
      <w:r w:rsidRPr="001920C5">
        <w:rPr>
          <w:rFonts w:ascii="Verdana" w:hAnsi="Verdana"/>
          <w:sz w:val="20"/>
          <w:lang w:val="es-MX"/>
        </w:rPr>
        <w:t>, localizadas al margen del río Marowijne,</w:t>
      </w:r>
      <w:r w:rsidR="00831049" w:rsidRPr="00E477FD">
        <w:rPr>
          <w:rFonts w:ascii="Verdana" w:hAnsi="Verdana"/>
          <w:sz w:val="20"/>
          <w:lang w:val="es-MX"/>
        </w:rPr>
        <w:t xml:space="preserve"> las cuales</w:t>
      </w:r>
      <w:r w:rsidRPr="00E477FD">
        <w:rPr>
          <w:rFonts w:ascii="Verdana" w:hAnsi="Verdana"/>
          <w:sz w:val="20"/>
          <w:lang w:val="es-MX"/>
        </w:rPr>
        <w:t xml:space="preserve"> </w:t>
      </w:r>
      <w:r w:rsidR="00335C11">
        <w:rPr>
          <w:rFonts w:ascii="Verdana" w:hAnsi="Verdana"/>
          <w:sz w:val="20"/>
          <w:lang w:val="es-MX"/>
        </w:rPr>
        <w:t xml:space="preserve">serían </w:t>
      </w:r>
      <w:r w:rsidRPr="00E477FD">
        <w:rPr>
          <w:rFonts w:ascii="Verdana" w:hAnsi="Verdana"/>
          <w:sz w:val="20"/>
          <w:lang w:val="es-MX"/>
        </w:rPr>
        <w:t>presuntamente casas vacacionales</w:t>
      </w:r>
      <w:r w:rsidR="00831049" w:rsidRPr="00E477FD">
        <w:rPr>
          <w:rFonts w:ascii="Verdana" w:hAnsi="Verdana"/>
          <w:sz w:val="20"/>
          <w:lang w:val="es-MX"/>
        </w:rPr>
        <w:t xml:space="preserve"> de terceros</w:t>
      </w:r>
      <w:r w:rsidRPr="00E477FD">
        <w:rPr>
          <w:rStyle w:val="FootnoteReference"/>
          <w:lang w:val="es-MX"/>
        </w:rPr>
        <w:footnoteReference w:id="184"/>
      </w:r>
      <w:r w:rsidRPr="00E477FD">
        <w:rPr>
          <w:rFonts w:ascii="Verdana" w:hAnsi="Verdana"/>
          <w:sz w:val="20"/>
          <w:lang w:val="es-MX"/>
        </w:rPr>
        <w:t xml:space="preserve">. </w:t>
      </w:r>
      <w:r w:rsidR="00831049" w:rsidRPr="00E477FD">
        <w:rPr>
          <w:rFonts w:ascii="Verdana" w:hAnsi="Verdana"/>
          <w:sz w:val="20"/>
          <w:lang w:val="es-MX"/>
        </w:rPr>
        <w:t>Dichas construcciones contarían</w:t>
      </w:r>
      <w:r w:rsidRPr="00E477FD">
        <w:rPr>
          <w:rFonts w:ascii="Verdana" w:hAnsi="Verdana"/>
          <w:sz w:val="20"/>
          <w:lang w:val="es-MX"/>
        </w:rPr>
        <w:t xml:space="preserve"> con dispositivos de seguridad con el fin de impedir el acceso al inmueble</w:t>
      </w:r>
      <w:r w:rsidR="007304C6">
        <w:rPr>
          <w:rFonts w:ascii="Verdana" w:hAnsi="Verdana"/>
          <w:sz w:val="20"/>
          <w:lang w:val="es-MX"/>
        </w:rPr>
        <w:t xml:space="preserve">, </w:t>
      </w:r>
      <w:r w:rsidR="00D712F8">
        <w:rPr>
          <w:rFonts w:ascii="Verdana" w:hAnsi="Verdana"/>
          <w:sz w:val="20"/>
          <w:lang w:val="es-MX"/>
        </w:rPr>
        <w:t>restringiendo</w:t>
      </w:r>
      <w:r w:rsidR="00D712F8" w:rsidRPr="00E477FD">
        <w:rPr>
          <w:rFonts w:ascii="Verdana" w:hAnsi="Verdana"/>
          <w:sz w:val="20"/>
          <w:lang w:val="es-MX"/>
        </w:rPr>
        <w:t xml:space="preserve"> </w:t>
      </w:r>
      <w:r w:rsidR="007304C6">
        <w:rPr>
          <w:rFonts w:ascii="Verdana" w:hAnsi="Verdana"/>
          <w:sz w:val="20"/>
          <w:lang w:val="es-MX"/>
        </w:rPr>
        <w:t xml:space="preserve">con ello, </w:t>
      </w:r>
      <w:r w:rsidR="00831049" w:rsidRPr="00E477FD">
        <w:rPr>
          <w:rFonts w:ascii="Verdana" w:hAnsi="Verdana"/>
          <w:sz w:val="20"/>
          <w:lang w:val="es-MX"/>
        </w:rPr>
        <w:t xml:space="preserve">el acceso </w:t>
      </w:r>
      <w:r w:rsidR="002C0317" w:rsidRPr="00E477FD">
        <w:rPr>
          <w:rFonts w:ascii="Verdana" w:hAnsi="Verdana"/>
          <w:sz w:val="20"/>
          <w:lang w:val="es-MX"/>
        </w:rPr>
        <w:t>al río.</w:t>
      </w:r>
      <w:r w:rsidRPr="00E477FD">
        <w:rPr>
          <w:rFonts w:ascii="Verdana" w:hAnsi="Verdana"/>
          <w:sz w:val="20"/>
          <w:lang w:val="es-MX"/>
        </w:rPr>
        <w:t xml:space="preserve"> Asimismo, se observó la construcción de un pequeño edificio, el cual, según los representantes, consistiría en un hotel-casino</w:t>
      </w:r>
      <w:r w:rsidRPr="00E477FD">
        <w:rPr>
          <w:rStyle w:val="FootnoteReference"/>
          <w:lang w:val="es-MX"/>
        </w:rPr>
        <w:footnoteReference w:id="185"/>
      </w:r>
      <w:r w:rsidRPr="00E477FD">
        <w:rPr>
          <w:rFonts w:ascii="Verdana" w:hAnsi="Verdana"/>
          <w:sz w:val="20"/>
          <w:lang w:val="es-MX"/>
        </w:rPr>
        <w:t>. En</w:t>
      </w:r>
      <w:r w:rsidR="00831049" w:rsidRPr="00E477FD">
        <w:rPr>
          <w:rFonts w:ascii="Verdana" w:hAnsi="Verdana"/>
          <w:sz w:val="20"/>
          <w:lang w:val="es-MX"/>
        </w:rPr>
        <w:t xml:space="preserve"> este sentido, la Corte constató</w:t>
      </w:r>
      <w:r w:rsidRPr="00E477FD">
        <w:rPr>
          <w:rFonts w:ascii="Verdana" w:hAnsi="Verdana"/>
          <w:sz w:val="20"/>
          <w:lang w:val="es-MX"/>
        </w:rPr>
        <w:t xml:space="preserve"> que parte del territorio reclamado por los </w:t>
      </w:r>
      <w:r w:rsidR="00382F4D" w:rsidRPr="00E477FD">
        <w:rPr>
          <w:rFonts w:ascii="Verdana" w:hAnsi="Verdana"/>
          <w:sz w:val="20"/>
          <w:lang w:val="es-MX"/>
        </w:rPr>
        <w:t>Pueblos Kaliña y Lokono</w:t>
      </w:r>
      <w:r w:rsidRPr="00E477FD">
        <w:rPr>
          <w:rFonts w:ascii="Verdana" w:hAnsi="Verdana"/>
          <w:sz w:val="20"/>
          <w:lang w:val="es-MX"/>
        </w:rPr>
        <w:t>, se encuentra en posesión de terceras personas no indígenas</w:t>
      </w:r>
      <w:r w:rsidR="001920C5" w:rsidRPr="001920C5">
        <w:rPr>
          <w:rFonts w:ascii="Verdana" w:hAnsi="Verdana"/>
          <w:sz w:val="20"/>
          <w:szCs w:val="20"/>
          <w:lang w:val="es-MX"/>
        </w:rPr>
        <w:t xml:space="preserve">, pero a pesar de ello, </w:t>
      </w:r>
      <w:r w:rsidR="001920C5" w:rsidRPr="00E477FD">
        <w:rPr>
          <w:rFonts w:ascii="Verdana" w:hAnsi="Verdana"/>
          <w:sz w:val="20"/>
          <w:szCs w:val="26"/>
        </w:rPr>
        <w:t>los miembros de dichos Pueblos “aún consideran que esas tierras son suyas en la actualidad</w:t>
      </w:r>
      <w:r w:rsidR="001920C5" w:rsidRPr="00E477FD">
        <w:rPr>
          <w:rStyle w:val="FootnoteReference"/>
          <w:szCs w:val="26"/>
        </w:rPr>
        <w:footnoteReference w:id="186"/>
      </w:r>
      <w:r w:rsidR="001920C5" w:rsidRPr="00E477FD">
        <w:rPr>
          <w:rFonts w:ascii="Verdana" w:hAnsi="Verdana"/>
          <w:sz w:val="20"/>
          <w:szCs w:val="26"/>
        </w:rPr>
        <w:t>”.</w:t>
      </w:r>
      <w:r w:rsidR="001920C5" w:rsidRPr="001920C5">
        <w:rPr>
          <w:rFonts w:ascii="Verdana" w:hAnsi="Verdana"/>
          <w:sz w:val="20"/>
          <w:szCs w:val="20"/>
          <w:lang w:val="es-MX"/>
        </w:rPr>
        <w:t xml:space="preserve"> </w:t>
      </w:r>
    </w:p>
    <w:p w14:paraId="64F01FA9" w14:textId="77777777" w:rsidR="007304C6" w:rsidRPr="007304C6" w:rsidRDefault="007304C6" w:rsidP="007304C6">
      <w:pPr>
        <w:pStyle w:val="ListParagraph"/>
        <w:rPr>
          <w:rFonts w:ascii="Verdana" w:hAnsi="Verdana"/>
          <w:sz w:val="20"/>
          <w:szCs w:val="20"/>
          <w:lang w:val="es-CR"/>
        </w:rPr>
      </w:pPr>
    </w:p>
    <w:p w14:paraId="6AFB8D27" w14:textId="77777777" w:rsidR="007304C6" w:rsidRPr="007304C6" w:rsidRDefault="007304C6" w:rsidP="007304C6">
      <w:pPr>
        <w:pStyle w:val="ListParagraph"/>
        <w:numPr>
          <w:ilvl w:val="0"/>
          <w:numId w:val="2"/>
        </w:numPr>
        <w:ind w:left="0" w:hanging="11"/>
        <w:jc w:val="both"/>
        <w:rPr>
          <w:rFonts w:ascii="Verdana" w:hAnsi="Verdana"/>
          <w:sz w:val="20"/>
          <w:szCs w:val="20"/>
          <w:lang w:val="es-MX"/>
        </w:rPr>
      </w:pPr>
      <w:r w:rsidRPr="007304C6">
        <w:rPr>
          <w:rFonts w:ascii="Verdana" w:hAnsi="Verdana"/>
          <w:sz w:val="20"/>
          <w:szCs w:val="20"/>
          <w:lang w:val="es-CR"/>
        </w:rPr>
        <w:lastRenderedPageBreak/>
        <w:t xml:space="preserve">Asimismo, la Corte corroboró durante </w:t>
      </w:r>
      <w:r w:rsidRPr="007304C6">
        <w:rPr>
          <w:rFonts w:ascii="Verdana" w:hAnsi="Verdana"/>
          <w:sz w:val="20"/>
          <w:szCs w:val="20"/>
          <w:lang w:val="es-MX"/>
        </w:rPr>
        <w:t xml:space="preserve">la diligencia </w:t>
      </w:r>
      <w:r w:rsidRPr="007304C6">
        <w:rPr>
          <w:rFonts w:ascii="Verdana" w:hAnsi="Verdana"/>
          <w:i/>
          <w:sz w:val="20"/>
          <w:szCs w:val="20"/>
          <w:lang w:val="es-MX"/>
        </w:rPr>
        <w:t>in situ</w:t>
      </w:r>
      <w:r w:rsidRPr="007304C6">
        <w:rPr>
          <w:rFonts w:ascii="Verdana" w:hAnsi="Verdana"/>
          <w:sz w:val="20"/>
          <w:szCs w:val="20"/>
          <w:lang w:val="es-MX"/>
        </w:rPr>
        <w:t xml:space="preserve"> </w:t>
      </w:r>
      <w:r w:rsidRPr="007304C6">
        <w:rPr>
          <w:rFonts w:ascii="Verdana" w:hAnsi="Verdana"/>
          <w:sz w:val="20"/>
          <w:szCs w:val="20"/>
          <w:lang w:val="es-CR"/>
        </w:rPr>
        <w:t xml:space="preserve">que la zona habitacional de los </w:t>
      </w:r>
      <w:r w:rsidRPr="007304C6">
        <w:rPr>
          <w:rFonts w:ascii="Verdana" w:hAnsi="Verdana"/>
          <w:sz w:val="20"/>
          <w:szCs w:val="20"/>
          <w:lang w:val="es-MX"/>
        </w:rPr>
        <w:t xml:space="preserve">pueblos de Erowarte, Tapuku, Pierrekondre, </w:t>
      </w:r>
      <w:r w:rsidR="00F1174A">
        <w:rPr>
          <w:rFonts w:ascii="Verdana" w:hAnsi="Verdana"/>
          <w:sz w:val="20"/>
          <w:szCs w:val="20"/>
          <w:lang w:val="es-MX"/>
        </w:rPr>
        <w:t>Marijkedorp (Wan Shi Sha)</w:t>
      </w:r>
      <w:r w:rsidRPr="007304C6">
        <w:rPr>
          <w:rFonts w:ascii="Verdana" w:hAnsi="Verdana"/>
          <w:sz w:val="20"/>
          <w:szCs w:val="20"/>
          <w:lang w:val="es-MX"/>
        </w:rPr>
        <w:t xml:space="preserve">, se encuentra </w:t>
      </w:r>
      <w:r w:rsidR="007829DF" w:rsidRPr="007304C6">
        <w:rPr>
          <w:rFonts w:ascii="Verdana" w:hAnsi="Verdana"/>
          <w:sz w:val="20"/>
          <w:szCs w:val="20"/>
          <w:lang w:val="es-MX"/>
        </w:rPr>
        <w:t>de manera contigua</w:t>
      </w:r>
      <w:r w:rsidR="007829DF">
        <w:rPr>
          <w:rFonts w:ascii="Verdana" w:hAnsi="Verdana"/>
          <w:sz w:val="20"/>
          <w:szCs w:val="20"/>
          <w:lang w:val="es-MX"/>
        </w:rPr>
        <w:t>,</w:t>
      </w:r>
      <w:r w:rsidR="007829DF" w:rsidRPr="007304C6">
        <w:rPr>
          <w:rFonts w:ascii="Verdana" w:hAnsi="Verdana"/>
          <w:sz w:val="20"/>
          <w:szCs w:val="20"/>
          <w:lang w:val="es-MX"/>
        </w:rPr>
        <w:t xml:space="preserve"> </w:t>
      </w:r>
      <w:r w:rsidRPr="007304C6">
        <w:rPr>
          <w:rFonts w:ascii="Verdana" w:hAnsi="Verdana"/>
          <w:sz w:val="20"/>
          <w:szCs w:val="20"/>
          <w:lang w:val="es-MX"/>
        </w:rPr>
        <w:t>a unos pocos metros de distancia de las edificaciones de los pueblos indígenas de la zona</w:t>
      </w:r>
      <w:r w:rsidRPr="007304C6">
        <w:rPr>
          <w:rStyle w:val="FootnoteReference"/>
          <w:szCs w:val="20"/>
          <w:lang w:val="es-MX"/>
        </w:rPr>
        <w:footnoteReference w:id="187"/>
      </w:r>
      <w:r w:rsidRPr="007304C6">
        <w:rPr>
          <w:rFonts w:ascii="Verdana" w:hAnsi="Verdana"/>
          <w:sz w:val="20"/>
          <w:szCs w:val="20"/>
          <w:lang w:val="es-MX"/>
        </w:rPr>
        <w:t xml:space="preserve">. </w:t>
      </w:r>
    </w:p>
    <w:p w14:paraId="4F630D8C" w14:textId="77777777" w:rsidR="001920C5" w:rsidRPr="00E477FD" w:rsidRDefault="001920C5" w:rsidP="00E477FD">
      <w:pPr>
        <w:pStyle w:val="ListParagraph"/>
        <w:rPr>
          <w:rFonts w:ascii="Verdana" w:hAnsi="Verdana"/>
          <w:sz w:val="20"/>
          <w:szCs w:val="20"/>
          <w:lang w:val="es-MX"/>
        </w:rPr>
      </w:pPr>
    </w:p>
    <w:p w14:paraId="260BA1C8" w14:textId="77777777" w:rsidR="004748A3" w:rsidRPr="00B17B8E" w:rsidRDefault="002109E0" w:rsidP="00E477FD">
      <w:pPr>
        <w:pStyle w:val="ListParagraph"/>
        <w:numPr>
          <w:ilvl w:val="0"/>
          <w:numId w:val="2"/>
        </w:numPr>
        <w:ind w:left="0" w:hanging="11"/>
        <w:jc w:val="both"/>
        <w:rPr>
          <w:rFonts w:ascii="Verdana" w:hAnsi="Verdana"/>
          <w:sz w:val="20"/>
          <w:szCs w:val="20"/>
          <w:lang w:val="es-MX"/>
        </w:rPr>
      </w:pPr>
      <w:r>
        <w:rPr>
          <w:rFonts w:ascii="Verdana" w:hAnsi="Verdana"/>
          <w:sz w:val="20"/>
          <w:szCs w:val="20"/>
          <w:lang w:val="es-MX"/>
        </w:rPr>
        <w:t>Al respecto</w:t>
      </w:r>
      <w:r w:rsidRPr="00753541">
        <w:rPr>
          <w:rFonts w:ascii="Verdana" w:hAnsi="Verdana"/>
          <w:sz w:val="20"/>
          <w:szCs w:val="20"/>
          <w:lang w:val="es-MX"/>
        </w:rPr>
        <w:t>, la constante jurisprudencia de la Corte ha establecido que</w:t>
      </w:r>
      <w:r>
        <w:rPr>
          <w:rFonts w:ascii="Verdana" w:hAnsi="Verdana"/>
          <w:sz w:val="20"/>
          <w:szCs w:val="20"/>
          <w:lang w:val="es-MX"/>
        </w:rPr>
        <w:t xml:space="preserve"> </w:t>
      </w:r>
      <w:r w:rsidR="004748A3">
        <w:rPr>
          <w:rFonts w:ascii="Verdana" w:hAnsi="Verdana"/>
          <w:sz w:val="20"/>
          <w:szCs w:val="20"/>
          <w:lang w:val="es-MX"/>
        </w:rPr>
        <w:t xml:space="preserve">los </w:t>
      </w:r>
      <w:r w:rsidR="00F67ED4">
        <w:rPr>
          <w:rFonts w:ascii="Verdana" w:hAnsi="Verdana"/>
          <w:sz w:val="20"/>
          <w:szCs w:val="20"/>
          <w:lang w:val="es-CR"/>
        </w:rPr>
        <w:t xml:space="preserve">pueblos </w:t>
      </w:r>
      <w:r w:rsidR="004748A3">
        <w:rPr>
          <w:rFonts w:ascii="Verdana" w:hAnsi="Verdana"/>
          <w:sz w:val="20"/>
          <w:szCs w:val="20"/>
          <w:lang w:val="es-CR"/>
        </w:rPr>
        <w:t xml:space="preserve">indígenas y tribales </w:t>
      </w:r>
      <w:r w:rsidRPr="00753541">
        <w:rPr>
          <w:rFonts w:ascii="Verdana" w:hAnsi="Verdana"/>
          <w:sz w:val="20"/>
          <w:szCs w:val="20"/>
          <w:lang w:val="es-CR"/>
        </w:rPr>
        <w:t>que involuntariamente han perdido sus tierras</w:t>
      </w:r>
      <w:r w:rsidR="004748A3">
        <w:rPr>
          <w:rFonts w:ascii="Verdana" w:hAnsi="Verdana"/>
          <w:sz w:val="20"/>
          <w:szCs w:val="20"/>
          <w:lang w:val="es-CR"/>
        </w:rPr>
        <w:t xml:space="preserve"> tradicionales</w:t>
      </w:r>
      <w:r w:rsidRPr="00753541">
        <w:rPr>
          <w:rFonts w:ascii="Verdana" w:hAnsi="Verdana"/>
          <w:sz w:val="20"/>
          <w:szCs w:val="20"/>
          <w:lang w:val="es-CR"/>
        </w:rPr>
        <w:t xml:space="preserve">, y éstas han sido trasladas legítimamente a terceros inocentes, tienen el derecho </w:t>
      </w:r>
      <w:r w:rsidR="002F19A0">
        <w:rPr>
          <w:rFonts w:ascii="Verdana" w:hAnsi="Verdana"/>
          <w:sz w:val="20"/>
          <w:szCs w:val="20"/>
          <w:lang w:val="es-CR"/>
        </w:rPr>
        <w:t>a solicitar la</w:t>
      </w:r>
      <w:r w:rsidRPr="00753541">
        <w:rPr>
          <w:rFonts w:ascii="Verdana" w:hAnsi="Verdana"/>
          <w:sz w:val="20"/>
          <w:szCs w:val="20"/>
          <w:lang w:val="es-CR"/>
        </w:rPr>
        <w:t xml:space="preserve"> reivindicación o a obtener otras tierras de igual extensión y calidad</w:t>
      </w:r>
      <w:r w:rsidRPr="00753541">
        <w:rPr>
          <w:rStyle w:val="FootnoteReference"/>
          <w:szCs w:val="20"/>
          <w:lang w:val="es-CR"/>
        </w:rPr>
        <w:footnoteReference w:id="188"/>
      </w:r>
      <w:r w:rsidRPr="00753541">
        <w:rPr>
          <w:rFonts w:ascii="Verdana" w:hAnsi="Verdana"/>
          <w:sz w:val="20"/>
          <w:szCs w:val="20"/>
          <w:lang w:val="es-CR"/>
        </w:rPr>
        <w:t>.</w:t>
      </w:r>
    </w:p>
    <w:p w14:paraId="274A3B0B" w14:textId="77777777" w:rsidR="00B17B8E" w:rsidRPr="00E477FD" w:rsidRDefault="00B17B8E" w:rsidP="00B17B8E">
      <w:pPr>
        <w:pStyle w:val="ListParagraph"/>
        <w:ind w:left="0"/>
        <w:jc w:val="both"/>
        <w:rPr>
          <w:rFonts w:ascii="Verdana" w:hAnsi="Verdana"/>
          <w:sz w:val="20"/>
          <w:szCs w:val="20"/>
          <w:lang w:val="es-MX"/>
        </w:rPr>
      </w:pPr>
    </w:p>
    <w:p w14:paraId="65C7D01D" w14:textId="77777777" w:rsidR="002109E0" w:rsidRPr="001431EC" w:rsidRDefault="007304C6" w:rsidP="001431EC">
      <w:pPr>
        <w:pStyle w:val="ListParagraph"/>
        <w:numPr>
          <w:ilvl w:val="0"/>
          <w:numId w:val="2"/>
        </w:numPr>
        <w:ind w:left="0" w:hanging="11"/>
        <w:jc w:val="both"/>
        <w:rPr>
          <w:rFonts w:ascii="Verdana" w:hAnsi="Verdana"/>
          <w:sz w:val="20"/>
          <w:szCs w:val="20"/>
          <w:lang w:val="es-CR"/>
        </w:rPr>
      </w:pPr>
      <w:r>
        <w:rPr>
          <w:rFonts w:ascii="Verdana" w:hAnsi="Verdana"/>
          <w:sz w:val="20"/>
          <w:szCs w:val="20"/>
          <w:lang w:val="es-MX"/>
        </w:rPr>
        <w:t>De igual manera, t</w:t>
      </w:r>
      <w:r w:rsidR="002109E0" w:rsidRPr="00C80787">
        <w:rPr>
          <w:rFonts w:ascii="Verdana" w:hAnsi="Verdana"/>
          <w:sz w:val="20"/>
          <w:szCs w:val="20"/>
          <w:lang w:val="es-CR"/>
        </w:rPr>
        <w:t xml:space="preserve">al </w:t>
      </w:r>
      <w:r w:rsidR="00B17B8E" w:rsidRPr="00C80787">
        <w:rPr>
          <w:rFonts w:ascii="Verdana" w:hAnsi="Verdana"/>
          <w:sz w:val="20"/>
          <w:szCs w:val="20"/>
          <w:lang w:val="es-CR"/>
        </w:rPr>
        <w:t>cómo</w:t>
      </w:r>
      <w:r w:rsidR="002109E0" w:rsidRPr="00C80787">
        <w:rPr>
          <w:rFonts w:ascii="Verdana" w:hAnsi="Verdana"/>
          <w:sz w:val="20"/>
          <w:szCs w:val="20"/>
          <w:lang w:val="es-CR"/>
        </w:rPr>
        <w:t xml:space="preserve"> se estableció en los casos de las comunidades indígenas de</w:t>
      </w:r>
      <w:r w:rsidR="003D2C97">
        <w:rPr>
          <w:rFonts w:ascii="Verdana" w:hAnsi="Verdana"/>
          <w:sz w:val="20"/>
          <w:szCs w:val="20"/>
          <w:lang w:val="es-CR"/>
        </w:rPr>
        <w:t xml:space="preserve"> </w:t>
      </w:r>
      <w:r w:rsidR="008A4ABB" w:rsidRPr="007E20F9">
        <w:rPr>
          <w:rFonts w:ascii="Verdana" w:hAnsi="Verdana"/>
          <w:i/>
          <w:sz w:val="20"/>
          <w:szCs w:val="20"/>
          <w:lang w:val="es-CR"/>
        </w:rPr>
        <w:t>Moiwana,</w:t>
      </w:r>
      <w:r w:rsidR="002109E0" w:rsidRPr="00C80787">
        <w:rPr>
          <w:rFonts w:ascii="Verdana" w:hAnsi="Verdana"/>
          <w:sz w:val="20"/>
          <w:szCs w:val="20"/>
          <w:lang w:val="es-CR"/>
        </w:rPr>
        <w:t xml:space="preserve"> </w:t>
      </w:r>
      <w:r w:rsidR="002109E0" w:rsidRPr="000B3DD3">
        <w:rPr>
          <w:rFonts w:ascii="Verdana" w:hAnsi="Verdana"/>
          <w:i/>
          <w:sz w:val="20"/>
          <w:szCs w:val="20"/>
          <w:lang w:val="es-CR"/>
        </w:rPr>
        <w:t>Yakye Axa, Sawho</w:t>
      </w:r>
      <w:r w:rsidR="00335C11">
        <w:rPr>
          <w:rFonts w:ascii="Verdana" w:hAnsi="Verdana"/>
          <w:i/>
          <w:sz w:val="20"/>
          <w:szCs w:val="20"/>
          <w:lang w:val="es-CR"/>
        </w:rPr>
        <w:t>ya</w:t>
      </w:r>
      <w:r w:rsidR="002109E0" w:rsidRPr="000B3DD3">
        <w:rPr>
          <w:rFonts w:ascii="Verdana" w:hAnsi="Verdana"/>
          <w:i/>
          <w:sz w:val="20"/>
          <w:szCs w:val="20"/>
          <w:lang w:val="es-CR"/>
        </w:rPr>
        <w:t>max</w:t>
      </w:r>
      <w:r w:rsidR="0069276F">
        <w:rPr>
          <w:rFonts w:ascii="Verdana" w:hAnsi="Verdana"/>
          <w:i/>
          <w:sz w:val="20"/>
          <w:szCs w:val="20"/>
          <w:lang w:val="es-CR"/>
        </w:rPr>
        <w:t>a</w:t>
      </w:r>
      <w:r w:rsidR="002109E0" w:rsidRPr="000B3DD3">
        <w:rPr>
          <w:rFonts w:ascii="Verdana" w:hAnsi="Verdana"/>
          <w:i/>
          <w:sz w:val="20"/>
          <w:szCs w:val="20"/>
          <w:lang w:val="es-CR"/>
        </w:rPr>
        <w:t xml:space="preserve"> y Xákmok Kásek</w:t>
      </w:r>
      <w:r w:rsidR="002109E0" w:rsidRPr="00753541">
        <w:rPr>
          <w:rFonts w:ascii="Verdana" w:hAnsi="Verdana"/>
          <w:i/>
          <w:sz w:val="20"/>
          <w:szCs w:val="20"/>
          <w:lang w:val="es-CR"/>
        </w:rPr>
        <w:t>,</w:t>
      </w:r>
      <w:r w:rsidR="002109E0" w:rsidRPr="009B6DA6">
        <w:rPr>
          <w:rFonts w:ascii="Verdana" w:hAnsi="Verdana"/>
          <w:sz w:val="20"/>
          <w:szCs w:val="20"/>
          <w:lang w:val="es-CR"/>
        </w:rPr>
        <w:t xml:space="preserve"> </w:t>
      </w:r>
      <w:r w:rsidR="001431EC" w:rsidRPr="00763BAC">
        <w:rPr>
          <w:rFonts w:ascii="Verdana" w:hAnsi="Verdana"/>
          <w:sz w:val="20"/>
          <w:szCs w:val="20"/>
          <w:lang w:val="es-CR"/>
        </w:rPr>
        <w:t>la base espiritual y material de la identidad de los pueblos indígenas se sustenta principal</w:t>
      </w:r>
      <w:r w:rsidR="001431EC" w:rsidRPr="00753541">
        <w:rPr>
          <w:rFonts w:ascii="Verdana" w:hAnsi="Verdana"/>
          <w:sz w:val="20"/>
          <w:szCs w:val="20"/>
          <w:lang w:val="es-CR"/>
        </w:rPr>
        <w:t xml:space="preserve">mente en su relación única con sus tierras tradicionales, por lo que mientras esa relación exista, el derecho a </w:t>
      </w:r>
      <w:r w:rsidR="004748A3">
        <w:rPr>
          <w:rFonts w:ascii="Verdana" w:hAnsi="Verdana"/>
          <w:sz w:val="20"/>
          <w:szCs w:val="20"/>
          <w:lang w:val="es-CR"/>
        </w:rPr>
        <w:t xml:space="preserve">solicitar la </w:t>
      </w:r>
      <w:r w:rsidR="001431EC" w:rsidRPr="00753541">
        <w:rPr>
          <w:rFonts w:ascii="Verdana" w:hAnsi="Verdana"/>
          <w:sz w:val="20"/>
          <w:szCs w:val="20"/>
          <w:lang w:val="es-CR"/>
        </w:rPr>
        <w:t>reivindicación de dichas tierras permanecerá vigente. Si esta relación hubiera dejado de existir, también se extinguiría ese derecho</w:t>
      </w:r>
      <w:r w:rsidR="001431EC" w:rsidRPr="00753541">
        <w:rPr>
          <w:rStyle w:val="FootnoteReference"/>
          <w:szCs w:val="20"/>
        </w:rPr>
        <w:footnoteReference w:id="189"/>
      </w:r>
      <w:r w:rsidR="001431EC" w:rsidRPr="00753541">
        <w:rPr>
          <w:rFonts w:ascii="Verdana" w:hAnsi="Verdana"/>
          <w:sz w:val="20"/>
          <w:szCs w:val="20"/>
          <w:lang w:val="es-CR"/>
        </w:rPr>
        <w:t>.</w:t>
      </w:r>
      <w:r w:rsidR="001431EC">
        <w:rPr>
          <w:rFonts w:ascii="Verdana" w:hAnsi="Verdana"/>
          <w:sz w:val="20"/>
          <w:szCs w:val="20"/>
          <w:lang w:val="es-CR"/>
        </w:rPr>
        <w:t xml:space="preserve"> En este sentido, </w:t>
      </w:r>
      <w:r>
        <w:rPr>
          <w:rFonts w:ascii="Verdana" w:hAnsi="Verdana"/>
          <w:sz w:val="20"/>
          <w:szCs w:val="20"/>
          <w:lang w:val="es-CR"/>
        </w:rPr>
        <w:t xml:space="preserve">la Corte </w:t>
      </w:r>
      <w:r w:rsidR="001920C5">
        <w:rPr>
          <w:rFonts w:ascii="Verdana" w:hAnsi="Verdana"/>
          <w:sz w:val="20"/>
          <w:szCs w:val="20"/>
          <w:lang w:val="es-CR"/>
        </w:rPr>
        <w:t>analizar</w:t>
      </w:r>
      <w:r w:rsidR="00D712F8">
        <w:rPr>
          <w:rFonts w:ascii="Verdana" w:hAnsi="Verdana"/>
          <w:sz w:val="20"/>
          <w:szCs w:val="20"/>
          <w:lang w:val="es-CR"/>
        </w:rPr>
        <w:t>á</w:t>
      </w:r>
      <w:r w:rsidR="001920C5">
        <w:rPr>
          <w:rFonts w:ascii="Verdana" w:hAnsi="Verdana"/>
          <w:sz w:val="20"/>
          <w:szCs w:val="20"/>
          <w:lang w:val="es-CR"/>
        </w:rPr>
        <w:t xml:space="preserve"> </w:t>
      </w:r>
      <w:r w:rsidR="002109E0" w:rsidRPr="001431EC">
        <w:rPr>
          <w:rFonts w:ascii="Verdana" w:hAnsi="Verdana"/>
          <w:sz w:val="20"/>
          <w:szCs w:val="20"/>
          <w:lang w:val="es-CR"/>
        </w:rPr>
        <w:t xml:space="preserve">el derecho </w:t>
      </w:r>
      <w:r w:rsidR="00D712F8" w:rsidRPr="001431EC">
        <w:rPr>
          <w:rFonts w:ascii="Verdana" w:hAnsi="Verdana"/>
          <w:sz w:val="20"/>
          <w:szCs w:val="20"/>
          <w:lang w:val="es-CR"/>
        </w:rPr>
        <w:t xml:space="preserve">de los </w:t>
      </w:r>
      <w:r w:rsidR="00D712F8">
        <w:rPr>
          <w:rFonts w:ascii="Verdana" w:hAnsi="Verdana"/>
          <w:sz w:val="20"/>
          <w:szCs w:val="20"/>
          <w:lang w:val="es-CR"/>
        </w:rPr>
        <w:t xml:space="preserve">Pueblos Kaliña y Lokono </w:t>
      </w:r>
      <w:r w:rsidR="00256BD1">
        <w:rPr>
          <w:rFonts w:ascii="Verdana" w:hAnsi="Verdana"/>
          <w:sz w:val="20"/>
          <w:szCs w:val="20"/>
          <w:lang w:val="es-CR"/>
        </w:rPr>
        <w:t xml:space="preserve">a solicitar </w:t>
      </w:r>
      <w:r w:rsidR="001920C5">
        <w:rPr>
          <w:rFonts w:ascii="Verdana" w:hAnsi="Verdana"/>
          <w:sz w:val="20"/>
          <w:szCs w:val="20"/>
          <w:lang w:val="es-CR"/>
        </w:rPr>
        <w:t>la</w:t>
      </w:r>
      <w:r w:rsidR="00256BD1">
        <w:rPr>
          <w:rFonts w:ascii="Verdana" w:hAnsi="Verdana"/>
          <w:sz w:val="20"/>
          <w:szCs w:val="20"/>
          <w:lang w:val="es-CR"/>
        </w:rPr>
        <w:t xml:space="preserve"> reivindicación</w:t>
      </w:r>
      <w:r w:rsidR="001920C5">
        <w:rPr>
          <w:rFonts w:ascii="Verdana" w:hAnsi="Verdana"/>
          <w:sz w:val="20"/>
          <w:szCs w:val="20"/>
          <w:lang w:val="es-CR"/>
        </w:rPr>
        <w:t xml:space="preserve"> de sus territorios tradicionales.</w:t>
      </w:r>
    </w:p>
    <w:p w14:paraId="3D87CE70" w14:textId="77777777" w:rsidR="002109E0" w:rsidRPr="00256BD1" w:rsidRDefault="002109E0" w:rsidP="00366D91">
      <w:pPr>
        <w:rPr>
          <w:lang w:val="es-CR"/>
        </w:rPr>
      </w:pPr>
    </w:p>
    <w:p w14:paraId="1E0779BA" w14:textId="77777777" w:rsidR="002109E0" w:rsidRDefault="002109E0" w:rsidP="00261627">
      <w:pPr>
        <w:pStyle w:val="ListParagraph"/>
        <w:numPr>
          <w:ilvl w:val="0"/>
          <w:numId w:val="2"/>
        </w:numPr>
        <w:ind w:left="0" w:hanging="11"/>
        <w:jc w:val="both"/>
        <w:rPr>
          <w:rFonts w:ascii="Verdana" w:hAnsi="Verdana"/>
          <w:sz w:val="20"/>
          <w:szCs w:val="20"/>
          <w:lang w:val="es-CR"/>
        </w:rPr>
      </w:pPr>
      <w:r w:rsidRPr="00753541">
        <w:rPr>
          <w:rFonts w:ascii="Verdana" w:hAnsi="Verdana"/>
          <w:sz w:val="20"/>
          <w:szCs w:val="20"/>
          <w:lang w:val="es-CR"/>
        </w:rPr>
        <w:t xml:space="preserve">Para determinar la existencia de la relación de los </w:t>
      </w:r>
      <w:r>
        <w:rPr>
          <w:rFonts w:ascii="Verdana" w:hAnsi="Verdana"/>
          <w:sz w:val="20"/>
          <w:szCs w:val="20"/>
          <w:lang w:val="es-CR"/>
        </w:rPr>
        <w:t xml:space="preserve">pueblos </w:t>
      </w:r>
      <w:r w:rsidRPr="00753541">
        <w:rPr>
          <w:rFonts w:ascii="Verdana" w:hAnsi="Verdana"/>
          <w:sz w:val="20"/>
          <w:szCs w:val="20"/>
          <w:lang w:val="es-CR"/>
        </w:rPr>
        <w:t>indígenas con sus tierras tradicionales, la C</w:t>
      </w:r>
      <w:r w:rsidR="00256BD1">
        <w:rPr>
          <w:rFonts w:ascii="Verdana" w:hAnsi="Verdana"/>
          <w:sz w:val="20"/>
          <w:szCs w:val="20"/>
          <w:lang w:val="es-CR"/>
        </w:rPr>
        <w:t>orte ha establecido que: i) ésta</w:t>
      </w:r>
      <w:r w:rsidRPr="00753541">
        <w:rPr>
          <w:rFonts w:ascii="Verdana" w:hAnsi="Verdana"/>
          <w:sz w:val="20"/>
          <w:szCs w:val="20"/>
          <w:lang w:val="es-CR"/>
        </w:rPr>
        <w:t xml:space="preserve"> puede expresarse de distintas maneras según el</w:t>
      </w:r>
      <w:r w:rsidRPr="009B6DA6">
        <w:rPr>
          <w:rFonts w:ascii="Verdana" w:hAnsi="Verdana"/>
          <w:sz w:val="20"/>
          <w:szCs w:val="20"/>
          <w:lang w:val="es-CR"/>
        </w:rPr>
        <w:t xml:space="preserve"> pueblo indígena del que se trate y las circunstancias concretas en que se encuentre, y ii) la relación con las tierras debe ser posible. Algunas formas de expresión de esta relación podrían incluir el uso o presencia tradicional, a través de lazos espirit</w:t>
      </w:r>
      <w:r w:rsidRPr="00EA7BB3">
        <w:rPr>
          <w:rFonts w:ascii="Verdana" w:hAnsi="Verdana"/>
          <w:sz w:val="20"/>
          <w:szCs w:val="20"/>
          <w:lang w:val="es-CR"/>
        </w:rPr>
        <w:t>uales o ceremoniales; asentamientos o cultivos esporádicos; caza, pesca o recolección estacional o nómada; uso de recursos naturales ligados a sus costumbres, y cualquier otro elemento característico de su cultura</w:t>
      </w:r>
      <w:r w:rsidRPr="00753541">
        <w:rPr>
          <w:rFonts w:ascii="Verdana" w:hAnsi="Verdana"/>
          <w:sz w:val="20"/>
          <w:szCs w:val="20"/>
          <w:vertAlign w:val="superscript"/>
        </w:rPr>
        <w:footnoteReference w:id="190"/>
      </w:r>
      <w:r w:rsidRPr="00753541">
        <w:rPr>
          <w:rFonts w:ascii="Verdana" w:hAnsi="Verdana"/>
          <w:sz w:val="20"/>
          <w:szCs w:val="20"/>
          <w:lang w:val="es-CR"/>
        </w:rPr>
        <w:t xml:space="preserve">. </w:t>
      </w:r>
      <w:r w:rsidRPr="009B6DA6">
        <w:rPr>
          <w:rFonts w:ascii="Verdana" w:hAnsi="Verdana"/>
          <w:sz w:val="20"/>
          <w:szCs w:val="20"/>
          <w:lang w:val="es-CR"/>
        </w:rPr>
        <w:t>El segundo elemento implica que los miem</w:t>
      </w:r>
      <w:r w:rsidRPr="00EA7BB3">
        <w:rPr>
          <w:rFonts w:ascii="Verdana" w:hAnsi="Verdana"/>
          <w:sz w:val="20"/>
          <w:szCs w:val="20"/>
          <w:lang w:val="es-CR"/>
        </w:rPr>
        <w:t>bros de l</w:t>
      </w:r>
      <w:r w:rsidR="00C02FFA">
        <w:rPr>
          <w:rFonts w:ascii="Verdana" w:hAnsi="Verdana"/>
          <w:sz w:val="20"/>
          <w:szCs w:val="20"/>
          <w:lang w:val="es-CR"/>
        </w:rPr>
        <w:t>os pueblos indígenas</w:t>
      </w:r>
      <w:r w:rsidRPr="00EA7BB3">
        <w:rPr>
          <w:rFonts w:ascii="Verdana" w:hAnsi="Verdana"/>
          <w:sz w:val="20"/>
          <w:szCs w:val="20"/>
          <w:lang w:val="es-CR"/>
        </w:rPr>
        <w:t xml:space="preserve"> no se vean impedidos, por causas ajenas a su voluntad, a realizar aquellas actividades que revelan la persistencia de la relación con sus tierras tradicionales</w:t>
      </w:r>
      <w:r w:rsidRPr="00753541">
        <w:rPr>
          <w:rStyle w:val="FootnoteReference"/>
          <w:szCs w:val="20"/>
        </w:rPr>
        <w:footnoteReference w:id="191"/>
      </w:r>
      <w:r w:rsidRPr="00753541">
        <w:rPr>
          <w:rFonts w:ascii="Verdana" w:hAnsi="Verdana"/>
          <w:sz w:val="20"/>
          <w:szCs w:val="20"/>
          <w:lang w:val="es-CR"/>
        </w:rPr>
        <w:t>.</w:t>
      </w:r>
    </w:p>
    <w:p w14:paraId="1FD5A2A6" w14:textId="77777777" w:rsidR="00BD7748" w:rsidRPr="009B6DA6" w:rsidRDefault="00BD7748" w:rsidP="00261627">
      <w:pPr>
        <w:pStyle w:val="ListParagraph"/>
        <w:ind w:left="0"/>
        <w:jc w:val="both"/>
        <w:rPr>
          <w:rFonts w:ascii="Verdana" w:hAnsi="Verdana"/>
          <w:sz w:val="20"/>
          <w:szCs w:val="20"/>
          <w:lang w:val="es-CR"/>
        </w:rPr>
      </w:pPr>
    </w:p>
    <w:p w14:paraId="61CD781E" w14:textId="77777777" w:rsidR="00D712F8" w:rsidRDefault="002109E0" w:rsidP="00E477FD">
      <w:pPr>
        <w:pStyle w:val="ListParagraph"/>
        <w:numPr>
          <w:ilvl w:val="0"/>
          <w:numId w:val="2"/>
        </w:numPr>
        <w:ind w:left="0" w:hanging="11"/>
        <w:jc w:val="both"/>
        <w:rPr>
          <w:rFonts w:ascii="Verdana" w:hAnsi="Verdana"/>
          <w:sz w:val="20"/>
          <w:szCs w:val="20"/>
          <w:lang w:val="es-CR"/>
        </w:rPr>
      </w:pPr>
      <w:r w:rsidRPr="00C80787">
        <w:rPr>
          <w:rFonts w:ascii="Verdana" w:hAnsi="Verdana"/>
          <w:sz w:val="20"/>
          <w:szCs w:val="20"/>
          <w:lang w:val="es-CR"/>
        </w:rPr>
        <w:t xml:space="preserve"> En el presente caso, la Corte observa que la relación de los miembros d</w:t>
      </w:r>
      <w:r w:rsidRPr="000B3DD3">
        <w:rPr>
          <w:rFonts w:ascii="Verdana" w:hAnsi="Verdana"/>
          <w:sz w:val="20"/>
          <w:szCs w:val="20"/>
          <w:lang w:val="es-CR"/>
        </w:rPr>
        <w:t xml:space="preserve">e </w:t>
      </w:r>
      <w:r w:rsidR="00C02FFA">
        <w:rPr>
          <w:rFonts w:ascii="Verdana" w:hAnsi="Verdana"/>
          <w:sz w:val="20"/>
          <w:szCs w:val="20"/>
          <w:lang w:val="es-CR"/>
        </w:rPr>
        <w:t xml:space="preserve">los </w:t>
      </w:r>
      <w:r w:rsidRPr="008A599A">
        <w:rPr>
          <w:rFonts w:ascii="Verdana" w:hAnsi="Verdana"/>
          <w:sz w:val="20"/>
          <w:szCs w:val="20"/>
          <w:lang w:val="es-CR"/>
        </w:rPr>
        <w:t xml:space="preserve">Pueblos </w:t>
      </w:r>
      <w:r w:rsidR="00C02FFA">
        <w:rPr>
          <w:rFonts w:ascii="Verdana" w:hAnsi="Verdana"/>
          <w:sz w:val="20"/>
          <w:szCs w:val="20"/>
          <w:lang w:val="es-CR"/>
        </w:rPr>
        <w:t xml:space="preserve">Kaliña y Lokono </w:t>
      </w:r>
      <w:r w:rsidRPr="008A599A">
        <w:rPr>
          <w:rFonts w:ascii="Verdana" w:hAnsi="Verdana"/>
          <w:sz w:val="20"/>
          <w:szCs w:val="20"/>
          <w:lang w:val="es-CR"/>
        </w:rPr>
        <w:t xml:space="preserve">con su territorio tradicional se manifiesta, </w:t>
      </w:r>
      <w:r w:rsidRPr="00D8710B">
        <w:rPr>
          <w:rFonts w:ascii="Verdana" w:hAnsi="Verdana"/>
          <w:i/>
          <w:sz w:val="20"/>
          <w:szCs w:val="20"/>
          <w:lang w:val="es-CR"/>
        </w:rPr>
        <w:t>inter alia,</w:t>
      </w:r>
      <w:r w:rsidRPr="00C7484F">
        <w:rPr>
          <w:rFonts w:ascii="Verdana" w:hAnsi="Verdana"/>
          <w:sz w:val="20"/>
          <w:szCs w:val="20"/>
          <w:lang w:val="es-CR"/>
        </w:rPr>
        <w:t xml:space="preserve"> en el desarrollo de sus actividades </w:t>
      </w:r>
      <w:r w:rsidRPr="00FD2820">
        <w:rPr>
          <w:rFonts w:ascii="Verdana" w:hAnsi="Verdana"/>
          <w:sz w:val="20"/>
          <w:szCs w:val="20"/>
          <w:lang w:val="es-CR"/>
        </w:rPr>
        <w:t>tradicionales dentro de</w:t>
      </w:r>
      <w:r w:rsidRPr="006E0556">
        <w:rPr>
          <w:rFonts w:ascii="Verdana" w:hAnsi="Verdana"/>
          <w:sz w:val="20"/>
          <w:szCs w:val="20"/>
          <w:lang w:val="es-CR"/>
        </w:rPr>
        <w:t xml:space="preserve"> las tierras reclamadas </w:t>
      </w:r>
      <w:r w:rsidRPr="00FD2820">
        <w:rPr>
          <w:rFonts w:ascii="Verdana" w:hAnsi="Verdana"/>
          <w:sz w:val="20"/>
          <w:szCs w:val="20"/>
          <w:lang w:val="es-CR"/>
        </w:rPr>
        <w:t>(</w:t>
      </w:r>
      <w:r w:rsidR="00366D91" w:rsidRPr="00366D91">
        <w:rPr>
          <w:rFonts w:ascii="Verdana" w:hAnsi="Verdana"/>
          <w:i/>
          <w:sz w:val="20"/>
          <w:szCs w:val="20"/>
          <w:lang w:val="es-CR"/>
        </w:rPr>
        <w:t>supra</w:t>
      </w:r>
      <w:r w:rsidRPr="00FD2820">
        <w:rPr>
          <w:rFonts w:ascii="Verdana" w:hAnsi="Verdana"/>
          <w:sz w:val="20"/>
          <w:szCs w:val="20"/>
          <w:lang w:val="es-CR"/>
        </w:rPr>
        <w:t xml:space="preserve"> párr</w:t>
      </w:r>
      <w:r w:rsidR="00020007">
        <w:rPr>
          <w:rFonts w:ascii="Verdana" w:hAnsi="Verdana"/>
          <w:sz w:val="20"/>
          <w:szCs w:val="20"/>
          <w:lang w:val="es-CR"/>
        </w:rPr>
        <w:t>s</w:t>
      </w:r>
      <w:r w:rsidRPr="00FD2820">
        <w:rPr>
          <w:rFonts w:ascii="Verdana" w:hAnsi="Verdana"/>
          <w:sz w:val="20"/>
          <w:szCs w:val="20"/>
          <w:lang w:val="es-CR"/>
        </w:rPr>
        <w:t xml:space="preserve">. </w:t>
      </w:r>
      <w:r w:rsidR="004F7DCE">
        <w:rPr>
          <w:rFonts w:ascii="Verdana" w:hAnsi="Verdana"/>
          <w:sz w:val="20"/>
          <w:szCs w:val="20"/>
          <w:lang w:val="es-CR"/>
        </w:rPr>
        <w:t>33</w:t>
      </w:r>
      <w:r w:rsidR="00020007">
        <w:rPr>
          <w:rFonts w:ascii="Verdana" w:hAnsi="Verdana"/>
          <w:sz w:val="20"/>
          <w:szCs w:val="20"/>
          <w:lang w:val="es-CR"/>
        </w:rPr>
        <w:t xml:space="preserve"> y 34</w:t>
      </w:r>
      <w:r w:rsidRPr="00FD2820">
        <w:rPr>
          <w:rFonts w:ascii="Verdana" w:hAnsi="Verdana"/>
          <w:sz w:val="20"/>
          <w:szCs w:val="20"/>
          <w:lang w:val="es-CR"/>
        </w:rPr>
        <w:t>)</w:t>
      </w:r>
      <w:r w:rsidR="004F7DCE">
        <w:rPr>
          <w:rFonts w:ascii="Verdana" w:hAnsi="Verdana"/>
          <w:sz w:val="20"/>
          <w:szCs w:val="20"/>
          <w:lang w:val="es-CR"/>
        </w:rPr>
        <w:t>, así como</w:t>
      </w:r>
      <w:r w:rsidRPr="00FD2820">
        <w:rPr>
          <w:rFonts w:ascii="Verdana" w:hAnsi="Verdana"/>
          <w:sz w:val="20"/>
          <w:szCs w:val="20"/>
          <w:lang w:val="es-CR"/>
        </w:rPr>
        <w:t xml:space="preserve"> en la relación </w:t>
      </w:r>
      <w:r w:rsidR="001431EC">
        <w:rPr>
          <w:rFonts w:ascii="Verdana" w:hAnsi="Verdana"/>
          <w:sz w:val="20"/>
          <w:szCs w:val="20"/>
          <w:lang w:val="es-CR"/>
        </w:rPr>
        <w:t>intrínseca y material</w:t>
      </w:r>
      <w:r w:rsidRPr="00FD2820">
        <w:rPr>
          <w:rFonts w:ascii="Verdana" w:hAnsi="Verdana"/>
          <w:sz w:val="20"/>
          <w:szCs w:val="20"/>
          <w:lang w:val="es-CR"/>
        </w:rPr>
        <w:t xml:space="preserve"> con el río Marowijne, siendo este un elemento</w:t>
      </w:r>
      <w:r w:rsidRPr="00753541">
        <w:rPr>
          <w:rFonts w:ascii="Verdana" w:hAnsi="Verdana"/>
          <w:sz w:val="20"/>
          <w:szCs w:val="20"/>
          <w:lang w:val="es-CR"/>
        </w:rPr>
        <w:t xml:space="preserve"> fundamental de su identidad cultural, tradiciones y fuente de supervivencia (</w:t>
      </w:r>
      <w:r w:rsidR="00366D91" w:rsidRPr="00366D91">
        <w:rPr>
          <w:rFonts w:ascii="Verdana" w:hAnsi="Verdana"/>
          <w:i/>
          <w:sz w:val="20"/>
          <w:szCs w:val="20"/>
          <w:lang w:val="es-CR"/>
        </w:rPr>
        <w:t>supra</w:t>
      </w:r>
      <w:r w:rsidRPr="006E0556">
        <w:rPr>
          <w:rFonts w:ascii="Verdana" w:hAnsi="Verdana"/>
          <w:i/>
          <w:sz w:val="20"/>
          <w:szCs w:val="20"/>
          <w:lang w:val="es-CR"/>
        </w:rPr>
        <w:t xml:space="preserve"> </w:t>
      </w:r>
      <w:r w:rsidRPr="00753541">
        <w:rPr>
          <w:rFonts w:ascii="Verdana" w:hAnsi="Verdana"/>
          <w:sz w:val="20"/>
          <w:szCs w:val="20"/>
          <w:lang w:val="es-CR"/>
        </w:rPr>
        <w:t xml:space="preserve">párr </w:t>
      </w:r>
      <w:r w:rsidR="004F7DCE">
        <w:rPr>
          <w:rFonts w:ascii="Verdana" w:hAnsi="Verdana"/>
          <w:sz w:val="20"/>
          <w:szCs w:val="20"/>
          <w:lang w:val="es-CR"/>
        </w:rPr>
        <w:t>35</w:t>
      </w:r>
      <w:r w:rsidRPr="00753541">
        <w:rPr>
          <w:rFonts w:ascii="Verdana" w:hAnsi="Verdana"/>
          <w:sz w:val="20"/>
          <w:szCs w:val="20"/>
          <w:lang w:val="es-CR"/>
        </w:rPr>
        <w:t>)</w:t>
      </w:r>
      <w:r w:rsidR="00CE7B44">
        <w:rPr>
          <w:rFonts w:ascii="Verdana" w:hAnsi="Verdana"/>
          <w:sz w:val="20"/>
          <w:szCs w:val="20"/>
          <w:lang w:val="es-CR"/>
        </w:rPr>
        <w:t xml:space="preserve">. </w:t>
      </w:r>
      <w:r w:rsidRPr="00EA7BB3">
        <w:rPr>
          <w:rFonts w:ascii="Verdana" w:hAnsi="Verdana"/>
          <w:sz w:val="20"/>
          <w:szCs w:val="20"/>
          <w:lang w:val="es-CR"/>
        </w:rPr>
        <w:t xml:space="preserve">En efecto, </w:t>
      </w:r>
      <w:r w:rsidR="004F7DCE">
        <w:rPr>
          <w:rFonts w:ascii="Verdana" w:hAnsi="Verdana"/>
          <w:sz w:val="20"/>
          <w:szCs w:val="20"/>
          <w:lang w:val="es-CR"/>
        </w:rPr>
        <w:t>el</w:t>
      </w:r>
      <w:r w:rsidR="004F7DCE" w:rsidRPr="00EA7BB3">
        <w:rPr>
          <w:rFonts w:ascii="Verdana" w:hAnsi="Verdana"/>
          <w:sz w:val="20"/>
          <w:szCs w:val="20"/>
          <w:lang w:val="es-CR"/>
        </w:rPr>
        <w:t xml:space="preserve"> </w:t>
      </w:r>
      <w:r w:rsidRPr="00EA7BB3">
        <w:rPr>
          <w:rFonts w:ascii="Verdana" w:hAnsi="Verdana"/>
          <w:sz w:val="20"/>
          <w:szCs w:val="20"/>
          <w:lang w:val="es-CR"/>
        </w:rPr>
        <w:t>río es</w:t>
      </w:r>
      <w:r w:rsidRPr="00C80787">
        <w:rPr>
          <w:rFonts w:ascii="Verdana" w:hAnsi="Verdana"/>
          <w:sz w:val="20"/>
          <w:szCs w:val="20"/>
          <w:lang w:val="es-CR"/>
        </w:rPr>
        <w:t xml:space="preserve"> utilizado por los miembros de </w:t>
      </w:r>
      <w:r w:rsidR="00C02FFA">
        <w:rPr>
          <w:rFonts w:ascii="Verdana" w:hAnsi="Verdana"/>
          <w:sz w:val="20"/>
          <w:szCs w:val="20"/>
          <w:lang w:val="es-CR"/>
        </w:rPr>
        <w:t>dichos</w:t>
      </w:r>
      <w:r w:rsidRPr="00C80787">
        <w:rPr>
          <w:rFonts w:ascii="Verdana" w:hAnsi="Verdana"/>
          <w:sz w:val="20"/>
          <w:szCs w:val="20"/>
          <w:lang w:val="es-CR"/>
        </w:rPr>
        <w:t xml:space="preserve"> </w:t>
      </w:r>
      <w:r w:rsidR="00C02FFA">
        <w:rPr>
          <w:rFonts w:ascii="Verdana" w:hAnsi="Verdana"/>
          <w:sz w:val="20"/>
          <w:szCs w:val="20"/>
          <w:lang w:val="es-CR"/>
        </w:rPr>
        <w:t>p</w:t>
      </w:r>
      <w:r w:rsidRPr="00C80787">
        <w:rPr>
          <w:rFonts w:ascii="Verdana" w:hAnsi="Verdana"/>
          <w:sz w:val="20"/>
          <w:szCs w:val="20"/>
          <w:lang w:val="es-CR"/>
        </w:rPr>
        <w:t>ueblos para atracar sus botes, pescar, bañarse y lavar su vestimenta (</w:t>
      </w:r>
      <w:r w:rsidR="00366D91" w:rsidRPr="00366D91">
        <w:rPr>
          <w:rFonts w:ascii="Verdana" w:hAnsi="Verdana"/>
          <w:i/>
          <w:sz w:val="20"/>
          <w:szCs w:val="20"/>
          <w:lang w:val="es-CR"/>
        </w:rPr>
        <w:t>supra</w:t>
      </w:r>
      <w:r w:rsidRPr="00753541">
        <w:rPr>
          <w:rFonts w:ascii="Verdana" w:hAnsi="Verdana"/>
          <w:sz w:val="20"/>
          <w:szCs w:val="20"/>
          <w:lang w:val="es-CR"/>
        </w:rPr>
        <w:t xml:space="preserve"> párr. </w:t>
      </w:r>
      <w:r w:rsidR="004F7DCE">
        <w:rPr>
          <w:rFonts w:ascii="Verdana" w:hAnsi="Verdana"/>
          <w:sz w:val="20"/>
          <w:szCs w:val="20"/>
          <w:lang w:val="es-CR"/>
        </w:rPr>
        <w:t>98</w:t>
      </w:r>
      <w:r w:rsidRPr="00753541">
        <w:rPr>
          <w:rFonts w:ascii="Verdana" w:hAnsi="Verdana"/>
          <w:sz w:val="20"/>
          <w:szCs w:val="20"/>
          <w:lang w:val="es-CR"/>
        </w:rPr>
        <w:t xml:space="preserve">). </w:t>
      </w:r>
      <w:r w:rsidR="00256BD1">
        <w:rPr>
          <w:rFonts w:ascii="Verdana" w:hAnsi="Verdana"/>
          <w:sz w:val="20"/>
          <w:szCs w:val="20"/>
          <w:lang w:val="es-CR"/>
        </w:rPr>
        <w:t>Adicionalmente</w:t>
      </w:r>
      <w:r>
        <w:rPr>
          <w:rFonts w:ascii="Verdana" w:hAnsi="Verdana"/>
          <w:sz w:val="20"/>
          <w:szCs w:val="20"/>
          <w:lang w:val="es-CR"/>
        </w:rPr>
        <w:t xml:space="preserve">, la Capitana Grace Watamaleo señaló que </w:t>
      </w:r>
      <w:r>
        <w:rPr>
          <w:rFonts w:ascii="Verdana" w:hAnsi="Verdana"/>
          <w:sz w:val="20"/>
          <w:szCs w:val="20"/>
          <w:lang w:val="es-CR"/>
        </w:rPr>
        <w:lastRenderedPageBreak/>
        <w:t>“ellos</w:t>
      </w:r>
      <w:r w:rsidR="00BD7748">
        <w:rPr>
          <w:rFonts w:ascii="Verdana" w:hAnsi="Verdana"/>
          <w:sz w:val="20"/>
          <w:szCs w:val="20"/>
          <w:lang w:val="es-CR"/>
        </w:rPr>
        <w:t xml:space="preserve"> tenían una fuerte conexión espiritual con el río Marowijne, el cual cumplía un rol central en su identidad cultural y tradiciones</w:t>
      </w:r>
      <w:r w:rsidR="001431EC">
        <w:rPr>
          <w:rFonts w:ascii="Verdana" w:hAnsi="Verdana"/>
          <w:sz w:val="20"/>
          <w:szCs w:val="20"/>
          <w:lang w:val="es-CR"/>
        </w:rPr>
        <w:t xml:space="preserve"> </w:t>
      </w:r>
      <w:r w:rsidR="0085378C">
        <w:rPr>
          <w:rFonts w:ascii="Verdana" w:hAnsi="Verdana"/>
          <w:sz w:val="20"/>
          <w:szCs w:val="20"/>
          <w:lang w:val="es-CR"/>
        </w:rPr>
        <w:t>[,]</w:t>
      </w:r>
      <w:r w:rsidR="00BD7748">
        <w:rPr>
          <w:rFonts w:ascii="Verdana" w:hAnsi="Verdana"/>
          <w:sz w:val="20"/>
          <w:szCs w:val="20"/>
          <w:lang w:val="es-CR"/>
        </w:rPr>
        <w:t xml:space="preserve"> y a través del cual entendían que</w:t>
      </w:r>
      <w:r>
        <w:rPr>
          <w:rFonts w:ascii="Verdana" w:hAnsi="Verdana"/>
          <w:sz w:val="20"/>
          <w:szCs w:val="20"/>
          <w:lang w:val="es-CR"/>
        </w:rPr>
        <w:t xml:space="preserve"> </w:t>
      </w:r>
      <w:r w:rsidR="0085378C">
        <w:rPr>
          <w:rFonts w:ascii="Verdana" w:hAnsi="Verdana"/>
          <w:sz w:val="20"/>
          <w:szCs w:val="20"/>
          <w:lang w:val="es-CR"/>
        </w:rPr>
        <w:t xml:space="preserve">ellos </w:t>
      </w:r>
      <w:r>
        <w:rPr>
          <w:rFonts w:ascii="Verdana" w:hAnsi="Verdana"/>
          <w:sz w:val="20"/>
          <w:szCs w:val="20"/>
          <w:lang w:val="es-CR"/>
        </w:rPr>
        <w:t>pertenecían tanto</w:t>
      </w:r>
      <w:r w:rsidR="0085378C">
        <w:rPr>
          <w:rFonts w:ascii="Verdana" w:hAnsi="Verdana"/>
          <w:sz w:val="20"/>
          <w:szCs w:val="20"/>
          <w:lang w:val="es-CR"/>
        </w:rPr>
        <w:t xml:space="preserve"> a [ese</w:t>
      </w:r>
      <w:r w:rsidR="00BD7748">
        <w:rPr>
          <w:rFonts w:ascii="Verdana" w:hAnsi="Verdana"/>
          <w:sz w:val="20"/>
          <w:szCs w:val="20"/>
          <w:lang w:val="es-CR"/>
        </w:rPr>
        <w:t xml:space="preserve"> lugar</w:t>
      </w:r>
      <w:r w:rsidR="0085378C">
        <w:rPr>
          <w:rFonts w:ascii="Verdana" w:hAnsi="Verdana"/>
          <w:sz w:val="20"/>
          <w:szCs w:val="20"/>
          <w:lang w:val="es-CR"/>
        </w:rPr>
        <w:t>]</w:t>
      </w:r>
      <w:r>
        <w:rPr>
          <w:rFonts w:ascii="Verdana" w:hAnsi="Verdana"/>
          <w:sz w:val="20"/>
          <w:szCs w:val="20"/>
          <w:lang w:val="es-CR"/>
        </w:rPr>
        <w:t xml:space="preserve"> como </w:t>
      </w:r>
      <w:r w:rsidR="0085378C">
        <w:rPr>
          <w:rFonts w:ascii="Verdana" w:hAnsi="Verdana"/>
          <w:sz w:val="20"/>
          <w:szCs w:val="20"/>
          <w:lang w:val="es-CR"/>
        </w:rPr>
        <w:t xml:space="preserve">[ese lugar] </w:t>
      </w:r>
      <w:r>
        <w:rPr>
          <w:rFonts w:ascii="Verdana" w:hAnsi="Verdana"/>
          <w:sz w:val="20"/>
          <w:szCs w:val="20"/>
          <w:lang w:val="es-CR"/>
        </w:rPr>
        <w:t>les pertenecía a ellos</w:t>
      </w:r>
      <w:r w:rsidR="00BE6D91">
        <w:rPr>
          <w:rFonts w:ascii="Verdana" w:hAnsi="Verdana"/>
          <w:sz w:val="20"/>
          <w:szCs w:val="20"/>
          <w:lang w:val="es-CR"/>
        </w:rPr>
        <w:t>”</w:t>
      </w:r>
      <w:r>
        <w:rPr>
          <w:rStyle w:val="FootnoteReference"/>
          <w:szCs w:val="20"/>
          <w:lang w:val="es-CR"/>
        </w:rPr>
        <w:footnoteReference w:id="192"/>
      </w:r>
      <w:r>
        <w:rPr>
          <w:rFonts w:ascii="Verdana" w:hAnsi="Verdana"/>
          <w:sz w:val="20"/>
          <w:szCs w:val="20"/>
          <w:lang w:val="es-CR"/>
        </w:rPr>
        <w:t xml:space="preserve">. </w:t>
      </w:r>
      <w:r w:rsidRPr="00753541">
        <w:rPr>
          <w:rFonts w:ascii="Verdana" w:hAnsi="Verdana"/>
          <w:sz w:val="20"/>
          <w:szCs w:val="20"/>
          <w:lang w:val="es-CR"/>
        </w:rPr>
        <w:t xml:space="preserve">Sin embargo, diversos </w:t>
      </w:r>
      <w:r w:rsidRPr="009B6DA6">
        <w:rPr>
          <w:rFonts w:ascii="Verdana" w:hAnsi="Verdana"/>
          <w:sz w:val="20"/>
          <w:szCs w:val="20"/>
          <w:lang w:val="es-CR"/>
        </w:rPr>
        <w:t xml:space="preserve">testimonios de miembros de los </w:t>
      </w:r>
      <w:r w:rsidR="00382F4D">
        <w:rPr>
          <w:rFonts w:ascii="Verdana" w:hAnsi="Verdana"/>
          <w:sz w:val="20"/>
          <w:szCs w:val="20"/>
          <w:lang w:val="es-CR"/>
        </w:rPr>
        <w:t>Pueblos Kaliña y Lokono</w:t>
      </w:r>
      <w:r w:rsidRPr="009B6DA6">
        <w:rPr>
          <w:rFonts w:ascii="Verdana" w:hAnsi="Verdana"/>
          <w:sz w:val="20"/>
          <w:szCs w:val="20"/>
          <w:lang w:val="es-CR"/>
        </w:rPr>
        <w:t xml:space="preserve"> (</w:t>
      </w:r>
      <w:r w:rsidR="00366D91" w:rsidRPr="00366D91">
        <w:rPr>
          <w:rFonts w:ascii="Verdana" w:hAnsi="Verdana"/>
          <w:i/>
          <w:sz w:val="20"/>
          <w:szCs w:val="20"/>
          <w:lang w:val="es-CR"/>
        </w:rPr>
        <w:t>supra</w:t>
      </w:r>
      <w:r w:rsidRPr="00753541">
        <w:rPr>
          <w:rFonts w:ascii="Verdana" w:hAnsi="Verdana"/>
          <w:sz w:val="20"/>
          <w:szCs w:val="20"/>
          <w:lang w:val="es-CR"/>
        </w:rPr>
        <w:t xml:space="preserve"> párr. </w:t>
      </w:r>
      <w:r w:rsidR="004F7DCE">
        <w:rPr>
          <w:rFonts w:ascii="Verdana" w:hAnsi="Verdana"/>
          <w:sz w:val="20"/>
          <w:szCs w:val="20"/>
          <w:lang w:val="es-CR"/>
        </w:rPr>
        <w:t>98</w:t>
      </w:r>
      <w:r w:rsidRPr="00753541">
        <w:rPr>
          <w:rFonts w:ascii="Verdana" w:hAnsi="Verdana"/>
          <w:sz w:val="20"/>
          <w:szCs w:val="20"/>
          <w:lang w:val="es-CR"/>
        </w:rPr>
        <w:t xml:space="preserve">) fueron consistentes en señalar que los propietarios de los inmuebles </w:t>
      </w:r>
      <w:r w:rsidR="00020007">
        <w:rPr>
          <w:rFonts w:ascii="Verdana" w:hAnsi="Verdana"/>
          <w:sz w:val="20"/>
          <w:szCs w:val="20"/>
          <w:lang w:val="es-CR"/>
        </w:rPr>
        <w:t xml:space="preserve">les han restringido el acceso directo al río Marowijne, </w:t>
      </w:r>
      <w:r w:rsidR="00E00256">
        <w:rPr>
          <w:rFonts w:ascii="Verdana" w:hAnsi="Verdana"/>
          <w:sz w:val="20"/>
          <w:szCs w:val="20"/>
          <w:lang w:val="es-CR"/>
        </w:rPr>
        <w:t xml:space="preserve">lo cual fue corroborado durante la diligencia </w:t>
      </w:r>
      <w:r w:rsidR="00E00256" w:rsidRPr="00E477FD">
        <w:rPr>
          <w:rFonts w:ascii="Verdana" w:hAnsi="Verdana"/>
          <w:i/>
          <w:sz w:val="20"/>
          <w:szCs w:val="20"/>
          <w:lang w:val="es-CR"/>
        </w:rPr>
        <w:t>in situ</w:t>
      </w:r>
      <w:r w:rsidR="007304C6">
        <w:rPr>
          <w:rFonts w:ascii="Verdana" w:hAnsi="Verdana"/>
          <w:sz w:val="20"/>
          <w:szCs w:val="20"/>
          <w:lang w:val="es-CR"/>
        </w:rPr>
        <w:t xml:space="preserve">. </w:t>
      </w:r>
    </w:p>
    <w:p w14:paraId="2286117C" w14:textId="77777777" w:rsidR="002109E0" w:rsidRPr="004E7AFA" w:rsidRDefault="002109E0" w:rsidP="00366D91">
      <w:pPr>
        <w:rPr>
          <w:lang w:val="es-CR"/>
        </w:rPr>
      </w:pPr>
    </w:p>
    <w:p w14:paraId="0C597BD2" w14:textId="77777777" w:rsidR="00864333" w:rsidRPr="00185682" w:rsidRDefault="00A427F6" w:rsidP="00864333">
      <w:pPr>
        <w:pStyle w:val="ListParagraph"/>
        <w:numPr>
          <w:ilvl w:val="0"/>
          <w:numId w:val="2"/>
        </w:numPr>
        <w:ind w:left="0" w:hanging="11"/>
        <w:jc w:val="both"/>
        <w:rPr>
          <w:rFonts w:ascii="Verdana" w:hAnsi="Verdana"/>
          <w:sz w:val="20"/>
          <w:szCs w:val="20"/>
          <w:lang w:val="es-CR"/>
        </w:rPr>
      </w:pPr>
      <w:r>
        <w:rPr>
          <w:rFonts w:ascii="Verdana" w:hAnsi="Verdana"/>
          <w:sz w:val="20"/>
          <w:szCs w:val="20"/>
          <w:lang w:val="es-MX"/>
        </w:rPr>
        <w:t>Por otro lado, e</w:t>
      </w:r>
      <w:r w:rsidR="002109E0" w:rsidRPr="006E0556">
        <w:rPr>
          <w:rFonts w:ascii="Verdana" w:hAnsi="Verdana"/>
          <w:sz w:val="20"/>
          <w:szCs w:val="20"/>
          <w:lang w:val="es-MX"/>
        </w:rPr>
        <w:t xml:space="preserve">l Tribunal ya ha establecido que </w:t>
      </w:r>
      <w:r w:rsidR="00563E11">
        <w:rPr>
          <w:rFonts w:ascii="Verdana" w:hAnsi="Verdana"/>
          <w:sz w:val="20"/>
          <w:szCs w:val="20"/>
          <w:lang w:val="es-MX"/>
        </w:rPr>
        <w:t>Surinam</w:t>
      </w:r>
      <w:r w:rsidR="002109E0" w:rsidRPr="006E0556">
        <w:rPr>
          <w:rFonts w:ascii="Verdana" w:hAnsi="Verdana"/>
          <w:sz w:val="20"/>
          <w:szCs w:val="20"/>
          <w:lang w:val="es-MX"/>
        </w:rPr>
        <w:t xml:space="preserve"> no reconoce el derecho a la propiedad colectiva</w:t>
      </w:r>
      <w:r w:rsidR="002109E0">
        <w:rPr>
          <w:rFonts w:ascii="Verdana" w:hAnsi="Verdana"/>
          <w:sz w:val="20"/>
          <w:szCs w:val="20"/>
          <w:lang w:val="es-MX"/>
        </w:rPr>
        <w:t xml:space="preserve">, por lo que </w:t>
      </w:r>
      <w:r w:rsidR="00020007">
        <w:rPr>
          <w:rFonts w:ascii="Verdana" w:hAnsi="Verdana"/>
          <w:sz w:val="20"/>
          <w:szCs w:val="20"/>
          <w:lang w:val="es-MX"/>
        </w:rPr>
        <w:t xml:space="preserve">los </w:t>
      </w:r>
      <w:r w:rsidR="002109E0">
        <w:rPr>
          <w:rFonts w:ascii="Verdana" w:hAnsi="Verdana"/>
          <w:sz w:val="20"/>
          <w:szCs w:val="20"/>
          <w:lang w:val="es-MX"/>
        </w:rPr>
        <w:t xml:space="preserve">Pueblos </w:t>
      </w:r>
      <w:r w:rsidR="00020007">
        <w:rPr>
          <w:rFonts w:ascii="Verdana" w:hAnsi="Verdana"/>
          <w:sz w:val="20"/>
          <w:szCs w:val="20"/>
          <w:lang w:val="es-MX"/>
        </w:rPr>
        <w:t xml:space="preserve">Kaliña y Lokono </w:t>
      </w:r>
      <w:r w:rsidR="002109E0">
        <w:rPr>
          <w:rFonts w:ascii="Verdana" w:hAnsi="Verdana"/>
          <w:sz w:val="20"/>
          <w:szCs w:val="20"/>
          <w:lang w:val="es-MX"/>
        </w:rPr>
        <w:t xml:space="preserve">no han logrado que sus territorios reclamados sean delimitados, demarcados y titulados, a pesar de que el Estado se comprometió a garantizar dicho derecho y a demarcar </w:t>
      </w:r>
      <w:r w:rsidR="00256BD1">
        <w:rPr>
          <w:rFonts w:ascii="Verdana" w:hAnsi="Verdana"/>
          <w:sz w:val="20"/>
          <w:szCs w:val="20"/>
          <w:lang w:val="es-MX"/>
        </w:rPr>
        <w:t xml:space="preserve">las </w:t>
      </w:r>
      <w:r w:rsidR="002109E0">
        <w:rPr>
          <w:rFonts w:ascii="Verdana" w:hAnsi="Verdana"/>
          <w:sz w:val="20"/>
          <w:szCs w:val="20"/>
          <w:lang w:val="es-MX"/>
        </w:rPr>
        <w:t>tierras residenciales indígenas en el Acuerdo de Paz de Lelydorp de 1992 (</w:t>
      </w:r>
      <w:r w:rsidR="00366D91" w:rsidRPr="00366D91">
        <w:rPr>
          <w:rFonts w:ascii="Verdana" w:hAnsi="Verdana"/>
          <w:i/>
          <w:sz w:val="20"/>
          <w:szCs w:val="20"/>
          <w:lang w:val="es-MX"/>
        </w:rPr>
        <w:t>supra</w:t>
      </w:r>
      <w:r w:rsidR="002109E0">
        <w:rPr>
          <w:rFonts w:ascii="Verdana" w:hAnsi="Verdana"/>
          <w:sz w:val="20"/>
          <w:szCs w:val="20"/>
          <w:lang w:val="es-MX"/>
        </w:rPr>
        <w:t xml:space="preserve"> párr. </w:t>
      </w:r>
      <w:r w:rsidR="00020007">
        <w:rPr>
          <w:rFonts w:ascii="Verdana" w:hAnsi="Verdana"/>
          <w:sz w:val="20"/>
          <w:szCs w:val="20"/>
          <w:lang w:val="es-MX"/>
        </w:rPr>
        <w:t>51</w:t>
      </w:r>
      <w:r w:rsidR="002109E0">
        <w:rPr>
          <w:rFonts w:ascii="Verdana" w:hAnsi="Verdana"/>
          <w:sz w:val="20"/>
          <w:szCs w:val="20"/>
          <w:lang w:val="es-MX"/>
        </w:rPr>
        <w:t xml:space="preserve">). </w:t>
      </w:r>
      <w:r w:rsidR="00256BD1">
        <w:rPr>
          <w:rFonts w:ascii="Verdana" w:hAnsi="Verdana"/>
          <w:sz w:val="20"/>
          <w:szCs w:val="20"/>
          <w:lang w:val="es-MX"/>
        </w:rPr>
        <w:t>P</w:t>
      </w:r>
      <w:r w:rsidR="002109E0">
        <w:rPr>
          <w:rFonts w:ascii="Verdana" w:hAnsi="Verdana"/>
          <w:sz w:val="20"/>
          <w:szCs w:val="20"/>
          <w:lang w:val="es-MX"/>
        </w:rPr>
        <w:t xml:space="preserve">or el contrario, </w:t>
      </w:r>
      <w:r w:rsidR="00563E11">
        <w:rPr>
          <w:rFonts w:ascii="Verdana" w:hAnsi="Verdana"/>
          <w:sz w:val="20"/>
          <w:szCs w:val="20"/>
          <w:lang w:val="es-MX"/>
        </w:rPr>
        <w:t>Surinam</w:t>
      </w:r>
      <w:r w:rsidR="002109E0">
        <w:rPr>
          <w:rFonts w:ascii="Verdana" w:hAnsi="Verdana"/>
          <w:sz w:val="20"/>
          <w:szCs w:val="20"/>
          <w:lang w:val="es-MX"/>
        </w:rPr>
        <w:t xml:space="preserve"> ha emitido títulos individuales en favor de </w:t>
      </w:r>
      <w:r w:rsidR="00256BD1">
        <w:rPr>
          <w:rFonts w:ascii="Verdana" w:hAnsi="Verdana"/>
          <w:sz w:val="20"/>
          <w:szCs w:val="20"/>
          <w:lang w:val="es-MX"/>
        </w:rPr>
        <w:t xml:space="preserve">personas </w:t>
      </w:r>
      <w:r w:rsidR="002109E0">
        <w:rPr>
          <w:rFonts w:ascii="Verdana" w:hAnsi="Verdana"/>
          <w:sz w:val="20"/>
          <w:szCs w:val="20"/>
          <w:lang w:val="es-MX"/>
        </w:rPr>
        <w:t>no indígenas en los territorios reclamados. Ante dicha situación, y debido a la ausencia de un recurso para lograr la protección de sus derechos (</w:t>
      </w:r>
      <w:r w:rsidR="007829DF" w:rsidRPr="007829DF">
        <w:rPr>
          <w:rFonts w:ascii="Verdana" w:hAnsi="Verdana"/>
          <w:i/>
          <w:sz w:val="20"/>
          <w:szCs w:val="20"/>
          <w:lang w:val="es-MX"/>
        </w:rPr>
        <w:t>infra</w:t>
      </w:r>
      <w:r w:rsidR="002109E0">
        <w:rPr>
          <w:rFonts w:ascii="Verdana" w:hAnsi="Verdana"/>
          <w:sz w:val="20"/>
          <w:szCs w:val="20"/>
          <w:lang w:val="es-MX"/>
        </w:rPr>
        <w:t xml:space="preserve"> párr</w:t>
      </w:r>
      <w:r w:rsidR="00503265">
        <w:rPr>
          <w:rFonts w:ascii="Verdana" w:hAnsi="Verdana"/>
          <w:sz w:val="20"/>
          <w:szCs w:val="20"/>
          <w:lang w:val="es-MX"/>
        </w:rPr>
        <w:t>s</w:t>
      </w:r>
      <w:r w:rsidR="002109E0">
        <w:rPr>
          <w:rFonts w:ascii="Verdana" w:hAnsi="Verdana"/>
          <w:sz w:val="20"/>
          <w:szCs w:val="20"/>
          <w:lang w:val="es-MX"/>
        </w:rPr>
        <w:t xml:space="preserve">. </w:t>
      </w:r>
      <w:r w:rsidR="00503265">
        <w:rPr>
          <w:rFonts w:ascii="Verdana" w:hAnsi="Verdana"/>
          <w:sz w:val="20"/>
          <w:szCs w:val="20"/>
          <w:lang w:val="es-MX"/>
        </w:rPr>
        <w:t>249 y 258</w:t>
      </w:r>
      <w:r w:rsidR="002109E0">
        <w:rPr>
          <w:rFonts w:ascii="Verdana" w:hAnsi="Verdana"/>
          <w:sz w:val="20"/>
          <w:szCs w:val="20"/>
          <w:lang w:val="es-MX"/>
        </w:rPr>
        <w:t xml:space="preserve">), los </w:t>
      </w:r>
      <w:r w:rsidR="00382F4D">
        <w:rPr>
          <w:rFonts w:ascii="Verdana" w:hAnsi="Verdana"/>
          <w:sz w:val="20"/>
          <w:szCs w:val="20"/>
          <w:lang w:val="es-MX"/>
        </w:rPr>
        <w:t>Pueblos Kaliña y Lokono</w:t>
      </w:r>
      <w:r w:rsidR="002109E0">
        <w:rPr>
          <w:rFonts w:ascii="Verdana" w:hAnsi="Verdana"/>
          <w:sz w:val="20"/>
          <w:szCs w:val="20"/>
          <w:lang w:val="es-MX"/>
        </w:rPr>
        <w:t xml:space="preserve"> </w:t>
      </w:r>
      <w:r w:rsidR="00CF73E8">
        <w:rPr>
          <w:rFonts w:ascii="Verdana" w:hAnsi="Verdana"/>
          <w:sz w:val="20"/>
          <w:szCs w:val="20"/>
          <w:lang w:val="es-MX"/>
        </w:rPr>
        <w:t>intentaron diversas</w:t>
      </w:r>
      <w:r w:rsidR="002109E0">
        <w:rPr>
          <w:rFonts w:ascii="Verdana" w:hAnsi="Verdana"/>
          <w:sz w:val="20"/>
          <w:szCs w:val="20"/>
          <w:lang w:val="es-MX"/>
        </w:rPr>
        <w:t xml:space="preserve"> acciones para lograr el reconocimiento del derecho a la propi</w:t>
      </w:r>
      <w:r w:rsidR="00256BD1">
        <w:rPr>
          <w:rFonts w:ascii="Verdana" w:hAnsi="Verdana"/>
          <w:sz w:val="20"/>
          <w:szCs w:val="20"/>
          <w:lang w:val="es-MX"/>
        </w:rPr>
        <w:t xml:space="preserve">edad colectiva y el cese de </w:t>
      </w:r>
      <w:r w:rsidR="002109E0">
        <w:rPr>
          <w:rFonts w:ascii="Verdana" w:hAnsi="Verdana"/>
          <w:sz w:val="20"/>
          <w:szCs w:val="20"/>
          <w:lang w:val="es-MX"/>
        </w:rPr>
        <w:t xml:space="preserve">las titulaciones. </w:t>
      </w:r>
      <w:r w:rsidR="00256BD1">
        <w:rPr>
          <w:rFonts w:ascii="Verdana" w:hAnsi="Verdana"/>
          <w:sz w:val="20"/>
          <w:szCs w:val="20"/>
          <w:lang w:val="es-MX"/>
        </w:rPr>
        <w:t xml:space="preserve">Al respecto, </w:t>
      </w:r>
      <w:r w:rsidR="002109E0" w:rsidRPr="00336403">
        <w:rPr>
          <w:rFonts w:ascii="Verdana" w:hAnsi="Verdana"/>
          <w:sz w:val="20"/>
          <w:szCs w:val="20"/>
          <w:lang w:val="es-MX"/>
        </w:rPr>
        <w:t xml:space="preserve">la Corte constató diversas acciones </w:t>
      </w:r>
      <w:r w:rsidR="00256BD1">
        <w:rPr>
          <w:rFonts w:ascii="Verdana" w:hAnsi="Verdana"/>
          <w:sz w:val="20"/>
          <w:szCs w:val="20"/>
          <w:lang w:val="es-MX"/>
        </w:rPr>
        <w:t xml:space="preserve">de reclamo </w:t>
      </w:r>
      <w:r w:rsidR="002109E0" w:rsidRPr="00336403">
        <w:rPr>
          <w:rFonts w:ascii="Verdana" w:hAnsi="Verdana"/>
          <w:sz w:val="20"/>
          <w:szCs w:val="20"/>
          <w:lang w:val="es-MX"/>
        </w:rPr>
        <w:t xml:space="preserve">realizadas desde 1972 </w:t>
      </w:r>
      <w:r w:rsidR="002109E0">
        <w:rPr>
          <w:rFonts w:ascii="Verdana" w:hAnsi="Verdana"/>
          <w:sz w:val="20"/>
          <w:szCs w:val="20"/>
          <w:lang w:val="es-MX"/>
        </w:rPr>
        <w:t xml:space="preserve">hasta al menos 2013, </w:t>
      </w:r>
      <w:r w:rsidR="002109E0" w:rsidRPr="00336403">
        <w:rPr>
          <w:rFonts w:ascii="Verdana" w:hAnsi="Verdana"/>
          <w:sz w:val="20"/>
          <w:szCs w:val="20"/>
          <w:lang w:val="es-MX"/>
        </w:rPr>
        <w:t>respecto de la presencia de terceros en sus territorios</w:t>
      </w:r>
      <w:r w:rsidR="002109E0">
        <w:rPr>
          <w:rStyle w:val="FootnoteReference"/>
          <w:szCs w:val="20"/>
          <w:lang w:val="es-MX"/>
        </w:rPr>
        <w:footnoteReference w:id="193"/>
      </w:r>
      <w:r w:rsidR="002109E0">
        <w:rPr>
          <w:rFonts w:ascii="Verdana" w:hAnsi="Verdana"/>
          <w:sz w:val="20"/>
          <w:szCs w:val="20"/>
          <w:lang w:val="es-MX"/>
        </w:rPr>
        <w:t xml:space="preserve"> </w:t>
      </w:r>
      <w:r w:rsidR="002109E0" w:rsidRPr="00336403">
        <w:rPr>
          <w:rFonts w:ascii="Verdana" w:hAnsi="Verdana"/>
          <w:snapToGrid w:val="0"/>
          <w:sz w:val="20"/>
          <w:szCs w:val="20"/>
          <w:lang w:val="es-CR"/>
        </w:rPr>
        <w:t>(</w:t>
      </w:r>
      <w:r w:rsidR="00366D91" w:rsidRPr="00366D91">
        <w:rPr>
          <w:rFonts w:ascii="Verdana" w:hAnsi="Verdana"/>
          <w:i/>
          <w:snapToGrid w:val="0"/>
          <w:sz w:val="20"/>
          <w:szCs w:val="20"/>
          <w:lang w:val="es-CR"/>
        </w:rPr>
        <w:t>supra</w:t>
      </w:r>
      <w:r w:rsidR="002109E0" w:rsidRPr="00336403">
        <w:rPr>
          <w:rFonts w:ascii="Verdana" w:hAnsi="Verdana"/>
          <w:snapToGrid w:val="0"/>
          <w:sz w:val="20"/>
          <w:szCs w:val="20"/>
          <w:lang w:val="es-CR"/>
        </w:rPr>
        <w:t xml:space="preserve"> párrs. </w:t>
      </w:r>
      <w:r w:rsidR="001F4DBD">
        <w:rPr>
          <w:rFonts w:ascii="Verdana" w:hAnsi="Verdana"/>
          <w:snapToGrid w:val="0"/>
          <w:sz w:val="20"/>
          <w:szCs w:val="20"/>
          <w:lang w:val="es-CR"/>
        </w:rPr>
        <w:t>59 a 69</w:t>
      </w:r>
      <w:r w:rsidR="002109E0" w:rsidRPr="00336403">
        <w:rPr>
          <w:rFonts w:ascii="Verdana" w:hAnsi="Verdana"/>
          <w:snapToGrid w:val="0"/>
          <w:sz w:val="20"/>
          <w:szCs w:val="20"/>
          <w:lang w:val="es-CR"/>
        </w:rPr>
        <w:t>)</w:t>
      </w:r>
      <w:r w:rsidR="00C31C29">
        <w:rPr>
          <w:rFonts w:ascii="Verdana" w:hAnsi="Verdana"/>
          <w:snapToGrid w:val="0"/>
          <w:sz w:val="20"/>
          <w:szCs w:val="20"/>
          <w:lang w:val="es-CR"/>
        </w:rPr>
        <w:t xml:space="preserve">. </w:t>
      </w:r>
      <w:r w:rsidR="002109E0">
        <w:rPr>
          <w:rFonts w:ascii="Verdana" w:hAnsi="Verdana"/>
          <w:snapToGrid w:val="0"/>
          <w:sz w:val="20"/>
          <w:szCs w:val="20"/>
          <w:lang w:val="es-CR"/>
        </w:rPr>
        <w:t xml:space="preserve">Con base en </w:t>
      </w:r>
      <w:r w:rsidR="00256BD1">
        <w:rPr>
          <w:rFonts w:ascii="Verdana" w:hAnsi="Verdana"/>
          <w:snapToGrid w:val="0"/>
          <w:sz w:val="20"/>
          <w:szCs w:val="20"/>
          <w:lang w:val="es-CR"/>
        </w:rPr>
        <w:t>ello</w:t>
      </w:r>
      <w:r w:rsidR="002109E0">
        <w:rPr>
          <w:rFonts w:ascii="Verdana" w:hAnsi="Verdana"/>
          <w:snapToGrid w:val="0"/>
          <w:sz w:val="20"/>
          <w:szCs w:val="20"/>
          <w:lang w:val="es-CR"/>
        </w:rPr>
        <w:t>, el Tribunal considera que el Estado conocía lo</w:t>
      </w:r>
      <w:r w:rsidR="00256BD1">
        <w:rPr>
          <w:rFonts w:ascii="Verdana" w:hAnsi="Verdana"/>
          <w:snapToGrid w:val="0"/>
          <w:sz w:val="20"/>
          <w:szCs w:val="20"/>
          <w:lang w:val="es-CR"/>
        </w:rPr>
        <w:t xml:space="preserve">s reclamos territoriales de </w:t>
      </w:r>
      <w:r w:rsidR="00627F48">
        <w:rPr>
          <w:rFonts w:ascii="Verdana" w:hAnsi="Verdana"/>
          <w:snapToGrid w:val="0"/>
          <w:sz w:val="20"/>
          <w:szCs w:val="20"/>
          <w:lang w:val="es-CR"/>
        </w:rPr>
        <w:t xml:space="preserve">los </w:t>
      </w:r>
      <w:r w:rsidR="002109E0">
        <w:rPr>
          <w:rFonts w:ascii="Verdana" w:hAnsi="Verdana"/>
          <w:snapToGrid w:val="0"/>
          <w:sz w:val="20"/>
          <w:szCs w:val="20"/>
          <w:lang w:val="es-CR"/>
        </w:rPr>
        <w:t>Pueblos</w:t>
      </w:r>
      <w:r w:rsidR="00627F48">
        <w:rPr>
          <w:rFonts w:ascii="Verdana" w:hAnsi="Verdana"/>
          <w:snapToGrid w:val="0"/>
          <w:sz w:val="20"/>
          <w:szCs w:val="20"/>
          <w:lang w:val="es-CR"/>
        </w:rPr>
        <w:t xml:space="preserve"> Kaliña y Lokono</w:t>
      </w:r>
      <w:r w:rsidR="002109E0">
        <w:rPr>
          <w:rFonts w:ascii="Verdana" w:hAnsi="Verdana"/>
          <w:snapToGrid w:val="0"/>
          <w:sz w:val="20"/>
          <w:szCs w:val="20"/>
          <w:lang w:val="es-CR"/>
        </w:rPr>
        <w:t>, y aun así, sin otorgar respuesta a ninguna de sus peticiones, continuó emitiendo títulos</w:t>
      </w:r>
      <w:r w:rsidR="00615BFC">
        <w:rPr>
          <w:rFonts w:ascii="Verdana" w:hAnsi="Verdana"/>
          <w:snapToGrid w:val="0"/>
          <w:sz w:val="20"/>
          <w:szCs w:val="20"/>
          <w:lang w:val="es-CR"/>
        </w:rPr>
        <w:t xml:space="preserve"> privados</w:t>
      </w:r>
      <w:r w:rsidR="002109E0">
        <w:rPr>
          <w:rFonts w:ascii="Verdana" w:hAnsi="Verdana"/>
          <w:snapToGrid w:val="0"/>
          <w:sz w:val="20"/>
          <w:szCs w:val="20"/>
          <w:lang w:val="es-CR"/>
        </w:rPr>
        <w:t xml:space="preserve"> en </w:t>
      </w:r>
      <w:r w:rsidR="00256BD1">
        <w:rPr>
          <w:rFonts w:ascii="Verdana" w:hAnsi="Verdana"/>
          <w:snapToGrid w:val="0"/>
          <w:sz w:val="20"/>
          <w:szCs w:val="20"/>
          <w:lang w:val="es-CR"/>
        </w:rPr>
        <w:t xml:space="preserve">su </w:t>
      </w:r>
      <w:r w:rsidR="002109E0">
        <w:rPr>
          <w:rFonts w:ascii="Verdana" w:hAnsi="Verdana"/>
          <w:snapToGrid w:val="0"/>
          <w:sz w:val="20"/>
          <w:szCs w:val="20"/>
          <w:lang w:val="es-CR"/>
        </w:rPr>
        <w:t xml:space="preserve">perjuicio, a pesar de que ellos alegaban </w:t>
      </w:r>
      <w:r w:rsidR="00615BFC">
        <w:rPr>
          <w:rFonts w:ascii="Verdana" w:hAnsi="Verdana"/>
          <w:snapToGrid w:val="0"/>
          <w:sz w:val="20"/>
          <w:szCs w:val="20"/>
          <w:lang w:val="es-CR"/>
        </w:rPr>
        <w:t xml:space="preserve">que dicha </w:t>
      </w:r>
      <w:r w:rsidR="002109E0">
        <w:rPr>
          <w:rFonts w:ascii="Verdana" w:hAnsi="Verdana"/>
          <w:snapToGrid w:val="0"/>
          <w:sz w:val="20"/>
          <w:szCs w:val="20"/>
          <w:lang w:val="es-CR"/>
        </w:rPr>
        <w:t>área</w:t>
      </w:r>
      <w:r w:rsidR="00615BFC">
        <w:rPr>
          <w:rFonts w:ascii="Verdana" w:hAnsi="Verdana"/>
          <w:snapToGrid w:val="0"/>
          <w:sz w:val="20"/>
          <w:szCs w:val="20"/>
          <w:lang w:val="es-CR"/>
        </w:rPr>
        <w:t xml:space="preserve"> era parte de su territorio</w:t>
      </w:r>
      <w:r w:rsidR="002109E0">
        <w:rPr>
          <w:rFonts w:ascii="Verdana" w:hAnsi="Verdana"/>
          <w:snapToGrid w:val="0"/>
          <w:sz w:val="20"/>
          <w:szCs w:val="20"/>
          <w:lang w:val="es-CR"/>
        </w:rPr>
        <w:t xml:space="preserve"> ancestral. </w:t>
      </w:r>
      <w:r w:rsidR="002109E0" w:rsidRPr="009E77BD">
        <w:rPr>
          <w:rFonts w:ascii="Verdana" w:hAnsi="Verdana"/>
          <w:sz w:val="20"/>
          <w:szCs w:val="20"/>
          <w:lang w:val="es-MX"/>
        </w:rPr>
        <w:t xml:space="preserve">En este sentido, </w:t>
      </w:r>
      <w:r w:rsidR="002109E0" w:rsidRPr="009E77BD">
        <w:rPr>
          <w:rFonts w:ascii="Verdana" w:hAnsi="Verdana"/>
          <w:bCs/>
          <w:sz w:val="20"/>
          <w:szCs w:val="20"/>
          <w:lang w:val="es-MX"/>
        </w:rPr>
        <w:t>el Estado no</w:t>
      </w:r>
      <w:r w:rsidR="00B52AC2" w:rsidRPr="009E77BD">
        <w:rPr>
          <w:rFonts w:ascii="Verdana" w:hAnsi="Verdana"/>
          <w:bCs/>
          <w:sz w:val="20"/>
          <w:szCs w:val="20"/>
          <w:lang w:val="es-MX"/>
        </w:rPr>
        <w:t xml:space="preserve"> garantizó el uso y goce </w:t>
      </w:r>
      <w:r w:rsidR="00864333" w:rsidRPr="009E77BD">
        <w:rPr>
          <w:rFonts w:ascii="Verdana" w:hAnsi="Verdana"/>
          <w:sz w:val="20"/>
          <w:szCs w:val="20"/>
          <w:lang w:val="es-ES"/>
        </w:rPr>
        <w:t>de su territorio, sin ninguna interferencia externa</w:t>
      </w:r>
      <w:r w:rsidR="00864333" w:rsidRPr="009E77BD">
        <w:rPr>
          <w:rStyle w:val="FootnoteReference"/>
          <w:szCs w:val="20"/>
        </w:rPr>
        <w:footnoteReference w:id="194"/>
      </w:r>
      <w:r w:rsidR="00864333" w:rsidRPr="009E77BD">
        <w:rPr>
          <w:rFonts w:ascii="Verdana" w:hAnsi="Verdana"/>
          <w:sz w:val="20"/>
          <w:szCs w:val="20"/>
          <w:lang w:val="es-ES"/>
        </w:rPr>
        <w:t>.</w:t>
      </w:r>
    </w:p>
    <w:p w14:paraId="5FEFDC7D" w14:textId="77777777" w:rsidR="00185682" w:rsidRPr="00185682" w:rsidRDefault="00185682" w:rsidP="00185682">
      <w:pPr>
        <w:pStyle w:val="ListParagraph"/>
        <w:ind w:left="0"/>
        <w:jc w:val="both"/>
        <w:rPr>
          <w:rFonts w:ascii="Verdana" w:hAnsi="Verdana"/>
          <w:sz w:val="20"/>
          <w:szCs w:val="20"/>
          <w:lang w:val="es-CR"/>
        </w:rPr>
      </w:pPr>
    </w:p>
    <w:p w14:paraId="0FEA7FE7" w14:textId="77777777" w:rsidR="00185682" w:rsidRPr="00185682" w:rsidRDefault="00185682" w:rsidP="00185682">
      <w:pPr>
        <w:pStyle w:val="ListParagraph"/>
        <w:numPr>
          <w:ilvl w:val="0"/>
          <w:numId w:val="2"/>
        </w:numPr>
        <w:ind w:left="0" w:hanging="11"/>
        <w:jc w:val="both"/>
        <w:rPr>
          <w:rFonts w:ascii="Verdana" w:hAnsi="Verdana"/>
          <w:sz w:val="20"/>
          <w:szCs w:val="20"/>
          <w:lang w:val="es-ES"/>
        </w:rPr>
      </w:pPr>
      <w:r w:rsidRPr="00136196">
        <w:rPr>
          <w:rFonts w:ascii="Verdana" w:hAnsi="Verdana"/>
          <w:sz w:val="20"/>
          <w:szCs w:val="20"/>
          <w:lang w:val="es-CR"/>
        </w:rPr>
        <w:t xml:space="preserve">Con fundamento en lo anterior, este Tribunal concluye que se </w:t>
      </w:r>
      <w:r w:rsidRPr="00136196">
        <w:rPr>
          <w:rFonts w:ascii="Verdana" w:hAnsi="Verdana"/>
          <w:sz w:val="20"/>
          <w:lang w:val="es-CR"/>
        </w:rPr>
        <w:t>ha restringido</w:t>
      </w:r>
      <w:r w:rsidRPr="00136196">
        <w:rPr>
          <w:rFonts w:ascii="Verdana" w:hAnsi="Verdana"/>
          <w:sz w:val="20"/>
          <w:szCs w:val="20"/>
          <w:lang w:val="es-CR"/>
        </w:rPr>
        <w:t xml:space="preserve"> a dichos pueblos el acceso directo al río Marowijne y por ende, el uso y goce de los territorios tradicionales contiguos al río. No obstante, la Corte estima que permanece vigente el derecho de los Pueblos Kaliña y Lokono a solicitar la reivindicación de sus tierras tradicionales, actualmente en posesión y propiedad de terceros no indígenas</w:t>
      </w:r>
      <w:r w:rsidRPr="00881910">
        <w:rPr>
          <w:rStyle w:val="FootnoteReference"/>
          <w:szCs w:val="20"/>
          <w:lang w:val="es-CR"/>
        </w:rPr>
        <w:footnoteReference w:id="195"/>
      </w:r>
      <w:r w:rsidRPr="00136196">
        <w:rPr>
          <w:rFonts w:ascii="Verdana" w:hAnsi="Verdana"/>
          <w:sz w:val="20"/>
          <w:szCs w:val="20"/>
          <w:lang w:val="es-CR"/>
        </w:rPr>
        <w:t>.</w:t>
      </w:r>
    </w:p>
    <w:p w14:paraId="32398840" w14:textId="77777777" w:rsidR="002109E0" w:rsidRPr="00261627" w:rsidRDefault="002109E0" w:rsidP="002109E0">
      <w:pPr>
        <w:pStyle w:val="ListParagraph"/>
        <w:jc w:val="both"/>
        <w:rPr>
          <w:rFonts w:ascii="Verdana" w:hAnsi="Verdana"/>
          <w:sz w:val="20"/>
          <w:szCs w:val="20"/>
          <w:lang w:val="es-ES"/>
        </w:rPr>
      </w:pPr>
      <w:r w:rsidRPr="006E0556">
        <w:rPr>
          <w:rFonts w:ascii="Verdana" w:hAnsi="Verdana"/>
          <w:bCs/>
          <w:sz w:val="20"/>
          <w:szCs w:val="20"/>
          <w:lang w:val="es-MX"/>
        </w:rPr>
        <w:t xml:space="preserve"> </w:t>
      </w:r>
    </w:p>
    <w:p w14:paraId="47B1593E" w14:textId="10A8D9AD" w:rsidR="00CA32BF" w:rsidRDefault="00627F48" w:rsidP="00CA32BF">
      <w:pPr>
        <w:pStyle w:val="ListParagraph"/>
        <w:numPr>
          <w:ilvl w:val="0"/>
          <w:numId w:val="2"/>
        </w:numPr>
        <w:ind w:left="0" w:hanging="11"/>
        <w:jc w:val="both"/>
        <w:rPr>
          <w:rFonts w:ascii="Verdana" w:hAnsi="Verdana"/>
          <w:sz w:val="20"/>
          <w:szCs w:val="20"/>
          <w:lang w:val="es-MX"/>
        </w:rPr>
      </w:pPr>
      <w:r>
        <w:rPr>
          <w:rFonts w:ascii="Verdana" w:hAnsi="Verdana"/>
          <w:sz w:val="20"/>
          <w:szCs w:val="20"/>
          <w:lang w:val="es-ES"/>
        </w:rPr>
        <w:t>Sin perjuicio de lo anterior</w:t>
      </w:r>
      <w:r w:rsidR="00864333">
        <w:rPr>
          <w:rFonts w:ascii="Verdana" w:hAnsi="Verdana"/>
          <w:sz w:val="20"/>
          <w:szCs w:val="20"/>
          <w:lang w:val="es-MX"/>
        </w:rPr>
        <w:t>, l</w:t>
      </w:r>
      <w:r w:rsidR="002109E0" w:rsidRPr="00030D8C">
        <w:rPr>
          <w:rFonts w:ascii="Verdana" w:hAnsi="Verdana"/>
          <w:sz w:val="20"/>
          <w:szCs w:val="20"/>
          <w:lang w:val="es-MX"/>
        </w:rPr>
        <w:t xml:space="preserve">a Corte </w:t>
      </w:r>
      <w:r w:rsidR="002109E0" w:rsidRPr="003B2009">
        <w:rPr>
          <w:rFonts w:ascii="Verdana" w:hAnsi="Verdana"/>
          <w:sz w:val="20"/>
          <w:szCs w:val="20"/>
          <w:lang w:val="es-MX"/>
        </w:rPr>
        <w:t>reitera</w:t>
      </w:r>
      <w:r w:rsidR="002109E0">
        <w:rPr>
          <w:rFonts w:ascii="Verdana" w:hAnsi="Verdana"/>
          <w:sz w:val="20"/>
          <w:szCs w:val="20"/>
          <w:lang w:val="es-MX"/>
        </w:rPr>
        <w:t xml:space="preserve"> su jurisprudencia en el sentido que </w:t>
      </w:r>
      <w:r w:rsidR="002109E0" w:rsidRPr="007B3B7A">
        <w:rPr>
          <w:rFonts w:ascii="Verdana" w:hAnsi="Verdana"/>
          <w:sz w:val="20"/>
          <w:szCs w:val="20"/>
          <w:lang w:val="es-CR"/>
        </w:rPr>
        <w:t>tanto la propiedad privada de los particulares como la propiedad colectiva de los miembros de las comunidades indígenas tienen la protección convencional que les otorga el artículo 21 de la Convención Americana</w:t>
      </w:r>
      <w:r w:rsidR="002109E0" w:rsidRPr="007B3B7A">
        <w:rPr>
          <w:rStyle w:val="FootnoteReference"/>
          <w:szCs w:val="20"/>
          <w:lang w:val="es-CR"/>
        </w:rPr>
        <w:footnoteReference w:id="196"/>
      </w:r>
      <w:r w:rsidR="002109E0" w:rsidRPr="007B3B7A">
        <w:rPr>
          <w:rFonts w:ascii="Verdana" w:hAnsi="Verdana"/>
          <w:sz w:val="20"/>
          <w:szCs w:val="20"/>
          <w:lang w:val="es-CR"/>
        </w:rPr>
        <w:t>.</w:t>
      </w:r>
      <w:r w:rsidR="002109E0" w:rsidRPr="007B3B7A">
        <w:rPr>
          <w:rFonts w:ascii="Verdana" w:hAnsi="Verdana"/>
          <w:sz w:val="20"/>
          <w:szCs w:val="20"/>
          <w:lang w:val="es-MX"/>
        </w:rPr>
        <w:t xml:space="preserve"> </w:t>
      </w:r>
      <w:r w:rsidR="002109E0" w:rsidRPr="00030D8C">
        <w:rPr>
          <w:rFonts w:ascii="Verdana" w:hAnsi="Verdana"/>
          <w:sz w:val="20"/>
          <w:szCs w:val="20"/>
        </w:rPr>
        <w:t>Sobre el particular, la Corte ha señalado que cuando existan conflictos de intereses en las reivindicaciones indígenas, o el derecho</w:t>
      </w:r>
      <w:r w:rsidR="002109E0" w:rsidRPr="00030D8C">
        <w:rPr>
          <w:rFonts w:ascii="Verdana" w:hAnsi="Verdana"/>
          <w:sz w:val="20"/>
          <w:szCs w:val="20"/>
          <w:lang w:val="es-MX"/>
        </w:rPr>
        <w:t xml:space="preserve"> a la propiedad comunal indígena y la propiedad privada particular entran en contradicciones reales o aparentes</w:t>
      </w:r>
      <w:r w:rsidR="002109E0" w:rsidRPr="00030D8C">
        <w:rPr>
          <w:rFonts w:ascii="Verdana" w:hAnsi="Verdana"/>
          <w:sz w:val="20"/>
          <w:szCs w:val="20"/>
        </w:rPr>
        <w:t xml:space="preserve">, habrá de valorarse caso por caso la legalidad, necesidad, proporcionalidad y el logro de un objetivo </w:t>
      </w:r>
      <w:r w:rsidR="002109E0" w:rsidRPr="00030D8C">
        <w:rPr>
          <w:rFonts w:ascii="Verdana" w:hAnsi="Verdana"/>
          <w:sz w:val="20"/>
          <w:szCs w:val="20"/>
        </w:rPr>
        <w:lastRenderedPageBreak/>
        <w:t>legítimo en una sociedad democrática</w:t>
      </w:r>
      <w:r w:rsidR="002109E0" w:rsidRPr="00030D8C">
        <w:rPr>
          <w:rStyle w:val="FootnoteReference"/>
          <w:szCs w:val="20"/>
          <w:lang w:val="es-MX"/>
        </w:rPr>
        <w:footnoteReference w:id="197"/>
      </w:r>
      <w:r w:rsidR="002109E0" w:rsidRPr="00030D8C">
        <w:rPr>
          <w:rFonts w:ascii="Verdana" w:hAnsi="Verdana"/>
          <w:sz w:val="20"/>
          <w:szCs w:val="20"/>
        </w:rPr>
        <w:t xml:space="preserve"> (utilidad pública e interés social), para restringir el derecho de propiedad privada, por un lado, o el derecho a las tierras tradicionales, por el otro</w:t>
      </w:r>
      <w:r w:rsidR="002109E0" w:rsidRPr="00030D8C">
        <w:rPr>
          <w:rStyle w:val="FootnoteReference"/>
          <w:szCs w:val="20"/>
        </w:rPr>
        <w:footnoteReference w:id="198"/>
      </w:r>
      <w:r w:rsidR="00864333">
        <w:rPr>
          <w:rFonts w:ascii="Verdana" w:hAnsi="Verdana"/>
          <w:sz w:val="20"/>
          <w:szCs w:val="20"/>
        </w:rPr>
        <w:t>, sin que la limitación a este último, implique la denegación de su subsistencia como pueblo</w:t>
      </w:r>
      <w:r w:rsidR="00864333">
        <w:rPr>
          <w:rStyle w:val="FootnoteReference"/>
          <w:szCs w:val="20"/>
        </w:rPr>
        <w:footnoteReference w:id="199"/>
      </w:r>
      <w:r w:rsidR="004969AD">
        <w:rPr>
          <w:rFonts w:ascii="Verdana" w:hAnsi="Verdana"/>
          <w:sz w:val="20"/>
          <w:szCs w:val="20"/>
        </w:rPr>
        <w:t xml:space="preserve">. </w:t>
      </w:r>
      <w:r w:rsidR="002109E0" w:rsidRPr="00030D8C">
        <w:rPr>
          <w:rFonts w:ascii="Verdana" w:hAnsi="Verdana"/>
          <w:sz w:val="20"/>
          <w:szCs w:val="20"/>
        </w:rPr>
        <w:t xml:space="preserve">El contenido de cada uno de estos parámetros </w:t>
      </w:r>
      <w:r>
        <w:rPr>
          <w:rFonts w:ascii="Verdana" w:hAnsi="Verdana"/>
          <w:sz w:val="20"/>
          <w:szCs w:val="20"/>
        </w:rPr>
        <w:t xml:space="preserve">ha sido </w:t>
      </w:r>
      <w:r w:rsidR="002109E0" w:rsidRPr="00030D8C">
        <w:rPr>
          <w:rFonts w:ascii="Verdana" w:hAnsi="Verdana"/>
          <w:sz w:val="20"/>
          <w:szCs w:val="20"/>
        </w:rPr>
        <w:t xml:space="preserve">definido por el Tribunal en </w:t>
      </w:r>
      <w:r>
        <w:rPr>
          <w:rFonts w:ascii="Verdana" w:hAnsi="Verdana"/>
          <w:sz w:val="20"/>
          <w:szCs w:val="20"/>
        </w:rPr>
        <w:t>su jurisprudencia</w:t>
      </w:r>
      <w:r w:rsidR="002109E0" w:rsidRPr="00030D8C">
        <w:rPr>
          <w:rFonts w:ascii="Verdana" w:hAnsi="Verdana"/>
          <w:sz w:val="20"/>
          <w:szCs w:val="20"/>
        </w:rPr>
        <w:t xml:space="preserve"> </w:t>
      </w:r>
      <w:r>
        <w:rPr>
          <w:rFonts w:ascii="Verdana" w:hAnsi="Verdana"/>
          <w:sz w:val="20"/>
          <w:szCs w:val="20"/>
        </w:rPr>
        <w:t>(</w:t>
      </w:r>
      <w:r w:rsidR="002109E0" w:rsidRPr="00030D8C">
        <w:rPr>
          <w:rFonts w:ascii="Verdana" w:hAnsi="Verdana"/>
          <w:i/>
          <w:sz w:val="20"/>
          <w:szCs w:val="20"/>
        </w:rPr>
        <w:t>Caso Comunidad indígena Yakye Axa</w:t>
      </w:r>
      <w:r w:rsidR="002109E0" w:rsidRPr="00030D8C">
        <w:rPr>
          <w:rStyle w:val="FootnoteReference"/>
          <w:szCs w:val="20"/>
        </w:rPr>
        <w:footnoteReference w:id="200"/>
      </w:r>
      <w:r w:rsidR="00CF73E8">
        <w:rPr>
          <w:rFonts w:ascii="Verdana" w:hAnsi="Verdana"/>
          <w:sz w:val="20"/>
          <w:szCs w:val="20"/>
        </w:rPr>
        <w:t xml:space="preserve"> y en adelante</w:t>
      </w:r>
      <w:r>
        <w:rPr>
          <w:rFonts w:ascii="Verdana" w:hAnsi="Verdana"/>
          <w:sz w:val="20"/>
          <w:szCs w:val="20"/>
        </w:rPr>
        <w:t>)</w:t>
      </w:r>
      <w:r w:rsidR="00CF73E8">
        <w:rPr>
          <w:rFonts w:ascii="Verdana" w:hAnsi="Verdana"/>
          <w:sz w:val="20"/>
          <w:szCs w:val="20"/>
        </w:rPr>
        <w:t>.</w:t>
      </w:r>
    </w:p>
    <w:p w14:paraId="57E7FFFA" w14:textId="77777777" w:rsidR="00CA32BF" w:rsidRPr="0032075F" w:rsidRDefault="00CA32BF" w:rsidP="0032075F">
      <w:pPr>
        <w:pStyle w:val="ListParagraph"/>
        <w:rPr>
          <w:rFonts w:ascii="Verdana" w:hAnsi="Verdana"/>
          <w:sz w:val="20"/>
          <w:szCs w:val="20"/>
          <w:lang w:val="es-MX"/>
        </w:rPr>
      </w:pPr>
    </w:p>
    <w:p w14:paraId="49796F4E" w14:textId="77777777" w:rsidR="00834E95" w:rsidRPr="00181972" w:rsidRDefault="00627F48" w:rsidP="00A965C6">
      <w:pPr>
        <w:pStyle w:val="ListParagraph"/>
        <w:numPr>
          <w:ilvl w:val="0"/>
          <w:numId w:val="2"/>
        </w:numPr>
        <w:ind w:left="0" w:hanging="11"/>
        <w:jc w:val="both"/>
        <w:rPr>
          <w:rFonts w:ascii="Verdana" w:hAnsi="Verdana"/>
          <w:sz w:val="20"/>
          <w:szCs w:val="20"/>
          <w:lang w:val="es-MX"/>
        </w:rPr>
      </w:pPr>
      <w:r>
        <w:rPr>
          <w:rFonts w:ascii="Verdana" w:hAnsi="Verdana"/>
          <w:sz w:val="20"/>
          <w:szCs w:val="20"/>
          <w:lang w:val="es-CR"/>
        </w:rPr>
        <w:t>En este sentido, a</w:t>
      </w:r>
      <w:r w:rsidR="002109E0" w:rsidRPr="00156905">
        <w:rPr>
          <w:rFonts w:ascii="Verdana" w:hAnsi="Verdana"/>
          <w:sz w:val="20"/>
          <w:szCs w:val="20"/>
          <w:lang w:val="es-CR"/>
        </w:rPr>
        <w:t xml:space="preserve"> la Corte no le corresponde decidir si el derecho a la propiedad </w:t>
      </w:r>
      <w:r w:rsidR="00382FBE">
        <w:rPr>
          <w:rFonts w:ascii="Verdana" w:hAnsi="Verdana"/>
          <w:sz w:val="20"/>
          <w:szCs w:val="20"/>
          <w:lang w:val="es-CR"/>
        </w:rPr>
        <w:t xml:space="preserve">colectiva </w:t>
      </w:r>
      <w:r w:rsidR="002109E0" w:rsidRPr="00156905">
        <w:rPr>
          <w:rFonts w:ascii="Verdana" w:hAnsi="Verdana"/>
          <w:sz w:val="20"/>
          <w:szCs w:val="20"/>
          <w:lang w:val="es-CR"/>
        </w:rPr>
        <w:t xml:space="preserve">de los </w:t>
      </w:r>
      <w:r w:rsidR="00382F4D">
        <w:rPr>
          <w:rFonts w:ascii="Verdana" w:hAnsi="Verdana"/>
          <w:sz w:val="20"/>
          <w:szCs w:val="20"/>
          <w:lang w:val="es-CR"/>
        </w:rPr>
        <w:t>Pueblos Kaliña y Lokono</w:t>
      </w:r>
      <w:r w:rsidR="002109E0" w:rsidRPr="00156905">
        <w:rPr>
          <w:rFonts w:ascii="Verdana" w:hAnsi="Verdana"/>
          <w:sz w:val="20"/>
          <w:szCs w:val="20"/>
          <w:lang w:val="es-CR"/>
        </w:rPr>
        <w:t xml:space="preserve"> </w:t>
      </w:r>
      <w:r w:rsidR="00382FBE" w:rsidRPr="00366D91">
        <w:rPr>
          <w:rFonts w:ascii="Verdana" w:hAnsi="Verdana"/>
          <w:sz w:val="20"/>
          <w:szCs w:val="20"/>
        </w:rPr>
        <w:t>debe primar sobre</w:t>
      </w:r>
      <w:r w:rsidR="002109E0">
        <w:t xml:space="preserve"> </w:t>
      </w:r>
      <w:r w:rsidR="002109E0" w:rsidRPr="00156905">
        <w:rPr>
          <w:rFonts w:ascii="Verdana" w:hAnsi="Verdana"/>
          <w:sz w:val="20"/>
          <w:szCs w:val="20"/>
          <w:lang w:val="es-CR"/>
        </w:rPr>
        <w:t>el derecho a la propiedad privada, por cuanto no es</w:t>
      </w:r>
      <w:r w:rsidR="002109E0" w:rsidRPr="003966ED">
        <w:rPr>
          <w:rFonts w:ascii="Verdana" w:hAnsi="Verdana"/>
          <w:sz w:val="20"/>
          <w:szCs w:val="20"/>
          <w:lang w:val="es-CR"/>
        </w:rPr>
        <w:t xml:space="preserve"> un tribunal de derecho interno que dirime las controversias entre particulares. Esa tarea corresponde exclusivamente al Estado</w:t>
      </w:r>
      <w:r w:rsidR="002109E0" w:rsidRPr="00A023AF">
        <w:rPr>
          <w:rStyle w:val="FootnoteReference"/>
          <w:szCs w:val="20"/>
          <w:lang w:val="es-CR"/>
        </w:rPr>
        <w:footnoteReference w:id="201"/>
      </w:r>
      <w:r w:rsidR="002109E0" w:rsidRPr="00156905">
        <w:rPr>
          <w:rFonts w:ascii="Verdana" w:hAnsi="Verdana"/>
          <w:sz w:val="20"/>
          <w:szCs w:val="20"/>
          <w:lang w:val="es-CR"/>
        </w:rPr>
        <w:t xml:space="preserve">, sin discriminación alguna y tomando en cuenta los criterios y </w:t>
      </w:r>
      <w:r w:rsidR="002109E0" w:rsidRPr="00C46208">
        <w:rPr>
          <w:rFonts w:ascii="Verdana" w:hAnsi="Verdana"/>
          <w:sz w:val="20"/>
          <w:szCs w:val="20"/>
          <w:lang w:val="es-CR"/>
        </w:rPr>
        <w:t xml:space="preserve">circunstancias anteriormente </w:t>
      </w:r>
      <w:r w:rsidR="00CF7F55" w:rsidRPr="00C46208">
        <w:rPr>
          <w:rFonts w:ascii="Verdana" w:hAnsi="Verdana"/>
          <w:sz w:val="20"/>
          <w:szCs w:val="20"/>
          <w:lang w:val="es-CR"/>
        </w:rPr>
        <w:t>señaladas</w:t>
      </w:r>
      <w:r w:rsidR="006E360C">
        <w:rPr>
          <w:rFonts w:ascii="Verdana" w:hAnsi="Verdana"/>
          <w:sz w:val="20"/>
          <w:szCs w:val="20"/>
          <w:lang w:val="es-CR"/>
        </w:rPr>
        <w:t xml:space="preserve">, </w:t>
      </w:r>
      <w:r w:rsidR="00C90FE0" w:rsidRPr="00190AD3">
        <w:rPr>
          <w:rFonts w:ascii="Verdana" w:hAnsi="Verdana"/>
          <w:sz w:val="20"/>
          <w:lang w:val="es-CR"/>
        </w:rPr>
        <w:t>entre ellas, la</w:t>
      </w:r>
      <w:r w:rsidR="00CF7F55" w:rsidRPr="00190AD3">
        <w:rPr>
          <w:rFonts w:ascii="Verdana" w:hAnsi="Verdana"/>
          <w:sz w:val="20"/>
          <w:lang w:val="es-CR"/>
        </w:rPr>
        <w:t xml:space="preserve"> relación especial que los pueblos indígenas tienen con sus tierras</w:t>
      </w:r>
      <w:r w:rsidR="006E360C" w:rsidRPr="00190AD3">
        <w:rPr>
          <w:rStyle w:val="FootnoteReference"/>
          <w:lang w:val="es-MX"/>
        </w:rPr>
        <w:footnoteReference w:id="202"/>
      </w:r>
      <w:r w:rsidR="00CF7F55" w:rsidRPr="00190AD3">
        <w:rPr>
          <w:rFonts w:ascii="Verdana" w:hAnsi="Verdana"/>
          <w:sz w:val="20"/>
          <w:lang w:val="es-MX"/>
        </w:rPr>
        <w:t>.</w:t>
      </w:r>
    </w:p>
    <w:p w14:paraId="52AFE8F0" w14:textId="77777777" w:rsidR="00B52AC2" w:rsidRDefault="00B52AC2" w:rsidP="00366D91">
      <w:pPr>
        <w:pStyle w:val="ListParagraph"/>
        <w:ind w:left="0"/>
        <w:jc w:val="both"/>
        <w:rPr>
          <w:rFonts w:ascii="Verdana" w:hAnsi="Verdana"/>
          <w:sz w:val="20"/>
          <w:szCs w:val="20"/>
          <w:lang w:val="es-MX"/>
        </w:rPr>
      </w:pPr>
    </w:p>
    <w:p w14:paraId="418824B7" w14:textId="40B9AA6A" w:rsidR="00CB3548" w:rsidRPr="002C323A" w:rsidRDefault="00A965C6" w:rsidP="00366D91">
      <w:pPr>
        <w:pStyle w:val="ListParagraph"/>
        <w:numPr>
          <w:ilvl w:val="0"/>
          <w:numId w:val="2"/>
        </w:numPr>
        <w:ind w:left="0" w:hanging="11"/>
        <w:jc w:val="both"/>
        <w:rPr>
          <w:rFonts w:ascii="Verdana" w:hAnsi="Verdana"/>
          <w:sz w:val="20"/>
          <w:lang w:val="es-MX"/>
        </w:rPr>
      </w:pPr>
      <w:r>
        <w:rPr>
          <w:rFonts w:ascii="Verdana" w:hAnsi="Verdana"/>
          <w:sz w:val="20"/>
          <w:szCs w:val="20"/>
          <w:lang w:val="es-MX"/>
        </w:rPr>
        <w:t xml:space="preserve">Asimismo, </w:t>
      </w:r>
      <w:r w:rsidR="00BF1D36">
        <w:rPr>
          <w:rFonts w:ascii="Verdana" w:hAnsi="Verdana"/>
          <w:sz w:val="20"/>
          <w:szCs w:val="20"/>
          <w:lang w:val="es-MX"/>
        </w:rPr>
        <w:t xml:space="preserve">el Tribunal considera que el hecho de que </w:t>
      </w:r>
      <w:r w:rsidR="00BF1D36" w:rsidRPr="00366D91">
        <w:rPr>
          <w:rFonts w:ascii="Verdana" w:hAnsi="Verdana"/>
          <w:sz w:val="20"/>
          <w:szCs w:val="20"/>
          <w:lang w:val="es-MX"/>
        </w:rPr>
        <w:t xml:space="preserve">las tierras reclamadas estén en manos privadas, no constituye </w:t>
      </w:r>
      <w:r w:rsidR="00BF1D36" w:rsidRPr="00366D91">
        <w:rPr>
          <w:rFonts w:ascii="Verdana" w:hAnsi="Verdana"/>
          <w:i/>
          <w:sz w:val="20"/>
          <w:szCs w:val="20"/>
          <w:lang w:val="es-MX"/>
        </w:rPr>
        <w:t>per se</w:t>
      </w:r>
      <w:r w:rsidR="00BF1D36" w:rsidRPr="00366D91">
        <w:rPr>
          <w:rFonts w:ascii="Verdana" w:hAnsi="Verdana"/>
          <w:sz w:val="20"/>
          <w:szCs w:val="20"/>
          <w:lang w:val="es-MX"/>
        </w:rPr>
        <w:t xml:space="preserve"> un motivo suficiente para denegar </w:t>
      </w:r>
      <w:r w:rsidR="00BF1D36" w:rsidRPr="00366D91">
        <w:rPr>
          <w:rFonts w:ascii="Verdana" w:hAnsi="Verdana"/>
          <w:i/>
          <w:sz w:val="20"/>
          <w:szCs w:val="20"/>
          <w:lang w:val="es-MX"/>
        </w:rPr>
        <w:t>prima facie</w:t>
      </w:r>
      <w:r w:rsidR="00BF1D36" w:rsidRPr="00366D91">
        <w:rPr>
          <w:rFonts w:ascii="Verdana" w:hAnsi="Verdana"/>
          <w:sz w:val="20"/>
          <w:szCs w:val="20"/>
          <w:lang w:val="es-MX"/>
        </w:rPr>
        <w:t xml:space="preserve"> las solicitudes </w:t>
      </w:r>
      <w:r w:rsidR="00BF1D36" w:rsidRPr="00366D91">
        <w:rPr>
          <w:rFonts w:ascii="Verdana" w:hAnsi="Verdana"/>
          <w:sz w:val="20"/>
          <w:szCs w:val="20"/>
          <w:lang w:val="es-CR"/>
        </w:rPr>
        <w:t>indígenas</w:t>
      </w:r>
      <w:r w:rsidR="00BF1D36" w:rsidRPr="00366D91">
        <w:rPr>
          <w:rStyle w:val="FootnoteReference"/>
          <w:szCs w:val="20"/>
          <w:lang w:val="es-CR"/>
        </w:rPr>
        <w:footnoteReference w:id="203"/>
      </w:r>
      <w:r w:rsidR="00693FA8">
        <w:rPr>
          <w:rFonts w:ascii="Verdana" w:hAnsi="Verdana"/>
          <w:sz w:val="20"/>
          <w:szCs w:val="20"/>
          <w:lang w:val="es-CR"/>
        </w:rPr>
        <w:t xml:space="preserve">. Ello, </w:t>
      </w:r>
      <w:r w:rsidR="00D97182">
        <w:rPr>
          <w:rFonts w:ascii="Verdana" w:hAnsi="Verdana"/>
          <w:sz w:val="20"/>
          <w:szCs w:val="20"/>
          <w:lang w:val="es-CR"/>
        </w:rPr>
        <w:t>posicionaría</w:t>
      </w:r>
      <w:r w:rsidR="00693FA8" w:rsidRPr="00D2274D">
        <w:rPr>
          <w:rFonts w:ascii="Verdana" w:hAnsi="Verdana"/>
          <w:sz w:val="20"/>
        </w:rPr>
        <w:t xml:space="preserve"> a los pueblos </w:t>
      </w:r>
      <w:r w:rsidR="00B52AC2">
        <w:rPr>
          <w:rFonts w:ascii="Verdana" w:hAnsi="Verdana"/>
          <w:sz w:val="20"/>
        </w:rPr>
        <w:t xml:space="preserve">indígenas </w:t>
      </w:r>
      <w:r w:rsidR="00693FA8" w:rsidRPr="00D2274D">
        <w:rPr>
          <w:rFonts w:ascii="Verdana" w:hAnsi="Verdana"/>
          <w:sz w:val="20"/>
        </w:rPr>
        <w:t>en una situación vulnerable donde los derechos a la propiedad individual pueden triunfar sobre los derechos a la propiedad comunal</w:t>
      </w:r>
      <w:r w:rsidR="0073412C" w:rsidRPr="005516B4">
        <w:rPr>
          <w:rStyle w:val="FootnoteReference"/>
        </w:rPr>
        <w:footnoteReference w:id="204"/>
      </w:r>
      <w:r w:rsidR="00693FA8">
        <w:rPr>
          <w:rFonts w:ascii="Verdana" w:hAnsi="Verdana"/>
          <w:sz w:val="20"/>
        </w:rPr>
        <w:t xml:space="preserve">, debido a la sola existencia de títulos en favor de los primeros, </w:t>
      </w:r>
      <w:r w:rsidR="00CB3548">
        <w:rPr>
          <w:rFonts w:ascii="Verdana" w:hAnsi="Verdana"/>
          <w:sz w:val="20"/>
        </w:rPr>
        <w:t xml:space="preserve">en detrimento de los segundos, </w:t>
      </w:r>
      <w:r w:rsidR="00693FA8">
        <w:rPr>
          <w:rFonts w:ascii="Verdana" w:hAnsi="Verdana"/>
          <w:sz w:val="20"/>
        </w:rPr>
        <w:t xml:space="preserve">como lo ocurrido en </w:t>
      </w:r>
      <w:r w:rsidR="00693FA8" w:rsidRPr="00693FA8">
        <w:rPr>
          <w:rFonts w:ascii="Verdana" w:hAnsi="Verdana"/>
          <w:sz w:val="20"/>
          <w:szCs w:val="20"/>
          <w:lang w:val="es-CR"/>
        </w:rPr>
        <w:t xml:space="preserve">casos como </w:t>
      </w:r>
      <w:r w:rsidR="00693FA8" w:rsidRPr="00693FA8">
        <w:rPr>
          <w:rFonts w:ascii="Verdana" w:hAnsi="Verdana"/>
          <w:i/>
          <w:sz w:val="20"/>
          <w:szCs w:val="20"/>
          <w:lang w:val="es-CR"/>
        </w:rPr>
        <w:t>Tjang A Sjin v. Zaalman</w:t>
      </w:r>
      <w:r w:rsidR="00693FA8" w:rsidRPr="00693FA8">
        <w:rPr>
          <w:rFonts w:ascii="Verdana" w:hAnsi="Verdana"/>
          <w:sz w:val="20"/>
          <w:szCs w:val="20"/>
          <w:lang w:val="es-CR"/>
        </w:rPr>
        <w:t xml:space="preserve"> y </w:t>
      </w:r>
      <w:r w:rsidR="00693FA8" w:rsidRPr="00693FA8">
        <w:rPr>
          <w:rFonts w:ascii="Verdana" w:hAnsi="Verdana"/>
          <w:i/>
          <w:snapToGrid w:val="0"/>
          <w:sz w:val="20"/>
          <w:szCs w:val="20"/>
          <w:lang w:val="es-CR"/>
        </w:rPr>
        <w:t xml:space="preserve">Celientje Martina Joeroeja-Koewie y otros </w:t>
      </w:r>
      <w:r w:rsidR="000B1239">
        <w:rPr>
          <w:rFonts w:ascii="Verdana" w:hAnsi="Verdana"/>
          <w:i/>
          <w:snapToGrid w:val="0"/>
          <w:sz w:val="20"/>
          <w:szCs w:val="20"/>
          <w:lang w:val="es-CR"/>
        </w:rPr>
        <w:t>v.</w:t>
      </w:r>
      <w:r w:rsidR="00693FA8" w:rsidRPr="00693FA8">
        <w:rPr>
          <w:rFonts w:ascii="Verdana" w:hAnsi="Verdana"/>
          <w:i/>
          <w:snapToGrid w:val="0"/>
          <w:sz w:val="20"/>
          <w:szCs w:val="20"/>
          <w:lang w:val="es-CR"/>
        </w:rPr>
        <w:t xml:space="preserve"> </w:t>
      </w:r>
      <w:r w:rsidR="00563E11">
        <w:rPr>
          <w:rFonts w:ascii="Verdana" w:hAnsi="Verdana"/>
          <w:i/>
          <w:snapToGrid w:val="0"/>
          <w:sz w:val="20"/>
          <w:szCs w:val="20"/>
          <w:lang w:val="es-CR"/>
        </w:rPr>
        <w:t>Surinam</w:t>
      </w:r>
      <w:r w:rsidR="00693FA8" w:rsidRPr="00693FA8">
        <w:rPr>
          <w:rFonts w:ascii="Verdana" w:hAnsi="Verdana"/>
          <w:i/>
          <w:snapToGrid w:val="0"/>
          <w:sz w:val="20"/>
          <w:szCs w:val="20"/>
          <w:lang w:val="es-CR"/>
        </w:rPr>
        <w:t xml:space="preserve"> </w:t>
      </w:r>
      <w:r w:rsidR="00693FA8" w:rsidRPr="00693FA8">
        <w:rPr>
          <w:rFonts w:ascii="Verdana" w:hAnsi="Verdana"/>
          <w:i/>
          <w:sz w:val="20"/>
          <w:szCs w:val="20"/>
          <w:lang w:val="es-CR"/>
        </w:rPr>
        <w:t xml:space="preserve">&amp; </w:t>
      </w:r>
      <w:r w:rsidR="00563E11">
        <w:rPr>
          <w:rFonts w:ascii="Verdana" w:hAnsi="Verdana"/>
          <w:i/>
          <w:sz w:val="20"/>
          <w:szCs w:val="20"/>
          <w:lang w:val="es-CR"/>
        </w:rPr>
        <w:t>Surinam</w:t>
      </w:r>
      <w:r w:rsidR="00693FA8" w:rsidRPr="00693FA8">
        <w:rPr>
          <w:rFonts w:ascii="Verdana" w:hAnsi="Verdana"/>
          <w:i/>
          <w:sz w:val="20"/>
          <w:szCs w:val="20"/>
          <w:lang w:val="es-CR"/>
        </w:rPr>
        <w:t xml:space="preserve"> Stone &amp; Industries N.V</w:t>
      </w:r>
      <w:r w:rsidR="00693FA8" w:rsidRPr="00693FA8">
        <w:rPr>
          <w:rFonts w:ascii="Verdana" w:hAnsi="Verdana"/>
          <w:i/>
          <w:snapToGrid w:val="0"/>
          <w:sz w:val="20"/>
          <w:szCs w:val="20"/>
          <w:lang w:val="es-CR"/>
        </w:rPr>
        <w:t>.</w:t>
      </w:r>
      <w:r w:rsidR="00693FA8" w:rsidRPr="00693FA8">
        <w:rPr>
          <w:rFonts w:ascii="Verdana" w:hAnsi="Verdana"/>
          <w:sz w:val="20"/>
          <w:szCs w:val="20"/>
          <w:lang w:val="es-CR"/>
        </w:rPr>
        <w:t xml:space="preserve"> (</w:t>
      </w:r>
      <w:r w:rsidR="00366D91" w:rsidRPr="00366D91">
        <w:rPr>
          <w:rFonts w:ascii="Verdana" w:hAnsi="Verdana"/>
          <w:i/>
          <w:sz w:val="20"/>
          <w:szCs w:val="20"/>
          <w:lang w:val="es-CR"/>
        </w:rPr>
        <w:t>supra</w:t>
      </w:r>
      <w:r w:rsidR="00693FA8" w:rsidRPr="00693FA8">
        <w:rPr>
          <w:rFonts w:ascii="Verdana" w:hAnsi="Verdana"/>
          <w:sz w:val="20"/>
          <w:szCs w:val="20"/>
          <w:lang w:val="es-CR"/>
        </w:rPr>
        <w:t xml:space="preserve"> párr</w:t>
      </w:r>
      <w:r w:rsidR="00020007">
        <w:rPr>
          <w:rFonts w:ascii="Verdana" w:hAnsi="Verdana"/>
          <w:sz w:val="20"/>
          <w:szCs w:val="20"/>
          <w:lang w:val="es-CR"/>
        </w:rPr>
        <w:t>s</w:t>
      </w:r>
      <w:r w:rsidR="00693FA8" w:rsidRPr="00693FA8">
        <w:rPr>
          <w:rFonts w:ascii="Verdana" w:hAnsi="Verdana"/>
          <w:sz w:val="20"/>
          <w:szCs w:val="20"/>
          <w:lang w:val="es-CR"/>
        </w:rPr>
        <w:t xml:space="preserve">. </w:t>
      </w:r>
      <w:r w:rsidR="00020007">
        <w:rPr>
          <w:rFonts w:ascii="Verdana" w:hAnsi="Verdana"/>
          <w:sz w:val="20"/>
          <w:szCs w:val="20"/>
          <w:lang w:val="es-CR"/>
        </w:rPr>
        <w:t xml:space="preserve">62 a </w:t>
      </w:r>
      <w:r w:rsidR="002A6C21">
        <w:rPr>
          <w:rFonts w:ascii="Verdana" w:hAnsi="Verdana"/>
          <w:sz w:val="20"/>
          <w:szCs w:val="20"/>
          <w:lang w:val="es-CR"/>
        </w:rPr>
        <w:t>64</w:t>
      </w:r>
      <w:r w:rsidR="00693FA8" w:rsidRPr="00693FA8">
        <w:rPr>
          <w:rFonts w:ascii="Verdana" w:hAnsi="Verdana"/>
          <w:sz w:val="20"/>
          <w:szCs w:val="20"/>
          <w:lang w:val="es-CR"/>
        </w:rPr>
        <w:t>)</w:t>
      </w:r>
      <w:r w:rsidR="0073412C">
        <w:rPr>
          <w:rFonts w:ascii="Verdana" w:hAnsi="Verdana"/>
          <w:sz w:val="20"/>
          <w:szCs w:val="20"/>
          <w:lang w:val="es-CR"/>
        </w:rPr>
        <w:t>.</w:t>
      </w:r>
    </w:p>
    <w:p w14:paraId="1EF55F0B" w14:textId="77777777" w:rsidR="00C1411F" w:rsidRPr="002C323A" w:rsidRDefault="00C1411F" w:rsidP="002C323A">
      <w:pPr>
        <w:pStyle w:val="ListParagraph"/>
        <w:rPr>
          <w:rFonts w:ascii="Verdana" w:hAnsi="Verdana"/>
          <w:sz w:val="20"/>
          <w:lang w:val="es-MX"/>
        </w:rPr>
      </w:pPr>
    </w:p>
    <w:p w14:paraId="464BE550" w14:textId="77777777" w:rsidR="009B781F" w:rsidRDefault="001E178F" w:rsidP="007E20F9">
      <w:pPr>
        <w:pStyle w:val="ListParagraph"/>
        <w:numPr>
          <w:ilvl w:val="0"/>
          <w:numId w:val="2"/>
        </w:numPr>
        <w:ind w:left="0" w:hanging="11"/>
        <w:jc w:val="both"/>
        <w:rPr>
          <w:rFonts w:ascii="Verdana" w:hAnsi="Verdana"/>
          <w:sz w:val="20"/>
          <w:szCs w:val="20"/>
          <w:lang w:val="es-MX"/>
        </w:rPr>
      </w:pPr>
      <w:r w:rsidRPr="00020007">
        <w:rPr>
          <w:rFonts w:ascii="Verdana" w:hAnsi="Verdana"/>
          <w:sz w:val="20"/>
          <w:szCs w:val="20"/>
          <w:lang w:val="es-CR"/>
        </w:rPr>
        <w:t>Lo anteriormente señalado, no significa que siempre que estén en conflicto los intereses territoriales particulares o estatales y los intereses territoriales de los miembros de las comunidades indígenas, prevalezcan los últimos por sobre los primeros</w:t>
      </w:r>
      <w:r w:rsidRPr="001E178F">
        <w:rPr>
          <w:rStyle w:val="FootnoteReference"/>
          <w:szCs w:val="20"/>
          <w:lang w:val="es-CR"/>
        </w:rPr>
        <w:footnoteReference w:id="205"/>
      </w:r>
      <w:r w:rsidRPr="00020007">
        <w:rPr>
          <w:rFonts w:ascii="Verdana" w:hAnsi="Verdana"/>
          <w:sz w:val="20"/>
          <w:szCs w:val="20"/>
          <w:lang w:val="es-CR"/>
        </w:rPr>
        <w:t xml:space="preserve">. </w:t>
      </w:r>
      <w:r w:rsidR="00366ECD" w:rsidRPr="00020007">
        <w:rPr>
          <w:rFonts w:ascii="Verdana" w:hAnsi="Verdana"/>
          <w:sz w:val="20"/>
          <w:szCs w:val="20"/>
          <w:lang w:val="es-CR"/>
        </w:rPr>
        <w:t xml:space="preserve">Por ello, si el Estado </w:t>
      </w:r>
      <w:r w:rsidR="00366ECD" w:rsidRPr="00020007">
        <w:rPr>
          <w:rFonts w:ascii="Verdana" w:hAnsi="Verdana"/>
          <w:sz w:val="20"/>
          <w:szCs w:val="20"/>
          <w:lang w:val="es-CR"/>
        </w:rPr>
        <w:lastRenderedPageBreak/>
        <w:t>se ve imposibilitado, por razones objetivas, concretas y justificadas</w:t>
      </w:r>
      <w:r w:rsidR="00366ECD" w:rsidRPr="00020007">
        <w:rPr>
          <w:rFonts w:ascii="Verdana" w:hAnsi="Verdana"/>
          <w:color w:val="000000"/>
          <w:sz w:val="20"/>
          <w:szCs w:val="20"/>
          <w:lang w:val="es-CR"/>
        </w:rPr>
        <w:t xml:space="preserve"> </w:t>
      </w:r>
      <w:r w:rsidR="00366ECD" w:rsidRPr="00020007">
        <w:rPr>
          <w:rFonts w:ascii="Verdana" w:hAnsi="Verdana"/>
          <w:sz w:val="20"/>
          <w:szCs w:val="20"/>
          <w:lang w:val="es-CR"/>
        </w:rPr>
        <w:t xml:space="preserve">de adoptar medidas para devolver el territorio tradicional y los recursos comunales </w:t>
      </w:r>
      <w:r w:rsidR="00366ECD" w:rsidRPr="00020007">
        <w:rPr>
          <w:rFonts w:ascii="Verdana" w:hAnsi="Verdana"/>
          <w:color w:val="000000"/>
          <w:sz w:val="20"/>
          <w:szCs w:val="20"/>
          <w:lang w:val="es-CR"/>
        </w:rPr>
        <w:t>a los Pueblos Kaliña y Lokono</w:t>
      </w:r>
      <w:r w:rsidR="00366ECD" w:rsidRPr="00E477FD">
        <w:rPr>
          <w:rStyle w:val="FootnoteReference"/>
          <w:szCs w:val="20"/>
          <w:lang w:val="es-CR"/>
        </w:rPr>
        <w:footnoteReference w:id="206"/>
      </w:r>
      <w:r w:rsidR="00366ECD" w:rsidRPr="00020007">
        <w:rPr>
          <w:rFonts w:ascii="Verdana" w:hAnsi="Verdana"/>
          <w:sz w:val="20"/>
          <w:szCs w:val="20"/>
          <w:lang w:val="es-CR"/>
        </w:rPr>
        <w:t xml:space="preserve">, </w:t>
      </w:r>
      <w:r w:rsidR="00366ECD" w:rsidRPr="00020007">
        <w:rPr>
          <w:rFonts w:ascii="Verdana" w:hAnsi="Verdana"/>
          <w:color w:val="000000"/>
          <w:sz w:val="20"/>
          <w:szCs w:val="20"/>
          <w:lang w:val="es-CR"/>
        </w:rPr>
        <w:t>luego de que se haya valorado adecuadamente conforme a lo indicado en esta Sentencia la posibilidad de expropiación</w:t>
      </w:r>
      <w:r w:rsidR="00366ECD" w:rsidRPr="00E477FD">
        <w:rPr>
          <w:rStyle w:val="FootnoteReference"/>
          <w:color w:val="000000"/>
          <w:szCs w:val="20"/>
          <w:lang w:val="es-CR"/>
        </w:rPr>
        <w:footnoteReference w:id="207"/>
      </w:r>
      <w:r w:rsidR="00366ECD" w:rsidRPr="00020007">
        <w:rPr>
          <w:rFonts w:ascii="Verdana" w:hAnsi="Verdana"/>
          <w:color w:val="000000"/>
          <w:sz w:val="20"/>
          <w:szCs w:val="20"/>
          <w:lang w:val="es-CR"/>
        </w:rPr>
        <w:t xml:space="preserve"> de los territorios de terceros,</w:t>
      </w:r>
      <w:r w:rsidR="000F0638" w:rsidRPr="00020007">
        <w:rPr>
          <w:rFonts w:ascii="Verdana" w:hAnsi="Verdana"/>
          <w:sz w:val="20"/>
          <w:szCs w:val="20"/>
          <w:lang w:val="es-MX"/>
        </w:rPr>
        <w:t xml:space="preserve"> </w:t>
      </w:r>
      <w:r w:rsidR="00366ECD" w:rsidRPr="00020007">
        <w:rPr>
          <w:rFonts w:ascii="Verdana" w:hAnsi="Verdana"/>
          <w:sz w:val="20"/>
          <w:szCs w:val="20"/>
          <w:lang w:val="es-CR"/>
        </w:rPr>
        <w:t>podrá</w:t>
      </w:r>
      <w:r w:rsidR="000F0638" w:rsidRPr="00020007">
        <w:rPr>
          <w:rFonts w:ascii="Verdana" w:hAnsi="Verdana"/>
          <w:sz w:val="20"/>
          <w:szCs w:val="20"/>
          <w:lang w:val="es-CR"/>
        </w:rPr>
        <w:t xml:space="preserve"> </w:t>
      </w:r>
      <w:r w:rsidR="00F44542" w:rsidRPr="00020007">
        <w:rPr>
          <w:rFonts w:ascii="Verdana" w:hAnsi="Verdana"/>
          <w:sz w:val="20"/>
          <w:szCs w:val="20"/>
          <w:lang w:val="es-MX"/>
        </w:rPr>
        <w:t>el Estado</w:t>
      </w:r>
      <w:r w:rsidR="00366ECD" w:rsidRPr="00020007">
        <w:rPr>
          <w:rFonts w:ascii="Verdana" w:hAnsi="Verdana"/>
          <w:sz w:val="20"/>
          <w:szCs w:val="20"/>
          <w:lang w:val="es-MX"/>
        </w:rPr>
        <w:t xml:space="preserve"> </w:t>
      </w:r>
      <w:r w:rsidR="00366ECD" w:rsidRPr="00020007">
        <w:rPr>
          <w:rFonts w:ascii="Verdana" w:hAnsi="Verdana"/>
          <w:sz w:val="20"/>
          <w:szCs w:val="20"/>
          <w:lang w:val="es-CR"/>
        </w:rPr>
        <w:t>ofrecer tierras alternativas de igual o mayor extensión y calidad, el pago de una justa indemnización o ambos y de manera consensuada con los pueblos interesados</w:t>
      </w:r>
      <w:r w:rsidR="00366ECD" w:rsidRPr="00E477FD">
        <w:rPr>
          <w:rStyle w:val="FootnoteReference"/>
          <w:szCs w:val="20"/>
          <w:lang w:val="es-MX"/>
        </w:rPr>
        <w:footnoteReference w:id="208"/>
      </w:r>
      <w:r w:rsidR="00366ECD" w:rsidRPr="00020007">
        <w:rPr>
          <w:rFonts w:ascii="Verdana" w:hAnsi="Verdana"/>
          <w:sz w:val="20"/>
          <w:szCs w:val="20"/>
          <w:lang w:val="es-MX"/>
        </w:rPr>
        <w:t xml:space="preserve"> (</w:t>
      </w:r>
      <w:r w:rsidR="007829DF" w:rsidRPr="00020007">
        <w:rPr>
          <w:rFonts w:ascii="Verdana" w:hAnsi="Verdana"/>
          <w:i/>
          <w:sz w:val="20"/>
          <w:szCs w:val="20"/>
          <w:lang w:val="es-MX"/>
        </w:rPr>
        <w:t>infra</w:t>
      </w:r>
      <w:r w:rsidR="00366ECD" w:rsidRPr="00020007">
        <w:rPr>
          <w:rFonts w:ascii="Verdana" w:hAnsi="Verdana"/>
          <w:sz w:val="20"/>
          <w:szCs w:val="20"/>
          <w:lang w:val="es-MX"/>
        </w:rPr>
        <w:t xml:space="preserve"> párr. </w:t>
      </w:r>
      <w:r w:rsidR="002A6C21" w:rsidRPr="00020007">
        <w:rPr>
          <w:rFonts w:ascii="Verdana" w:hAnsi="Verdana"/>
          <w:sz w:val="20"/>
          <w:szCs w:val="20"/>
          <w:lang w:val="es-MX"/>
        </w:rPr>
        <w:t>281</w:t>
      </w:r>
      <w:r w:rsidR="00020007">
        <w:rPr>
          <w:rFonts w:ascii="Verdana" w:hAnsi="Verdana"/>
          <w:sz w:val="20"/>
          <w:szCs w:val="20"/>
          <w:lang w:val="es-MX"/>
        </w:rPr>
        <w:t>)</w:t>
      </w:r>
      <w:r w:rsidR="001049A0">
        <w:rPr>
          <w:rFonts w:ascii="Verdana" w:hAnsi="Verdana"/>
          <w:sz w:val="20"/>
          <w:szCs w:val="20"/>
          <w:lang w:val="es-MX"/>
        </w:rPr>
        <w:t>.</w:t>
      </w:r>
    </w:p>
    <w:p w14:paraId="68A9105E" w14:textId="77777777" w:rsidR="00C1411F" w:rsidRPr="00020007" w:rsidRDefault="00C1411F" w:rsidP="00020007">
      <w:pPr>
        <w:pStyle w:val="ListParagraph"/>
        <w:ind w:left="0"/>
        <w:jc w:val="both"/>
        <w:rPr>
          <w:rFonts w:ascii="Verdana" w:hAnsi="Verdana"/>
          <w:sz w:val="20"/>
          <w:szCs w:val="20"/>
          <w:lang w:val="es-MX"/>
        </w:rPr>
      </w:pPr>
    </w:p>
    <w:p w14:paraId="38E5CBFA" w14:textId="77777777" w:rsidR="00C1411F" w:rsidRPr="00190AD3" w:rsidRDefault="005C496B" w:rsidP="00190AD3">
      <w:pPr>
        <w:pStyle w:val="ListParagraph"/>
        <w:numPr>
          <w:ilvl w:val="0"/>
          <w:numId w:val="2"/>
        </w:numPr>
        <w:ind w:left="0" w:hanging="11"/>
        <w:jc w:val="both"/>
        <w:rPr>
          <w:rFonts w:ascii="Verdana" w:hAnsi="Verdana"/>
          <w:color w:val="000000"/>
          <w:sz w:val="20"/>
        </w:rPr>
      </w:pPr>
      <w:r w:rsidRPr="00190AD3">
        <w:rPr>
          <w:rFonts w:ascii="Verdana" w:hAnsi="Verdana"/>
          <w:color w:val="000000"/>
          <w:sz w:val="20"/>
        </w:rPr>
        <w:t xml:space="preserve">Sin perjuicio de lo anterior, el Estado deberá desarrollar, de común acuerdo con </w:t>
      </w:r>
      <w:r w:rsidRPr="00190AD3">
        <w:rPr>
          <w:rFonts w:ascii="Verdana" w:hAnsi="Verdana"/>
          <w:sz w:val="20"/>
          <w:lang w:val="es-MX"/>
        </w:rPr>
        <w:t>los Pueblos Kaliña y Lokono y los terceros</w:t>
      </w:r>
      <w:r w:rsidRPr="00190AD3">
        <w:rPr>
          <w:rFonts w:ascii="Verdana" w:hAnsi="Verdana"/>
          <w:color w:val="000000"/>
          <w:sz w:val="20"/>
        </w:rPr>
        <w:t>, reglas de convivencia pacífica y armoniosas en las tierras en cuestión</w:t>
      </w:r>
      <w:r w:rsidR="002A6C21">
        <w:rPr>
          <w:rFonts w:ascii="Verdana" w:hAnsi="Verdana"/>
          <w:color w:val="000000"/>
          <w:sz w:val="20"/>
        </w:rPr>
        <w:t>,</w:t>
      </w:r>
      <w:r w:rsidRPr="00190AD3">
        <w:rPr>
          <w:rFonts w:ascii="Verdana" w:hAnsi="Verdana"/>
          <w:color w:val="000000"/>
          <w:sz w:val="20"/>
        </w:rPr>
        <w:t xml:space="preserve"> que respeten los usos y costumbres de dichos pueblos</w:t>
      </w:r>
      <w:r w:rsidR="00C1411F" w:rsidRPr="00190AD3">
        <w:rPr>
          <w:rFonts w:ascii="Verdana" w:hAnsi="Verdana"/>
          <w:color w:val="000000"/>
          <w:sz w:val="20"/>
        </w:rPr>
        <w:t xml:space="preserve"> y garanticen su acceso al río </w:t>
      </w:r>
      <w:r w:rsidR="00C1411F" w:rsidRPr="00190AD3">
        <w:rPr>
          <w:rFonts w:ascii="Verdana" w:hAnsi="Verdana"/>
          <w:sz w:val="20"/>
          <w:lang w:val="es-CR"/>
        </w:rPr>
        <w:t>Marowijne</w:t>
      </w:r>
      <w:r w:rsidR="00C90FE0" w:rsidRPr="00190AD3">
        <w:rPr>
          <w:rFonts w:ascii="Verdana" w:hAnsi="Verdana"/>
          <w:color w:val="000000"/>
          <w:sz w:val="20"/>
        </w:rPr>
        <w:t xml:space="preserve"> (</w:t>
      </w:r>
      <w:r w:rsidR="00C90FE0" w:rsidRPr="00190AD3">
        <w:rPr>
          <w:rFonts w:ascii="Verdana" w:hAnsi="Verdana"/>
          <w:i/>
          <w:color w:val="000000"/>
          <w:sz w:val="20"/>
        </w:rPr>
        <w:t>infra</w:t>
      </w:r>
      <w:r w:rsidR="00C90FE0" w:rsidRPr="00190AD3">
        <w:rPr>
          <w:rFonts w:ascii="Verdana" w:hAnsi="Verdana"/>
          <w:color w:val="000000"/>
          <w:sz w:val="20"/>
        </w:rPr>
        <w:t xml:space="preserve"> párr.</w:t>
      </w:r>
      <w:r w:rsidR="002A6C21">
        <w:rPr>
          <w:rFonts w:ascii="Verdana" w:hAnsi="Verdana"/>
          <w:color w:val="000000"/>
          <w:sz w:val="20"/>
        </w:rPr>
        <w:t xml:space="preserve"> 283</w:t>
      </w:r>
      <w:r w:rsidR="00C1411F" w:rsidRPr="00190AD3">
        <w:rPr>
          <w:rFonts w:ascii="Verdana" w:hAnsi="Verdana"/>
          <w:color w:val="000000"/>
          <w:sz w:val="20"/>
        </w:rPr>
        <w:t>)</w:t>
      </w:r>
      <w:r w:rsidR="00020007">
        <w:rPr>
          <w:rFonts w:ascii="Verdana" w:hAnsi="Verdana"/>
          <w:color w:val="000000"/>
          <w:sz w:val="20"/>
        </w:rPr>
        <w:t>.</w:t>
      </w:r>
    </w:p>
    <w:p w14:paraId="62CF09E3" w14:textId="77777777" w:rsidR="00BF1D36" w:rsidRPr="00382FBE" w:rsidRDefault="00BF1D36" w:rsidP="00366D91">
      <w:pPr>
        <w:pStyle w:val="ListParagraph"/>
        <w:ind w:left="0"/>
        <w:jc w:val="both"/>
        <w:rPr>
          <w:rFonts w:ascii="Verdana" w:hAnsi="Verdana"/>
          <w:sz w:val="20"/>
          <w:highlight w:val="green"/>
          <w:lang w:val="es-CR"/>
        </w:rPr>
      </w:pPr>
    </w:p>
    <w:p w14:paraId="3BBB4206" w14:textId="77777777" w:rsidR="002109E0" w:rsidRPr="00030D8C" w:rsidRDefault="002109E0" w:rsidP="002109E0">
      <w:pPr>
        <w:pStyle w:val="ListParagraph"/>
        <w:numPr>
          <w:ilvl w:val="0"/>
          <w:numId w:val="2"/>
        </w:numPr>
        <w:ind w:left="0" w:hanging="11"/>
        <w:jc w:val="both"/>
        <w:rPr>
          <w:rFonts w:ascii="Verdana" w:hAnsi="Verdana"/>
          <w:sz w:val="20"/>
          <w:szCs w:val="20"/>
          <w:lang w:val="es-MX"/>
        </w:rPr>
      </w:pPr>
      <w:r w:rsidRPr="00030D8C">
        <w:rPr>
          <w:rFonts w:ascii="Verdana" w:hAnsi="Verdana"/>
          <w:sz w:val="20"/>
          <w:szCs w:val="20"/>
          <w:lang w:val="es-MX"/>
        </w:rPr>
        <w:t xml:space="preserve">Con base en </w:t>
      </w:r>
      <w:r w:rsidR="00627F48">
        <w:rPr>
          <w:rFonts w:ascii="Verdana" w:hAnsi="Verdana"/>
          <w:sz w:val="20"/>
          <w:szCs w:val="20"/>
          <w:lang w:val="es-MX"/>
        </w:rPr>
        <w:t>lo</w:t>
      </w:r>
      <w:r w:rsidRPr="00030D8C">
        <w:rPr>
          <w:rFonts w:ascii="Verdana" w:hAnsi="Verdana"/>
          <w:sz w:val="20"/>
          <w:szCs w:val="20"/>
          <w:lang w:val="es-MX"/>
        </w:rPr>
        <w:t xml:space="preserve"> </w:t>
      </w:r>
      <w:r w:rsidRPr="00181972">
        <w:rPr>
          <w:rFonts w:ascii="Verdana" w:hAnsi="Verdana"/>
          <w:sz w:val="20"/>
          <w:szCs w:val="20"/>
          <w:lang w:val="es-MX"/>
        </w:rPr>
        <w:t xml:space="preserve">expuesto, la Corte concluye que el Estado de </w:t>
      </w:r>
      <w:r w:rsidR="00563E11" w:rsidRPr="00181972">
        <w:rPr>
          <w:rFonts w:ascii="Verdana" w:hAnsi="Verdana"/>
          <w:sz w:val="20"/>
          <w:szCs w:val="20"/>
          <w:lang w:val="es-MX"/>
        </w:rPr>
        <w:t>Surinam</w:t>
      </w:r>
      <w:r w:rsidRPr="00181972">
        <w:rPr>
          <w:rFonts w:ascii="Verdana" w:hAnsi="Verdana"/>
          <w:sz w:val="20"/>
          <w:szCs w:val="20"/>
          <w:lang w:val="es-MX"/>
        </w:rPr>
        <w:t xml:space="preserve"> </w:t>
      </w:r>
      <w:r w:rsidR="00F44542" w:rsidRPr="00181972">
        <w:rPr>
          <w:rFonts w:ascii="Verdana" w:hAnsi="Verdana"/>
          <w:sz w:val="20"/>
          <w:szCs w:val="20"/>
          <w:lang w:val="es-MX"/>
        </w:rPr>
        <w:t xml:space="preserve">tenía conocimiento </w:t>
      </w:r>
      <w:r w:rsidRPr="00181972">
        <w:rPr>
          <w:rFonts w:ascii="Verdana" w:hAnsi="Verdana"/>
          <w:sz w:val="20"/>
          <w:szCs w:val="20"/>
          <w:lang w:val="es-MX"/>
        </w:rPr>
        <w:t xml:space="preserve">de los reclamos de reivindicación de tierras de los </w:t>
      </w:r>
      <w:r w:rsidR="00382F4D" w:rsidRPr="00EC7750">
        <w:rPr>
          <w:rFonts w:ascii="Verdana" w:hAnsi="Verdana"/>
          <w:sz w:val="20"/>
          <w:szCs w:val="20"/>
          <w:lang w:val="es-MX"/>
        </w:rPr>
        <w:t>Pueblos Kaliña y Lokono</w:t>
      </w:r>
      <w:r w:rsidRPr="00EC7750">
        <w:rPr>
          <w:rFonts w:ascii="Verdana" w:hAnsi="Verdana"/>
          <w:sz w:val="20"/>
          <w:szCs w:val="20"/>
          <w:lang w:val="es-MX"/>
        </w:rPr>
        <w:t xml:space="preserve"> y continuó emitiendo títulos de propiedad y arrendamiento en favor de terceros </w:t>
      </w:r>
      <w:r w:rsidR="00627F48" w:rsidRPr="00EC7750">
        <w:rPr>
          <w:rFonts w:ascii="Verdana" w:hAnsi="Verdana"/>
          <w:sz w:val="20"/>
          <w:szCs w:val="20"/>
          <w:lang w:val="es-MX"/>
        </w:rPr>
        <w:t xml:space="preserve">privados, </w:t>
      </w:r>
      <w:r w:rsidRPr="0014568C">
        <w:rPr>
          <w:rFonts w:ascii="Verdana" w:hAnsi="Verdana"/>
          <w:sz w:val="20"/>
          <w:szCs w:val="20"/>
          <w:lang w:val="es-MX"/>
        </w:rPr>
        <w:t xml:space="preserve">al menos hasta el 2013, a pesar de </w:t>
      </w:r>
      <w:r w:rsidR="00DB7009" w:rsidRPr="0014568C">
        <w:rPr>
          <w:rFonts w:ascii="Verdana" w:hAnsi="Verdana"/>
          <w:sz w:val="20"/>
          <w:szCs w:val="20"/>
          <w:lang w:val="es-MX"/>
        </w:rPr>
        <w:t xml:space="preserve">dichos </w:t>
      </w:r>
      <w:r w:rsidR="00381F18" w:rsidRPr="00656AB9">
        <w:rPr>
          <w:rFonts w:ascii="Verdana" w:hAnsi="Verdana"/>
          <w:sz w:val="20"/>
          <w:szCs w:val="20"/>
          <w:lang w:val="es-MX"/>
        </w:rPr>
        <w:t>reclamos concreto</w:t>
      </w:r>
      <w:r w:rsidRPr="005B77D2">
        <w:rPr>
          <w:rFonts w:ascii="Verdana" w:hAnsi="Verdana"/>
          <w:sz w:val="20"/>
          <w:szCs w:val="20"/>
          <w:lang w:val="es-MX"/>
        </w:rPr>
        <w:t xml:space="preserve">s. Asimismo, el Tribunal </w:t>
      </w:r>
      <w:r w:rsidR="00381F18" w:rsidRPr="005B77D2">
        <w:rPr>
          <w:rFonts w:ascii="Verdana" w:hAnsi="Verdana"/>
          <w:sz w:val="20"/>
          <w:lang w:val="es-MX"/>
        </w:rPr>
        <w:t>reitera</w:t>
      </w:r>
      <w:r w:rsidRPr="005B77D2">
        <w:rPr>
          <w:rFonts w:ascii="Verdana" w:hAnsi="Verdana"/>
          <w:sz w:val="20"/>
          <w:lang w:val="es-MX"/>
        </w:rPr>
        <w:t xml:space="preserve"> que la falta de delimitación, demarcación y titulación en favor de los Pueblos</w:t>
      </w:r>
      <w:r w:rsidR="00DB7009" w:rsidRPr="005B77D2">
        <w:rPr>
          <w:rFonts w:ascii="Verdana" w:hAnsi="Verdana"/>
          <w:sz w:val="20"/>
          <w:lang w:val="es-MX"/>
        </w:rPr>
        <w:t xml:space="preserve"> </w:t>
      </w:r>
      <w:r w:rsidR="00DB7009" w:rsidRPr="00190AD3">
        <w:rPr>
          <w:rFonts w:ascii="Verdana" w:hAnsi="Verdana"/>
          <w:sz w:val="20"/>
          <w:lang w:val="es-MX"/>
        </w:rPr>
        <w:t>Kaliña y Lokono</w:t>
      </w:r>
      <w:r w:rsidRPr="00181972">
        <w:rPr>
          <w:rFonts w:ascii="Verdana" w:hAnsi="Verdana"/>
          <w:sz w:val="20"/>
          <w:szCs w:val="20"/>
          <w:lang w:val="es-MX"/>
        </w:rPr>
        <w:t xml:space="preserve">, potenció la continuidad de la emisión de títulos, sin que existiera </w:t>
      </w:r>
      <w:r w:rsidR="00F80C79" w:rsidRPr="00190AD3">
        <w:rPr>
          <w:rFonts w:ascii="Verdana" w:hAnsi="Verdana"/>
          <w:sz w:val="20"/>
          <w:lang w:val="es-MX"/>
        </w:rPr>
        <w:t>en el fuero</w:t>
      </w:r>
      <w:r w:rsidRPr="00181972">
        <w:rPr>
          <w:rFonts w:ascii="Verdana" w:hAnsi="Verdana"/>
          <w:sz w:val="20"/>
          <w:szCs w:val="20"/>
          <w:lang w:val="es-MX"/>
        </w:rPr>
        <w:t xml:space="preserve"> interno un recurso que le</w:t>
      </w:r>
      <w:r w:rsidR="00DB7009" w:rsidRPr="00EC7750">
        <w:rPr>
          <w:rFonts w:ascii="Verdana" w:hAnsi="Verdana"/>
          <w:sz w:val="20"/>
          <w:szCs w:val="20"/>
          <w:lang w:val="es-MX"/>
        </w:rPr>
        <w:t>s</w:t>
      </w:r>
      <w:r w:rsidRPr="00EC7750">
        <w:rPr>
          <w:rFonts w:ascii="Verdana" w:hAnsi="Verdana"/>
          <w:sz w:val="20"/>
          <w:szCs w:val="20"/>
          <w:lang w:val="es-MX"/>
        </w:rPr>
        <w:t xml:space="preserve"> permitiera lograr la protección de sus derechos</w:t>
      </w:r>
      <w:r w:rsidR="00381F18" w:rsidRPr="00EC7750">
        <w:rPr>
          <w:rFonts w:ascii="Verdana" w:hAnsi="Verdana"/>
          <w:sz w:val="20"/>
          <w:szCs w:val="20"/>
          <w:lang w:val="es-MX"/>
        </w:rPr>
        <w:t xml:space="preserve"> (</w:t>
      </w:r>
      <w:r w:rsidR="007829DF" w:rsidRPr="00EC7750">
        <w:rPr>
          <w:rFonts w:ascii="Verdana" w:hAnsi="Verdana"/>
          <w:i/>
          <w:sz w:val="20"/>
          <w:szCs w:val="20"/>
          <w:lang w:val="es-MX"/>
        </w:rPr>
        <w:t>infra</w:t>
      </w:r>
      <w:r w:rsidR="000F0638" w:rsidRPr="0014568C">
        <w:rPr>
          <w:rFonts w:ascii="Verdana" w:hAnsi="Verdana"/>
          <w:i/>
          <w:sz w:val="20"/>
          <w:szCs w:val="20"/>
          <w:lang w:val="es-MX"/>
        </w:rPr>
        <w:t xml:space="preserve">, </w:t>
      </w:r>
      <w:r w:rsidR="008A4ABB" w:rsidRPr="007E20F9">
        <w:rPr>
          <w:rFonts w:ascii="Verdana" w:hAnsi="Verdana"/>
          <w:sz w:val="20"/>
          <w:szCs w:val="20"/>
          <w:lang w:val="es-MX"/>
        </w:rPr>
        <w:t>párr</w:t>
      </w:r>
      <w:r w:rsidR="000F0638" w:rsidRPr="0014568C">
        <w:rPr>
          <w:rFonts w:ascii="Verdana" w:hAnsi="Verdana"/>
          <w:i/>
          <w:sz w:val="20"/>
          <w:szCs w:val="20"/>
          <w:lang w:val="es-MX"/>
        </w:rPr>
        <w:t xml:space="preserve">. </w:t>
      </w:r>
      <w:r w:rsidR="002A6C21">
        <w:rPr>
          <w:rFonts w:ascii="Verdana" w:hAnsi="Verdana"/>
          <w:sz w:val="20"/>
          <w:szCs w:val="20"/>
          <w:lang w:val="es-MX"/>
        </w:rPr>
        <w:t>26</w:t>
      </w:r>
      <w:r w:rsidR="00020007">
        <w:rPr>
          <w:rFonts w:ascii="Verdana" w:hAnsi="Verdana"/>
          <w:sz w:val="20"/>
          <w:szCs w:val="20"/>
          <w:lang w:val="es-MX"/>
        </w:rPr>
        <w:t>8</w:t>
      </w:r>
      <w:r w:rsidR="00381F18" w:rsidRPr="0014568C">
        <w:rPr>
          <w:rFonts w:ascii="Verdana" w:hAnsi="Verdana"/>
          <w:sz w:val="20"/>
          <w:szCs w:val="20"/>
          <w:lang w:val="es-MX"/>
        </w:rPr>
        <w:t>)</w:t>
      </w:r>
      <w:r w:rsidR="00B52AC2" w:rsidRPr="00656AB9">
        <w:rPr>
          <w:rFonts w:ascii="Verdana" w:hAnsi="Verdana"/>
          <w:sz w:val="20"/>
          <w:szCs w:val="20"/>
          <w:lang w:val="es-MX"/>
        </w:rPr>
        <w:t>,</w:t>
      </w:r>
      <w:r w:rsidR="00B52AC2">
        <w:rPr>
          <w:rFonts w:ascii="Verdana" w:hAnsi="Verdana"/>
          <w:sz w:val="20"/>
          <w:szCs w:val="20"/>
          <w:lang w:val="es-MX"/>
        </w:rPr>
        <w:t xml:space="preserve"> lo anterior en contravención del deber de garantía del artículo</w:t>
      </w:r>
      <w:r w:rsidRPr="00030D8C">
        <w:rPr>
          <w:rFonts w:ascii="Verdana" w:hAnsi="Verdana"/>
          <w:sz w:val="20"/>
          <w:szCs w:val="20"/>
          <w:lang w:val="es-MX"/>
        </w:rPr>
        <w:t xml:space="preserve"> 21</w:t>
      </w:r>
      <w:r w:rsidR="00B52AC2">
        <w:rPr>
          <w:rFonts w:ascii="Verdana" w:hAnsi="Verdana"/>
          <w:sz w:val="20"/>
          <w:szCs w:val="20"/>
          <w:lang w:val="es-MX"/>
        </w:rPr>
        <w:t xml:space="preserve"> de la Convención Americana</w:t>
      </w:r>
      <w:r w:rsidRPr="00030D8C">
        <w:rPr>
          <w:rFonts w:ascii="Verdana" w:hAnsi="Verdana"/>
          <w:sz w:val="20"/>
          <w:szCs w:val="20"/>
          <w:lang w:val="es-MX"/>
        </w:rPr>
        <w:t xml:space="preserve">, en relación con el artículo 1.1 de </w:t>
      </w:r>
      <w:r w:rsidR="00B52AC2">
        <w:rPr>
          <w:rFonts w:ascii="Verdana" w:hAnsi="Verdana"/>
          <w:sz w:val="20"/>
          <w:szCs w:val="20"/>
          <w:lang w:val="es-MX"/>
        </w:rPr>
        <w:t>la misma</w:t>
      </w:r>
      <w:r w:rsidRPr="00030D8C">
        <w:rPr>
          <w:rFonts w:ascii="Verdana" w:hAnsi="Verdana"/>
          <w:sz w:val="20"/>
          <w:szCs w:val="20"/>
          <w:lang w:val="es-MX"/>
        </w:rPr>
        <w:t xml:space="preserve">. </w:t>
      </w:r>
    </w:p>
    <w:p w14:paraId="19E0C3FD" w14:textId="77777777" w:rsidR="00F66B20" w:rsidRPr="00030D8C" w:rsidRDefault="00F66B20" w:rsidP="009E77BD">
      <w:pPr>
        <w:pStyle w:val="ListParagraph"/>
        <w:ind w:left="0"/>
        <w:jc w:val="both"/>
        <w:rPr>
          <w:rFonts w:ascii="Verdana" w:hAnsi="Verdana"/>
          <w:sz w:val="20"/>
          <w:szCs w:val="20"/>
          <w:lang w:val="es-MX"/>
        </w:rPr>
      </w:pPr>
    </w:p>
    <w:p w14:paraId="5ECB7249" w14:textId="2DCB7E93" w:rsidR="00FC1FCF" w:rsidRPr="00FC1FCF" w:rsidRDefault="00FC1FCF" w:rsidP="00FC1FCF">
      <w:pPr>
        <w:pStyle w:val="Heading3"/>
        <w:spacing w:before="0"/>
        <w:ind w:left="360"/>
        <w:jc w:val="both"/>
        <w:rPr>
          <w:rFonts w:ascii="Verdana" w:hAnsi="Verdana"/>
          <w:i/>
          <w:color w:val="auto"/>
          <w:sz w:val="20"/>
          <w:szCs w:val="20"/>
          <w:lang w:val="es-ES"/>
        </w:rPr>
      </w:pPr>
      <w:bookmarkStart w:id="52" w:name="_Toc441666184"/>
      <w:r w:rsidRPr="00FC1FCF">
        <w:rPr>
          <w:rFonts w:ascii="Verdana" w:hAnsi="Verdana"/>
          <w:i/>
          <w:color w:val="auto"/>
          <w:sz w:val="20"/>
          <w:szCs w:val="20"/>
          <w:lang w:val="es-ES"/>
        </w:rPr>
        <w:t>B.</w:t>
      </w:r>
      <w:r w:rsidR="00830B9E">
        <w:rPr>
          <w:rFonts w:ascii="Verdana" w:hAnsi="Verdana"/>
          <w:i/>
          <w:color w:val="auto"/>
          <w:sz w:val="20"/>
          <w:szCs w:val="20"/>
          <w:lang w:val="es-ES"/>
        </w:rPr>
        <w:t>3</w:t>
      </w:r>
      <w:r w:rsidRPr="00FC1FCF">
        <w:rPr>
          <w:rFonts w:ascii="Verdana" w:hAnsi="Verdana"/>
          <w:i/>
          <w:color w:val="auto"/>
          <w:sz w:val="20"/>
          <w:szCs w:val="20"/>
          <w:lang w:val="es-ES"/>
        </w:rPr>
        <w:t xml:space="preserve"> Reservas </w:t>
      </w:r>
      <w:r w:rsidR="00D97182">
        <w:rPr>
          <w:rFonts w:ascii="Verdana" w:hAnsi="Verdana"/>
          <w:i/>
          <w:color w:val="auto"/>
          <w:sz w:val="20"/>
          <w:szCs w:val="20"/>
          <w:lang w:val="es-ES"/>
        </w:rPr>
        <w:t>n</w:t>
      </w:r>
      <w:r w:rsidRPr="00FC1FCF">
        <w:rPr>
          <w:rFonts w:ascii="Verdana" w:hAnsi="Verdana"/>
          <w:i/>
          <w:color w:val="auto"/>
          <w:sz w:val="20"/>
          <w:szCs w:val="20"/>
          <w:lang w:val="es-ES"/>
        </w:rPr>
        <w:t>aturales en el territorio tradicional</w:t>
      </w:r>
      <w:bookmarkEnd w:id="52"/>
      <w:r w:rsidRPr="00FC1FCF">
        <w:rPr>
          <w:rFonts w:ascii="Verdana" w:hAnsi="Verdana"/>
          <w:i/>
          <w:color w:val="auto"/>
          <w:sz w:val="20"/>
          <w:szCs w:val="20"/>
          <w:lang w:val="es-ES"/>
        </w:rPr>
        <w:t xml:space="preserve"> </w:t>
      </w:r>
    </w:p>
    <w:p w14:paraId="3DEC4F42" w14:textId="77777777" w:rsidR="00FC1FCF" w:rsidRPr="00C02552" w:rsidRDefault="00FD5BBD" w:rsidP="00366D91">
      <w:pPr>
        <w:tabs>
          <w:tab w:val="left" w:pos="6048"/>
        </w:tabs>
        <w:jc w:val="both"/>
        <w:rPr>
          <w:rFonts w:ascii="Verdana" w:hAnsi="Verdana" w:cs="Arial"/>
          <w:sz w:val="20"/>
          <w:szCs w:val="20"/>
          <w:lang w:val="es-ES"/>
        </w:rPr>
      </w:pPr>
      <w:r>
        <w:rPr>
          <w:rFonts w:ascii="Verdana" w:hAnsi="Verdana" w:cs="Arial"/>
          <w:sz w:val="20"/>
          <w:szCs w:val="20"/>
          <w:lang w:val="es-ES"/>
        </w:rPr>
        <w:tab/>
      </w:r>
    </w:p>
    <w:p w14:paraId="2DA970AB" w14:textId="77777777" w:rsidR="00FC1FCF" w:rsidRPr="00C02552" w:rsidRDefault="008A4ABB" w:rsidP="00FC1FCF">
      <w:pPr>
        <w:pStyle w:val="ListParagraph"/>
        <w:numPr>
          <w:ilvl w:val="0"/>
          <w:numId w:val="2"/>
        </w:numPr>
        <w:ind w:left="0" w:hanging="11"/>
        <w:jc w:val="both"/>
        <w:rPr>
          <w:rFonts w:ascii="Verdana" w:hAnsi="Verdana" w:cs="Arial"/>
          <w:sz w:val="20"/>
          <w:szCs w:val="20"/>
          <w:lang w:val="es-ES"/>
        </w:rPr>
      </w:pPr>
      <w:r w:rsidRPr="007E20F9">
        <w:rPr>
          <w:rFonts w:ascii="Verdana" w:hAnsi="Verdana" w:cs="Arial"/>
          <w:sz w:val="20"/>
          <w:szCs w:val="20"/>
          <w:lang w:val="es-ES"/>
        </w:rPr>
        <w:t>Respecto</w:t>
      </w:r>
      <w:r w:rsidR="00FC1FCF" w:rsidRPr="00C02552">
        <w:rPr>
          <w:rFonts w:ascii="Verdana" w:hAnsi="Verdana" w:cs="Arial"/>
          <w:sz w:val="20"/>
          <w:szCs w:val="20"/>
          <w:lang w:val="es-ES"/>
        </w:rPr>
        <w:t xml:space="preserve"> de las reservas naturales en el territorio alegado como tradicional, la Corte observa </w:t>
      </w:r>
      <w:r w:rsidR="00FC1FCF">
        <w:rPr>
          <w:rFonts w:ascii="Verdana" w:hAnsi="Verdana" w:cs="Arial"/>
          <w:sz w:val="20"/>
          <w:szCs w:val="20"/>
          <w:lang w:val="es-ES"/>
        </w:rPr>
        <w:t>que los alegatos se relacionan, por un lado</w:t>
      </w:r>
      <w:r w:rsidR="002A6C21">
        <w:rPr>
          <w:rFonts w:ascii="Verdana" w:hAnsi="Verdana" w:cs="Arial"/>
          <w:sz w:val="20"/>
          <w:szCs w:val="20"/>
          <w:lang w:val="es-ES"/>
        </w:rPr>
        <w:t>,</w:t>
      </w:r>
      <w:r w:rsidR="00FC1FCF">
        <w:rPr>
          <w:rFonts w:ascii="Verdana" w:hAnsi="Verdana" w:cs="Arial"/>
          <w:sz w:val="20"/>
          <w:szCs w:val="20"/>
          <w:lang w:val="es-ES"/>
        </w:rPr>
        <w:t xml:space="preserve"> </w:t>
      </w:r>
      <w:r w:rsidR="00FC1FCF" w:rsidRPr="00C02552">
        <w:rPr>
          <w:rFonts w:ascii="Verdana" w:hAnsi="Verdana" w:cs="Arial"/>
          <w:sz w:val="20"/>
          <w:szCs w:val="20"/>
          <w:lang w:val="es-ES"/>
        </w:rPr>
        <w:t xml:space="preserve">con la creación y falta de consulta en el establecimiento de las reservas, así como su mantenimiento, y por otra parte, </w:t>
      </w:r>
      <w:r w:rsidR="00FC1FCF">
        <w:rPr>
          <w:rFonts w:ascii="Verdana" w:hAnsi="Verdana" w:cs="Arial"/>
          <w:sz w:val="20"/>
          <w:szCs w:val="20"/>
          <w:lang w:val="es-ES"/>
        </w:rPr>
        <w:t xml:space="preserve">con </w:t>
      </w:r>
      <w:r w:rsidR="00381F18">
        <w:rPr>
          <w:rFonts w:ascii="Verdana" w:hAnsi="Verdana" w:cs="Arial"/>
          <w:sz w:val="20"/>
          <w:szCs w:val="20"/>
          <w:lang w:val="es-ES"/>
        </w:rPr>
        <w:t xml:space="preserve">ciertas restricciones para dichos </w:t>
      </w:r>
      <w:r w:rsidR="00FC1FCF" w:rsidRPr="00C02552">
        <w:rPr>
          <w:rFonts w:ascii="Verdana" w:hAnsi="Verdana" w:cs="Arial"/>
          <w:sz w:val="20"/>
          <w:szCs w:val="20"/>
          <w:lang w:val="es-ES"/>
        </w:rPr>
        <w:t xml:space="preserve">pueblos dentro de las reservas. Así, la Corte procede a distinguir su competencia. </w:t>
      </w:r>
    </w:p>
    <w:p w14:paraId="585413DB" w14:textId="77777777" w:rsidR="00FC1FCF" w:rsidRPr="00F44DDE" w:rsidRDefault="00FC1FCF" w:rsidP="00F44DDE">
      <w:pPr>
        <w:tabs>
          <w:tab w:val="left" w:pos="3769"/>
        </w:tabs>
        <w:jc w:val="both"/>
        <w:rPr>
          <w:rFonts w:ascii="Verdana" w:hAnsi="Verdana" w:cs="Arial"/>
          <w:sz w:val="20"/>
          <w:szCs w:val="20"/>
          <w:lang w:val="es-ES"/>
        </w:rPr>
      </w:pPr>
    </w:p>
    <w:p w14:paraId="2C63C2D1" w14:textId="72C38D9D" w:rsidR="008464D3" w:rsidRPr="004B0145" w:rsidRDefault="00020007" w:rsidP="00FC1FCF">
      <w:pPr>
        <w:pStyle w:val="ListParagraph"/>
        <w:numPr>
          <w:ilvl w:val="0"/>
          <w:numId w:val="2"/>
        </w:numPr>
        <w:ind w:left="0" w:hanging="11"/>
        <w:jc w:val="both"/>
        <w:rPr>
          <w:rFonts w:ascii="Verdana" w:hAnsi="Verdana" w:cs="Arial"/>
          <w:sz w:val="20"/>
          <w:szCs w:val="20"/>
          <w:lang w:val="es-ES"/>
        </w:rPr>
      </w:pPr>
      <w:r>
        <w:rPr>
          <w:rFonts w:ascii="Verdana" w:hAnsi="Verdana" w:cs="Arial"/>
          <w:sz w:val="20"/>
          <w:szCs w:val="20"/>
          <w:lang w:val="es-ES"/>
        </w:rPr>
        <w:t xml:space="preserve">En relación con </w:t>
      </w:r>
      <w:r w:rsidR="00FC1FCF" w:rsidRPr="00C02552">
        <w:rPr>
          <w:rFonts w:ascii="Verdana" w:hAnsi="Verdana" w:cs="Arial"/>
          <w:sz w:val="20"/>
          <w:szCs w:val="20"/>
          <w:lang w:val="es-ES"/>
        </w:rPr>
        <w:t>la creación de la</w:t>
      </w:r>
      <w:r w:rsidR="00FC1FCF">
        <w:rPr>
          <w:rFonts w:ascii="Verdana" w:hAnsi="Verdana" w:cs="Arial"/>
          <w:sz w:val="20"/>
          <w:szCs w:val="20"/>
          <w:lang w:val="es-ES"/>
        </w:rPr>
        <w:t>s</w:t>
      </w:r>
      <w:r w:rsidR="00FC1FCF" w:rsidRPr="00C02552">
        <w:rPr>
          <w:rFonts w:ascii="Verdana" w:hAnsi="Verdana" w:cs="Arial"/>
          <w:sz w:val="20"/>
          <w:szCs w:val="20"/>
          <w:lang w:val="es-ES"/>
        </w:rPr>
        <w:t xml:space="preserve"> reserva</w:t>
      </w:r>
      <w:r w:rsidR="00FC1FCF">
        <w:rPr>
          <w:rFonts w:ascii="Verdana" w:hAnsi="Verdana" w:cs="Arial"/>
          <w:sz w:val="20"/>
          <w:szCs w:val="20"/>
          <w:lang w:val="es-ES"/>
        </w:rPr>
        <w:t>s</w:t>
      </w:r>
      <w:r w:rsidR="002A6C21">
        <w:rPr>
          <w:rFonts w:ascii="Verdana" w:hAnsi="Verdana" w:cs="Arial"/>
          <w:sz w:val="20"/>
          <w:szCs w:val="20"/>
          <w:lang w:val="es-ES"/>
        </w:rPr>
        <w:t xml:space="preserve"> de Wia Wia (1966), Galibi (1969) y Wane Kreek (1986)</w:t>
      </w:r>
      <w:r w:rsidR="00FC1FCF">
        <w:rPr>
          <w:rFonts w:ascii="Verdana" w:hAnsi="Verdana" w:cs="Arial"/>
          <w:sz w:val="20"/>
          <w:szCs w:val="20"/>
          <w:lang w:val="es-ES"/>
        </w:rPr>
        <w:t xml:space="preserve">, </w:t>
      </w:r>
      <w:r w:rsidR="000849CD" w:rsidRPr="00C02552">
        <w:rPr>
          <w:rFonts w:ascii="Verdana" w:hAnsi="Verdana" w:cs="Arial"/>
          <w:sz w:val="20"/>
          <w:szCs w:val="20"/>
          <w:lang w:val="es-ES"/>
        </w:rPr>
        <w:t xml:space="preserve">la Corte </w:t>
      </w:r>
      <w:r w:rsidR="000849CD">
        <w:rPr>
          <w:rFonts w:ascii="Verdana" w:hAnsi="Verdana" w:cs="Arial"/>
          <w:sz w:val="20"/>
          <w:szCs w:val="20"/>
          <w:lang w:val="es-ES"/>
        </w:rPr>
        <w:t xml:space="preserve">reitera que </w:t>
      </w:r>
      <w:r w:rsidR="000849CD" w:rsidRPr="00C02552">
        <w:rPr>
          <w:rFonts w:ascii="Verdana" w:hAnsi="Verdana" w:cs="Arial"/>
          <w:sz w:val="20"/>
          <w:szCs w:val="20"/>
          <w:lang w:val="es-ES"/>
        </w:rPr>
        <w:t xml:space="preserve">no se pronunciará </w:t>
      </w:r>
      <w:r w:rsidR="000849CD">
        <w:rPr>
          <w:rFonts w:ascii="Verdana" w:hAnsi="Verdana" w:cs="Arial"/>
          <w:sz w:val="20"/>
          <w:szCs w:val="20"/>
          <w:lang w:val="es-ES"/>
        </w:rPr>
        <w:t xml:space="preserve">respecto de </w:t>
      </w:r>
      <w:r w:rsidR="000849CD" w:rsidRPr="00C02552">
        <w:rPr>
          <w:rFonts w:ascii="Verdana" w:hAnsi="Verdana" w:cs="Arial"/>
          <w:sz w:val="20"/>
          <w:szCs w:val="20"/>
          <w:lang w:val="es-ES"/>
        </w:rPr>
        <w:t xml:space="preserve">la creación de las mismas y </w:t>
      </w:r>
      <w:r w:rsidR="000849CD">
        <w:rPr>
          <w:rFonts w:ascii="Verdana" w:hAnsi="Verdana" w:cs="Arial"/>
          <w:sz w:val="20"/>
          <w:szCs w:val="20"/>
          <w:lang w:val="es-ES"/>
        </w:rPr>
        <w:t xml:space="preserve">otros </w:t>
      </w:r>
      <w:r w:rsidR="000849CD" w:rsidRPr="00C02552">
        <w:rPr>
          <w:rFonts w:ascii="Verdana" w:hAnsi="Verdana" w:cs="Arial"/>
          <w:sz w:val="20"/>
          <w:szCs w:val="20"/>
          <w:lang w:val="es-ES"/>
        </w:rPr>
        <w:t>hechos que hayan sido consumados con anterioridad a</w:t>
      </w:r>
      <w:r w:rsidR="000849CD">
        <w:rPr>
          <w:rFonts w:ascii="Verdana" w:hAnsi="Verdana" w:cs="Arial"/>
          <w:sz w:val="20"/>
          <w:szCs w:val="20"/>
          <w:lang w:val="es-ES"/>
        </w:rPr>
        <w:t>l reconocimiento de</w:t>
      </w:r>
      <w:r w:rsidR="000849CD" w:rsidRPr="00C02552">
        <w:rPr>
          <w:rFonts w:ascii="Verdana" w:hAnsi="Verdana" w:cs="Arial"/>
          <w:sz w:val="20"/>
          <w:szCs w:val="20"/>
          <w:lang w:val="es-ES"/>
        </w:rPr>
        <w:t xml:space="preserve"> su competencia</w:t>
      </w:r>
      <w:r w:rsidR="000849CD">
        <w:rPr>
          <w:rFonts w:ascii="Verdana" w:hAnsi="Verdana" w:cs="Arial"/>
          <w:sz w:val="20"/>
          <w:szCs w:val="20"/>
          <w:lang w:val="es-ES"/>
        </w:rPr>
        <w:t>.</w:t>
      </w:r>
      <w:r w:rsidR="000849CD" w:rsidRPr="00C02552">
        <w:rPr>
          <w:rFonts w:ascii="Verdana" w:hAnsi="Verdana" w:cs="Arial"/>
          <w:sz w:val="20"/>
          <w:szCs w:val="20"/>
          <w:lang w:val="es-ES"/>
        </w:rPr>
        <w:t xml:space="preserve"> </w:t>
      </w:r>
      <w:r w:rsidR="000849CD" w:rsidRPr="00C02552">
        <w:rPr>
          <w:rFonts w:ascii="Verdana" w:hAnsi="Verdana"/>
          <w:sz w:val="20"/>
          <w:szCs w:val="20"/>
          <w:lang w:val="es-MX"/>
        </w:rPr>
        <w:t xml:space="preserve">No obstante, </w:t>
      </w:r>
      <w:r w:rsidR="000849CD">
        <w:rPr>
          <w:rFonts w:ascii="Verdana" w:hAnsi="Verdana"/>
          <w:sz w:val="20"/>
          <w:szCs w:val="20"/>
          <w:lang w:val="es-MX"/>
        </w:rPr>
        <w:t>s</w:t>
      </w:r>
      <w:r w:rsidR="00D97182">
        <w:rPr>
          <w:rFonts w:ascii="Verdana" w:hAnsi="Verdana"/>
          <w:sz w:val="20"/>
          <w:szCs w:val="20"/>
          <w:lang w:val="es-MX"/>
        </w:rPr>
        <w:t>í</w:t>
      </w:r>
      <w:r w:rsidR="000849CD">
        <w:rPr>
          <w:rFonts w:ascii="Verdana" w:hAnsi="Verdana"/>
          <w:sz w:val="20"/>
          <w:szCs w:val="20"/>
          <w:lang w:val="es-MX"/>
        </w:rPr>
        <w:t xml:space="preserve"> se pronunciará respecto </w:t>
      </w:r>
      <w:r w:rsidR="00FC1FCF" w:rsidRPr="00C02552">
        <w:rPr>
          <w:rFonts w:ascii="Verdana" w:hAnsi="Verdana"/>
          <w:sz w:val="20"/>
          <w:szCs w:val="20"/>
          <w:lang w:val="es-MX"/>
        </w:rPr>
        <w:t xml:space="preserve">de “nuevos hechos” ocurridos con posterioridad a la fecha en que </w:t>
      </w:r>
      <w:r w:rsidR="00563E11">
        <w:rPr>
          <w:rFonts w:ascii="Verdana" w:hAnsi="Verdana"/>
          <w:sz w:val="20"/>
          <w:szCs w:val="20"/>
          <w:lang w:val="es-MX"/>
        </w:rPr>
        <w:t>Surinam</w:t>
      </w:r>
      <w:r w:rsidR="00FC1FCF" w:rsidRPr="00C02552">
        <w:rPr>
          <w:rFonts w:ascii="Verdana" w:hAnsi="Verdana"/>
          <w:sz w:val="20"/>
          <w:szCs w:val="20"/>
          <w:lang w:val="es-MX"/>
        </w:rPr>
        <w:t xml:space="preserve"> reconoció la competencia contenciosa de la Corte, </w:t>
      </w:r>
      <w:r w:rsidR="00FC1FCF" w:rsidRPr="00842770">
        <w:rPr>
          <w:rFonts w:ascii="Verdana" w:hAnsi="Verdana"/>
          <w:sz w:val="20"/>
          <w:szCs w:val="20"/>
          <w:lang w:val="es-MX"/>
        </w:rPr>
        <w:t>“así como respecto de los hechos violatorios que, habiéndose iniciado con anterioridad a dicha fecha, hubiesen continuado o permanecido con posterioridad a ésta”</w:t>
      </w:r>
      <w:r w:rsidR="00FC1FCF" w:rsidRPr="00842770">
        <w:rPr>
          <w:rStyle w:val="FootnoteReference"/>
          <w:szCs w:val="20"/>
          <w:lang w:val="es-MX"/>
        </w:rPr>
        <w:footnoteReference w:id="209"/>
      </w:r>
      <w:r w:rsidR="000849CD">
        <w:rPr>
          <w:rFonts w:ascii="Verdana" w:hAnsi="Verdana"/>
          <w:sz w:val="20"/>
          <w:szCs w:val="20"/>
          <w:lang w:val="es-MX"/>
        </w:rPr>
        <w:t xml:space="preserve">, </w:t>
      </w:r>
      <w:r w:rsidR="00F44DDE" w:rsidRPr="00E553B4">
        <w:rPr>
          <w:rFonts w:ascii="Verdana" w:hAnsi="Verdana"/>
          <w:sz w:val="20"/>
          <w:szCs w:val="20"/>
          <w:lang w:val="es-MX"/>
        </w:rPr>
        <w:t xml:space="preserve">es decir, el alegado mantenimiento de las reservas y </w:t>
      </w:r>
      <w:r w:rsidR="00F44DDE" w:rsidRPr="00190AD3">
        <w:rPr>
          <w:rFonts w:ascii="Verdana" w:hAnsi="Verdana"/>
          <w:sz w:val="20"/>
          <w:szCs w:val="20"/>
          <w:lang w:val="es-MX"/>
        </w:rPr>
        <w:t xml:space="preserve">las </w:t>
      </w:r>
      <w:r w:rsidR="00A23CF1" w:rsidRPr="00190AD3">
        <w:rPr>
          <w:rFonts w:ascii="Verdana" w:hAnsi="Verdana"/>
          <w:sz w:val="20"/>
          <w:szCs w:val="20"/>
          <w:lang w:val="es-MX"/>
        </w:rPr>
        <w:t>afectaciones</w:t>
      </w:r>
      <w:r w:rsidR="00A23CF1" w:rsidRPr="00830B9E">
        <w:rPr>
          <w:rFonts w:ascii="Verdana" w:hAnsi="Verdana"/>
          <w:sz w:val="20"/>
          <w:szCs w:val="20"/>
          <w:lang w:val="es-MX"/>
        </w:rPr>
        <w:t xml:space="preserve"> </w:t>
      </w:r>
      <w:r w:rsidR="00F44DDE">
        <w:rPr>
          <w:rFonts w:ascii="Verdana" w:hAnsi="Verdana"/>
          <w:sz w:val="20"/>
          <w:szCs w:val="20"/>
          <w:lang w:val="es-MX"/>
        </w:rPr>
        <w:t>en éstas.</w:t>
      </w:r>
    </w:p>
    <w:p w14:paraId="2C8A9A31" w14:textId="36DE1449" w:rsidR="00FC1FCF" w:rsidRDefault="00D41E18" w:rsidP="00D41E18">
      <w:pPr>
        <w:pStyle w:val="ListParagraph"/>
        <w:tabs>
          <w:tab w:val="left" w:pos="1485"/>
        </w:tabs>
        <w:ind w:left="0"/>
        <w:jc w:val="both"/>
        <w:rPr>
          <w:rFonts w:ascii="Verdana" w:hAnsi="Verdana" w:cs="Arial"/>
          <w:sz w:val="20"/>
          <w:szCs w:val="20"/>
          <w:lang w:val="es-ES"/>
        </w:rPr>
      </w:pPr>
      <w:r>
        <w:rPr>
          <w:rFonts w:ascii="Verdana" w:hAnsi="Verdana" w:cs="Arial"/>
          <w:sz w:val="20"/>
          <w:szCs w:val="20"/>
          <w:lang w:val="es-ES"/>
        </w:rPr>
        <w:tab/>
      </w:r>
    </w:p>
    <w:p w14:paraId="00BD097E" w14:textId="77777777" w:rsidR="00D41E18" w:rsidRDefault="00D41E18" w:rsidP="00D41E18">
      <w:pPr>
        <w:pStyle w:val="ListParagraph"/>
        <w:tabs>
          <w:tab w:val="left" w:pos="1485"/>
        </w:tabs>
        <w:ind w:left="0"/>
        <w:jc w:val="both"/>
        <w:rPr>
          <w:rFonts w:ascii="Verdana" w:hAnsi="Verdana" w:cs="Arial"/>
          <w:sz w:val="20"/>
          <w:szCs w:val="20"/>
          <w:lang w:val="es-ES"/>
        </w:rPr>
      </w:pPr>
    </w:p>
    <w:p w14:paraId="6F21D97F" w14:textId="77777777" w:rsidR="00D41E18" w:rsidRDefault="00D41E18" w:rsidP="00D41E18">
      <w:pPr>
        <w:pStyle w:val="ListParagraph"/>
        <w:tabs>
          <w:tab w:val="left" w:pos="1485"/>
        </w:tabs>
        <w:ind w:left="0"/>
        <w:jc w:val="both"/>
        <w:rPr>
          <w:rFonts w:ascii="Verdana" w:hAnsi="Verdana" w:cs="Arial"/>
          <w:sz w:val="20"/>
          <w:szCs w:val="20"/>
          <w:lang w:val="es-ES"/>
        </w:rPr>
      </w:pPr>
    </w:p>
    <w:p w14:paraId="00A1DC38" w14:textId="77777777" w:rsidR="00D41E18" w:rsidRPr="00C02552" w:rsidRDefault="00D41E18" w:rsidP="00D41E18">
      <w:pPr>
        <w:pStyle w:val="ListParagraph"/>
        <w:tabs>
          <w:tab w:val="left" w:pos="1485"/>
        </w:tabs>
        <w:ind w:left="0"/>
        <w:jc w:val="both"/>
        <w:rPr>
          <w:rFonts w:ascii="Verdana" w:hAnsi="Verdana" w:cs="Arial"/>
          <w:sz w:val="20"/>
          <w:szCs w:val="20"/>
          <w:lang w:val="es-ES"/>
        </w:rPr>
      </w:pPr>
    </w:p>
    <w:p w14:paraId="216BD197" w14:textId="77777777" w:rsidR="00FC1FCF" w:rsidRPr="00B17B8E" w:rsidRDefault="0079049B" w:rsidP="00B17B8E">
      <w:pPr>
        <w:pStyle w:val="Heading4"/>
        <w:spacing w:before="0"/>
        <w:ind w:left="1440"/>
        <w:jc w:val="both"/>
        <w:rPr>
          <w:rFonts w:ascii="Verdana" w:hAnsi="Verdana"/>
          <w:color w:val="auto"/>
          <w:sz w:val="20"/>
          <w:szCs w:val="20"/>
        </w:rPr>
      </w:pPr>
      <w:bookmarkStart w:id="53" w:name="_Toc441666185"/>
      <w:r w:rsidRPr="00B17B8E">
        <w:rPr>
          <w:rFonts w:ascii="Verdana" w:hAnsi="Verdana"/>
          <w:color w:val="auto"/>
          <w:sz w:val="20"/>
          <w:szCs w:val="20"/>
        </w:rPr>
        <w:lastRenderedPageBreak/>
        <w:t>B.</w:t>
      </w:r>
      <w:r w:rsidR="00830B9E">
        <w:rPr>
          <w:rFonts w:ascii="Verdana" w:hAnsi="Verdana"/>
          <w:color w:val="auto"/>
          <w:sz w:val="20"/>
          <w:szCs w:val="20"/>
        </w:rPr>
        <w:t>3</w:t>
      </w:r>
      <w:r w:rsidRPr="00B17B8E">
        <w:rPr>
          <w:rFonts w:ascii="Verdana" w:hAnsi="Verdana"/>
          <w:color w:val="auto"/>
          <w:sz w:val="20"/>
          <w:szCs w:val="20"/>
        </w:rPr>
        <w:t>.</w:t>
      </w:r>
      <w:r w:rsidR="00A30243" w:rsidRPr="00B17B8E">
        <w:rPr>
          <w:rFonts w:ascii="Verdana" w:hAnsi="Verdana"/>
          <w:color w:val="auto"/>
          <w:sz w:val="20"/>
          <w:szCs w:val="20"/>
        </w:rPr>
        <w:t>1</w:t>
      </w:r>
      <w:r w:rsidRPr="00B17B8E">
        <w:rPr>
          <w:rFonts w:ascii="Verdana" w:hAnsi="Verdana"/>
          <w:color w:val="auto"/>
          <w:sz w:val="20"/>
          <w:szCs w:val="20"/>
        </w:rPr>
        <w:t xml:space="preserve"> </w:t>
      </w:r>
      <w:r w:rsidR="00FC1FCF" w:rsidRPr="00B17B8E">
        <w:rPr>
          <w:rFonts w:ascii="Verdana" w:hAnsi="Verdana"/>
          <w:color w:val="auto"/>
          <w:sz w:val="20"/>
          <w:szCs w:val="20"/>
        </w:rPr>
        <w:t>El alegado m</w:t>
      </w:r>
      <w:r w:rsidR="00381F18" w:rsidRPr="00B17B8E">
        <w:rPr>
          <w:rFonts w:ascii="Verdana" w:hAnsi="Verdana"/>
          <w:color w:val="auto"/>
          <w:sz w:val="20"/>
          <w:szCs w:val="20"/>
        </w:rPr>
        <w:t xml:space="preserve">antenimiento de la reserva y </w:t>
      </w:r>
      <w:r w:rsidR="00FC1FCF" w:rsidRPr="00B17B8E">
        <w:rPr>
          <w:rFonts w:ascii="Verdana" w:hAnsi="Verdana"/>
          <w:color w:val="auto"/>
          <w:sz w:val="20"/>
          <w:szCs w:val="20"/>
        </w:rPr>
        <w:t>reivindicación</w:t>
      </w:r>
      <w:bookmarkEnd w:id="53"/>
      <w:r w:rsidR="00FC1FCF" w:rsidRPr="00B17B8E">
        <w:rPr>
          <w:rFonts w:ascii="Verdana" w:hAnsi="Verdana"/>
          <w:color w:val="auto"/>
          <w:sz w:val="20"/>
          <w:szCs w:val="20"/>
        </w:rPr>
        <w:t xml:space="preserve"> </w:t>
      </w:r>
    </w:p>
    <w:p w14:paraId="40545CAE" w14:textId="77777777" w:rsidR="00FC1FCF" w:rsidRPr="00381F18" w:rsidRDefault="00FC1FCF" w:rsidP="00FC1FCF">
      <w:pPr>
        <w:pStyle w:val="ListParagraph"/>
        <w:ind w:left="1080"/>
        <w:jc w:val="both"/>
        <w:rPr>
          <w:rFonts w:ascii="Verdana" w:hAnsi="Verdana" w:cs="Arial"/>
          <w:sz w:val="20"/>
          <w:szCs w:val="20"/>
          <w:lang w:val="es-CR"/>
        </w:rPr>
      </w:pPr>
    </w:p>
    <w:p w14:paraId="7F745C58" w14:textId="03673364" w:rsidR="00FC1FCF" w:rsidRPr="00FC1FCF" w:rsidRDefault="00FC1FCF" w:rsidP="00FC1FCF">
      <w:pPr>
        <w:pStyle w:val="ListParagraph"/>
        <w:numPr>
          <w:ilvl w:val="0"/>
          <w:numId w:val="2"/>
        </w:numPr>
        <w:ind w:left="0" w:hanging="11"/>
        <w:jc w:val="both"/>
        <w:rPr>
          <w:rFonts w:ascii="Verdana" w:hAnsi="Verdana" w:cs="Arial"/>
          <w:sz w:val="20"/>
          <w:szCs w:val="20"/>
          <w:lang w:val="es-ES"/>
        </w:rPr>
      </w:pPr>
      <w:r w:rsidRPr="00C02552">
        <w:rPr>
          <w:rFonts w:ascii="Verdana" w:hAnsi="Verdana" w:cs="Arial"/>
          <w:sz w:val="20"/>
          <w:szCs w:val="20"/>
          <w:lang w:val="es-ES"/>
        </w:rPr>
        <w:t xml:space="preserve">La Corte </w:t>
      </w:r>
      <w:r w:rsidR="00181972">
        <w:rPr>
          <w:rFonts w:ascii="Verdana" w:hAnsi="Verdana" w:cs="Arial"/>
          <w:sz w:val="20"/>
          <w:szCs w:val="20"/>
          <w:lang w:val="es-ES"/>
        </w:rPr>
        <w:t>señaló</w:t>
      </w:r>
      <w:r w:rsidR="00181972" w:rsidRPr="00C02552">
        <w:rPr>
          <w:rFonts w:ascii="Verdana" w:hAnsi="Verdana" w:cs="Arial"/>
          <w:sz w:val="20"/>
          <w:szCs w:val="20"/>
          <w:lang w:val="es-ES"/>
        </w:rPr>
        <w:t xml:space="preserve"> </w:t>
      </w:r>
      <w:r w:rsidRPr="00C02552">
        <w:rPr>
          <w:rFonts w:ascii="Verdana" w:hAnsi="Verdana" w:cs="Arial"/>
          <w:sz w:val="20"/>
          <w:szCs w:val="20"/>
          <w:lang w:val="es-ES"/>
        </w:rPr>
        <w:t xml:space="preserve">que </w:t>
      </w:r>
      <w:r w:rsidRPr="00C02552">
        <w:rPr>
          <w:rFonts w:ascii="Verdana" w:hAnsi="Verdana"/>
          <w:sz w:val="20"/>
          <w:szCs w:val="20"/>
          <w:lang w:val="es-ES"/>
        </w:rPr>
        <w:t>las tres reservas en su conjunto abarcan un aproximado de 59</w:t>
      </w:r>
      <w:r w:rsidR="00CC7819">
        <w:rPr>
          <w:rFonts w:ascii="Verdana" w:hAnsi="Verdana"/>
          <w:sz w:val="20"/>
          <w:szCs w:val="20"/>
          <w:lang w:val="es-ES"/>
        </w:rPr>
        <w:t>,</w:t>
      </w:r>
      <w:r w:rsidRPr="00C02552">
        <w:rPr>
          <w:rFonts w:ascii="Verdana" w:hAnsi="Verdana"/>
          <w:sz w:val="20"/>
          <w:szCs w:val="20"/>
          <w:lang w:val="es-ES"/>
        </w:rPr>
        <w:t xml:space="preserve">800 </w:t>
      </w:r>
      <w:r w:rsidR="004E7D46">
        <w:rPr>
          <w:rFonts w:ascii="Verdana" w:hAnsi="Verdana"/>
          <w:sz w:val="20"/>
          <w:szCs w:val="20"/>
          <w:lang w:val="es-ES"/>
        </w:rPr>
        <w:t>ha</w:t>
      </w:r>
      <w:r w:rsidRPr="00C02552">
        <w:rPr>
          <w:rFonts w:ascii="Verdana" w:hAnsi="Verdana"/>
          <w:sz w:val="20"/>
          <w:szCs w:val="20"/>
          <w:lang w:val="es-ES"/>
        </w:rPr>
        <w:t xml:space="preserve"> de las 133</w:t>
      </w:r>
      <w:r w:rsidR="00CC7819">
        <w:rPr>
          <w:rFonts w:ascii="Verdana" w:hAnsi="Verdana"/>
          <w:sz w:val="20"/>
          <w:szCs w:val="20"/>
          <w:lang w:val="es-ES"/>
        </w:rPr>
        <w:t>,</w:t>
      </w:r>
      <w:r w:rsidRPr="00C02552">
        <w:rPr>
          <w:rFonts w:ascii="Verdana" w:hAnsi="Verdana"/>
          <w:sz w:val="20"/>
          <w:szCs w:val="20"/>
          <w:lang w:val="es-ES"/>
        </w:rPr>
        <w:t xml:space="preserve">945 </w:t>
      </w:r>
      <w:r w:rsidR="004E7D46">
        <w:rPr>
          <w:rFonts w:ascii="Verdana" w:hAnsi="Verdana"/>
          <w:sz w:val="20"/>
          <w:szCs w:val="20"/>
          <w:lang w:val="es-ES"/>
        </w:rPr>
        <w:t>ha</w:t>
      </w:r>
      <w:r w:rsidRPr="00C02552">
        <w:rPr>
          <w:rFonts w:ascii="Verdana" w:hAnsi="Verdana"/>
          <w:sz w:val="20"/>
          <w:szCs w:val="20"/>
          <w:lang w:val="es-ES"/>
        </w:rPr>
        <w:t xml:space="preserve"> reclamadas en el presente caso, lo cual representa aproximadamente 45% del territorio total reclamado por los </w:t>
      </w:r>
      <w:r w:rsidR="00382F4D">
        <w:rPr>
          <w:rFonts w:ascii="Verdana" w:hAnsi="Verdana"/>
          <w:sz w:val="20"/>
          <w:szCs w:val="20"/>
          <w:lang w:val="es-ES"/>
        </w:rPr>
        <w:t>Pueblos Kaliña y Lokono</w:t>
      </w:r>
      <w:r w:rsidR="00181972">
        <w:rPr>
          <w:rFonts w:ascii="Verdana" w:hAnsi="Verdana"/>
          <w:sz w:val="20"/>
          <w:szCs w:val="20"/>
          <w:lang w:val="es-ES"/>
        </w:rPr>
        <w:t xml:space="preserve"> </w:t>
      </w:r>
      <w:r w:rsidRPr="00C02552">
        <w:rPr>
          <w:rFonts w:ascii="Verdana" w:hAnsi="Verdana"/>
          <w:sz w:val="20"/>
          <w:szCs w:val="20"/>
          <w:lang w:val="es-ES"/>
        </w:rPr>
        <w:t>(</w:t>
      </w:r>
      <w:r w:rsidR="00366D91" w:rsidRPr="00366D91">
        <w:rPr>
          <w:rFonts w:ascii="Verdana" w:hAnsi="Verdana"/>
          <w:i/>
          <w:sz w:val="20"/>
          <w:szCs w:val="20"/>
          <w:lang w:val="es-ES"/>
        </w:rPr>
        <w:t>supra</w:t>
      </w:r>
      <w:r w:rsidRPr="00C02552">
        <w:rPr>
          <w:rFonts w:ascii="Verdana" w:hAnsi="Verdana"/>
          <w:sz w:val="20"/>
          <w:szCs w:val="20"/>
          <w:lang w:val="es-ES"/>
        </w:rPr>
        <w:t xml:space="preserve"> párr.</w:t>
      </w:r>
      <w:r w:rsidR="00CC7819">
        <w:rPr>
          <w:rFonts w:ascii="Verdana" w:hAnsi="Verdana"/>
          <w:sz w:val="20"/>
          <w:szCs w:val="20"/>
          <w:lang w:val="es-ES"/>
        </w:rPr>
        <w:t xml:space="preserve"> 71</w:t>
      </w:r>
      <w:r w:rsidRPr="00C02552">
        <w:rPr>
          <w:rFonts w:ascii="Verdana" w:hAnsi="Verdana"/>
          <w:sz w:val="20"/>
          <w:szCs w:val="20"/>
          <w:lang w:val="es-ES"/>
        </w:rPr>
        <w:t>).</w:t>
      </w:r>
      <w:r>
        <w:rPr>
          <w:rFonts w:ascii="Verdana" w:hAnsi="Verdana"/>
          <w:sz w:val="20"/>
          <w:szCs w:val="20"/>
          <w:lang w:val="es-ES"/>
        </w:rPr>
        <w:t xml:space="preserve"> </w:t>
      </w:r>
    </w:p>
    <w:p w14:paraId="2E0793B5" w14:textId="77777777" w:rsidR="00FC1FCF" w:rsidRPr="00FC1FCF" w:rsidRDefault="00FC1FCF" w:rsidP="00FC1FCF">
      <w:pPr>
        <w:pStyle w:val="ListParagraph"/>
        <w:ind w:left="0"/>
        <w:jc w:val="both"/>
        <w:rPr>
          <w:rFonts w:ascii="Verdana" w:hAnsi="Verdana" w:cs="Arial"/>
          <w:sz w:val="20"/>
          <w:szCs w:val="20"/>
          <w:lang w:val="es-ES"/>
        </w:rPr>
      </w:pPr>
    </w:p>
    <w:p w14:paraId="73BA4444" w14:textId="77777777" w:rsidR="00A30243" w:rsidRPr="007A0FA6" w:rsidRDefault="00A30243" w:rsidP="00A30243">
      <w:pPr>
        <w:pStyle w:val="ListParagraph"/>
        <w:numPr>
          <w:ilvl w:val="0"/>
          <w:numId w:val="2"/>
        </w:numPr>
        <w:ind w:left="0" w:hanging="11"/>
        <w:jc w:val="both"/>
        <w:rPr>
          <w:rFonts w:ascii="Verdana" w:hAnsi="Verdana" w:cs="Arial"/>
          <w:sz w:val="20"/>
          <w:szCs w:val="20"/>
          <w:lang w:val="es-ES"/>
        </w:rPr>
      </w:pPr>
      <w:r w:rsidRPr="00FC1FCF">
        <w:rPr>
          <w:rFonts w:ascii="Verdana" w:hAnsi="Verdana"/>
          <w:sz w:val="20"/>
          <w:szCs w:val="20"/>
          <w:lang w:val="es-ES"/>
        </w:rPr>
        <w:t>La</w:t>
      </w:r>
      <w:r w:rsidRPr="00FC1FCF">
        <w:rPr>
          <w:rFonts w:ascii="Verdana" w:hAnsi="Verdana"/>
          <w:sz w:val="20"/>
          <w:szCs w:val="20"/>
          <w:lang w:val="es-CR"/>
        </w:rPr>
        <w:t xml:space="preserve"> Corte ha establecido que </w:t>
      </w:r>
      <w:r>
        <w:rPr>
          <w:rFonts w:ascii="Verdana" w:hAnsi="Verdana"/>
          <w:sz w:val="20"/>
          <w:szCs w:val="20"/>
          <w:lang w:val="es-CR"/>
        </w:rPr>
        <w:t xml:space="preserve">la </w:t>
      </w:r>
      <w:r w:rsidRPr="00FC1FCF">
        <w:rPr>
          <w:rFonts w:ascii="Verdana" w:hAnsi="Verdana"/>
          <w:sz w:val="20"/>
          <w:szCs w:val="20"/>
          <w:lang w:val="es-CR"/>
        </w:rPr>
        <w:t>conexión entre el territorio y los recursos naturales que han usado tradicionalmente los pueblos indígenas y tribales</w:t>
      </w:r>
      <w:r w:rsidR="00A23CF1">
        <w:rPr>
          <w:rFonts w:ascii="Verdana" w:hAnsi="Verdana"/>
          <w:sz w:val="20"/>
          <w:szCs w:val="20"/>
          <w:lang w:val="es-CR"/>
        </w:rPr>
        <w:t>,</w:t>
      </w:r>
      <w:r w:rsidRPr="00FC1FCF">
        <w:rPr>
          <w:rFonts w:ascii="Verdana" w:hAnsi="Verdana"/>
          <w:sz w:val="20"/>
          <w:szCs w:val="20"/>
          <w:lang w:val="es-CR"/>
        </w:rPr>
        <w:t xml:space="preserve"> y que son necesarios para su supervivencia física y cultural, así como el desarrollo y continuidad de su cosmovisión, </w:t>
      </w:r>
      <w:r w:rsidR="00CC7819">
        <w:rPr>
          <w:rFonts w:ascii="Verdana" w:hAnsi="Verdana"/>
          <w:sz w:val="20"/>
          <w:szCs w:val="20"/>
          <w:lang w:val="es-CR"/>
        </w:rPr>
        <w:t>deben ser protegidos</w:t>
      </w:r>
      <w:r w:rsidRPr="00FC1FCF">
        <w:rPr>
          <w:rFonts w:ascii="Verdana" w:hAnsi="Verdana"/>
          <w:sz w:val="20"/>
          <w:szCs w:val="20"/>
          <w:lang w:val="es-CR"/>
        </w:rPr>
        <w:t xml:space="preserve"> bajo el artículo 21 de la Convención</w:t>
      </w:r>
      <w:r w:rsidR="00296523">
        <w:rPr>
          <w:rFonts w:ascii="Verdana" w:hAnsi="Verdana"/>
          <w:sz w:val="20"/>
          <w:szCs w:val="20"/>
          <w:lang w:val="es-CR"/>
        </w:rPr>
        <w:t xml:space="preserve">. Esta protección tiene como fin el garantizar que los pueblos indígenas y tribales </w:t>
      </w:r>
      <w:r w:rsidRPr="00FC1FCF">
        <w:rPr>
          <w:rFonts w:ascii="Verdana" w:hAnsi="Verdana"/>
          <w:sz w:val="20"/>
          <w:szCs w:val="20"/>
          <w:lang w:val="es-CR"/>
        </w:rPr>
        <w:t>puedan continuar viviendo su modo de vida tradicional y que su identidad cultural, estructura social, sistema económico, costumbres, creencias y tradiciones distintivas serán respetad</w:t>
      </w:r>
      <w:r w:rsidR="000849CD">
        <w:rPr>
          <w:rFonts w:ascii="Verdana" w:hAnsi="Verdana"/>
          <w:sz w:val="20"/>
          <w:szCs w:val="20"/>
          <w:lang w:val="es-CR"/>
        </w:rPr>
        <w:t>o</w:t>
      </w:r>
      <w:r w:rsidRPr="00FC1FCF">
        <w:rPr>
          <w:rFonts w:ascii="Verdana" w:hAnsi="Verdana"/>
          <w:sz w:val="20"/>
          <w:szCs w:val="20"/>
          <w:lang w:val="es-CR"/>
        </w:rPr>
        <w:t>s, garantizad</w:t>
      </w:r>
      <w:r w:rsidR="000849CD">
        <w:rPr>
          <w:rFonts w:ascii="Verdana" w:hAnsi="Verdana"/>
          <w:sz w:val="20"/>
          <w:szCs w:val="20"/>
          <w:lang w:val="es-CR"/>
        </w:rPr>
        <w:t>o</w:t>
      </w:r>
      <w:r w:rsidRPr="00FC1FCF">
        <w:rPr>
          <w:rFonts w:ascii="Verdana" w:hAnsi="Verdana"/>
          <w:sz w:val="20"/>
          <w:szCs w:val="20"/>
          <w:lang w:val="es-CR"/>
        </w:rPr>
        <w:t>s y protegid</w:t>
      </w:r>
      <w:r w:rsidR="000849CD">
        <w:rPr>
          <w:rFonts w:ascii="Verdana" w:hAnsi="Verdana"/>
          <w:sz w:val="20"/>
          <w:szCs w:val="20"/>
          <w:lang w:val="es-CR"/>
        </w:rPr>
        <w:t>o</w:t>
      </w:r>
      <w:r w:rsidRPr="00FC1FCF">
        <w:rPr>
          <w:rFonts w:ascii="Verdana" w:hAnsi="Verdana"/>
          <w:sz w:val="20"/>
          <w:szCs w:val="20"/>
          <w:lang w:val="es-CR"/>
        </w:rPr>
        <w:t>s por los Estados</w:t>
      </w:r>
      <w:r w:rsidRPr="00777B50">
        <w:rPr>
          <w:rStyle w:val="FootnoteReference"/>
          <w:szCs w:val="20"/>
        </w:rPr>
        <w:footnoteReference w:id="210"/>
      </w:r>
      <w:r w:rsidRPr="00FC1FCF">
        <w:rPr>
          <w:rFonts w:ascii="Verdana" w:hAnsi="Verdana"/>
          <w:sz w:val="20"/>
          <w:szCs w:val="20"/>
          <w:lang w:val="es-CR"/>
        </w:rPr>
        <w:t>.</w:t>
      </w:r>
      <w:r w:rsidR="007A0FA6">
        <w:rPr>
          <w:rFonts w:ascii="Verdana" w:hAnsi="Verdana"/>
          <w:sz w:val="20"/>
          <w:szCs w:val="20"/>
          <w:lang w:val="es-CR"/>
        </w:rPr>
        <w:t xml:space="preserve"> </w:t>
      </w:r>
      <w:r w:rsidR="007A0FA6" w:rsidRPr="007A0FA6">
        <w:rPr>
          <w:rFonts w:ascii="Verdana" w:hAnsi="Verdana"/>
          <w:sz w:val="20"/>
          <w:szCs w:val="20"/>
          <w:lang w:val="es-CR"/>
        </w:rPr>
        <w:t xml:space="preserve">Así, </w:t>
      </w:r>
      <w:r w:rsidR="007A0FA6" w:rsidRPr="00E477FD">
        <w:rPr>
          <w:rFonts w:ascii="Verdana" w:eastAsiaTheme="minorHAnsi" w:hAnsi="Verdana" w:cs="Arial"/>
          <w:sz w:val="20"/>
          <w:szCs w:val="20"/>
          <w:lang w:val="es-MX"/>
        </w:rPr>
        <w:t>los pueblos indígenas tienen el derecho de ser titulares de los recursos naturales que han usado tradicionalmente dentro de su territorio, ya que sin ellos su supervivencia económica, social y cultural está en riesgo</w:t>
      </w:r>
      <w:r w:rsidR="007A0FA6">
        <w:rPr>
          <w:rStyle w:val="FootnoteReference"/>
          <w:rFonts w:eastAsiaTheme="minorHAnsi"/>
          <w:szCs w:val="20"/>
          <w:lang w:val="es-MX"/>
        </w:rPr>
        <w:footnoteReference w:id="211"/>
      </w:r>
      <w:r w:rsidR="007A0FA6" w:rsidRPr="00E477FD">
        <w:rPr>
          <w:rFonts w:ascii="Verdana" w:eastAsiaTheme="minorHAnsi" w:hAnsi="Verdana" w:cs="Arial"/>
          <w:sz w:val="20"/>
          <w:szCs w:val="20"/>
          <w:lang w:val="es-MX"/>
        </w:rPr>
        <w:t>.</w:t>
      </w:r>
    </w:p>
    <w:p w14:paraId="4BD9E9C6" w14:textId="77777777" w:rsidR="00FC1FCF" w:rsidRDefault="00FC1FCF" w:rsidP="00FC1FCF">
      <w:pPr>
        <w:jc w:val="both"/>
        <w:rPr>
          <w:rFonts w:ascii="Verdana" w:hAnsi="Verdana" w:cs="Arial"/>
          <w:sz w:val="20"/>
          <w:szCs w:val="20"/>
          <w:lang w:val="es-MX"/>
        </w:rPr>
      </w:pPr>
    </w:p>
    <w:p w14:paraId="01EA418D" w14:textId="77777777" w:rsidR="00FC1FCF" w:rsidRPr="00C31C5A" w:rsidRDefault="00FC1FCF" w:rsidP="00FC1FCF">
      <w:pPr>
        <w:pStyle w:val="ListParagraph"/>
        <w:numPr>
          <w:ilvl w:val="0"/>
          <w:numId w:val="2"/>
        </w:numPr>
        <w:ind w:left="0" w:hanging="11"/>
        <w:jc w:val="both"/>
        <w:rPr>
          <w:rFonts w:ascii="Verdana" w:hAnsi="Verdana" w:cs="Arial"/>
          <w:sz w:val="20"/>
          <w:szCs w:val="20"/>
          <w:lang w:val="es-MX"/>
        </w:rPr>
      </w:pPr>
      <w:r>
        <w:rPr>
          <w:rFonts w:ascii="Verdana" w:hAnsi="Verdana" w:cs="Arial"/>
          <w:sz w:val="20"/>
          <w:szCs w:val="20"/>
          <w:lang w:val="es-MX"/>
        </w:rPr>
        <w:t>Por otra parte, l</w:t>
      </w:r>
      <w:r w:rsidRPr="00C02552">
        <w:rPr>
          <w:rFonts w:ascii="Verdana" w:hAnsi="Verdana" w:cs="Arial"/>
          <w:sz w:val="20"/>
          <w:szCs w:val="20"/>
          <w:lang w:val="es-MX"/>
        </w:rPr>
        <w:t xml:space="preserve">a Corte ha analizado a la luz de su jurisprudencia el derecho de </w:t>
      </w:r>
      <w:r w:rsidR="004958CF">
        <w:rPr>
          <w:rFonts w:ascii="Verdana" w:hAnsi="Verdana" w:cs="Arial"/>
          <w:sz w:val="20"/>
          <w:szCs w:val="20"/>
          <w:lang w:val="es-MX"/>
        </w:rPr>
        <w:t>reivindicación</w:t>
      </w:r>
      <w:r w:rsidRPr="00C02552">
        <w:rPr>
          <w:rFonts w:ascii="Verdana" w:hAnsi="Verdana" w:cs="Arial"/>
          <w:sz w:val="20"/>
          <w:szCs w:val="20"/>
          <w:lang w:val="es-MX"/>
        </w:rPr>
        <w:t xml:space="preserve"> de las tierras </w:t>
      </w:r>
      <w:r>
        <w:rPr>
          <w:rFonts w:ascii="Verdana" w:hAnsi="Verdana" w:cs="Arial"/>
          <w:sz w:val="20"/>
          <w:szCs w:val="20"/>
          <w:lang w:val="es-MX"/>
        </w:rPr>
        <w:t xml:space="preserve">colectivas que se encuentra en manos de privados o intereses estatales, para ello ha señalado que el </w:t>
      </w:r>
      <w:r w:rsidRPr="009E77BD">
        <w:rPr>
          <w:rFonts w:ascii="Verdana" w:hAnsi="Verdana" w:cs="Arial"/>
          <w:sz w:val="20"/>
          <w:szCs w:val="20"/>
          <w:lang w:val="es-MX"/>
        </w:rPr>
        <w:t>Estado debe ponderar que las restricción sobre el territorio tradicional cumplan con los requisitos de legalidad, finalidad, necesidad y proporcionalidad</w:t>
      </w:r>
      <w:r w:rsidR="00296523">
        <w:rPr>
          <w:rFonts w:ascii="Verdana" w:hAnsi="Verdana" w:cs="Arial"/>
          <w:sz w:val="20"/>
          <w:szCs w:val="20"/>
          <w:lang w:val="es-MX"/>
        </w:rPr>
        <w:t xml:space="preserve"> (</w:t>
      </w:r>
      <w:r w:rsidR="00296523">
        <w:rPr>
          <w:rFonts w:ascii="Verdana" w:hAnsi="Verdana" w:cs="Arial"/>
          <w:i/>
          <w:sz w:val="20"/>
          <w:szCs w:val="20"/>
          <w:lang w:val="es-MX"/>
        </w:rPr>
        <w:t xml:space="preserve">supra, </w:t>
      </w:r>
      <w:r w:rsidR="00296523">
        <w:rPr>
          <w:rFonts w:ascii="Verdana" w:hAnsi="Verdana" w:cs="Arial"/>
          <w:sz w:val="20"/>
          <w:szCs w:val="20"/>
          <w:lang w:val="es-MX"/>
        </w:rPr>
        <w:t>párr. 155)</w:t>
      </w:r>
      <w:r w:rsidR="00EC22F5">
        <w:rPr>
          <w:rFonts w:ascii="Verdana" w:hAnsi="Verdana" w:cs="Arial"/>
          <w:sz w:val="20"/>
          <w:szCs w:val="20"/>
          <w:lang w:val="es-MX"/>
        </w:rPr>
        <w:t>.</w:t>
      </w:r>
      <w:r>
        <w:rPr>
          <w:rFonts w:ascii="Verdana" w:hAnsi="Verdana" w:cs="Arial"/>
          <w:sz w:val="20"/>
          <w:szCs w:val="20"/>
          <w:lang w:val="es-MX"/>
        </w:rPr>
        <w:t xml:space="preserve"> </w:t>
      </w:r>
      <w:r>
        <w:rPr>
          <w:rFonts w:ascii="Verdana" w:hAnsi="Verdana" w:cs="Arial"/>
          <w:sz w:val="20"/>
          <w:szCs w:val="20"/>
        </w:rPr>
        <w:t>En este sentido, por ejemplo, e</w:t>
      </w:r>
      <w:r w:rsidRPr="00B65F1E">
        <w:rPr>
          <w:rFonts w:ascii="Verdana" w:hAnsi="Verdana" w:cs="Arial"/>
          <w:sz w:val="20"/>
          <w:szCs w:val="20"/>
        </w:rPr>
        <w:t xml:space="preserve">n el caso </w:t>
      </w:r>
      <w:r w:rsidRPr="00B65F1E">
        <w:rPr>
          <w:rFonts w:ascii="Verdana" w:hAnsi="Verdana" w:cs="Arial"/>
          <w:i/>
          <w:sz w:val="20"/>
          <w:szCs w:val="20"/>
        </w:rPr>
        <w:t>Xákmok Kásek</w:t>
      </w:r>
      <w:r w:rsidRPr="00B65F1E">
        <w:rPr>
          <w:rFonts w:ascii="Verdana" w:hAnsi="Verdana" w:cs="Arial"/>
          <w:sz w:val="20"/>
          <w:szCs w:val="20"/>
        </w:rPr>
        <w:t xml:space="preserve">, este Tribunal </w:t>
      </w:r>
      <w:r>
        <w:rPr>
          <w:rFonts w:ascii="Verdana" w:hAnsi="Verdana" w:cs="Arial"/>
          <w:sz w:val="20"/>
          <w:szCs w:val="20"/>
        </w:rPr>
        <w:t>dispuso</w:t>
      </w:r>
      <w:r w:rsidRPr="00B65F1E">
        <w:rPr>
          <w:rFonts w:ascii="Verdana" w:hAnsi="Verdana" w:cs="Arial"/>
          <w:sz w:val="20"/>
          <w:szCs w:val="20"/>
        </w:rPr>
        <w:t xml:space="preserve"> que “[…] el Estado deb</w:t>
      </w:r>
      <w:r>
        <w:rPr>
          <w:rFonts w:ascii="Verdana" w:hAnsi="Verdana" w:cs="Arial"/>
          <w:sz w:val="20"/>
          <w:szCs w:val="20"/>
        </w:rPr>
        <w:t>[ía]</w:t>
      </w:r>
      <w:r w:rsidRPr="00B65F1E">
        <w:rPr>
          <w:rFonts w:ascii="Verdana" w:hAnsi="Verdana" w:cs="Arial"/>
          <w:sz w:val="20"/>
          <w:szCs w:val="20"/>
        </w:rPr>
        <w:t xml:space="preserve"> adoptar las medidas necesarias para que [su legislación interna rela</w:t>
      </w:r>
      <w:r>
        <w:rPr>
          <w:rFonts w:ascii="Verdana" w:hAnsi="Verdana" w:cs="Arial"/>
          <w:sz w:val="20"/>
          <w:szCs w:val="20"/>
        </w:rPr>
        <w:t>tiva a un área protegida] no [fuera]</w:t>
      </w:r>
      <w:r w:rsidRPr="00B65F1E">
        <w:rPr>
          <w:rFonts w:ascii="Verdana" w:hAnsi="Verdana" w:cs="Arial"/>
          <w:sz w:val="20"/>
          <w:szCs w:val="20"/>
        </w:rPr>
        <w:t xml:space="preserve"> un obstáculo para la devolución de las tierras tradicionales a los miembros de la Comunidad”</w:t>
      </w:r>
      <w:r w:rsidRPr="00B65F1E">
        <w:rPr>
          <w:rStyle w:val="FootnoteReference"/>
          <w:szCs w:val="20"/>
        </w:rPr>
        <w:footnoteReference w:id="212"/>
      </w:r>
      <w:r w:rsidRPr="00B65F1E">
        <w:rPr>
          <w:rFonts w:ascii="Verdana" w:hAnsi="Verdana" w:cs="Arial"/>
          <w:sz w:val="20"/>
          <w:szCs w:val="20"/>
        </w:rPr>
        <w:t>.</w:t>
      </w:r>
      <w:r w:rsidR="004958CF">
        <w:rPr>
          <w:rFonts w:ascii="Verdana" w:hAnsi="Verdana" w:cs="Arial"/>
          <w:sz w:val="20"/>
          <w:szCs w:val="20"/>
        </w:rPr>
        <w:t xml:space="preserve"> Cabe precisar que, </w:t>
      </w:r>
      <w:r w:rsidR="006A0CFB">
        <w:rPr>
          <w:rFonts w:ascii="Verdana" w:hAnsi="Verdana" w:cs="Arial"/>
          <w:sz w:val="20"/>
          <w:szCs w:val="20"/>
        </w:rPr>
        <w:t xml:space="preserve">en dicho caso, </w:t>
      </w:r>
      <w:r w:rsidR="004958CF">
        <w:rPr>
          <w:rFonts w:ascii="Verdana" w:hAnsi="Verdana" w:cs="Arial"/>
          <w:sz w:val="20"/>
          <w:szCs w:val="20"/>
        </w:rPr>
        <w:t xml:space="preserve">la determinación del área protegida se llevó a cabo dentro de la competencia de </w:t>
      </w:r>
      <w:r w:rsidR="006A0CFB">
        <w:rPr>
          <w:rFonts w:ascii="Verdana" w:hAnsi="Verdana" w:cs="Arial"/>
          <w:sz w:val="20"/>
          <w:szCs w:val="20"/>
        </w:rPr>
        <w:t xml:space="preserve">la </w:t>
      </w:r>
      <w:r w:rsidR="004958CF">
        <w:rPr>
          <w:rFonts w:ascii="Verdana" w:hAnsi="Verdana" w:cs="Arial"/>
          <w:sz w:val="20"/>
          <w:szCs w:val="20"/>
        </w:rPr>
        <w:t xml:space="preserve">Corte. </w:t>
      </w:r>
    </w:p>
    <w:p w14:paraId="12E171ED" w14:textId="77777777" w:rsidR="00FC1FCF" w:rsidRDefault="00FC1FCF" w:rsidP="00FC1FCF">
      <w:pPr>
        <w:jc w:val="both"/>
        <w:rPr>
          <w:rFonts w:ascii="Verdana" w:hAnsi="Verdana" w:cs="Arial"/>
          <w:sz w:val="20"/>
          <w:szCs w:val="20"/>
          <w:lang w:val="es-MX"/>
        </w:rPr>
      </w:pPr>
    </w:p>
    <w:p w14:paraId="6DDC5150" w14:textId="77777777" w:rsidR="00FC1FCF" w:rsidRDefault="00FC1FCF" w:rsidP="00366D91">
      <w:pPr>
        <w:pStyle w:val="ListParagraph"/>
        <w:numPr>
          <w:ilvl w:val="0"/>
          <w:numId w:val="2"/>
        </w:numPr>
        <w:ind w:left="0" w:hanging="11"/>
        <w:jc w:val="both"/>
        <w:rPr>
          <w:rFonts w:ascii="Verdana" w:hAnsi="Verdana" w:cs="Arial"/>
          <w:sz w:val="20"/>
          <w:szCs w:val="20"/>
          <w:lang w:val="es-ES"/>
        </w:rPr>
      </w:pPr>
      <w:r w:rsidRPr="00A30243">
        <w:rPr>
          <w:rFonts w:ascii="Verdana" w:hAnsi="Verdana" w:cs="Arial"/>
          <w:sz w:val="20"/>
          <w:szCs w:val="20"/>
          <w:lang w:val="es-ES"/>
        </w:rPr>
        <w:t xml:space="preserve">Respecto de la alegada violación por el mantenimiento de las zonas de reservas hasta la fecha, la Corte especifica que en vista de la falta de competencia para analizar su creación, se encuentra impedida de conocer aspectos relacionados con el proceso que derivó en la determinación técnica del área, los límites y zonas establecidas como áreas de reserva. Por otra parte, las violaciones ya acreditadas con motivo de la falta de reconocimiento de la propiedad de los </w:t>
      </w:r>
      <w:r w:rsidR="00382F4D">
        <w:rPr>
          <w:rFonts w:ascii="Verdana" w:hAnsi="Verdana" w:cs="Arial"/>
          <w:sz w:val="20"/>
          <w:szCs w:val="20"/>
          <w:lang w:val="es-ES"/>
        </w:rPr>
        <w:t>Pueblos Kaliña y Lokono</w:t>
      </w:r>
      <w:r w:rsidRPr="00A30243">
        <w:rPr>
          <w:rFonts w:ascii="Verdana" w:hAnsi="Verdana" w:cs="Arial"/>
          <w:sz w:val="20"/>
          <w:szCs w:val="20"/>
          <w:lang w:val="es-ES"/>
        </w:rPr>
        <w:t>, así como la falta de delimitación de su territorio, no permiten a este Tribunal conocer cuál ha sido la extensión precisa de su territorio tradicional dentro de tales reservas</w:t>
      </w:r>
      <w:r w:rsidR="00A30243" w:rsidRPr="00A30243">
        <w:rPr>
          <w:rFonts w:ascii="Verdana" w:hAnsi="Verdana" w:cs="Arial"/>
          <w:sz w:val="20"/>
          <w:szCs w:val="20"/>
          <w:lang w:val="es-ES"/>
        </w:rPr>
        <w:t xml:space="preserve">, lo que ya ha acarreado la contravención del derecho a la propiedad </w:t>
      </w:r>
      <w:r w:rsidR="00A30243" w:rsidRPr="0019351F">
        <w:rPr>
          <w:rFonts w:ascii="Verdana" w:hAnsi="Verdana" w:cs="Arial"/>
          <w:sz w:val="20"/>
          <w:szCs w:val="20"/>
          <w:lang w:val="es-ES"/>
        </w:rPr>
        <w:t>colectiva</w:t>
      </w:r>
      <w:r w:rsidRPr="00CD3E2D">
        <w:rPr>
          <w:rFonts w:ascii="Verdana" w:hAnsi="Verdana" w:cs="Arial"/>
          <w:sz w:val="20"/>
          <w:szCs w:val="20"/>
          <w:lang w:val="es-ES"/>
        </w:rPr>
        <w:t xml:space="preserve"> </w:t>
      </w:r>
      <w:r w:rsidR="008A4ABB" w:rsidRPr="00CF360B">
        <w:rPr>
          <w:rFonts w:ascii="Verdana" w:hAnsi="Verdana" w:cs="Arial"/>
          <w:sz w:val="20"/>
          <w:szCs w:val="20"/>
          <w:lang w:val="es-ES"/>
        </w:rPr>
        <w:t>(</w:t>
      </w:r>
      <w:r w:rsidR="008A4ABB" w:rsidRPr="00CF360B">
        <w:rPr>
          <w:rFonts w:ascii="Verdana" w:hAnsi="Verdana" w:cs="Arial"/>
          <w:i/>
          <w:sz w:val="20"/>
          <w:szCs w:val="20"/>
          <w:lang w:val="es-ES"/>
        </w:rPr>
        <w:t>supra</w:t>
      </w:r>
      <w:r w:rsidR="008A4ABB" w:rsidRPr="00CF360B">
        <w:rPr>
          <w:rFonts w:ascii="Verdana" w:hAnsi="Verdana" w:cs="Arial"/>
          <w:sz w:val="20"/>
          <w:szCs w:val="20"/>
          <w:lang w:val="es-ES"/>
        </w:rPr>
        <w:t xml:space="preserve"> párr. 14</w:t>
      </w:r>
      <w:r w:rsidR="0019351F" w:rsidRPr="00CF360B">
        <w:rPr>
          <w:rFonts w:ascii="Verdana" w:hAnsi="Verdana" w:cs="Arial"/>
          <w:sz w:val="20"/>
          <w:szCs w:val="20"/>
          <w:lang w:val="es-ES"/>
        </w:rPr>
        <w:t>2</w:t>
      </w:r>
      <w:r w:rsidR="008A4ABB" w:rsidRPr="00CF360B">
        <w:rPr>
          <w:rFonts w:ascii="Verdana" w:hAnsi="Verdana" w:cs="Arial"/>
          <w:sz w:val="20"/>
          <w:szCs w:val="20"/>
          <w:lang w:val="es-ES"/>
        </w:rPr>
        <w:t>).</w:t>
      </w:r>
      <w:r w:rsidRPr="0019351F">
        <w:rPr>
          <w:rFonts w:ascii="Verdana" w:hAnsi="Verdana" w:cs="Arial"/>
          <w:sz w:val="20"/>
          <w:szCs w:val="20"/>
          <w:lang w:val="es-ES"/>
        </w:rPr>
        <w:t xml:space="preserve"> En</w:t>
      </w:r>
      <w:r w:rsidR="00CD3E2D">
        <w:rPr>
          <w:rFonts w:ascii="Verdana" w:hAnsi="Verdana" w:cs="Arial"/>
          <w:sz w:val="20"/>
          <w:szCs w:val="20"/>
          <w:lang w:val="es-ES"/>
        </w:rPr>
        <w:t xml:space="preserve"> </w:t>
      </w:r>
      <w:r w:rsidRPr="00A30243">
        <w:rPr>
          <w:rFonts w:ascii="Verdana" w:hAnsi="Verdana" w:cs="Arial"/>
          <w:sz w:val="20"/>
          <w:szCs w:val="20"/>
          <w:lang w:val="es-ES"/>
        </w:rPr>
        <w:t xml:space="preserve">consecuencia, esta Corte no cuenta con elementos de prueba certeros respecto de cuál sería el total de las áreas de reservas reclamadas, </w:t>
      </w:r>
      <w:r w:rsidR="00EB6356">
        <w:rPr>
          <w:rFonts w:ascii="Verdana" w:hAnsi="Verdana" w:cs="Arial"/>
          <w:sz w:val="20"/>
          <w:szCs w:val="20"/>
          <w:lang w:val="es-ES"/>
        </w:rPr>
        <w:t xml:space="preserve">que </w:t>
      </w:r>
      <w:r w:rsidR="00A30243">
        <w:rPr>
          <w:rFonts w:ascii="Verdana" w:hAnsi="Verdana" w:cs="Arial"/>
          <w:sz w:val="20"/>
          <w:szCs w:val="20"/>
          <w:lang w:val="es-ES"/>
        </w:rPr>
        <w:t xml:space="preserve">pudieran </w:t>
      </w:r>
      <w:r w:rsidR="00A30243" w:rsidRPr="00C02552">
        <w:rPr>
          <w:rFonts w:ascii="Verdana" w:hAnsi="Verdana" w:cs="Arial"/>
          <w:sz w:val="20"/>
          <w:szCs w:val="20"/>
          <w:lang w:val="es-ES"/>
        </w:rPr>
        <w:t xml:space="preserve">corresponder al territorio tradicional que han poseído, </w:t>
      </w:r>
      <w:r w:rsidR="00A30243">
        <w:rPr>
          <w:rFonts w:ascii="Verdana" w:hAnsi="Verdana" w:cs="Arial"/>
          <w:sz w:val="20"/>
          <w:szCs w:val="20"/>
          <w:lang w:val="es-ES"/>
        </w:rPr>
        <w:t>ocupado</w:t>
      </w:r>
      <w:r w:rsidR="00A30243" w:rsidRPr="00C02552">
        <w:rPr>
          <w:rFonts w:ascii="Verdana" w:hAnsi="Verdana" w:cs="Arial"/>
          <w:sz w:val="20"/>
          <w:szCs w:val="20"/>
          <w:lang w:val="es-ES"/>
        </w:rPr>
        <w:t xml:space="preserve"> y utilizado</w:t>
      </w:r>
      <w:r w:rsidR="00A30243">
        <w:rPr>
          <w:rFonts w:ascii="Verdana" w:hAnsi="Verdana" w:cs="Arial"/>
          <w:sz w:val="20"/>
          <w:szCs w:val="20"/>
          <w:lang w:val="es-ES"/>
        </w:rPr>
        <w:t xml:space="preserve">; en particular </w:t>
      </w:r>
      <w:r w:rsidR="00EB6356">
        <w:rPr>
          <w:rFonts w:ascii="Verdana" w:hAnsi="Verdana" w:cs="Arial"/>
          <w:sz w:val="20"/>
          <w:szCs w:val="20"/>
          <w:lang w:val="es-ES"/>
        </w:rPr>
        <w:t xml:space="preserve">aquellos </w:t>
      </w:r>
      <w:r w:rsidR="00A30243">
        <w:rPr>
          <w:rFonts w:ascii="Verdana" w:hAnsi="Verdana" w:cs="Arial"/>
          <w:sz w:val="20"/>
          <w:szCs w:val="20"/>
          <w:lang w:val="es-ES"/>
        </w:rPr>
        <w:t>pueblos que colindan con las reservas, a saber: Christaankondre, Langamankondre, con una población alrededor de 1000 personas y Alfonsdorp con alrededor de 300 personas.</w:t>
      </w:r>
      <w:r w:rsidR="00A30243" w:rsidRPr="00C02552">
        <w:rPr>
          <w:rFonts w:ascii="Verdana" w:hAnsi="Verdana" w:cs="Arial"/>
          <w:sz w:val="20"/>
          <w:szCs w:val="20"/>
          <w:lang w:val="es-ES"/>
        </w:rPr>
        <w:t xml:space="preserve"> </w:t>
      </w:r>
    </w:p>
    <w:p w14:paraId="76F113FC" w14:textId="77777777" w:rsidR="003D75CF" w:rsidRPr="0019351F" w:rsidRDefault="003D75CF" w:rsidP="004B0145">
      <w:pPr>
        <w:pStyle w:val="ListParagraph"/>
        <w:ind w:left="0"/>
        <w:jc w:val="both"/>
        <w:rPr>
          <w:rFonts w:ascii="Verdana" w:hAnsi="Verdana" w:cs="Arial"/>
          <w:sz w:val="20"/>
          <w:szCs w:val="20"/>
          <w:lang w:val="es-ES"/>
        </w:rPr>
      </w:pPr>
    </w:p>
    <w:p w14:paraId="38284E18" w14:textId="77777777" w:rsidR="00FC1FCF" w:rsidRDefault="00FC1FCF" w:rsidP="00FC1FCF">
      <w:pPr>
        <w:pStyle w:val="ListParagraph"/>
        <w:numPr>
          <w:ilvl w:val="0"/>
          <w:numId w:val="2"/>
        </w:numPr>
        <w:ind w:left="0" w:hanging="11"/>
        <w:jc w:val="both"/>
        <w:rPr>
          <w:rFonts w:ascii="Verdana" w:hAnsi="Verdana" w:cs="Arial"/>
          <w:sz w:val="20"/>
          <w:szCs w:val="20"/>
          <w:lang w:val="es-ES"/>
        </w:rPr>
      </w:pPr>
      <w:r>
        <w:rPr>
          <w:rFonts w:ascii="Verdana" w:hAnsi="Verdana" w:cs="Arial"/>
          <w:sz w:val="20"/>
          <w:szCs w:val="20"/>
          <w:lang w:val="es-ES"/>
        </w:rPr>
        <w:t xml:space="preserve">Sin embargo, la Corte ha constado que, principalmente en las reservas de Galibi y Wane Kreek ha existido un vínculo continuo entre los </w:t>
      </w:r>
      <w:r w:rsidR="00382F4D">
        <w:rPr>
          <w:rFonts w:ascii="Verdana" w:hAnsi="Verdana" w:cs="Arial"/>
          <w:sz w:val="20"/>
          <w:szCs w:val="20"/>
          <w:lang w:val="es-ES"/>
        </w:rPr>
        <w:t>Pueblos Kaliña y Lokono</w:t>
      </w:r>
      <w:r>
        <w:rPr>
          <w:rFonts w:ascii="Verdana" w:hAnsi="Verdana" w:cs="Arial"/>
          <w:sz w:val="20"/>
          <w:szCs w:val="20"/>
          <w:lang w:val="es-ES"/>
        </w:rPr>
        <w:t xml:space="preserve"> con ciertas áreas que ellos utilizan para el desarrollo de sus formas de vida, ca</w:t>
      </w:r>
      <w:r w:rsidR="0090778C">
        <w:rPr>
          <w:rFonts w:ascii="Verdana" w:hAnsi="Verdana" w:cs="Arial"/>
          <w:sz w:val="20"/>
          <w:szCs w:val="20"/>
          <w:lang w:val="es-ES"/>
        </w:rPr>
        <w:t>z</w:t>
      </w:r>
      <w:r>
        <w:rPr>
          <w:rFonts w:ascii="Verdana" w:hAnsi="Verdana" w:cs="Arial"/>
          <w:sz w:val="20"/>
          <w:szCs w:val="20"/>
          <w:lang w:val="es-ES"/>
        </w:rPr>
        <w:t>a, pesca, recolección de medicinas tradicionales, centros culturales, sitios sagrados, e</w:t>
      </w:r>
      <w:r w:rsidR="0090778C">
        <w:rPr>
          <w:rFonts w:ascii="Verdana" w:hAnsi="Verdana" w:cs="Arial"/>
          <w:sz w:val="20"/>
          <w:szCs w:val="20"/>
          <w:lang w:val="es-ES"/>
        </w:rPr>
        <w:t>ntre otros</w:t>
      </w:r>
      <w:r>
        <w:rPr>
          <w:rFonts w:ascii="Verdana" w:hAnsi="Verdana" w:cs="Arial"/>
          <w:sz w:val="20"/>
          <w:szCs w:val="20"/>
          <w:lang w:val="es-ES"/>
        </w:rPr>
        <w:t xml:space="preserve"> (</w:t>
      </w:r>
      <w:r w:rsidR="00366D91" w:rsidRPr="00366D91">
        <w:rPr>
          <w:rFonts w:ascii="Verdana" w:hAnsi="Verdana" w:cs="Arial"/>
          <w:i/>
          <w:sz w:val="20"/>
          <w:szCs w:val="20"/>
          <w:lang w:val="es-ES"/>
        </w:rPr>
        <w:t>supra</w:t>
      </w:r>
      <w:r>
        <w:rPr>
          <w:rFonts w:ascii="Verdana" w:hAnsi="Verdana" w:cs="Arial"/>
          <w:sz w:val="20"/>
          <w:szCs w:val="20"/>
          <w:lang w:val="es-ES"/>
        </w:rPr>
        <w:t xml:space="preserve"> párr</w:t>
      </w:r>
      <w:r w:rsidR="00CC6DF0">
        <w:rPr>
          <w:rFonts w:ascii="Verdana" w:hAnsi="Verdana" w:cs="Arial"/>
          <w:sz w:val="20"/>
          <w:szCs w:val="20"/>
          <w:lang w:val="es-ES"/>
        </w:rPr>
        <w:t>s</w:t>
      </w:r>
      <w:r>
        <w:rPr>
          <w:rFonts w:ascii="Verdana" w:hAnsi="Verdana" w:cs="Arial"/>
          <w:sz w:val="20"/>
          <w:szCs w:val="20"/>
          <w:lang w:val="es-ES"/>
        </w:rPr>
        <w:t>.</w:t>
      </w:r>
      <w:r w:rsidR="00CC6DF0">
        <w:rPr>
          <w:rFonts w:ascii="Verdana" w:hAnsi="Verdana" w:cs="Arial"/>
          <w:sz w:val="20"/>
          <w:szCs w:val="20"/>
          <w:lang w:val="es-ES"/>
        </w:rPr>
        <w:t xml:space="preserve"> 37 y</w:t>
      </w:r>
      <w:r w:rsidR="0090778C">
        <w:rPr>
          <w:rFonts w:ascii="Verdana" w:hAnsi="Verdana" w:cs="Arial"/>
          <w:sz w:val="20"/>
          <w:szCs w:val="20"/>
          <w:lang w:val="es-ES"/>
        </w:rPr>
        <w:t xml:space="preserve"> 84</w:t>
      </w:r>
      <w:r>
        <w:rPr>
          <w:rFonts w:ascii="Verdana" w:hAnsi="Verdana" w:cs="Arial"/>
          <w:sz w:val="20"/>
          <w:szCs w:val="20"/>
          <w:lang w:val="es-ES"/>
        </w:rPr>
        <w:t xml:space="preserve">). </w:t>
      </w:r>
      <w:r w:rsidR="00A30243">
        <w:rPr>
          <w:rFonts w:ascii="Verdana" w:hAnsi="Verdana" w:cs="Arial"/>
          <w:sz w:val="20"/>
          <w:szCs w:val="20"/>
          <w:lang w:val="es-ES"/>
        </w:rPr>
        <w:t xml:space="preserve">Particularmente, se señalaron al menos seis sitios sagrados en el área de la reserva de Galibi y </w:t>
      </w:r>
      <w:r w:rsidR="00A30243">
        <w:rPr>
          <w:rFonts w:ascii="Verdana" w:hAnsi="Verdana" w:cs="Arial"/>
          <w:sz w:val="20"/>
          <w:szCs w:val="20"/>
          <w:lang w:val="es-ES"/>
        </w:rPr>
        <w:lastRenderedPageBreak/>
        <w:t>tres en el área de la reserva de Wane Kree</w:t>
      </w:r>
      <w:r w:rsidR="000849CD">
        <w:rPr>
          <w:rFonts w:ascii="Verdana" w:hAnsi="Verdana" w:cs="Arial"/>
          <w:sz w:val="20"/>
          <w:szCs w:val="20"/>
          <w:lang w:val="es-ES"/>
        </w:rPr>
        <w:t>k</w:t>
      </w:r>
      <w:r w:rsidR="00A30243">
        <w:rPr>
          <w:rFonts w:ascii="Verdana" w:hAnsi="Verdana" w:cs="Arial"/>
          <w:sz w:val="20"/>
          <w:szCs w:val="20"/>
          <w:lang w:val="es-ES"/>
        </w:rPr>
        <w:t xml:space="preserve"> (</w:t>
      </w:r>
      <w:r w:rsidR="00366D91" w:rsidRPr="00366D91">
        <w:rPr>
          <w:rFonts w:ascii="Verdana" w:hAnsi="Verdana" w:cs="Arial"/>
          <w:i/>
          <w:sz w:val="20"/>
          <w:szCs w:val="20"/>
          <w:lang w:val="es-ES"/>
        </w:rPr>
        <w:t>supra</w:t>
      </w:r>
      <w:r w:rsidR="00A30243">
        <w:rPr>
          <w:rFonts w:ascii="Verdana" w:hAnsi="Verdana" w:cs="Arial"/>
          <w:sz w:val="20"/>
          <w:szCs w:val="20"/>
          <w:lang w:val="es-ES"/>
        </w:rPr>
        <w:t xml:space="preserve"> párr. 37). </w:t>
      </w:r>
      <w:r>
        <w:rPr>
          <w:rFonts w:ascii="Verdana" w:hAnsi="Verdana" w:cs="Arial"/>
          <w:sz w:val="20"/>
          <w:szCs w:val="20"/>
          <w:lang w:val="es-ES"/>
        </w:rPr>
        <w:t xml:space="preserve">La Corte no cuenta con información relacionada con el uso tradicional y vínculo con la reserva de Wia Wia, por lo que no se pronunciará </w:t>
      </w:r>
      <w:r w:rsidR="00EB6356">
        <w:rPr>
          <w:rFonts w:ascii="Verdana" w:hAnsi="Verdana" w:cs="Arial"/>
          <w:sz w:val="20"/>
          <w:szCs w:val="20"/>
          <w:lang w:val="es-ES"/>
        </w:rPr>
        <w:t>respecto de esta última</w:t>
      </w:r>
      <w:r>
        <w:rPr>
          <w:rFonts w:ascii="Verdana" w:hAnsi="Verdana" w:cs="Arial"/>
          <w:sz w:val="20"/>
          <w:szCs w:val="20"/>
          <w:lang w:val="es-ES"/>
        </w:rPr>
        <w:t>.</w:t>
      </w:r>
    </w:p>
    <w:p w14:paraId="7D48B513" w14:textId="77777777" w:rsidR="00FC1FCF" w:rsidRPr="007B6E87" w:rsidRDefault="00FC1FCF" w:rsidP="00FC1FCF">
      <w:pPr>
        <w:jc w:val="both"/>
        <w:rPr>
          <w:rFonts w:ascii="Verdana" w:hAnsi="Verdana" w:cs="Arial"/>
          <w:sz w:val="20"/>
          <w:szCs w:val="20"/>
          <w:lang w:val="es-ES"/>
        </w:rPr>
      </w:pPr>
    </w:p>
    <w:p w14:paraId="5E390C94" w14:textId="2C278D09" w:rsidR="00FC1FCF" w:rsidRDefault="00247DB8" w:rsidP="00247DB8">
      <w:pPr>
        <w:pStyle w:val="ListParagraph"/>
        <w:numPr>
          <w:ilvl w:val="0"/>
          <w:numId w:val="2"/>
        </w:numPr>
        <w:ind w:left="0" w:hanging="11"/>
        <w:jc w:val="both"/>
        <w:rPr>
          <w:rFonts w:ascii="Verdana" w:hAnsi="Verdana" w:cs="Arial"/>
          <w:sz w:val="20"/>
          <w:szCs w:val="20"/>
          <w:lang w:val="es-ES"/>
        </w:rPr>
      </w:pPr>
      <w:r w:rsidRPr="00247DB8">
        <w:rPr>
          <w:rFonts w:ascii="Verdana" w:hAnsi="Verdana" w:cs="Arial"/>
          <w:sz w:val="20"/>
          <w:szCs w:val="20"/>
          <w:lang w:val="es-ES"/>
        </w:rPr>
        <w:t>En vista de lo anterior, a la luz de la jurisprudencia de esta Corte, le asiste a los Pueblos Kaliña y Lokono el derecho de solicitar en derecho interno, la posible reivindicación de las partes correspondientes a su territorio tradicional dentro de las reservas que son colindantes con el territorio que actualmente poseen, frente a lo cual el Estado debe ponderar los derechos en juego (</w:t>
      </w:r>
      <w:r w:rsidRPr="00247DB8">
        <w:rPr>
          <w:rFonts w:ascii="Verdana" w:hAnsi="Verdana" w:cs="Arial"/>
          <w:i/>
          <w:sz w:val="20"/>
          <w:szCs w:val="20"/>
          <w:lang w:val="es-ES"/>
        </w:rPr>
        <w:t>supra</w:t>
      </w:r>
      <w:r w:rsidRPr="00247DB8">
        <w:rPr>
          <w:rFonts w:ascii="Verdana" w:hAnsi="Verdana" w:cs="Arial"/>
          <w:sz w:val="20"/>
          <w:szCs w:val="20"/>
          <w:lang w:val="es-ES"/>
        </w:rPr>
        <w:t xml:space="preserve"> párrs. 155 y 165). En este caso, el Estado deberá ponderar entre los derechos colectivos de los Pueblos Kaliña y Lokono y la protección del medio ambiente como parte del interés general. Por ende, deberá determinar su procedencia al momento de llevar a cabo la delimitación, demarcación y titulación de los territorios tradicionales correspondientes (</w:t>
      </w:r>
      <w:r w:rsidRPr="00247DB8">
        <w:rPr>
          <w:rFonts w:ascii="Verdana" w:hAnsi="Verdana" w:cs="Arial"/>
          <w:i/>
          <w:sz w:val="20"/>
          <w:szCs w:val="20"/>
          <w:lang w:val="es-ES"/>
        </w:rPr>
        <w:t>supra</w:t>
      </w:r>
      <w:r w:rsidRPr="00247DB8">
        <w:rPr>
          <w:rFonts w:ascii="Verdana" w:hAnsi="Verdana" w:cs="Arial"/>
          <w:sz w:val="20"/>
          <w:szCs w:val="20"/>
          <w:lang w:val="es-ES"/>
        </w:rPr>
        <w:t xml:space="preserve"> párr. 139).</w:t>
      </w:r>
    </w:p>
    <w:p w14:paraId="6D123481" w14:textId="77777777" w:rsidR="00247DB8" w:rsidRPr="00A30243" w:rsidRDefault="00247DB8" w:rsidP="00247DB8">
      <w:pPr>
        <w:pStyle w:val="ListParagraph"/>
        <w:ind w:left="0"/>
        <w:jc w:val="both"/>
        <w:rPr>
          <w:rFonts w:ascii="Verdana" w:hAnsi="Verdana" w:cs="Arial"/>
          <w:sz w:val="20"/>
          <w:szCs w:val="20"/>
          <w:lang w:val="es-ES"/>
        </w:rPr>
      </w:pPr>
    </w:p>
    <w:p w14:paraId="4DA469AC" w14:textId="77777777" w:rsidR="00FC1FCF" w:rsidRPr="00B17B8E" w:rsidRDefault="006B6DDC" w:rsidP="00B17B8E">
      <w:pPr>
        <w:pStyle w:val="Heading4"/>
        <w:spacing w:before="0"/>
        <w:ind w:left="1440"/>
        <w:jc w:val="both"/>
        <w:rPr>
          <w:rFonts w:ascii="Verdana" w:hAnsi="Verdana"/>
          <w:color w:val="auto"/>
          <w:sz w:val="20"/>
          <w:szCs w:val="20"/>
        </w:rPr>
      </w:pPr>
      <w:bookmarkStart w:id="54" w:name="_Toc441666186"/>
      <w:r w:rsidRPr="00B17B8E">
        <w:rPr>
          <w:rFonts w:ascii="Verdana" w:hAnsi="Verdana"/>
          <w:color w:val="auto"/>
          <w:sz w:val="20"/>
          <w:szCs w:val="20"/>
        </w:rPr>
        <w:t>B.</w:t>
      </w:r>
      <w:r w:rsidR="00830B9E">
        <w:rPr>
          <w:rFonts w:ascii="Verdana" w:hAnsi="Verdana"/>
          <w:color w:val="auto"/>
          <w:sz w:val="20"/>
          <w:szCs w:val="20"/>
        </w:rPr>
        <w:t>3</w:t>
      </w:r>
      <w:r w:rsidRPr="00B17B8E">
        <w:rPr>
          <w:rFonts w:ascii="Verdana" w:hAnsi="Verdana"/>
          <w:color w:val="auto"/>
          <w:sz w:val="20"/>
          <w:szCs w:val="20"/>
        </w:rPr>
        <w:t>.</w:t>
      </w:r>
      <w:r w:rsidR="00C51AA0" w:rsidRPr="00B17B8E">
        <w:rPr>
          <w:rFonts w:ascii="Verdana" w:hAnsi="Verdana"/>
          <w:color w:val="auto"/>
          <w:sz w:val="20"/>
          <w:szCs w:val="20"/>
        </w:rPr>
        <w:t>2</w:t>
      </w:r>
      <w:r w:rsidR="00FC1FCF" w:rsidRPr="00B17B8E">
        <w:rPr>
          <w:rFonts w:ascii="Verdana" w:hAnsi="Verdana"/>
          <w:color w:val="auto"/>
          <w:sz w:val="20"/>
          <w:szCs w:val="20"/>
        </w:rPr>
        <w:t xml:space="preserve"> Alegadas </w:t>
      </w:r>
      <w:r w:rsidR="00D273B0">
        <w:rPr>
          <w:rFonts w:ascii="Verdana" w:hAnsi="Verdana"/>
          <w:color w:val="auto"/>
          <w:sz w:val="20"/>
          <w:szCs w:val="20"/>
        </w:rPr>
        <w:t>restricciones</w:t>
      </w:r>
      <w:r w:rsidR="00AF6628" w:rsidRPr="00B17B8E">
        <w:rPr>
          <w:rFonts w:ascii="Verdana" w:hAnsi="Verdana"/>
          <w:color w:val="auto"/>
          <w:sz w:val="20"/>
          <w:szCs w:val="20"/>
        </w:rPr>
        <w:t xml:space="preserve"> </w:t>
      </w:r>
      <w:r w:rsidR="00FC1FCF" w:rsidRPr="00B17B8E">
        <w:rPr>
          <w:rFonts w:ascii="Verdana" w:hAnsi="Verdana"/>
          <w:color w:val="auto"/>
          <w:sz w:val="20"/>
          <w:szCs w:val="20"/>
        </w:rPr>
        <w:t>para los pueblos indígenas en las reservas naturales</w:t>
      </w:r>
      <w:bookmarkEnd w:id="54"/>
      <w:r w:rsidR="00FC1FCF" w:rsidRPr="00B17B8E">
        <w:rPr>
          <w:rFonts w:ascii="Verdana" w:hAnsi="Verdana"/>
          <w:color w:val="auto"/>
          <w:sz w:val="20"/>
          <w:szCs w:val="20"/>
        </w:rPr>
        <w:t xml:space="preserve"> </w:t>
      </w:r>
    </w:p>
    <w:p w14:paraId="3776D882" w14:textId="77777777" w:rsidR="00FC1FCF" w:rsidRPr="00C02552" w:rsidRDefault="00FC1FCF" w:rsidP="00FC1FCF">
      <w:pPr>
        <w:jc w:val="both"/>
        <w:rPr>
          <w:rFonts w:ascii="Verdana" w:hAnsi="Verdana" w:cs="Arial"/>
          <w:sz w:val="20"/>
          <w:szCs w:val="20"/>
          <w:lang w:val="es-ES"/>
        </w:rPr>
      </w:pPr>
    </w:p>
    <w:p w14:paraId="655CB1B7" w14:textId="77777777" w:rsidR="00FC1FCF" w:rsidRPr="00C02552" w:rsidRDefault="00FC1FCF" w:rsidP="00FC1FCF">
      <w:pPr>
        <w:pStyle w:val="ListParagraph"/>
        <w:numPr>
          <w:ilvl w:val="0"/>
          <w:numId w:val="2"/>
        </w:numPr>
        <w:ind w:left="0" w:hanging="11"/>
        <w:jc w:val="both"/>
        <w:rPr>
          <w:rFonts w:ascii="Verdana" w:hAnsi="Verdana" w:cs="Arial"/>
          <w:sz w:val="20"/>
          <w:szCs w:val="20"/>
          <w:lang w:val="es-MX"/>
        </w:rPr>
      </w:pPr>
      <w:r>
        <w:rPr>
          <w:rFonts w:ascii="Verdana" w:hAnsi="Verdana" w:cs="Arial"/>
          <w:sz w:val="20"/>
          <w:szCs w:val="20"/>
          <w:lang w:val="es-MX"/>
        </w:rPr>
        <w:t>Primeramente, l</w:t>
      </w:r>
      <w:r w:rsidRPr="00C02552">
        <w:rPr>
          <w:rFonts w:ascii="Verdana" w:hAnsi="Verdana" w:cs="Arial"/>
          <w:sz w:val="20"/>
          <w:szCs w:val="20"/>
          <w:lang w:val="es-MX"/>
        </w:rPr>
        <w:t xml:space="preserve">a Corte toma nota del compromiso e interés del Estado de </w:t>
      </w:r>
      <w:r w:rsidR="00563E11">
        <w:rPr>
          <w:rFonts w:ascii="Verdana" w:hAnsi="Verdana" w:cs="Arial"/>
          <w:sz w:val="20"/>
          <w:szCs w:val="20"/>
          <w:lang w:val="es-MX"/>
        </w:rPr>
        <w:t>Surinam</w:t>
      </w:r>
      <w:r w:rsidRPr="00C02552">
        <w:rPr>
          <w:rFonts w:ascii="Verdana" w:hAnsi="Verdana" w:cs="Arial"/>
          <w:sz w:val="20"/>
          <w:szCs w:val="20"/>
          <w:lang w:val="es-MX"/>
        </w:rPr>
        <w:t xml:space="preserve"> en la protección del medio ambiente, a través de la creación de diversas reservas naturales dentro de su territorio y las medidas para su mantenimiento. Sin embargo, según lo alegado</w:t>
      </w:r>
      <w:r>
        <w:rPr>
          <w:rFonts w:ascii="Verdana" w:hAnsi="Verdana" w:cs="Arial"/>
          <w:sz w:val="20"/>
          <w:szCs w:val="20"/>
          <w:lang w:val="es-MX"/>
        </w:rPr>
        <w:t xml:space="preserve"> por los representantes y la Comisión</w:t>
      </w:r>
      <w:r w:rsidRPr="00C02552">
        <w:rPr>
          <w:rFonts w:ascii="Verdana" w:hAnsi="Verdana" w:cs="Arial"/>
          <w:sz w:val="20"/>
          <w:szCs w:val="20"/>
          <w:lang w:val="es-MX"/>
        </w:rPr>
        <w:t xml:space="preserve">, el Estado ha restringido los derechos de los </w:t>
      </w:r>
      <w:r w:rsidR="00EC22F5">
        <w:rPr>
          <w:rFonts w:ascii="Verdana" w:hAnsi="Verdana" w:cs="Arial"/>
          <w:sz w:val="20"/>
          <w:szCs w:val="20"/>
          <w:lang w:val="es-MX"/>
        </w:rPr>
        <w:t>P</w:t>
      </w:r>
      <w:r w:rsidRPr="00C02552">
        <w:rPr>
          <w:rFonts w:ascii="Verdana" w:hAnsi="Verdana" w:cs="Arial"/>
          <w:sz w:val="20"/>
          <w:szCs w:val="20"/>
          <w:lang w:val="es-MX"/>
        </w:rPr>
        <w:t>ueblos Kaliña y Lokono dentro de las reservas, en protección de los recursos naturales y animales en tales reservas.</w:t>
      </w:r>
    </w:p>
    <w:p w14:paraId="301AA60E" w14:textId="77777777" w:rsidR="00FC1FCF" w:rsidRPr="007E20F9" w:rsidRDefault="00FC1FCF" w:rsidP="00FC1FCF">
      <w:pPr>
        <w:jc w:val="both"/>
        <w:rPr>
          <w:rFonts w:ascii="Verdana" w:hAnsi="Verdana" w:cs="Arial"/>
          <w:sz w:val="20"/>
          <w:szCs w:val="20"/>
          <w:lang w:val="es-MX"/>
        </w:rPr>
      </w:pPr>
    </w:p>
    <w:p w14:paraId="09612222" w14:textId="77777777" w:rsidR="00FC1FCF" w:rsidRPr="00C31C5A" w:rsidRDefault="00FC1FCF" w:rsidP="00FC1FCF">
      <w:pPr>
        <w:pStyle w:val="ListParagraph"/>
        <w:numPr>
          <w:ilvl w:val="0"/>
          <w:numId w:val="2"/>
        </w:numPr>
        <w:ind w:left="0" w:hanging="11"/>
        <w:jc w:val="both"/>
        <w:rPr>
          <w:rFonts w:ascii="Verdana" w:hAnsi="Verdana" w:cs="Arial"/>
          <w:sz w:val="20"/>
          <w:szCs w:val="20"/>
          <w:lang w:val="es-MX"/>
        </w:rPr>
      </w:pPr>
      <w:r w:rsidRPr="00C02552">
        <w:rPr>
          <w:rFonts w:ascii="Verdana" w:hAnsi="Verdana" w:cs="Arial"/>
          <w:sz w:val="20"/>
          <w:szCs w:val="20"/>
          <w:lang w:val="es-ES"/>
        </w:rPr>
        <w:t xml:space="preserve">En este sentido, </w:t>
      </w:r>
      <w:r>
        <w:rPr>
          <w:rFonts w:ascii="Verdana" w:hAnsi="Verdana" w:cs="Arial"/>
          <w:sz w:val="20"/>
          <w:szCs w:val="20"/>
          <w:lang w:val="es-ES"/>
        </w:rPr>
        <w:t xml:space="preserve">partiendo de la existencia de las reservas, </w:t>
      </w:r>
      <w:r w:rsidRPr="00C02552">
        <w:rPr>
          <w:rFonts w:ascii="Verdana" w:hAnsi="Verdana" w:cs="Arial"/>
          <w:sz w:val="20"/>
          <w:szCs w:val="20"/>
          <w:lang w:val="es-ES"/>
        </w:rPr>
        <w:t xml:space="preserve">la Corte </w:t>
      </w:r>
      <w:r>
        <w:rPr>
          <w:rFonts w:ascii="Verdana" w:hAnsi="Verdana" w:cs="Arial"/>
          <w:sz w:val="20"/>
          <w:szCs w:val="20"/>
          <w:lang w:val="es-ES"/>
        </w:rPr>
        <w:t>valorará</w:t>
      </w:r>
      <w:r w:rsidRPr="00C02552">
        <w:rPr>
          <w:rFonts w:ascii="Verdana" w:hAnsi="Verdana" w:cs="Arial"/>
          <w:sz w:val="20"/>
          <w:szCs w:val="20"/>
          <w:lang w:val="es-ES"/>
        </w:rPr>
        <w:t xml:space="preserve"> si las alegadas restricciones impuestas a los pueblos indígenas fueron proporcionales</w:t>
      </w:r>
      <w:r>
        <w:rPr>
          <w:rFonts w:ascii="Verdana" w:hAnsi="Verdana" w:cs="Arial"/>
          <w:sz w:val="20"/>
          <w:szCs w:val="20"/>
          <w:lang w:val="es-ES"/>
        </w:rPr>
        <w:t xml:space="preserve">, a la luz de </w:t>
      </w:r>
      <w:r>
        <w:rPr>
          <w:rFonts w:ascii="Verdana" w:hAnsi="Verdana" w:cs="Arial"/>
          <w:sz w:val="20"/>
          <w:szCs w:val="20"/>
          <w:lang w:val="es-MX"/>
        </w:rPr>
        <w:t>los estándares en la materia.</w:t>
      </w:r>
      <w:r w:rsidRPr="00C02552">
        <w:rPr>
          <w:rFonts w:ascii="Verdana" w:hAnsi="Verdana" w:cs="Arial"/>
          <w:sz w:val="20"/>
          <w:szCs w:val="20"/>
          <w:lang w:val="es-ES"/>
        </w:rPr>
        <w:t xml:space="preserve"> Para ello, analizará: a) la compatibilidad </w:t>
      </w:r>
      <w:r w:rsidR="00381F18">
        <w:rPr>
          <w:rFonts w:ascii="Verdana" w:hAnsi="Verdana" w:cs="Arial"/>
          <w:sz w:val="20"/>
          <w:szCs w:val="20"/>
          <w:lang w:val="es-ES"/>
        </w:rPr>
        <w:t xml:space="preserve">de </w:t>
      </w:r>
      <w:r w:rsidRPr="00C02552">
        <w:rPr>
          <w:rFonts w:ascii="Verdana" w:hAnsi="Verdana" w:cs="Arial"/>
          <w:sz w:val="20"/>
          <w:szCs w:val="20"/>
          <w:lang w:val="es-ES"/>
        </w:rPr>
        <w:t xml:space="preserve">los derechos de los pueblos indígenas con </w:t>
      </w:r>
      <w:r>
        <w:rPr>
          <w:rFonts w:ascii="Verdana" w:hAnsi="Verdana" w:cs="Arial"/>
          <w:sz w:val="20"/>
          <w:szCs w:val="20"/>
          <w:lang w:val="es-ES"/>
        </w:rPr>
        <w:t>la protección d</w:t>
      </w:r>
      <w:r w:rsidRPr="00C02552">
        <w:rPr>
          <w:rFonts w:ascii="Verdana" w:hAnsi="Verdana" w:cs="Arial"/>
          <w:sz w:val="20"/>
          <w:szCs w:val="20"/>
          <w:lang w:val="es-ES"/>
        </w:rPr>
        <w:t xml:space="preserve">el medio ambiente, y b) las restricciones impuestas y su aplicación al presente caso. </w:t>
      </w:r>
    </w:p>
    <w:p w14:paraId="6E672AEB" w14:textId="77777777" w:rsidR="00FC1FCF" w:rsidRPr="00C31C5A" w:rsidRDefault="00FC1FCF" w:rsidP="00FC1FCF">
      <w:pPr>
        <w:jc w:val="both"/>
        <w:rPr>
          <w:rFonts w:ascii="Verdana" w:hAnsi="Verdana" w:cs="Arial"/>
          <w:i/>
          <w:sz w:val="20"/>
          <w:szCs w:val="20"/>
          <w:lang w:val="es-MX"/>
        </w:rPr>
      </w:pPr>
    </w:p>
    <w:p w14:paraId="06E67EE6" w14:textId="0F1C2BF3" w:rsidR="00FC1FCF" w:rsidRPr="00B17B8E" w:rsidRDefault="0079049B" w:rsidP="00B17B8E">
      <w:pPr>
        <w:pStyle w:val="Heading5"/>
        <w:spacing w:before="0" w:line="240" w:lineRule="auto"/>
        <w:ind w:left="2160"/>
        <w:jc w:val="both"/>
        <w:rPr>
          <w:rFonts w:ascii="Verdana" w:hAnsi="Verdana"/>
          <w:b/>
          <w:i/>
          <w:color w:val="auto"/>
          <w:sz w:val="20"/>
          <w:szCs w:val="20"/>
          <w:lang w:val="es-CR"/>
        </w:rPr>
      </w:pPr>
      <w:bookmarkStart w:id="55" w:name="_Toc441666187"/>
      <w:r w:rsidRPr="00B17B8E">
        <w:rPr>
          <w:rFonts w:ascii="Verdana" w:hAnsi="Verdana"/>
          <w:b/>
          <w:i/>
          <w:color w:val="auto"/>
          <w:sz w:val="20"/>
          <w:szCs w:val="20"/>
          <w:lang w:val="es-CR"/>
        </w:rPr>
        <w:t>B.</w:t>
      </w:r>
      <w:r w:rsidR="00830B9E">
        <w:rPr>
          <w:rFonts w:ascii="Verdana" w:hAnsi="Verdana"/>
          <w:b/>
          <w:i/>
          <w:color w:val="auto"/>
          <w:sz w:val="20"/>
          <w:szCs w:val="20"/>
          <w:lang w:val="es-CR"/>
        </w:rPr>
        <w:t>3</w:t>
      </w:r>
      <w:r w:rsidRPr="00B17B8E">
        <w:rPr>
          <w:rFonts w:ascii="Verdana" w:hAnsi="Verdana"/>
          <w:b/>
          <w:i/>
          <w:color w:val="auto"/>
          <w:sz w:val="20"/>
          <w:szCs w:val="20"/>
          <w:lang w:val="es-CR"/>
        </w:rPr>
        <w:t>.</w:t>
      </w:r>
      <w:r w:rsidR="00C51AA0" w:rsidRPr="00B17B8E">
        <w:rPr>
          <w:rFonts w:ascii="Verdana" w:hAnsi="Verdana"/>
          <w:b/>
          <w:i/>
          <w:color w:val="auto"/>
          <w:sz w:val="20"/>
          <w:szCs w:val="20"/>
          <w:lang w:val="es-CR"/>
        </w:rPr>
        <w:t>2</w:t>
      </w:r>
      <w:r w:rsidRPr="00B17B8E">
        <w:rPr>
          <w:rFonts w:ascii="Verdana" w:hAnsi="Verdana"/>
          <w:b/>
          <w:i/>
          <w:color w:val="auto"/>
          <w:sz w:val="20"/>
          <w:szCs w:val="20"/>
          <w:lang w:val="es-CR"/>
        </w:rPr>
        <w:t xml:space="preserve">.1 </w:t>
      </w:r>
      <w:r w:rsidR="00FC1FCF" w:rsidRPr="00B17B8E">
        <w:rPr>
          <w:rFonts w:ascii="Verdana" w:hAnsi="Verdana"/>
          <w:b/>
          <w:i/>
          <w:color w:val="auto"/>
          <w:sz w:val="20"/>
          <w:szCs w:val="20"/>
          <w:lang w:val="es-CR"/>
        </w:rPr>
        <w:t>Compatibilidad de los derechos de los pueblos indígena</w:t>
      </w:r>
      <w:r w:rsidR="00AC7320">
        <w:rPr>
          <w:rFonts w:ascii="Verdana" w:hAnsi="Verdana"/>
          <w:b/>
          <w:i/>
          <w:color w:val="auto"/>
          <w:sz w:val="20"/>
          <w:szCs w:val="20"/>
          <w:lang w:val="es-CR"/>
        </w:rPr>
        <w:t>s</w:t>
      </w:r>
      <w:r w:rsidR="00FC1FCF" w:rsidRPr="00B17B8E">
        <w:rPr>
          <w:rFonts w:ascii="Verdana" w:hAnsi="Verdana"/>
          <w:b/>
          <w:i/>
          <w:color w:val="auto"/>
          <w:sz w:val="20"/>
          <w:szCs w:val="20"/>
          <w:lang w:val="es-CR"/>
        </w:rPr>
        <w:t xml:space="preserve"> con la protección del medio ambiente</w:t>
      </w:r>
      <w:bookmarkEnd w:id="55"/>
    </w:p>
    <w:p w14:paraId="539EE4E4" w14:textId="77777777" w:rsidR="00FC1FCF" w:rsidRPr="00C02552" w:rsidRDefault="00FC1FCF" w:rsidP="00FC1FCF">
      <w:pPr>
        <w:pStyle w:val="ListParagraph"/>
        <w:ind w:left="1776"/>
        <w:jc w:val="both"/>
        <w:rPr>
          <w:rFonts w:ascii="Verdana" w:hAnsi="Verdana" w:cs="Arial"/>
          <w:b/>
          <w:i/>
          <w:sz w:val="20"/>
          <w:szCs w:val="20"/>
          <w:lang w:val="es-ES"/>
        </w:rPr>
      </w:pPr>
      <w:r w:rsidRPr="00C02552">
        <w:rPr>
          <w:rFonts w:ascii="Verdana" w:hAnsi="Verdana" w:cs="Arial"/>
          <w:b/>
          <w:i/>
          <w:sz w:val="20"/>
          <w:szCs w:val="20"/>
          <w:lang w:val="es-ES"/>
        </w:rPr>
        <w:t xml:space="preserve"> </w:t>
      </w:r>
    </w:p>
    <w:p w14:paraId="11BFE688" w14:textId="77777777" w:rsidR="00FC1FCF" w:rsidRPr="00C02552" w:rsidRDefault="00A30243" w:rsidP="00FC1FCF">
      <w:pPr>
        <w:pStyle w:val="ListParagraph"/>
        <w:numPr>
          <w:ilvl w:val="0"/>
          <w:numId w:val="2"/>
        </w:numPr>
        <w:ind w:left="0" w:hanging="11"/>
        <w:jc w:val="both"/>
        <w:rPr>
          <w:rFonts w:ascii="Verdana" w:hAnsi="Verdana" w:cs="Arial"/>
          <w:sz w:val="20"/>
          <w:szCs w:val="20"/>
        </w:rPr>
      </w:pPr>
      <w:r>
        <w:rPr>
          <w:rFonts w:ascii="Verdana" w:hAnsi="Verdana" w:cs="Arial"/>
          <w:sz w:val="20"/>
          <w:szCs w:val="20"/>
          <w:lang w:val="es-ES"/>
        </w:rPr>
        <w:t xml:space="preserve">Respecto de la protección del medio ambiente como causa de interés general, </w:t>
      </w:r>
      <w:r>
        <w:rPr>
          <w:rFonts w:ascii="Verdana" w:hAnsi="Verdana" w:cs="Arial"/>
          <w:sz w:val="20"/>
          <w:szCs w:val="20"/>
        </w:rPr>
        <w:t>e</w:t>
      </w:r>
      <w:r w:rsidR="00FC1FCF" w:rsidRPr="00C02552">
        <w:rPr>
          <w:rFonts w:ascii="Verdana" w:hAnsi="Verdana" w:cs="Arial"/>
          <w:sz w:val="20"/>
          <w:szCs w:val="20"/>
        </w:rPr>
        <w:t xml:space="preserve">n el caso </w:t>
      </w:r>
      <w:r w:rsidR="00FC1FCF" w:rsidRPr="00C02552">
        <w:rPr>
          <w:rFonts w:ascii="Verdana" w:hAnsi="Verdana" w:cs="Arial"/>
          <w:i/>
          <w:sz w:val="20"/>
          <w:szCs w:val="20"/>
        </w:rPr>
        <w:t>Salvador Chiriboga</w:t>
      </w:r>
      <w:r w:rsidR="00FC1FCF">
        <w:rPr>
          <w:rFonts w:ascii="Verdana" w:hAnsi="Verdana" w:cs="Arial"/>
          <w:sz w:val="20"/>
          <w:szCs w:val="20"/>
        </w:rPr>
        <w:t xml:space="preserve"> la Corte </w:t>
      </w:r>
      <w:r w:rsidR="00FC1FCF" w:rsidRPr="00C02552">
        <w:rPr>
          <w:rFonts w:ascii="Verdana" w:hAnsi="Verdana" w:cs="Arial"/>
          <w:sz w:val="20"/>
          <w:szCs w:val="20"/>
        </w:rPr>
        <w:t>estableció que la finalidad en la protección del medio ambiente, mediante la creación de un parque</w:t>
      </w:r>
      <w:r w:rsidR="00FC1FCF">
        <w:rPr>
          <w:rFonts w:ascii="Verdana" w:hAnsi="Verdana" w:cs="Arial"/>
          <w:sz w:val="20"/>
          <w:szCs w:val="20"/>
        </w:rPr>
        <w:t xml:space="preserve"> metropolitano</w:t>
      </w:r>
      <w:r w:rsidR="00FC1FCF" w:rsidRPr="00C02552">
        <w:rPr>
          <w:rFonts w:ascii="Verdana" w:hAnsi="Verdana" w:cs="Arial"/>
          <w:sz w:val="20"/>
          <w:szCs w:val="20"/>
        </w:rPr>
        <w:t xml:space="preserve">, era un objetivo legítimo en una sociedad democrática a fin de restringir el </w:t>
      </w:r>
      <w:r w:rsidR="00FC1FCF">
        <w:rPr>
          <w:rFonts w:ascii="Verdana" w:hAnsi="Verdana" w:cs="Arial"/>
          <w:sz w:val="20"/>
          <w:szCs w:val="20"/>
        </w:rPr>
        <w:t xml:space="preserve">derecho a la propiedad privada, establecido en el </w:t>
      </w:r>
      <w:r w:rsidR="00FC1FCF" w:rsidRPr="00C02552">
        <w:rPr>
          <w:rFonts w:ascii="Verdana" w:hAnsi="Verdana" w:cs="Arial"/>
          <w:sz w:val="20"/>
          <w:szCs w:val="20"/>
        </w:rPr>
        <w:t>artículo 21 de la Convención</w:t>
      </w:r>
      <w:r w:rsidR="00FC1FCF">
        <w:rPr>
          <w:rStyle w:val="FootnoteReference"/>
          <w:rFonts w:cs="Arial"/>
          <w:szCs w:val="20"/>
        </w:rPr>
        <w:footnoteReference w:id="213"/>
      </w:r>
      <w:r w:rsidR="00FC1FCF" w:rsidRPr="00C02552">
        <w:rPr>
          <w:rFonts w:ascii="Verdana" w:hAnsi="Verdana" w:cs="Arial"/>
          <w:sz w:val="20"/>
          <w:szCs w:val="20"/>
        </w:rPr>
        <w:t xml:space="preserve">. </w:t>
      </w:r>
    </w:p>
    <w:p w14:paraId="09FBB1DF" w14:textId="77777777" w:rsidR="00FC1FCF" w:rsidRPr="00C02552" w:rsidRDefault="00FC1FCF" w:rsidP="00FC1FCF">
      <w:pPr>
        <w:jc w:val="both"/>
        <w:rPr>
          <w:rFonts w:ascii="Verdana" w:hAnsi="Verdana" w:cs="Arial"/>
          <w:sz w:val="20"/>
          <w:szCs w:val="20"/>
        </w:rPr>
      </w:pPr>
    </w:p>
    <w:p w14:paraId="17E36FE9" w14:textId="77777777" w:rsidR="00FC1FCF" w:rsidRDefault="00A30243" w:rsidP="00FC1FCF">
      <w:pPr>
        <w:pStyle w:val="ListParagraph"/>
        <w:numPr>
          <w:ilvl w:val="0"/>
          <w:numId w:val="2"/>
        </w:numPr>
        <w:ind w:left="0" w:hanging="11"/>
        <w:jc w:val="both"/>
        <w:rPr>
          <w:rFonts w:ascii="Verdana" w:hAnsi="Verdana" w:cs="Arial"/>
          <w:sz w:val="20"/>
          <w:szCs w:val="20"/>
        </w:rPr>
      </w:pPr>
      <w:r>
        <w:rPr>
          <w:rFonts w:ascii="Verdana" w:hAnsi="Verdana" w:cs="Arial"/>
          <w:sz w:val="20"/>
          <w:szCs w:val="20"/>
          <w:lang w:val="es-MX"/>
        </w:rPr>
        <w:t>Por su parte,</w:t>
      </w:r>
      <w:r w:rsidR="00FC1FCF">
        <w:rPr>
          <w:rFonts w:ascii="Verdana" w:hAnsi="Verdana" w:cs="Arial"/>
          <w:sz w:val="20"/>
          <w:szCs w:val="20"/>
          <w:lang w:val="es-MX"/>
        </w:rPr>
        <w:t xml:space="preserve"> e</w:t>
      </w:r>
      <w:r w:rsidR="00FC1FCF" w:rsidRPr="00C02552">
        <w:rPr>
          <w:rFonts w:ascii="Verdana" w:hAnsi="Verdana" w:cs="Arial"/>
          <w:sz w:val="20"/>
          <w:szCs w:val="20"/>
          <w:lang w:val="es-MX"/>
        </w:rPr>
        <w:t xml:space="preserve">l Tribunal </w:t>
      </w:r>
      <w:r w:rsidR="00FC1FCF">
        <w:rPr>
          <w:rFonts w:ascii="Verdana" w:hAnsi="Verdana" w:cs="Arial"/>
          <w:sz w:val="20"/>
          <w:szCs w:val="20"/>
          <w:lang w:val="es-MX"/>
        </w:rPr>
        <w:t xml:space="preserve">ha resaltado </w:t>
      </w:r>
      <w:r w:rsidR="00FC1FCF" w:rsidRPr="00C02552">
        <w:rPr>
          <w:rFonts w:ascii="Verdana" w:hAnsi="Verdana" w:cs="Arial"/>
          <w:sz w:val="20"/>
          <w:szCs w:val="20"/>
          <w:lang w:val="es-MX"/>
        </w:rPr>
        <w:t xml:space="preserve">la importancia de la protección, preservación y mejoramiento del medio ambiente contenido en el artículo 11 del Protocolo Adicional a la Convención Americana </w:t>
      </w:r>
      <w:r w:rsidR="0084661F">
        <w:rPr>
          <w:rFonts w:ascii="Verdana" w:hAnsi="Verdana" w:cs="Arial"/>
          <w:sz w:val="20"/>
          <w:szCs w:val="20"/>
          <w:lang w:val="es-MX"/>
        </w:rPr>
        <w:t>sobre</w:t>
      </w:r>
      <w:r w:rsidR="00FC1FCF" w:rsidRPr="00C02552">
        <w:rPr>
          <w:rFonts w:ascii="Verdana" w:hAnsi="Verdana" w:cs="Arial"/>
          <w:sz w:val="20"/>
          <w:szCs w:val="20"/>
          <w:lang w:val="es-MX"/>
        </w:rPr>
        <w:t xml:space="preserve"> Derechos Económicos, Sociales y Culturales</w:t>
      </w:r>
      <w:r w:rsidR="00FC1FCF" w:rsidRPr="00C02552">
        <w:rPr>
          <w:rStyle w:val="FootnoteReference"/>
          <w:rFonts w:cs="Arial"/>
          <w:szCs w:val="20"/>
          <w:lang w:val="es-MX"/>
        </w:rPr>
        <w:footnoteReference w:id="214"/>
      </w:r>
      <w:r w:rsidR="00FC1FCF" w:rsidRPr="00C02552">
        <w:rPr>
          <w:rFonts w:ascii="Verdana" w:hAnsi="Verdana" w:cs="Arial"/>
          <w:sz w:val="20"/>
          <w:szCs w:val="20"/>
          <w:lang w:val="es-MX"/>
        </w:rPr>
        <w:t xml:space="preserve"> </w:t>
      </w:r>
      <w:r w:rsidR="00280689">
        <w:rPr>
          <w:rFonts w:ascii="Verdana" w:hAnsi="Verdana" w:cs="Arial"/>
          <w:sz w:val="20"/>
          <w:szCs w:val="20"/>
          <w:lang w:val="es-MX"/>
        </w:rPr>
        <w:t>“</w:t>
      </w:r>
      <w:r w:rsidR="00FC1FCF" w:rsidRPr="00C02552">
        <w:rPr>
          <w:rFonts w:ascii="Verdana" w:hAnsi="Verdana" w:cs="Arial"/>
          <w:sz w:val="20"/>
          <w:szCs w:val="20"/>
          <w:lang w:val="es-MX"/>
        </w:rPr>
        <w:t>Protocolo de San Salvador</w:t>
      </w:r>
      <w:r w:rsidR="00280689">
        <w:rPr>
          <w:rFonts w:ascii="Verdana" w:hAnsi="Verdana" w:cs="Arial"/>
          <w:sz w:val="20"/>
          <w:szCs w:val="20"/>
          <w:lang w:val="es-MX"/>
        </w:rPr>
        <w:t>”</w:t>
      </w:r>
      <w:r w:rsidR="00FC1FCF" w:rsidRPr="00C02552">
        <w:rPr>
          <w:rFonts w:ascii="Verdana" w:hAnsi="Verdana" w:cs="Arial"/>
          <w:sz w:val="20"/>
          <w:szCs w:val="20"/>
          <w:lang w:val="es-MX"/>
        </w:rPr>
        <w:t xml:space="preserve"> como un derecho humano esencial relacionado con el derecho a la vida digna derivado del artículo 4 de la Convención a la luz del </w:t>
      </w:r>
      <w:r w:rsidR="00FC1FCF" w:rsidRPr="00C02552">
        <w:rPr>
          <w:rFonts w:ascii="Verdana" w:hAnsi="Verdana" w:cs="Arial"/>
          <w:i/>
          <w:sz w:val="20"/>
          <w:szCs w:val="20"/>
          <w:lang w:val="es-MX"/>
        </w:rPr>
        <w:t xml:space="preserve">corpus </w:t>
      </w:r>
      <w:r w:rsidR="0084661F">
        <w:rPr>
          <w:rFonts w:ascii="Verdana" w:hAnsi="Verdana" w:cs="Arial"/>
          <w:i/>
          <w:sz w:val="20"/>
          <w:szCs w:val="20"/>
          <w:lang w:val="es-MX"/>
        </w:rPr>
        <w:t>i</w:t>
      </w:r>
      <w:r w:rsidR="00FC1FCF" w:rsidRPr="00C02552">
        <w:rPr>
          <w:rFonts w:ascii="Verdana" w:hAnsi="Verdana" w:cs="Arial"/>
          <w:i/>
          <w:sz w:val="20"/>
          <w:szCs w:val="20"/>
          <w:lang w:val="es-MX"/>
        </w:rPr>
        <w:t>uris</w:t>
      </w:r>
      <w:r w:rsidR="00FC1FCF" w:rsidRPr="00C02552">
        <w:rPr>
          <w:rFonts w:ascii="Verdana" w:hAnsi="Verdana" w:cs="Arial"/>
          <w:sz w:val="20"/>
          <w:szCs w:val="20"/>
          <w:lang w:val="es-MX"/>
        </w:rPr>
        <w:t xml:space="preserve"> internacional existente sobre la protección especial que requieren los miembros de las comunidades indígenas “en relación con el deber general de garantía contenido en el artículo 1.1 y con el deber de desarrollo </w:t>
      </w:r>
      <w:r w:rsidR="00FC1FCF" w:rsidRPr="00C02552">
        <w:rPr>
          <w:rFonts w:ascii="Verdana" w:hAnsi="Verdana" w:cs="Arial"/>
          <w:sz w:val="20"/>
          <w:szCs w:val="20"/>
          <w:lang w:val="es-MX"/>
        </w:rPr>
        <w:lastRenderedPageBreak/>
        <w:t>progresivo contenido en el artículo 26 de la misma”</w:t>
      </w:r>
      <w:r w:rsidR="00FC1FCF" w:rsidRPr="00C02552">
        <w:rPr>
          <w:rStyle w:val="FootnoteReference"/>
          <w:rFonts w:cs="Arial"/>
          <w:szCs w:val="20"/>
          <w:lang w:val="es-MX"/>
        </w:rPr>
        <w:footnoteReference w:id="215"/>
      </w:r>
      <w:r w:rsidR="00FC1FCF" w:rsidRPr="00C02552">
        <w:rPr>
          <w:rFonts w:ascii="Verdana" w:hAnsi="Verdana" w:cs="Arial"/>
          <w:sz w:val="20"/>
          <w:szCs w:val="20"/>
          <w:lang w:val="es-MX"/>
        </w:rPr>
        <w:t>.</w:t>
      </w:r>
      <w:r w:rsidR="004958CF">
        <w:rPr>
          <w:rFonts w:ascii="Verdana" w:hAnsi="Verdana" w:cs="Arial"/>
          <w:sz w:val="20"/>
          <w:szCs w:val="20"/>
          <w:lang w:val="es-MX"/>
        </w:rPr>
        <w:t xml:space="preserve"> </w:t>
      </w:r>
      <w:r>
        <w:rPr>
          <w:rFonts w:ascii="Verdana" w:hAnsi="Verdana" w:cs="Arial"/>
          <w:sz w:val="20"/>
          <w:szCs w:val="20"/>
          <w:lang w:val="es-MX"/>
        </w:rPr>
        <w:t xml:space="preserve">Sin perjuicio de ello, </w:t>
      </w:r>
      <w:r w:rsidR="00EB6356">
        <w:rPr>
          <w:rFonts w:ascii="Verdana" w:hAnsi="Verdana" w:cs="Arial"/>
          <w:sz w:val="20"/>
          <w:szCs w:val="20"/>
          <w:lang w:val="es-MX"/>
        </w:rPr>
        <w:t xml:space="preserve">como fue referido </w:t>
      </w:r>
      <w:r w:rsidR="00FC1FCF" w:rsidRPr="00C02552">
        <w:rPr>
          <w:rFonts w:ascii="Verdana" w:hAnsi="Verdana" w:cs="Arial"/>
          <w:sz w:val="20"/>
          <w:szCs w:val="20"/>
        </w:rPr>
        <w:t xml:space="preserve">en el caso </w:t>
      </w:r>
      <w:r w:rsidR="001635AC">
        <w:rPr>
          <w:rFonts w:ascii="Verdana" w:hAnsi="Verdana" w:cs="Arial"/>
          <w:i/>
          <w:sz w:val="20"/>
          <w:szCs w:val="20"/>
        </w:rPr>
        <w:t xml:space="preserve">de la Comunidad </w:t>
      </w:r>
      <w:r w:rsidR="00FC1FCF" w:rsidRPr="00C02552">
        <w:rPr>
          <w:rFonts w:ascii="Verdana" w:hAnsi="Verdana" w:cs="Arial"/>
          <w:i/>
          <w:sz w:val="20"/>
          <w:szCs w:val="20"/>
        </w:rPr>
        <w:t>Xákmok Kásek</w:t>
      </w:r>
      <w:r w:rsidR="00FC1FCF" w:rsidRPr="00C02552">
        <w:rPr>
          <w:rFonts w:ascii="Verdana" w:hAnsi="Verdana" w:cs="Arial"/>
          <w:sz w:val="20"/>
          <w:szCs w:val="20"/>
        </w:rPr>
        <w:t xml:space="preserve">, </w:t>
      </w:r>
      <w:r w:rsidR="00FC1FCF">
        <w:rPr>
          <w:rFonts w:ascii="Verdana" w:hAnsi="Verdana" w:cs="Arial"/>
          <w:sz w:val="20"/>
          <w:szCs w:val="20"/>
        </w:rPr>
        <w:t xml:space="preserve">el Tribunal </w:t>
      </w:r>
      <w:r w:rsidR="00FC1FCF" w:rsidRPr="00C02552">
        <w:rPr>
          <w:rFonts w:ascii="Verdana" w:hAnsi="Verdana" w:cs="Arial"/>
          <w:sz w:val="20"/>
          <w:szCs w:val="20"/>
        </w:rPr>
        <w:t>determinó que “[…] el Estado deb[ía] adoptar las medidas necesarias para que [su legislación interna relativa a un área protegida] no [fuera] un obstáculo para la devolución de las tierras tradicionales a los miembros de la Comunidad”</w:t>
      </w:r>
      <w:r w:rsidR="00FC1FCF" w:rsidRPr="00C02552">
        <w:rPr>
          <w:rStyle w:val="FootnoteReference"/>
          <w:szCs w:val="20"/>
        </w:rPr>
        <w:t xml:space="preserve"> </w:t>
      </w:r>
      <w:r w:rsidR="00FC1FCF" w:rsidRPr="00C02552">
        <w:rPr>
          <w:rStyle w:val="FootnoteReference"/>
          <w:szCs w:val="20"/>
        </w:rPr>
        <w:footnoteReference w:id="216"/>
      </w:r>
      <w:r w:rsidR="00FC1FCF" w:rsidRPr="00C02552">
        <w:rPr>
          <w:rFonts w:ascii="Verdana" w:hAnsi="Verdana" w:cs="Arial"/>
          <w:sz w:val="20"/>
          <w:szCs w:val="20"/>
        </w:rPr>
        <w:t>.</w:t>
      </w:r>
    </w:p>
    <w:p w14:paraId="7AAFCF2F" w14:textId="77777777" w:rsidR="003D75CF" w:rsidRPr="00C02552" w:rsidRDefault="003D75CF" w:rsidP="004B0145">
      <w:pPr>
        <w:pStyle w:val="ListParagraph"/>
        <w:ind w:left="0"/>
        <w:jc w:val="both"/>
        <w:rPr>
          <w:rFonts w:ascii="Verdana" w:hAnsi="Verdana" w:cs="Arial"/>
          <w:sz w:val="20"/>
          <w:szCs w:val="20"/>
        </w:rPr>
      </w:pPr>
    </w:p>
    <w:p w14:paraId="0B3CA292" w14:textId="77777777" w:rsidR="00FC1FCF" w:rsidRPr="00C02552" w:rsidRDefault="00FC1FCF" w:rsidP="002956E6">
      <w:pPr>
        <w:pStyle w:val="ListParagraph"/>
        <w:numPr>
          <w:ilvl w:val="0"/>
          <w:numId w:val="2"/>
        </w:numPr>
        <w:ind w:left="0" w:hanging="11"/>
        <w:jc w:val="both"/>
        <w:rPr>
          <w:rFonts w:ascii="Verdana" w:hAnsi="Verdana"/>
          <w:sz w:val="20"/>
          <w:szCs w:val="20"/>
        </w:rPr>
      </w:pPr>
      <w:r w:rsidRPr="00C02552">
        <w:rPr>
          <w:rFonts w:ascii="Verdana" w:hAnsi="Verdana" w:cs="Arial"/>
          <w:sz w:val="20"/>
          <w:szCs w:val="20"/>
          <w:lang w:val="es-ES"/>
        </w:rPr>
        <w:t xml:space="preserve">La Corte </w:t>
      </w:r>
      <w:r w:rsidR="00181972">
        <w:rPr>
          <w:rFonts w:ascii="Verdana" w:hAnsi="Verdana" w:cs="Arial"/>
          <w:sz w:val="20"/>
          <w:szCs w:val="20"/>
          <w:lang w:val="es-ES"/>
        </w:rPr>
        <w:t xml:space="preserve">considera </w:t>
      </w:r>
      <w:r>
        <w:rPr>
          <w:rFonts w:ascii="Verdana" w:hAnsi="Verdana" w:cs="Arial"/>
          <w:sz w:val="20"/>
          <w:szCs w:val="20"/>
          <w:lang w:val="es-ES"/>
        </w:rPr>
        <w:t xml:space="preserve">relevante </w:t>
      </w:r>
      <w:r w:rsidRPr="00C02552">
        <w:rPr>
          <w:rFonts w:ascii="Verdana" w:hAnsi="Verdana" w:cs="Arial"/>
          <w:sz w:val="20"/>
          <w:szCs w:val="20"/>
          <w:lang w:val="es-ES"/>
        </w:rPr>
        <w:t>hace</w:t>
      </w:r>
      <w:r>
        <w:rPr>
          <w:rFonts w:ascii="Verdana" w:hAnsi="Verdana" w:cs="Arial"/>
          <w:sz w:val="20"/>
          <w:szCs w:val="20"/>
          <w:lang w:val="es-ES"/>
        </w:rPr>
        <w:t>r</w:t>
      </w:r>
      <w:r w:rsidRPr="00C02552">
        <w:rPr>
          <w:rFonts w:ascii="Verdana" w:hAnsi="Verdana" w:cs="Arial"/>
          <w:sz w:val="20"/>
          <w:szCs w:val="20"/>
          <w:lang w:val="es-ES"/>
        </w:rPr>
        <w:t xml:space="preserve"> referencia a la </w:t>
      </w:r>
      <w:r>
        <w:rPr>
          <w:rFonts w:ascii="Verdana" w:hAnsi="Verdana" w:cs="Arial"/>
          <w:sz w:val="20"/>
          <w:szCs w:val="20"/>
          <w:lang w:val="es-ES"/>
        </w:rPr>
        <w:t xml:space="preserve">necesidad de </w:t>
      </w:r>
      <w:r w:rsidRPr="00C02552">
        <w:rPr>
          <w:rFonts w:ascii="Verdana" w:hAnsi="Verdana" w:cs="Arial"/>
          <w:sz w:val="20"/>
          <w:szCs w:val="20"/>
          <w:lang w:val="es-ES"/>
        </w:rPr>
        <w:t>compatibil</w:t>
      </w:r>
      <w:r>
        <w:rPr>
          <w:rFonts w:ascii="Verdana" w:hAnsi="Verdana" w:cs="Arial"/>
          <w:sz w:val="20"/>
          <w:szCs w:val="20"/>
          <w:lang w:val="es-ES"/>
        </w:rPr>
        <w:t>izar</w:t>
      </w:r>
      <w:r w:rsidRPr="00C02552">
        <w:rPr>
          <w:rFonts w:ascii="Verdana" w:hAnsi="Verdana" w:cs="Arial"/>
          <w:sz w:val="20"/>
          <w:szCs w:val="20"/>
          <w:lang w:val="es-ES"/>
        </w:rPr>
        <w:t xml:space="preserve"> </w:t>
      </w:r>
      <w:r>
        <w:rPr>
          <w:rFonts w:ascii="Verdana" w:hAnsi="Verdana" w:cs="Arial"/>
          <w:sz w:val="20"/>
          <w:szCs w:val="20"/>
          <w:lang w:val="es-ES"/>
        </w:rPr>
        <w:t xml:space="preserve">la protección de </w:t>
      </w:r>
      <w:r w:rsidRPr="00C02552">
        <w:rPr>
          <w:rFonts w:ascii="Verdana" w:hAnsi="Verdana" w:cs="Arial"/>
          <w:sz w:val="20"/>
          <w:szCs w:val="20"/>
          <w:lang w:val="es-ES"/>
        </w:rPr>
        <w:t xml:space="preserve">las áreas protegidas </w:t>
      </w:r>
      <w:r>
        <w:rPr>
          <w:rFonts w:ascii="Verdana" w:hAnsi="Verdana" w:cs="Arial"/>
          <w:sz w:val="20"/>
          <w:szCs w:val="20"/>
          <w:lang w:val="es-ES"/>
        </w:rPr>
        <w:t>con</w:t>
      </w:r>
      <w:r w:rsidRPr="00C02552">
        <w:rPr>
          <w:rFonts w:ascii="Verdana" w:hAnsi="Verdana" w:cs="Arial"/>
          <w:sz w:val="20"/>
          <w:szCs w:val="20"/>
          <w:lang w:val="es-ES"/>
        </w:rPr>
        <w:t xml:space="preserve"> el adecuado uso y </w:t>
      </w:r>
      <w:r>
        <w:rPr>
          <w:rFonts w:ascii="Verdana" w:hAnsi="Verdana" w:cs="Arial"/>
          <w:sz w:val="20"/>
          <w:szCs w:val="20"/>
          <w:lang w:val="es-ES"/>
        </w:rPr>
        <w:t>goce</w:t>
      </w:r>
      <w:r w:rsidRPr="00C02552">
        <w:rPr>
          <w:rFonts w:ascii="Verdana" w:hAnsi="Verdana" w:cs="Arial"/>
          <w:sz w:val="20"/>
          <w:szCs w:val="20"/>
          <w:lang w:val="es-ES"/>
        </w:rPr>
        <w:t xml:space="preserve"> de los territorios tradicionales de los pueblos indígenas. </w:t>
      </w:r>
      <w:r w:rsidRPr="00C02552">
        <w:rPr>
          <w:rFonts w:ascii="Verdana" w:hAnsi="Verdana" w:cs="Arial"/>
          <w:sz w:val="20"/>
          <w:szCs w:val="20"/>
        </w:rPr>
        <w:t xml:space="preserve">En este sentido, </w:t>
      </w:r>
      <w:r w:rsidRPr="00C02552">
        <w:rPr>
          <w:rFonts w:ascii="Verdana" w:hAnsi="Verdana"/>
          <w:sz w:val="20"/>
          <w:szCs w:val="20"/>
        </w:rPr>
        <w:t xml:space="preserve">la Corte </w:t>
      </w:r>
      <w:r w:rsidR="00635EDE">
        <w:rPr>
          <w:rFonts w:ascii="Verdana" w:hAnsi="Verdana"/>
          <w:sz w:val="20"/>
          <w:szCs w:val="20"/>
        </w:rPr>
        <w:t>estima</w:t>
      </w:r>
      <w:r w:rsidR="00635EDE" w:rsidRPr="00C02552">
        <w:rPr>
          <w:rFonts w:ascii="Verdana" w:hAnsi="Verdana"/>
          <w:sz w:val="20"/>
          <w:szCs w:val="20"/>
        </w:rPr>
        <w:t xml:space="preserve"> </w:t>
      </w:r>
      <w:r w:rsidRPr="00C02552">
        <w:rPr>
          <w:rFonts w:ascii="Verdana" w:hAnsi="Verdana"/>
          <w:sz w:val="20"/>
          <w:szCs w:val="20"/>
        </w:rPr>
        <w:t>que un área protegida, consiste no solamente en la dimensión biológica, sino también en la sociocultural y que, por tanto, incorpora un enfoque interdisciplinario y participativo</w:t>
      </w:r>
      <w:r w:rsidRPr="00C02552">
        <w:rPr>
          <w:rStyle w:val="FootnoteReference"/>
          <w:szCs w:val="20"/>
        </w:rPr>
        <w:footnoteReference w:id="217"/>
      </w:r>
      <w:r w:rsidRPr="00C02552">
        <w:rPr>
          <w:rFonts w:ascii="Verdana" w:hAnsi="Verdana"/>
          <w:sz w:val="20"/>
          <w:szCs w:val="20"/>
        </w:rPr>
        <w:t>. En este sentido, los pueblos indígenas</w:t>
      </w:r>
      <w:r w:rsidR="00E7641F">
        <w:rPr>
          <w:rFonts w:ascii="Verdana" w:hAnsi="Verdana"/>
          <w:sz w:val="20"/>
          <w:szCs w:val="20"/>
        </w:rPr>
        <w:t>,</w:t>
      </w:r>
      <w:r w:rsidRPr="00C02552">
        <w:rPr>
          <w:rFonts w:ascii="Verdana" w:hAnsi="Verdana"/>
          <w:sz w:val="20"/>
          <w:szCs w:val="20"/>
        </w:rPr>
        <w:t xml:space="preserve"> por lo general</w:t>
      </w:r>
      <w:r w:rsidR="00E7641F">
        <w:rPr>
          <w:rFonts w:ascii="Verdana" w:hAnsi="Verdana"/>
          <w:sz w:val="20"/>
          <w:szCs w:val="20"/>
        </w:rPr>
        <w:t>,</w:t>
      </w:r>
      <w:r w:rsidRPr="00C02552">
        <w:rPr>
          <w:rFonts w:ascii="Verdana" w:hAnsi="Verdana"/>
          <w:sz w:val="20"/>
          <w:szCs w:val="20"/>
        </w:rPr>
        <w:t xml:space="preserve"> </w:t>
      </w:r>
      <w:r w:rsidR="00E7641F">
        <w:rPr>
          <w:rFonts w:ascii="Verdana" w:hAnsi="Verdana"/>
          <w:sz w:val="20"/>
          <w:szCs w:val="20"/>
        </w:rPr>
        <w:t xml:space="preserve">pueden </w:t>
      </w:r>
      <w:r w:rsidRPr="00C02552">
        <w:rPr>
          <w:rFonts w:ascii="Verdana" w:hAnsi="Verdana"/>
          <w:sz w:val="20"/>
          <w:szCs w:val="20"/>
        </w:rPr>
        <w:t>desempeña</w:t>
      </w:r>
      <w:r w:rsidR="00E7641F">
        <w:rPr>
          <w:rFonts w:ascii="Verdana" w:hAnsi="Verdana"/>
          <w:sz w:val="20"/>
          <w:szCs w:val="20"/>
        </w:rPr>
        <w:t>r</w:t>
      </w:r>
      <w:r w:rsidRPr="00C02552">
        <w:rPr>
          <w:rFonts w:ascii="Verdana" w:hAnsi="Verdana"/>
          <w:sz w:val="20"/>
          <w:szCs w:val="20"/>
        </w:rPr>
        <w:t xml:space="preserve"> un </w:t>
      </w:r>
      <w:r>
        <w:rPr>
          <w:rFonts w:ascii="Verdana" w:hAnsi="Verdana"/>
          <w:sz w:val="20"/>
          <w:szCs w:val="20"/>
        </w:rPr>
        <w:t>rol</w:t>
      </w:r>
      <w:r w:rsidRPr="00C02552">
        <w:rPr>
          <w:rFonts w:ascii="Verdana" w:hAnsi="Verdana"/>
          <w:sz w:val="20"/>
          <w:szCs w:val="20"/>
        </w:rPr>
        <w:t xml:space="preserve"> </w:t>
      </w:r>
      <w:r w:rsidR="000849CD">
        <w:rPr>
          <w:rFonts w:ascii="Verdana" w:hAnsi="Verdana"/>
          <w:sz w:val="20"/>
          <w:szCs w:val="20"/>
        </w:rPr>
        <w:t>relevante</w:t>
      </w:r>
      <w:r w:rsidRPr="00C02552">
        <w:rPr>
          <w:rFonts w:ascii="Verdana" w:hAnsi="Verdana"/>
          <w:sz w:val="20"/>
          <w:szCs w:val="20"/>
        </w:rPr>
        <w:t xml:space="preserve"> en la conservación de la naturaleza</w:t>
      </w:r>
      <w:r w:rsidRPr="00C02552">
        <w:rPr>
          <w:rStyle w:val="FootnoteReference"/>
          <w:szCs w:val="20"/>
        </w:rPr>
        <w:footnoteReference w:id="218"/>
      </w:r>
      <w:r w:rsidRPr="00C02552">
        <w:rPr>
          <w:rFonts w:ascii="Verdana" w:hAnsi="Verdana"/>
          <w:sz w:val="20"/>
          <w:szCs w:val="20"/>
        </w:rPr>
        <w:t xml:space="preserve">, dado que </w:t>
      </w:r>
      <w:r w:rsidR="000849CD">
        <w:rPr>
          <w:rFonts w:ascii="Verdana" w:hAnsi="Verdana"/>
          <w:sz w:val="20"/>
          <w:szCs w:val="20"/>
        </w:rPr>
        <w:t>ciertos</w:t>
      </w:r>
      <w:r w:rsidRPr="00C02552">
        <w:rPr>
          <w:rFonts w:ascii="Verdana" w:hAnsi="Verdana"/>
          <w:sz w:val="20"/>
          <w:szCs w:val="20"/>
        </w:rPr>
        <w:t xml:space="preserve"> usos tradicionales conllevan prácticas de sustentabilidad y se consideran fundamentales para la eficacia de las estrategias de conservación</w:t>
      </w:r>
      <w:r w:rsidRPr="00C02552">
        <w:rPr>
          <w:rStyle w:val="FootnoteReference"/>
          <w:szCs w:val="20"/>
        </w:rPr>
        <w:footnoteReference w:id="219"/>
      </w:r>
      <w:r w:rsidRPr="00C02552">
        <w:rPr>
          <w:rFonts w:ascii="Verdana" w:hAnsi="Verdana"/>
          <w:sz w:val="20"/>
          <w:szCs w:val="20"/>
        </w:rPr>
        <w:t xml:space="preserve">. Por </w:t>
      </w:r>
      <w:r>
        <w:rPr>
          <w:rFonts w:ascii="Verdana" w:hAnsi="Verdana"/>
          <w:sz w:val="20"/>
          <w:szCs w:val="20"/>
        </w:rPr>
        <w:t>ello</w:t>
      </w:r>
      <w:r w:rsidRPr="00C02552">
        <w:rPr>
          <w:rFonts w:ascii="Verdana" w:hAnsi="Verdana"/>
          <w:sz w:val="20"/>
          <w:szCs w:val="20"/>
        </w:rPr>
        <w:t xml:space="preserve">, el respeto </w:t>
      </w:r>
      <w:r w:rsidR="000849CD">
        <w:rPr>
          <w:rFonts w:ascii="Verdana" w:hAnsi="Verdana"/>
          <w:sz w:val="20"/>
          <w:szCs w:val="20"/>
        </w:rPr>
        <w:t>de</w:t>
      </w:r>
      <w:r w:rsidRPr="00C02552">
        <w:rPr>
          <w:rFonts w:ascii="Verdana" w:hAnsi="Verdana"/>
          <w:sz w:val="20"/>
          <w:szCs w:val="20"/>
        </w:rPr>
        <w:t xml:space="preserve"> los derechos de los pueblos indígenas</w:t>
      </w:r>
      <w:r w:rsidR="0039012A">
        <w:rPr>
          <w:rFonts w:ascii="Verdana" w:hAnsi="Verdana"/>
          <w:sz w:val="20"/>
          <w:szCs w:val="20"/>
        </w:rPr>
        <w:t>,</w:t>
      </w:r>
      <w:r w:rsidR="000849CD">
        <w:rPr>
          <w:rFonts w:ascii="Verdana" w:hAnsi="Verdana"/>
          <w:sz w:val="20"/>
          <w:szCs w:val="20"/>
        </w:rPr>
        <w:t xml:space="preserve"> puede</w:t>
      </w:r>
      <w:r w:rsidRPr="00C02552">
        <w:rPr>
          <w:rFonts w:ascii="Verdana" w:hAnsi="Verdana"/>
          <w:sz w:val="20"/>
          <w:szCs w:val="20"/>
        </w:rPr>
        <w:t xml:space="preserve"> redunda</w:t>
      </w:r>
      <w:r w:rsidR="000849CD">
        <w:rPr>
          <w:rFonts w:ascii="Verdana" w:hAnsi="Verdana"/>
          <w:sz w:val="20"/>
          <w:szCs w:val="20"/>
        </w:rPr>
        <w:t>r</w:t>
      </w:r>
      <w:r w:rsidRPr="00C02552">
        <w:rPr>
          <w:rFonts w:ascii="Verdana" w:hAnsi="Verdana"/>
          <w:sz w:val="20"/>
          <w:szCs w:val="20"/>
        </w:rPr>
        <w:t xml:space="preserve"> positivamente en la conservación del medioambiente. </w:t>
      </w:r>
      <w:r>
        <w:rPr>
          <w:rFonts w:ascii="Verdana" w:hAnsi="Verdana"/>
          <w:sz w:val="20"/>
          <w:szCs w:val="20"/>
        </w:rPr>
        <w:t>Así, e</w:t>
      </w:r>
      <w:r w:rsidRPr="00C02552">
        <w:rPr>
          <w:rFonts w:ascii="Verdana" w:hAnsi="Verdana"/>
          <w:sz w:val="20"/>
          <w:szCs w:val="20"/>
        </w:rPr>
        <w:t>l derecho de los pueblos indígenas y las normas internacionales de medio ambiente deben comprenderse como derechos complementarios y no excluyentes</w:t>
      </w:r>
      <w:r w:rsidRPr="00C02552">
        <w:rPr>
          <w:rStyle w:val="FootnoteReference"/>
          <w:szCs w:val="20"/>
        </w:rPr>
        <w:footnoteReference w:id="220"/>
      </w:r>
      <w:r w:rsidRPr="00C02552">
        <w:rPr>
          <w:rFonts w:ascii="Verdana" w:hAnsi="Verdana"/>
          <w:sz w:val="20"/>
          <w:szCs w:val="20"/>
        </w:rPr>
        <w:t>.</w:t>
      </w:r>
    </w:p>
    <w:p w14:paraId="30357902" w14:textId="77777777" w:rsidR="00FC1FCF" w:rsidRPr="00C02552" w:rsidRDefault="00FC1FCF" w:rsidP="002956E6">
      <w:pPr>
        <w:jc w:val="both"/>
        <w:rPr>
          <w:rFonts w:ascii="Verdana" w:hAnsi="Verdana" w:cs="Arial"/>
          <w:sz w:val="20"/>
          <w:szCs w:val="20"/>
        </w:rPr>
      </w:pPr>
    </w:p>
    <w:p w14:paraId="0E6FFD86" w14:textId="77777777" w:rsidR="00FC1FCF" w:rsidRPr="00C02552" w:rsidRDefault="00FC1FCF" w:rsidP="002956E6">
      <w:pPr>
        <w:pStyle w:val="ListParagraph"/>
        <w:numPr>
          <w:ilvl w:val="0"/>
          <w:numId w:val="2"/>
        </w:numPr>
        <w:ind w:left="0" w:hanging="11"/>
        <w:jc w:val="both"/>
        <w:rPr>
          <w:rFonts w:ascii="Verdana" w:hAnsi="Verdana" w:cs="Arial"/>
          <w:sz w:val="20"/>
          <w:szCs w:val="20"/>
        </w:rPr>
      </w:pPr>
      <w:r w:rsidRPr="00FC1FCF">
        <w:rPr>
          <w:rFonts w:ascii="Verdana" w:hAnsi="Verdana" w:cs="Arial"/>
          <w:sz w:val="20"/>
          <w:szCs w:val="20"/>
          <w:lang w:val="es-ES"/>
        </w:rPr>
        <w:t>En este sentido, el peritaje de la Relatora Especial de la ONU sobre los Derechos de los</w:t>
      </w:r>
      <w:r w:rsidRPr="00C02552">
        <w:rPr>
          <w:rFonts w:ascii="Verdana" w:hAnsi="Verdana" w:cs="Arial"/>
          <w:sz w:val="20"/>
          <w:szCs w:val="20"/>
        </w:rPr>
        <w:t xml:space="preserve"> Pueblos Indígenas, Victoria Tauli-Corpuz, señaló </w:t>
      </w:r>
      <w:r>
        <w:rPr>
          <w:rFonts w:ascii="Verdana" w:hAnsi="Verdana" w:cs="Arial"/>
          <w:sz w:val="20"/>
          <w:szCs w:val="20"/>
        </w:rPr>
        <w:t xml:space="preserve">ante la Corte </w:t>
      </w:r>
      <w:r w:rsidRPr="00C02552">
        <w:rPr>
          <w:rFonts w:ascii="Verdana" w:hAnsi="Verdana" w:cs="Arial"/>
          <w:sz w:val="20"/>
          <w:szCs w:val="20"/>
        </w:rPr>
        <w:t xml:space="preserve">que: </w:t>
      </w:r>
    </w:p>
    <w:p w14:paraId="795DAF34" w14:textId="77777777" w:rsidR="00FC1FCF" w:rsidRPr="00C02552" w:rsidRDefault="00FC1FCF" w:rsidP="002956E6">
      <w:pPr>
        <w:jc w:val="both"/>
        <w:rPr>
          <w:rFonts w:ascii="Verdana" w:hAnsi="Verdana" w:cs="Arial"/>
          <w:sz w:val="20"/>
          <w:szCs w:val="20"/>
        </w:rPr>
      </w:pPr>
    </w:p>
    <w:p w14:paraId="1A176091" w14:textId="77777777" w:rsidR="00FC1FCF" w:rsidRPr="00C31C5A" w:rsidRDefault="00FC1FCF" w:rsidP="002956E6">
      <w:pPr>
        <w:ind w:left="567"/>
        <w:jc w:val="both"/>
        <w:rPr>
          <w:rFonts w:ascii="Verdana" w:hAnsi="Verdana" w:cs="Arial"/>
          <w:sz w:val="18"/>
          <w:szCs w:val="20"/>
        </w:rPr>
      </w:pPr>
      <w:r w:rsidRPr="00C31C5A">
        <w:rPr>
          <w:rFonts w:ascii="Verdana" w:hAnsi="Verdana" w:cs="Arial"/>
          <w:sz w:val="18"/>
          <w:szCs w:val="20"/>
        </w:rPr>
        <w:t xml:space="preserve"> “[</w:t>
      </w:r>
      <w:r w:rsidR="00EB6356">
        <w:rPr>
          <w:rFonts w:ascii="Verdana" w:hAnsi="Verdana" w:cs="Arial"/>
          <w:sz w:val="18"/>
          <w:szCs w:val="20"/>
        </w:rPr>
        <w:t>E</w:t>
      </w:r>
      <w:r w:rsidRPr="00C31C5A">
        <w:rPr>
          <w:rFonts w:ascii="Verdana" w:hAnsi="Verdana" w:cs="Arial"/>
          <w:sz w:val="18"/>
          <w:szCs w:val="20"/>
        </w:rPr>
        <w:t>l</w:t>
      </w:r>
      <w:r w:rsidR="00EB6356" w:rsidRPr="00C31C5A">
        <w:rPr>
          <w:rFonts w:ascii="Verdana" w:hAnsi="Verdana" w:cs="Arial"/>
          <w:sz w:val="18"/>
          <w:szCs w:val="20"/>
        </w:rPr>
        <w:t>]</w:t>
      </w:r>
      <w:r w:rsidRPr="00C31C5A">
        <w:rPr>
          <w:rFonts w:ascii="Verdana" w:hAnsi="Verdana" w:cs="Arial"/>
          <w:sz w:val="18"/>
          <w:szCs w:val="20"/>
        </w:rPr>
        <w:t xml:space="preserve"> derecho internacional ambiental y el derecho internacional de los derechos humanos no deberían considerarse como cuerpos de ley separados, sino como interrelacionados y complementarios. En efecto, los Estados Partes del </w:t>
      </w:r>
      <w:r w:rsidRPr="00FB614B">
        <w:rPr>
          <w:rFonts w:ascii="Verdana" w:hAnsi="Verdana" w:cs="Arial"/>
          <w:sz w:val="18"/>
          <w:szCs w:val="20"/>
        </w:rPr>
        <w:t xml:space="preserve">Convenio sobre Diversidad Biológica </w:t>
      </w:r>
      <w:r>
        <w:rPr>
          <w:rFonts w:ascii="Verdana" w:hAnsi="Verdana" w:cs="Arial"/>
          <w:sz w:val="18"/>
          <w:szCs w:val="20"/>
        </w:rPr>
        <w:t>(</w:t>
      </w:r>
      <w:r w:rsidRPr="00C31C5A">
        <w:rPr>
          <w:rFonts w:ascii="Verdana" w:hAnsi="Verdana" w:cs="Arial"/>
          <w:sz w:val="18"/>
          <w:szCs w:val="20"/>
        </w:rPr>
        <w:t>CBD</w:t>
      </w:r>
      <w:r>
        <w:rPr>
          <w:rFonts w:ascii="Verdana" w:hAnsi="Verdana" w:cs="Arial"/>
          <w:sz w:val="18"/>
          <w:szCs w:val="20"/>
        </w:rPr>
        <w:t>)</w:t>
      </w:r>
      <w:r w:rsidRPr="00C31C5A">
        <w:rPr>
          <w:rFonts w:ascii="Verdana" w:hAnsi="Verdana" w:cs="Arial"/>
          <w:sz w:val="18"/>
          <w:szCs w:val="20"/>
        </w:rPr>
        <w:t xml:space="preserve"> han incorporado el respeto de los derechos y obligaciones internacionales relacionadas en sus decisiones sobre las áreas protegidas en relación con los pueblos indígenas” […] </w:t>
      </w:r>
      <w:r>
        <w:rPr>
          <w:rFonts w:ascii="Verdana" w:hAnsi="Verdana" w:cs="Arial"/>
          <w:sz w:val="18"/>
          <w:szCs w:val="20"/>
        </w:rPr>
        <w:t>E</w:t>
      </w:r>
      <w:r w:rsidRPr="00C31C5A">
        <w:rPr>
          <w:rFonts w:ascii="Verdana" w:hAnsi="Verdana" w:cs="Arial"/>
          <w:sz w:val="18"/>
          <w:szCs w:val="20"/>
        </w:rPr>
        <w:t xml:space="preserve">l CBD y su </w:t>
      </w:r>
      <w:r w:rsidRPr="00C31C5A">
        <w:rPr>
          <w:rFonts w:ascii="Verdana" w:hAnsi="Verdana" w:cs="Arial"/>
          <w:sz w:val="18"/>
          <w:szCs w:val="20"/>
        </w:rPr>
        <w:lastRenderedPageBreak/>
        <w:t xml:space="preserve">interpretación autorizada por la Conferencia de las Partes defienden completamente los derechos de los pueblos indígenas en relación con las áreas protegidas y requiere que se establezcan y sean gestionados en pleno cumplimiento de la obligación internacional del Estado. Esto permite la aplicación de todo el espectro de las obligaciones de derechos humanos del Estado según los define la Convención Americana sobre Derechos Humanos </w:t>
      </w:r>
      <w:r w:rsidR="00964738">
        <w:rPr>
          <w:rFonts w:ascii="Verdana" w:hAnsi="Verdana" w:cs="Arial"/>
          <w:sz w:val="18"/>
          <w:szCs w:val="20"/>
        </w:rPr>
        <w:t>y</w:t>
      </w:r>
      <w:r w:rsidRPr="00C31C5A">
        <w:rPr>
          <w:rFonts w:ascii="Verdana" w:hAnsi="Verdana" w:cs="Arial"/>
          <w:sz w:val="18"/>
          <w:szCs w:val="20"/>
        </w:rPr>
        <w:t xml:space="preserve"> establecidos en la declaración de la ONU. Este es también el consenso reflejado en las normas de política internacional primarias y buenas prácticas. […] La Relatoría </w:t>
      </w:r>
      <w:r w:rsidR="007A0FA6">
        <w:rPr>
          <w:rFonts w:ascii="Verdana" w:hAnsi="Verdana" w:cs="Arial"/>
          <w:sz w:val="18"/>
          <w:szCs w:val="20"/>
        </w:rPr>
        <w:t xml:space="preserve">[de la ONU] </w:t>
      </w:r>
      <w:r w:rsidRPr="00C31C5A">
        <w:rPr>
          <w:rFonts w:ascii="Verdana" w:hAnsi="Verdana" w:cs="Arial"/>
          <w:sz w:val="18"/>
          <w:szCs w:val="20"/>
        </w:rPr>
        <w:t>se ha adherido a los mismos principios básicos enunciados por el Comité de Derechos Humanos y el Comité para la Eliminación de la Discriminación Racial. […]</w:t>
      </w:r>
      <w:r w:rsidRPr="002632A7">
        <w:rPr>
          <w:rFonts w:ascii="Verdana" w:hAnsi="Verdana"/>
          <w:sz w:val="18"/>
          <w:szCs w:val="20"/>
          <w:vertAlign w:val="superscript"/>
        </w:rPr>
        <w:footnoteReference w:id="221"/>
      </w:r>
      <w:r w:rsidR="00EC7D68">
        <w:rPr>
          <w:rFonts w:ascii="Verdana" w:hAnsi="Verdana" w:cs="Arial"/>
          <w:sz w:val="18"/>
          <w:szCs w:val="20"/>
        </w:rPr>
        <w:t>”.</w:t>
      </w:r>
    </w:p>
    <w:p w14:paraId="0DE06C20" w14:textId="77777777" w:rsidR="00FC1FCF" w:rsidRPr="00C02552" w:rsidRDefault="00FC1FCF" w:rsidP="002956E6">
      <w:pPr>
        <w:jc w:val="both"/>
        <w:rPr>
          <w:rFonts w:ascii="Verdana" w:hAnsi="Verdana" w:cs="Arial"/>
          <w:sz w:val="20"/>
          <w:szCs w:val="20"/>
        </w:rPr>
      </w:pPr>
    </w:p>
    <w:p w14:paraId="75A0CC1B" w14:textId="77777777" w:rsidR="00FC1FCF" w:rsidRPr="00C02552" w:rsidRDefault="00FC1FCF" w:rsidP="002956E6">
      <w:pPr>
        <w:pStyle w:val="ListParagraph"/>
        <w:numPr>
          <w:ilvl w:val="0"/>
          <w:numId w:val="2"/>
        </w:numPr>
        <w:ind w:left="0" w:hanging="11"/>
        <w:jc w:val="both"/>
        <w:rPr>
          <w:rFonts w:ascii="Verdana" w:hAnsi="Verdana" w:cs="Arial"/>
          <w:sz w:val="20"/>
          <w:szCs w:val="20"/>
        </w:rPr>
      </w:pPr>
      <w:r>
        <w:rPr>
          <w:rFonts w:ascii="Verdana" w:hAnsi="Verdana" w:cs="Arial"/>
          <w:sz w:val="20"/>
          <w:szCs w:val="20"/>
        </w:rPr>
        <w:t xml:space="preserve">Por su parte, el </w:t>
      </w:r>
      <w:r w:rsidRPr="00C02552">
        <w:rPr>
          <w:rFonts w:ascii="Verdana" w:hAnsi="Verdana" w:cs="Arial"/>
          <w:sz w:val="20"/>
          <w:szCs w:val="20"/>
        </w:rPr>
        <w:t xml:space="preserve">perito Jeremie Gilbert </w:t>
      </w:r>
      <w:r>
        <w:rPr>
          <w:rFonts w:ascii="Verdana" w:hAnsi="Verdana" w:cs="Arial"/>
          <w:sz w:val="20"/>
          <w:szCs w:val="20"/>
        </w:rPr>
        <w:t xml:space="preserve">declaró ante la Corte sobre </w:t>
      </w:r>
      <w:r w:rsidR="00147144">
        <w:rPr>
          <w:rFonts w:ascii="Verdana" w:hAnsi="Verdana" w:cs="Arial"/>
          <w:sz w:val="20"/>
          <w:szCs w:val="20"/>
        </w:rPr>
        <w:t xml:space="preserve">los </w:t>
      </w:r>
      <w:r>
        <w:rPr>
          <w:rFonts w:ascii="Verdana" w:hAnsi="Verdana" w:cs="Arial"/>
          <w:sz w:val="20"/>
          <w:szCs w:val="20"/>
        </w:rPr>
        <w:t xml:space="preserve">mecanismos de </w:t>
      </w:r>
      <w:r w:rsidRPr="00C02552">
        <w:rPr>
          <w:rFonts w:ascii="Verdana" w:hAnsi="Verdana" w:cs="Arial"/>
          <w:sz w:val="20"/>
          <w:szCs w:val="20"/>
        </w:rPr>
        <w:t>ponderación de derechos en juego</w:t>
      </w:r>
      <w:r>
        <w:rPr>
          <w:rFonts w:ascii="Verdana" w:hAnsi="Verdana" w:cs="Arial"/>
          <w:sz w:val="20"/>
          <w:szCs w:val="20"/>
        </w:rPr>
        <w:t xml:space="preserve"> para este tipo de casos, y señaló que</w:t>
      </w:r>
      <w:r w:rsidRPr="00C02552">
        <w:rPr>
          <w:rFonts w:ascii="Verdana" w:hAnsi="Verdana" w:cs="Arial"/>
          <w:sz w:val="20"/>
          <w:szCs w:val="20"/>
        </w:rPr>
        <w:t xml:space="preserve">: </w:t>
      </w:r>
    </w:p>
    <w:p w14:paraId="34C328C3" w14:textId="77777777" w:rsidR="00FC1FCF" w:rsidRPr="00C02552" w:rsidRDefault="00FC1FCF" w:rsidP="002956E6">
      <w:pPr>
        <w:jc w:val="both"/>
        <w:rPr>
          <w:rFonts w:ascii="Verdana" w:hAnsi="Verdana" w:cs="Arial"/>
          <w:sz w:val="20"/>
          <w:szCs w:val="20"/>
        </w:rPr>
      </w:pPr>
    </w:p>
    <w:p w14:paraId="3DFF8B8B" w14:textId="77777777" w:rsidR="00FC1FCF" w:rsidRDefault="00FC1FCF" w:rsidP="002956E6">
      <w:pPr>
        <w:ind w:left="567"/>
        <w:jc w:val="both"/>
        <w:rPr>
          <w:rFonts w:ascii="Verdana" w:hAnsi="Verdana" w:cs="Arial"/>
          <w:sz w:val="18"/>
          <w:szCs w:val="18"/>
        </w:rPr>
      </w:pPr>
      <w:r w:rsidRPr="00C31C5A">
        <w:rPr>
          <w:rFonts w:ascii="Verdana" w:hAnsi="Verdana" w:cs="Arial"/>
          <w:sz w:val="18"/>
          <w:szCs w:val="18"/>
        </w:rPr>
        <w:t>[Respecto del criterio de necesidad], los pueblos indígenas son parte de la protección natural; no hay ninguna necesidad de e</w:t>
      </w:r>
      <w:r w:rsidRPr="00E74EA4">
        <w:rPr>
          <w:rFonts w:ascii="Verdana" w:hAnsi="Verdana" w:cs="Arial"/>
          <w:sz w:val="18"/>
          <w:szCs w:val="18"/>
        </w:rPr>
        <w:t>xpulsar</w:t>
      </w:r>
      <w:r w:rsidRPr="00C31C5A">
        <w:rPr>
          <w:rFonts w:ascii="Verdana" w:hAnsi="Verdana" w:cs="Arial"/>
          <w:sz w:val="18"/>
          <w:szCs w:val="18"/>
        </w:rPr>
        <w:t xml:space="preserve"> a los pueblos indígenas en nombre de la protección de la naturaleza. […]</w:t>
      </w:r>
      <w:r w:rsidR="00E7641F">
        <w:rPr>
          <w:rFonts w:ascii="Verdana" w:hAnsi="Verdana" w:cs="Arial"/>
          <w:sz w:val="18"/>
          <w:szCs w:val="18"/>
        </w:rPr>
        <w:t xml:space="preserve"> </w:t>
      </w:r>
      <w:r w:rsidRPr="00C31C5A">
        <w:rPr>
          <w:rFonts w:ascii="Verdana" w:hAnsi="Verdana" w:cs="Arial"/>
          <w:sz w:val="18"/>
          <w:szCs w:val="18"/>
        </w:rPr>
        <w:t xml:space="preserve">Respecto de su legitimidad, la protección de la naturaleza es legítima, pero con base en [lo dicho], los pueblos indígenas son parte de la protección de la naturaleza, así que no hay ningún objetivo legítimo para la eliminación de estos pueblos que han sido parte de esos recursos. [Por tanto], si aplicamos estrictamente la norma jurídica, podemos afirmar que en esta situación se equivocan </w:t>
      </w:r>
      <w:r w:rsidRPr="00E74EA4">
        <w:rPr>
          <w:rFonts w:ascii="Verdana" w:hAnsi="Verdana" w:cs="Arial"/>
          <w:sz w:val="18"/>
          <w:szCs w:val="18"/>
        </w:rPr>
        <w:t xml:space="preserve">[los Estados] </w:t>
      </w:r>
      <w:r w:rsidRPr="00C31C5A">
        <w:rPr>
          <w:rFonts w:ascii="Verdana" w:hAnsi="Verdana" w:cs="Arial"/>
          <w:sz w:val="18"/>
          <w:szCs w:val="18"/>
        </w:rPr>
        <w:t>al utilizar el interés público como justificación”</w:t>
      </w:r>
      <w:r w:rsidRPr="00C31C5A">
        <w:rPr>
          <w:rStyle w:val="FootnoteReference"/>
          <w:rFonts w:cs="Arial"/>
          <w:sz w:val="18"/>
          <w:szCs w:val="18"/>
        </w:rPr>
        <w:footnoteReference w:id="222"/>
      </w:r>
      <w:r w:rsidRPr="00E74EA4">
        <w:rPr>
          <w:rFonts w:ascii="Verdana" w:hAnsi="Verdana" w:cs="Arial"/>
          <w:sz w:val="18"/>
          <w:szCs w:val="18"/>
        </w:rPr>
        <w:t>.</w:t>
      </w:r>
    </w:p>
    <w:p w14:paraId="0F993103" w14:textId="77777777" w:rsidR="002956E6" w:rsidRPr="00C31C5A" w:rsidRDefault="002956E6" w:rsidP="002956E6">
      <w:pPr>
        <w:ind w:left="567"/>
        <w:jc w:val="both"/>
        <w:rPr>
          <w:sz w:val="18"/>
          <w:szCs w:val="18"/>
        </w:rPr>
      </w:pPr>
    </w:p>
    <w:p w14:paraId="02F9E795" w14:textId="6AA803DD" w:rsidR="00FC1FCF" w:rsidRDefault="00FC1FCF" w:rsidP="002956E6">
      <w:pPr>
        <w:pStyle w:val="ListParagraph"/>
        <w:numPr>
          <w:ilvl w:val="0"/>
          <w:numId w:val="2"/>
        </w:numPr>
        <w:ind w:left="0" w:hanging="11"/>
        <w:jc w:val="both"/>
        <w:rPr>
          <w:rFonts w:ascii="Verdana" w:hAnsi="Verdana"/>
          <w:sz w:val="20"/>
          <w:szCs w:val="20"/>
        </w:rPr>
      </w:pPr>
      <w:r>
        <w:rPr>
          <w:rFonts w:ascii="Verdana" w:hAnsi="Verdana"/>
          <w:sz w:val="20"/>
          <w:szCs w:val="20"/>
        </w:rPr>
        <w:t>Por otra parte, l</w:t>
      </w:r>
      <w:r w:rsidRPr="00C02552">
        <w:rPr>
          <w:rFonts w:ascii="Verdana" w:hAnsi="Verdana"/>
          <w:sz w:val="20"/>
          <w:szCs w:val="20"/>
        </w:rPr>
        <w:t>a Corte toma nota también de lo señalado por el Estado en cuanto a su compromiso con la protección del medio ambiente</w:t>
      </w:r>
      <w:r>
        <w:rPr>
          <w:rFonts w:ascii="Verdana" w:hAnsi="Verdana"/>
          <w:sz w:val="20"/>
          <w:szCs w:val="20"/>
        </w:rPr>
        <w:t xml:space="preserve">, </w:t>
      </w:r>
      <w:r w:rsidR="00A30243">
        <w:rPr>
          <w:rFonts w:ascii="Verdana" w:hAnsi="Verdana"/>
          <w:sz w:val="20"/>
          <w:szCs w:val="20"/>
        </w:rPr>
        <w:t xml:space="preserve">mediante el cual </w:t>
      </w:r>
      <w:r w:rsidR="00AE3C14">
        <w:rPr>
          <w:rFonts w:ascii="Verdana" w:hAnsi="Verdana"/>
          <w:sz w:val="20"/>
          <w:szCs w:val="20"/>
        </w:rPr>
        <w:t>destac</w:t>
      </w:r>
      <w:r w:rsidR="00A30243">
        <w:rPr>
          <w:rFonts w:ascii="Verdana" w:hAnsi="Verdana"/>
          <w:sz w:val="20"/>
          <w:szCs w:val="20"/>
        </w:rPr>
        <w:t>ó</w:t>
      </w:r>
      <w:r>
        <w:rPr>
          <w:rFonts w:ascii="Verdana" w:hAnsi="Verdana"/>
          <w:sz w:val="20"/>
          <w:szCs w:val="20"/>
        </w:rPr>
        <w:t xml:space="preserve"> </w:t>
      </w:r>
      <w:r w:rsidR="007A0FA6">
        <w:rPr>
          <w:rFonts w:ascii="Verdana" w:hAnsi="Verdana"/>
          <w:sz w:val="20"/>
          <w:szCs w:val="20"/>
        </w:rPr>
        <w:t xml:space="preserve">expresamente </w:t>
      </w:r>
      <w:r>
        <w:rPr>
          <w:rFonts w:ascii="Verdana" w:hAnsi="Verdana"/>
          <w:sz w:val="20"/>
          <w:szCs w:val="20"/>
        </w:rPr>
        <w:t xml:space="preserve">sus </w:t>
      </w:r>
      <w:r w:rsidR="007A0FA6">
        <w:rPr>
          <w:rFonts w:ascii="Verdana" w:hAnsi="Verdana"/>
          <w:sz w:val="20"/>
          <w:szCs w:val="20"/>
        </w:rPr>
        <w:t>“</w:t>
      </w:r>
      <w:r>
        <w:rPr>
          <w:rFonts w:ascii="Verdana" w:hAnsi="Verdana"/>
          <w:sz w:val="20"/>
          <w:szCs w:val="20"/>
        </w:rPr>
        <w:t xml:space="preserve">obligaciones derivadas del Convenio de </w:t>
      </w:r>
      <w:r w:rsidR="00147144">
        <w:rPr>
          <w:rFonts w:ascii="Verdana" w:hAnsi="Verdana"/>
          <w:sz w:val="20"/>
          <w:szCs w:val="20"/>
        </w:rPr>
        <w:t xml:space="preserve">sobre la Diversidad Biológica </w:t>
      </w:r>
      <w:r>
        <w:rPr>
          <w:rFonts w:ascii="Verdana" w:hAnsi="Verdana"/>
          <w:sz w:val="20"/>
          <w:szCs w:val="20"/>
        </w:rPr>
        <w:t xml:space="preserve">de la ONU </w:t>
      </w:r>
      <w:r w:rsidR="00147144">
        <w:rPr>
          <w:rFonts w:ascii="Verdana" w:hAnsi="Verdana"/>
          <w:sz w:val="20"/>
          <w:szCs w:val="20"/>
        </w:rPr>
        <w:t xml:space="preserve">[de </w:t>
      </w:r>
      <w:r>
        <w:rPr>
          <w:rFonts w:ascii="Verdana" w:hAnsi="Verdana"/>
          <w:sz w:val="20"/>
          <w:szCs w:val="20"/>
        </w:rPr>
        <w:t>1992</w:t>
      </w:r>
      <w:r w:rsidR="00147144">
        <w:rPr>
          <w:rFonts w:ascii="Verdana" w:hAnsi="Verdana"/>
          <w:sz w:val="20"/>
          <w:szCs w:val="20"/>
        </w:rPr>
        <w:t>]</w:t>
      </w:r>
      <w:r w:rsidR="00C06ECD">
        <w:rPr>
          <w:rStyle w:val="FootnoteReference"/>
          <w:szCs w:val="20"/>
        </w:rPr>
        <w:footnoteReference w:id="223"/>
      </w:r>
      <w:r>
        <w:rPr>
          <w:rFonts w:ascii="Verdana" w:hAnsi="Verdana"/>
          <w:sz w:val="20"/>
          <w:szCs w:val="20"/>
        </w:rPr>
        <w:t xml:space="preserve"> y el Convenio de Ramsar sobre la protección de Humedales</w:t>
      </w:r>
      <w:r w:rsidR="00AC7320">
        <w:rPr>
          <w:rFonts w:ascii="Verdana" w:hAnsi="Verdana"/>
          <w:sz w:val="20"/>
          <w:szCs w:val="20"/>
        </w:rPr>
        <w:t xml:space="preserve"> </w:t>
      </w:r>
      <w:r w:rsidR="00147144">
        <w:rPr>
          <w:rFonts w:ascii="Verdana" w:hAnsi="Verdana"/>
          <w:sz w:val="20"/>
          <w:szCs w:val="20"/>
        </w:rPr>
        <w:t xml:space="preserve">[de </w:t>
      </w:r>
      <w:r>
        <w:rPr>
          <w:rFonts w:ascii="Verdana" w:hAnsi="Verdana"/>
          <w:sz w:val="20"/>
          <w:szCs w:val="20"/>
        </w:rPr>
        <w:t>1971</w:t>
      </w:r>
      <w:r w:rsidR="00147144">
        <w:rPr>
          <w:rFonts w:ascii="Verdana" w:hAnsi="Verdana"/>
          <w:sz w:val="20"/>
          <w:szCs w:val="20"/>
        </w:rPr>
        <w:t>]</w:t>
      </w:r>
      <w:r w:rsidR="007A0FA6">
        <w:rPr>
          <w:rFonts w:ascii="Verdana" w:hAnsi="Verdana"/>
          <w:sz w:val="20"/>
          <w:szCs w:val="20"/>
        </w:rPr>
        <w:t>”</w:t>
      </w:r>
      <w:r w:rsidR="00FF5C4F" w:rsidRPr="008464D3">
        <w:rPr>
          <w:rStyle w:val="FootnoteReference"/>
          <w:szCs w:val="20"/>
        </w:rPr>
        <w:footnoteReference w:id="224"/>
      </w:r>
      <w:r w:rsidRPr="008464D3">
        <w:rPr>
          <w:rFonts w:ascii="Verdana" w:hAnsi="Verdana"/>
          <w:sz w:val="20"/>
          <w:szCs w:val="20"/>
        </w:rPr>
        <w:t>.</w:t>
      </w:r>
      <w:r w:rsidRPr="00C02552">
        <w:rPr>
          <w:rFonts w:ascii="Verdana" w:hAnsi="Verdana"/>
          <w:sz w:val="20"/>
          <w:szCs w:val="20"/>
        </w:rPr>
        <w:t xml:space="preserve"> </w:t>
      </w:r>
      <w:r>
        <w:rPr>
          <w:rFonts w:ascii="Verdana" w:hAnsi="Verdana"/>
          <w:sz w:val="20"/>
          <w:szCs w:val="20"/>
        </w:rPr>
        <w:t xml:space="preserve">Asimismo, </w:t>
      </w:r>
      <w:r w:rsidRPr="00C02552">
        <w:rPr>
          <w:rFonts w:ascii="Verdana" w:hAnsi="Verdana"/>
          <w:sz w:val="20"/>
          <w:szCs w:val="20"/>
        </w:rPr>
        <w:t xml:space="preserve">en el Decreto de Protección de la Naturaleza de 1998 (que modificó los Decretos que crearon la Reserva de Wia Wia y Wane Kreek), en su exposición de motivos </w:t>
      </w:r>
      <w:r>
        <w:rPr>
          <w:rFonts w:ascii="Verdana" w:hAnsi="Verdana"/>
          <w:sz w:val="20"/>
          <w:szCs w:val="20"/>
        </w:rPr>
        <w:t xml:space="preserve">hizo mención expresa a </w:t>
      </w:r>
      <w:r w:rsidRPr="00C02552">
        <w:rPr>
          <w:rFonts w:ascii="Verdana" w:hAnsi="Verdana"/>
          <w:sz w:val="20"/>
          <w:szCs w:val="20"/>
        </w:rPr>
        <w:t>su</w:t>
      </w:r>
      <w:r>
        <w:rPr>
          <w:rFonts w:ascii="Verdana" w:hAnsi="Verdana"/>
          <w:sz w:val="20"/>
          <w:szCs w:val="20"/>
        </w:rPr>
        <w:t>s</w:t>
      </w:r>
      <w:r w:rsidRPr="00C02552">
        <w:rPr>
          <w:rFonts w:ascii="Verdana" w:hAnsi="Verdana"/>
          <w:sz w:val="20"/>
          <w:szCs w:val="20"/>
        </w:rPr>
        <w:t xml:space="preserve"> compromiso</w:t>
      </w:r>
      <w:r>
        <w:rPr>
          <w:rFonts w:ascii="Verdana" w:hAnsi="Verdana"/>
          <w:sz w:val="20"/>
          <w:szCs w:val="20"/>
        </w:rPr>
        <w:t>s</w:t>
      </w:r>
      <w:r w:rsidRPr="00C02552">
        <w:rPr>
          <w:rFonts w:ascii="Verdana" w:hAnsi="Verdana"/>
          <w:sz w:val="20"/>
          <w:szCs w:val="20"/>
        </w:rPr>
        <w:t xml:space="preserve"> con la preservación y desarrollo sostenible de bosques tropicales, </w:t>
      </w:r>
      <w:r w:rsidR="007A0FA6">
        <w:rPr>
          <w:rFonts w:ascii="Verdana" w:hAnsi="Verdana"/>
          <w:sz w:val="20"/>
          <w:szCs w:val="20"/>
        </w:rPr>
        <w:t>“</w:t>
      </w:r>
      <w:r w:rsidRPr="00C02552">
        <w:rPr>
          <w:rFonts w:ascii="Verdana" w:hAnsi="Verdana"/>
          <w:sz w:val="20"/>
          <w:szCs w:val="20"/>
        </w:rPr>
        <w:t xml:space="preserve">derivado del acceso de </w:t>
      </w:r>
      <w:r w:rsidR="00563E11">
        <w:rPr>
          <w:rFonts w:ascii="Verdana" w:hAnsi="Verdana"/>
          <w:sz w:val="20"/>
          <w:szCs w:val="20"/>
        </w:rPr>
        <w:t>Surinam</w:t>
      </w:r>
      <w:r w:rsidRPr="00C02552">
        <w:rPr>
          <w:rFonts w:ascii="Verdana" w:hAnsi="Verdana"/>
          <w:sz w:val="20"/>
          <w:szCs w:val="20"/>
        </w:rPr>
        <w:t xml:space="preserve"> a diversas </w:t>
      </w:r>
      <w:r>
        <w:rPr>
          <w:rFonts w:ascii="Verdana" w:hAnsi="Verdana"/>
          <w:sz w:val="20"/>
          <w:szCs w:val="20"/>
        </w:rPr>
        <w:t>c</w:t>
      </w:r>
      <w:r w:rsidRPr="00C02552">
        <w:rPr>
          <w:rFonts w:ascii="Verdana" w:hAnsi="Verdana"/>
          <w:sz w:val="20"/>
          <w:szCs w:val="20"/>
        </w:rPr>
        <w:t xml:space="preserve">onvenciones internacionales, tales como: </w:t>
      </w:r>
      <w:r>
        <w:rPr>
          <w:rFonts w:ascii="Verdana" w:hAnsi="Verdana"/>
          <w:sz w:val="20"/>
          <w:szCs w:val="20"/>
        </w:rPr>
        <w:t xml:space="preserve">la Convención del Patrimonio Mundial </w:t>
      </w:r>
      <w:r w:rsidR="00147144">
        <w:rPr>
          <w:rFonts w:ascii="Verdana" w:hAnsi="Verdana"/>
          <w:sz w:val="20"/>
          <w:szCs w:val="20"/>
        </w:rPr>
        <w:t xml:space="preserve"> [de </w:t>
      </w:r>
      <w:r>
        <w:rPr>
          <w:rFonts w:ascii="Verdana" w:hAnsi="Verdana"/>
          <w:sz w:val="20"/>
          <w:szCs w:val="20"/>
        </w:rPr>
        <w:t>1972</w:t>
      </w:r>
      <w:r w:rsidR="00147144">
        <w:rPr>
          <w:rFonts w:ascii="Verdana" w:hAnsi="Verdana"/>
          <w:sz w:val="20"/>
          <w:szCs w:val="20"/>
        </w:rPr>
        <w:t>]</w:t>
      </w:r>
      <w:r>
        <w:rPr>
          <w:rStyle w:val="FootnoteReference"/>
          <w:szCs w:val="20"/>
        </w:rPr>
        <w:footnoteReference w:id="225"/>
      </w:r>
      <w:r>
        <w:rPr>
          <w:rFonts w:ascii="Verdana" w:hAnsi="Verdana"/>
          <w:sz w:val="20"/>
          <w:szCs w:val="20"/>
        </w:rPr>
        <w:t xml:space="preserve">, </w:t>
      </w:r>
      <w:r w:rsidR="00147144">
        <w:rPr>
          <w:rFonts w:ascii="Verdana" w:hAnsi="Verdana"/>
          <w:sz w:val="20"/>
          <w:szCs w:val="20"/>
        </w:rPr>
        <w:t>el</w:t>
      </w:r>
      <w:r>
        <w:rPr>
          <w:rFonts w:ascii="Verdana" w:hAnsi="Verdana"/>
          <w:sz w:val="20"/>
          <w:szCs w:val="20"/>
        </w:rPr>
        <w:t xml:space="preserve"> Conve</w:t>
      </w:r>
      <w:r w:rsidR="00FF5C4F">
        <w:rPr>
          <w:rFonts w:ascii="Verdana" w:hAnsi="Verdana"/>
          <w:sz w:val="20"/>
          <w:szCs w:val="20"/>
        </w:rPr>
        <w:t>nio</w:t>
      </w:r>
      <w:r>
        <w:rPr>
          <w:rFonts w:ascii="Verdana" w:hAnsi="Verdana"/>
          <w:sz w:val="20"/>
          <w:szCs w:val="20"/>
        </w:rPr>
        <w:t xml:space="preserve"> </w:t>
      </w:r>
      <w:r w:rsidR="00FF5C4F">
        <w:rPr>
          <w:rFonts w:ascii="Verdana" w:hAnsi="Verdana"/>
          <w:sz w:val="20"/>
          <w:szCs w:val="20"/>
        </w:rPr>
        <w:t xml:space="preserve">sobre </w:t>
      </w:r>
      <w:r>
        <w:rPr>
          <w:rFonts w:ascii="Verdana" w:hAnsi="Verdana"/>
          <w:sz w:val="20"/>
          <w:szCs w:val="20"/>
        </w:rPr>
        <w:t xml:space="preserve">la Diversidad Biológica </w:t>
      </w:r>
      <w:r w:rsidR="00147144">
        <w:rPr>
          <w:rFonts w:ascii="Verdana" w:hAnsi="Verdana"/>
          <w:sz w:val="20"/>
          <w:szCs w:val="20"/>
        </w:rPr>
        <w:t xml:space="preserve">[de </w:t>
      </w:r>
      <w:r>
        <w:rPr>
          <w:rFonts w:ascii="Verdana" w:hAnsi="Verdana"/>
          <w:sz w:val="20"/>
          <w:szCs w:val="20"/>
        </w:rPr>
        <w:t>1992</w:t>
      </w:r>
      <w:r w:rsidR="00147144">
        <w:rPr>
          <w:rFonts w:ascii="Verdana" w:hAnsi="Verdana"/>
          <w:sz w:val="20"/>
          <w:szCs w:val="20"/>
        </w:rPr>
        <w:t>]</w:t>
      </w:r>
      <w:r>
        <w:rPr>
          <w:rFonts w:ascii="Verdana" w:hAnsi="Verdana"/>
          <w:sz w:val="20"/>
          <w:szCs w:val="20"/>
        </w:rPr>
        <w:t xml:space="preserve"> y el Convención Marco de las Naciones Unidas sobre el Cambio Climático</w:t>
      </w:r>
      <w:r w:rsidR="00147144">
        <w:rPr>
          <w:rFonts w:ascii="Verdana" w:hAnsi="Verdana"/>
          <w:sz w:val="20"/>
          <w:szCs w:val="20"/>
        </w:rPr>
        <w:t xml:space="preserve"> [de </w:t>
      </w:r>
      <w:r>
        <w:rPr>
          <w:rFonts w:ascii="Verdana" w:hAnsi="Verdana"/>
          <w:sz w:val="20"/>
          <w:szCs w:val="20"/>
        </w:rPr>
        <w:t>1998</w:t>
      </w:r>
      <w:r w:rsidR="00147144">
        <w:rPr>
          <w:rFonts w:ascii="Verdana" w:hAnsi="Verdana"/>
          <w:sz w:val="20"/>
          <w:szCs w:val="20"/>
        </w:rPr>
        <w:t>]</w:t>
      </w:r>
      <w:r w:rsidR="007A0FA6">
        <w:rPr>
          <w:rFonts w:ascii="Verdana" w:hAnsi="Verdana"/>
          <w:sz w:val="20"/>
          <w:szCs w:val="20"/>
        </w:rPr>
        <w:t>”</w:t>
      </w:r>
      <w:r>
        <w:rPr>
          <w:rStyle w:val="FootnoteReference"/>
          <w:szCs w:val="20"/>
        </w:rPr>
        <w:footnoteReference w:id="226"/>
      </w:r>
      <w:r w:rsidR="00993346">
        <w:rPr>
          <w:rFonts w:ascii="Verdana" w:hAnsi="Verdana"/>
          <w:sz w:val="20"/>
          <w:szCs w:val="20"/>
        </w:rPr>
        <w:t xml:space="preserve">, entre otros instrumentos aplicables a Surinam en la materia. </w:t>
      </w:r>
    </w:p>
    <w:p w14:paraId="4835E80A" w14:textId="77777777" w:rsidR="004958CF" w:rsidRDefault="004958CF" w:rsidP="004958CF">
      <w:pPr>
        <w:pStyle w:val="ListParagraph"/>
        <w:ind w:left="0"/>
        <w:jc w:val="both"/>
        <w:rPr>
          <w:rFonts w:ascii="Verdana" w:hAnsi="Verdana"/>
          <w:sz w:val="20"/>
          <w:szCs w:val="20"/>
        </w:rPr>
      </w:pPr>
    </w:p>
    <w:p w14:paraId="5713A837" w14:textId="77777777" w:rsidR="008274EC" w:rsidRPr="002C323A" w:rsidRDefault="004958CF" w:rsidP="008274EC">
      <w:pPr>
        <w:pStyle w:val="ListParagraph"/>
        <w:numPr>
          <w:ilvl w:val="0"/>
          <w:numId w:val="2"/>
        </w:numPr>
        <w:ind w:left="0" w:hanging="11"/>
        <w:jc w:val="both"/>
        <w:rPr>
          <w:rFonts w:ascii="Verdana" w:hAnsi="Verdana"/>
          <w:sz w:val="20"/>
          <w:szCs w:val="20"/>
        </w:rPr>
      </w:pPr>
      <w:r w:rsidRPr="00FF0F31">
        <w:rPr>
          <w:rFonts w:ascii="Verdana" w:hAnsi="Verdana"/>
          <w:sz w:val="20"/>
          <w:szCs w:val="20"/>
        </w:rPr>
        <w:lastRenderedPageBreak/>
        <w:t xml:space="preserve">En este respecto, por ejemplo, </w:t>
      </w:r>
      <w:r w:rsidR="008274EC" w:rsidRPr="00FD07FC">
        <w:rPr>
          <w:rFonts w:ascii="Verdana" w:hAnsi="Verdana"/>
          <w:sz w:val="20"/>
          <w:szCs w:val="20"/>
          <w:lang w:val="es-PR"/>
        </w:rPr>
        <w:t>el</w:t>
      </w:r>
      <w:r w:rsidR="008274EC" w:rsidRPr="008274EC">
        <w:rPr>
          <w:rFonts w:ascii="Verdana" w:hAnsi="Verdana"/>
          <w:sz w:val="20"/>
          <w:szCs w:val="20"/>
          <w:lang w:val="es-PR"/>
        </w:rPr>
        <w:t xml:space="preserve"> artículo 8.</w:t>
      </w:r>
      <w:r w:rsidR="008274EC">
        <w:rPr>
          <w:rFonts w:ascii="Verdana" w:hAnsi="Verdana"/>
          <w:sz w:val="20"/>
          <w:szCs w:val="20"/>
          <w:lang w:val="es-PR"/>
        </w:rPr>
        <w:t>j</w:t>
      </w:r>
      <w:r w:rsidR="00293AEF">
        <w:rPr>
          <w:rFonts w:ascii="Verdana" w:hAnsi="Verdana"/>
          <w:sz w:val="20"/>
          <w:szCs w:val="20"/>
          <w:lang w:val="es-PR"/>
        </w:rPr>
        <w:t>)</w:t>
      </w:r>
      <w:r w:rsidR="008274EC" w:rsidRPr="008274EC">
        <w:rPr>
          <w:rFonts w:ascii="Verdana" w:hAnsi="Verdana"/>
          <w:sz w:val="20"/>
          <w:szCs w:val="20"/>
          <w:lang w:val="es-PR"/>
        </w:rPr>
        <w:t xml:space="preserve"> del Convenio de Diversidad Biológica señala que los Estados </w:t>
      </w:r>
      <w:r w:rsidR="008274EC" w:rsidRPr="008274EC">
        <w:rPr>
          <w:rFonts w:ascii="Verdana" w:hAnsi="Verdana" w:cs="Arial"/>
          <w:sz w:val="20"/>
          <w:szCs w:val="20"/>
          <w:lang w:val="es-ES"/>
        </w:rPr>
        <w:t xml:space="preserve">“respetará[n], preservará[n] y mantendrá[n] […] las prácticas de las comunidades indígenas y locales que entrañen estilos tradicionales de vida pertinentes para la conservación y la </w:t>
      </w:r>
      <w:r w:rsidR="008274EC" w:rsidRPr="00190AD3">
        <w:rPr>
          <w:rFonts w:ascii="Verdana" w:hAnsi="Verdana" w:cs="Arial"/>
          <w:sz w:val="20"/>
          <w:szCs w:val="20"/>
          <w:lang w:val="es-ES"/>
        </w:rPr>
        <w:t>utilización sostenible de la diversidad biológica</w:t>
      </w:r>
      <w:r w:rsidR="008274EC" w:rsidRPr="000D7B24">
        <w:rPr>
          <w:rFonts w:ascii="Verdana" w:hAnsi="Verdana" w:cs="Arial"/>
          <w:sz w:val="20"/>
          <w:szCs w:val="20"/>
          <w:lang w:val="es-ES"/>
        </w:rPr>
        <w:t xml:space="preserve"> y promoverá[n] su aplicación más amplia, con la aprobación y </w:t>
      </w:r>
      <w:r w:rsidR="008274EC" w:rsidRPr="00190AD3">
        <w:rPr>
          <w:rFonts w:ascii="Verdana" w:hAnsi="Verdana" w:cs="Arial"/>
          <w:sz w:val="20"/>
          <w:szCs w:val="20"/>
          <w:lang w:val="es-ES"/>
        </w:rPr>
        <w:t>la participación</w:t>
      </w:r>
      <w:r w:rsidR="008274EC" w:rsidRPr="000D7B24">
        <w:rPr>
          <w:rFonts w:ascii="Verdana" w:hAnsi="Verdana" w:cs="Arial"/>
          <w:sz w:val="20"/>
          <w:szCs w:val="20"/>
          <w:lang w:val="es-ES"/>
        </w:rPr>
        <w:t xml:space="preserve"> de quienes posean esos conocimientos […] y prácticas, y fomentará </w:t>
      </w:r>
      <w:r w:rsidR="008274EC" w:rsidRPr="00190AD3">
        <w:rPr>
          <w:rFonts w:ascii="Verdana" w:hAnsi="Verdana"/>
          <w:sz w:val="20"/>
          <w:lang w:val="es-ES"/>
        </w:rPr>
        <w:t xml:space="preserve">que los </w:t>
      </w:r>
      <w:r w:rsidR="008274EC" w:rsidRPr="00190AD3">
        <w:rPr>
          <w:rFonts w:ascii="Verdana" w:hAnsi="Verdana" w:cs="Arial"/>
          <w:sz w:val="20"/>
          <w:szCs w:val="20"/>
          <w:lang w:val="es-ES"/>
        </w:rPr>
        <w:t>beneficios</w:t>
      </w:r>
      <w:r w:rsidR="008274EC" w:rsidRPr="000D7B24">
        <w:rPr>
          <w:rFonts w:ascii="Verdana" w:hAnsi="Verdana" w:cs="Arial"/>
          <w:sz w:val="20"/>
          <w:szCs w:val="20"/>
          <w:lang w:val="es-ES"/>
        </w:rPr>
        <w:t xml:space="preserve"> derivados de la utilización de [ellos] se </w:t>
      </w:r>
      <w:r w:rsidR="008274EC" w:rsidRPr="00190AD3">
        <w:rPr>
          <w:rFonts w:ascii="Verdana" w:hAnsi="Verdana" w:cs="Arial"/>
          <w:sz w:val="20"/>
          <w:szCs w:val="20"/>
          <w:lang w:val="es-ES"/>
        </w:rPr>
        <w:t>compartan equitativamente</w:t>
      </w:r>
      <w:r w:rsidR="008274EC" w:rsidRPr="000D7B24">
        <w:rPr>
          <w:rFonts w:ascii="Verdana" w:hAnsi="Verdana" w:cs="Arial"/>
          <w:sz w:val="20"/>
          <w:szCs w:val="20"/>
          <w:lang w:val="es-ES"/>
        </w:rPr>
        <w:t xml:space="preserve">”. </w:t>
      </w:r>
      <w:r w:rsidR="00293AEF" w:rsidRPr="000D7B24">
        <w:rPr>
          <w:rFonts w:ascii="Verdana" w:hAnsi="Verdana" w:cs="Arial"/>
          <w:sz w:val="20"/>
          <w:szCs w:val="20"/>
          <w:lang w:val="es-ES"/>
        </w:rPr>
        <w:t>El artículo 10.</w:t>
      </w:r>
      <w:r w:rsidR="008274EC" w:rsidRPr="000D7B24">
        <w:rPr>
          <w:rFonts w:ascii="Verdana" w:hAnsi="Verdana" w:cs="Arial"/>
          <w:sz w:val="20"/>
          <w:szCs w:val="20"/>
          <w:lang w:val="es-ES"/>
        </w:rPr>
        <w:t>c</w:t>
      </w:r>
      <w:r w:rsidR="00293AEF" w:rsidRPr="000D7B24">
        <w:rPr>
          <w:rFonts w:ascii="Verdana" w:hAnsi="Verdana" w:cs="Arial"/>
          <w:sz w:val="20"/>
          <w:szCs w:val="20"/>
          <w:lang w:val="es-ES"/>
        </w:rPr>
        <w:t>)</w:t>
      </w:r>
      <w:r w:rsidR="008274EC" w:rsidRPr="00557E59">
        <w:rPr>
          <w:rFonts w:ascii="Verdana" w:hAnsi="Verdana" w:cs="Arial"/>
          <w:sz w:val="20"/>
          <w:szCs w:val="20"/>
          <w:lang w:val="es-ES"/>
        </w:rPr>
        <w:t xml:space="preserve"> del mismo, señala que se “[p]rotegerá y alentará la </w:t>
      </w:r>
      <w:r w:rsidR="008274EC" w:rsidRPr="00190AD3">
        <w:rPr>
          <w:rFonts w:ascii="Verdana" w:hAnsi="Verdana" w:cs="Arial"/>
          <w:sz w:val="20"/>
          <w:szCs w:val="20"/>
          <w:lang w:val="es-ES"/>
        </w:rPr>
        <w:t>utilización</w:t>
      </w:r>
      <w:r w:rsidR="008274EC" w:rsidRPr="000D7B24">
        <w:rPr>
          <w:rFonts w:ascii="Verdana" w:hAnsi="Verdana" w:cs="Arial"/>
          <w:sz w:val="20"/>
          <w:szCs w:val="20"/>
          <w:lang w:val="es-ES"/>
        </w:rPr>
        <w:t xml:space="preserve"> consuetudinaria de los recursos biológicos, de conformidad con l</w:t>
      </w:r>
      <w:r w:rsidR="008274EC" w:rsidRPr="00190AD3">
        <w:rPr>
          <w:rFonts w:ascii="Verdana" w:hAnsi="Verdana" w:cs="Arial"/>
          <w:sz w:val="20"/>
          <w:szCs w:val="20"/>
          <w:lang w:val="es-ES"/>
        </w:rPr>
        <w:t>as prácticas culturales</w:t>
      </w:r>
      <w:r w:rsidR="008274EC" w:rsidRPr="000D7B24">
        <w:rPr>
          <w:rFonts w:ascii="Verdana" w:hAnsi="Verdana" w:cs="Arial"/>
          <w:sz w:val="20"/>
          <w:szCs w:val="20"/>
          <w:lang w:val="es-ES"/>
        </w:rPr>
        <w:t xml:space="preserve"> tradicionales que sean compatibles con las exigencias de la conservación o</w:t>
      </w:r>
      <w:r w:rsidR="008274EC" w:rsidRPr="00AB4EA9">
        <w:rPr>
          <w:rFonts w:ascii="Verdana" w:hAnsi="Verdana" w:cs="Arial"/>
          <w:sz w:val="20"/>
          <w:szCs w:val="20"/>
          <w:lang w:val="es-ES"/>
        </w:rPr>
        <w:t xml:space="preserve"> de la utilización sostenible”. </w:t>
      </w:r>
    </w:p>
    <w:p w14:paraId="28293BFF" w14:textId="77777777" w:rsidR="00FD07FC" w:rsidRDefault="00FD07FC" w:rsidP="00FC1FCF">
      <w:pPr>
        <w:jc w:val="both"/>
        <w:rPr>
          <w:rFonts w:ascii="Verdana" w:hAnsi="Verdana"/>
          <w:sz w:val="20"/>
          <w:szCs w:val="20"/>
        </w:rPr>
      </w:pPr>
    </w:p>
    <w:p w14:paraId="50EF5C55" w14:textId="77777777" w:rsidR="00A10AEC" w:rsidRPr="00EC7750" w:rsidRDefault="00993346" w:rsidP="00190AD3">
      <w:pPr>
        <w:pStyle w:val="ListParagraph"/>
        <w:numPr>
          <w:ilvl w:val="0"/>
          <w:numId w:val="2"/>
        </w:numPr>
        <w:ind w:left="0" w:hanging="11"/>
        <w:jc w:val="both"/>
        <w:rPr>
          <w:rFonts w:ascii="Verdana" w:hAnsi="Verdana"/>
          <w:sz w:val="20"/>
          <w:szCs w:val="20"/>
        </w:rPr>
      </w:pPr>
      <w:r w:rsidRPr="00190AD3">
        <w:rPr>
          <w:rFonts w:ascii="Verdana" w:hAnsi="Verdana"/>
          <w:sz w:val="20"/>
        </w:rPr>
        <w:t>En este sentido</w:t>
      </w:r>
      <w:r w:rsidR="00A10AEC" w:rsidRPr="00190AD3">
        <w:rPr>
          <w:rFonts w:ascii="Verdana" w:hAnsi="Verdana"/>
          <w:sz w:val="20"/>
        </w:rPr>
        <w:t xml:space="preserve">, la Conferencia de Partes del Convenio de Diversidad Biológica, </w:t>
      </w:r>
      <w:r w:rsidR="0053598A" w:rsidRPr="00190AD3">
        <w:rPr>
          <w:rFonts w:ascii="Verdana" w:hAnsi="Verdana"/>
          <w:sz w:val="20"/>
        </w:rPr>
        <w:t xml:space="preserve">órgano rector del Convenio, ha </w:t>
      </w:r>
      <w:r w:rsidR="00E7641F" w:rsidRPr="00190AD3">
        <w:rPr>
          <w:rFonts w:ascii="Verdana" w:hAnsi="Verdana"/>
          <w:sz w:val="20"/>
        </w:rPr>
        <w:t>determinado</w:t>
      </w:r>
      <w:r w:rsidR="0053598A" w:rsidRPr="00190AD3">
        <w:rPr>
          <w:rFonts w:ascii="Verdana" w:hAnsi="Verdana"/>
          <w:sz w:val="20"/>
        </w:rPr>
        <w:t xml:space="preserve"> </w:t>
      </w:r>
      <w:r w:rsidR="00412FAD" w:rsidRPr="00190AD3">
        <w:rPr>
          <w:rFonts w:ascii="Verdana" w:hAnsi="Verdana"/>
          <w:sz w:val="20"/>
        </w:rPr>
        <w:t>“</w:t>
      </w:r>
      <w:r w:rsidR="0053598A" w:rsidRPr="00190AD3">
        <w:rPr>
          <w:rFonts w:ascii="Verdana" w:hAnsi="Verdana"/>
          <w:sz w:val="20"/>
        </w:rPr>
        <w:t>las obligaciones de las Partes hacia las comunidades indígenas y locales de conformidad con el Artículo 8</w:t>
      </w:r>
      <w:r w:rsidR="00CE01D8">
        <w:rPr>
          <w:rFonts w:ascii="Verdana" w:hAnsi="Verdana"/>
          <w:sz w:val="20"/>
        </w:rPr>
        <w:t>.</w:t>
      </w:r>
      <w:r w:rsidR="0053598A" w:rsidRPr="00190AD3">
        <w:rPr>
          <w:rFonts w:ascii="Verdana" w:hAnsi="Verdana"/>
          <w:sz w:val="20"/>
        </w:rPr>
        <w:t xml:space="preserve">j) del Convenio y disposiciones conexas </w:t>
      </w:r>
      <w:r w:rsidR="00412FAD" w:rsidRPr="00190AD3">
        <w:rPr>
          <w:rFonts w:ascii="Verdana" w:hAnsi="Verdana"/>
          <w:sz w:val="20"/>
        </w:rPr>
        <w:t>[para el]</w:t>
      </w:r>
      <w:r w:rsidR="0053598A" w:rsidRPr="00190AD3">
        <w:rPr>
          <w:rFonts w:ascii="Verdana" w:hAnsi="Verdana"/>
          <w:sz w:val="20"/>
        </w:rPr>
        <w:t xml:space="preserve"> establecimiento, gestión y vigilancia de las áreas protegidas</w:t>
      </w:r>
      <w:r w:rsidR="00E7641F" w:rsidRPr="00190AD3">
        <w:rPr>
          <w:rFonts w:ascii="Verdana" w:hAnsi="Verdana"/>
          <w:sz w:val="20"/>
        </w:rPr>
        <w:t xml:space="preserve"> [las cuales] deberan</w:t>
      </w:r>
      <w:r w:rsidR="0053598A" w:rsidRPr="00190AD3">
        <w:rPr>
          <w:rFonts w:ascii="Verdana" w:hAnsi="Verdana"/>
          <w:sz w:val="20"/>
        </w:rPr>
        <w:t xml:space="preserve"> realizarse con la participación plena y efectiva de las comunidades indígenas y locales</w:t>
      </w:r>
      <w:r w:rsidR="00E7641F" w:rsidRPr="00190AD3">
        <w:rPr>
          <w:rFonts w:ascii="Verdana" w:hAnsi="Verdana"/>
          <w:sz w:val="20"/>
        </w:rPr>
        <w:t>[,]</w:t>
      </w:r>
      <w:r w:rsidR="0053598A" w:rsidRPr="00190AD3">
        <w:rPr>
          <w:rFonts w:ascii="Verdana" w:hAnsi="Verdana"/>
          <w:sz w:val="20"/>
        </w:rPr>
        <w:t xml:space="preserve"> respetando plenamente sus derechos en consonancia con la legislación nacional y las obligaciones internacionales aplicables</w:t>
      </w:r>
      <w:r w:rsidR="00412FAD" w:rsidRPr="00190AD3">
        <w:rPr>
          <w:rFonts w:ascii="Verdana" w:hAnsi="Verdana"/>
          <w:sz w:val="20"/>
        </w:rPr>
        <w:t>”</w:t>
      </w:r>
      <w:r w:rsidR="0053598A" w:rsidRPr="00190AD3">
        <w:rPr>
          <w:rStyle w:val="FootnoteReference"/>
        </w:rPr>
        <w:footnoteReference w:id="227"/>
      </w:r>
      <w:r w:rsidR="0053598A" w:rsidRPr="00190AD3">
        <w:rPr>
          <w:rFonts w:ascii="Verdana" w:hAnsi="Verdana"/>
          <w:sz w:val="20"/>
        </w:rPr>
        <w:t>.</w:t>
      </w:r>
      <w:r w:rsidR="0053598A" w:rsidRPr="00EC7750">
        <w:rPr>
          <w:rFonts w:ascii="Verdana" w:hAnsi="Verdana"/>
          <w:sz w:val="20"/>
          <w:szCs w:val="20"/>
        </w:rPr>
        <w:t xml:space="preserve"> </w:t>
      </w:r>
    </w:p>
    <w:p w14:paraId="09B619A6" w14:textId="77777777" w:rsidR="004B66E1" w:rsidRPr="00EC7750" w:rsidRDefault="004B66E1" w:rsidP="00FC1FCF">
      <w:pPr>
        <w:jc w:val="both"/>
        <w:rPr>
          <w:rFonts w:ascii="Verdana" w:hAnsi="Verdana"/>
          <w:sz w:val="20"/>
          <w:szCs w:val="20"/>
        </w:rPr>
      </w:pPr>
    </w:p>
    <w:p w14:paraId="2A02B6F2" w14:textId="77777777" w:rsidR="00A10AEC" w:rsidRDefault="00611DEE" w:rsidP="00190AD3">
      <w:pPr>
        <w:pStyle w:val="ListParagraph"/>
        <w:numPr>
          <w:ilvl w:val="0"/>
          <w:numId w:val="2"/>
        </w:numPr>
        <w:ind w:left="0" w:hanging="11"/>
        <w:jc w:val="both"/>
        <w:rPr>
          <w:rFonts w:ascii="Verdana" w:hAnsi="Verdana"/>
          <w:sz w:val="20"/>
        </w:rPr>
      </w:pPr>
      <w:r w:rsidRPr="00190AD3">
        <w:rPr>
          <w:rFonts w:ascii="Verdana" w:hAnsi="Verdana"/>
          <w:sz w:val="20"/>
        </w:rPr>
        <w:t>Por su parte, el Principio 22 de la Declaración de Río sobre el Medio Ambiente y Desarrollo, establece que “las poblaciones indígenas y sus comunidades […] desempeñan un papel fundamental en la ordenación del medio ambiente y en el desarrollo debido a sus conocimientos y prácticas tradicionales. Los Estados deberían reconocer y apoyar debidamente su identidad, cultura e intereses y hacer posible su participación efectiva en el logro del desarrollo s</w:t>
      </w:r>
      <w:r w:rsidR="001F226F">
        <w:rPr>
          <w:rFonts w:ascii="Verdana" w:hAnsi="Verdana"/>
          <w:sz w:val="20"/>
        </w:rPr>
        <w:t>u</w:t>
      </w:r>
      <w:r w:rsidRPr="00190AD3">
        <w:rPr>
          <w:rFonts w:ascii="Verdana" w:hAnsi="Verdana"/>
          <w:sz w:val="20"/>
        </w:rPr>
        <w:t>sten</w:t>
      </w:r>
      <w:r w:rsidR="001F226F">
        <w:rPr>
          <w:rFonts w:ascii="Verdana" w:hAnsi="Verdana"/>
          <w:sz w:val="20"/>
        </w:rPr>
        <w:t>ta</w:t>
      </w:r>
      <w:r w:rsidRPr="00190AD3">
        <w:rPr>
          <w:rFonts w:ascii="Verdana" w:hAnsi="Verdana"/>
          <w:sz w:val="20"/>
        </w:rPr>
        <w:t>ble”</w:t>
      </w:r>
      <w:r w:rsidRPr="00190AD3">
        <w:rPr>
          <w:rStyle w:val="FootnoteReference"/>
        </w:rPr>
        <w:footnoteReference w:id="228"/>
      </w:r>
      <w:r w:rsidRPr="00190AD3">
        <w:rPr>
          <w:rFonts w:ascii="Verdana" w:hAnsi="Verdana"/>
          <w:sz w:val="20"/>
        </w:rPr>
        <w:t>.</w:t>
      </w:r>
    </w:p>
    <w:p w14:paraId="0ED622F7" w14:textId="77777777" w:rsidR="00B22EC8" w:rsidRPr="00190AD3" w:rsidRDefault="00B22EC8" w:rsidP="00B22EC8">
      <w:pPr>
        <w:pStyle w:val="ListParagraph"/>
        <w:ind w:left="0"/>
        <w:jc w:val="both"/>
        <w:rPr>
          <w:rFonts w:ascii="Verdana" w:hAnsi="Verdana"/>
          <w:sz w:val="20"/>
        </w:rPr>
      </w:pPr>
    </w:p>
    <w:p w14:paraId="07BAE73F" w14:textId="77777777" w:rsidR="00993346" w:rsidRPr="00190AD3" w:rsidRDefault="003F3419" w:rsidP="00190AD3">
      <w:pPr>
        <w:pStyle w:val="ListParagraph"/>
        <w:numPr>
          <w:ilvl w:val="0"/>
          <w:numId w:val="2"/>
        </w:numPr>
        <w:ind w:left="0" w:hanging="11"/>
        <w:jc w:val="both"/>
        <w:rPr>
          <w:rFonts w:ascii="Verdana" w:hAnsi="Verdana"/>
          <w:sz w:val="20"/>
        </w:rPr>
      </w:pPr>
      <w:r w:rsidRPr="00AE4A66">
        <w:rPr>
          <w:rFonts w:ascii="Verdana" w:hAnsi="Verdana"/>
          <w:sz w:val="20"/>
          <w:szCs w:val="20"/>
          <w:lang w:val="es-PR"/>
        </w:rPr>
        <w:t xml:space="preserve">Asimismo, </w:t>
      </w:r>
      <w:r w:rsidRPr="003F3419">
        <w:rPr>
          <w:rFonts w:ascii="Verdana" w:hAnsi="Verdana"/>
          <w:sz w:val="20"/>
          <w:szCs w:val="20"/>
        </w:rPr>
        <w:t>e</w:t>
      </w:r>
      <w:r w:rsidR="00993346" w:rsidRPr="003F3419">
        <w:rPr>
          <w:rFonts w:ascii="Verdana" w:hAnsi="Verdana"/>
          <w:sz w:val="20"/>
          <w:szCs w:val="20"/>
        </w:rPr>
        <w:t>l</w:t>
      </w:r>
      <w:r w:rsidR="00993346" w:rsidRPr="002C323A">
        <w:rPr>
          <w:rFonts w:ascii="Verdana" w:hAnsi="Verdana"/>
          <w:sz w:val="20"/>
          <w:szCs w:val="20"/>
        </w:rPr>
        <w:t xml:space="preserve"> artículo 29 de la Declaración de la</w:t>
      </w:r>
      <w:r w:rsidR="001F226F">
        <w:rPr>
          <w:rFonts w:ascii="Verdana" w:hAnsi="Verdana"/>
          <w:sz w:val="20"/>
          <w:szCs w:val="20"/>
        </w:rPr>
        <w:t>s Naciones Unidas</w:t>
      </w:r>
      <w:r w:rsidR="00993346" w:rsidRPr="002C323A">
        <w:rPr>
          <w:rFonts w:ascii="Verdana" w:hAnsi="Verdana"/>
          <w:sz w:val="20"/>
          <w:szCs w:val="20"/>
        </w:rPr>
        <w:t xml:space="preserve"> sobre los </w:t>
      </w:r>
      <w:r w:rsidR="006B297B">
        <w:rPr>
          <w:rFonts w:ascii="Verdana" w:hAnsi="Verdana"/>
          <w:sz w:val="20"/>
          <w:szCs w:val="20"/>
        </w:rPr>
        <w:t xml:space="preserve">Derechos de los </w:t>
      </w:r>
      <w:r w:rsidR="006B297B" w:rsidRPr="007F327D">
        <w:rPr>
          <w:rFonts w:ascii="Verdana" w:hAnsi="Verdana"/>
          <w:sz w:val="20"/>
          <w:szCs w:val="20"/>
        </w:rPr>
        <w:t>Pueblos Indígenas</w:t>
      </w:r>
      <w:r w:rsidR="006B297B">
        <w:rPr>
          <w:rFonts w:ascii="Verdana" w:hAnsi="Verdana"/>
          <w:sz w:val="20"/>
          <w:szCs w:val="20"/>
        </w:rPr>
        <w:t xml:space="preserve"> </w:t>
      </w:r>
      <w:r w:rsidR="00993346" w:rsidRPr="002C323A">
        <w:rPr>
          <w:rFonts w:ascii="Verdana" w:hAnsi="Verdana"/>
          <w:sz w:val="20"/>
          <w:szCs w:val="20"/>
        </w:rPr>
        <w:t xml:space="preserve">establece que </w:t>
      </w:r>
      <w:r w:rsidR="00993346" w:rsidRPr="002C323A">
        <w:rPr>
          <w:rFonts w:ascii="Verdana" w:hAnsi="Verdana"/>
          <w:sz w:val="20"/>
          <w:szCs w:val="20"/>
          <w:lang w:val="es-PR"/>
        </w:rPr>
        <w:t>“[estos] tienen derecho a la conservación y protección del medio ambiente y de la capacidad productiva de sus tierras o territorios y recursos. Los Estados deberán establecer y ejecutar programas de asistencia a los pueblos indígenas para asegurar esa conservación y protección, sin discriminación”. El artículo 25 de la misma destaca el derecho a mantener y fortalecer su relación espiritual con las tierras y otros recursos que han poseído y utilizado de otra forma y asumir las responsabilidades para con las generaciones venideras</w:t>
      </w:r>
      <w:r w:rsidR="00834F81">
        <w:rPr>
          <w:rFonts w:ascii="Verdana" w:hAnsi="Verdana"/>
          <w:sz w:val="20"/>
          <w:szCs w:val="20"/>
          <w:lang w:val="es-PR"/>
        </w:rPr>
        <w:t>.</w:t>
      </w:r>
      <w:r w:rsidR="00FF0F31">
        <w:rPr>
          <w:rFonts w:ascii="Verdana" w:hAnsi="Verdana"/>
          <w:sz w:val="20"/>
          <w:szCs w:val="20"/>
          <w:lang w:val="es-PR"/>
        </w:rPr>
        <w:t xml:space="preserve"> </w:t>
      </w:r>
      <w:r w:rsidR="00834F81" w:rsidRPr="00190AD3">
        <w:rPr>
          <w:rFonts w:ascii="Verdana" w:hAnsi="Verdana"/>
          <w:sz w:val="20"/>
          <w:lang w:val="es-PR"/>
        </w:rPr>
        <w:t>E</w:t>
      </w:r>
      <w:r w:rsidR="00AC7188" w:rsidRPr="00190AD3">
        <w:rPr>
          <w:rFonts w:ascii="Verdana" w:hAnsi="Verdana"/>
          <w:sz w:val="20"/>
          <w:lang w:val="es-PR"/>
        </w:rPr>
        <w:t>l artículo 18 establece “el derecho a participar en la adopción de decisiones en las cuestiones que afecten a sus derechos, por conducto de representantes […]”</w:t>
      </w:r>
      <w:r w:rsidR="00AC7188" w:rsidRPr="00EC7750">
        <w:rPr>
          <w:rStyle w:val="FootnoteReference"/>
          <w:szCs w:val="20"/>
          <w:lang w:val="es-PR"/>
        </w:rPr>
        <w:footnoteReference w:id="229"/>
      </w:r>
      <w:r w:rsidR="00AC7188" w:rsidRPr="00190AD3">
        <w:rPr>
          <w:rFonts w:ascii="Verdana" w:hAnsi="Verdana"/>
          <w:sz w:val="20"/>
          <w:lang w:val="es-PR"/>
        </w:rPr>
        <w:t>.</w:t>
      </w:r>
    </w:p>
    <w:p w14:paraId="2845FDD5" w14:textId="77777777" w:rsidR="002F6B39" w:rsidRPr="002C323A" w:rsidRDefault="002F6B39" w:rsidP="00FC1FCF">
      <w:pPr>
        <w:jc w:val="both"/>
        <w:rPr>
          <w:rFonts w:ascii="Verdana" w:hAnsi="Verdana"/>
          <w:b/>
          <w:sz w:val="20"/>
          <w:szCs w:val="20"/>
        </w:rPr>
      </w:pPr>
    </w:p>
    <w:p w14:paraId="202792B9" w14:textId="551C91DA" w:rsidR="00A30243" w:rsidRDefault="00FC1FCF" w:rsidP="00A519CD">
      <w:pPr>
        <w:pStyle w:val="ListParagraph"/>
        <w:numPr>
          <w:ilvl w:val="0"/>
          <w:numId w:val="2"/>
        </w:numPr>
        <w:ind w:left="0" w:hanging="11"/>
        <w:jc w:val="both"/>
        <w:rPr>
          <w:rFonts w:ascii="Verdana" w:eastAsiaTheme="minorHAnsi" w:hAnsi="Verdana"/>
          <w:sz w:val="20"/>
        </w:rPr>
      </w:pPr>
      <w:r w:rsidRPr="00EC7750">
        <w:rPr>
          <w:rFonts w:ascii="Verdana" w:eastAsiaTheme="minorHAnsi" w:hAnsi="Verdana"/>
          <w:sz w:val="20"/>
          <w:szCs w:val="20"/>
        </w:rPr>
        <w:t xml:space="preserve">En vista de lo anterior, la Corte </w:t>
      </w:r>
      <w:r w:rsidR="00993346" w:rsidRPr="00190AD3">
        <w:rPr>
          <w:rFonts w:ascii="Verdana" w:hAnsi="Verdana"/>
          <w:sz w:val="20"/>
        </w:rPr>
        <w:t xml:space="preserve">reitera </w:t>
      </w:r>
      <w:r w:rsidR="00AE60CD" w:rsidRPr="00AE60CD">
        <w:rPr>
          <w:rFonts w:ascii="Verdana" w:eastAsiaTheme="minorHAnsi" w:hAnsi="Verdana"/>
          <w:sz w:val="20"/>
          <w:szCs w:val="20"/>
        </w:rPr>
        <w:t>que, en principio</w:t>
      </w:r>
      <w:r w:rsidR="000D7B24">
        <w:rPr>
          <w:rFonts w:ascii="Verdana" w:eastAsiaTheme="minorHAnsi" w:hAnsi="Verdana"/>
          <w:sz w:val="20"/>
          <w:szCs w:val="20"/>
        </w:rPr>
        <w:t>,</w:t>
      </w:r>
      <w:r w:rsidR="00EC7750" w:rsidRPr="00190AD3">
        <w:rPr>
          <w:rFonts w:ascii="Verdana" w:eastAsiaTheme="minorHAnsi" w:hAnsi="Verdana"/>
          <w:sz w:val="20"/>
          <w:szCs w:val="20"/>
        </w:rPr>
        <w:t xml:space="preserve"> existe una</w:t>
      </w:r>
      <w:r w:rsidR="00993346" w:rsidRPr="00190AD3">
        <w:rPr>
          <w:rFonts w:ascii="Verdana" w:hAnsi="Verdana"/>
          <w:sz w:val="20"/>
        </w:rPr>
        <w:t xml:space="preserve"> compatibilidad entre las áreas naturales protegidas y el derecho de los pueblos indígenas y tribales </w:t>
      </w:r>
      <w:r w:rsidR="00203A69" w:rsidRPr="00190AD3">
        <w:rPr>
          <w:rFonts w:ascii="Verdana" w:hAnsi="Verdana"/>
          <w:sz w:val="20"/>
        </w:rPr>
        <w:t>en</w:t>
      </w:r>
      <w:r w:rsidR="00993346" w:rsidRPr="00190AD3">
        <w:rPr>
          <w:rFonts w:ascii="Verdana" w:hAnsi="Verdana"/>
          <w:sz w:val="20"/>
        </w:rPr>
        <w:t xml:space="preserve"> la protección de los recursos naturales sobre sus territorios, </w:t>
      </w:r>
      <w:r w:rsidR="00203A69" w:rsidRPr="00190AD3">
        <w:rPr>
          <w:rFonts w:ascii="Verdana" w:hAnsi="Verdana"/>
          <w:sz w:val="20"/>
        </w:rPr>
        <w:t>destacando que los pueblos indígenas y tribales, por su interrelación con la naturaleza</w:t>
      </w:r>
      <w:r w:rsidR="005F705A" w:rsidRPr="00190AD3">
        <w:rPr>
          <w:rFonts w:ascii="Verdana" w:hAnsi="Verdana"/>
          <w:sz w:val="20"/>
        </w:rPr>
        <w:t xml:space="preserve"> y formas de vida</w:t>
      </w:r>
      <w:r w:rsidR="00203A69" w:rsidRPr="00190AD3">
        <w:rPr>
          <w:rFonts w:ascii="Verdana" w:hAnsi="Verdana"/>
          <w:sz w:val="20"/>
        </w:rPr>
        <w:t>, pueden contribuir de manera relevante en dicha conservación. En este sentido, los criterios</w:t>
      </w:r>
      <w:r w:rsidR="00D348E5" w:rsidRPr="00190AD3">
        <w:rPr>
          <w:rStyle w:val="FootnoteReference"/>
        </w:rPr>
        <w:footnoteReference w:id="230"/>
      </w:r>
      <w:r w:rsidR="00203A69" w:rsidRPr="00190AD3">
        <w:rPr>
          <w:rFonts w:ascii="Verdana" w:hAnsi="Verdana"/>
          <w:sz w:val="20"/>
        </w:rPr>
        <w:t xml:space="preserve"> de </w:t>
      </w:r>
      <w:r w:rsidR="00D97182">
        <w:rPr>
          <w:rFonts w:ascii="Verdana" w:hAnsi="Verdana"/>
          <w:sz w:val="20"/>
        </w:rPr>
        <w:t xml:space="preserve">a) </w:t>
      </w:r>
      <w:r w:rsidR="00203A69" w:rsidRPr="00190AD3">
        <w:rPr>
          <w:rFonts w:ascii="Verdana" w:hAnsi="Verdana"/>
          <w:sz w:val="20"/>
        </w:rPr>
        <w:t xml:space="preserve">participación </w:t>
      </w:r>
      <w:r w:rsidR="00203A69" w:rsidRPr="00190AD3">
        <w:rPr>
          <w:rFonts w:ascii="Verdana" w:hAnsi="Verdana"/>
          <w:sz w:val="20"/>
        </w:rPr>
        <w:lastRenderedPageBreak/>
        <w:t>efectiva</w:t>
      </w:r>
      <w:r w:rsidR="005F705A" w:rsidRPr="00190AD3">
        <w:rPr>
          <w:rStyle w:val="FootnoteReference"/>
        </w:rPr>
        <w:footnoteReference w:id="231"/>
      </w:r>
      <w:r w:rsidR="00203A69" w:rsidRPr="00190AD3">
        <w:rPr>
          <w:rFonts w:ascii="Verdana" w:hAnsi="Verdana"/>
          <w:sz w:val="20"/>
        </w:rPr>
        <w:t xml:space="preserve">, </w:t>
      </w:r>
      <w:r w:rsidR="00D97182">
        <w:rPr>
          <w:rFonts w:ascii="Verdana" w:hAnsi="Verdana"/>
          <w:sz w:val="20"/>
        </w:rPr>
        <w:t xml:space="preserve">b) </w:t>
      </w:r>
      <w:r w:rsidR="00203A69" w:rsidRPr="00190AD3">
        <w:rPr>
          <w:rFonts w:ascii="Verdana" w:hAnsi="Verdana"/>
          <w:sz w:val="20"/>
        </w:rPr>
        <w:t xml:space="preserve">acceso </w:t>
      </w:r>
      <w:r w:rsidR="00834F81" w:rsidRPr="00190AD3">
        <w:rPr>
          <w:rFonts w:ascii="Verdana" w:hAnsi="Verdana"/>
          <w:sz w:val="20"/>
        </w:rPr>
        <w:t xml:space="preserve">y uso de </w:t>
      </w:r>
      <w:r w:rsidR="00203A69" w:rsidRPr="00190AD3">
        <w:rPr>
          <w:rFonts w:ascii="Verdana" w:hAnsi="Verdana"/>
          <w:sz w:val="20"/>
        </w:rPr>
        <w:t>sus territorios tradicionales</w:t>
      </w:r>
      <w:r w:rsidR="00D348E5" w:rsidRPr="00190AD3">
        <w:rPr>
          <w:rStyle w:val="FootnoteReference"/>
        </w:rPr>
        <w:footnoteReference w:id="232"/>
      </w:r>
      <w:r w:rsidR="00203A69" w:rsidRPr="00190AD3">
        <w:rPr>
          <w:rFonts w:ascii="Verdana" w:hAnsi="Verdana"/>
          <w:sz w:val="20"/>
        </w:rPr>
        <w:t xml:space="preserve"> y </w:t>
      </w:r>
      <w:r w:rsidR="00D97182">
        <w:rPr>
          <w:rFonts w:ascii="Verdana" w:hAnsi="Verdana"/>
          <w:sz w:val="20"/>
        </w:rPr>
        <w:t xml:space="preserve">c) </w:t>
      </w:r>
      <w:r w:rsidR="003F3419" w:rsidRPr="00190AD3">
        <w:rPr>
          <w:rFonts w:ascii="Verdana" w:hAnsi="Verdana"/>
          <w:sz w:val="20"/>
        </w:rPr>
        <w:t xml:space="preserve">de </w:t>
      </w:r>
      <w:r w:rsidR="00203A69" w:rsidRPr="00190AD3">
        <w:rPr>
          <w:rFonts w:ascii="Verdana" w:hAnsi="Verdana"/>
          <w:sz w:val="20"/>
        </w:rPr>
        <w:t>recibir beneficios de la conservaci</w:t>
      </w:r>
      <w:r w:rsidR="009B59C8" w:rsidRPr="00190AD3">
        <w:rPr>
          <w:rFonts w:ascii="Verdana" w:hAnsi="Verdana"/>
          <w:sz w:val="20"/>
        </w:rPr>
        <w:t>ón</w:t>
      </w:r>
      <w:r w:rsidR="00D348E5" w:rsidRPr="00190AD3">
        <w:rPr>
          <w:rStyle w:val="FootnoteReference"/>
        </w:rPr>
        <w:footnoteReference w:id="233"/>
      </w:r>
      <w:r w:rsidR="00203A69" w:rsidRPr="00190AD3">
        <w:rPr>
          <w:rFonts w:ascii="Verdana" w:hAnsi="Verdana"/>
          <w:sz w:val="20"/>
        </w:rPr>
        <w:t xml:space="preserve"> </w:t>
      </w:r>
      <w:r w:rsidR="00EC7750" w:rsidRPr="00D72AD8">
        <w:rPr>
          <w:rFonts w:ascii="Verdana" w:hAnsi="Verdana"/>
          <w:sz w:val="20"/>
          <w:szCs w:val="20"/>
        </w:rPr>
        <w:t>—</w:t>
      </w:r>
      <w:r w:rsidR="009B59C8" w:rsidRPr="00190AD3">
        <w:rPr>
          <w:rFonts w:ascii="Verdana" w:hAnsi="Verdana"/>
          <w:sz w:val="20"/>
        </w:rPr>
        <w:t>todos ellos</w:t>
      </w:r>
      <w:r w:rsidR="00EC7750" w:rsidRPr="00190AD3">
        <w:rPr>
          <w:rFonts w:ascii="Verdana" w:hAnsi="Verdana"/>
          <w:sz w:val="20"/>
          <w:szCs w:val="20"/>
        </w:rPr>
        <w:t>,</w:t>
      </w:r>
      <w:r w:rsidR="009B59C8" w:rsidRPr="00190AD3">
        <w:rPr>
          <w:rFonts w:ascii="Verdana" w:hAnsi="Verdana"/>
          <w:sz w:val="20"/>
          <w:szCs w:val="20"/>
        </w:rPr>
        <w:t xml:space="preserve"> </w:t>
      </w:r>
      <w:r w:rsidR="00EC7750" w:rsidRPr="00190AD3">
        <w:rPr>
          <w:rFonts w:ascii="Verdana" w:hAnsi="Verdana"/>
          <w:sz w:val="20"/>
          <w:szCs w:val="20"/>
        </w:rPr>
        <w:t>siempre y cuando</w:t>
      </w:r>
      <w:r w:rsidR="00EC7750" w:rsidRPr="00190AD3">
        <w:rPr>
          <w:rFonts w:ascii="Verdana" w:hAnsi="Verdana"/>
          <w:sz w:val="20"/>
        </w:rPr>
        <w:t xml:space="preserve"> </w:t>
      </w:r>
      <w:r w:rsidR="009B59C8" w:rsidRPr="00190AD3">
        <w:rPr>
          <w:rFonts w:ascii="Verdana" w:hAnsi="Verdana"/>
          <w:sz w:val="20"/>
        </w:rPr>
        <w:t xml:space="preserve">sean compatibles con la </w:t>
      </w:r>
      <w:r w:rsidR="005F705A" w:rsidRPr="00190AD3">
        <w:rPr>
          <w:rFonts w:ascii="Verdana" w:hAnsi="Verdana"/>
          <w:sz w:val="20"/>
        </w:rPr>
        <w:t>protección</w:t>
      </w:r>
      <w:r w:rsidR="009B59C8" w:rsidRPr="00190AD3">
        <w:rPr>
          <w:rFonts w:ascii="Verdana" w:hAnsi="Verdana"/>
          <w:sz w:val="20"/>
        </w:rPr>
        <w:t xml:space="preserve"> y utilización sostenible</w:t>
      </w:r>
      <w:r w:rsidR="005F705A" w:rsidRPr="00190AD3">
        <w:rPr>
          <w:rFonts w:ascii="Verdana" w:hAnsi="Verdana"/>
          <w:sz w:val="20"/>
        </w:rPr>
        <w:t>—</w:t>
      </w:r>
      <w:r w:rsidR="003C5693" w:rsidRPr="00190AD3">
        <w:rPr>
          <w:rFonts w:ascii="Verdana" w:hAnsi="Verdana"/>
          <w:sz w:val="20"/>
        </w:rPr>
        <w:t xml:space="preserve"> (</w:t>
      </w:r>
      <w:r w:rsidR="003C5693" w:rsidRPr="00190AD3">
        <w:rPr>
          <w:rFonts w:ascii="Verdana" w:hAnsi="Verdana"/>
          <w:i/>
          <w:sz w:val="20"/>
        </w:rPr>
        <w:t>supra</w:t>
      </w:r>
      <w:r w:rsidR="003C5693" w:rsidRPr="00190AD3">
        <w:rPr>
          <w:rFonts w:ascii="Verdana" w:hAnsi="Verdana"/>
          <w:sz w:val="20"/>
        </w:rPr>
        <w:t xml:space="preserve"> párr. </w:t>
      </w:r>
      <w:r w:rsidR="00A519CD">
        <w:rPr>
          <w:rFonts w:ascii="Verdana" w:hAnsi="Verdana"/>
          <w:sz w:val="20"/>
        </w:rPr>
        <w:t>177</w:t>
      </w:r>
      <w:r w:rsidR="003C5693" w:rsidRPr="00190AD3">
        <w:rPr>
          <w:rFonts w:ascii="Verdana" w:hAnsi="Verdana"/>
          <w:sz w:val="20"/>
        </w:rPr>
        <w:t>)</w:t>
      </w:r>
      <w:r w:rsidR="009B59C8" w:rsidRPr="00190AD3">
        <w:rPr>
          <w:rFonts w:ascii="Verdana" w:hAnsi="Verdana"/>
          <w:sz w:val="20"/>
        </w:rPr>
        <w:t xml:space="preserve">, </w:t>
      </w:r>
      <w:r w:rsidR="00203A69" w:rsidRPr="00190AD3">
        <w:rPr>
          <w:rFonts w:ascii="Verdana" w:hAnsi="Verdana"/>
          <w:sz w:val="20"/>
        </w:rPr>
        <w:t xml:space="preserve">resultan elementos fundamentales para alcanzar </w:t>
      </w:r>
      <w:r w:rsidR="009B59C8" w:rsidRPr="00190AD3">
        <w:rPr>
          <w:rFonts w:ascii="Verdana" w:hAnsi="Verdana"/>
          <w:sz w:val="20"/>
        </w:rPr>
        <w:t>dicha comp</w:t>
      </w:r>
      <w:r w:rsidR="003F3419" w:rsidRPr="00190AD3">
        <w:rPr>
          <w:rFonts w:ascii="Verdana" w:hAnsi="Verdana"/>
          <w:sz w:val="20"/>
        </w:rPr>
        <w:t>atibilidad</w:t>
      </w:r>
      <w:r w:rsidR="00EC7750" w:rsidRPr="00190AD3">
        <w:rPr>
          <w:rFonts w:ascii="Verdana" w:hAnsi="Verdana"/>
          <w:sz w:val="20"/>
          <w:szCs w:val="20"/>
        </w:rPr>
        <w:t xml:space="preserve">, la cual debe ser evaluada por el Estado. </w:t>
      </w:r>
      <w:r w:rsidR="005F705A" w:rsidRPr="00190AD3">
        <w:rPr>
          <w:rFonts w:ascii="Verdana" w:hAnsi="Verdana"/>
          <w:sz w:val="20"/>
        </w:rPr>
        <w:t>En consecuencia</w:t>
      </w:r>
      <w:r w:rsidR="009B59C8" w:rsidRPr="00190AD3">
        <w:rPr>
          <w:rFonts w:ascii="Verdana" w:hAnsi="Verdana"/>
          <w:sz w:val="20"/>
        </w:rPr>
        <w:t>,</w:t>
      </w:r>
      <w:r w:rsidR="00203A69" w:rsidRPr="00EC7750">
        <w:rPr>
          <w:rFonts w:ascii="Verdana" w:hAnsi="Verdana"/>
          <w:sz w:val="20"/>
          <w:szCs w:val="20"/>
        </w:rPr>
        <w:t xml:space="preserve"> </w:t>
      </w:r>
      <w:r w:rsidRPr="00190AD3">
        <w:rPr>
          <w:rFonts w:ascii="Verdana" w:hAnsi="Verdana"/>
          <w:sz w:val="20"/>
        </w:rPr>
        <w:t xml:space="preserve">es necesario que el Estado </w:t>
      </w:r>
      <w:r w:rsidR="003F3419" w:rsidRPr="00190AD3">
        <w:rPr>
          <w:rFonts w:ascii="Verdana" w:hAnsi="Verdana"/>
          <w:sz w:val="20"/>
        </w:rPr>
        <w:t>cuente con mecanismos adecuados para la implementación de tales criterios</w:t>
      </w:r>
      <w:r w:rsidRPr="00EC7750">
        <w:rPr>
          <w:rFonts w:ascii="Verdana" w:eastAsiaTheme="minorHAnsi" w:hAnsi="Verdana"/>
          <w:sz w:val="20"/>
          <w:szCs w:val="20"/>
        </w:rPr>
        <w:t xml:space="preserve"> como parte de la garantía </w:t>
      </w:r>
      <w:r w:rsidR="009B59C8" w:rsidRPr="00EC7750">
        <w:rPr>
          <w:rFonts w:ascii="Verdana" w:eastAsiaTheme="minorHAnsi" w:hAnsi="Verdana"/>
          <w:sz w:val="20"/>
          <w:szCs w:val="20"/>
        </w:rPr>
        <w:t>de los pueblos indígenas y tribales a su</w:t>
      </w:r>
      <w:r w:rsidRPr="00EC7750">
        <w:rPr>
          <w:rFonts w:ascii="Verdana" w:eastAsiaTheme="minorHAnsi" w:hAnsi="Verdana"/>
          <w:sz w:val="20"/>
          <w:szCs w:val="20"/>
        </w:rPr>
        <w:t xml:space="preserve"> vida digna</w:t>
      </w:r>
      <w:r w:rsidR="00381F18" w:rsidRPr="00EC7750">
        <w:rPr>
          <w:rFonts w:ascii="Verdana" w:eastAsiaTheme="minorHAnsi" w:hAnsi="Verdana"/>
          <w:sz w:val="20"/>
          <w:szCs w:val="20"/>
        </w:rPr>
        <w:t xml:space="preserve"> e identidad</w:t>
      </w:r>
      <w:r w:rsidR="00381F18" w:rsidRPr="0014568C">
        <w:rPr>
          <w:rFonts w:ascii="Verdana" w:eastAsiaTheme="minorHAnsi" w:hAnsi="Verdana"/>
          <w:sz w:val="20"/>
          <w:szCs w:val="20"/>
        </w:rPr>
        <w:t xml:space="preserve"> cultural, </w:t>
      </w:r>
      <w:r w:rsidRPr="0014568C">
        <w:rPr>
          <w:rFonts w:ascii="Verdana" w:eastAsiaTheme="minorHAnsi" w:hAnsi="Verdana"/>
          <w:sz w:val="20"/>
          <w:szCs w:val="20"/>
        </w:rPr>
        <w:t xml:space="preserve">en relación con la </w:t>
      </w:r>
      <w:r w:rsidR="00D10E09" w:rsidRPr="00656AB9">
        <w:rPr>
          <w:rFonts w:ascii="Verdana" w:eastAsiaTheme="minorHAnsi" w:hAnsi="Verdana"/>
          <w:sz w:val="20"/>
          <w:szCs w:val="20"/>
        </w:rPr>
        <w:t>protección</w:t>
      </w:r>
      <w:r w:rsidRPr="00656AB9">
        <w:rPr>
          <w:rFonts w:ascii="Verdana" w:eastAsiaTheme="minorHAnsi" w:hAnsi="Verdana"/>
          <w:sz w:val="20"/>
          <w:szCs w:val="20"/>
        </w:rPr>
        <w:t xml:space="preserve"> de los recursos naturales que se encuentren en sus territorios </w:t>
      </w:r>
      <w:r w:rsidR="007A0FA6" w:rsidRPr="005B77D2">
        <w:rPr>
          <w:rFonts w:ascii="Verdana" w:eastAsiaTheme="minorHAnsi" w:hAnsi="Verdana"/>
          <w:sz w:val="20"/>
          <w:szCs w:val="20"/>
        </w:rPr>
        <w:t>tradicionales</w:t>
      </w:r>
      <w:r w:rsidR="00A30243" w:rsidRPr="00A519CD">
        <w:rPr>
          <w:rFonts w:ascii="Verdana" w:eastAsiaTheme="minorHAnsi" w:hAnsi="Verdana"/>
          <w:sz w:val="20"/>
        </w:rPr>
        <w:t xml:space="preserve">. Para ello, la Corte verificará </w:t>
      </w:r>
      <w:r w:rsidR="004E6C2D" w:rsidRPr="00A519CD">
        <w:rPr>
          <w:rFonts w:ascii="Verdana" w:eastAsiaTheme="minorHAnsi" w:hAnsi="Verdana"/>
          <w:sz w:val="20"/>
        </w:rPr>
        <w:t>tal</w:t>
      </w:r>
      <w:r w:rsidR="00A30243" w:rsidRPr="00A519CD">
        <w:rPr>
          <w:rFonts w:ascii="Verdana" w:eastAsiaTheme="minorHAnsi" w:hAnsi="Verdana"/>
          <w:sz w:val="20"/>
        </w:rPr>
        <w:t xml:space="preserve"> concurrencia en el siguiente apartado. </w:t>
      </w:r>
    </w:p>
    <w:p w14:paraId="5C8A11C1" w14:textId="77777777" w:rsidR="00D41E18" w:rsidRPr="00C31C5A" w:rsidRDefault="00D41E18" w:rsidP="00D41E18">
      <w:pPr>
        <w:pStyle w:val="ListParagraph"/>
        <w:ind w:left="0"/>
        <w:jc w:val="both"/>
        <w:rPr>
          <w:rFonts w:ascii="Verdana" w:eastAsiaTheme="minorHAnsi" w:hAnsi="Verdana"/>
          <w:sz w:val="20"/>
        </w:rPr>
      </w:pPr>
    </w:p>
    <w:p w14:paraId="5D71E0F8" w14:textId="77777777" w:rsidR="00FC1FCF" w:rsidRPr="00B17B8E" w:rsidRDefault="0079049B" w:rsidP="00B17B8E">
      <w:pPr>
        <w:pStyle w:val="Heading5"/>
        <w:spacing w:before="0" w:line="240" w:lineRule="auto"/>
        <w:ind w:left="2160"/>
        <w:jc w:val="both"/>
        <w:rPr>
          <w:rFonts w:ascii="Verdana" w:hAnsi="Verdana"/>
          <w:b/>
          <w:i/>
          <w:color w:val="auto"/>
          <w:sz w:val="20"/>
          <w:szCs w:val="20"/>
          <w:lang w:val="es-CR"/>
        </w:rPr>
      </w:pPr>
      <w:bookmarkStart w:id="58" w:name="_Toc441666188"/>
      <w:r w:rsidRPr="00B17B8E">
        <w:rPr>
          <w:rFonts w:ascii="Verdana" w:hAnsi="Verdana"/>
          <w:b/>
          <w:i/>
          <w:color w:val="auto"/>
          <w:sz w:val="20"/>
          <w:szCs w:val="20"/>
          <w:lang w:val="es-CR"/>
        </w:rPr>
        <w:t>B.</w:t>
      </w:r>
      <w:r w:rsidR="00830B9E">
        <w:rPr>
          <w:rFonts w:ascii="Verdana" w:hAnsi="Verdana"/>
          <w:b/>
          <w:i/>
          <w:color w:val="auto"/>
          <w:sz w:val="20"/>
          <w:szCs w:val="20"/>
          <w:lang w:val="es-CR"/>
        </w:rPr>
        <w:t>3</w:t>
      </w:r>
      <w:r w:rsidRPr="00B17B8E">
        <w:rPr>
          <w:rFonts w:ascii="Verdana" w:hAnsi="Verdana"/>
          <w:b/>
          <w:i/>
          <w:color w:val="auto"/>
          <w:sz w:val="20"/>
          <w:szCs w:val="20"/>
          <w:lang w:val="es-CR"/>
        </w:rPr>
        <w:t>.</w:t>
      </w:r>
      <w:r w:rsidR="00C51AA0" w:rsidRPr="00B17B8E">
        <w:rPr>
          <w:rFonts w:ascii="Verdana" w:hAnsi="Verdana"/>
          <w:b/>
          <w:i/>
          <w:color w:val="auto"/>
          <w:sz w:val="20"/>
          <w:szCs w:val="20"/>
          <w:lang w:val="es-CR"/>
        </w:rPr>
        <w:t>2</w:t>
      </w:r>
      <w:r w:rsidRPr="00B17B8E">
        <w:rPr>
          <w:rFonts w:ascii="Verdana" w:hAnsi="Verdana"/>
          <w:b/>
          <w:i/>
          <w:color w:val="auto"/>
          <w:sz w:val="20"/>
          <w:szCs w:val="20"/>
          <w:lang w:val="es-CR"/>
        </w:rPr>
        <w:t>.2 L</w:t>
      </w:r>
      <w:r w:rsidR="00FC1FCF" w:rsidRPr="00B17B8E">
        <w:rPr>
          <w:rFonts w:ascii="Verdana" w:hAnsi="Verdana"/>
          <w:b/>
          <w:i/>
          <w:color w:val="auto"/>
          <w:sz w:val="20"/>
          <w:szCs w:val="20"/>
          <w:lang w:val="es-CR"/>
        </w:rPr>
        <w:t xml:space="preserve">as alegadas </w:t>
      </w:r>
      <w:r w:rsidR="00AF6628">
        <w:rPr>
          <w:rFonts w:ascii="Verdana" w:hAnsi="Verdana"/>
          <w:b/>
          <w:i/>
          <w:color w:val="auto"/>
          <w:sz w:val="20"/>
          <w:szCs w:val="20"/>
          <w:lang w:val="es-CR"/>
        </w:rPr>
        <w:t>afectaciones</w:t>
      </w:r>
      <w:r w:rsidR="00FC1FCF" w:rsidRPr="00B17B8E">
        <w:rPr>
          <w:rFonts w:ascii="Verdana" w:hAnsi="Verdana"/>
          <w:b/>
          <w:i/>
          <w:color w:val="auto"/>
          <w:sz w:val="20"/>
          <w:szCs w:val="20"/>
          <w:lang w:val="es-CR"/>
        </w:rPr>
        <w:t xml:space="preserve"> en las reservas de Galibi y Wane Kreek</w:t>
      </w:r>
      <w:bookmarkEnd w:id="58"/>
    </w:p>
    <w:p w14:paraId="74D06847" w14:textId="77777777" w:rsidR="00FC1FCF" w:rsidRPr="00C02552" w:rsidRDefault="00FC1FCF" w:rsidP="00FC1FCF">
      <w:pPr>
        <w:jc w:val="both"/>
        <w:rPr>
          <w:rFonts w:ascii="Verdana" w:hAnsi="Verdana" w:cs="Arial"/>
          <w:sz w:val="20"/>
          <w:szCs w:val="20"/>
          <w:lang w:val="es-ES"/>
        </w:rPr>
      </w:pPr>
    </w:p>
    <w:p w14:paraId="7A3D51FE" w14:textId="55C10D40" w:rsidR="00FC1FCF" w:rsidRPr="00C02552" w:rsidRDefault="00FC1FCF" w:rsidP="00FC1FCF">
      <w:pPr>
        <w:pStyle w:val="ListParagraph"/>
        <w:numPr>
          <w:ilvl w:val="0"/>
          <w:numId w:val="2"/>
        </w:numPr>
        <w:ind w:left="0" w:hanging="11"/>
        <w:jc w:val="both"/>
        <w:rPr>
          <w:rFonts w:ascii="Verdana" w:hAnsi="Verdana" w:cs="Arial"/>
          <w:sz w:val="20"/>
          <w:szCs w:val="20"/>
          <w:lang w:val="es-ES"/>
        </w:rPr>
      </w:pPr>
      <w:r w:rsidRPr="00C02552">
        <w:rPr>
          <w:rFonts w:ascii="Verdana" w:hAnsi="Verdana" w:cs="Arial"/>
          <w:sz w:val="20"/>
          <w:szCs w:val="20"/>
          <w:lang w:val="es-ES"/>
        </w:rPr>
        <w:t>La Corte nota que subsis</w:t>
      </w:r>
      <w:r>
        <w:rPr>
          <w:rFonts w:ascii="Verdana" w:hAnsi="Verdana" w:cs="Arial"/>
          <w:sz w:val="20"/>
          <w:szCs w:val="20"/>
          <w:lang w:val="es-ES"/>
        </w:rPr>
        <w:t>te</w:t>
      </w:r>
      <w:r w:rsidRPr="00C02552">
        <w:rPr>
          <w:rFonts w:ascii="Verdana" w:hAnsi="Verdana" w:cs="Arial"/>
          <w:sz w:val="20"/>
          <w:szCs w:val="20"/>
          <w:lang w:val="es-ES"/>
        </w:rPr>
        <w:t xml:space="preserve"> la controversia respecto de las siguientes </w:t>
      </w:r>
      <w:r w:rsidR="003C5693" w:rsidRPr="00880EAE">
        <w:rPr>
          <w:rFonts w:ascii="Verdana" w:hAnsi="Verdana" w:cs="Arial"/>
          <w:sz w:val="20"/>
          <w:szCs w:val="20"/>
          <w:lang w:val="es-ES"/>
        </w:rPr>
        <w:t>afectaciones</w:t>
      </w:r>
      <w:r w:rsidR="003C5693" w:rsidRPr="002C323A">
        <w:rPr>
          <w:rFonts w:ascii="Verdana" w:hAnsi="Verdana" w:cs="Arial"/>
          <w:b/>
          <w:sz w:val="20"/>
          <w:szCs w:val="20"/>
          <w:lang w:val="es-ES"/>
        </w:rPr>
        <w:t xml:space="preserve"> </w:t>
      </w:r>
      <w:r>
        <w:rPr>
          <w:rFonts w:ascii="Verdana" w:hAnsi="Verdana" w:cs="Arial"/>
          <w:sz w:val="20"/>
          <w:szCs w:val="20"/>
          <w:lang w:val="es-ES"/>
        </w:rPr>
        <w:t xml:space="preserve">alegadas </w:t>
      </w:r>
      <w:r w:rsidRPr="00C02552">
        <w:rPr>
          <w:rFonts w:ascii="Verdana" w:hAnsi="Verdana" w:cs="Arial"/>
          <w:sz w:val="20"/>
          <w:szCs w:val="20"/>
          <w:lang w:val="es-ES"/>
        </w:rPr>
        <w:t xml:space="preserve">en las reservas: </w:t>
      </w:r>
      <w:r>
        <w:rPr>
          <w:rFonts w:ascii="Verdana" w:hAnsi="Verdana" w:cs="Arial"/>
          <w:sz w:val="20"/>
          <w:szCs w:val="20"/>
          <w:lang w:val="es-ES"/>
        </w:rPr>
        <w:t>1</w:t>
      </w:r>
      <w:r w:rsidRPr="00C02552">
        <w:rPr>
          <w:rFonts w:ascii="Verdana" w:hAnsi="Verdana" w:cs="Arial"/>
          <w:sz w:val="20"/>
          <w:szCs w:val="20"/>
          <w:lang w:val="es-ES"/>
        </w:rPr>
        <w:t xml:space="preserve">) </w:t>
      </w:r>
      <w:r>
        <w:rPr>
          <w:rFonts w:ascii="Verdana" w:hAnsi="Verdana" w:cs="Arial"/>
          <w:sz w:val="20"/>
          <w:szCs w:val="20"/>
          <w:lang w:val="es-ES"/>
        </w:rPr>
        <w:t xml:space="preserve">el impedimento de acceso a </w:t>
      </w:r>
      <w:r w:rsidRPr="00C02552">
        <w:rPr>
          <w:rFonts w:ascii="Verdana" w:hAnsi="Verdana" w:cs="Arial"/>
          <w:sz w:val="20"/>
          <w:szCs w:val="20"/>
          <w:lang w:val="es-ES"/>
        </w:rPr>
        <w:t xml:space="preserve">la </w:t>
      </w:r>
      <w:r w:rsidR="00D97182">
        <w:rPr>
          <w:rFonts w:ascii="Verdana" w:hAnsi="Verdana" w:cs="Arial"/>
          <w:sz w:val="20"/>
          <w:szCs w:val="20"/>
          <w:lang w:val="es-ES"/>
        </w:rPr>
        <w:t>R</w:t>
      </w:r>
      <w:r w:rsidRPr="00C02552">
        <w:rPr>
          <w:rFonts w:ascii="Verdana" w:hAnsi="Verdana" w:cs="Arial"/>
          <w:sz w:val="20"/>
          <w:szCs w:val="20"/>
          <w:lang w:val="es-ES"/>
        </w:rPr>
        <w:t xml:space="preserve">eserva de Galibi </w:t>
      </w:r>
      <w:r>
        <w:rPr>
          <w:rFonts w:ascii="Verdana" w:hAnsi="Verdana" w:cs="Arial"/>
          <w:sz w:val="20"/>
          <w:szCs w:val="20"/>
          <w:lang w:val="es-ES"/>
        </w:rPr>
        <w:t>por parte d</w:t>
      </w:r>
      <w:r w:rsidRPr="00C02552">
        <w:rPr>
          <w:rFonts w:ascii="Verdana" w:hAnsi="Verdana" w:cs="Arial"/>
          <w:sz w:val="20"/>
          <w:szCs w:val="20"/>
          <w:lang w:val="es-ES"/>
        </w:rPr>
        <w:t>e</w:t>
      </w:r>
      <w:r w:rsidR="003C5693">
        <w:rPr>
          <w:rFonts w:ascii="Verdana" w:hAnsi="Verdana" w:cs="Arial"/>
          <w:sz w:val="20"/>
          <w:szCs w:val="20"/>
          <w:lang w:val="es-ES"/>
        </w:rPr>
        <w:t xml:space="preserve"> autoridades </w:t>
      </w:r>
      <w:r w:rsidR="00C364DA">
        <w:rPr>
          <w:rFonts w:ascii="Verdana" w:hAnsi="Verdana" w:cs="Arial"/>
          <w:sz w:val="20"/>
          <w:szCs w:val="20"/>
          <w:lang w:val="es-ES"/>
        </w:rPr>
        <w:t>estatales</w:t>
      </w:r>
      <w:r w:rsidRPr="00C02552">
        <w:rPr>
          <w:rFonts w:ascii="Verdana" w:hAnsi="Verdana" w:cs="Arial"/>
          <w:sz w:val="20"/>
          <w:szCs w:val="20"/>
          <w:lang w:val="es-ES"/>
        </w:rPr>
        <w:t xml:space="preserve">; </w:t>
      </w:r>
      <w:r w:rsidR="00EC7750">
        <w:rPr>
          <w:rFonts w:ascii="Verdana" w:hAnsi="Verdana" w:cs="Arial"/>
          <w:sz w:val="20"/>
          <w:szCs w:val="20"/>
          <w:lang w:val="es-ES"/>
        </w:rPr>
        <w:t>2</w:t>
      </w:r>
      <w:r w:rsidRPr="00C02552">
        <w:rPr>
          <w:rFonts w:ascii="Verdana" w:hAnsi="Verdana" w:cs="Arial"/>
          <w:sz w:val="20"/>
          <w:szCs w:val="20"/>
          <w:lang w:val="es-ES"/>
        </w:rPr>
        <w:t>) la prohibición de la caza y pesca en las reservas</w:t>
      </w:r>
      <w:r>
        <w:rPr>
          <w:rFonts w:ascii="Verdana" w:hAnsi="Verdana" w:cs="Arial"/>
          <w:sz w:val="20"/>
          <w:szCs w:val="20"/>
          <w:lang w:val="es-ES"/>
        </w:rPr>
        <w:t>, derivado de la</w:t>
      </w:r>
      <w:r w:rsidRPr="00C02552">
        <w:rPr>
          <w:rFonts w:ascii="Verdana" w:hAnsi="Verdana" w:cs="Arial"/>
          <w:sz w:val="20"/>
          <w:szCs w:val="20"/>
          <w:lang w:val="es-ES"/>
        </w:rPr>
        <w:t xml:space="preserve"> Ley de Protección de la Naturaleza </w:t>
      </w:r>
      <w:r w:rsidR="00A519CD">
        <w:rPr>
          <w:rFonts w:ascii="Verdana" w:hAnsi="Verdana" w:cs="Arial"/>
          <w:sz w:val="20"/>
          <w:szCs w:val="20"/>
          <w:lang w:val="es-ES"/>
        </w:rPr>
        <w:t xml:space="preserve">de 1954 </w:t>
      </w:r>
      <w:r w:rsidRPr="00C02552">
        <w:rPr>
          <w:rFonts w:ascii="Verdana" w:hAnsi="Verdana" w:cs="Arial"/>
          <w:sz w:val="20"/>
          <w:szCs w:val="20"/>
          <w:lang w:val="es-ES"/>
        </w:rPr>
        <w:t>(</w:t>
      </w:r>
      <w:r w:rsidR="00366D91" w:rsidRPr="00366D91">
        <w:rPr>
          <w:rFonts w:ascii="Verdana" w:hAnsi="Verdana" w:cs="Arial"/>
          <w:i/>
          <w:sz w:val="20"/>
          <w:szCs w:val="20"/>
          <w:lang w:val="es-ES"/>
        </w:rPr>
        <w:t>supra</w:t>
      </w:r>
      <w:r w:rsidRPr="00C02552">
        <w:rPr>
          <w:rFonts w:ascii="Verdana" w:hAnsi="Verdana" w:cs="Arial"/>
          <w:sz w:val="20"/>
          <w:szCs w:val="20"/>
          <w:lang w:val="es-ES"/>
        </w:rPr>
        <w:t xml:space="preserve"> párr.</w:t>
      </w:r>
      <w:r w:rsidR="00A519CD">
        <w:rPr>
          <w:rFonts w:ascii="Verdana" w:hAnsi="Verdana" w:cs="Arial"/>
          <w:sz w:val="20"/>
          <w:szCs w:val="20"/>
          <w:lang w:val="es-ES"/>
        </w:rPr>
        <w:t xml:space="preserve"> 7</w:t>
      </w:r>
      <w:r w:rsidR="00A967C8">
        <w:rPr>
          <w:rFonts w:ascii="Verdana" w:hAnsi="Verdana" w:cs="Arial"/>
          <w:sz w:val="20"/>
          <w:szCs w:val="20"/>
          <w:lang w:val="es-ES"/>
        </w:rPr>
        <w:t>3</w:t>
      </w:r>
      <w:r w:rsidRPr="00C02552">
        <w:rPr>
          <w:rFonts w:ascii="Verdana" w:hAnsi="Verdana" w:cs="Arial"/>
          <w:sz w:val="20"/>
          <w:szCs w:val="20"/>
          <w:lang w:val="es-ES"/>
        </w:rPr>
        <w:t>)</w:t>
      </w:r>
      <w:r>
        <w:rPr>
          <w:rFonts w:ascii="Verdana" w:hAnsi="Verdana" w:cs="Arial"/>
          <w:sz w:val="20"/>
          <w:szCs w:val="20"/>
          <w:lang w:val="es-ES"/>
        </w:rPr>
        <w:t>;</w:t>
      </w:r>
      <w:r w:rsidRPr="00C02552">
        <w:rPr>
          <w:rFonts w:ascii="Verdana" w:hAnsi="Verdana" w:cs="Arial"/>
          <w:sz w:val="20"/>
          <w:szCs w:val="20"/>
          <w:lang w:val="es-ES"/>
        </w:rPr>
        <w:t xml:space="preserve"> </w:t>
      </w:r>
      <w:r w:rsidR="00EC7750">
        <w:rPr>
          <w:rFonts w:ascii="Verdana" w:hAnsi="Verdana" w:cs="Arial"/>
          <w:sz w:val="20"/>
          <w:szCs w:val="20"/>
          <w:lang w:val="es-ES"/>
        </w:rPr>
        <w:t>3</w:t>
      </w:r>
      <w:r w:rsidRPr="00C02552">
        <w:rPr>
          <w:rFonts w:ascii="Verdana" w:hAnsi="Verdana" w:cs="Arial"/>
          <w:sz w:val="20"/>
          <w:szCs w:val="20"/>
          <w:lang w:val="es-ES"/>
        </w:rPr>
        <w:t xml:space="preserve">) la prohibición de acceso al área de la zona minera en </w:t>
      </w:r>
      <w:r w:rsidRPr="00C02552">
        <w:rPr>
          <w:rFonts w:ascii="Verdana" w:hAnsi="Verdana"/>
          <w:sz w:val="20"/>
          <w:szCs w:val="20"/>
        </w:rPr>
        <w:t>la Reserva Wane Kreek</w:t>
      </w:r>
      <w:r w:rsidR="00EC7750">
        <w:rPr>
          <w:rFonts w:ascii="Verdana" w:hAnsi="Verdana"/>
          <w:sz w:val="20"/>
          <w:szCs w:val="20"/>
        </w:rPr>
        <w:t>, y</w:t>
      </w:r>
      <w:r w:rsidR="00434604">
        <w:rPr>
          <w:rFonts w:ascii="Verdana" w:hAnsi="Verdana"/>
          <w:sz w:val="20"/>
          <w:szCs w:val="20"/>
        </w:rPr>
        <w:t xml:space="preserve"> </w:t>
      </w:r>
      <w:r w:rsidR="00EC7750">
        <w:rPr>
          <w:rFonts w:ascii="Verdana" w:hAnsi="Verdana"/>
          <w:sz w:val="20"/>
          <w:szCs w:val="20"/>
        </w:rPr>
        <w:t>4</w:t>
      </w:r>
      <w:r w:rsidRPr="00C02552">
        <w:rPr>
          <w:rFonts w:ascii="Verdana" w:hAnsi="Verdana"/>
          <w:sz w:val="20"/>
          <w:szCs w:val="20"/>
        </w:rPr>
        <w:t xml:space="preserve">) la negativa </w:t>
      </w:r>
      <w:r w:rsidR="00A519CD">
        <w:rPr>
          <w:rFonts w:ascii="Verdana" w:hAnsi="Verdana"/>
          <w:sz w:val="20"/>
          <w:szCs w:val="20"/>
        </w:rPr>
        <w:t>del</w:t>
      </w:r>
      <w:r>
        <w:rPr>
          <w:rFonts w:ascii="Verdana" w:hAnsi="Verdana"/>
          <w:sz w:val="20"/>
          <w:szCs w:val="20"/>
        </w:rPr>
        <w:t xml:space="preserve"> </w:t>
      </w:r>
      <w:r w:rsidRPr="00C02552">
        <w:rPr>
          <w:rFonts w:ascii="Verdana" w:hAnsi="Verdana"/>
          <w:sz w:val="20"/>
          <w:szCs w:val="20"/>
        </w:rPr>
        <w:t>control y administración de las reservas</w:t>
      </w:r>
      <w:r>
        <w:rPr>
          <w:rFonts w:ascii="Verdana" w:hAnsi="Verdana"/>
          <w:sz w:val="20"/>
          <w:szCs w:val="20"/>
        </w:rPr>
        <w:t xml:space="preserve"> a los pueblos indígenas</w:t>
      </w:r>
      <w:r w:rsidR="00EC7750">
        <w:rPr>
          <w:rFonts w:ascii="Verdana" w:hAnsi="Verdana" w:cs="Arial"/>
          <w:sz w:val="20"/>
          <w:szCs w:val="20"/>
          <w:lang w:val="es-ES"/>
        </w:rPr>
        <w:t xml:space="preserve">. </w:t>
      </w:r>
      <w:r>
        <w:rPr>
          <w:rFonts w:ascii="Verdana" w:hAnsi="Verdana" w:cs="Arial"/>
          <w:sz w:val="20"/>
          <w:szCs w:val="20"/>
          <w:lang w:val="es-ES"/>
        </w:rPr>
        <w:t xml:space="preserve">Al respecto, el Tribunal </w:t>
      </w:r>
      <w:r w:rsidRPr="00C02552">
        <w:rPr>
          <w:rFonts w:ascii="Verdana" w:hAnsi="Verdana" w:cs="Arial"/>
          <w:sz w:val="20"/>
          <w:szCs w:val="20"/>
          <w:lang w:val="es-ES"/>
        </w:rPr>
        <w:t xml:space="preserve">se pronunciará en los siguientes tres apartados. </w:t>
      </w:r>
    </w:p>
    <w:p w14:paraId="1D7F7430" w14:textId="77777777" w:rsidR="00FC1FCF" w:rsidRPr="00C02552" w:rsidRDefault="00FC1FCF" w:rsidP="00FC1FCF">
      <w:pPr>
        <w:jc w:val="both"/>
        <w:rPr>
          <w:rFonts w:ascii="Verdana" w:hAnsi="Verdana"/>
          <w:sz w:val="20"/>
          <w:lang w:val="es-MX"/>
        </w:rPr>
      </w:pPr>
    </w:p>
    <w:p w14:paraId="3D99131B" w14:textId="77777777" w:rsidR="00FC1FCF" w:rsidRPr="00B17B8E" w:rsidRDefault="00BF58DC" w:rsidP="00FC1FCF">
      <w:pPr>
        <w:pStyle w:val="ListParagraph"/>
        <w:numPr>
          <w:ilvl w:val="0"/>
          <w:numId w:val="22"/>
        </w:numPr>
        <w:jc w:val="both"/>
        <w:rPr>
          <w:rFonts w:ascii="Verdana" w:hAnsi="Verdana"/>
          <w:b/>
          <w:i/>
          <w:sz w:val="20"/>
          <w:szCs w:val="20"/>
        </w:rPr>
      </w:pPr>
      <w:r>
        <w:rPr>
          <w:rFonts w:ascii="Verdana" w:hAnsi="Verdana"/>
          <w:b/>
          <w:i/>
          <w:sz w:val="20"/>
          <w:szCs w:val="20"/>
        </w:rPr>
        <w:t>Respecto de las a</w:t>
      </w:r>
      <w:r w:rsidR="00434604">
        <w:rPr>
          <w:rFonts w:ascii="Verdana" w:hAnsi="Verdana"/>
          <w:b/>
          <w:i/>
          <w:sz w:val="20"/>
          <w:szCs w:val="20"/>
        </w:rPr>
        <w:t>fectaciones</w:t>
      </w:r>
      <w:r w:rsidR="00434604" w:rsidRPr="00B17B8E">
        <w:rPr>
          <w:rFonts w:ascii="Verdana" w:hAnsi="Verdana"/>
          <w:b/>
          <w:i/>
          <w:sz w:val="20"/>
          <w:szCs w:val="20"/>
        </w:rPr>
        <w:t xml:space="preserve"> </w:t>
      </w:r>
      <w:r w:rsidR="00FC1FCF" w:rsidRPr="00B17B8E">
        <w:rPr>
          <w:rFonts w:ascii="Verdana" w:hAnsi="Verdana"/>
          <w:b/>
          <w:i/>
          <w:sz w:val="20"/>
          <w:szCs w:val="20"/>
        </w:rPr>
        <w:t xml:space="preserve">en la Reserva de Galibi </w:t>
      </w:r>
    </w:p>
    <w:p w14:paraId="347EB918" w14:textId="77777777" w:rsidR="00FC1FCF" w:rsidRPr="00C02552" w:rsidRDefault="00FC1FCF" w:rsidP="00FC1FCF">
      <w:pPr>
        <w:pStyle w:val="ListParagraph"/>
        <w:ind w:left="1080"/>
        <w:jc w:val="both"/>
        <w:rPr>
          <w:rFonts w:ascii="Verdana" w:hAnsi="Verdana"/>
          <w:i/>
          <w:sz w:val="20"/>
          <w:szCs w:val="20"/>
        </w:rPr>
      </w:pPr>
    </w:p>
    <w:p w14:paraId="5DB37D19" w14:textId="77777777" w:rsidR="008464D3" w:rsidRPr="004B0145" w:rsidRDefault="00FC1FCF" w:rsidP="00FC1FCF">
      <w:pPr>
        <w:pStyle w:val="ListParagraph"/>
        <w:numPr>
          <w:ilvl w:val="0"/>
          <w:numId w:val="2"/>
        </w:numPr>
        <w:ind w:left="0" w:hanging="11"/>
        <w:jc w:val="both"/>
        <w:rPr>
          <w:rFonts w:ascii="Verdana" w:hAnsi="Verdana" w:cs="Arial"/>
          <w:sz w:val="20"/>
          <w:szCs w:val="20"/>
          <w:lang w:val="es-ES"/>
        </w:rPr>
      </w:pPr>
      <w:r w:rsidRPr="00EC7750">
        <w:rPr>
          <w:rFonts w:ascii="Verdana" w:hAnsi="Verdana"/>
          <w:sz w:val="20"/>
          <w:szCs w:val="20"/>
        </w:rPr>
        <w:t xml:space="preserve">La Corte toma nota </w:t>
      </w:r>
      <w:r w:rsidR="00A519CD">
        <w:rPr>
          <w:rFonts w:ascii="Verdana" w:hAnsi="Verdana"/>
          <w:sz w:val="20"/>
          <w:szCs w:val="20"/>
        </w:rPr>
        <w:t xml:space="preserve">de </w:t>
      </w:r>
      <w:r w:rsidRPr="00EC7750">
        <w:rPr>
          <w:rFonts w:ascii="Verdana" w:hAnsi="Verdana"/>
          <w:sz w:val="20"/>
          <w:szCs w:val="20"/>
        </w:rPr>
        <w:t>que</w:t>
      </w:r>
      <w:r w:rsidR="00C364DA" w:rsidRPr="0014568C">
        <w:rPr>
          <w:rFonts w:ascii="Verdana" w:hAnsi="Verdana"/>
          <w:sz w:val="20"/>
          <w:szCs w:val="20"/>
        </w:rPr>
        <w:t>,</w:t>
      </w:r>
      <w:r w:rsidRPr="0014568C">
        <w:rPr>
          <w:rFonts w:ascii="Verdana" w:hAnsi="Verdana"/>
          <w:sz w:val="20"/>
          <w:szCs w:val="20"/>
        </w:rPr>
        <w:t xml:space="preserve"> </w:t>
      </w:r>
      <w:r w:rsidR="00434604" w:rsidRPr="00190AD3">
        <w:rPr>
          <w:rFonts w:ascii="Verdana" w:hAnsi="Verdana"/>
          <w:sz w:val="20"/>
        </w:rPr>
        <w:t>según</w:t>
      </w:r>
      <w:r w:rsidR="003F3419" w:rsidRPr="00190AD3">
        <w:rPr>
          <w:rFonts w:ascii="Verdana" w:hAnsi="Verdana"/>
          <w:sz w:val="20"/>
        </w:rPr>
        <w:t xml:space="preserve"> lo</w:t>
      </w:r>
      <w:r w:rsidR="00434604" w:rsidRPr="00190AD3">
        <w:rPr>
          <w:rFonts w:ascii="Verdana" w:hAnsi="Verdana"/>
          <w:sz w:val="20"/>
        </w:rPr>
        <w:t xml:space="preserve"> manifestado </w:t>
      </w:r>
      <w:r w:rsidR="003F3419" w:rsidRPr="00190AD3">
        <w:rPr>
          <w:rFonts w:ascii="Verdana" w:hAnsi="Verdana"/>
          <w:sz w:val="20"/>
        </w:rPr>
        <w:t xml:space="preserve">en </w:t>
      </w:r>
      <w:r w:rsidR="00434604" w:rsidRPr="00190AD3">
        <w:rPr>
          <w:rFonts w:ascii="Verdana" w:hAnsi="Verdana"/>
          <w:sz w:val="20"/>
        </w:rPr>
        <w:t xml:space="preserve">la </w:t>
      </w:r>
      <w:r w:rsidR="003F3419" w:rsidRPr="00190AD3">
        <w:rPr>
          <w:rFonts w:ascii="Verdana" w:hAnsi="Verdana"/>
          <w:sz w:val="20"/>
        </w:rPr>
        <w:t>visita</w:t>
      </w:r>
      <w:r w:rsidR="00434604" w:rsidRPr="00190AD3">
        <w:rPr>
          <w:rFonts w:ascii="Verdana" w:hAnsi="Verdana"/>
          <w:sz w:val="20"/>
        </w:rPr>
        <w:t xml:space="preserve"> a </w:t>
      </w:r>
      <w:r w:rsidR="004C0C97" w:rsidRPr="00190AD3">
        <w:rPr>
          <w:rFonts w:ascii="Verdana" w:hAnsi="Verdana"/>
          <w:sz w:val="20"/>
        </w:rPr>
        <w:t xml:space="preserve">esta </w:t>
      </w:r>
      <w:r w:rsidR="00434604" w:rsidRPr="00190AD3">
        <w:rPr>
          <w:rFonts w:ascii="Verdana" w:hAnsi="Verdana"/>
          <w:sz w:val="20"/>
        </w:rPr>
        <w:t>reserva</w:t>
      </w:r>
      <w:r w:rsidR="003F3419" w:rsidRPr="00190AD3">
        <w:rPr>
          <w:rFonts w:ascii="Verdana" w:hAnsi="Verdana"/>
          <w:sz w:val="20"/>
        </w:rPr>
        <w:t xml:space="preserve"> (</w:t>
      </w:r>
      <w:r w:rsidR="003F3419" w:rsidRPr="00CF360B">
        <w:rPr>
          <w:rFonts w:ascii="Verdana" w:hAnsi="Verdana"/>
          <w:i/>
          <w:sz w:val="20"/>
        </w:rPr>
        <w:t>supra</w:t>
      </w:r>
      <w:r w:rsidR="003F3419" w:rsidRPr="00190AD3">
        <w:rPr>
          <w:rFonts w:ascii="Verdana" w:hAnsi="Verdana"/>
          <w:sz w:val="20"/>
        </w:rPr>
        <w:t xml:space="preserve"> párr.</w:t>
      </w:r>
      <w:r w:rsidR="00A519CD">
        <w:rPr>
          <w:rFonts w:ascii="Verdana" w:hAnsi="Verdana"/>
          <w:sz w:val="20"/>
        </w:rPr>
        <w:t xml:space="preserve"> 14</w:t>
      </w:r>
      <w:r w:rsidR="003F3419" w:rsidRPr="00190AD3">
        <w:rPr>
          <w:rFonts w:ascii="Verdana" w:hAnsi="Verdana"/>
          <w:sz w:val="20"/>
        </w:rPr>
        <w:t>)</w:t>
      </w:r>
      <w:r w:rsidR="00C364DA" w:rsidRPr="00190AD3">
        <w:rPr>
          <w:rFonts w:ascii="Verdana" w:hAnsi="Verdana"/>
          <w:sz w:val="20"/>
        </w:rPr>
        <w:t>,</w:t>
      </w:r>
      <w:r w:rsidR="00434604" w:rsidRPr="00EC7750">
        <w:rPr>
          <w:rFonts w:ascii="Verdana" w:hAnsi="Verdana"/>
          <w:sz w:val="20"/>
          <w:szCs w:val="20"/>
        </w:rPr>
        <w:t xml:space="preserve"> </w:t>
      </w:r>
      <w:r w:rsidRPr="0014568C">
        <w:rPr>
          <w:rFonts w:ascii="Verdana" w:hAnsi="Verdana"/>
          <w:sz w:val="20"/>
          <w:szCs w:val="20"/>
        </w:rPr>
        <w:t xml:space="preserve">durante </w:t>
      </w:r>
      <w:r w:rsidR="000F0638" w:rsidRPr="0014568C">
        <w:rPr>
          <w:rFonts w:ascii="Verdana" w:hAnsi="Verdana"/>
          <w:sz w:val="20"/>
          <w:szCs w:val="20"/>
        </w:rPr>
        <w:t>el conflicto interno</w:t>
      </w:r>
      <w:r w:rsidRPr="00656AB9">
        <w:rPr>
          <w:rFonts w:ascii="Verdana" w:hAnsi="Verdana"/>
          <w:sz w:val="20"/>
          <w:szCs w:val="20"/>
        </w:rPr>
        <w:t xml:space="preserve"> existieron prohibiciones que impedían el acceso a la Reserva de Galibi con motivo del incremento en los robos de huevo de tortuga y se pusi</w:t>
      </w:r>
      <w:r w:rsidRPr="005B77D2">
        <w:rPr>
          <w:rFonts w:ascii="Verdana" w:hAnsi="Verdana"/>
          <w:sz w:val="20"/>
          <w:szCs w:val="20"/>
        </w:rPr>
        <w:t xml:space="preserve">eron </w:t>
      </w:r>
      <w:r w:rsidRPr="005B77D2">
        <w:rPr>
          <w:rFonts w:ascii="Verdana" w:hAnsi="Verdana"/>
          <w:sz w:val="20"/>
          <w:szCs w:val="20"/>
        </w:rPr>
        <w:lastRenderedPageBreak/>
        <w:t>puestos militares en las áreas de acceso</w:t>
      </w:r>
      <w:r w:rsidR="00C364DA" w:rsidRPr="005B77D2">
        <w:rPr>
          <w:rFonts w:ascii="Verdana" w:hAnsi="Verdana"/>
          <w:sz w:val="20"/>
        </w:rPr>
        <w:t xml:space="preserve"> (</w:t>
      </w:r>
      <w:r w:rsidR="00C364DA" w:rsidRPr="000F0638">
        <w:rPr>
          <w:rFonts w:ascii="Verdana" w:hAnsi="Verdana"/>
          <w:i/>
          <w:sz w:val="20"/>
        </w:rPr>
        <w:t xml:space="preserve">supra </w:t>
      </w:r>
      <w:r w:rsidR="00C364DA" w:rsidRPr="00B17B8E">
        <w:rPr>
          <w:rFonts w:ascii="Verdana" w:hAnsi="Verdana"/>
          <w:sz w:val="20"/>
        </w:rPr>
        <w:t>párr.</w:t>
      </w:r>
      <w:r w:rsidR="00A967C8">
        <w:rPr>
          <w:rFonts w:ascii="Verdana" w:hAnsi="Verdana"/>
          <w:sz w:val="20"/>
        </w:rPr>
        <w:t xml:space="preserve"> </w:t>
      </w:r>
      <w:r w:rsidR="00A519CD">
        <w:rPr>
          <w:rFonts w:ascii="Verdana" w:hAnsi="Verdana"/>
          <w:sz w:val="20"/>
        </w:rPr>
        <w:t>78</w:t>
      </w:r>
      <w:r w:rsidR="00C364DA">
        <w:rPr>
          <w:rFonts w:ascii="Verdana" w:hAnsi="Verdana"/>
          <w:sz w:val="20"/>
        </w:rPr>
        <w:t>)</w:t>
      </w:r>
      <w:r>
        <w:rPr>
          <w:rFonts w:ascii="Verdana" w:hAnsi="Verdana"/>
          <w:sz w:val="20"/>
        </w:rPr>
        <w:t>.</w:t>
      </w:r>
      <w:r w:rsidRPr="005B77D2">
        <w:rPr>
          <w:rFonts w:ascii="Verdana" w:hAnsi="Verdana"/>
          <w:sz w:val="20"/>
        </w:rPr>
        <w:t xml:space="preserve"> </w:t>
      </w:r>
      <w:r w:rsidR="004C0C97" w:rsidRPr="00190AD3">
        <w:rPr>
          <w:rFonts w:ascii="Verdana" w:hAnsi="Verdana"/>
          <w:sz w:val="20"/>
        </w:rPr>
        <w:t xml:space="preserve">Durante </w:t>
      </w:r>
      <w:r w:rsidR="00C364DA" w:rsidRPr="00190AD3">
        <w:rPr>
          <w:rFonts w:ascii="Verdana" w:hAnsi="Verdana"/>
          <w:sz w:val="20"/>
        </w:rPr>
        <w:t xml:space="preserve">el año </w:t>
      </w:r>
      <w:r w:rsidR="004C0C97" w:rsidRPr="00190AD3">
        <w:rPr>
          <w:rFonts w:ascii="Verdana" w:hAnsi="Verdana"/>
          <w:sz w:val="20"/>
        </w:rPr>
        <w:t>2005 también se habrían instalado puestos de seguridad que limitaron el acceso en el área y en 2006 uno de los guardias realizó un disparo al a</w:t>
      </w:r>
      <w:r w:rsidR="001444BD">
        <w:rPr>
          <w:rFonts w:ascii="Verdana" w:hAnsi="Verdana"/>
          <w:sz w:val="20"/>
        </w:rPr>
        <w:t>i</w:t>
      </w:r>
      <w:r w:rsidR="004C0C97" w:rsidRPr="00190AD3">
        <w:rPr>
          <w:rFonts w:ascii="Verdana" w:hAnsi="Verdana"/>
          <w:sz w:val="20"/>
        </w:rPr>
        <w:t>re</w:t>
      </w:r>
      <w:r w:rsidR="00B46330">
        <w:rPr>
          <w:rFonts w:ascii="Verdana" w:hAnsi="Verdana"/>
          <w:sz w:val="20"/>
        </w:rPr>
        <w:t xml:space="preserve">. </w:t>
      </w:r>
      <w:r w:rsidR="004C0C97" w:rsidRPr="00190AD3">
        <w:rPr>
          <w:rFonts w:ascii="Verdana" w:hAnsi="Verdana"/>
          <w:sz w:val="20"/>
        </w:rPr>
        <w:t>Por su parte</w:t>
      </w:r>
      <w:r w:rsidR="000C4E54" w:rsidRPr="00190AD3">
        <w:rPr>
          <w:rFonts w:ascii="Verdana" w:hAnsi="Verdana"/>
          <w:sz w:val="20"/>
        </w:rPr>
        <w:t>,</w:t>
      </w:r>
      <w:r w:rsidR="004C0C97" w:rsidRPr="00190AD3">
        <w:rPr>
          <w:rFonts w:ascii="Verdana" w:hAnsi="Verdana"/>
          <w:sz w:val="20"/>
        </w:rPr>
        <w:t xml:space="preserve"> la Corte constató que</w:t>
      </w:r>
      <w:r w:rsidRPr="00190AD3">
        <w:rPr>
          <w:rFonts w:ascii="Verdana" w:hAnsi="Verdana"/>
          <w:sz w:val="20"/>
        </w:rPr>
        <w:t xml:space="preserve"> </w:t>
      </w:r>
      <w:r w:rsidRPr="00EC7750">
        <w:rPr>
          <w:rFonts w:ascii="Verdana" w:hAnsi="Verdana"/>
          <w:sz w:val="20"/>
          <w:szCs w:val="20"/>
        </w:rPr>
        <w:t>en 1998</w:t>
      </w:r>
      <w:r w:rsidRPr="0014568C">
        <w:rPr>
          <w:rFonts w:ascii="Verdana" w:hAnsi="Verdana"/>
          <w:sz w:val="20"/>
          <w:szCs w:val="20"/>
        </w:rPr>
        <w:t xml:space="preserve"> se estableció la Comisión de Diálogo, mediante la cual se acordó el acceso y uso de la zona de la reserva, limitando la extracción de huevos de tortuga para el consumo personal de los miembros de los pueblos indígenas y la no comercialización de los mismos. Además, se previeron formas de participación en la vigilancia de la reserva, y se dispusieron medidas para compartir beneficios con el incremento de la actividad turística en la zona, medidas que fueron verificadas durant</w:t>
      </w:r>
      <w:r w:rsidRPr="00656AB9">
        <w:rPr>
          <w:rFonts w:ascii="Verdana" w:hAnsi="Verdana"/>
          <w:sz w:val="20"/>
          <w:szCs w:val="20"/>
        </w:rPr>
        <w:t xml:space="preserve">e la visita. También se evidenció que esta Comisión de Diálogo no opera en la actualidad. </w:t>
      </w:r>
      <w:r w:rsidR="00E70099" w:rsidRPr="00190AD3">
        <w:rPr>
          <w:rFonts w:ascii="Verdana" w:hAnsi="Verdana"/>
          <w:sz w:val="20"/>
        </w:rPr>
        <w:t>Durante la visita al área, las partes coincidieron en manifestar en que en la actualidad las condiciones de acceso y participación en los beneficios persistían para las comunidades vecinas.</w:t>
      </w:r>
    </w:p>
    <w:p w14:paraId="7C8F8FBA" w14:textId="49D31BFF" w:rsidR="00FC1FCF" w:rsidRPr="0014568C" w:rsidRDefault="00E70099" w:rsidP="004B0145">
      <w:pPr>
        <w:pStyle w:val="ListParagraph"/>
        <w:ind w:left="0"/>
        <w:jc w:val="both"/>
        <w:rPr>
          <w:rFonts w:ascii="Verdana" w:hAnsi="Verdana" w:cs="Arial"/>
          <w:sz w:val="20"/>
          <w:szCs w:val="20"/>
          <w:lang w:val="es-ES"/>
        </w:rPr>
      </w:pPr>
      <w:r w:rsidRPr="00EC7750">
        <w:rPr>
          <w:rFonts w:ascii="Verdana" w:hAnsi="Verdana"/>
          <w:sz w:val="20"/>
          <w:szCs w:val="20"/>
        </w:rPr>
        <w:t xml:space="preserve"> </w:t>
      </w:r>
    </w:p>
    <w:p w14:paraId="048D25ED" w14:textId="77777777" w:rsidR="00EC7750" w:rsidRPr="0014568C" w:rsidRDefault="00FC1FCF" w:rsidP="00190AD3">
      <w:pPr>
        <w:pStyle w:val="ListParagraph"/>
        <w:numPr>
          <w:ilvl w:val="0"/>
          <w:numId w:val="2"/>
        </w:numPr>
        <w:ind w:left="0" w:hanging="11"/>
        <w:jc w:val="both"/>
        <w:rPr>
          <w:rFonts w:ascii="Verdana" w:hAnsi="Verdana"/>
          <w:sz w:val="20"/>
          <w:szCs w:val="20"/>
        </w:rPr>
      </w:pPr>
      <w:r w:rsidRPr="00190AD3">
        <w:rPr>
          <w:rFonts w:ascii="Verdana" w:hAnsi="Verdana"/>
          <w:sz w:val="20"/>
        </w:rPr>
        <w:t xml:space="preserve">La Corte </w:t>
      </w:r>
      <w:r w:rsidR="004C0C97" w:rsidRPr="00190AD3">
        <w:rPr>
          <w:rFonts w:ascii="Verdana" w:hAnsi="Verdana"/>
          <w:sz w:val="20"/>
        </w:rPr>
        <w:t>carece de elementos de prueba que especifiquen las circunstancias de tiempo, modo y lugar en que se habrían presentado las alegadas restricciones y</w:t>
      </w:r>
      <w:r w:rsidR="00E70099" w:rsidRPr="00190AD3">
        <w:rPr>
          <w:rFonts w:ascii="Verdana" w:hAnsi="Verdana"/>
          <w:sz w:val="20"/>
        </w:rPr>
        <w:t>, en su caso</w:t>
      </w:r>
      <w:r w:rsidR="003F3419" w:rsidRPr="00190AD3">
        <w:rPr>
          <w:rFonts w:ascii="Verdana" w:hAnsi="Verdana"/>
          <w:sz w:val="20"/>
        </w:rPr>
        <w:t>,</w:t>
      </w:r>
      <w:r w:rsidR="00E70099" w:rsidRPr="00190AD3">
        <w:rPr>
          <w:rFonts w:ascii="Verdana" w:hAnsi="Verdana"/>
          <w:sz w:val="20"/>
        </w:rPr>
        <w:t xml:space="preserve"> las afectaciones concretas</w:t>
      </w:r>
      <w:r w:rsidR="00C364DA" w:rsidRPr="00190AD3">
        <w:rPr>
          <w:rFonts w:ascii="Verdana" w:hAnsi="Verdana"/>
          <w:sz w:val="20"/>
        </w:rPr>
        <w:t xml:space="preserve"> para las comunidades vecinas</w:t>
      </w:r>
      <w:r w:rsidR="00E70099" w:rsidRPr="00190AD3">
        <w:rPr>
          <w:rFonts w:ascii="Verdana" w:hAnsi="Verdana"/>
          <w:sz w:val="20"/>
        </w:rPr>
        <w:t xml:space="preserve">, así como el tiempo que </w:t>
      </w:r>
      <w:r w:rsidR="00C364DA" w:rsidRPr="00190AD3">
        <w:rPr>
          <w:rFonts w:ascii="Verdana" w:hAnsi="Verdana"/>
          <w:sz w:val="20"/>
        </w:rPr>
        <w:t>dichas restricciones</w:t>
      </w:r>
      <w:r w:rsidR="00B46330">
        <w:rPr>
          <w:rFonts w:ascii="Verdana" w:hAnsi="Verdana"/>
          <w:sz w:val="20"/>
        </w:rPr>
        <w:t xml:space="preserve"> habrían permanecido</w:t>
      </w:r>
      <w:r w:rsidR="003F3419" w:rsidRPr="00190AD3">
        <w:rPr>
          <w:rFonts w:ascii="Verdana" w:hAnsi="Verdana"/>
          <w:sz w:val="20"/>
        </w:rPr>
        <w:t>.</w:t>
      </w:r>
      <w:r w:rsidR="005014B5" w:rsidRPr="00190AD3">
        <w:rPr>
          <w:rFonts w:ascii="Verdana" w:hAnsi="Verdana"/>
          <w:sz w:val="20"/>
        </w:rPr>
        <w:t xml:space="preserve"> </w:t>
      </w:r>
      <w:r w:rsidR="003F3419" w:rsidRPr="00190AD3">
        <w:rPr>
          <w:rFonts w:ascii="Verdana" w:hAnsi="Verdana"/>
          <w:sz w:val="20"/>
        </w:rPr>
        <w:t xml:space="preserve">Tampoco se acreditó que </w:t>
      </w:r>
      <w:r w:rsidR="005014B5" w:rsidRPr="00190AD3">
        <w:rPr>
          <w:rFonts w:ascii="Verdana" w:hAnsi="Verdana"/>
          <w:sz w:val="20"/>
        </w:rPr>
        <w:t xml:space="preserve">estás acciones </w:t>
      </w:r>
      <w:r w:rsidR="00B46330">
        <w:rPr>
          <w:rFonts w:ascii="Verdana" w:hAnsi="Verdana"/>
          <w:sz w:val="20"/>
        </w:rPr>
        <w:t xml:space="preserve">hubieran </w:t>
      </w:r>
      <w:r w:rsidR="005014B5" w:rsidRPr="00190AD3">
        <w:rPr>
          <w:rFonts w:ascii="Verdana" w:hAnsi="Verdana"/>
          <w:sz w:val="20"/>
        </w:rPr>
        <w:t xml:space="preserve">sido denunciadas en </w:t>
      </w:r>
      <w:r w:rsidR="003F3419" w:rsidRPr="00190AD3">
        <w:rPr>
          <w:rFonts w:ascii="Verdana" w:hAnsi="Verdana"/>
          <w:sz w:val="20"/>
        </w:rPr>
        <w:t xml:space="preserve">el fuero </w:t>
      </w:r>
      <w:r w:rsidR="005014B5" w:rsidRPr="00190AD3">
        <w:rPr>
          <w:rFonts w:ascii="Verdana" w:hAnsi="Verdana"/>
          <w:sz w:val="20"/>
        </w:rPr>
        <w:t>interno.</w:t>
      </w:r>
      <w:r w:rsidR="004C0C97" w:rsidRPr="00190AD3">
        <w:rPr>
          <w:rFonts w:ascii="Verdana" w:hAnsi="Verdana"/>
          <w:sz w:val="20"/>
        </w:rPr>
        <w:t xml:space="preserve"> Asimismo, la Corte entiende que con la Comisión de Dialogo de 1998 se habrían establecido acuerdo</w:t>
      </w:r>
      <w:r w:rsidR="00B46330">
        <w:rPr>
          <w:rFonts w:ascii="Verdana" w:hAnsi="Verdana"/>
          <w:sz w:val="20"/>
        </w:rPr>
        <w:t>s</w:t>
      </w:r>
      <w:r w:rsidR="004C0C97" w:rsidRPr="00190AD3">
        <w:rPr>
          <w:rFonts w:ascii="Verdana" w:hAnsi="Verdana"/>
          <w:sz w:val="20"/>
        </w:rPr>
        <w:t xml:space="preserve"> con la población indígena del área. Cabe señalar que para </w:t>
      </w:r>
      <w:r w:rsidR="00C364DA" w:rsidRPr="00190AD3">
        <w:rPr>
          <w:rFonts w:ascii="Verdana" w:hAnsi="Verdana"/>
          <w:sz w:val="20"/>
        </w:rPr>
        <w:t xml:space="preserve">efectos del año </w:t>
      </w:r>
      <w:r w:rsidR="004C0C97" w:rsidRPr="00190AD3">
        <w:rPr>
          <w:rFonts w:ascii="Verdana" w:hAnsi="Verdana"/>
          <w:sz w:val="20"/>
        </w:rPr>
        <w:t xml:space="preserve">2007, fecha de presentación del caso ante </w:t>
      </w:r>
      <w:r w:rsidR="00C364DA" w:rsidRPr="00190AD3">
        <w:rPr>
          <w:rFonts w:ascii="Verdana" w:hAnsi="Verdana"/>
          <w:sz w:val="20"/>
        </w:rPr>
        <w:t>la Comisión Interamericana</w:t>
      </w:r>
      <w:r w:rsidR="004C0C97" w:rsidRPr="00190AD3">
        <w:rPr>
          <w:rFonts w:ascii="Verdana" w:hAnsi="Verdana"/>
          <w:sz w:val="20"/>
        </w:rPr>
        <w:t>, no se habría evidenciado ninguna restricción de entidad en esta área en cuestión</w:t>
      </w:r>
      <w:r w:rsidR="00C364DA" w:rsidRPr="00190AD3">
        <w:rPr>
          <w:rFonts w:ascii="Verdana" w:hAnsi="Verdana"/>
          <w:sz w:val="20"/>
        </w:rPr>
        <w:t xml:space="preserve">, por lo que las alegadas afectaciones </w:t>
      </w:r>
      <w:r w:rsidR="00CE01D8">
        <w:rPr>
          <w:rFonts w:ascii="Verdana" w:hAnsi="Verdana"/>
          <w:sz w:val="20"/>
        </w:rPr>
        <w:t xml:space="preserve">ya </w:t>
      </w:r>
      <w:r w:rsidR="00CE01D8" w:rsidRPr="00190AD3">
        <w:rPr>
          <w:rFonts w:ascii="Verdana" w:hAnsi="Verdana"/>
          <w:sz w:val="20"/>
        </w:rPr>
        <w:t xml:space="preserve">se </w:t>
      </w:r>
      <w:r w:rsidR="00CE01D8" w:rsidRPr="00190AD3">
        <w:rPr>
          <w:rFonts w:ascii="Verdana" w:hAnsi="Verdana"/>
          <w:sz w:val="20"/>
          <w:szCs w:val="20"/>
        </w:rPr>
        <w:t>habrían</w:t>
      </w:r>
      <w:r w:rsidR="00CE01D8" w:rsidRPr="00190AD3">
        <w:rPr>
          <w:rFonts w:ascii="Verdana" w:hAnsi="Verdana"/>
          <w:sz w:val="20"/>
        </w:rPr>
        <w:t xml:space="preserve"> </w:t>
      </w:r>
      <w:r w:rsidR="00CE01D8">
        <w:rPr>
          <w:rFonts w:ascii="Verdana" w:hAnsi="Verdana"/>
          <w:sz w:val="20"/>
        </w:rPr>
        <w:t>resuelto para ese entonces</w:t>
      </w:r>
      <w:r w:rsidR="00CE01D8" w:rsidRPr="00190AD3">
        <w:rPr>
          <w:rFonts w:ascii="Verdana" w:hAnsi="Verdana"/>
          <w:sz w:val="20"/>
        </w:rPr>
        <w:t>.</w:t>
      </w:r>
      <w:r w:rsidR="00CE01D8" w:rsidRPr="00EC7750">
        <w:rPr>
          <w:rFonts w:ascii="Verdana" w:hAnsi="Verdana"/>
          <w:sz w:val="20"/>
          <w:szCs w:val="20"/>
        </w:rPr>
        <w:t xml:space="preserve"> </w:t>
      </w:r>
    </w:p>
    <w:p w14:paraId="35F498EA" w14:textId="77777777" w:rsidR="00EC7750" w:rsidRPr="00190AD3" w:rsidRDefault="00EC7750" w:rsidP="00190AD3">
      <w:pPr>
        <w:pStyle w:val="ListParagraph"/>
        <w:rPr>
          <w:rFonts w:ascii="Verdana" w:hAnsi="Verdana"/>
          <w:strike/>
          <w:sz w:val="20"/>
          <w:szCs w:val="20"/>
        </w:rPr>
      </w:pPr>
    </w:p>
    <w:p w14:paraId="039B1C1B" w14:textId="77777777" w:rsidR="00FC1FCF" w:rsidRPr="00B17B8E" w:rsidRDefault="00BF58DC" w:rsidP="00FC1FCF">
      <w:pPr>
        <w:pStyle w:val="ListParagraph"/>
        <w:numPr>
          <w:ilvl w:val="0"/>
          <w:numId w:val="22"/>
        </w:numPr>
        <w:jc w:val="both"/>
        <w:rPr>
          <w:rFonts w:ascii="Verdana" w:hAnsi="Verdana" w:cs="Arial"/>
          <w:b/>
          <w:i/>
          <w:sz w:val="20"/>
          <w:szCs w:val="20"/>
          <w:lang w:val="es-ES"/>
        </w:rPr>
      </w:pPr>
      <w:r>
        <w:rPr>
          <w:rFonts w:ascii="Verdana" w:hAnsi="Verdana" w:cs="Arial"/>
          <w:b/>
          <w:i/>
          <w:sz w:val="20"/>
          <w:szCs w:val="20"/>
          <w:lang w:val="es-ES"/>
        </w:rPr>
        <w:t>Respecto de las a</w:t>
      </w:r>
      <w:r w:rsidR="00AF6628">
        <w:rPr>
          <w:rFonts w:ascii="Verdana" w:hAnsi="Verdana" w:cs="Arial"/>
          <w:b/>
          <w:i/>
          <w:sz w:val="20"/>
          <w:szCs w:val="20"/>
          <w:lang w:val="es-ES"/>
        </w:rPr>
        <w:t>fectaciones</w:t>
      </w:r>
      <w:r w:rsidR="00FC1FCF" w:rsidRPr="00B17B8E">
        <w:rPr>
          <w:rFonts w:ascii="Verdana" w:hAnsi="Verdana" w:cs="Arial"/>
          <w:b/>
          <w:i/>
          <w:sz w:val="20"/>
          <w:szCs w:val="20"/>
          <w:lang w:val="es-ES"/>
        </w:rPr>
        <w:t xml:space="preserve"> en la Reserva de </w:t>
      </w:r>
      <w:r w:rsidR="00FC1FCF" w:rsidRPr="00B17B8E">
        <w:rPr>
          <w:rFonts w:ascii="Verdana" w:hAnsi="Verdana"/>
          <w:b/>
          <w:i/>
          <w:sz w:val="20"/>
          <w:szCs w:val="20"/>
        </w:rPr>
        <w:t>Wane Kreek</w:t>
      </w:r>
    </w:p>
    <w:p w14:paraId="7091FC24" w14:textId="77777777" w:rsidR="00FC1FCF" w:rsidRPr="00C02552" w:rsidRDefault="00FC1FCF" w:rsidP="00FC1FCF">
      <w:pPr>
        <w:jc w:val="both"/>
        <w:rPr>
          <w:rFonts w:ascii="Verdana" w:hAnsi="Verdana" w:cs="Arial"/>
          <w:sz w:val="20"/>
          <w:szCs w:val="20"/>
          <w:lang w:val="es-ES"/>
        </w:rPr>
      </w:pPr>
    </w:p>
    <w:p w14:paraId="2B82E418" w14:textId="77777777" w:rsidR="00FC1FCF" w:rsidRPr="00C02552" w:rsidRDefault="00FC1FCF" w:rsidP="00FC1FCF">
      <w:pPr>
        <w:pStyle w:val="ListParagraph"/>
        <w:numPr>
          <w:ilvl w:val="0"/>
          <w:numId w:val="2"/>
        </w:numPr>
        <w:ind w:left="0" w:hanging="11"/>
        <w:jc w:val="both"/>
        <w:rPr>
          <w:rFonts w:ascii="Verdana" w:hAnsi="Verdana"/>
          <w:sz w:val="20"/>
          <w:szCs w:val="20"/>
        </w:rPr>
      </w:pPr>
      <w:r w:rsidRPr="00C02552">
        <w:rPr>
          <w:rFonts w:ascii="Verdana" w:hAnsi="Verdana"/>
          <w:sz w:val="20"/>
          <w:szCs w:val="20"/>
        </w:rPr>
        <w:t>Respecto de la Reserva Wane Kreek, se aleg</w:t>
      </w:r>
      <w:r>
        <w:rPr>
          <w:rFonts w:ascii="Verdana" w:hAnsi="Verdana"/>
          <w:sz w:val="20"/>
          <w:szCs w:val="20"/>
        </w:rPr>
        <w:t>ó</w:t>
      </w:r>
      <w:r w:rsidR="00BC6F15">
        <w:rPr>
          <w:rFonts w:ascii="Verdana" w:hAnsi="Verdana"/>
          <w:sz w:val="20"/>
          <w:szCs w:val="20"/>
        </w:rPr>
        <w:t xml:space="preserve"> </w:t>
      </w:r>
      <w:r>
        <w:rPr>
          <w:rFonts w:ascii="Verdana" w:hAnsi="Verdana"/>
          <w:sz w:val="20"/>
          <w:szCs w:val="20"/>
        </w:rPr>
        <w:t>la prohibición de</w:t>
      </w:r>
      <w:r w:rsidRPr="00C02552">
        <w:rPr>
          <w:rFonts w:ascii="Verdana" w:hAnsi="Verdana"/>
          <w:sz w:val="20"/>
          <w:szCs w:val="20"/>
        </w:rPr>
        <w:t xml:space="preserve"> acceso a sus lugares tradicionales dentro del área </w:t>
      </w:r>
      <w:r>
        <w:rPr>
          <w:rFonts w:ascii="Verdana" w:hAnsi="Verdana"/>
          <w:sz w:val="20"/>
          <w:szCs w:val="20"/>
        </w:rPr>
        <w:t>de la concesión</w:t>
      </w:r>
      <w:r w:rsidRPr="00C02552">
        <w:rPr>
          <w:rFonts w:ascii="Verdana" w:hAnsi="Verdana"/>
          <w:sz w:val="20"/>
          <w:szCs w:val="20"/>
        </w:rPr>
        <w:t xml:space="preserve"> minera y de tala de árboles</w:t>
      </w:r>
      <w:r w:rsidR="00BC6F15">
        <w:rPr>
          <w:rFonts w:ascii="Verdana" w:hAnsi="Verdana"/>
          <w:sz w:val="20"/>
          <w:szCs w:val="20"/>
        </w:rPr>
        <w:t xml:space="preserve"> durante su operación</w:t>
      </w:r>
      <w:r w:rsidRPr="00C02552">
        <w:rPr>
          <w:rFonts w:ascii="Verdana" w:hAnsi="Verdana"/>
          <w:sz w:val="20"/>
          <w:szCs w:val="20"/>
        </w:rPr>
        <w:t xml:space="preserve">, no obstante </w:t>
      </w:r>
      <w:r>
        <w:rPr>
          <w:rFonts w:ascii="Verdana" w:hAnsi="Verdana"/>
          <w:sz w:val="20"/>
          <w:szCs w:val="20"/>
        </w:rPr>
        <w:t xml:space="preserve">lo dispuesto en </w:t>
      </w:r>
      <w:r w:rsidRPr="00C02552">
        <w:rPr>
          <w:rFonts w:ascii="Verdana" w:hAnsi="Verdana"/>
          <w:sz w:val="20"/>
          <w:szCs w:val="20"/>
        </w:rPr>
        <w:t>el Decreto de Protección de la Naturaleza de 1986</w:t>
      </w:r>
      <w:r>
        <w:rPr>
          <w:rFonts w:ascii="Verdana" w:hAnsi="Verdana"/>
          <w:sz w:val="20"/>
          <w:szCs w:val="20"/>
        </w:rPr>
        <w:t xml:space="preserve"> (</w:t>
      </w:r>
      <w:r w:rsidR="00366D91" w:rsidRPr="00366D91">
        <w:rPr>
          <w:rFonts w:ascii="Verdana" w:hAnsi="Verdana"/>
          <w:i/>
          <w:sz w:val="20"/>
          <w:szCs w:val="20"/>
        </w:rPr>
        <w:t>supra</w:t>
      </w:r>
      <w:r>
        <w:rPr>
          <w:rFonts w:ascii="Verdana" w:hAnsi="Verdana"/>
          <w:sz w:val="20"/>
          <w:szCs w:val="20"/>
        </w:rPr>
        <w:t xml:space="preserve"> pár</w:t>
      </w:r>
      <w:r w:rsidR="001444BD">
        <w:rPr>
          <w:rFonts w:ascii="Verdana" w:hAnsi="Verdana"/>
          <w:sz w:val="20"/>
          <w:szCs w:val="20"/>
        </w:rPr>
        <w:t>r</w:t>
      </w:r>
      <w:r w:rsidR="00093AF9">
        <w:rPr>
          <w:rFonts w:ascii="Verdana" w:hAnsi="Verdana"/>
          <w:sz w:val="20"/>
          <w:szCs w:val="20"/>
        </w:rPr>
        <w:t>.</w:t>
      </w:r>
      <w:r w:rsidR="001444BD">
        <w:rPr>
          <w:rFonts w:ascii="Verdana" w:hAnsi="Verdana"/>
          <w:sz w:val="20"/>
          <w:szCs w:val="20"/>
        </w:rPr>
        <w:t xml:space="preserve"> 83</w:t>
      </w:r>
      <w:r w:rsidR="00093AF9">
        <w:rPr>
          <w:rFonts w:ascii="Verdana" w:hAnsi="Verdana"/>
          <w:sz w:val="20"/>
          <w:szCs w:val="20"/>
        </w:rPr>
        <w:t>)</w:t>
      </w:r>
      <w:r>
        <w:rPr>
          <w:rFonts w:ascii="Verdana" w:hAnsi="Verdana"/>
          <w:sz w:val="20"/>
          <w:szCs w:val="20"/>
        </w:rPr>
        <w:t xml:space="preserve">. </w:t>
      </w:r>
    </w:p>
    <w:p w14:paraId="57753FAA" w14:textId="77777777" w:rsidR="00FC1FCF" w:rsidRPr="00C02552" w:rsidRDefault="00FC1FCF" w:rsidP="00FC1FCF">
      <w:pPr>
        <w:jc w:val="both"/>
        <w:rPr>
          <w:rFonts w:ascii="Verdana" w:hAnsi="Verdana"/>
          <w:sz w:val="20"/>
          <w:szCs w:val="20"/>
        </w:rPr>
      </w:pPr>
    </w:p>
    <w:p w14:paraId="48183985" w14:textId="54746E2D" w:rsidR="00FC1FCF" w:rsidRPr="008464D3"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CR"/>
        </w:rPr>
        <w:t xml:space="preserve">Al respecto, </w:t>
      </w:r>
      <w:r w:rsidRPr="00C02552">
        <w:rPr>
          <w:rFonts w:ascii="Verdana" w:hAnsi="Verdana"/>
          <w:sz w:val="20"/>
          <w:szCs w:val="20"/>
        </w:rPr>
        <w:t>la Corte observa que el Decreto de 1986 que cre</w:t>
      </w:r>
      <w:r w:rsidR="001444BD">
        <w:rPr>
          <w:rFonts w:ascii="Verdana" w:hAnsi="Verdana"/>
          <w:sz w:val="20"/>
          <w:szCs w:val="20"/>
        </w:rPr>
        <w:t>ó</w:t>
      </w:r>
      <w:r w:rsidRPr="00C02552">
        <w:rPr>
          <w:rFonts w:ascii="Verdana" w:hAnsi="Verdana"/>
          <w:sz w:val="20"/>
          <w:szCs w:val="20"/>
        </w:rPr>
        <w:t xml:space="preserve"> esta Reserva disponía en su artículo</w:t>
      </w:r>
      <w:r w:rsidR="00521998">
        <w:rPr>
          <w:rFonts w:ascii="Verdana" w:hAnsi="Verdana"/>
          <w:sz w:val="20"/>
          <w:szCs w:val="20"/>
        </w:rPr>
        <w:t xml:space="preserve"> </w:t>
      </w:r>
      <w:r w:rsidRPr="00C02552">
        <w:rPr>
          <w:rFonts w:ascii="Verdana" w:hAnsi="Verdana"/>
          <w:sz w:val="20"/>
          <w:szCs w:val="20"/>
        </w:rPr>
        <w:t>4 que los derechos tradicionales de las comunidades y aldeas tribales que se encuentren ubicadas dentro de la reserva sería</w:t>
      </w:r>
      <w:r>
        <w:rPr>
          <w:rFonts w:ascii="Verdana" w:hAnsi="Verdana"/>
          <w:sz w:val="20"/>
          <w:szCs w:val="20"/>
        </w:rPr>
        <w:t>n</w:t>
      </w:r>
      <w:r w:rsidRPr="00C02552">
        <w:rPr>
          <w:rFonts w:ascii="Verdana" w:hAnsi="Verdana"/>
          <w:sz w:val="20"/>
          <w:szCs w:val="20"/>
        </w:rPr>
        <w:t xml:space="preserve"> respetados</w:t>
      </w:r>
      <w:r>
        <w:rPr>
          <w:rFonts w:ascii="Verdana" w:hAnsi="Verdana"/>
          <w:sz w:val="20"/>
          <w:szCs w:val="20"/>
        </w:rPr>
        <w:t>. Asimismo,</w:t>
      </w:r>
      <w:r w:rsidRPr="00C02552">
        <w:rPr>
          <w:rFonts w:ascii="Verdana" w:hAnsi="Verdana"/>
          <w:sz w:val="20"/>
          <w:szCs w:val="20"/>
        </w:rPr>
        <w:t xml:space="preserve"> en su exposición de motivos </w:t>
      </w:r>
      <w:r>
        <w:rPr>
          <w:rFonts w:ascii="Verdana" w:hAnsi="Verdana"/>
          <w:sz w:val="20"/>
          <w:szCs w:val="20"/>
        </w:rPr>
        <w:t xml:space="preserve">se </w:t>
      </w:r>
      <w:r w:rsidRPr="00C02552">
        <w:rPr>
          <w:rFonts w:ascii="Verdana" w:hAnsi="Verdana"/>
          <w:sz w:val="20"/>
          <w:szCs w:val="20"/>
        </w:rPr>
        <w:t xml:space="preserve">establecieron </w:t>
      </w:r>
      <w:r w:rsidR="00C2680C">
        <w:rPr>
          <w:rFonts w:ascii="Verdana" w:hAnsi="Verdana"/>
          <w:sz w:val="20"/>
          <w:szCs w:val="20"/>
        </w:rPr>
        <w:t xml:space="preserve">que se garantizarían tales derechos, siempre y cuando: i) no fueran perjudicados </w:t>
      </w:r>
      <w:r w:rsidR="00236EF8">
        <w:rPr>
          <w:rFonts w:ascii="Verdana" w:hAnsi="Verdana"/>
          <w:sz w:val="20"/>
          <w:szCs w:val="20"/>
        </w:rPr>
        <w:t>los</w:t>
      </w:r>
      <w:r w:rsidRPr="006E1E06">
        <w:rPr>
          <w:rFonts w:ascii="Verdana" w:hAnsi="Verdana"/>
          <w:sz w:val="20"/>
          <w:szCs w:val="20"/>
        </w:rPr>
        <w:t xml:space="preserve"> objetivo</w:t>
      </w:r>
      <w:r w:rsidR="00236EF8">
        <w:rPr>
          <w:rFonts w:ascii="Verdana" w:hAnsi="Verdana"/>
          <w:sz w:val="20"/>
          <w:szCs w:val="20"/>
        </w:rPr>
        <w:t>s</w:t>
      </w:r>
      <w:r w:rsidRPr="006E1E06">
        <w:rPr>
          <w:rFonts w:ascii="Verdana" w:hAnsi="Verdana"/>
          <w:sz w:val="20"/>
          <w:szCs w:val="20"/>
        </w:rPr>
        <w:t xml:space="preserve"> </w:t>
      </w:r>
      <w:r w:rsidR="00C2680C">
        <w:rPr>
          <w:rFonts w:ascii="Verdana" w:hAnsi="Verdana"/>
          <w:sz w:val="20"/>
          <w:szCs w:val="20"/>
        </w:rPr>
        <w:t xml:space="preserve">y propósitos nacionales </w:t>
      </w:r>
      <w:r w:rsidRPr="006E1E06">
        <w:rPr>
          <w:rFonts w:ascii="Verdana" w:hAnsi="Verdana"/>
          <w:sz w:val="20"/>
          <w:szCs w:val="20"/>
        </w:rPr>
        <w:t xml:space="preserve">de la reserva; </w:t>
      </w:r>
      <w:r w:rsidR="00C2680C">
        <w:rPr>
          <w:rFonts w:ascii="Verdana" w:hAnsi="Verdana"/>
          <w:sz w:val="20"/>
          <w:szCs w:val="20"/>
        </w:rPr>
        <w:t xml:space="preserve">ii) </w:t>
      </w:r>
      <w:r w:rsidR="00EC7D68">
        <w:rPr>
          <w:rFonts w:ascii="Verdana" w:hAnsi="Verdana"/>
          <w:sz w:val="20"/>
          <w:szCs w:val="20"/>
        </w:rPr>
        <w:t>[</w:t>
      </w:r>
      <w:r w:rsidRPr="006E1E06">
        <w:rPr>
          <w:rFonts w:ascii="Verdana" w:hAnsi="Verdana"/>
          <w:sz w:val="20"/>
          <w:szCs w:val="20"/>
        </w:rPr>
        <w:t>que</w:t>
      </w:r>
      <w:r w:rsidR="00EC7D68">
        <w:rPr>
          <w:rFonts w:ascii="Verdana" w:hAnsi="Verdana"/>
          <w:sz w:val="20"/>
          <w:szCs w:val="20"/>
        </w:rPr>
        <w:t>]</w:t>
      </w:r>
      <w:r w:rsidRPr="006E1E06">
        <w:rPr>
          <w:rFonts w:ascii="Verdana" w:hAnsi="Verdana"/>
          <w:sz w:val="20"/>
          <w:szCs w:val="20"/>
        </w:rPr>
        <w:t xml:space="preserve"> los derechos </w:t>
      </w:r>
      <w:r w:rsidR="00C2680C">
        <w:rPr>
          <w:rFonts w:ascii="Verdana" w:hAnsi="Verdana"/>
          <w:sz w:val="20"/>
          <w:szCs w:val="20"/>
        </w:rPr>
        <w:t xml:space="preserve">e intereses </w:t>
      </w:r>
      <w:r w:rsidRPr="006E1E06">
        <w:rPr>
          <w:rFonts w:ascii="Verdana" w:hAnsi="Verdana"/>
          <w:sz w:val="20"/>
          <w:szCs w:val="20"/>
        </w:rPr>
        <w:t>tradicionales fueran válidos</w:t>
      </w:r>
      <w:r w:rsidR="00C2680C">
        <w:rPr>
          <w:rFonts w:ascii="Verdana" w:hAnsi="Verdana"/>
          <w:sz w:val="20"/>
          <w:szCs w:val="20"/>
        </w:rPr>
        <w:t xml:space="preserve">, </w:t>
      </w:r>
      <w:r w:rsidRPr="006E1E06">
        <w:rPr>
          <w:rFonts w:ascii="Verdana" w:hAnsi="Verdana"/>
          <w:sz w:val="20"/>
          <w:szCs w:val="20"/>
        </w:rPr>
        <w:t xml:space="preserve">y </w:t>
      </w:r>
      <w:r w:rsidR="00C2680C">
        <w:rPr>
          <w:rFonts w:ascii="Verdana" w:hAnsi="Verdana"/>
          <w:sz w:val="20"/>
          <w:szCs w:val="20"/>
        </w:rPr>
        <w:t xml:space="preserve">iii) </w:t>
      </w:r>
      <w:r w:rsidR="00EC7D68">
        <w:rPr>
          <w:rFonts w:ascii="Verdana" w:hAnsi="Verdana"/>
          <w:sz w:val="20"/>
          <w:szCs w:val="20"/>
        </w:rPr>
        <w:t xml:space="preserve">se produjeran </w:t>
      </w:r>
      <w:r w:rsidR="00C2680C">
        <w:rPr>
          <w:rFonts w:ascii="Verdana" w:hAnsi="Verdana"/>
          <w:sz w:val="20"/>
          <w:szCs w:val="20"/>
        </w:rPr>
        <w:t xml:space="preserve">durante el proceso </w:t>
      </w:r>
      <w:r w:rsidR="00C2680C" w:rsidRPr="003C0536">
        <w:rPr>
          <w:rFonts w:ascii="Verdana" w:hAnsi="Verdana"/>
          <w:sz w:val="20"/>
          <w:szCs w:val="20"/>
        </w:rPr>
        <w:t xml:space="preserve">de </w:t>
      </w:r>
      <w:r w:rsidR="00C2680C" w:rsidRPr="003C0536">
        <w:rPr>
          <w:rStyle w:val="hps"/>
          <w:rFonts w:ascii="Verdana" w:hAnsi="Verdana" w:cs="Arial"/>
          <w:color w:val="222222"/>
          <w:sz w:val="20"/>
          <w:szCs w:val="20"/>
          <w:lang w:val="es-ES"/>
        </w:rPr>
        <w:t>avanzar hacia</w:t>
      </w:r>
      <w:r w:rsidR="00C2680C" w:rsidRPr="003C0536">
        <w:rPr>
          <w:rFonts w:ascii="Verdana" w:hAnsi="Verdana" w:cs="Arial"/>
          <w:color w:val="222222"/>
          <w:sz w:val="20"/>
          <w:szCs w:val="20"/>
          <w:lang w:val="es-ES"/>
        </w:rPr>
        <w:t xml:space="preserve"> </w:t>
      </w:r>
      <w:r w:rsidR="00C2680C" w:rsidRPr="003C0536">
        <w:rPr>
          <w:rStyle w:val="hps"/>
          <w:rFonts w:ascii="Verdana" w:hAnsi="Verdana" w:cs="Arial"/>
          <w:color w:val="222222"/>
          <w:sz w:val="20"/>
          <w:szCs w:val="20"/>
          <w:lang w:val="es-ES"/>
        </w:rPr>
        <w:t>una única</w:t>
      </w:r>
      <w:r w:rsidR="00C2680C" w:rsidRPr="003C0536">
        <w:rPr>
          <w:rFonts w:ascii="Verdana" w:hAnsi="Verdana" w:cs="Arial"/>
          <w:color w:val="222222"/>
          <w:sz w:val="20"/>
          <w:szCs w:val="20"/>
          <w:lang w:val="es-ES"/>
        </w:rPr>
        <w:t xml:space="preserve"> </w:t>
      </w:r>
      <w:r w:rsidR="00C2680C" w:rsidRPr="003C0536">
        <w:rPr>
          <w:rStyle w:val="hps"/>
          <w:rFonts w:ascii="Verdana" w:hAnsi="Verdana" w:cs="Arial"/>
          <w:color w:val="222222"/>
          <w:sz w:val="20"/>
          <w:szCs w:val="20"/>
          <w:lang w:val="es-ES"/>
        </w:rPr>
        <w:t>ciudadanía</w:t>
      </w:r>
      <w:r w:rsidR="00C2680C" w:rsidRPr="003C0536">
        <w:rPr>
          <w:rFonts w:ascii="Verdana" w:hAnsi="Verdana" w:cs="Arial"/>
          <w:color w:val="222222"/>
          <w:sz w:val="20"/>
          <w:szCs w:val="20"/>
          <w:lang w:val="es-ES"/>
        </w:rPr>
        <w:t xml:space="preserve"> de </w:t>
      </w:r>
      <w:r w:rsidR="00C2680C" w:rsidRPr="003C0536">
        <w:rPr>
          <w:rStyle w:val="hps"/>
          <w:rFonts w:ascii="Verdana" w:hAnsi="Verdana" w:cs="Arial"/>
          <w:color w:val="222222"/>
          <w:sz w:val="20"/>
          <w:szCs w:val="20"/>
          <w:lang w:val="es-ES"/>
        </w:rPr>
        <w:t>Surinam</w:t>
      </w:r>
      <w:r w:rsidR="00C2680C" w:rsidRPr="004B0145">
        <w:rPr>
          <w:rStyle w:val="hps"/>
          <w:rFonts w:ascii="Verdana" w:hAnsi="Verdana" w:cs="Arial"/>
          <w:color w:val="222222"/>
          <w:sz w:val="20"/>
          <w:szCs w:val="20"/>
          <w:lang w:val="es-ES"/>
        </w:rPr>
        <w:t>.</w:t>
      </w:r>
    </w:p>
    <w:p w14:paraId="64637835" w14:textId="77777777" w:rsidR="00FC1FCF" w:rsidRPr="00C02552" w:rsidRDefault="00FC1FCF" w:rsidP="00FC1FCF">
      <w:pPr>
        <w:jc w:val="both"/>
        <w:rPr>
          <w:rFonts w:ascii="Verdana" w:hAnsi="Verdana"/>
          <w:sz w:val="20"/>
        </w:rPr>
      </w:pPr>
    </w:p>
    <w:p w14:paraId="570781BD" w14:textId="77777777" w:rsidR="00FC1FCF" w:rsidRPr="00C02552" w:rsidRDefault="00FC1FCF" w:rsidP="00FC1FCF">
      <w:pPr>
        <w:pStyle w:val="ListParagraph"/>
        <w:numPr>
          <w:ilvl w:val="0"/>
          <w:numId w:val="2"/>
        </w:numPr>
        <w:ind w:left="0" w:hanging="11"/>
        <w:jc w:val="both"/>
        <w:rPr>
          <w:rFonts w:ascii="Verdana" w:hAnsi="Verdana"/>
          <w:sz w:val="20"/>
          <w:szCs w:val="20"/>
          <w:lang w:val="es-CR"/>
        </w:rPr>
      </w:pPr>
      <w:r w:rsidRPr="00C02552">
        <w:rPr>
          <w:rFonts w:ascii="Verdana" w:hAnsi="Verdana"/>
          <w:sz w:val="20"/>
          <w:szCs w:val="20"/>
          <w:lang w:val="es-CR"/>
        </w:rPr>
        <w:t xml:space="preserve">En este sentido, la Capitana Watamaleo </w:t>
      </w:r>
      <w:r w:rsidR="00093AF9" w:rsidRPr="00C02552">
        <w:rPr>
          <w:rFonts w:ascii="Verdana" w:hAnsi="Verdana"/>
          <w:sz w:val="20"/>
          <w:szCs w:val="20"/>
          <w:lang w:val="es-CR"/>
        </w:rPr>
        <w:t>declaró</w:t>
      </w:r>
      <w:r w:rsidRPr="00C02552">
        <w:rPr>
          <w:rFonts w:ascii="Verdana" w:hAnsi="Verdana"/>
          <w:sz w:val="20"/>
          <w:szCs w:val="20"/>
          <w:lang w:val="es-CR"/>
        </w:rPr>
        <w:t xml:space="preserve"> que: </w:t>
      </w:r>
    </w:p>
    <w:p w14:paraId="56090C7F" w14:textId="77777777" w:rsidR="00FC1FCF" w:rsidRPr="00C02552" w:rsidRDefault="00FC1FCF" w:rsidP="00FC1FCF">
      <w:pPr>
        <w:jc w:val="both"/>
        <w:rPr>
          <w:rFonts w:ascii="Verdana" w:hAnsi="Verdana"/>
          <w:sz w:val="20"/>
          <w:szCs w:val="20"/>
          <w:lang w:val="es-CR"/>
        </w:rPr>
      </w:pPr>
    </w:p>
    <w:p w14:paraId="34314000" w14:textId="3DF78184" w:rsidR="003966ED" w:rsidRPr="003966ED" w:rsidRDefault="00EC7D68" w:rsidP="00261627">
      <w:pPr>
        <w:ind w:left="284"/>
        <w:jc w:val="both"/>
        <w:rPr>
          <w:rFonts w:ascii="Verdana" w:hAnsi="Verdana" w:cs="Arial"/>
          <w:sz w:val="18"/>
          <w:szCs w:val="20"/>
          <w:lang w:val="es-CR"/>
        </w:rPr>
      </w:pPr>
      <w:r>
        <w:rPr>
          <w:rFonts w:ascii="Verdana" w:hAnsi="Verdana" w:cs="Arial"/>
          <w:sz w:val="18"/>
          <w:szCs w:val="20"/>
          <w:lang w:val="es-CR"/>
        </w:rPr>
        <w:t>“</w:t>
      </w:r>
      <w:r w:rsidR="003966ED" w:rsidRPr="00261627">
        <w:rPr>
          <w:rFonts w:ascii="Verdana" w:hAnsi="Verdana" w:cs="Arial"/>
          <w:sz w:val="18"/>
          <w:szCs w:val="20"/>
          <w:lang w:val="es-CR"/>
        </w:rPr>
        <w:t xml:space="preserve">La compañía minera </w:t>
      </w:r>
      <w:r w:rsidR="00C2680C">
        <w:rPr>
          <w:rFonts w:ascii="Verdana" w:hAnsi="Verdana" w:cs="Arial"/>
          <w:sz w:val="18"/>
          <w:szCs w:val="20"/>
          <w:lang w:val="es-CR"/>
        </w:rPr>
        <w:t>[…]</w:t>
      </w:r>
      <w:r w:rsidR="00C2680C" w:rsidRPr="00261627">
        <w:rPr>
          <w:rFonts w:ascii="Verdana" w:hAnsi="Verdana" w:cs="Arial"/>
          <w:sz w:val="18"/>
          <w:szCs w:val="20"/>
          <w:lang w:val="es-CR"/>
        </w:rPr>
        <w:t xml:space="preserve"> </w:t>
      </w:r>
      <w:r w:rsidR="003966ED" w:rsidRPr="00261627">
        <w:rPr>
          <w:rFonts w:ascii="Verdana" w:hAnsi="Verdana" w:cs="Arial"/>
          <w:sz w:val="18"/>
          <w:szCs w:val="20"/>
          <w:lang w:val="es-CR"/>
        </w:rPr>
        <w:t xml:space="preserve">solía detener a las personas de la comunidad </w:t>
      </w:r>
      <w:r w:rsidR="00CC5F6E" w:rsidRPr="00261627">
        <w:rPr>
          <w:rFonts w:ascii="Verdana" w:hAnsi="Verdana" w:cs="Arial"/>
          <w:sz w:val="18"/>
          <w:szCs w:val="20"/>
          <w:lang w:val="es-CR"/>
        </w:rPr>
        <w:t xml:space="preserve">que entraran a la reserva. Ellos pusieron una enorme señal que decía: </w:t>
      </w:r>
      <w:r>
        <w:rPr>
          <w:rFonts w:ascii="Verdana" w:hAnsi="Verdana" w:cs="Arial"/>
          <w:sz w:val="18"/>
          <w:szCs w:val="20"/>
          <w:lang w:val="es-CR"/>
        </w:rPr>
        <w:t>‘</w:t>
      </w:r>
      <w:r w:rsidR="00CC5F6E" w:rsidRPr="00261627">
        <w:rPr>
          <w:rFonts w:ascii="Verdana" w:hAnsi="Verdana" w:cs="Arial"/>
          <w:sz w:val="18"/>
          <w:szCs w:val="20"/>
          <w:lang w:val="es-CR"/>
        </w:rPr>
        <w:t>no cazar</w:t>
      </w:r>
      <w:r>
        <w:rPr>
          <w:rFonts w:ascii="Verdana" w:hAnsi="Verdana" w:cs="Arial"/>
          <w:sz w:val="18"/>
          <w:szCs w:val="20"/>
          <w:lang w:val="es-CR"/>
        </w:rPr>
        <w:t>’</w:t>
      </w:r>
      <w:r w:rsidR="00CC5F6E" w:rsidRPr="00261627">
        <w:rPr>
          <w:rFonts w:ascii="Verdana" w:hAnsi="Verdana" w:cs="Arial"/>
          <w:sz w:val="18"/>
          <w:szCs w:val="20"/>
          <w:lang w:val="es-CR"/>
        </w:rPr>
        <w:t xml:space="preserve">, </w:t>
      </w:r>
      <w:r>
        <w:rPr>
          <w:rFonts w:ascii="Verdana" w:hAnsi="Verdana" w:cs="Arial"/>
          <w:sz w:val="18"/>
          <w:szCs w:val="20"/>
          <w:lang w:val="es-CR"/>
        </w:rPr>
        <w:t>‘</w:t>
      </w:r>
      <w:r w:rsidR="00CC5F6E" w:rsidRPr="00261627">
        <w:rPr>
          <w:rFonts w:ascii="Verdana" w:hAnsi="Verdana" w:cs="Arial"/>
          <w:sz w:val="18"/>
          <w:szCs w:val="20"/>
          <w:lang w:val="es-CR"/>
        </w:rPr>
        <w:t>no</w:t>
      </w:r>
      <w:r w:rsidR="00F508F2">
        <w:rPr>
          <w:rFonts w:ascii="Verdana" w:hAnsi="Verdana" w:cs="Arial"/>
          <w:sz w:val="18"/>
          <w:szCs w:val="20"/>
          <w:lang w:val="es-CR"/>
        </w:rPr>
        <w:t xml:space="preserve"> </w:t>
      </w:r>
      <w:r w:rsidR="00314C52" w:rsidRPr="00D97182">
        <w:rPr>
          <w:rFonts w:ascii="Verdana" w:hAnsi="Verdana" w:cs="Arial"/>
          <w:sz w:val="18"/>
          <w:szCs w:val="20"/>
          <w:lang w:val="es-CR"/>
        </w:rPr>
        <w:t>pescar</w:t>
      </w:r>
      <w:r w:rsidRPr="00D97182">
        <w:rPr>
          <w:rFonts w:ascii="Verdana" w:hAnsi="Verdana" w:cs="Arial"/>
          <w:sz w:val="18"/>
          <w:szCs w:val="20"/>
          <w:lang w:val="es-CR"/>
        </w:rPr>
        <w:t>’</w:t>
      </w:r>
      <w:r w:rsidR="00CC5F6E" w:rsidRPr="00261627">
        <w:rPr>
          <w:rFonts w:ascii="Verdana" w:hAnsi="Verdana" w:cs="Arial"/>
          <w:sz w:val="18"/>
          <w:szCs w:val="20"/>
          <w:lang w:val="es-CR"/>
        </w:rPr>
        <w:t xml:space="preserve"> y </w:t>
      </w:r>
      <w:r>
        <w:rPr>
          <w:rFonts w:ascii="Verdana" w:hAnsi="Verdana" w:cs="Arial"/>
          <w:sz w:val="18"/>
          <w:szCs w:val="20"/>
          <w:lang w:val="es-CR"/>
        </w:rPr>
        <w:t>‘</w:t>
      </w:r>
      <w:r w:rsidR="00CC5F6E" w:rsidRPr="00261627">
        <w:rPr>
          <w:rFonts w:ascii="Verdana" w:hAnsi="Verdana" w:cs="Arial"/>
          <w:sz w:val="18"/>
          <w:szCs w:val="20"/>
          <w:lang w:val="es-CR"/>
        </w:rPr>
        <w:t>no recolectar plantas</w:t>
      </w:r>
      <w:r>
        <w:rPr>
          <w:rFonts w:ascii="Verdana" w:hAnsi="Verdana" w:cs="Arial"/>
          <w:sz w:val="18"/>
          <w:szCs w:val="20"/>
          <w:lang w:val="es-CR"/>
        </w:rPr>
        <w:t>’</w:t>
      </w:r>
      <w:r w:rsidR="00CC5F6E" w:rsidRPr="00261627">
        <w:rPr>
          <w:rFonts w:ascii="Verdana" w:hAnsi="Verdana" w:cs="Arial"/>
          <w:sz w:val="18"/>
          <w:szCs w:val="20"/>
          <w:lang w:val="es-CR"/>
        </w:rPr>
        <w:t xml:space="preserve">, y además, ellos </w:t>
      </w:r>
      <w:r w:rsidR="00CC5F6E">
        <w:rPr>
          <w:rFonts w:ascii="Verdana" w:hAnsi="Verdana" w:cs="Arial"/>
          <w:sz w:val="18"/>
          <w:szCs w:val="20"/>
          <w:lang w:val="es-CR"/>
        </w:rPr>
        <w:t xml:space="preserve">impedirían </w:t>
      </w:r>
      <w:r w:rsidR="00CC5F6E" w:rsidRPr="00261627">
        <w:rPr>
          <w:rFonts w:ascii="Verdana" w:hAnsi="Verdana" w:cs="Arial"/>
          <w:sz w:val="18"/>
          <w:szCs w:val="20"/>
          <w:lang w:val="es-CR"/>
        </w:rPr>
        <w:t xml:space="preserve">a personas de </w:t>
      </w:r>
      <w:r w:rsidR="00CC5F6E">
        <w:rPr>
          <w:rFonts w:ascii="Verdana" w:hAnsi="Verdana" w:cs="Arial"/>
          <w:sz w:val="18"/>
          <w:szCs w:val="20"/>
          <w:lang w:val="es-CR"/>
        </w:rPr>
        <w:t>[la]</w:t>
      </w:r>
      <w:r w:rsidR="00CC5F6E" w:rsidRPr="00261627">
        <w:rPr>
          <w:rFonts w:ascii="Verdana" w:hAnsi="Verdana" w:cs="Arial"/>
          <w:sz w:val="18"/>
          <w:szCs w:val="20"/>
          <w:lang w:val="es-CR"/>
        </w:rPr>
        <w:t xml:space="preserve"> comunidad de entrar a éstas. Al mismo tiempo </w:t>
      </w:r>
      <w:r w:rsidR="003C0536">
        <w:rPr>
          <w:rFonts w:ascii="Verdana" w:hAnsi="Verdana" w:cs="Arial"/>
          <w:sz w:val="18"/>
          <w:szCs w:val="20"/>
          <w:lang w:val="es-CR"/>
        </w:rPr>
        <w:t>[ellos] observa</w:t>
      </w:r>
      <w:r w:rsidR="00CC5F6E">
        <w:rPr>
          <w:rFonts w:ascii="Verdana" w:hAnsi="Verdana" w:cs="Arial"/>
          <w:sz w:val="18"/>
          <w:szCs w:val="20"/>
          <w:lang w:val="es-CR"/>
        </w:rPr>
        <w:t>[ron]</w:t>
      </w:r>
      <w:r w:rsidR="00CC5F6E" w:rsidRPr="00261627">
        <w:rPr>
          <w:rFonts w:ascii="Verdana" w:hAnsi="Verdana" w:cs="Arial"/>
          <w:sz w:val="18"/>
          <w:szCs w:val="20"/>
          <w:lang w:val="es-CR"/>
        </w:rPr>
        <w:t xml:space="preserve"> c</w:t>
      </w:r>
      <w:r w:rsidR="00CC5F6E">
        <w:rPr>
          <w:rFonts w:ascii="Verdana" w:hAnsi="Verdana" w:cs="Arial"/>
          <w:sz w:val="18"/>
          <w:szCs w:val="20"/>
          <w:lang w:val="es-CR"/>
        </w:rPr>
        <w:t>ó</w:t>
      </w:r>
      <w:r w:rsidR="00CC5F6E" w:rsidRPr="00261627">
        <w:rPr>
          <w:rFonts w:ascii="Verdana" w:hAnsi="Verdana" w:cs="Arial"/>
          <w:sz w:val="18"/>
          <w:szCs w:val="20"/>
          <w:lang w:val="es-CR"/>
        </w:rPr>
        <w:t xml:space="preserve">mo personal de la compañía permitía el acceso a otras personas para que cazaran y pescaran, incluso, utilizando veneno para matar a un gran número de peces. </w:t>
      </w:r>
      <w:r w:rsidR="00CC5F6E">
        <w:rPr>
          <w:rFonts w:ascii="Verdana" w:hAnsi="Verdana" w:cs="Arial"/>
          <w:sz w:val="18"/>
          <w:szCs w:val="20"/>
          <w:lang w:val="es-CR"/>
        </w:rPr>
        <w:t>[Ellos]</w:t>
      </w:r>
      <w:r w:rsidR="00CC5F6E" w:rsidRPr="00261627">
        <w:rPr>
          <w:rFonts w:ascii="Verdana" w:hAnsi="Verdana" w:cs="Arial"/>
          <w:sz w:val="18"/>
          <w:szCs w:val="20"/>
          <w:lang w:val="es-CR"/>
        </w:rPr>
        <w:t xml:space="preserve"> sabe</w:t>
      </w:r>
      <w:r w:rsidR="00CC5F6E">
        <w:rPr>
          <w:rFonts w:ascii="Verdana" w:hAnsi="Verdana" w:cs="Arial"/>
          <w:sz w:val="18"/>
          <w:szCs w:val="20"/>
          <w:lang w:val="es-CR"/>
        </w:rPr>
        <w:t>[n]</w:t>
      </w:r>
      <w:r w:rsidR="00CC5F6E" w:rsidRPr="00261627">
        <w:rPr>
          <w:rFonts w:ascii="Verdana" w:hAnsi="Verdana" w:cs="Arial"/>
          <w:sz w:val="18"/>
          <w:szCs w:val="20"/>
          <w:lang w:val="es-CR"/>
        </w:rPr>
        <w:t xml:space="preserve"> cómo entrar a ésta sin que </w:t>
      </w:r>
      <w:r w:rsidR="00CC5F6E">
        <w:rPr>
          <w:rFonts w:ascii="Verdana" w:hAnsi="Verdana" w:cs="Arial"/>
          <w:sz w:val="18"/>
          <w:szCs w:val="20"/>
          <w:lang w:val="es-CR"/>
        </w:rPr>
        <w:t>[los]</w:t>
      </w:r>
      <w:r w:rsidR="00CC5F6E" w:rsidRPr="00261627">
        <w:rPr>
          <w:rFonts w:ascii="Verdana" w:hAnsi="Verdana" w:cs="Arial"/>
          <w:sz w:val="18"/>
          <w:szCs w:val="20"/>
          <w:lang w:val="es-CR"/>
        </w:rPr>
        <w:t xml:space="preserve"> vean, pero actualmente es muy difícil encontrar comida </w:t>
      </w:r>
      <w:r w:rsidR="00CC5F6E">
        <w:rPr>
          <w:rFonts w:ascii="Verdana" w:hAnsi="Verdana" w:cs="Arial"/>
          <w:sz w:val="18"/>
          <w:szCs w:val="20"/>
          <w:lang w:val="es-CR"/>
        </w:rPr>
        <w:t>en el área</w:t>
      </w:r>
      <w:r w:rsidRPr="004B0145">
        <w:rPr>
          <w:rFonts w:ascii="Verdana" w:hAnsi="Verdana" w:cs="Arial"/>
          <w:sz w:val="18"/>
          <w:szCs w:val="20"/>
          <w:lang w:val="es-CR"/>
        </w:rPr>
        <w:t>”</w:t>
      </w:r>
      <w:r w:rsidR="00D97182">
        <w:rPr>
          <w:rFonts w:ascii="Verdana" w:hAnsi="Verdana" w:cs="Arial"/>
          <w:sz w:val="18"/>
          <w:szCs w:val="20"/>
          <w:lang w:val="es-CR"/>
        </w:rPr>
        <w:t>.</w:t>
      </w:r>
    </w:p>
    <w:p w14:paraId="60710E00" w14:textId="77777777" w:rsidR="00FC1FCF" w:rsidRPr="00261627" w:rsidRDefault="00FC1FCF" w:rsidP="00FC1FCF">
      <w:pPr>
        <w:jc w:val="both"/>
        <w:rPr>
          <w:rFonts w:ascii="Verdana" w:hAnsi="Verdana"/>
          <w:sz w:val="20"/>
          <w:szCs w:val="20"/>
          <w:lang w:val="es-CR"/>
        </w:rPr>
      </w:pPr>
    </w:p>
    <w:p w14:paraId="6C32F335" w14:textId="77777777" w:rsidR="00FC1FCF" w:rsidRDefault="00FC1FCF" w:rsidP="00FC1FCF">
      <w:pPr>
        <w:pStyle w:val="ListParagraph"/>
        <w:numPr>
          <w:ilvl w:val="0"/>
          <w:numId w:val="2"/>
        </w:numPr>
        <w:ind w:left="0" w:hanging="11"/>
        <w:jc w:val="both"/>
        <w:rPr>
          <w:rFonts w:ascii="Verdana" w:hAnsi="Verdana" w:cs="Arial"/>
          <w:sz w:val="20"/>
          <w:szCs w:val="20"/>
          <w:lang w:val="es-CR"/>
        </w:rPr>
      </w:pPr>
      <w:r w:rsidRPr="00C02552">
        <w:rPr>
          <w:rFonts w:ascii="Verdana" w:hAnsi="Verdana"/>
          <w:sz w:val="20"/>
          <w:szCs w:val="20"/>
        </w:rPr>
        <w:t>Por su parte, Glen</w:t>
      </w:r>
      <w:r w:rsidR="00EC7D68">
        <w:rPr>
          <w:rFonts w:ascii="Verdana" w:hAnsi="Verdana"/>
          <w:sz w:val="20"/>
          <w:szCs w:val="20"/>
        </w:rPr>
        <w:t>n</w:t>
      </w:r>
      <w:r w:rsidRPr="00C02552">
        <w:rPr>
          <w:rFonts w:ascii="Verdana" w:hAnsi="Verdana"/>
          <w:sz w:val="20"/>
          <w:szCs w:val="20"/>
        </w:rPr>
        <w:t xml:space="preserve"> Renaldo Kingswijk</w:t>
      </w:r>
      <w:r>
        <w:rPr>
          <w:rStyle w:val="FootnoteReference"/>
          <w:szCs w:val="20"/>
        </w:rPr>
        <w:footnoteReference w:id="234"/>
      </w:r>
      <w:r w:rsidRPr="00C02552">
        <w:rPr>
          <w:rFonts w:ascii="Verdana" w:hAnsi="Verdana"/>
          <w:sz w:val="20"/>
          <w:szCs w:val="20"/>
        </w:rPr>
        <w:t xml:space="preserve">, trabajador de la compañía </w:t>
      </w:r>
      <w:r w:rsidRPr="00C02552">
        <w:rPr>
          <w:rFonts w:ascii="Verdana" w:hAnsi="Verdana" w:cs="Arial"/>
          <w:sz w:val="20"/>
          <w:szCs w:val="20"/>
          <w:lang w:val="es-CR"/>
        </w:rPr>
        <w:t>BHP</w:t>
      </w:r>
      <w:r w:rsidR="00C31AF8">
        <w:rPr>
          <w:rFonts w:ascii="Verdana" w:hAnsi="Verdana" w:cs="Arial"/>
          <w:sz w:val="20"/>
          <w:szCs w:val="20"/>
          <w:lang w:val="es-CR"/>
        </w:rPr>
        <w:t xml:space="preserve"> </w:t>
      </w:r>
      <w:r w:rsidRPr="00C02552">
        <w:rPr>
          <w:rFonts w:ascii="Verdana" w:hAnsi="Verdana" w:cs="Arial"/>
          <w:sz w:val="20"/>
          <w:szCs w:val="20"/>
          <w:lang w:val="es-CR"/>
        </w:rPr>
        <w:t xml:space="preserve">Billiton-Suralco, </w:t>
      </w:r>
      <w:r>
        <w:rPr>
          <w:rFonts w:ascii="Verdana" w:hAnsi="Verdana" w:cs="Arial"/>
          <w:sz w:val="20"/>
          <w:szCs w:val="20"/>
          <w:lang w:val="es-CR"/>
        </w:rPr>
        <w:t xml:space="preserve">declaró </w:t>
      </w:r>
      <w:r w:rsidRPr="00C02552">
        <w:rPr>
          <w:rFonts w:ascii="Verdana" w:hAnsi="Verdana" w:cs="Arial"/>
          <w:sz w:val="20"/>
          <w:szCs w:val="20"/>
          <w:lang w:val="es-CR"/>
        </w:rPr>
        <w:t>que basado en la política de la empresa</w:t>
      </w:r>
      <w:r>
        <w:rPr>
          <w:rFonts w:ascii="Verdana" w:hAnsi="Verdana" w:cs="Arial"/>
          <w:sz w:val="20"/>
          <w:szCs w:val="20"/>
          <w:lang w:val="es-CR"/>
        </w:rPr>
        <w:t>, se</w:t>
      </w:r>
      <w:r w:rsidRPr="00C02552">
        <w:rPr>
          <w:rFonts w:ascii="Verdana" w:hAnsi="Verdana" w:cs="Arial"/>
          <w:sz w:val="20"/>
          <w:szCs w:val="20"/>
          <w:lang w:val="es-CR"/>
        </w:rPr>
        <w:t xml:space="preserve"> adopt</w:t>
      </w:r>
      <w:r>
        <w:rPr>
          <w:rFonts w:ascii="Verdana" w:hAnsi="Verdana" w:cs="Arial"/>
          <w:sz w:val="20"/>
          <w:szCs w:val="20"/>
          <w:lang w:val="es-CR"/>
        </w:rPr>
        <w:t>aron</w:t>
      </w:r>
      <w:r w:rsidRPr="00C02552">
        <w:rPr>
          <w:rFonts w:ascii="Verdana" w:hAnsi="Verdana" w:cs="Arial"/>
          <w:sz w:val="20"/>
          <w:szCs w:val="20"/>
          <w:lang w:val="es-CR"/>
        </w:rPr>
        <w:t xml:space="preserve"> algunas prácticas, dentro de las cuales estarían: </w:t>
      </w:r>
    </w:p>
    <w:p w14:paraId="79A936F4" w14:textId="77777777" w:rsidR="00FC1FCF" w:rsidRDefault="00FC1FCF" w:rsidP="00FC1FCF">
      <w:pPr>
        <w:jc w:val="both"/>
        <w:rPr>
          <w:rFonts w:ascii="Verdana" w:hAnsi="Verdana" w:cs="Arial"/>
          <w:sz w:val="20"/>
          <w:szCs w:val="20"/>
          <w:lang w:val="es-CR"/>
        </w:rPr>
      </w:pPr>
    </w:p>
    <w:p w14:paraId="6BAE34D6" w14:textId="77777777" w:rsidR="00FC1FCF" w:rsidRPr="00C31C5A" w:rsidRDefault="00EC7D68" w:rsidP="00FC1FCF">
      <w:pPr>
        <w:ind w:left="284"/>
        <w:jc w:val="both"/>
        <w:rPr>
          <w:rFonts w:ascii="Verdana" w:hAnsi="Verdana"/>
          <w:sz w:val="18"/>
          <w:szCs w:val="20"/>
        </w:rPr>
      </w:pPr>
      <w:r>
        <w:rPr>
          <w:rFonts w:ascii="Verdana" w:hAnsi="Verdana" w:cs="Arial"/>
          <w:sz w:val="18"/>
          <w:szCs w:val="20"/>
          <w:lang w:val="es-CR"/>
        </w:rPr>
        <w:lastRenderedPageBreak/>
        <w:t>“</w:t>
      </w:r>
      <w:r w:rsidR="00093AF9" w:rsidRPr="00C31C5A">
        <w:rPr>
          <w:rFonts w:ascii="Verdana" w:hAnsi="Verdana" w:cs="Arial"/>
          <w:sz w:val="18"/>
          <w:szCs w:val="20"/>
          <w:lang w:val="es-CR"/>
        </w:rPr>
        <w:t>Que</w:t>
      </w:r>
      <w:r w:rsidR="00FC1FCF" w:rsidRPr="00C31C5A">
        <w:rPr>
          <w:rFonts w:ascii="Verdana" w:hAnsi="Verdana" w:cs="Arial"/>
          <w:sz w:val="18"/>
          <w:szCs w:val="20"/>
          <w:lang w:val="es-CR"/>
        </w:rPr>
        <w:t xml:space="preserve"> por razones de seguridad</w:t>
      </w:r>
      <w:r>
        <w:rPr>
          <w:rFonts w:ascii="Verdana" w:hAnsi="Verdana" w:cs="Arial"/>
          <w:sz w:val="18"/>
          <w:szCs w:val="20"/>
          <w:lang w:val="es-CR"/>
        </w:rPr>
        <w:t>: i)</w:t>
      </w:r>
      <w:r w:rsidR="00FC1FCF" w:rsidRPr="00C31C5A">
        <w:rPr>
          <w:rFonts w:ascii="Verdana" w:hAnsi="Verdana" w:cs="Arial"/>
          <w:sz w:val="18"/>
          <w:szCs w:val="20"/>
          <w:lang w:val="es-CR"/>
        </w:rPr>
        <w:t xml:space="preserve"> ninguna persona no autorizada tendría acceso a las áreas de la minera (100 </w:t>
      </w:r>
      <w:r>
        <w:rPr>
          <w:rFonts w:ascii="Verdana" w:hAnsi="Verdana" w:cs="Arial"/>
          <w:sz w:val="18"/>
          <w:szCs w:val="20"/>
          <w:lang w:val="es-CR"/>
        </w:rPr>
        <w:t>[ha])</w:t>
      </w:r>
      <w:r w:rsidR="00FC1FCF" w:rsidRPr="00C31C5A">
        <w:rPr>
          <w:rFonts w:ascii="Verdana" w:hAnsi="Verdana" w:cs="Arial"/>
          <w:sz w:val="18"/>
          <w:szCs w:val="20"/>
          <w:lang w:val="es-CR"/>
        </w:rPr>
        <w:t>; ii) se habría negado el uso de la carretera para el acceso a la ca</w:t>
      </w:r>
      <w:r w:rsidR="00FC1FCF">
        <w:rPr>
          <w:rFonts w:ascii="Verdana" w:hAnsi="Verdana" w:cs="Arial"/>
          <w:sz w:val="18"/>
          <w:szCs w:val="20"/>
          <w:lang w:val="es-CR"/>
        </w:rPr>
        <w:t>z</w:t>
      </w:r>
      <w:r w:rsidR="00FC1FCF" w:rsidRPr="00C31C5A">
        <w:rPr>
          <w:rFonts w:ascii="Verdana" w:hAnsi="Verdana" w:cs="Arial"/>
          <w:sz w:val="18"/>
          <w:szCs w:val="20"/>
          <w:lang w:val="es-CR"/>
        </w:rPr>
        <w:t>a y pesca en el área de la concesión y habría un letrero en la entrada; iii) los indígenas que tradicionalmente acudían a la reserva en su forma tradicional podrían continuar haciéndolo, y iv) nunca se les cobró ninguna cuota a los indígenas por usar la carretera</w:t>
      </w:r>
      <w:r w:rsidR="00FC1FCF">
        <w:rPr>
          <w:rFonts w:ascii="Verdana" w:hAnsi="Verdana" w:cs="Arial"/>
          <w:sz w:val="18"/>
          <w:szCs w:val="20"/>
          <w:lang w:val="es-CR"/>
        </w:rPr>
        <w:t>.</w:t>
      </w:r>
      <w:r>
        <w:rPr>
          <w:rFonts w:ascii="Verdana" w:hAnsi="Verdana" w:cs="Arial"/>
          <w:sz w:val="18"/>
          <w:szCs w:val="20"/>
          <w:lang w:val="es-CR"/>
        </w:rPr>
        <w:t>”</w:t>
      </w:r>
    </w:p>
    <w:p w14:paraId="152DDBDF" w14:textId="77777777" w:rsidR="00FC1FCF" w:rsidRPr="00C02552" w:rsidRDefault="00FC1FCF" w:rsidP="00FC1FCF">
      <w:pPr>
        <w:jc w:val="both"/>
        <w:rPr>
          <w:rFonts w:ascii="Verdana" w:hAnsi="Verdana"/>
          <w:sz w:val="20"/>
          <w:szCs w:val="20"/>
        </w:rPr>
      </w:pPr>
    </w:p>
    <w:p w14:paraId="1B58C3AB" w14:textId="5B308828" w:rsidR="00EC7750" w:rsidRDefault="00FC1FCF" w:rsidP="00190AD3">
      <w:pPr>
        <w:pStyle w:val="ListParagraph"/>
        <w:numPr>
          <w:ilvl w:val="0"/>
          <w:numId w:val="2"/>
        </w:numPr>
        <w:ind w:left="0" w:hanging="11"/>
        <w:jc w:val="both"/>
        <w:rPr>
          <w:rFonts w:ascii="Verdana" w:hAnsi="Verdana"/>
          <w:b/>
          <w:i/>
          <w:sz w:val="20"/>
          <w:szCs w:val="20"/>
        </w:rPr>
      </w:pPr>
      <w:r>
        <w:rPr>
          <w:rFonts w:ascii="Verdana" w:hAnsi="Verdana"/>
          <w:sz w:val="20"/>
          <w:szCs w:val="20"/>
        </w:rPr>
        <w:t>En vista d</w:t>
      </w:r>
      <w:r w:rsidRPr="00C02552">
        <w:rPr>
          <w:rFonts w:ascii="Verdana" w:hAnsi="Verdana"/>
          <w:sz w:val="20"/>
          <w:szCs w:val="20"/>
        </w:rPr>
        <w:t xml:space="preserve">e lo </w:t>
      </w:r>
      <w:r w:rsidRPr="00EC7750">
        <w:rPr>
          <w:rFonts w:ascii="Verdana" w:hAnsi="Verdana"/>
          <w:sz w:val="20"/>
          <w:szCs w:val="20"/>
        </w:rPr>
        <w:t xml:space="preserve">anterior, </w:t>
      </w:r>
      <w:r w:rsidR="00E70099" w:rsidRPr="00190AD3">
        <w:rPr>
          <w:rFonts w:ascii="Verdana" w:hAnsi="Verdana"/>
          <w:sz w:val="20"/>
        </w:rPr>
        <w:t>la Corte estima que las posibles restricciones de acceso específico a ciertas áreas donde se encontraba</w:t>
      </w:r>
      <w:r w:rsidR="00515AC2" w:rsidRPr="00190AD3">
        <w:rPr>
          <w:rFonts w:ascii="Verdana" w:hAnsi="Verdana"/>
          <w:sz w:val="20"/>
        </w:rPr>
        <w:t>n</w:t>
      </w:r>
      <w:r w:rsidR="00E70099" w:rsidRPr="00190AD3">
        <w:rPr>
          <w:rFonts w:ascii="Verdana" w:hAnsi="Verdana"/>
          <w:sz w:val="20"/>
        </w:rPr>
        <w:t xml:space="preserve"> en operación las actividades de extracción minera podrían haber resultado razonables por cuestiones </w:t>
      </w:r>
      <w:r w:rsidR="00C364DA" w:rsidRPr="00190AD3">
        <w:rPr>
          <w:rFonts w:ascii="Verdana" w:hAnsi="Verdana"/>
          <w:sz w:val="20"/>
        </w:rPr>
        <w:t xml:space="preserve">principalmente </w:t>
      </w:r>
      <w:r w:rsidR="00E70099" w:rsidRPr="00190AD3">
        <w:rPr>
          <w:rFonts w:ascii="Verdana" w:hAnsi="Verdana"/>
          <w:sz w:val="20"/>
        </w:rPr>
        <w:t>de seguridad</w:t>
      </w:r>
      <w:r w:rsidR="00C364DA" w:rsidRPr="00190AD3">
        <w:rPr>
          <w:rFonts w:ascii="Verdana" w:hAnsi="Verdana"/>
          <w:sz w:val="20"/>
        </w:rPr>
        <w:t xml:space="preserve"> en la zona</w:t>
      </w:r>
      <w:r w:rsidR="00E70099" w:rsidRPr="00190AD3">
        <w:rPr>
          <w:rFonts w:ascii="Verdana" w:hAnsi="Verdana"/>
          <w:sz w:val="20"/>
        </w:rPr>
        <w:t xml:space="preserve">. Asimismo, la Corte observa que adicionalmente a las 100 ha de explotación, habría otras áreas contiguas disponibles a las comunidades aledañas, particularmente </w:t>
      </w:r>
      <w:r w:rsidR="00CC5F6E" w:rsidRPr="00190AD3">
        <w:rPr>
          <w:rFonts w:ascii="Verdana" w:hAnsi="Verdana"/>
          <w:sz w:val="20"/>
        </w:rPr>
        <w:t>la</w:t>
      </w:r>
      <w:r w:rsidR="00CC5F6E" w:rsidRPr="00EC7750">
        <w:rPr>
          <w:rFonts w:ascii="Verdana" w:hAnsi="Verdana"/>
          <w:sz w:val="20"/>
          <w:szCs w:val="20"/>
        </w:rPr>
        <w:t xml:space="preserve"> </w:t>
      </w:r>
      <w:r w:rsidR="00515AC2" w:rsidRPr="00190AD3">
        <w:rPr>
          <w:rFonts w:ascii="Verdana" w:hAnsi="Verdana"/>
          <w:sz w:val="20"/>
        </w:rPr>
        <w:t>Comunidad Lokono de</w:t>
      </w:r>
      <w:r w:rsidR="00CC5F6E" w:rsidRPr="00EC7750">
        <w:rPr>
          <w:rFonts w:ascii="Verdana" w:hAnsi="Verdana"/>
          <w:sz w:val="20"/>
          <w:szCs w:val="20"/>
        </w:rPr>
        <w:t xml:space="preserve"> </w:t>
      </w:r>
      <w:r w:rsidR="00CC5F6E" w:rsidRPr="00190AD3">
        <w:rPr>
          <w:rFonts w:ascii="Verdana" w:hAnsi="Verdana"/>
          <w:sz w:val="20"/>
        </w:rPr>
        <w:t>Alfonsdo</w:t>
      </w:r>
      <w:r w:rsidR="00B73EDA">
        <w:rPr>
          <w:rFonts w:ascii="Verdana" w:hAnsi="Verdana"/>
          <w:sz w:val="20"/>
        </w:rPr>
        <w:t>r</w:t>
      </w:r>
      <w:r w:rsidR="00CC5F6E" w:rsidRPr="00190AD3">
        <w:rPr>
          <w:rFonts w:ascii="Verdana" w:hAnsi="Verdana"/>
          <w:sz w:val="20"/>
        </w:rPr>
        <w:t>p</w:t>
      </w:r>
      <w:r w:rsidR="00515AC2" w:rsidRPr="00190AD3">
        <w:rPr>
          <w:rFonts w:ascii="Verdana" w:hAnsi="Verdana"/>
          <w:sz w:val="20"/>
        </w:rPr>
        <w:t>, por lo que no encuentra</w:t>
      </w:r>
      <w:r w:rsidR="005014B5" w:rsidRPr="00190AD3">
        <w:rPr>
          <w:rFonts w:ascii="Verdana" w:hAnsi="Verdana"/>
          <w:sz w:val="20"/>
        </w:rPr>
        <w:t>, para efectos del presente caso,</w:t>
      </w:r>
      <w:r w:rsidR="00515AC2" w:rsidRPr="00190AD3">
        <w:rPr>
          <w:rFonts w:ascii="Verdana" w:hAnsi="Verdana"/>
          <w:sz w:val="20"/>
        </w:rPr>
        <w:t xml:space="preserve"> una restricción</w:t>
      </w:r>
      <w:r w:rsidR="00216D0F">
        <w:rPr>
          <w:rFonts w:ascii="Verdana" w:hAnsi="Verdana"/>
          <w:sz w:val="20"/>
          <w:szCs w:val="20"/>
        </w:rPr>
        <w:t xml:space="preserve"> </w:t>
      </w:r>
      <w:r w:rsidR="005014B5" w:rsidRPr="00190AD3">
        <w:rPr>
          <w:rFonts w:ascii="Verdana" w:hAnsi="Verdana"/>
          <w:sz w:val="20"/>
        </w:rPr>
        <w:t>desproporcionada al respecto</w:t>
      </w:r>
      <w:r w:rsidR="00515AC2" w:rsidRPr="00190AD3">
        <w:rPr>
          <w:rFonts w:ascii="Verdana" w:hAnsi="Verdana"/>
          <w:sz w:val="20"/>
        </w:rPr>
        <w:t>.</w:t>
      </w:r>
      <w:r w:rsidR="00E70099" w:rsidRPr="00EC7750">
        <w:rPr>
          <w:rFonts w:ascii="Verdana" w:hAnsi="Verdana"/>
          <w:sz w:val="20"/>
          <w:szCs w:val="20"/>
        </w:rPr>
        <w:t xml:space="preserve"> </w:t>
      </w:r>
    </w:p>
    <w:p w14:paraId="37573FCD" w14:textId="77777777" w:rsidR="00FC1FCF" w:rsidRPr="00190AD3" w:rsidRDefault="00FC1FCF" w:rsidP="00190AD3">
      <w:pPr>
        <w:pStyle w:val="ListParagraph"/>
        <w:ind w:left="0"/>
        <w:jc w:val="both"/>
        <w:rPr>
          <w:rFonts w:ascii="Verdana" w:hAnsi="Verdana"/>
          <w:b/>
          <w:i/>
          <w:sz w:val="20"/>
        </w:rPr>
      </w:pPr>
    </w:p>
    <w:p w14:paraId="29377CA8" w14:textId="77777777" w:rsidR="00FC1FCF" w:rsidRPr="00B17B8E" w:rsidRDefault="00515AC2" w:rsidP="00FC1FCF">
      <w:pPr>
        <w:pStyle w:val="ListParagraph"/>
        <w:numPr>
          <w:ilvl w:val="0"/>
          <w:numId w:val="22"/>
        </w:numPr>
        <w:jc w:val="both"/>
        <w:rPr>
          <w:rFonts w:ascii="Verdana" w:hAnsi="Verdana"/>
          <w:b/>
          <w:i/>
          <w:sz w:val="20"/>
          <w:szCs w:val="20"/>
        </w:rPr>
      </w:pPr>
      <w:r>
        <w:rPr>
          <w:rFonts w:ascii="Verdana" w:hAnsi="Verdana"/>
          <w:b/>
          <w:i/>
          <w:sz w:val="20"/>
          <w:szCs w:val="20"/>
        </w:rPr>
        <w:t>Respecto del</w:t>
      </w:r>
      <w:r w:rsidRPr="00B17B8E">
        <w:rPr>
          <w:rFonts w:ascii="Verdana" w:hAnsi="Verdana"/>
          <w:b/>
          <w:i/>
          <w:sz w:val="20"/>
          <w:szCs w:val="20"/>
        </w:rPr>
        <w:t xml:space="preserve"> </w:t>
      </w:r>
      <w:r w:rsidR="00FC1FCF" w:rsidRPr="00B17B8E">
        <w:rPr>
          <w:rFonts w:ascii="Verdana" w:hAnsi="Verdana"/>
          <w:b/>
          <w:i/>
          <w:sz w:val="20"/>
          <w:szCs w:val="20"/>
        </w:rPr>
        <w:t xml:space="preserve">control y administración de las reservas </w:t>
      </w:r>
    </w:p>
    <w:p w14:paraId="50B6030F" w14:textId="77777777" w:rsidR="00FC1FCF" w:rsidRPr="00AB4EA9" w:rsidRDefault="00FC1FCF" w:rsidP="00FC1FCF">
      <w:pPr>
        <w:jc w:val="both"/>
        <w:rPr>
          <w:rFonts w:ascii="Verdana" w:hAnsi="Verdana"/>
          <w:sz w:val="20"/>
          <w:szCs w:val="20"/>
        </w:rPr>
      </w:pPr>
    </w:p>
    <w:p w14:paraId="71A041F8" w14:textId="372D2D61" w:rsidR="00FC1FCF" w:rsidRPr="009E77BD" w:rsidRDefault="00FC1FCF" w:rsidP="00FC1FCF">
      <w:pPr>
        <w:pStyle w:val="ListParagraph"/>
        <w:numPr>
          <w:ilvl w:val="0"/>
          <w:numId w:val="2"/>
        </w:numPr>
        <w:ind w:left="0" w:hanging="11"/>
        <w:jc w:val="both"/>
        <w:rPr>
          <w:rFonts w:ascii="Verdana" w:hAnsi="Verdana"/>
          <w:sz w:val="20"/>
          <w:szCs w:val="20"/>
        </w:rPr>
      </w:pPr>
      <w:r w:rsidRPr="00AB4EA9">
        <w:rPr>
          <w:rFonts w:ascii="Verdana" w:hAnsi="Verdana"/>
          <w:sz w:val="20"/>
          <w:szCs w:val="20"/>
        </w:rPr>
        <w:t>La Corte observa que el Estado ha señalado que los pueblos indígenas serían incapaces para manejar por sí mismos la reserva, debido a la falta de equipo, formas de administración, entre otras razones</w:t>
      </w:r>
      <w:r w:rsidRPr="00AB4EA9">
        <w:rPr>
          <w:rStyle w:val="FootnoteReference"/>
          <w:szCs w:val="20"/>
          <w:lang w:val="es-CR"/>
        </w:rPr>
        <w:footnoteReference w:id="235"/>
      </w:r>
      <w:r w:rsidRPr="00AB4EA9">
        <w:rPr>
          <w:rFonts w:ascii="Verdana" w:hAnsi="Verdana"/>
          <w:sz w:val="20"/>
          <w:szCs w:val="20"/>
        </w:rPr>
        <w:t xml:space="preserve"> (</w:t>
      </w:r>
      <w:r w:rsidR="00093AF9" w:rsidRPr="009E77BD">
        <w:rPr>
          <w:rFonts w:ascii="Verdana" w:hAnsi="Verdana"/>
          <w:i/>
          <w:sz w:val="20"/>
          <w:szCs w:val="20"/>
        </w:rPr>
        <w:t>supra</w:t>
      </w:r>
      <w:r w:rsidRPr="00AB4EA9">
        <w:rPr>
          <w:rFonts w:ascii="Verdana" w:hAnsi="Verdana"/>
          <w:sz w:val="20"/>
          <w:szCs w:val="20"/>
        </w:rPr>
        <w:t xml:space="preserve"> párr.</w:t>
      </w:r>
      <w:r w:rsidR="008674BA">
        <w:rPr>
          <w:rFonts w:ascii="Verdana" w:hAnsi="Verdana"/>
          <w:sz w:val="20"/>
          <w:szCs w:val="20"/>
        </w:rPr>
        <w:t xml:space="preserve"> 120</w:t>
      </w:r>
      <w:r w:rsidRPr="00AB4EA9">
        <w:rPr>
          <w:rFonts w:ascii="Verdana" w:hAnsi="Verdana"/>
          <w:sz w:val="20"/>
          <w:szCs w:val="20"/>
        </w:rPr>
        <w:t>)</w:t>
      </w:r>
      <w:r w:rsidRPr="004B0145">
        <w:rPr>
          <w:rFonts w:ascii="Verdana" w:hAnsi="Verdana"/>
          <w:sz w:val="20"/>
          <w:szCs w:val="20"/>
        </w:rPr>
        <w:t>.</w:t>
      </w:r>
      <w:r w:rsidRPr="00AB4EA9">
        <w:rPr>
          <w:rFonts w:ascii="Verdana" w:hAnsi="Verdana"/>
          <w:sz w:val="20"/>
          <w:szCs w:val="20"/>
        </w:rPr>
        <w:t xml:space="preserve"> Por su parte, los representantes </w:t>
      </w:r>
      <w:r w:rsidRPr="00DE3742">
        <w:rPr>
          <w:rFonts w:ascii="Verdana" w:hAnsi="Verdana"/>
          <w:sz w:val="20"/>
          <w:szCs w:val="20"/>
        </w:rPr>
        <w:t>y la Comisión alud</w:t>
      </w:r>
      <w:r w:rsidR="00C2680C">
        <w:rPr>
          <w:rFonts w:ascii="Verdana" w:hAnsi="Verdana"/>
          <w:sz w:val="20"/>
          <w:szCs w:val="20"/>
        </w:rPr>
        <w:t>ieron</w:t>
      </w:r>
      <w:r w:rsidRPr="00DE3742">
        <w:rPr>
          <w:rFonts w:ascii="Verdana" w:hAnsi="Verdana"/>
          <w:sz w:val="20"/>
          <w:szCs w:val="20"/>
        </w:rPr>
        <w:t xml:space="preserve"> que </w:t>
      </w:r>
      <w:r w:rsidR="00C2680C">
        <w:rPr>
          <w:rFonts w:ascii="Verdana" w:hAnsi="Verdana"/>
          <w:sz w:val="20"/>
          <w:szCs w:val="20"/>
        </w:rPr>
        <w:t xml:space="preserve">la protección de la naturaleza </w:t>
      </w:r>
      <w:r w:rsidRPr="00DE3742">
        <w:rPr>
          <w:rFonts w:ascii="Verdana" w:hAnsi="Verdana"/>
          <w:sz w:val="20"/>
          <w:szCs w:val="20"/>
        </w:rPr>
        <w:t xml:space="preserve">es compatible con su forma de vida y se les debe restituir dichos </w:t>
      </w:r>
      <w:r w:rsidRPr="00231093">
        <w:rPr>
          <w:rFonts w:ascii="Verdana" w:hAnsi="Verdana"/>
          <w:sz w:val="20"/>
          <w:szCs w:val="20"/>
        </w:rPr>
        <w:t>territorios.</w:t>
      </w:r>
      <w:r w:rsidRPr="009E77BD">
        <w:rPr>
          <w:rFonts w:ascii="Verdana" w:hAnsi="Verdana"/>
          <w:sz w:val="20"/>
          <w:szCs w:val="20"/>
        </w:rPr>
        <w:t xml:space="preserve"> </w:t>
      </w:r>
    </w:p>
    <w:p w14:paraId="2C0FBA09" w14:textId="77777777" w:rsidR="00FC1FCF" w:rsidRPr="00C02552" w:rsidRDefault="00FC1FCF" w:rsidP="00FC1FCF">
      <w:pPr>
        <w:jc w:val="both"/>
        <w:rPr>
          <w:rFonts w:ascii="Verdana" w:hAnsi="Verdana"/>
          <w:sz w:val="20"/>
          <w:szCs w:val="20"/>
        </w:rPr>
      </w:pPr>
    </w:p>
    <w:p w14:paraId="7260B72B" w14:textId="77777777" w:rsidR="00FC1FCF" w:rsidRPr="00C02552" w:rsidRDefault="00FC1FCF" w:rsidP="00FC1FCF">
      <w:pPr>
        <w:pStyle w:val="ListParagraph"/>
        <w:numPr>
          <w:ilvl w:val="0"/>
          <w:numId w:val="2"/>
        </w:numPr>
        <w:ind w:left="0" w:hanging="11"/>
        <w:jc w:val="both"/>
        <w:rPr>
          <w:rFonts w:ascii="Verdana" w:hAnsi="Verdana"/>
          <w:sz w:val="20"/>
          <w:szCs w:val="20"/>
        </w:rPr>
      </w:pPr>
      <w:r w:rsidRPr="00C02552">
        <w:rPr>
          <w:rFonts w:ascii="Verdana" w:hAnsi="Verdana"/>
          <w:sz w:val="20"/>
          <w:szCs w:val="20"/>
        </w:rPr>
        <w:t>Al respecto, la Corte estima que</w:t>
      </w:r>
      <w:r w:rsidR="008674BA">
        <w:rPr>
          <w:rFonts w:ascii="Verdana" w:hAnsi="Verdana"/>
          <w:sz w:val="20"/>
          <w:szCs w:val="20"/>
        </w:rPr>
        <w:t>,</w:t>
      </w:r>
      <w:r w:rsidRPr="00C02552">
        <w:rPr>
          <w:rFonts w:ascii="Verdana" w:hAnsi="Verdana"/>
          <w:sz w:val="20"/>
          <w:szCs w:val="20"/>
        </w:rPr>
        <w:t xml:space="preserve"> a la luz de los estándares antes mencionados, es compatible </w:t>
      </w:r>
      <w:r>
        <w:rPr>
          <w:rFonts w:ascii="Verdana" w:hAnsi="Verdana"/>
          <w:sz w:val="20"/>
          <w:szCs w:val="20"/>
        </w:rPr>
        <w:t xml:space="preserve">el </w:t>
      </w:r>
      <w:r w:rsidRPr="00C02552">
        <w:rPr>
          <w:rFonts w:ascii="Verdana" w:hAnsi="Verdana"/>
          <w:sz w:val="20"/>
          <w:szCs w:val="20"/>
        </w:rPr>
        <w:t>control</w:t>
      </w:r>
      <w:r>
        <w:rPr>
          <w:rFonts w:ascii="Verdana" w:hAnsi="Verdana"/>
          <w:sz w:val="20"/>
          <w:szCs w:val="20"/>
        </w:rPr>
        <w:t xml:space="preserve">, acceso y </w:t>
      </w:r>
      <w:r w:rsidRPr="00C02552">
        <w:rPr>
          <w:rFonts w:ascii="Verdana" w:hAnsi="Verdana"/>
          <w:sz w:val="20"/>
          <w:szCs w:val="20"/>
        </w:rPr>
        <w:t xml:space="preserve">participación </w:t>
      </w:r>
      <w:r>
        <w:rPr>
          <w:rFonts w:ascii="Verdana" w:hAnsi="Verdana"/>
          <w:sz w:val="20"/>
          <w:szCs w:val="20"/>
        </w:rPr>
        <w:t>en</w:t>
      </w:r>
      <w:r w:rsidRPr="00C02552">
        <w:rPr>
          <w:rFonts w:ascii="Verdana" w:hAnsi="Verdana"/>
          <w:sz w:val="20"/>
          <w:szCs w:val="20"/>
        </w:rPr>
        <w:t xml:space="preserve"> áreas del territorio de una reserva por los pueblos indígenas</w:t>
      </w:r>
      <w:r>
        <w:rPr>
          <w:rFonts w:ascii="Verdana" w:hAnsi="Verdana"/>
          <w:sz w:val="20"/>
          <w:szCs w:val="20"/>
        </w:rPr>
        <w:t xml:space="preserve"> y tribales</w:t>
      </w:r>
      <w:r w:rsidRPr="00C02552">
        <w:rPr>
          <w:rFonts w:ascii="Verdana" w:hAnsi="Verdana"/>
          <w:sz w:val="20"/>
          <w:szCs w:val="20"/>
        </w:rPr>
        <w:t xml:space="preserve">, pero también resulta razonable que el Estado pueda tener control, acceso y manejo de áreas de interés general, estratégico y de seguridad que le permita ejercer su soberanía, y/o proteger sus límites territoriales. </w:t>
      </w:r>
    </w:p>
    <w:p w14:paraId="035FECE7" w14:textId="77777777" w:rsidR="00FC1FCF" w:rsidRPr="00C02552" w:rsidRDefault="00FC1FCF" w:rsidP="00FC1FCF">
      <w:pPr>
        <w:jc w:val="both"/>
        <w:rPr>
          <w:rFonts w:ascii="Verdana" w:hAnsi="Verdana"/>
          <w:sz w:val="20"/>
          <w:szCs w:val="20"/>
        </w:rPr>
      </w:pPr>
    </w:p>
    <w:p w14:paraId="12100C33" w14:textId="77777777" w:rsidR="00CC5F6E" w:rsidRPr="00156905" w:rsidRDefault="00FC1FCF" w:rsidP="00CC5F6E">
      <w:pPr>
        <w:pStyle w:val="ListParagraph"/>
        <w:numPr>
          <w:ilvl w:val="0"/>
          <w:numId w:val="2"/>
        </w:numPr>
        <w:ind w:left="0" w:hanging="11"/>
        <w:jc w:val="both"/>
        <w:rPr>
          <w:rFonts w:ascii="Verdana" w:hAnsi="Verdana"/>
          <w:sz w:val="20"/>
          <w:szCs w:val="20"/>
        </w:rPr>
      </w:pPr>
      <w:r w:rsidRPr="00CC5F6E">
        <w:rPr>
          <w:rFonts w:ascii="Verdana" w:hAnsi="Verdana"/>
          <w:sz w:val="20"/>
          <w:szCs w:val="20"/>
        </w:rPr>
        <w:t xml:space="preserve">Por tanto, en vista </w:t>
      </w:r>
      <w:r w:rsidR="008674BA">
        <w:rPr>
          <w:rFonts w:ascii="Verdana" w:hAnsi="Verdana"/>
          <w:sz w:val="20"/>
          <w:szCs w:val="20"/>
        </w:rPr>
        <w:t xml:space="preserve">de </w:t>
      </w:r>
      <w:r w:rsidRPr="00CC5F6E">
        <w:rPr>
          <w:rFonts w:ascii="Verdana" w:hAnsi="Verdana"/>
          <w:sz w:val="20"/>
          <w:szCs w:val="20"/>
        </w:rPr>
        <w:t>que en el caso concreto la Corte no se ha pronunciado respecto de la creación y mantenimiento de las reservas (</w:t>
      </w:r>
      <w:r w:rsidR="00366D91" w:rsidRPr="00366D91">
        <w:rPr>
          <w:rFonts w:ascii="Verdana" w:hAnsi="Verdana"/>
          <w:i/>
          <w:sz w:val="20"/>
          <w:szCs w:val="20"/>
        </w:rPr>
        <w:t>supra</w:t>
      </w:r>
      <w:r w:rsidRPr="00CC5F6E">
        <w:rPr>
          <w:rFonts w:ascii="Verdana" w:hAnsi="Verdana"/>
          <w:sz w:val="20"/>
          <w:szCs w:val="20"/>
        </w:rPr>
        <w:t xml:space="preserve"> párr. </w:t>
      </w:r>
      <w:r w:rsidR="00AE6FEA">
        <w:rPr>
          <w:rFonts w:ascii="Verdana" w:hAnsi="Verdana"/>
          <w:sz w:val="20"/>
          <w:szCs w:val="20"/>
        </w:rPr>
        <w:t>1</w:t>
      </w:r>
      <w:r w:rsidR="009A6301">
        <w:rPr>
          <w:rFonts w:ascii="Verdana" w:hAnsi="Verdana"/>
          <w:sz w:val="20"/>
          <w:szCs w:val="20"/>
        </w:rPr>
        <w:t>62</w:t>
      </w:r>
      <w:r w:rsidRPr="00CC5F6E">
        <w:rPr>
          <w:rFonts w:ascii="Verdana" w:hAnsi="Verdana"/>
          <w:sz w:val="20"/>
          <w:szCs w:val="20"/>
        </w:rPr>
        <w:t xml:space="preserve">), sino que, partiendo de su existencia, ha analizado las restricciones impuestas, estima que, para efectos del presente caso, el Estado debió, </w:t>
      </w:r>
      <w:r w:rsidR="00BC6F15" w:rsidRPr="00CC5F6E">
        <w:rPr>
          <w:rFonts w:ascii="Verdana" w:hAnsi="Verdana"/>
          <w:sz w:val="20"/>
          <w:szCs w:val="20"/>
        </w:rPr>
        <w:t xml:space="preserve">a partir del surgimiento de sus </w:t>
      </w:r>
      <w:r w:rsidR="00CC5F6E">
        <w:rPr>
          <w:rFonts w:ascii="Verdana" w:hAnsi="Verdana"/>
          <w:sz w:val="20"/>
          <w:szCs w:val="20"/>
        </w:rPr>
        <w:t>compromisos nacionales e internacionales (</w:t>
      </w:r>
      <w:r w:rsidR="00366D91" w:rsidRPr="00366D91">
        <w:rPr>
          <w:rFonts w:ascii="Verdana" w:hAnsi="Verdana"/>
          <w:i/>
          <w:sz w:val="20"/>
          <w:szCs w:val="20"/>
        </w:rPr>
        <w:t>supra</w:t>
      </w:r>
      <w:r w:rsidR="00CC5F6E">
        <w:rPr>
          <w:rFonts w:ascii="Verdana" w:hAnsi="Verdana"/>
          <w:sz w:val="20"/>
          <w:szCs w:val="20"/>
        </w:rPr>
        <w:t xml:space="preserve"> párr. </w:t>
      </w:r>
      <w:r w:rsidR="00AE6FEA">
        <w:rPr>
          <w:rFonts w:ascii="Verdana" w:hAnsi="Verdana"/>
          <w:sz w:val="20"/>
          <w:szCs w:val="20"/>
        </w:rPr>
        <w:t>176</w:t>
      </w:r>
      <w:r w:rsidR="00CC5F6E">
        <w:rPr>
          <w:rFonts w:ascii="Verdana" w:hAnsi="Verdana"/>
          <w:sz w:val="20"/>
          <w:szCs w:val="20"/>
        </w:rPr>
        <w:t xml:space="preserve">), procurar la compatibilidad entre la protección del medio ambiente y los derechos colectivos de los pueblos indígenas, a </w:t>
      </w:r>
      <w:r w:rsidR="00515AC2">
        <w:rPr>
          <w:rFonts w:ascii="Verdana" w:hAnsi="Verdana"/>
          <w:sz w:val="20"/>
          <w:szCs w:val="20"/>
        </w:rPr>
        <w:t xml:space="preserve">fin de garantizar </w:t>
      </w:r>
      <w:r w:rsidR="0014568C">
        <w:rPr>
          <w:rFonts w:ascii="Verdana" w:hAnsi="Verdana"/>
          <w:sz w:val="20"/>
          <w:szCs w:val="20"/>
        </w:rPr>
        <w:t xml:space="preserve">a) </w:t>
      </w:r>
      <w:r w:rsidR="00515AC2">
        <w:rPr>
          <w:rFonts w:ascii="Verdana" w:hAnsi="Verdana"/>
          <w:sz w:val="20"/>
          <w:szCs w:val="20"/>
        </w:rPr>
        <w:t xml:space="preserve">el </w:t>
      </w:r>
      <w:r w:rsidR="00CC5F6E" w:rsidRPr="00BC6F15">
        <w:rPr>
          <w:rFonts w:ascii="Verdana" w:hAnsi="Verdana"/>
          <w:sz w:val="20"/>
          <w:szCs w:val="20"/>
        </w:rPr>
        <w:t xml:space="preserve">acceso </w:t>
      </w:r>
      <w:r w:rsidR="00CC5F6E" w:rsidRPr="00190AD3">
        <w:rPr>
          <w:rFonts w:ascii="Verdana" w:hAnsi="Verdana"/>
          <w:sz w:val="20"/>
        </w:rPr>
        <w:t xml:space="preserve">y </w:t>
      </w:r>
      <w:r w:rsidR="005014B5" w:rsidRPr="00190AD3">
        <w:rPr>
          <w:rFonts w:ascii="Verdana" w:hAnsi="Verdana"/>
          <w:sz w:val="20"/>
        </w:rPr>
        <w:t>uso</w:t>
      </w:r>
      <w:r w:rsidR="00027F86" w:rsidRPr="00027F86">
        <w:rPr>
          <w:rFonts w:ascii="Verdana" w:hAnsi="Verdana"/>
          <w:sz w:val="20"/>
          <w:szCs w:val="20"/>
        </w:rPr>
        <w:t xml:space="preserve"> </w:t>
      </w:r>
      <w:r w:rsidR="005014B5">
        <w:rPr>
          <w:rFonts w:ascii="Verdana" w:hAnsi="Verdana"/>
          <w:sz w:val="20"/>
          <w:szCs w:val="20"/>
        </w:rPr>
        <w:t>de</w:t>
      </w:r>
      <w:r w:rsidR="00027F86">
        <w:rPr>
          <w:rFonts w:ascii="Verdana" w:hAnsi="Verdana"/>
          <w:sz w:val="20"/>
          <w:szCs w:val="20"/>
        </w:rPr>
        <w:t xml:space="preserve"> sus territorios ancestrales</w:t>
      </w:r>
      <w:r w:rsidR="00CC5F6E" w:rsidRPr="00BC6F15">
        <w:rPr>
          <w:rFonts w:ascii="Verdana" w:hAnsi="Verdana"/>
          <w:sz w:val="20"/>
          <w:szCs w:val="20"/>
        </w:rPr>
        <w:t>, a través de sus formas trad</w:t>
      </w:r>
      <w:r w:rsidR="00CC5F6E">
        <w:rPr>
          <w:rFonts w:ascii="Verdana" w:hAnsi="Verdana"/>
          <w:sz w:val="20"/>
          <w:szCs w:val="20"/>
        </w:rPr>
        <w:t>icionales de vida en la</w:t>
      </w:r>
      <w:r w:rsidR="00515AC2">
        <w:rPr>
          <w:rFonts w:ascii="Verdana" w:hAnsi="Verdana"/>
          <w:sz w:val="20"/>
          <w:szCs w:val="20"/>
        </w:rPr>
        <w:t>s</w:t>
      </w:r>
      <w:r w:rsidR="00CC5F6E">
        <w:rPr>
          <w:rFonts w:ascii="Verdana" w:hAnsi="Verdana"/>
          <w:sz w:val="20"/>
          <w:szCs w:val="20"/>
        </w:rPr>
        <w:t xml:space="preserve"> reserva</w:t>
      </w:r>
      <w:r w:rsidR="00515AC2">
        <w:rPr>
          <w:rFonts w:ascii="Verdana" w:hAnsi="Verdana"/>
          <w:sz w:val="20"/>
          <w:szCs w:val="20"/>
        </w:rPr>
        <w:t>s</w:t>
      </w:r>
      <w:r w:rsidR="00CC5F6E">
        <w:rPr>
          <w:rFonts w:ascii="Verdana" w:hAnsi="Verdana"/>
          <w:sz w:val="20"/>
          <w:szCs w:val="20"/>
        </w:rPr>
        <w:t>;</w:t>
      </w:r>
      <w:r w:rsidR="00CC5F6E" w:rsidRPr="00BC6F15">
        <w:rPr>
          <w:rFonts w:ascii="Verdana" w:hAnsi="Verdana"/>
          <w:sz w:val="20"/>
          <w:szCs w:val="20"/>
        </w:rPr>
        <w:t xml:space="preserve"> </w:t>
      </w:r>
      <w:r w:rsidR="005014B5">
        <w:rPr>
          <w:rFonts w:ascii="Verdana" w:hAnsi="Verdana"/>
          <w:sz w:val="20"/>
          <w:szCs w:val="20"/>
        </w:rPr>
        <w:t>b</w:t>
      </w:r>
      <w:r w:rsidR="00CC5F6E" w:rsidRPr="00BC6F15">
        <w:rPr>
          <w:rFonts w:ascii="Verdana" w:hAnsi="Verdana"/>
          <w:sz w:val="20"/>
          <w:szCs w:val="20"/>
        </w:rPr>
        <w:t>) brindar los medios para participar de manera efectiva con los objetivos de las mismas; principalmente, en el cuidado</w:t>
      </w:r>
      <w:r w:rsidR="005014B5">
        <w:rPr>
          <w:rFonts w:ascii="Verdana" w:hAnsi="Verdana"/>
          <w:sz w:val="20"/>
          <w:szCs w:val="20"/>
        </w:rPr>
        <w:t xml:space="preserve"> </w:t>
      </w:r>
      <w:r w:rsidR="005014B5" w:rsidRPr="00190AD3">
        <w:rPr>
          <w:rFonts w:ascii="Verdana" w:hAnsi="Verdana"/>
          <w:sz w:val="20"/>
        </w:rPr>
        <w:t>y</w:t>
      </w:r>
      <w:r w:rsidR="00CC5F6E" w:rsidRPr="0014568C">
        <w:rPr>
          <w:rFonts w:ascii="Verdana" w:hAnsi="Verdana"/>
          <w:sz w:val="20"/>
          <w:szCs w:val="20"/>
        </w:rPr>
        <w:t xml:space="preserve"> </w:t>
      </w:r>
      <w:r w:rsidR="00CC5F6E" w:rsidRPr="00BC6F15">
        <w:rPr>
          <w:rFonts w:ascii="Verdana" w:hAnsi="Verdana"/>
          <w:sz w:val="20"/>
          <w:szCs w:val="20"/>
        </w:rPr>
        <w:t xml:space="preserve">conservación de las reservas; </w:t>
      </w:r>
      <w:r w:rsidR="005014B5">
        <w:rPr>
          <w:rFonts w:ascii="Verdana" w:hAnsi="Verdana"/>
          <w:sz w:val="20"/>
          <w:szCs w:val="20"/>
        </w:rPr>
        <w:t>c</w:t>
      </w:r>
      <w:r w:rsidR="00CC5F6E" w:rsidRPr="00156905">
        <w:rPr>
          <w:rFonts w:ascii="Verdana" w:hAnsi="Verdana"/>
          <w:sz w:val="20"/>
          <w:szCs w:val="20"/>
        </w:rPr>
        <w:t xml:space="preserve">) participar en los beneficios generados </w:t>
      </w:r>
      <w:r w:rsidR="00AE6FEA">
        <w:rPr>
          <w:rFonts w:ascii="Verdana" w:hAnsi="Verdana"/>
          <w:sz w:val="20"/>
        </w:rPr>
        <w:t>por</w:t>
      </w:r>
      <w:r w:rsidR="005014B5" w:rsidRPr="00190AD3">
        <w:rPr>
          <w:rFonts w:ascii="Verdana" w:hAnsi="Verdana"/>
          <w:sz w:val="20"/>
        </w:rPr>
        <w:t xml:space="preserve"> la conservación</w:t>
      </w:r>
      <w:r w:rsidR="005014B5">
        <w:rPr>
          <w:rFonts w:ascii="Verdana" w:hAnsi="Verdana"/>
          <w:sz w:val="20"/>
          <w:szCs w:val="20"/>
        </w:rPr>
        <w:t xml:space="preserve"> (</w:t>
      </w:r>
      <w:r w:rsidR="005014B5" w:rsidRPr="002C323A">
        <w:rPr>
          <w:rFonts w:ascii="Verdana" w:hAnsi="Verdana"/>
          <w:i/>
          <w:sz w:val="20"/>
          <w:szCs w:val="20"/>
        </w:rPr>
        <w:t>supra</w:t>
      </w:r>
      <w:r w:rsidR="005014B5">
        <w:rPr>
          <w:rFonts w:ascii="Verdana" w:hAnsi="Verdana"/>
          <w:sz w:val="20"/>
          <w:szCs w:val="20"/>
        </w:rPr>
        <w:t xml:space="preserve"> párr. </w:t>
      </w:r>
      <w:r w:rsidR="00AE6FEA">
        <w:rPr>
          <w:rFonts w:ascii="Verdana" w:hAnsi="Verdana"/>
          <w:sz w:val="20"/>
          <w:szCs w:val="20"/>
        </w:rPr>
        <w:t>181</w:t>
      </w:r>
      <w:r w:rsidR="005014B5">
        <w:rPr>
          <w:rFonts w:ascii="Verdana" w:hAnsi="Verdana"/>
          <w:sz w:val="20"/>
          <w:szCs w:val="20"/>
        </w:rPr>
        <w:t>)</w:t>
      </w:r>
      <w:r w:rsidR="0014568C">
        <w:rPr>
          <w:rFonts w:ascii="Verdana" w:hAnsi="Verdana"/>
          <w:sz w:val="20"/>
          <w:szCs w:val="20"/>
        </w:rPr>
        <w:t>.</w:t>
      </w:r>
    </w:p>
    <w:p w14:paraId="0CB0AF70" w14:textId="77777777" w:rsidR="00FC1FCF" w:rsidRPr="00CC5F6E" w:rsidRDefault="00FC1FCF" w:rsidP="00366D91">
      <w:pPr>
        <w:pStyle w:val="ListParagraph"/>
        <w:ind w:left="0"/>
        <w:jc w:val="both"/>
        <w:rPr>
          <w:rFonts w:ascii="Verdana" w:hAnsi="Verdana"/>
          <w:sz w:val="20"/>
          <w:szCs w:val="20"/>
        </w:rPr>
      </w:pPr>
    </w:p>
    <w:p w14:paraId="714703EC" w14:textId="4174FED2" w:rsidR="00FC1FCF" w:rsidRPr="002C323A" w:rsidRDefault="00FC1FCF" w:rsidP="00FC1FCF">
      <w:pPr>
        <w:pStyle w:val="ListParagraph"/>
        <w:numPr>
          <w:ilvl w:val="0"/>
          <w:numId w:val="2"/>
        </w:numPr>
        <w:ind w:left="0" w:hanging="11"/>
        <w:jc w:val="both"/>
        <w:rPr>
          <w:rFonts w:ascii="Verdana" w:hAnsi="Verdana"/>
          <w:b/>
          <w:sz w:val="20"/>
        </w:rPr>
      </w:pPr>
      <w:r>
        <w:rPr>
          <w:rFonts w:ascii="Verdana" w:hAnsi="Verdana"/>
          <w:sz w:val="20"/>
          <w:szCs w:val="20"/>
        </w:rPr>
        <w:t>En este sentido, l</w:t>
      </w:r>
      <w:r w:rsidRPr="00C02552">
        <w:rPr>
          <w:rFonts w:ascii="Verdana" w:hAnsi="Verdana"/>
          <w:sz w:val="20"/>
          <w:szCs w:val="20"/>
        </w:rPr>
        <w:t xml:space="preserve">a Corte constata que respecto de la Reserva de Galibi, existirían ciertos acuerdos que han permitido </w:t>
      </w:r>
      <w:r>
        <w:rPr>
          <w:rFonts w:ascii="Verdana" w:hAnsi="Verdana"/>
          <w:sz w:val="20"/>
          <w:szCs w:val="20"/>
        </w:rPr>
        <w:t xml:space="preserve">el acceso a la reserva, </w:t>
      </w:r>
      <w:r w:rsidRPr="00C02552">
        <w:rPr>
          <w:rFonts w:ascii="Verdana" w:hAnsi="Verdana"/>
          <w:sz w:val="20"/>
          <w:szCs w:val="20"/>
        </w:rPr>
        <w:t xml:space="preserve">la participación limitada de los </w:t>
      </w:r>
      <w:r w:rsidR="001C4C53">
        <w:rPr>
          <w:rFonts w:ascii="Verdana" w:hAnsi="Verdana"/>
          <w:sz w:val="20"/>
          <w:szCs w:val="20"/>
        </w:rPr>
        <w:lastRenderedPageBreak/>
        <w:t>P</w:t>
      </w:r>
      <w:r w:rsidRPr="00C02552">
        <w:rPr>
          <w:rFonts w:ascii="Verdana" w:hAnsi="Verdana"/>
          <w:sz w:val="20"/>
          <w:szCs w:val="20"/>
        </w:rPr>
        <w:t xml:space="preserve">ueblos Kaliña </w:t>
      </w:r>
      <w:r w:rsidR="00AE6FEA">
        <w:rPr>
          <w:rFonts w:ascii="Verdana" w:hAnsi="Verdana"/>
          <w:sz w:val="20"/>
          <w:szCs w:val="20"/>
        </w:rPr>
        <w:t xml:space="preserve">y Lokono </w:t>
      </w:r>
      <w:r>
        <w:rPr>
          <w:rFonts w:ascii="Verdana" w:hAnsi="Verdana"/>
          <w:sz w:val="20"/>
          <w:szCs w:val="20"/>
        </w:rPr>
        <w:t xml:space="preserve">en la conservación de la misma </w:t>
      </w:r>
      <w:r w:rsidRPr="00C02552">
        <w:rPr>
          <w:rFonts w:ascii="Verdana" w:hAnsi="Verdana"/>
          <w:sz w:val="20"/>
          <w:szCs w:val="20"/>
        </w:rPr>
        <w:t xml:space="preserve">y </w:t>
      </w:r>
      <w:r>
        <w:rPr>
          <w:rFonts w:ascii="Verdana" w:hAnsi="Verdana"/>
          <w:sz w:val="20"/>
          <w:szCs w:val="20"/>
        </w:rPr>
        <w:t xml:space="preserve">la autorización para recibir </w:t>
      </w:r>
      <w:r w:rsidRPr="00C02552">
        <w:rPr>
          <w:rFonts w:ascii="Verdana" w:hAnsi="Verdana"/>
          <w:sz w:val="20"/>
          <w:szCs w:val="20"/>
        </w:rPr>
        <w:t>ciertos beneficios</w:t>
      </w:r>
      <w:r>
        <w:rPr>
          <w:rFonts w:ascii="Verdana" w:hAnsi="Verdana"/>
          <w:sz w:val="20"/>
          <w:szCs w:val="20"/>
        </w:rPr>
        <w:t xml:space="preserve"> (</w:t>
      </w:r>
      <w:r w:rsidR="00366D91" w:rsidRPr="00366D91">
        <w:rPr>
          <w:rFonts w:ascii="Verdana" w:hAnsi="Verdana"/>
          <w:i/>
          <w:sz w:val="20"/>
          <w:szCs w:val="20"/>
        </w:rPr>
        <w:t>supra</w:t>
      </w:r>
      <w:r>
        <w:rPr>
          <w:rFonts w:ascii="Verdana" w:hAnsi="Verdana"/>
          <w:sz w:val="20"/>
          <w:szCs w:val="20"/>
        </w:rPr>
        <w:t xml:space="preserve"> párr.</w:t>
      </w:r>
      <w:r w:rsidR="00AE6FEA">
        <w:rPr>
          <w:rFonts w:ascii="Verdana" w:hAnsi="Verdana"/>
          <w:sz w:val="20"/>
          <w:szCs w:val="20"/>
        </w:rPr>
        <w:t xml:space="preserve"> 79</w:t>
      </w:r>
      <w:r>
        <w:rPr>
          <w:rFonts w:ascii="Verdana" w:hAnsi="Verdana"/>
          <w:sz w:val="20"/>
          <w:szCs w:val="20"/>
        </w:rPr>
        <w:t xml:space="preserve">). Sin embargo, </w:t>
      </w:r>
      <w:r w:rsidRPr="00C02552">
        <w:rPr>
          <w:rFonts w:ascii="Verdana" w:hAnsi="Verdana"/>
          <w:sz w:val="20"/>
          <w:szCs w:val="20"/>
        </w:rPr>
        <w:t xml:space="preserve">dichos </w:t>
      </w:r>
      <w:r w:rsidRPr="00D97182">
        <w:rPr>
          <w:rFonts w:ascii="Verdana" w:hAnsi="Verdana"/>
          <w:sz w:val="20"/>
          <w:szCs w:val="20"/>
        </w:rPr>
        <w:t>acuerdo</w:t>
      </w:r>
      <w:r w:rsidR="002547E0" w:rsidRPr="00D97182">
        <w:rPr>
          <w:rFonts w:ascii="Verdana" w:hAnsi="Verdana"/>
          <w:sz w:val="20"/>
          <w:szCs w:val="20"/>
        </w:rPr>
        <w:t>s</w:t>
      </w:r>
      <w:r w:rsidRPr="00D97182">
        <w:rPr>
          <w:rFonts w:ascii="Verdana" w:hAnsi="Verdana"/>
          <w:sz w:val="20"/>
          <w:szCs w:val="20"/>
        </w:rPr>
        <w:t xml:space="preserve"> n</w:t>
      </w:r>
      <w:r w:rsidRPr="00C02552">
        <w:rPr>
          <w:rFonts w:ascii="Verdana" w:hAnsi="Verdana"/>
          <w:sz w:val="20"/>
          <w:szCs w:val="20"/>
        </w:rPr>
        <w:t>o constan de manera formal</w:t>
      </w:r>
      <w:r>
        <w:rPr>
          <w:rFonts w:ascii="Verdana" w:hAnsi="Verdana"/>
          <w:sz w:val="20"/>
          <w:szCs w:val="20"/>
        </w:rPr>
        <w:t xml:space="preserve">, a fin de garantizarlos en el tiempo y de acuerdo a todos los </w:t>
      </w:r>
      <w:r w:rsidR="00027F86">
        <w:rPr>
          <w:rFonts w:ascii="Verdana" w:hAnsi="Verdana"/>
          <w:sz w:val="20"/>
          <w:szCs w:val="20"/>
        </w:rPr>
        <w:t>criterios</w:t>
      </w:r>
      <w:r>
        <w:rPr>
          <w:rFonts w:ascii="Verdana" w:hAnsi="Verdana"/>
          <w:sz w:val="20"/>
          <w:szCs w:val="20"/>
        </w:rPr>
        <w:t xml:space="preserve"> que serían aplicables</w:t>
      </w:r>
      <w:r w:rsidR="00027F86">
        <w:rPr>
          <w:rFonts w:ascii="Verdana" w:hAnsi="Verdana"/>
          <w:sz w:val="20"/>
          <w:szCs w:val="20"/>
        </w:rPr>
        <w:t xml:space="preserve">, </w:t>
      </w:r>
      <w:r w:rsidR="00027F86" w:rsidRPr="00190AD3">
        <w:rPr>
          <w:rFonts w:ascii="Verdana" w:hAnsi="Verdana"/>
          <w:sz w:val="20"/>
        </w:rPr>
        <w:t>y la Comisión de Dialogo</w:t>
      </w:r>
      <w:r w:rsidR="005014B5" w:rsidRPr="00190AD3">
        <w:rPr>
          <w:rFonts w:ascii="Verdana" w:hAnsi="Verdana"/>
          <w:sz w:val="20"/>
        </w:rPr>
        <w:t xml:space="preserve"> </w:t>
      </w:r>
      <w:r w:rsidR="004A262D">
        <w:rPr>
          <w:rFonts w:ascii="Verdana" w:hAnsi="Verdana"/>
          <w:sz w:val="20"/>
        </w:rPr>
        <w:t xml:space="preserve">se encuentra inactiva </w:t>
      </w:r>
      <w:r w:rsidR="004A262D">
        <w:rPr>
          <w:rFonts w:ascii="Verdana" w:hAnsi="Verdana"/>
          <w:sz w:val="20"/>
          <w:szCs w:val="20"/>
        </w:rPr>
        <w:t>(</w:t>
      </w:r>
      <w:r w:rsidR="004A262D" w:rsidRPr="00366D91">
        <w:rPr>
          <w:rFonts w:ascii="Verdana" w:hAnsi="Verdana"/>
          <w:i/>
          <w:sz w:val="20"/>
          <w:szCs w:val="20"/>
        </w:rPr>
        <w:t>supra</w:t>
      </w:r>
      <w:r w:rsidR="004A262D">
        <w:rPr>
          <w:rFonts w:ascii="Verdana" w:hAnsi="Verdana"/>
          <w:i/>
          <w:sz w:val="20"/>
          <w:szCs w:val="20"/>
        </w:rPr>
        <w:t xml:space="preserve"> </w:t>
      </w:r>
      <w:r w:rsidR="004A262D" w:rsidRPr="007E20F9">
        <w:rPr>
          <w:rFonts w:ascii="Verdana" w:hAnsi="Verdana"/>
          <w:sz w:val="20"/>
          <w:szCs w:val="20"/>
        </w:rPr>
        <w:t>párr</w:t>
      </w:r>
      <w:r w:rsidR="00D97182">
        <w:rPr>
          <w:rFonts w:ascii="Verdana" w:hAnsi="Verdana"/>
          <w:sz w:val="20"/>
          <w:szCs w:val="20"/>
        </w:rPr>
        <w:t>s</w:t>
      </w:r>
      <w:r w:rsidR="004A262D" w:rsidRPr="007E20F9">
        <w:rPr>
          <w:rFonts w:ascii="Verdana" w:hAnsi="Verdana"/>
          <w:sz w:val="20"/>
          <w:szCs w:val="20"/>
        </w:rPr>
        <w:t>.</w:t>
      </w:r>
      <w:r w:rsidR="004A262D">
        <w:rPr>
          <w:rFonts w:ascii="Verdana" w:hAnsi="Verdana"/>
          <w:sz w:val="20"/>
          <w:szCs w:val="20"/>
        </w:rPr>
        <w:t xml:space="preserve"> 79</w:t>
      </w:r>
      <w:r w:rsidR="00D97182">
        <w:rPr>
          <w:rFonts w:ascii="Verdana" w:hAnsi="Verdana"/>
          <w:sz w:val="20"/>
          <w:szCs w:val="20"/>
        </w:rPr>
        <w:t xml:space="preserve"> y 183</w:t>
      </w:r>
      <w:r w:rsidR="004A262D">
        <w:rPr>
          <w:rFonts w:ascii="Verdana" w:hAnsi="Verdana"/>
          <w:sz w:val="20"/>
          <w:szCs w:val="20"/>
        </w:rPr>
        <w:t>).</w:t>
      </w:r>
      <w:r w:rsidR="005014B5" w:rsidRPr="00190AD3">
        <w:rPr>
          <w:rFonts w:ascii="Verdana" w:hAnsi="Verdana"/>
          <w:sz w:val="20"/>
        </w:rPr>
        <w:t xml:space="preserve"> En este sentido, </w:t>
      </w:r>
      <w:r w:rsidR="00794A91" w:rsidRPr="00190AD3">
        <w:rPr>
          <w:rFonts w:ascii="Verdana" w:hAnsi="Verdana"/>
          <w:sz w:val="20"/>
        </w:rPr>
        <w:t>los representantes insistieron en que</w:t>
      </w:r>
      <w:r w:rsidR="005014B5" w:rsidRPr="00190AD3">
        <w:rPr>
          <w:rFonts w:ascii="Verdana" w:hAnsi="Verdana"/>
          <w:sz w:val="20"/>
        </w:rPr>
        <w:t xml:space="preserve"> la Ley aplicable a la Reserva de Galibi sería la de 1954</w:t>
      </w:r>
      <w:r w:rsidR="00881C94">
        <w:rPr>
          <w:rFonts w:ascii="Verdana" w:hAnsi="Verdana"/>
          <w:sz w:val="20"/>
        </w:rPr>
        <w:t>,</w:t>
      </w:r>
      <w:r w:rsidR="005014B5" w:rsidRPr="00190AD3">
        <w:rPr>
          <w:rFonts w:ascii="Verdana" w:hAnsi="Verdana"/>
          <w:sz w:val="20"/>
        </w:rPr>
        <w:t xml:space="preserve"> que expresamente prohíbe la caza y pesca</w:t>
      </w:r>
      <w:r w:rsidR="003F3419" w:rsidRPr="00190AD3">
        <w:rPr>
          <w:rFonts w:ascii="Verdana" w:hAnsi="Verdana"/>
          <w:sz w:val="20"/>
        </w:rPr>
        <w:t xml:space="preserve"> dentro de la misma.</w:t>
      </w:r>
    </w:p>
    <w:p w14:paraId="4C6E6354" w14:textId="77777777" w:rsidR="00027F86" w:rsidRPr="00190AD3" w:rsidRDefault="00027F86" w:rsidP="002C323A">
      <w:pPr>
        <w:pStyle w:val="ListParagraph"/>
        <w:rPr>
          <w:rFonts w:ascii="Verdana" w:hAnsi="Verdana"/>
          <w:sz w:val="20"/>
        </w:rPr>
      </w:pPr>
    </w:p>
    <w:p w14:paraId="41E56B40" w14:textId="40609D39" w:rsidR="00027F86" w:rsidRPr="00190AD3" w:rsidRDefault="00027F86" w:rsidP="00190AD3">
      <w:pPr>
        <w:pStyle w:val="ListParagraph"/>
        <w:numPr>
          <w:ilvl w:val="0"/>
          <w:numId w:val="2"/>
        </w:numPr>
        <w:ind w:left="0" w:hanging="11"/>
        <w:jc w:val="both"/>
        <w:rPr>
          <w:rFonts w:ascii="Verdana" w:hAnsi="Verdana"/>
          <w:sz w:val="20"/>
        </w:rPr>
      </w:pPr>
      <w:r w:rsidRPr="00190AD3">
        <w:rPr>
          <w:rFonts w:ascii="Verdana" w:hAnsi="Verdana"/>
          <w:sz w:val="20"/>
        </w:rPr>
        <w:t>Al respecto, la Corte verificó que la Ley de Protección de la Naturaleza de 1954 prohibía actividades de caza y pesca en las reservas. Sin embargo, con el Decreto de 1986 se reconoció la protección a los pueblos indígenas y tribales que habitaban en ciertas reservas naturales (</w:t>
      </w:r>
      <w:r w:rsidRPr="00190AD3">
        <w:rPr>
          <w:rFonts w:ascii="Verdana" w:hAnsi="Verdana"/>
          <w:i/>
          <w:sz w:val="20"/>
        </w:rPr>
        <w:t>supra</w:t>
      </w:r>
      <w:r w:rsidRPr="00190AD3">
        <w:rPr>
          <w:rFonts w:ascii="Verdana" w:hAnsi="Verdana"/>
          <w:sz w:val="20"/>
        </w:rPr>
        <w:t xml:space="preserve"> párr</w:t>
      </w:r>
      <w:r w:rsidR="00881C94">
        <w:rPr>
          <w:rFonts w:ascii="Verdana" w:hAnsi="Verdana"/>
          <w:sz w:val="20"/>
        </w:rPr>
        <w:t xml:space="preserve">. 83) </w:t>
      </w:r>
      <w:r w:rsidRPr="00190AD3">
        <w:rPr>
          <w:rFonts w:ascii="Verdana" w:hAnsi="Verdana"/>
          <w:sz w:val="20"/>
        </w:rPr>
        <w:t xml:space="preserve">sin haber realizado una alusión expresa de la Reserva de Galibi. No obstante, el Estado refirió </w:t>
      </w:r>
      <w:r w:rsidR="00794A91" w:rsidRPr="00190AD3">
        <w:rPr>
          <w:rFonts w:ascii="Verdana" w:hAnsi="Verdana"/>
          <w:sz w:val="20"/>
        </w:rPr>
        <w:t xml:space="preserve">someramente </w:t>
      </w:r>
      <w:r w:rsidRPr="00190AD3">
        <w:rPr>
          <w:rFonts w:ascii="Verdana" w:hAnsi="Verdana"/>
          <w:sz w:val="20"/>
        </w:rPr>
        <w:t xml:space="preserve">que con la implementación de dicho Decreto de 1986 se habría aplicado la misma protección de manera general para todas las reservas, lo cual no quedó acreditado por ninguna medida probatoria ante esta Corte o en la diligencia </w:t>
      </w:r>
      <w:r w:rsidRPr="00190AD3">
        <w:rPr>
          <w:rFonts w:ascii="Verdana" w:hAnsi="Verdana"/>
          <w:i/>
          <w:sz w:val="20"/>
        </w:rPr>
        <w:t>in situ</w:t>
      </w:r>
      <w:r w:rsidR="00794A91" w:rsidRPr="00190AD3">
        <w:rPr>
          <w:rFonts w:ascii="Verdana" w:hAnsi="Verdana"/>
          <w:sz w:val="20"/>
        </w:rPr>
        <w:t xml:space="preserve">. Derivado de lo anterior se </w:t>
      </w:r>
      <w:r w:rsidR="00794A91" w:rsidRPr="00190AD3">
        <w:rPr>
          <w:rFonts w:ascii="Verdana" w:hAnsi="Verdana"/>
          <w:sz w:val="20"/>
          <w:szCs w:val="20"/>
        </w:rPr>
        <w:t>de</w:t>
      </w:r>
      <w:r w:rsidR="00656AB9" w:rsidRPr="00190AD3">
        <w:rPr>
          <w:rFonts w:ascii="Verdana" w:hAnsi="Verdana"/>
          <w:sz w:val="20"/>
          <w:szCs w:val="20"/>
        </w:rPr>
        <w:t>s</w:t>
      </w:r>
      <w:r w:rsidR="00794A91" w:rsidRPr="00190AD3">
        <w:rPr>
          <w:rFonts w:ascii="Verdana" w:hAnsi="Verdana"/>
          <w:sz w:val="20"/>
          <w:szCs w:val="20"/>
        </w:rPr>
        <w:t>prende</w:t>
      </w:r>
      <w:r w:rsidR="00794A91" w:rsidRPr="00190AD3">
        <w:rPr>
          <w:rFonts w:ascii="Verdana" w:hAnsi="Verdana"/>
          <w:sz w:val="20"/>
        </w:rPr>
        <w:t xml:space="preserve"> una situación de inseguridad jurídica respecto de los derechos reconocidos en dicha reserva.</w:t>
      </w:r>
    </w:p>
    <w:p w14:paraId="19505902" w14:textId="77777777" w:rsidR="00FC1FCF" w:rsidRDefault="00FC1FCF" w:rsidP="00FC1FCF">
      <w:pPr>
        <w:jc w:val="both"/>
        <w:rPr>
          <w:rFonts w:ascii="Verdana" w:hAnsi="Verdana"/>
          <w:sz w:val="20"/>
          <w:szCs w:val="20"/>
        </w:rPr>
      </w:pPr>
    </w:p>
    <w:p w14:paraId="3A7364A3" w14:textId="77777777" w:rsidR="00FC1FCF" w:rsidRDefault="00FC1FCF" w:rsidP="00FC1FCF">
      <w:pPr>
        <w:pStyle w:val="ListParagraph"/>
        <w:numPr>
          <w:ilvl w:val="0"/>
          <w:numId w:val="2"/>
        </w:numPr>
        <w:ind w:left="0" w:hanging="11"/>
        <w:jc w:val="both"/>
        <w:rPr>
          <w:rFonts w:ascii="Verdana" w:hAnsi="Verdana"/>
          <w:sz w:val="20"/>
        </w:rPr>
      </w:pPr>
      <w:r w:rsidRPr="00656AB9">
        <w:rPr>
          <w:rFonts w:ascii="Verdana" w:hAnsi="Verdana"/>
          <w:sz w:val="20"/>
          <w:szCs w:val="20"/>
        </w:rPr>
        <w:t xml:space="preserve">Por </w:t>
      </w:r>
      <w:r w:rsidR="00794A91" w:rsidRPr="00656AB9">
        <w:rPr>
          <w:rFonts w:ascii="Verdana" w:hAnsi="Verdana"/>
          <w:sz w:val="20"/>
          <w:szCs w:val="20"/>
        </w:rPr>
        <w:t xml:space="preserve">otra </w:t>
      </w:r>
      <w:r w:rsidRPr="00656AB9">
        <w:rPr>
          <w:rFonts w:ascii="Verdana" w:hAnsi="Verdana"/>
          <w:sz w:val="20"/>
          <w:szCs w:val="20"/>
        </w:rPr>
        <w:t xml:space="preserve">parte, </w:t>
      </w:r>
      <w:r w:rsidR="00794A91" w:rsidRPr="00656AB9">
        <w:rPr>
          <w:rFonts w:ascii="Verdana" w:hAnsi="Verdana"/>
          <w:sz w:val="20"/>
          <w:szCs w:val="20"/>
        </w:rPr>
        <w:t xml:space="preserve">respecto de la Reserva de Wane Kreek, </w:t>
      </w:r>
      <w:r w:rsidRPr="00656AB9">
        <w:rPr>
          <w:rFonts w:ascii="Verdana" w:hAnsi="Verdana"/>
          <w:sz w:val="20"/>
          <w:szCs w:val="20"/>
        </w:rPr>
        <w:t xml:space="preserve">el Estado no demostró </w:t>
      </w:r>
      <w:r w:rsidR="00124B30" w:rsidRPr="00190AD3">
        <w:rPr>
          <w:rFonts w:ascii="Verdana" w:hAnsi="Verdana"/>
          <w:sz w:val="20"/>
        </w:rPr>
        <w:t>contar con mecanismos de participación efectiva</w:t>
      </w:r>
      <w:r w:rsidR="00124B30" w:rsidRPr="00656AB9">
        <w:rPr>
          <w:rFonts w:ascii="Verdana" w:hAnsi="Verdana"/>
          <w:sz w:val="20"/>
          <w:szCs w:val="20"/>
        </w:rPr>
        <w:t xml:space="preserve"> </w:t>
      </w:r>
      <w:r w:rsidRPr="00656AB9">
        <w:rPr>
          <w:rFonts w:ascii="Verdana" w:hAnsi="Verdana"/>
          <w:sz w:val="20"/>
          <w:szCs w:val="20"/>
        </w:rPr>
        <w:t xml:space="preserve">para los </w:t>
      </w:r>
      <w:r w:rsidR="00382F4D" w:rsidRPr="00656AB9">
        <w:rPr>
          <w:rFonts w:ascii="Verdana" w:hAnsi="Verdana"/>
          <w:sz w:val="20"/>
          <w:szCs w:val="20"/>
        </w:rPr>
        <w:t>Pueblos Kaliña y Lokono</w:t>
      </w:r>
      <w:r w:rsidRPr="00656AB9">
        <w:rPr>
          <w:rFonts w:ascii="Verdana" w:hAnsi="Verdana"/>
          <w:sz w:val="20"/>
          <w:szCs w:val="20"/>
        </w:rPr>
        <w:t xml:space="preserve"> (</w:t>
      </w:r>
      <w:r w:rsidR="007829DF" w:rsidRPr="00656AB9">
        <w:rPr>
          <w:rFonts w:ascii="Verdana" w:hAnsi="Verdana"/>
          <w:i/>
          <w:sz w:val="20"/>
          <w:szCs w:val="20"/>
        </w:rPr>
        <w:t>infra</w:t>
      </w:r>
      <w:r w:rsidRPr="00656AB9">
        <w:rPr>
          <w:rFonts w:ascii="Verdana" w:hAnsi="Verdana"/>
          <w:sz w:val="20"/>
          <w:szCs w:val="20"/>
        </w:rPr>
        <w:t xml:space="preserve"> párr</w:t>
      </w:r>
      <w:r w:rsidR="00093AF9" w:rsidRPr="00656AB9">
        <w:rPr>
          <w:rFonts w:ascii="Verdana" w:hAnsi="Verdana"/>
          <w:sz w:val="20"/>
          <w:szCs w:val="20"/>
        </w:rPr>
        <w:t>.</w:t>
      </w:r>
      <w:r w:rsidR="00881C94">
        <w:rPr>
          <w:rFonts w:ascii="Verdana" w:hAnsi="Verdana"/>
          <w:sz w:val="20"/>
          <w:szCs w:val="20"/>
        </w:rPr>
        <w:t xml:space="preserve"> 200</w:t>
      </w:r>
      <w:r w:rsidRPr="00656AB9">
        <w:rPr>
          <w:rFonts w:ascii="Verdana" w:hAnsi="Verdana"/>
          <w:sz w:val="20"/>
          <w:szCs w:val="20"/>
        </w:rPr>
        <w:t>)</w:t>
      </w:r>
      <w:r w:rsidR="001F6C57" w:rsidRPr="00656AB9">
        <w:rPr>
          <w:rFonts w:ascii="Verdana" w:hAnsi="Verdana"/>
          <w:sz w:val="20"/>
          <w:szCs w:val="20"/>
        </w:rPr>
        <w:t xml:space="preserve">, </w:t>
      </w:r>
      <w:r w:rsidR="001F6C57" w:rsidRPr="00190AD3">
        <w:rPr>
          <w:rFonts w:ascii="Verdana" w:hAnsi="Verdana"/>
          <w:sz w:val="20"/>
        </w:rPr>
        <w:t>sino que el Estado ha gestionado la misma sin haber</w:t>
      </w:r>
      <w:r w:rsidR="00881C94">
        <w:rPr>
          <w:rFonts w:ascii="Verdana" w:hAnsi="Verdana"/>
          <w:sz w:val="20"/>
        </w:rPr>
        <w:t xml:space="preserve"> contado</w:t>
      </w:r>
      <w:r w:rsidR="001F6C57" w:rsidRPr="00190AD3">
        <w:rPr>
          <w:rFonts w:ascii="Verdana" w:hAnsi="Verdana"/>
          <w:sz w:val="20"/>
        </w:rPr>
        <w:t xml:space="preserve"> con la participación de las comunidades vecinas Kaliña y Lokono. </w:t>
      </w:r>
    </w:p>
    <w:p w14:paraId="77E8A2EB" w14:textId="77777777" w:rsidR="00164F52" w:rsidRPr="00190AD3" w:rsidRDefault="00164F52" w:rsidP="00190AD3">
      <w:pPr>
        <w:pStyle w:val="ListParagraph"/>
        <w:rPr>
          <w:rFonts w:ascii="Verdana" w:hAnsi="Verdana"/>
          <w:sz w:val="20"/>
        </w:rPr>
      </w:pPr>
    </w:p>
    <w:p w14:paraId="32BF0C2E" w14:textId="77777777" w:rsidR="001F6C57" w:rsidRPr="00190AD3" w:rsidRDefault="001F6C57" w:rsidP="00190AD3">
      <w:pPr>
        <w:pStyle w:val="ListParagraph"/>
        <w:numPr>
          <w:ilvl w:val="0"/>
          <w:numId w:val="2"/>
        </w:numPr>
        <w:ind w:left="0" w:hanging="11"/>
        <w:jc w:val="both"/>
        <w:rPr>
          <w:rFonts w:ascii="Verdana" w:hAnsi="Verdana"/>
          <w:sz w:val="20"/>
        </w:rPr>
      </w:pPr>
      <w:r w:rsidRPr="00190AD3">
        <w:rPr>
          <w:rFonts w:ascii="Verdana" w:hAnsi="Verdana"/>
          <w:sz w:val="20"/>
        </w:rPr>
        <w:t xml:space="preserve">Al respecto, la Corte recuerda que el artículo 23 de la Convención Americana dispone el deber de gozar de los derechos y oportunidades “de participar en la dirección de los asuntos públicos […]”. En este sentido, la participación en la conservación del medio ambiente para las comunidades indígenas resulta </w:t>
      </w:r>
      <w:r w:rsidR="00390F65" w:rsidRPr="00190AD3">
        <w:rPr>
          <w:rFonts w:ascii="Verdana" w:hAnsi="Verdana"/>
          <w:sz w:val="20"/>
        </w:rPr>
        <w:t xml:space="preserve">no sólo en un asunto de interés público sino parte del ejercicio de su derecho </w:t>
      </w:r>
      <w:r w:rsidR="00656AB9" w:rsidRPr="00190AD3">
        <w:rPr>
          <w:rFonts w:ascii="Verdana" w:hAnsi="Verdana"/>
          <w:sz w:val="20"/>
        </w:rPr>
        <w:t xml:space="preserve">como pueblos indígenas </w:t>
      </w:r>
      <w:r w:rsidR="00390F65" w:rsidRPr="00190AD3">
        <w:rPr>
          <w:rFonts w:ascii="Verdana" w:hAnsi="Verdana"/>
          <w:sz w:val="20"/>
        </w:rPr>
        <w:t>a participar en la adopción de decisiones en las cuestiones que afectan sus derechos, de conformidad con sus propios procedimientos e instituciones</w:t>
      </w:r>
      <w:r w:rsidR="00390F65" w:rsidRPr="00190AD3">
        <w:rPr>
          <w:rStyle w:val="FootnoteReference"/>
        </w:rPr>
        <w:footnoteReference w:id="236"/>
      </w:r>
      <w:r w:rsidR="00390F65" w:rsidRPr="00190AD3">
        <w:rPr>
          <w:rFonts w:ascii="Verdana" w:hAnsi="Verdana"/>
          <w:sz w:val="20"/>
        </w:rPr>
        <w:t xml:space="preserve"> (</w:t>
      </w:r>
      <w:r w:rsidR="00390F65" w:rsidRPr="00190AD3">
        <w:rPr>
          <w:rFonts w:ascii="Verdana" w:hAnsi="Verdana"/>
          <w:i/>
          <w:sz w:val="20"/>
        </w:rPr>
        <w:t xml:space="preserve">supra </w:t>
      </w:r>
      <w:r w:rsidR="00390F65" w:rsidRPr="00190AD3">
        <w:rPr>
          <w:rFonts w:ascii="Verdana" w:hAnsi="Verdana"/>
          <w:sz w:val="20"/>
        </w:rPr>
        <w:t>párr</w:t>
      </w:r>
      <w:r w:rsidR="004A262D">
        <w:rPr>
          <w:rFonts w:ascii="Verdana" w:hAnsi="Verdana"/>
          <w:sz w:val="20"/>
        </w:rPr>
        <w:t>s</w:t>
      </w:r>
      <w:r w:rsidR="00390F65" w:rsidRPr="00190AD3">
        <w:rPr>
          <w:rFonts w:ascii="Verdana" w:hAnsi="Verdana"/>
          <w:sz w:val="20"/>
        </w:rPr>
        <w:t xml:space="preserve">. </w:t>
      </w:r>
      <w:r w:rsidR="004A262D">
        <w:rPr>
          <w:rFonts w:ascii="Verdana" w:hAnsi="Verdana"/>
          <w:sz w:val="20"/>
        </w:rPr>
        <w:t xml:space="preserve">178 y </w:t>
      </w:r>
      <w:r w:rsidR="00881C94">
        <w:rPr>
          <w:rFonts w:ascii="Verdana" w:hAnsi="Verdana"/>
          <w:sz w:val="20"/>
        </w:rPr>
        <w:t>180</w:t>
      </w:r>
      <w:r w:rsidR="00390F65" w:rsidRPr="00190AD3">
        <w:rPr>
          <w:rFonts w:ascii="Verdana" w:hAnsi="Verdana"/>
          <w:sz w:val="20"/>
        </w:rPr>
        <w:t>).</w:t>
      </w:r>
    </w:p>
    <w:p w14:paraId="66430F75" w14:textId="77777777" w:rsidR="001F6C57" w:rsidRPr="00C02552" w:rsidRDefault="001F6C57" w:rsidP="00FC1FCF">
      <w:pPr>
        <w:jc w:val="both"/>
        <w:rPr>
          <w:rFonts w:ascii="Verdana" w:hAnsi="Verdana"/>
          <w:sz w:val="20"/>
          <w:szCs w:val="20"/>
        </w:rPr>
      </w:pPr>
    </w:p>
    <w:p w14:paraId="35B4F809" w14:textId="77777777" w:rsidR="0025095F" w:rsidRDefault="00FC1FCF" w:rsidP="00842770">
      <w:pPr>
        <w:pStyle w:val="ListParagraph"/>
        <w:numPr>
          <w:ilvl w:val="0"/>
          <w:numId w:val="2"/>
        </w:numPr>
        <w:ind w:left="0" w:hanging="11"/>
        <w:jc w:val="both"/>
        <w:rPr>
          <w:rFonts w:ascii="Verdana" w:hAnsi="Verdana"/>
          <w:sz w:val="20"/>
          <w:szCs w:val="20"/>
        </w:rPr>
      </w:pPr>
      <w:r w:rsidRPr="00C02552">
        <w:rPr>
          <w:rFonts w:ascii="Verdana" w:hAnsi="Verdana"/>
          <w:sz w:val="20"/>
          <w:szCs w:val="20"/>
        </w:rPr>
        <w:t>En vista de lo anterior, la Corte estima que, para efectos del presente caso, no se configur</w:t>
      </w:r>
      <w:r w:rsidR="001F6C57">
        <w:rPr>
          <w:rFonts w:ascii="Verdana" w:hAnsi="Verdana"/>
          <w:sz w:val="20"/>
          <w:szCs w:val="20"/>
        </w:rPr>
        <w:t>ó</w:t>
      </w:r>
      <w:r w:rsidRPr="00C02552">
        <w:rPr>
          <w:rFonts w:ascii="Verdana" w:hAnsi="Verdana"/>
          <w:sz w:val="20"/>
          <w:szCs w:val="20"/>
        </w:rPr>
        <w:t xml:space="preserve"> la violación por la falta de control y manejo exclusivo de la reserva</w:t>
      </w:r>
      <w:r>
        <w:rPr>
          <w:rFonts w:ascii="Verdana" w:hAnsi="Verdana"/>
          <w:sz w:val="20"/>
          <w:szCs w:val="20"/>
        </w:rPr>
        <w:t xml:space="preserve"> </w:t>
      </w:r>
      <w:r w:rsidR="00002D4E">
        <w:rPr>
          <w:rFonts w:ascii="Verdana" w:hAnsi="Verdana"/>
          <w:sz w:val="20"/>
          <w:szCs w:val="20"/>
        </w:rPr>
        <w:t>por parte de</w:t>
      </w:r>
      <w:r>
        <w:rPr>
          <w:rFonts w:ascii="Verdana" w:hAnsi="Verdana"/>
          <w:sz w:val="20"/>
          <w:szCs w:val="20"/>
        </w:rPr>
        <w:t xml:space="preserve"> los pueblos indígenas</w:t>
      </w:r>
      <w:r w:rsidRPr="00C02552">
        <w:rPr>
          <w:rFonts w:ascii="Verdana" w:hAnsi="Verdana"/>
          <w:sz w:val="20"/>
          <w:szCs w:val="20"/>
        </w:rPr>
        <w:t xml:space="preserve">. Sin embargo, la falta de </w:t>
      </w:r>
      <w:r>
        <w:rPr>
          <w:rFonts w:ascii="Verdana" w:hAnsi="Verdana"/>
          <w:sz w:val="20"/>
          <w:szCs w:val="20"/>
        </w:rPr>
        <w:t xml:space="preserve">mecanismos </w:t>
      </w:r>
      <w:r w:rsidR="001C4C53">
        <w:rPr>
          <w:rFonts w:ascii="Verdana" w:hAnsi="Verdana"/>
          <w:sz w:val="20"/>
          <w:szCs w:val="20"/>
        </w:rPr>
        <w:t xml:space="preserve">expresos </w:t>
      </w:r>
      <w:r w:rsidR="00CC5F6E">
        <w:rPr>
          <w:rFonts w:ascii="Verdana" w:hAnsi="Verdana"/>
          <w:sz w:val="20"/>
          <w:szCs w:val="20"/>
        </w:rPr>
        <w:t>que garanti</w:t>
      </w:r>
      <w:r w:rsidR="00CC5F6E" w:rsidRPr="00656AB9">
        <w:rPr>
          <w:rFonts w:ascii="Verdana" w:hAnsi="Verdana"/>
          <w:sz w:val="20"/>
          <w:szCs w:val="20"/>
        </w:rPr>
        <w:t xml:space="preserve">cen </w:t>
      </w:r>
      <w:r w:rsidR="00B84530" w:rsidRPr="00190AD3">
        <w:rPr>
          <w:rFonts w:ascii="Verdana" w:hAnsi="Verdana"/>
          <w:sz w:val="20"/>
        </w:rPr>
        <w:t>el acceso</w:t>
      </w:r>
      <w:r w:rsidR="00656AB9" w:rsidRPr="00190AD3">
        <w:rPr>
          <w:rFonts w:ascii="Verdana" w:hAnsi="Verdana"/>
          <w:sz w:val="20"/>
        </w:rPr>
        <w:t>, uso</w:t>
      </w:r>
      <w:r w:rsidR="00B84530" w:rsidRPr="00190AD3">
        <w:rPr>
          <w:rFonts w:ascii="Verdana" w:hAnsi="Verdana"/>
          <w:sz w:val="20"/>
        </w:rPr>
        <w:t xml:space="preserve"> y </w:t>
      </w:r>
      <w:r w:rsidR="00027F86" w:rsidRPr="00190AD3">
        <w:rPr>
          <w:rFonts w:ascii="Verdana" w:hAnsi="Verdana"/>
          <w:sz w:val="20"/>
        </w:rPr>
        <w:t xml:space="preserve">la participación efectiva de los pueblos indígenas </w:t>
      </w:r>
      <w:r w:rsidR="00124B30" w:rsidRPr="00190AD3">
        <w:rPr>
          <w:rFonts w:ascii="Verdana" w:hAnsi="Verdana"/>
          <w:sz w:val="20"/>
        </w:rPr>
        <w:t xml:space="preserve">Kaliña y Lokono </w:t>
      </w:r>
      <w:r w:rsidR="00027F86" w:rsidRPr="00190AD3">
        <w:rPr>
          <w:rFonts w:ascii="Verdana" w:hAnsi="Verdana"/>
          <w:sz w:val="20"/>
        </w:rPr>
        <w:t xml:space="preserve">en la </w:t>
      </w:r>
      <w:r w:rsidR="00B84530" w:rsidRPr="00190AD3">
        <w:rPr>
          <w:rFonts w:ascii="Verdana" w:hAnsi="Verdana"/>
          <w:sz w:val="20"/>
        </w:rPr>
        <w:t xml:space="preserve">conservación de las </w:t>
      </w:r>
      <w:r w:rsidR="001F6C57" w:rsidRPr="00190AD3">
        <w:rPr>
          <w:rFonts w:ascii="Verdana" w:hAnsi="Verdana"/>
          <w:sz w:val="20"/>
        </w:rPr>
        <w:t>referidas</w:t>
      </w:r>
      <w:r w:rsidR="00B84530" w:rsidRPr="00190AD3">
        <w:rPr>
          <w:rFonts w:ascii="Verdana" w:hAnsi="Verdana"/>
          <w:sz w:val="20"/>
        </w:rPr>
        <w:t xml:space="preserve"> reservas y sus beneficios</w:t>
      </w:r>
      <w:r w:rsidR="00656AB9" w:rsidRPr="00190AD3">
        <w:rPr>
          <w:rFonts w:ascii="Verdana" w:hAnsi="Verdana"/>
          <w:sz w:val="20"/>
        </w:rPr>
        <w:t>,</w:t>
      </w:r>
      <w:r w:rsidR="00027F86" w:rsidRPr="00190AD3">
        <w:rPr>
          <w:rFonts w:ascii="Verdana" w:hAnsi="Verdana"/>
          <w:sz w:val="20"/>
        </w:rPr>
        <w:t xml:space="preserve"> </w:t>
      </w:r>
      <w:r w:rsidRPr="00190AD3">
        <w:rPr>
          <w:rFonts w:ascii="Verdana" w:hAnsi="Verdana"/>
          <w:sz w:val="20"/>
        </w:rPr>
        <w:t xml:space="preserve">configura </w:t>
      </w:r>
      <w:r w:rsidR="00124B30" w:rsidRPr="00190AD3">
        <w:rPr>
          <w:rFonts w:ascii="Verdana" w:hAnsi="Verdana"/>
          <w:sz w:val="20"/>
        </w:rPr>
        <w:t>una violación</w:t>
      </w:r>
      <w:r w:rsidR="00F32493" w:rsidRPr="00190AD3">
        <w:rPr>
          <w:rFonts w:ascii="Verdana" w:hAnsi="Verdana"/>
          <w:sz w:val="20"/>
        </w:rPr>
        <w:t xml:space="preserve"> del</w:t>
      </w:r>
      <w:r w:rsidR="00124B30" w:rsidRPr="00190AD3">
        <w:rPr>
          <w:rFonts w:ascii="Verdana" w:hAnsi="Verdana"/>
          <w:sz w:val="20"/>
        </w:rPr>
        <w:t xml:space="preserve"> deber </w:t>
      </w:r>
      <w:r w:rsidR="00F32493" w:rsidRPr="00190AD3">
        <w:rPr>
          <w:rFonts w:ascii="Verdana" w:hAnsi="Verdana"/>
          <w:sz w:val="20"/>
        </w:rPr>
        <w:t xml:space="preserve">de adoptar </w:t>
      </w:r>
      <w:r w:rsidR="00881C94">
        <w:rPr>
          <w:rFonts w:ascii="Verdana" w:hAnsi="Verdana"/>
          <w:sz w:val="20"/>
        </w:rPr>
        <w:t xml:space="preserve">las </w:t>
      </w:r>
      <w:r w:rsidR="00F32493" w:rsidRPr="00190AD3">
        <w:rPr>
          <w:rFonts w:ascii="Verdana" w:hAnsi="Verdana"/>
          <w:sz w:val="20"/>
        </w:rPr>
        <w:t xml:space="preserve">disposiciones </w:t>
      </w:r>
      <w:r w:rsidR="00656AB9" w:rsidRPr="00190AD3">
        <w:rPr>
          <w:rFonts w:ascii="Verdana" w:hAnsi="Verdana"/>
          <w:sz w:val="20"/>
          <w:szCs w:val="20"/>
        </w:rPr>
        <w:t>que fueren necesarias para hacer efectiv</w:t>
      </w:r>
      <w:r w:rsidR="00881C94">
        <w:rPr>
          <w:rFonts w:ascii="Verdana" w:hAnsi="Verdana"/>
          <w:sz w:val="20"/>
          <w:szCs w:val="20"/>
        </w:rPr>
        <w:t>as</w:t>
      </w:r>
      <w:r w:rsidR="00656AB9" w:rsidRPr="00190AD3">
        <w:rPr>
          <w:rFonts w:ascii="Verdana" w:hAnsi="Verdana"/>
          <w:sz w:val="20"/>
          <w:szCs w:val="20"/>
        </w:rPr>
        <w:t xml:space="preserve"> tales medidas</w:t>
      </w:r>
      <w:r w:rsidR="00F32493" w:rsidRPr="00190AD3">
        <w:rPr>
          <w:rFonts w:ascii="Verdana" w:hAnsi="Verdana"/>
          <w:sz w:val="20"/>
        </w:rPr>
        <w:t>, a fin de</w:t>
      </w:r>
      <w:r w:rsidR="00124B30" w:rsidRPr="00190AD3">
        <w:rPr>
          <w:rFonts w:ascii="Verdana" w:hAnsi="Verdana"/>
          <w:sz w:val="20"/>
        </w:rPr>
        <w:t xml:space="preserve"> </w:t>
      </w:r>
      <w:r w:rsidR="00F32493" w:rsidRPr="00190AD3">
        <w:rPr>
          <w:rFonts w:ascii="Verdana" w:hAnsi="Verdana"/>
          <w:sz w:val="20"/>
        </w:rPr>
        <w:t xml:space="preserve">garantizar </w:t>
      </w:r>
      <w:r w:rsidR="00124B30" w:rsidRPr="00190AD3">
        <w:rPr>
          <w:rFonts w:ascii="Verdana" w:hAnsi="Verdana"/>
          <w:sz w:val="20"/>
        </w:rPr>
        <w:t>el</w:t>
      </w:r>
      <w:r w:rsidRPr="00656AB9">
        <w:rPr>
          <w:rFonts w:ascii="Verdana" w:hAnsi="Verdana"/>
          <w:sz w:val="20"/>
          <w:szCs w:val="20"/>
        </w:rPr>
        <w:t xml:space="preserve"> derecho a la propiedad colectiva</w:t>
      </w:r>
      <w:r w:rsidR="00F32493" w:rsidRPr="00656AB9">
        <w:rPr>
          <w:rFonts w:ascii="Verdana" w:hAnsi="Verdana"/>
          <w:sz w:val="20"/>
          <w:szCs w:val="20"/>
        </w:rPr>
        <w:t>,</w:t>
      </w:r>
      <w:r w:rsidR="00881C94">
        <w:rPr>
          <w:rFonts w:ascii="Verdana" w:hAnsi="Verdana"/>
          <w:sz w:val="20"/>
          <w:szCs w:val="20"/>
        </w:rPr>
        <w:t xml:space="preserve"> a la</w:t>
      </w:r>
      <w:r w:rsidRPr="00656AB9">
        <w:rPr>
          <w:rFonts w:ascii="Verdana" w:hAnsi="Verdana"/>
          <w:sz w:val="20"/>
          <w:szCs w:val="20"/>
        </w:rPr>
        <w:t xml:space="preserve"> identidad cultural</w:t>
      </w:r>
      <w:r w:rsidR="00881C94">
        <w:rPr>
          <w:rFonts w:ascii="Verdana" w:hAnsi="Verdana"/>
          <w:sz w:val="20"/>
          <w:szCs w:val="20"/>
        </w:rPr>
        <w:t xml:space="preserve"> y a los</w:t>
      </w:r>
      <w:r w:rsidR="00F32493" w:rsidRPr="00190AD3">
        <w:rPr>
          <w:rFonts w:ascii="Verdana" w:hAnsi="Verdana"/>
          <w:sz w:val="20"/>
        </w:rPr>
        <w:t xml:space="preserve"> derechos políticos, </w:t>
      </w:r>
      <w:r w:rsidRPr="00656AB9">
        <w:rPr>
          <w:rFonts w:ascii="Verdana" w:hAnsi="Verdana"/>
          <w:sz w:val="20"/>
          <w:szCs w:val="20"/>
        </w:rPr>
        <w:t xml:space="preserve">en perjuicio </w:t>
      </w:r>
      <w:r w:rsidR="00881C94">
        <w:rPr>
          <w:rFonts w:ascii="Verdana" w:hAnsi="Verdana"/>
          <w:sz w:val="20"/>
          <w:szCs w:val="20"/>
        </w:rPr>
        <w:t xml:space="preserve">de </w:t>
      </w:r>
      <w:r w:rsidRPr="00656AB9">
        <w:rPr>
          <w:rFonts w:ascii="Verdana" w:hAnsi="Verdana"/>
          <w:sz w:val="20"/>
          <w:szCs w:val="20"/>
        </w:rPr>
        <w:t xml:space="preserve">los </w:t>
      </w:r>
      <w:r w:rsidR="00382F4D" w:rsidRPr="00656AB9">
        <w:rPr>
          <w:rFonts w:ascii="Verdana" w:hAnsi="Verdana"/>
          <w:sz w:val="20"/>
          <w:szCs w:val="20"/>
        </w:rPr>
        <w:t>Pueblos Kaliña y Lokono</w:t>
      </w:r>
      <w:r w:rsidRPr="005B77D2">
        <w:rPr>
          <w:rFonts w:ascii="Verdana" w:hAnsi="Verdana"/>
          <w:sz w:val="20"/>
          <w:szCs w:val="20"/>
        </w:rPr>
        <w:t xml:space="preserve">. </w:t>
      </w:r>
    </w:p>
    <w:p w14:paraId="7A9C46C2" w14:textId="77777777" w:rsidR="0025095F" w:rsidRDefault="0025095F" w:rsidP="002C323A">
      <w:pPr>
        <w:pStyle w:val="ListParagraph"/>
        <w:ind w:left="0"/>
        <w:jc w:val="both"/>
        <w:rPr>
          <w:rFonts w:ascii="Verdana" w:hAnsi="Verdana"/>
          <w:sz w:val="20"/>
          <w:szCs w:val="20"/>
        </w:rPr>
      </w:pPr>
    </w:p>
    <w:p w14:paraId="58538A58" w14:textId="24772DB0" w:rsidR="00656AB9" w:rsidRPr="00B17B8E" w:rsidRDefault="00656AB9" w:rsidP="00656AB9">
      <w:pPr>
        <w:pStyle w:val="ListParagraph"/>
        <w:numPr>
          <w:ilvl w:val="0"/>
          <w:numId w:val="22"/>
        </w:numPr>
        <w:jc w:val="both"/>
        <w:rPr>
          <w:rFonts w:ascii="Verdana" w:eastAsiaTheme="minorEastAsia" w:hAnsi="Verdana" w:cs="Arial"/>
          <w:b/>
          <w:i/>
          <w:sz w:val="20"/>
          <w:szCs w:val="20"/>
        </w:rPr>
      </w:pPr>
      <w:r w:rsidRPr="00B17B8E">
        <w:rPr>
          <w:rFonts w:ascii="Verdana" w:eastAsiaTheme="minorEastAsia" w:hAnsi="Verdana" w:cs="Arial"/>
          <w:b/>
          <w:i/>
          <w:sz w:val="20"/>
          <w:szCs w:val="20"/>
        </w:rPr>
        <w:t>Conclusi</w:t>
      </w:r>
      <w:r w:rsidR="00627947">
        <w:rPr>
          <w:rFonts w:ascii="Verdana" w:eastAsiaTheme="minorEastAsia" w:hAnsi="Verdana" w:cs="Arial"/>
          <w:b/>
          <w:i/>
          <w:sz w:val="20"/>
          <w:szCs w:val="20"/>
        </w:rPr>
        <w:t>ón de las restricciones en las r</w:t>
      </w:r>
      <w:r w:rsidRPr="00B17B8E">
        <w:rPr>
          <w:rFonts w:ascii="Verdana" w:eastAsiaTheme="minorEastAsia" w:hAnsi="Verdana" w:cs="Arial"/>
          <w:b/>
          <w:i/>
          <w:sz w:val="20"/>
          <w:szCs w:val="20"/>
        </w:rPr>
        <w:t xml:space="preserve">eservas </w:t>
      </w:r>
    </w:p>
    <w:p w14:paraId="17EF3434" w14:textId="77777777" w:rsidR="00656AB9" w:rsidRPr="00C02552" w:rsidRDefault="00656AB9" w:rsidP="00656AB9">
      <w:pPr>
        <w:pStyle w:val="ListParagraph"/>
        <w:ind w:left="1080"/>
        <w:jc w:val="both"/>
        <w:rPr>
          <w:rFonts w:ascii="Verdana" w:hAnsi="Verdana" w:cs="Arial"/>
          <w:sz w:val="20"/>
          <w:szCs w:val="20"/>
        </w:rPr>
      </w:pPr>
    </w:p>
    <w:p w14:paraId="4EB26763" w14:textId="224F7C5A" w:rsidR="00656AB9" w:rsidRPr="002C323A" w:rsidRDefault="00656AB9" w:rsidP="00656AB9">
      <w:pPr>
        <w:pStyle w:val="ListParagraph"/>
        <w:numPr>
          <w:ilvl w:val="0"/>
          <w:numId w:val="2"/>
        </w:numPr>
        <w:ind w:left="0" w:hanging="11"/>
        <w:jc w:val="both"/>
        <w:rPr>
          <w:rFonts w:ascii="Verdana" w:hAnsi="Verdana"/>
          <w:sz w:val="20"/>
          <w:lang w:val="es-ES"/>
        </w:rPr>
      </w:pPr>
      <w:r w:rsidRPr="00B801F1">
        <w:rPr>
          <w:rFonts w:ascii="Verdana" w:hAnsi="Verdana" w:cs="Arial"/>
          <w:sz w:val="20"/>
          <w:szCs w:val="20"/>
          <w:lang w:val="es-ES"/>
        </w:rPr>
        <w:t>En suma, este Tribunal estima que</w:t>
      </w:r>
      <w:r>
        <w:rPr>
          <w:rFonts w:ascii="Verdana" w:hAnsi="Verdana" w:cs="Arial"/>
          <w:sz w:val="20"/>
          <w:szCs w:val="20"/>
          <w:lang w:val="es-ES"/>
        </w:rPr>
        <w:t xml:space="preserve"> el </w:t>
      </w:r>
      <w:r w:rsidRPr="002C323A">
        <w:rPr>
          <w:rFonts w:ascii="Verdana" w:hAnsi="Verdana"/>
          <w:sz w:val="20"/>
          <w:lang w:val="es-ES"/>
        </w:rPr>
        <w:t xml:space="preserve">Estado vulneró </w:t>
      </w:r>
      <w:r>
        <w:rPr>
          <w:rFonts w:ascii="Verdana" w:hAnsi="Verdana"/>
          <w:sz w:val="20"/>
          <w:lang w:val="es-ES"/>
        </w:rPr>
        <w:t>los derechos</w:t>
      </w:r>
      <w:r w:rsidRPr="002C323A">
        <w:rPr>
          <w:rFonts w:ascii="Verdana" w:hAnsi="Verdana"/>
          <w:sz w:val="20"/>
          <w:lang w:val="es-ES"/>
        </w:rPr>
        <w:t xml:space="preserve"> a la propiedad colectiva</w:t>
      </w:r>
      <w:r>
        <w:rPr>
          <w:rFonts w:ascii="Verdana" w:hAnsi="Verdana"/>
          <w:sz w:val="20"/>
          <w:lang w:val="es-ES"/>
        </w:rPr>
        <w:t>,</w:t>
      </w:r>
      <w:r w:rsidRPr="002C323A">
        <w:rPr>
          <w:rFonts w:ascii="Verdana" w:hAnsi="Verdana"/>
          <w:sz w:val="20"/>
          <w:lang w:val="es-ES"/>
        </w:rPr>
        <w:t xml:space="preserve"> identidad cultural</w:t>
      </w:r>
      <w:r>
        <w:rPr>
          <w:rFonts w:ascii="Verdana" w:hAnsi="Verdana"/>
          <w:sz w:val="20"/>
          <w:lang w:val="es-ES"/>
        </w:rPr>
        <w:t xml:space="preserve"> y participación en asuntos públicos</w:t>
      </w:r>
      <w:r w:rsidRPr="002C323A">
        <w:rPr>
          <w:rFonts w:ascii="Verdana" w:hAnsi="Verdana"/>
          <w:sz w:val="20"/>
          <w:lang w:val="es-ES"/>
        </w:rPr>
        <w:t xml:space="preserve"> de las víctimas, principalmente al impedir la participación efectiva y el acceso a parte de su territorio tradicional y recursos naturales en las reservas de Galibi y Wane Kreek, así como </w:t>
      </w:r>
      <w:r>
        <w:rPr>
          <w:rFonts w:ascii="Verdana" w:hAnsi="Verdana"/>
          <w:sz w:val="20"/>
          <w:lang w:val="es-ES"/>
        </w:rPr>
        <w:t xml:space="preserve">al </w:t>
      </w:r>
      <w:r w:rsidRPr="002C323A">
        <w:rPr>
          <w:rFonts w:ascii="Verdana" w:hAnsi="Verdana"/>
          <w:sz w:val="20"/>
          <w:lang w:val="es-ES"/>
        </w:rPr>
        <w:t xml:space="preserve">no </w:t>
      </w:r>
      <w:r>
        <w:rPr>
          <w:rFonts w:ascii="Verdana" w:hAnsi="Verdana"/>
          <w:sz w:val="20"/>
          <w:lang w:val="es-ES"/>
        </w:rPr>
        <w:t xml:space="preserve">garantizar </w:t>
      </w:r>
      <w:r w:rsidRPr="002C323A">
        <w:rPr>
          <w:rFonts w:ascii="Verdana" w:hAnsi="Verdana"/>
          <w:sz w:val="20"/>
          <w:lang w:val="es-ES"/>
        </w:rPr>
        <w:t>de manera efectiva el territorio tradicional de las comunidades afectadas por la degradación del medio ambiente dentro de la reserva de Wane Kreek</w:t>
      </w:r>
      <w:r w:rsidR="00D97182">
        <w:rPr>
          <w:rFonts w:ascii="Verdana" w:hAnsi="Verdana"/>
          <w:sz w:val="20"/>
          <w:lang w:val="es-ES"/>
        </w:rPr>
        <w:t xml:space="preserve"> (</w:t>
      </w:r>
      <w:r w:rsidR="00D97182" w:rsidRPr="004B0145">
        <w:rPr>
          <w:rFonts w:ascii="Verdana" w:hAnsi="Verdana"/>
          <w:i/>
          <w:sz w:val="20"/>
          <w:lang w:val="es-ES"/>
        </w:rPr>
        <w:t>infra</w:t>
      </w:r>
      <w:r w:rsidR="00D97182">
        <w:rPr>
          <w:rFonts w:ascii="Verdana" w:hAnsi="Verdana"/>
          <w:sz w:val="20"/>
          <w:lang w:val="es-ES"/>
        </w:rPr>
        <w:t xml:space="preserve"> párrs. </w:t>
      </w:r>
      <w:r w:rsidR="00060EFD">
        <w:rPr>
          <w:rFonts w:ascii="Verdana" w:hAnsi="Verdana"/>
          <w:sz w:val="20"/>
          <w:lang w:val="es-ES"/>
        </w:rPr>
        <w:t>217 a</w:t>
      </w:r>
      <w:r w:rsidR="00D97182">
        <w:rPr>
          <w:rFonts w:ascii="Verdana" w:hAnsi="Verdana"/>
          <w:sz w:val="20"/>
          <w:lang w:val="es-ES"/>
        </w:rPr>
        <w:t xml:space="preserve"> 22</w:t>
      </w:r>
      <w:r w:rsidR="00060EFD">
        <w:rPr>
          <w:rFonts w:ascii="Verdana" w:hAnsi="Verdana"/>
          <w:sz w:val="20"/>
          <w:lang w:val="es-ES"/>
        </w:rPr>
        <w:t>2</w:t>
      </w:r>
      <w:r w:rsidR="00D97182">
        <w:rPr>
          <w:rFonts w:ascii="Verdana" w:hAnsi="Verdana"/>
          <w:sz w:val="20"/>
          <w:lang w:val="es-ES"/>
        </w:rPr>
        <w:t>)</w:t>
      </w:r>
      <w:r w:rsidRPr="002C323A">
        <w:rPr>
          <w:rFonts w:ascii="Verdana" w:hAnsi="Verdana"/>
          <w:sz w:val="20"/>
          <w:lang w:val="es-ES"/>
        </w:rPr>
        <w:t xml:space="preserve">, lo cual configuró la violación </w:t>
      </w:r>
      <w:r w:rsidRPr="002C323A">
        <w:rPr>
          <w:rFonts w:ascii="Verdana" w:hAnsi="Verdana" w:cs="Arial"/>
          <w:sz w:val="20"/>
          <w:szCs w:val="20"/>
          <w:lang w:val="es-ES"/>
        </w:rPr>
        <w:t xml:space="preserve">de </w:t>
      </w:r>
      <w:r w:rsidRPr="00656AB9">
        <w:rPr>
          <w:rFonts w:ascii="Verdana" w:hAnsi="Verdana" w:cs="Arial"/>
          <w:sz w:val="20"/>
          <w:szCs w:val="20"/>
          <w:lang w:val="es-ES"/>
        </w:rPr>
        <w:t>los</w:t>
      </w:r>
      <w:r w:rsidRPr="00656AB9">
        <w:rPr>
          <w:rFonts w:ascii="Verdana" w:hAnsi="Verdana"/>
          <w:sz w:val="20"/>
          <w:lang w:val="es-ES"/>
        </w:rPr>
        <w:t xml:space="preserve"> artículo</w:t>
      </w:r>
      <w:r w:rsidR="002547E0" w:rsidRPr="00D97182">
        <w:rPr>
          <w:rFonts w:ascii="Verdana" w:hAnsi="Verdana"/>
          <w:sz w:val="20"/>
          <w:lang w:val="es-ES"/>
        </w:rPr>
        <w:t>s</w:t>
      </w:r>
      <w:r w:rsidRPr="00656AB9">
        <w:rPr>
          <w:rFonts w:ascii="Verdana" w:hAnsi="Verdana"/>
          <w:sz w:val="20"/>
          <w:lang w:val="es-ES"/>
        </w:rPr>
        <w:t xml:space="preserve"> </w:t>
      </w:r>
      <w:r w:rsidRPr="00190AD3">
        <w:rPr>
          <w:rFonts w:ascii="Verdana" w:hAnsi="Verdana"/>
          <w:sz w:val="20"/>
          <w:lang w:val="es-ES"/>
        </w:rPr>
        <w:t>21,</w:t>
      </w:r>
      <w:r w:rsidRPr="00190AD3">
        <w:rPr>
          <w:rFonts w:ascii="Verdana" w:hAnsi="Verdana" w:cs="Arial"/>
          <w:sz w:val="20"/>
          <w:szCs w:val="20"/>
          <w:lang w:val="es-ES"/>
        </w:rPr>
        <w:t xml:space="preserve"> 2 y 23 de la Convención Americana, en relación con el artículo </w:t>
      </w:r>
      <w:r w:rsidRPr="00190AD3">
        <w:rPr>
          <w:rFonts w:ascii="Verdana" w:hAnsi="Verdana"/>
          <w:sz w:val="20"/>
          <w:lang w:val="es-ES"/>
        </w:rPr>
        <w:t>1.1</w:t>
      </w:r>
      <w:r w:rsidRPr="00190AD3">
        <w:rPr>
          <w:rFonts w:ascii="Verdana" w:hAnsi="Verdana" w:cs="Arial"/>
          <w:sz w:val="20"/>
          <w:szCs w:val="20"/>
          <w:lang w:val="es-ES"/>
        </w:rPr>
        <w:t xml:space="preserve"> </w:t>
      </w:r>
      <w:r w:rsidRPr="00656AB9">
        <w:rPr>
          <w:rFonts w:ascii="Verdana" w:hAnsi="Verdana"/>
          <w:sz w:val="20"/>
          <w:lang w:val="es-ES"/>
        </w:rPr>
        <w:t xml:space="preserve">de la misma, </w:t>
      </w:r>
      <w:r w:rsidRPr="00656AB9">
        <w:rPr>
          <w:rFonts w:ascii="Verdana" w:hAnsi="Verdana"/>
          <w:sz w:val="20"/>
        </w:rPr>
        <w:t>en perjuicio los Pueblos Kaliña y Lokono</w:t>
      </w:r>
      <w:r w:rsidRPr="00656AB9">
        <w:rPr>
          <w:rFonts w:ascii="Verdana" w:hAnsi="Verdana"/>
          <w:sz w:val="20"/>
          <w:lang w:val="es-ES"/>
        </w:rPr>
        <w:t xml:space="preserve"> y sus miembros. </w:t>
      </w:r>
    </w:p>
    <w:p w14:paraId="2D351928" w14:textId="77777777" w:rsidR="006E360C" w:rsidRDefault="006E360C" w:rsidP="002C323A">
      <w:pPr>
        <w:pStyle w:val="ListParagraph"/>
        <w:ind w:left="0"/>
        <w:jc w:val="both"/>
        <w:rPr>
          <w:rFonts w:ascii="Verdana" w:hAnsi="Verdana" w:cs="Arial"/>
          <w:sz w:val="20"/>
          <w:szCs w:val="20"/>
          <w:lang w:val="es-ES"/>
        </w:rPr>
      </w:pPr>
    </w:p>
    <w:p w14:paraId="6912E55A" w14:textId="77777777" w:rsidR="004F1899" w:rsidRPr="004F1899" w:rsidRDefault="0028313B" w:rsidP="004F1899">
      <w:pPr>
        <w:pStyle w:val="Heading3"/>
        <w:spacing w:before="0"/>
        <w:ind w:left="360"/>
        <w:jc w:val="both"/>
        <w:rPr>
          <w:rFonts w:ascii="Verdana" w:hAnsi="Verdana"/>
          <w:i/>
          <w:strike/>
          <w:color w:val="auto"/>
          <w:sz w:val="20"/>
          <w:szCs w:val="20"/>
          <w:lang w:val="es-ES"/>
        </w:rPr>
      </w:pPr>
      <w:bookmarkStart w:id="59" w:name="_Toc441666189"/>
      <w:r w:rsidRPr="004F1899">
        <w:rPr>
          <w:rFonts w:ascii="Verdana" w:hAnsi="Verdana"/>
          <w:i/>
          <w:color w:val="auto"/>
          <w:sz w:val="20"/>
          <w:szCs w:val="20"/>
          <w:lang w:val="es-ES"/>
        </w:rPr>
        <w:lastRenderedPageBreak/>
        <w:t>B.</w:t>
      </w:r>
      <w:r w:rsidR="00830B9E">
        <w:rPr>
          <w:rFonts w:ascii="Verdana" w:hAnsi="Verdana"/>
          <w:i/>
          <w:color w:val="auto"/>
          <w:sz w:val="20"/>
          <w:szCs w:val="20"/>
          <w:lang w:val="es-ES"/>
        </w:rPr>
        <w:t>4</w:t>
      </w:r>
      <w:r w:rsidR="00FC1FCF" w:rsidRPr="004F1899">
        <w:rPr>
          <w:rFonts w:ascii="Verdana" w:hAnsi="Verdana"/>
          <w:i/>
          <w:color w:val="auto"/>
          <w:sz w:val="20"/>
          <w:szCs w:val="20"/>
          <w:lang w:val="es-ES"/>
        </w:rPr>
        <w:t xml:space="preserve"> </w:t>
      </w:r>
      <w:r w:rsidR="004F1899">
        <w:rPr>
          <w:rFonts w:ascii="Verdana" w:hAnsi="Verdana"/>
          <w:i/>
          <w:color w:val="auto"/>
          <w:sz w:val="20"/>
          <w:szCs w:val="20"/>
          <w:lang w:val="es-ES"/>
        </w:rPr>
        <w:t xml:space="preserve">Respecto de las garantías a la propiedad colectiva </w:t>
      </w:r>
      <w:r w:rsidR="004F1899">
        <w:rPr>
          <w:rFonts w:ascii="Verdana" w:hAnsi="Verdana" w:cs="Arial"/>
          <w:i/>
          <w:color w:val="auto"/>
          <w:sz w:val="20"/>
          <w:szCs w:val="20"/>
          <w:lang w:val="es-ES"/>
        </w:rPr>
        <w:t>frente a</w:t>
      </w:r>
      <w:r w:rsidR="004F1899" w:rsidRPr="007703D4">
        <w:rPr>
          <w:rFonts w:ascii="Verdana" w:hAnsi="Verdana" w:cs="Arial"/>
          <w:i/>
          <w:color w:val="auto"/>
          <w:sz w:val="20"/>
          <w:szCs w:val="20"/>
          <w:lang w:val="es-ES"/>
        </w:rPr>
        <w:t xml:space="preserve"> </w:t>
      </w:r>
      <w:r w:rsidR="004F1899">
        <w:rPr>
          <w:rFonts w:ascii="Verdana" w:hAnsi="Verdana" w:cs="Arial"/>
          <w:i/>
          <w:color w:val="auto"/>
          <w:sz w:val="20"/>
          <w:szCs w:val="20"/>
          <w:lang w:val="es-ES"/>
        </w:rPr>
        <w:t>la</w:t>
      </w:r>
      <w:r w:rsidR="004F1899" w:rsidRPr="007703D4">
        <w:rPr>
          <w:rFonts w:ascii="Verdana" w:hAnsi="Verdana" w:cs="Arial"/>
          <w:i/>
          <w:color w:val="auto"/>
          <w:sz w:val="20"/>
          <w:szCs w:val="20"/>
          <w:lang w:val="es-ES"/>
        </w:rPr>
        <w:t xml:space="preserve"> concesión minera dentro de la Reserva Natural Wane Kreek</w:t>
      </w:r>
      <w:bookmarkEnd w:id="59"/>
    </w:p>
    <w:p w14:paraId="14F59506" w14:textId="77777777" w:rsidR="004F1899" w:rsidRDefault="004F1899" w:rsidP="004F1899">
      <w:pPr>
        <w:rPr>
          <w:lang w:val="es-ES"/>
        </w:rPr>
      </w:pPr>
    </w:p>
    <w:p w14:paraId="2C62CD2A" w14:textId="77777777" w:rsidR="004F1899" w:rsidRDefault="004F1899" w:rsidP="004F1899">
      <w:pPr>
        <w:pStyle w:val="ListParagraph"/>
        <w:numPr>
          <w:ilvl w:val="0"/>
          <w:numId w:val="2"/>
        </w:numPr>
        <w:ind w:left="0" w:firstLine="0"/>
        <w:jc w:val="both"/>
        <w:rPr>
          <w:rFonts w:ascii="Verdana" w:hAnsi="Verdana"/>
          <w:sz w:val="20"/>
          <w:lang w:val="es-MX"/>
        </w:rPr>
      </w:pPr>
      <w:r w:rsidRPr="007F327D">
        <w:rPr>
          <w:rFonts w:ascii="Verdana" w:hAnsi="Verdana"/>
          <w:sz w:val="20"/>
          <w:lang w:val="es-MX"/>
        </w:rPr>
        <w:t>En este apartado, la Corte analizará el alegado incumplimiento de las salvaguardias al derecho a la propiedad colectiva, en relación con la explotación de bauxita en la Reserva de Wane Kreek.</w:t>
      </w:r>
    </w:p>
    <w:p w14:paraId="656590C2" w14:textId="77777777" w:rsidR="004F1899" w:rsidRDefault="004F1899" w:rsidP="004F1899">
      <w:pPr>
        <w:pStyle w:val="ListParagraph"/>
        <w:jc w:val="both"/>
        <w:rPr>
          <w:rFonts w:ascii="Verdana" w:hAnsi="Verdana"/>
          <w:sz w:val="20"/>
          <w:lang w:val="es-MX"/>
        </w:rPr>
      </w:pPr>
    </w:p>
    <w:p w14:paraId="046F4DC7" w14:textId="77777777" w:rsidR="004F1899" w:rsidRDefault="004F1899" w:rsidP="004F1899">
      <w:pPr>
        <w:pStyle w:val="ListParagraph"/>
        <w:numPr>
          <w:ilvl w:val="0"/>
          <w:numId w:val="2"/>
        </w:numPr>
        <w:ind w:left="0" w:firstLine="0"/>
        <w:jc w:val="both"/>
        <w:rPr>
          <w:rFonts w:ascii="Verdana" w:eastAsia="Times New Roman" w:hAnsi="Verdana"/>
          <w:bCs/>
          <w:color w:val="000000"/>
          <w:sz w:val="20"/>
          <w:szCs w:val="20"/>
          <w:lang w:val="es-CR" w:eastAsia="es-CR"/>
        </w:rPr>
      </w:pPr>
      <w:r w:rsidRPr="007F327D">
        <w:rPr>
          <w:rFonts w:ascii="Verdana" w:hAnsi="Verdana"/>
          <w:sz w:val="20"/>
          <w:lang w:val="es-MX"/>
        </w:rPr>
        <w:t>Como fue constatado</w:t>
      </w:r>
      <w:r w:rsidR="00382FE1">
        <w:rPr>
          <w:rFonts w:ascii="Verdana" w:hAnsi="Verdana"/>
          <w:sz w:val="20"/>
          <w:lang w:val="es-MX"/>
        </w:rPr>
        <w:t>,</w:t>
      </w:r>
      <w:r w:rsidRPr="007F327D">
        <w:rPr>
          <w:rFonts w:ascii="Verdana" w:hAnsi="Verdana"/>
          <w:sz w:val="20"/>
          <w:lang w:val="es-MX"/>
        </w:rPr>
        <w:t xml:space="preserve"> en 1958</w:t>
      </w:r>
      <w:r w:rsidRPr="007F327D">
        <w:rPr>
          <w:rFonts w:ascii="Verdana" w:hAnsi="Verdana"/>
          <w:sz w:val="20"/>
          <w:szCs w:val="20"/>
          <w:lang w:val="es-MX"/>
        </w:rPr>
        <w:t xml:space="preserve"> Surinam</w:t>
      </w:r>
      <w:r w:rsidRPr="007F327D">
        <w:rPr>
          <w:rFonts w:ascii="Verdana" w:hAnsi="Verdana"/>
          <w:sz w:val="20"/>
          <w:lang w:val="es-MX"/>
        </w:rPr>
        <w:t xml:space="preserve"> otorgó una concesión minera hasta el año 2033 a la empresa Suralco, con el fin de extraer bauxita en la zona este del país. En el año 1997 la compañía comenzó las actividades de extracción de depósitos de bauxita en un área de entre 100 a 144 ha, aproximadamente, comprendida dentro de la reserva de Wane Kreek, denominadas como Wane Kreek </w:t>
      </w:r>
      <w:r w:rsidR="00945095">
        <w:rPr>
          <w:rFonts w:ascii="Verdana" w:hAnsi="Verdana"/>
          <w:sz w:val="20"/>
          <w:lang w:val="es-MX"/>
        </w:rPr>
        <w:t>1</w:t>
      </w:r>
      <w:r w:rsidRPr="007F327D">
        <w:rPr>
          <w:rFonts w:ascii="Verdana" w:hAnsi="Verdana"/>
          <w:sz w:val="20"/>
          <w:lang w:val="es-MX"/>
        </w:rPr>
        <w:t xml:space="preserve"> y </w:t>
      </w:r>
      <w:r w:rsidR="00945095">
        <w:rPr>
          <w:rFonts w:ascii="Verdana" w:hAnsi="Verdana"/>
          <w:sz w:val="20"/>
          <w:lang w:val="es-MX"/>
        </w:rPr>
        <w:t>2</w:t>
      </w:r>
      <w:r w:rsidRPr="007F327D">
        <w:rPr>
          <w:rFonts w:ascii="Verdana" w:hAnsi="Verdana"/>
          <w:sz w:val="20"/>
          <w:lang w:val="es-MX"/>
        </w:rPr>
        <w:t xml:space="preserve"> (</w:t>
      </w:r>
      <w:r w:rsidRPr="007F327D">
        <w:rPr>
          <w:rFonts w:ascii="Verdana" w:hAnsi="Verdana"/>
          <w:i/>
          <w:sz w:val="20"/>
          <w:lang w:val="es-MX"/>
        </w:rPr>
        <w:t>supra</w:t>
      </w:r>
      <w:r w:rsidRPr="007F327D">
        <w:rPr>
          <w:rFonts w:ascii="Verdana" w:hAnsi="Verdana"/>
          <w:sz w:val="20"/>
          <w:lang w:val="es-MX"/>
        </w:rPr>
        <w:t xml:space="preserve"> párr</w:t>
      </w:r>
      <w:r w:rsidR="004E32EF">
        <w:rPr>
          <w:rFonts w:ascii="Verdana" w:hAnsi="Verdana"/>
          <w:sz w:val="20"/>
          <w:lang w:val="es-MX"/>
        </w:rPr>
        <w:t>s</w:t>
      </w:r>
      <w:r w:rsidRPr="007F327D">
        <w:rPr>
          <w:rFonts w:ascii="Verdana" w:hAnsi="Verdana"/>
          <w:sz w:val="20"/>
          <w:lang w:val="es-MX"/>
        </w:rPr>
        <w:t xml:space="preserve">. </w:t>
      </w:r>
      <w:r w:rsidR="00AF2C1C">
        <w:rPr>
          <w:rFonts w:ascii="Verdana" w:hAnsi="Verdana"/>
          <w:sz w:val="20"/>
          <w:lang w:val="es-MX"/>
        </w:rPr>
        <w:t>88 y 90</w:t>
      </w:r>
      <w:r w:rsidRPr="007F327D">
        <w:rPr>
          <w:rFonts w:ascii="Verdana" w:hAnsi="Verdana"/>
          <w:sz w:val="20"/>
          <w:lang w:val="es-MX"/>
        </w:rPr>
        <w:t xml:space="preserve">). </w:t>
      </w:r>
      <w:r w:rsidRPr="007703D4">
        <w:rPr>
          <w:rFonts w:ascii="Verdana" w:hAnsi="Verdana"/>
          <w:sz w:val="20"/>
          <w:szCs w:val="20"/>
          <w:lang w:val="es-MX"/>
        </w:rPr>
        <w:t>Ello implicó que a mediados de los noventa se iniciaran trabajos preparatorios como la construcción de una carretera para acceder a la mina y transportar dicho mineral (</w:t>
      </w:r>
      <w:r w:rsidRPr="007703D4">
        <w:rPr>
          <w:rFonts w:ascii="Verdana" w:hAnsi="Verdana"/>
          <w:i/>
          <w:sz w:val="20"/>
          <w:szCs w:val="20"/>
          <w:lang w:val="es-MX"/>
        </w:rPr>
        <w:t>supra</w:t>
      </w:r>
      <w:r w:rsidRPr="007703D4">
        <w:rPr>
          <w:rFonts w:ascii="Verdana" w:hAnsi="Verdana"/>
          <w:sz w:val="20"/>
          <w:szCs w:val="20"/>
          <w:lang w:val="es-MX"/>
        </w:rPr>
        <w:t xml:space="preserve"> párr</w:t>
      </w:r>
      <w:r w:rsidR="004E32EF">
        <w:rPr>
          <w:rFonts w:ascii="Verdana" w:hAnsi="Verdana"/>
          <w:sz w:val="20"/>
          <w:szCs w:val="20"/>
          <w:lang w:val="es-MX"/>
        </w:rPr>
        <w:t>.</w:t>
      </w:r>
      <w:r w:rsidRPr="007703D4">
        <w:rPr>
          <w:rFonts w:ascii="Verdana" w:hAnsi="Verdana"/>
          <w:sz w:val="20"/>
          <w:szCs w:val="20"/>
          <w:lang w:val="es-MX"/>
        </w:rPr>
        <w:t xml:space="preserve"> </w:t>
      </w:r>
      <w:r w:rsidR="00382FE1">
        <w:rPr>
          <w:rFonts w:ascii="Verdana" w:hAnsi="Verdana"/>
          <w:sz w:val="20"/>
          <w:szCs w:val="20"/>
          <w:lang w:val="es-MX"/>
        </w:rPr>
        <w:t>89</w:t>
      </w:r>
      <w:r w:rsidRPr="007703D4">
        <w:rPr>
          <w:rFonts w:ascii="Verdana" w:hAnsi="Verdana"/>
          <w:sz w:val="20"/>
          <w:szCs w:val="20"/>
          <w:lang w:val="es-MX"/>
        </w:rPr>
        <w:t xml:space="preserve">). </w:t>
      </w:r>
      <w:r w:rsidRPr="00945759">
        <w:rPr>
          <w:rFonts w:ascii="Verdana" w:hAnsi="Verdana"/>
          <w:sz w:val="20"/>
          <w:szCs w:val="20"/>
          <w:lang w:val="es-MX"/>
        </w:rPr>
        <w:t>No existe controversia respecto de que ninguna de dichas actividades cont</w:t>
      </w:r>
      <w:r w:rsidR="00382FE1">
        <w:rPr>
          <w:rFonts w:ascii="Verdana" w:hAnsi="Verdana"/>
          <w:sz w:val="20"/>
          <w:szCs w:val="20"/>
          <w:lang w:val="es-MX"/>
        </w:rPr>
        <w:t>ó</w:t>
      </w:r>
      <w:r w:rsidRPr="00945759">
        <w:rPr>
          <w:rFonts w:ascii="Verdana" w:hAnsi="Verdana"/>
          <w:sz w:val="20"/>
          <w:szCs w:val="20"/>
          <w:lang w:val="es-MX"/>
        </w:rPr>
        <w:t xml:space="preserve"> con la participación efectiva de los Pueblos Kaliña y Lokono, y de que no se realizó un estudio de impacto ambiental </w:t>
      </w:r>
      <w:r w:rsidRPr="007F327D">
        <w:rPr>
          <w:rFonts w:ascii="Verdana" w:hAnsi="Verdana"/>
          <w:sz w:val="20"/>
          <w:szCs w:val="20"/>
          <w:lang w:val="es-MX"/>
        </w:rPr>
        <w:t xml:space="preserve">al respecto </w:t>
      </w:r>
      <w:r w:rsidRPr="00945759">
        <w:rPr>
          <w:rFonts w:ascii="Verdana" w:hAnsi="Verdana"/>
          <w:sz w:val="20"/>
          <w:szCs w:val="20"/>
          <w:lang w:val="es-MX"/>
        </w:rPr>
        <w:t>(</w:t>
      </w:r>
      <w:r w:rsidR="00696746">
        <w:rPr>
          <w:rFonts w:ascii="Verdana" w:hAnsi="Verdana"/>
          <w:i/>
          <w:sz w:val="20"/>
          <w:szCs w:val="20"/>
          <w:lang w:val="es-MX"/>
        </w:rPr>
        <w:t>infra</w:t>
      </w:r>
      <w:r w:rsidRPr="00945759">
        <w:rPr>
          <w:rFonts w:ascii="Verdana" w:hAnsi="Verdana"/>
          <w:sz w:val="20"/>
          <w:szCs w:val="20"/>
          <w:lang w:val="es-MX"/>
        </w:rPr>
        <w:t xml:space="preserve"> párr. </w:t>
      </w:r>
      <w:r w:rsidR="00696746">
        <w:rPr>
          <w:rFonts w:ascii="Verdana" w:hAnsi="Verdana"/>
          <w:sz w:val="20"/>
          <w:szCs w:val="20"/>
          <w:lang w:val="es-MX"/>
        </w:rPr>
        <w:t>213</w:t>
      </w:r>
      <w:r w:rsidRPr="00945759">
        <w:rPr>
          <w:rFonts w:ascii="Verdana" w:hAnsi="Verdana"/>
          <w:sz w:val="20"/>
          <w:szCs w:val="20"/>
          <w:lang w:val="es-MX"/>
        </w:rPr>
        <w:t xml:space="preserve">). Sin perjuicio de lo anterior, la Corte no tiene competencia respecto del otorgamiento de la </w:t>
      </w:r>
      <w:r w:rsidRPr="007F327D">
        <w:rPr>
          <w:rFonts w:ascii="Verdana" w:hAnsi="Verdana"/>
          <w:sz w:val="20"/>
          <w:szCs w:val="20"/>
          <w:lang w:val="es-MX"/>
        </w:rPr>
        <w:t>concesión</w:t>
      </w:r>
      <w:r w:rsidRPr="007703D4">
        <w:rPr>
          <w:rFonts w:ascii="Verdana" w:hAnsi="Verdana"/>
          <w:sz w:val="20"/>
          <w:szCs w:val="20"/>
          <w:lang w:val="es-MX"/>
        </w:rPr>
        <w:t xml:space="preserve"> minera otorgada en 1958</w:t>
      </w:r>
      <w:r>
        <w:rPr>
          <w:rFonts w:ascii="Verdana" w:hAnsi="Verdana"/>
          <w:sz w:val="20"/>
          <w:szCs w:val="20"/>
          <w:lang w:val="es-MX"/>
        </w:rPr>
        <w:t xml:space="preserve">. No obstante, </w:t>
      </w:r>
      <w:r w:rsidRPr="007F327D">
        <w:rPr>
          <w:rFonts w:ascii="Verdana" w:hAnsi="Verdana"/>
          <w:sz w:val="20"/>
          <w:szCs w:val="20"/>
          <w:lang w:val="es-MX"/>
        </w:rPr>
        <w:t>la Corte</w:t>
      </w:r>
      <w:r w:rsidRPr="00945759">
        <w:rPr>
          <w:rFonts w:ascii="Verdana" w:hAnsi="Verdana"/>
          <w:sz w:val="20"/>
          <w:szCs w:val="20"/>
          <w:lang w:val="es-MX"/>
        </w:rPr>
        <w:t xml:space="preserve"> sí es competente para analizar </w:t>
      </w:r>
      <w:r w:rsidRPr="007F327D">
        <w:rPr>
          <w:rFonts w:ascii="Verdana" w:hAnsi="Verdana"/>
          <w:sz w:val="20"/>
          <w:lang w:val="es-MX"/>
        </w:rPr>
        <w:t xml:space="preserve">las acciones realizadas con posterioridad a la entrada en vigencia de su competencia, </w:t>
      </w:r>
      <w:r w:rsidRPr="007F327D">
        <w:rPr>
          <w:rFonts w:ascii="Verdana" w:eastAsia="Times New Roman" w:hAnsi="Verdana"/>
          <w:color w:val="000000"/>
          <w:sz w:val="20"/>
          <w:lang w:val="es-CR" w:eastAsia="es-CR"/>
        </w:rPr>
        <w:t>en particular, las actividades extractivas llevadas a cabo a partir 1997</w:t>
      </w:r>
      <w:r w:rsidRPr="009B0486">
        <w:rPr>
          <w:rStyle w:val="FootnoteReference"/>
          <w:rFonts w:eastAsia="Times New Roman"/>
          <w:bCs/>
          <w:color w:val="000000"/>
          <w:szCs w:val="20"/>
          <w:lang w:val="es-CR" w:eastAsia="es-CR"/>
        </w:rPr>
        <w:footnoteReference w:id="237"/>
      </w:r>
      <w:r w:rsidRPr="007F327D">
        <w:rPr>
          <w:rFonts w:ascii="Verdana" w:eastAsia="Times New Roman" w:hAnsi="Verdana"/>
          <w:bCs/>
          <w:color w:val="000000"/>
          <w:sz w:val="20"/>
          <w:szCs w:val="20"/>
          <w:lang w:val="es-CR" w:eastAsia="es-CR"/>
        </w:rPr>
        <w:t>.</w:t>
      </w:r>
    </w:p>
    <w:p w14:paraId="3D0782F7" w14:textId="77777777" w:rsidR="004F1899" w:rsidRPr="00167DB0" w:rsidRDefault="004F1899" w:rsidP="004F1899">
      <w:pPr>
        <w:pStyle w:val="ListParagraph"/>
        <w:rPr>
          <w:rFonts w:ascii="Verdana" w:eastAsia="Times New Roman" w:hAnsi="Verdana"/>
          <w:bCs/>
          <w:color w:val="000000"/>
          <w:sz w:val="20"/>
          <w:szCs w:val="20"/>
          <w:lang w:val="es-CR" w:eastAsia="es-CR"/>
        </w:rPr>
      </w:pPr>
    </w:p>
    <w:p w14:paraId="643815FE" w14:textId="77777777" w:rsidR="004F1899" w:rsidRPr="007F327D" w:rsidRDefault="004F1899" w:rsidP="004F1899">
      <w:pPr>
        <w:pStyle w:val="ListParagraph"/>
        <w:numPr>
          <w:ilvl w:val="0"/>
          <w:numId w:val="2"/>
        </w:numPr>
        <w:ind w:left="0" w:hanging="11"/>
        <w:jc w:val="both"/>
        <w:rPr>
          <w:lang w:val="es-CR"/>
        </w:rPr>
      </w:pPr>
      <w:r w:rsidRPr="007F327D">
        <w:rPr>
          <w:rFonts w:ascii="Verdana" w:hAnsi="Verdana"/>
          <w:sz w:val="20"/>
          <w:szCs w:val="20"/>
        </w:rPr>
        <w:t>En este particular, e</w:t>
      </w:r>
      <w:r w:rsidRPr="007F327D">
        <w:rPr>
          <w:rFonts w:ascii="Verdana" w:hAnsi="Verdana"/>
          <w:sz w:val="20"/>
        </w:rPr>
        <w:t xml:space="preserve">sta Corte ya estableció en el caso </w:t>
      </w:r>
      <w:r w:rsidR="00403E34">
        <w:rPr>
          <w:rFonts w:ascii="Verdana" w:hAnsi="Verdana"/>
          <w:sz w:val="20"/>
        </w:rPr>
        <w:t xml:space="preserve">del </w:t>
      </w:r>
      <w:r w:rsidR="00403E34" w:rsidRPr="00415A21">
        <w:rPr>
          <w:rFonts w:ascii="Verdana" w:hAnsi="Verdana"/>
          <w:i/>
          <w:sz w:val="20"/>
        </w:rPr>
        <w:t>Pueblo</w:t>
      </w:r>
      <w:r w:rsidR="00403E34">
        <w:rPr>
          <w:rFonts w:ascii="Verdana" w:hAnsi="Verdana"/>
          <w:sz w:val="20"/>
        </w:rPr>
        <w:t xml:space="preserve"> </w:t>
      </w:r>
      <w:r w:rsidRPr="007F327D">
        <w:rPr>
          <w:rFonts w:ascii="Verdana" w:hAnsi="Verdana"/>
          <w:i/>
          <w:sz w:val="20"/>
        </w:rPr>
        <w:t>Saramaka Vs. Surinam</w:t>
      </w:r>
      <w:r w:rsidRPr="007F327D">
        <w:rPr>
          <w:rFonts w:ascii="Verdana" w:hAnsi="Verdana"/>
          <w:sz w:val="20"/>
        </w:rPr>
        <w:t xml:space="preserve"> que de conformidad con el artículo 1.1 de la Convención, a fin de garantizar que las restricciones impuestas respecto del derecho a la propiedad de los pueblos indígenas y tri</w:t>
      </w:r>
      <w:r w:rsidR="00382FE1">
        <w:rPr>
          <w:rFonts w:ascii="Verdana" w:hAnsi="Verdana"/>
          <w:sz w:val="20"/>
        </w:rPr>
        <w:t>b</w:t>
      </w:r>
      <w:r w:rsidRPr="007F327D">
        <w:rPr>
          <w:rFonts w:ascii="Verdana" w:hAnsi="Verdana"/>
          <w:sz w:val="20"/>
        </w:rPr>
        <w:t>ales, por la emisión de concesiones dentro de su territorio, no impliquen una denegación de su subsistencia, el Estado debe cumplir con las siguientes tres garantías: “primero, debe asegurar la participación efectiva</w:t>
      </w:r>
      <w:r w:rsidRPr="007F327D">
        <w:rPr>
          <w:rStyle w:val="FootnoteReference"/>
        </w:rPr>
        <w:footnoteReference w:id="238"/>
      </w:r>
      <w:r w:rsidRPr="007F327D">
        <w:rPr>
          <w:rFonts w:ascii="Verdana" w:hAnsi="Verdana"/>
          <w:sz w:val="20"/>
        </w:rPr>
        <w:t xml:space="preserve"> de los </w:t>
      </w:r>
      <w:r w:rsidR="00382FE1">
        <w:rPr>
          <w:rFonts w:ascii="Verdana" w:hAnsi="Verdana"/>
          <w:sz w:val="20"/>
        </w:rPr>
        <w:t xml:space="preserve">integrantes </w:t>
      </w:r>
      <w:r w:rsidRPr="007F327D">
        <w:rPr>
          <w:rFonts w:ascii="Verdana" w:hAnsi="Verdana"/>
          <w:sz w:val="20"/>
        </w:rPr>
        <w:t xml:space="preserve">de los [pueblos indígenas y tribales], de conformidad con sus costumbres y tradiciones, en relación con todo plan de desarrollo, inversión, exploración o extracción (en adelante “plan de desarrollo o inversión”) que se lleve a cabo dentro </w:t>
      </w:r>
      <w:r w:rsidR="00382FE1">
        <w:rPr>
          <w:rFonts w:ascii="Verdana" w:hAnsi="Verdana"/>
          <w:sz w:val="20"/>
        </w:rPr>
        <w:t>[</w:t>
      </w:r>
      <w:r w:rsidRPr="007F327D">
        <w:rPr>
          <w:rFonts w:ascii="Verdana" w:hAnsi="Verdana"/>
          <w:sz w:val="20"/>
        </w:rPr>
        <w:t>de su territorio</w:t>
      </w:r>
      <w:r w:rsidR="00382FE1">
        <w:rPr>
          <w:rFonts w:ascii="Verdana" w:hAnsi="Verdana"/>
          <w:sz w:val="20"/>
        </w:rPr>
        <w:t>]</w:t>
      </w:r>
      <w:r w:rsidRPr="007F327D">
        <w:rPr>
          <w:rFonts w:ascii="Verdana" w:hAnsi="Verdana"/>
          <w:sz w:val="20"/>
        </w:rPr>
        <w:t xml:space="preserve">. Segundo, el Estado debe garantizar que los miembros de los [pueblos indígenas y tribales] se beneficien razonablemente del plan que se lleve a cabo dentro de su territorio. Tercero, el Estado debe garantizar que no se emitirá ninguna concesión dentro de su territorio a menos y hasta que entidades independientes y técnicamente capaces, bajo la supervisión del Estado, realicen un estudio previo de impacto social y ambiental.  Mediante estas salvaguardas se intenta preservar, proteger y garantizar la relación especial que los miembros de </w:t>
      </w:r>
      <w:r w:rsidR="00382FE1">
        <w:rPr>
          <w:rFonts w:ascii="Verdana" w:hAnsi="Verdana"/>
          <w:sz w:val="20"/>
        </w:rPr>
        <w:t>[</w:t>
      </w:r>
      <w:r w:rsidRPr="007F327D">
        <w:rPr>
          <w:rFonts w:ascii="Verdana" w:hAnsi="Verdana"/>
          <w:sz w:val="20"/>
        </w:rPr>
        <w:t xml:space="preserve">los pueblos indígenas y tribales], tienen con su territorio, la cual a su vez, garantiza su subsistencia </w:t>
      </w:r>
      <w:r w:rsidR="00382FE1">
        <w:rPr>
          <w:rFonts w:ascii="Verdana" w:hAnsi="Verdana"/>
          <w:sz w:val="20"/>
        </w:rPr>
        <w:t>[</w:t>
      </w:r>
      <w:r w:rsidRPr="007F327D">
        <w:rPr>
          <w:rFonts w:ascii="Verdana" w:hAnsi="Verdana"/>
          <w:sz w:val="20"/>
        </w:rPr>
        <w:t>como pueblo indígena</w:t>
      </w:r>
      <w:r w:rsidR="00382FE1">
        <w:rPr>
          <w:rFonts w:ascii="Verdana" w:hAnsi="Verdana"/>
          <w:sz w:val="20"/>
        </w:rPr>
        <w:t>]</w:t>
      </w:r>
      <w:r w:rsidRPr="007F327D">
        <w:rPr>
          <w:rFonts w:ascii="Verdana" w:hAnsi="Verdana"/>
          <w:sz w:val="20"/>
        </w:rPr>
        <w:t>”</w:t>
      </w:r>
      <w:r w:rsidRPr="007F327D">
        <w:rPr>
          <w:rStyle w:val="FootnoteReference"/>
        </w:rPr>
        <w:footnoteReference w:id="239"/>
      </w:r>
      <w:r w:rsidRPr="007F327D">
        <w:rPr>
          <w:rFonts w:ascii="Verdana" w:hAnsi="Verdana"/>
          <w:sz w:val="20"/>
        </w:rPr>
        <w:t>.</w:t>
      </w:r>
      <w:r w:rsidRPr="00CE07CA">
        <w:rPr>
          <w:rFonts w:ascii="Verdana" w:hAnsi="Verdana"/>
          <w:sz w:val="20"/>
          <w:szCs w:val="20"/>
          <w:lang w:val="es-PE"/>
        </w:rPr>
        <w:t xml:space="preserve"> En el presente caso, la Corte </w:t>
      </w:r>
      <w:r w:rsidRPr="00CE07CA">
        <w:rPr>
          <w:rFonts w:ascii="Verdana" w:hAnsi="Verdana"/>
          <w:sz w:val="20"/>
          <w:szCs w:val="20"/>
          <w:lang w:val="es-PE"/>
        </w:rPr>
        <w:lastRenderedPageBreak/>
        <w:t>analizará el alegado incumplimiento de las referidas salvaguardias por parte del Estado, en relación con el inicio de actividades de extracción de bauxita en 1997.</w:t>
      </w:r>
    </w:p>
    <w:p w14:paraId="56B0B06D" w14:textId="77777777" w:rsidR="004F1899" w:rsidRPr="007F327D" w:rsidRDefault="004F1899" w:rsidP="00190AD3">
      <w:pPr>
        <w:rPr>
          <w:szCs w:val="20"/>
          <w:lang w:val="es-CR"/>
        </w:rPr>
      </w:pPr>
    </w:p>
    <w:p w14:paraId="5E57AD93" w14:textId="77777777" w:rsidR="008464D3" w:rsidRPr="004B0145" w:rsidRDefault="004F1899" w:rsidP="004F1899">
      <w:pPr>
        <w:pStyle w:val="ListParagraph"/>
        <w:numPr>
          <w:ilvl w:val="0"/>
          <w:numId w:val="2"/>
        </w:numPr>
        <w:ind w:left="0" w:hanging="11"/>
        <w:jc w:val="both"/>
        <w:rPr>
          <w:rFonts w:ascii="Verdana" w:hAnsi="Verdana"/>
          <w:sz w:val="20"/>
          <w:szCs w:val="20"/>
        </w:rPr>
      </w:pPr>
      <w:r w:rsidRPr="007F327D">
        <w:rPr>
          <w:rFonts w:ascii="Verdana" w:hAnsi="Verdana"/>
          <w:sz w:val="20"/>
          <w:szCs w:val="20"/>
          <w:lang w:val="es-PE"/>
        </w:rPr>
        <w:t xml:space="preserve">Adicionalmente a lo anterior, </w:t>
      </w:r>
      <w:r w:rsidRPr="007F327D">
        <w:rPr>
          <w:rFonts w:ascii="Verdana" w:hAnsi="Verdana"/>
          <w:sz w:val="20"/>
          <w:szCs w:val="20"/>
        </w:rPr>
        <w:t xml:space="preserve">la Corte reitera que el artículo 23 de la Convención Americana dispone </w:t>
      </w:r>
      <w:r w:rsidR="00E908CE">
        <w:rPr>
          <w:rFonts w:ascii="Verdana" w:hAnsi="Verdana"/>
          <w:sz w:val="20"/>
          <w:szCs w:val="20"/>
        </w:rPr>
        <w:t xml:space="preserve">que “todos los ciudadanos deben gozar de los siguientes </w:t>
      </w:r>
      <w:r w:rsidRPr="007F327D">
        <w:rPr>
          <w:rFonts w:ascii="Verdana" w:hAnsi="Verdana"/>
          <w:sz w:val="20"/>
          <w:szCs w:val="20"/>
        </w:rPr>
        <w:t>derechos y oportunidades</w:t>
      </w:r>
      <w:r w:rsidR="00E908CE">
        <w:rPr>
          <w:rFonts w:ascii="Verdana" w:hAnsi="Verdana"/>
          <w:sz w:val="20"/>
          <w:szCs w:val="20"/>
        </w:rPr>
        <w:t>:</w:t>
      </w:r>
      <w:r w:rsidRPr="007F327D">
        <w:rPr>
          <w:rFonts w:ascii="Verdana" w:hAnsi="Verdana"/>
          <w:sz w:val="20"/>
          <w:szCs w:val="20"/>
        </w:rPr>
        <w:t xml:space="preserve"> </w:t>
      </w:r>
      <w:r w:rsidR="00E908CE">
        <w:rPr>
          <w:rFonts w:ascii="Verdana" w:hAnsi="Verdana"/>
          <w:sz w:val="20"/>
          <w:szCs w:val="20"/>
        </w:rPr>
        <w:t>a</w:t>
      </w:r>
      <w:r w:rsidR="000D7B24">
        <w:rPr>
          <w:rFonts w:ascii="Verdana" w:hAnsi="Verdana"/>
          <w:sz w:val="20"/>
          <w:szCs w:val="20"/>
        </w:rPr>
        <w:t>)</w:t>
      </w:r>
      <w:r w:rsidRPr="007F327D">
        <w:rPr>
          <w:rFonts w:ascii="Verdana" w:hAnsi="Verdana"/>
          <w:sz w:val="20"/>
          <w:szCs w:val="20"/>
        </w:rPr>
        <w:t xml:space="preserve"> </w:t>
      </w:r>
      <w:r w:rsidR="00F13D39">
        <w:rPr>
          <w:rFonts w:ascii="Verdana" w:hAnsi="Verdana"/>
          <w:sz w:val="20"/>
          <w:szCs w:val="20"/>
        </w:rPr>
        <w:t xml:space="preserve">[…] </w:t>
      </w:r>
      <w:r w:rsidRPr="007F327D">
        <w:rPr>
          <w:rFonts w:ascii="Verdana" w:hAnsi="Verdana"/>
          <w:sz w:val="20"/>
          <w:szCs w:val="20"/>
        </w:rPr>
        <w:t>participar en la dirección de los asuntos públicos […]”. En similar sentido, el artículo 18 de la Declaración de</w:t>
      </w:r>
      <w:r w:rsidR="00F13D39">
        <w:rPr>
          <w:rFonts w:ascii="Verdana" w:hAnsi="Verdana"/>
          <w:sz w:val="20"/>
          <w:szCs w:val="20"/>
        </w:rPr>
        <w:t xml:space="preserve"> las</w:t>
      </w:r>
      <w:r w:rsidRPr="007F327D">
        <w:rPr>
          <w:rFonts w:ascii="Verdana" w:hAnsi="Verdana"/>
          <w:sz w:val="20"/>
          <w:szCs w:val="20"/>
        </w:rPr>
        <w:t xml:space="preserve"> Naciones Unidas sobre </w:t>
      </w:r>
      <w:r w:rsidR="00F13D39">
        <w:rPr>
          <w:rFonts w:ascii="Verdana" w:hAnsi="Verdana"/>
          <w:sz w:val="20"/>
          <w:szCs w:val="20"/>
        </w:rPr>
        <w:t xml:space="preserve">los Derechos de los </w:t>
      </w:r>
      <w:r w:rsidRPr="007F327D">
        <w:rPr>
          <w:rFonts w:ascii="Verdana" w:hAnsi="Verdana"/>
          <w:sz w:val="20"/>
          <w:szCs w:val="20"/>
        </w:rPr>
        <w:t>Pueblos Indígenas</w:t>
      </w:r>
      <w:r w:rsidR="00E908CE">
        <w:rPr>
          <w:rFonts w:ascii="Verdana" w:hAnsi="Verdana"/>
          <w:sz w:val="20"/>
          <w:szCs w:val="20"/>
        </w:rPr>
        <w:t xml:space="preserve"> </w:t>
      </w:r>
      <w:r w:rsidRPr="007F327D">
        <w:rPr>
          <w:rFonts w:ascii="Verdana" w:hAnsi="Verdana"/>
          <w:sz w:val="20"/>
          <w:szCs w:val="20"/>
          <w:lang w:val="es-PR"/>
        </w:rPr>
        <w:t xml:space="preserve">establece </w:t>
      </w:r>
      <w:r w:rsidR="00F13D39">
        <w:rPr>
          <w:rFonts w:ascii="Verdana" w:hAnsi="Verdana"/>
          <w:sz w:val="20"/>
          <w:szCs w:val="20"/>
          <w:lang w:val="es-PR"/>
        </w:rPr>
        <w:t>que</w:t>
      </w:r>
      <w:r w:rsidR="00C33621">
        <w:rPr>
          <w:rFonts w:ascii="Verdana" w:hAnsi="Verdana"/>
          <w:sz w:val="20"/>
          <w:szCs w:val="20"/>
          <w:lang w:val="es-PR"/>
        </w:rPr>
        <w:t xml:space="preserve"> </w:t>
      </w:r>
      <w:r w:rsidRPr="007F327D">
        <w:rPr>
          <w:rFonts w:ascii="Verdana" w:hAnsi="Verdana"/>
          <w:sz w:val="20"/>
          <w:szCs w:val="20"/>
          <w:lang w:val="es-PR"/>
        </w:rPr>
        <w:t>“el derecho [de los pueblos indígenas] a participar en la adopción de decisiones en las cuestiones que afecten a sus derechos, por conducto de representantes […]”, y el artículo 32, en lo pertinente, dispone el deber de los Estados de “celebr</w:t>
      </w:r>
      <w:r w:rsidR="00F13D39">
        <w:rPr>
          <w:rFonts w:ascii="Verdana" w:hAnsi="Verdana"/>
          <w:sz w:val="20"/>
          <w:szCs w:val="20"/>
          <w:lang w:val="es-PR"/>
        </w:rPr>
        <w:t>[</w:t>
      </w:r>
      <w:r w:rsidRPr="007F327D">
        <w:rPr>
          <w:rFonts w:ascii="Verdana" w:hAnsi="Verdana"/>
          <w:sz w:val="20"/>
          <w:szCs w:val="20"/>
          <w:lang w:val="es-PR"/>
        </w:rPr>
        <w:t>ar</w:t>
      </w:r>
      <w:r w:rsidR="00F13D39">
        <w:rPr>
          <w:rFonts w:ascii="Verdana" w:hAnsi="Verdana"/>
          <w:sz w:val="20"/>
          <w:szCs w:val="20"/>
          <w:lang w:val="es-PR"/>
        </w:rPr>
        <w:t>]</w:t>
      </w:r>
      <w:r w:rsidRPr="007F327D">
        <w:rPr>
          <w:rFonts w:ascii="Verdana" w:hAnsi="Verdana"/>
          <w:sz w:val="20"/>
          <w:szCs w:val="20"/>
          <w:lang w:val="es-PR"/>
        </w:rPr>
        <w:t xml:space="preserve"> consultas y coopera</w:t>
      </w:r>
      <w:r w:rsidR="00F13D39">
        <w:rPr>
          <w:rFonts w:ascii="Verdana" w:hAnsi="Verdana"/>
          <w:sz w:val="20"/>
          <w:szCs w:val="20"/>
          <w:lang w:val="es-PR"/>
        </w:rPr>
        <w:t>[</w:t>
      </w:r>
      <w:r w:rsidRPr="007F327D">
        <w:rPr>
          <w:rFonts w:ascii="Verdana" w:hAnsi="Verdana"/>
          <w:sz w:val="20"/>
          <w:szCs w:val="20"/>
          <w:lang w:val="es-PR"/>
        </w:rPr>
        <w:t>ción</w:t>
      </w:r>
      <w:r w:rsidR="00F13D39">
        <w:rPr>
          <w:rFonts w:ascii="Verdana" w:hAnsi="Verdana"/>
          <w:sz w:val="20"/>
          <w:szCs w:val="20"/>
          <w:lang w:val="es-PR"/>
        </w:rPr>
        <w:t>]</w:t>
      </w:r>
      <w:r w:rsidRPr="007F327D">
        <w:rPr>
          <w:rFonts w:ascii="Verdana" w:hAnsi="Verdana"/>
          <w:sz w:val="20"/>
          <w:szCs w:val="20"/>
          <w:lang w:val="es-PR"/>
        </w:rPr>
        <w:t xml:space="preserve"> de buena fe […] antes de aprobar cualquier proyecto que afecte sus tierras […], particularmente en relación con [</w:t>
      </w:r>
      <w:r w:rsidR="00F13D39">
        <w:rPr>
          <w:rFonts w:ascii="Verdana" w:hAnsi="Verdana"/>
          <w:sz w:val="20"/>
          <w:szCs w:val="20"/>
          <w:lang w:val="es-PR"/>
        </w:rPr>
        <w:t xml:space="preserve">…] </w:t>
      </w:r>
      <w:r w:rsidRPr="007F327D">
        <w:rPr>
          <w:rFonts w:ascii="Verdana" w:hAnsi="Verdana"/>
          <w:sz w:val="20"/>
          <w:szCs w:val="20"/>
          <w:lang w:val="es-PR"/>
        </w:rPr>
        <w:t>la utilización o la explotación de recursos minerales […]”</w:t>
      </w:r>
      <w:r w:rsidRPr="00081FC8">
        <w:rPr>
          <w:rStyle w:val="FootnoteReference"/>
          <w:szCs w:val="20"/>
          <w:lang w:val="es-PR"/>
        </w:rPr>
        <w:footnoteReference w:id="240"/>
      </w:r>
      <w:r w:rsidRPr="007F327D">
        <w:rPr>
          <w:rFonts w:ascii="Verdana" w:hAnsi="Verdana"/>
          <w:sz w:val="20"/>
          <w:szCs w:val="20"/>
          <w:lang w:val="es-PR"/>
        </w:rPr>
        <w:t>.</w:t>
      </w:r>
    </w:p>
    <w:p w14:paraId="42592836" w14:textId="77777777" w:rsidR="008464D3" w:rsidRPr="004B0145" w:rsidRDefault="008464D3" w:rsidP="004B0145">
      <w:pPr>
        <w:pStyle w:val="ListParagraph"/>
        <w:rPr>
          <w:rFonts w:ascii="Verdana" w:hAnsi="Verdana"/>
          <w:sz w:val="20"/>
          <w:szCs w:val="20"/>
          <w:lang w:val="es-PR"/>
        </w:rPr>
      </w:pPr>
    </w:p>
    <w:p w14:paraId="63A9A024" w14:textId="7BBEFDBA" w:rsidR="004F1899" w:rsidRPr="007F327D" w:rsidRDefault="004F1899" w:rsidP="004F1899">
      <w:pPr>
        <w:pStyle w:val="ListParagraph"/>
        <w:numPr>
          <w:ilvl w:val="0"/>
          <w:numId w:val="2"/>
        </w:numPr>
        <w:ind w:left="0" w:hanging="11"/>
        <w:jc w:val="both"/>
        <w:rPr>
          <w:rFonts w:ascii="Verdana" w:hAnsi="Verdana"/>
          <w:sz w:val="20"/>
          <w:szCs w:val="20"/>
        </w:rPr>
      </w:pPr>
      <w:r w:rsidRPr="007F327D">
        <w:rPr>
          <w:rFonts w:ascii="Verdana" w:hAnsi="Verdana"/>
          <w:sz w:val="20"/>
          <w:szCs w:val="20"/>
        </w:rPr>
        <w:t xml:space="preserve">En vista de ello, a fin de garantizar el uso y goce del derecho a la propiedad colectiva indígena, </w:t>
      </w:r>
      <w:r w:rsidR="007078B7">
        <w:rPr>
          <w:rFonts w:ascii="Verdana" w:hAnsi="Verdana"/>
          <w:sz w:val="20"/>
          <w:szCs w:val="20"/>
        </w:rPr>
        <w:t xml:space="preserve">conforme a </w:t>
      </w:r>
      <w:r w:rsidRPr="007F327D">
        <w:rPr>
          <w:rFonts w:ascii="Verdana" w:hAnsi="Verdana"/>
          <w:sz w:val="20"/>
          <w:szCs w:val="20"/>
        </w:rPr>
        <w:t>los artículo</w:t>
      </w:r>
      <w:r w:rsidR="00F13D39">
        <w:rPr>
          <w:rFonts w:ascii="Verdana" w:hAnsi="Verdana"/>
          <w:sz w:val="20"/>
          <w:szCs w:val="20"/>
        </w:rPr>
        <w:t>s</w:t>
      </w:r>
      <w:r w:rsidRPr="007F327D">
        <w:rPr>
          <w:rFonts w:ascii="Verdana" w:hAnsi="Verdana"/>
          <w:sz w:val="20"/>
          <w:szCs w:val="20"/>
        </w:rPr>
        <w:t xml:space="preserve"> 1.1 y 21 de la Convención, frente a la utilización o explotación de recursos naturales en su territorio tradicional, el Estado debe</w:t>
      </w:r>
      <w:r w:rsidR="00BF58DC">
        <w:rPr>
          <w:rFonts w:ascii="Verdana" w:hAnsi="Verdana"/>
          <w:sz w:val="20"/>
          <w:szCs w:val="20"/>
        </w:rPr>
        <w:t>, para efectos del presente caso,</w:t>
      </w:r>
      <w:r w:rsidRPr="007F327D">
        <w:rPr>
          <w:rFonts w:ascii="Verdana" w:hAnsi="Verdana"/>
          <w:sz w:val="20"/>
          <w:szCs w:val="20"/>
        </w:rPr>
        <w:t xml:space="preserve"> contar con mecanismos para </w:t>
      </w:r>
      <w:r w:rsidR="00C96C7E">
        <w:rPr>
          <w:rFonts w:ascii="Verdana" w:hAnsi="Verdana"/>
          <w:sz w:val="20"/>
          <w:szCs w:val="20"/>
        </w:rPr>
        <w:t xml:space="preserve">garantizar </w:t>
      </w:r>
      <w:r w:rsidRPr="007F327D">
        <w:rPr>
          <w:rFonts w:ascii="Verdana" w:hAnsi="Verdana"/>
          <w:sz w:val="20"/>
          <w:szCs w:val="20"/>
        </w:rPr>
        <w:t>la participación efectiva de los pueblos indígenas, a través de procedimientos culturalmente adecuados para la toma de decisiones de dichos pueblos. Lo anterior</w:t>
      </w:r>
      <w:r w:rsidR="00F13D39">
        <w:rPr>
          <w:rFonts w:ascii="Verdana" w:hAnsi="Verdana"/>
          <w:sz w:val="20"/>
          <w:szCs w:val="20"/>
        </w:rPr>
        <w:t xml:space="preserve"> </w:t>
      </w:r>
      <w:r w:rsidRPr="007F327D">
        <w:rPr>
          <w:rFonts w:ascii="Verdana" w:hAnsi="Verdana"/>
          <w:sz w:val="20"/>
          <w:szCs w:val="20"/>
        </w:rPr>
        <w:t>no s</w:t>
      </w:r>
      <w:r w:rsidR="00F13D39">
        <w:rPr>
          <w:rFonts w:ascii="Verdana" w:hAnsi="Verdana"/>
          <w:sz w:val="20"/>
          <w:szCs w:val="20"/>
        </w:rPr>
        <w:t>o</w:t>
      </w:r>
      <w:r w:rsidRPr="007F327D">
        <w:rPr>
          <w:rFonts w:ascii="Verdana" w:hAnsi="Verdana"/>
          <w:sz w:val="20"/>
          <w:szCs w:val="20"/>
        </w:rPr>
        <w:t xml:space="preserve">lo </w:t>
      </w:r>
      <w:r w:rsidR="00E673A9">
        <w:rPr>
          <w:rFonts w:ascii="Verdana" w:hAnsi="Verdana"/>
          <w:sz w:val="20"/>
          <w:szCs w:val="20"/>
        </w:rPr>
        <w:t>consiste en</w:t>
      </w:r>
      <w:r w:rsidRPr="007F327D">
        <w:rPr>
          <w:rFonts w:ascii="Verdana" w:hAnsi="Verdana"/>
          <w:sz w:val="20"/>
          <w:szCs w:val="20"/>
        </w:rPr>
        <w:t xml:space="preserve"> un asunto de interés público</w:t>
      </w:r>
      <w:r w:rsidR="00F13D39">
        <w:rPr>
          <w:rFonts w:ascii="Verdana" w:hAnsi="Verdana"/>
          <w:sz w:val="20"/>
          <w:szCs w:val="20"/>
        </w:rPr>
        <w:t>,</w:t>
      </w:r>
      <w:r w:rsidRPr="007F327D">
        <w:rPr>
          <w:rFonts w:ascii="Verdana" w:hAnsi="Verdana"/>
          <w:sz w:val="20"/>
          <w:szCs w:val="20"/>
        </w:rPr>
        <w:t xml:space="preserve"> sino </w:t>
      </w:r>
      <w:r w:rsidR="00E673A9">
        <w:rPr>
          <w:rFonts w:ascii="Verdana" w:hAnsi="Verdana"/>
          <w:sz w:val="20"/>
          <w:szCs w:val="20"/>
        </w:rPr>
        <w:t xml:space="preserve">que </w:t>
      </w:r>
      <w:r w:rsidRPr="007F327D">
        <w:rPr>
          <w:rFonts w:ascii="Verdana" w:hAnsi="Verdana"/>
          <w:sz w:val="20"/>
          <w:szCs w:val="20"/>
        </w:rPr>
        <w:t xml:space="preserve">también </w:t>
      </w:r>
      <w:r w:rsidR="00E673A9">
        <w:rPr>
          <w:rFonts w:ascii="Verdana" w:hAnsi="Verdana"/>
          <w:sz w:val="20"/>
          <w:szCs w:val="20"/>
        </w:rPr>
        <w:t>forma</w:t>
      </w:r>
      <w:r w:rsidRPr="007F327D">
        <w:rPr>
          <w:rFonts w:ascii="Verdana" w:hAnsi="Verdana"/>
          <w:sz w:val="20"/>
          <w:szCs w:val="20"/>
        </w:rPr>
        <w:t xml:space="preserve"> parte del ejercicio de su derecho a participar en la adopción de decisiones en las cuestiones que afectan sus </w:t>
      </w:r>
      <w:r w:rsidR="00E673A9">
        <w:rPr>
          <w:rFonts w:ascii="Verdana" w:hAnsi="Verdana"/>
          <w:sz w:val="20"/>
          <w:szCs w:val="20"/>
        </w:rPr>
        <w:t>intereses</w:t>
      </w:r>
      <w:r w:rsidRPr="007F327D">
        <w:rPr>
          <w:rFonts w:ascii="Verdana" w:hAnsi="Verdana"/>
          <w:sz w:val="20"/>
          <w:szCs w:val="20"/>
        </w:rPr>
        <w:t>, de conformidad con sus propios procedimientos e instituciones, en relación con el artículo 23 de la Convención Americana (</w:t>
      </w:r>
      <w:r w:rsidRPr="007F327D">
        <w:rPr>
          <w:rFonts w:ascii="Verdana" w:hAnsi="Verdana"/>
          <w:i/>
          <w:sz w:val="20"/>
          <w:szCs w:val="20"/>
        </w:rPr>
        <w:t xml:space="preserve">supra </w:t>
      </w:r>
      <w:r w:rsidRPr="007F327D">
        <w:rPr>
          <w:rFonts w:ascii="Verdana" w:hAnsi="Verdana"/>
          <w:sz w:val="20"/>
          <w:szCs w:val="20"/>
        </w:rPr>
        <w:t xml:space="preserve">párr. </w:t>
      </w:r>
      <w:r w:rsidR="00F13D39">
        <w:rPr>
          <w:rFonts w:ascii="Verdana" w:hAnsi="Verdana"/>
          <w:sz w:val="20"/>
          <w:szCs w:val="20"/>
        </w:rPr>
        <w:t>196</w:t>
      </w:r>
      <w:r w:rsidRPr="007F327D">
        <w:rPr>
          <w:rFonts w:ascii="Verdana" w:hAnsi="Verdana"/>
          <w:sz w:val="20"/>
          <w:szCs w:val="20"/>
        </w:rPr>
        <w:t>)</w:t>
      </w:r>
      <w:r w:rsidRPr="007F327D">
        <w:rPr>
          <w:rStyle w:val="FootnoteReference"/>
          <w:szCs w:val="20"/>
        </w:rPr>
        <w:footnoteReference w:id="241"/>
      </w:r>
      <w:r w:rsidRPr="007F327D">
        <w:rPr>
          <w:rFonts w:ascii="Verdana" w:hAnsi="Verdana"/>
          <w:sz w:val="20"/>
          <w:szCs w:val="20"/>
        </w:rPr>
        <w:t>.</w:t>
      </w:r>
    </w:p>
    <w:p w14:paraId="7D718221" w14:textId="77777777" w:rsidR="004F1899" w:rsidRPr="00167DB0" w:rsidRDefault="004F1899" w:rsidP="004F1899">
      <w:pPr>
        <w:pStyle w:val="ListParagraph"/>
        <w:ind w:left="0"/>
        <w:jc w:val="both"/>
        <w:rPr>
          <w:lang w:val="es-CR"/>
        </w:rPr>
      </w:pPr>
    </w:p>
    <w:p w14:paraId="069A3243" w14:textId="77777777" w:rsidR="004F1899" w:rsidRDefault="00E673A9" w:rsidP="004F1899">
      <w:pPr>
        <w:pStyle w:val="ListParagraph"/>
        <w:numPr>
          <w:ilvl w:val="0"/>
          <w:numId w:val="37"/>
        </w:numPr>
        <w:shd w:val="clear" w:color="auto" w:fill="FFFFFF"/>
        <w:jc w:val="both"/>
        <w:textAlignment w:val="top"/>
        <w:rPr>
          <w:rFonts w:ascii="Verdana" w:hAnsi="Verdana"/>
          <w:b/>
          <w:i/>
          <w:sz w:val="20"/>
          <w:lang w:val="es-CR" w:eastAsia="es-ES"/>
        </w:rPr>
      </w:pPr>
      <w:r>
        <w:rPr>
          <w:rFonts w:ascii="Verdana" w:hAnsi="Verdana"/>
          <w:b/>
          <w:i/>
          <w:sz w:val="20"/>
          <w:lang w:val="es-CR" w:eastAsia="es-ES"/>
        </w:rPr>
        <w:t>P</w:t>
      </w:r>
      <w:r w:rsidR="004F1899" w:rsidRPr="00CE07CA">
        <w:rPr>
          <w:rFonts w:ascii="Verdana" w:hAnsi="Verdana"/>
          <w:b/>
          <w:i/>
          <w:sz w:val="20"/>
          <w:lang w:val="es-CR" w:eastAsia="es-ES"/>
        </w:rPr>
        <w:t>articipación efectiva</w:t>
      </w:r>
      <w:r>
        <w:rPr>
          <w:rFonts w:ascii="Verdana" w:hAnsi="Verdana"/>
          <w:b/>
          <w:i/>
          <w:sz w:val="20"/>
          <w:lang w:val="es-CR" w:eastAsia="es-ES"/>
        </w:rPr>
        <w:t xml:space="preserve"> a través de un proceso de consulta</w:t>
      </w:r>
    </w:p>
    <w:p w14:paraId="6486FAFF" w14:textId="77777777" w:rsidR="00AE60CD" w:rsidRPr="00CE07CA" w:rsidRDefault="00AE60CD" w:rsidP="00190AD3">
      <w:pPr>
        <w:pStyle w:val="ListParagraph"/>
        <w:shd w:val="clear" w:color="auto" w:fill="FFFFFF"/>
        <w:ind w:left="2160"/>
        <w:jc w:val="both"/>
        <w:textAlignment w:val="top"/>
        <w:rPr>
          <w:rFonts w:ascii="Verdana" w:hAnsi="Verdana"/>
          <w:b/>
          <w:i/>
          <w:sz w:val="20"/>
          <w:lang w:val="es-CR" w:eastAsia="es-ES"/>
        </w:rPr>
      </w:pPr>
    </w:p>
    <w:p w14:paraId="392ADC67" w14:textId="3A78C5E2" w:rsidR="008464D3" w:rsidRPr="004B0145" w:rsidRDefault="004F1899" w:rsidP="004B0145">
      <w:pPr>
        <w:pStyle w:val="ListParagraph"/>
        <w:numPr>
          <w:ilvl w:val="0"/>
          <w:numId w:val="2"/>
        </w:numPr>
        <w:ind w:left="0" w:hanging="11"/>
        <w:jc w:val="both"/>
        <w:rPr>
          <w:rFonts w:ascii="Verdana" w:hAnsi="Verdana"/>
          <w:sz w:val="20"/>
          <w:lang w:val="es-CR"/>
        </w:rPr>
      </w:pPr>
      <w:r w:rsidRPr="008464D3">
        <w:rPr>
          <w:rFonts w:ascii="Verdana" w:hAnsi="Verdana"/>
          <w:sz w:val="20"/>
          <w:lang w:val="es-MX"/>
        </w:rPr>
        <w:t>E</w:t>
      </w:r>
      <w:r w:rsidRPr="008464D3">
        <w:rPr>
          <w:rFonts w:ascii="Verdana" w:hAnsi="Verdana"/>
          <w:sz w:val="20"/>
          <w:lang w:val="es-CR"/>
        </w:rPr>
        <w:t>n el presente caso, el Estado en su contestación “</w:t>
      </w:r>
      <w:r w:rsidRPr="008464D3">
        <w:rPr>
          <w:rFonts w:ascii="Verdana" w:hAnsi="Verdana"/>
          <w:sz w:val="20"/>
        </w:rPr>
        <w:t>recono[ció] que la consulta es un instrumento importante para asegurar un mayor apoyo de los pueblos y que estos se vean beneficiados por los procesos de desarrollo”, por lo que informó que, en la actualidad, Surinam está trabajando en la implementación de una comisión para el establecimiento de un protocolo que refleje el principio de</w:t>
      </w:r>
      <w:r w:rsidR="00F13D39" w:rsidRPr="008464D3">
        <w:rPr>
          <w:rFonts w:ascii="Verdana" w:hAnsi="Verdana"/>
          <w:sz w:val="20"/>
        </w:rPr>
        <w:t>l</w:t>
      </w:r>
      <w:r w:rsidRPr="008464D3">
        <w:rPr>
          <w:rFonts w:ascii="Verdana" w:hAnsi="Verdana"/>
          <w:sz w:val="20"/>
        </w:rPr>
        <w:t xml:space="preserve"> co</w:t>
      </w:r>
      <w:r w:rsidR="00F13D39" w:rsidRPr="008464D3">
        <w:rPr>
          <w:rFonts w:ascii="Verdana" w:hAnsi="Verdana"/>
          <w:sz w:val="20"/>
        </w:rPr>
        <w:t>nsentimiento</w:t>
      </w:r>
      <w:r w:rsidRPr="008464D3">
        <w:rPr>
          <w:rFonts w:ascii="Verdana" w:hAnsi="Verdana"/>
          <w:sz w:val="20"/>
        </w:rPr>
        <w:t xml:space="preserve"> libre, previ</w:t>
      </w:r>
      <w:r w:rsidR="00F13D39" w:rsidRPr="008464D3">
        <w:rPr>
          <w:rFonts w:ascii="Verdana" w:hAnsi="Verdana"/>
          <w:sz w:val="20"/>
        </w:rPr>
        <w:t>o</w:t>
      </w:r>
      <w:r w:rsidRPr="008464D3">
        <w:rPr>
          <w:rFonts w:ascii="Verdana" w:hAnsi="Verdana"/>
          <w:sz w:val="20"/>
        </w:rPr>
        <w:t xml:space="preserve"> e informad</w:t>
      </w:r>
      <w:r w:rsidR="00F13D39" w:rsidRPr="008464D3">
        <w:rPr>
          <w:rFonts w:ascii="Verdana" w:hAnsi="Verdana"/>
          <w:sz w:val="20"/>
        </w:rPr>
        <w:t>o</w:t>
      </w:r>
      <w:r w:rsidRPr="008464D3">
        <w:rPr>
          <w:rFonts w:ascii="Verdana" w:hAnsi="Verdana"/>
          <w:sz w:val="20"/>
        </w:rPr>
        <w:t xml:space="preserve"> de los pueblos (</w:t>
      </w:r>
      <w:r w:rsidRPr="008464D3">
        <w:rPr>
          <w:rFonts w:ascii="Verdana" w:hAnsi="Verdana"/>
          <w:i/>
          <w:sz w:val="20"/>
        </w:rPr>
        <w:t xml:space="preserve">infra </w:t>
      </w:r>
      <w:r w:rsidRPr="008464D3">
        <w:rPr>
          <w:rFonts w:ascii="Verdana" w:hAnsi="Verdana"/>
          <w:sz w:val="20"/>
        </w:rPr>
        <w:t xml:space="preserve">párr. </w:t>
      </w:r>
      <w:r w:rsidR="00F13D39" w:rsidRPr="008464D3">
        <w:rPr>
          <w:rFonts w:ascii="Verdana" w:hAnsi="Verdana"/>
          <w:sz w:val="20"/>
        </w:rPr>
        <w:t>210</w:t>
      </w:r>
      <w:r w:rsidRPr="008464D3">
        <w:rPr>
          <w:rFonts w:ascii="Verdana" w:hAnsi="Verdana"/>
          <w:sz w:val="20"/>
        </w:rPr>
        <w:t>). Asimismo, en sus alegatos finales escritos, el Estado señaló que el “principio del consentimiento libre, previo e informado [era] un requerimiento internacional al cual los Estados debían adherirse al momento de consultar a los pueblos indígenas y tribales. Ello significa[ba] que los Estados debían cumplir con los siguientes requisitos: respetar las tradiciones culturales de las comunidades</w:t>
      </w:r>
      <w:r w:rsidR="00F13D39" w:rsidRPr="008464D3">
        <w:rPr>
          <w:rFonts w:ascii="Verdana" w:hAnsi="Verdana"/>
          <w:sz w:val="20"/>
        </w:rPr>
        <w:t>,</w:t>
      </w:r>
      <w:r w:rsidRPr="008464D3">
        <w:rPr>
          <w:rFonts w:ascii="Verdana" w:hAnsi="Verdana"/>
          <w:sz w:val="20"/>
        </w:rPr>
        <w:t xml:space="preserve"> darles la oportunidad de ser representados por las personas u organizaciones que ellos elijan</w:t>
      </w:r>
      <w:r w:rsidR="00F13D39" w:rsidRPr="008464D3">
        <w:rPr>
          <w:rFonts w:ascii="Verdana" w:hAnsi="Verdana"/>
          <w:sz w:val="20"/>
        </w:rPr>
        <w:t>,</w:t>
      </w:r>
      <w:r w:rsidRPr="008464D3">
        <w:rPr>
          <w:rFonts w:ascii="Verdana" w:hAnsi="Verdana"/>
          <w:sz w:val="20"/>
        </w:rPr>
        <w:t xml:space="preserve"> informarles previamente respecto al tema [respectivo] en un lenguaje entendible. En resumen, ello significa[ba] que debía existir una estructura clara de consulta previa con las comunidades. El Estado de Surinam declaró estar aplicando este principio</w:t>
      </w:r>
      <w:r w:rsidR="00F13D39" w:rsidRPr="008464D3">
        <w:rPr>
          <w:rFonts w:ascii="Verdana" w:hAnsi="Verdana"/>
          <w:sz w:val="20"/>
        </w:rPr>
        <w:t xml:space="preserve"> […]</w:t>
      </w:r>
      <w:r w:rsidRPr="008464D3">
        <w:rPr>
          <w:rFonts w:ascii="Verdana" w:hAnsi="Verdana"/>
          <w:sz w:val="20"/>
        </w:rPr>
        <w:t>.</w:t>
      </w:r>
      <w:r w:rsidR="00E673A9" w:rsidRPr="008464D3">
        <w:rPr>
          <w:rFonts w:ascii="Verdana" w:hAnsi="Verdana"/>
          <w:sz w:val="20"/>
        </w:rPr>
        <w:t xml:space="preserve"> </w:t>
      </w:r>
      <w:r w:rsidRPr="008464D3">
        <w:rPr>
          <w:rFonts w:ascii="Verdana" w:hAnsi="Verdana"/>
          <w:sz w:val="20"/>
        </w:rPr>
        <w:t>Desarrollar regulaciones respecto de la con</w:t>
      </w:r>
      <w:r w:rsidR="00243E73" w:rsidRPr="008464D3">
        <w:rPr>
          <w:rFonts w:ascii="Verdana" w:hAnsi="Verdana"/>
          <w:sz w:val="20"/>
        </w:rPr>
        <w:t>sentimiento</w:t>
      </w:r>
      <w:r w:rsidRPr="008464D3">
        <w:rPr>
          <w:rFonts w:ascii="Verdana" w:hAnsi="Verdana"/>
          <w:sz w:val="20"/>
        </w:rPr>
        <w:t xml:space="preserve"> previ</w:t>
      </w:r>
      <w:r w:rsidR="00243E73" w:rsidRPr="008464D3">
        <w:rPr>
          <w:rFonts w:ascii="Verdana" w:hAnsi="Verdana"/>
          <w:sz w:val="20"/>
        </w:rPr>
        <w:t>o</w:t>
      </w:r>
      <w:r w:rsidRPr="008464D3">
        <w:rPr>
          <w:rFonts w:ascii="Verdana" w:hAnsi="Verdana"/>
          <w:sz w:val="20"/>
        </w:rPr>
        <w:t>, libre e informada significar</w:t>
      </w:r>
      <w:r w:rsidR="00F13D39" w:rsidRPr="008464D3">
        <w:rPr>
          <w:rFonts w:ascii="Verdana" w:hAnsi="Verdana"/>
          <w:sz w:val="20"/>
        </w:rPr>
        <w:t>ía</w:t>
      </w:r>
      <w:r w:rsidRPr="008464D3">
        <w:rPr>
          <w:rFonts w:ascii="Verdana" w:hAnsi="Verdana"/>
          <w:sz w:val="20"/>
        </w:rPr>
        <w:t xml:space="preserve"> una mejora y formalización de lo que ya ocurre en la práctica”. </w:t>
      </w:r>
    </w:p>
    <w:p w14:paraId="2D3EC0FC" w14:textId="77777777" w:rsidR="004F1899" w:rsidRPr="008464D3" w:rsidRDefault="004F1899" w:rsidP="008464D3">
      <w:pPr>
        <w:pStyle w:val="ListParagraph"/>
        <w:ind w:left="0"/>
        <w:jc w:val="both"/>
        <w:rPr>
          <w:rFonts w:ascii="Verdana" w:hAnsi="Verdana"/>
          <w:sz w:val="20"/>
          <w:lang w:val="es-CR"/>
        </w:rPr>
      </w:pPr>
    </w:p>
    <w:p w14:paraId="5B7E3E97" w14:textId="48E4A7CA" w:rsidR="004F1899" w:rsidRPr="007F327D" w:rsidRDefault="004F1899" w:rsidP="004F1899">
      <w:pPr>
        <w:pStyle w:val="ListParagraph"/>
        <w:numPr>
          <w:ilvl w:val="0"/>
          <w:numId w:val="2"/>
        </w:numPr>
        <w:ind w:left="0" w:hanging="11"/>
        <w:jc w:val="both"/>
        <w:rPr>
          <w:rFonts w:ascii="Verdana" w:hAnsi="Verdana"/>
          <w:sz w:val="20"/>
          <w:lang w:val="es-CR"/>
        </w:rPr>
      </w:pPr>
      <w:r w:rsidRPr="007F327D">
        <w:rPr>
          <w:rFonts w:ascii="Verdana" w:hAnsi="Verdana"/>
          <w:sz w:val="20"/>
          <w:lang w:val="es-CR"/>
        </w:rPr>
        <w:t>No obstante</w:t>
      </w:r>
      <w:r w:rsidRPr="007F327D">
        <w:rPr>
          <w:rFonts w:ascii="Verdana" w:hAnsi="Verdana"/>
          <w:sz w:val="20"/>
          <w:lang w:val="es-MX"/>
        </w:rPr>
        <w:t>, Surinam alegó que</w:t>
      </w:r>
      <w:r>
        <w:rPr>
          <w:rFonts w:ascii="Verdana" w:hAnsi="Verdana"/>
          <w:sz w:val="20"/>
          <w:lang w:val="es-MX"/>
        </w:rPr>
        <w:t>, para efectos del caso,</w:t>
      </w:r>
      <w:r w:rsidRPr="007F327D">
        <w:rPr>
          <w:rFonts w:ascii="Verdana" w:hAnsi="Verdana"/>
          <w:sz w:val="20"/>
          <w:lang w:val="es-MX"/>
        </w:rPr>
        <w:t xml:space="preserve"> no había pueblos indígenas viviendo dentro o cerca del área de la concesión minera, ya que la distancia entre esta y el pueblo indígena más cercano, llamado Alfonsdorp, era de 6.3 </w:t>
      </w:r>
      <w:r w:rsidR="00243E73">
        <w:rPr>
          <w:rFonts w:ascii="Verdana" w:hAnsi="Verdana"/>
          <w:sz w:val="20"/>
          <w:lang w:val="es-MX"/>
        </w:rPr>
        <w:t>km</w:t>
      </w:r>
      <w:r w:rsidRPr="007F327D">
        <w:rPr>
          <w:rFonts w:ascii="Verdana" w:hAnsi="Verdana"/>
          <w:sz w:val="20"/>
          <w:lang w:val="es-MX"/>
        </w:rPr>
        <w:t xml:space="preserve">, aproximadamente. En virtud de ello, el Estado señaló que la actividad minera no generó afectaciones substanciales en la </w:t>
      </w:r>
      <w:r w:rsidRPr="007F327D">
        <w:rPr>
          <w:rFonts w:ascii="Verdana" w:hAnsi="Verdana"/>
          <w:sz w:val="20"/>
          <w:lang w:val="es-MX"/>
        </w:rPr>
        <w:lastRenderedPageBreak/>
        <w:t>comunidad, en sus derechos o actividades tradicionales,</w:t>
      </w:r>
      <w:r w:rsidR="00243E73">
        <w:rPr>
          <w:rFonts w:ascii="Verdana" w:hAnsi="Verdana"/>
          <w:sz w:val="20"/>
          <w:lang w:val="es-MX"/>
        </w:rPr>
        <w:t xml:space="preserve"> por lo que se desprende</w:t>
      </w:r>
      <w:r w:rsidRPr="007F327D">
        <w:rPr>
          <w:rFonts w:ascii="Verdana" w:hAnsi="Verdana"/>
          <w:sz w:val="20"/>
          <w:lang w:val="es-MX"/>
        </w:rPr>
        <w:t xml:space="preserve"> que la consulta no era necesaria</w:t>
      </w:r>
      <w:r w:rsidRPr="007F327D">
        <w:rPr>
          <w:rFonts w:ascii="Verdana" w:hAnsi="Verdana"/>
          <w:sz w:val="20"/>
          <w:lang w:val="es-CR"/>
        </w:rPr>
        <w:t xml:space="preserve">. </w:t>
      </w:r>
    </w:p>
    <w:p w14:paraId="153405CB" w14:textId="77777777" w:rsidR="004F1899" w:rsidRPr="007F327D" w:rsidRDefault="004F1899" w:rsidP="004F1899">
      <w:pPr>
        <w:rPr>
          <w:rFonts w:ascii="Verdana" w:hAnsi="Verdana"/>
          <w:sz w:val="20"/>
          <w:lang w:val="es-CR"/>
        </w:rPr>
      </w:pPr>
    </w:p>
    <w:p w14:paraId="07CEF58C" w14:textId="77777777" w:rsidR="004F1899" w:rsidRPr="00190AD3" w:rsidRDefault="004F1899" w:rsidP="004F1899">
      <w:pPr>
        <w:pStyle w:val="ListParagraph"/>
        <w:numPr>
          <w:ilvl w:val="0"/>
          <w:numId w:val="2"/>
        </w:numPr>
        <w:ind w:left="0" w:hanging="11"/>
        <w:jc w:val="both"/>
        <w:rPr>
          <w:rFonts w:ascii="Verdana" w:hAnsi="Verdana"/>
          <w:sz w:val="20"/>
          <w:lang w:val="es-CR"/>
        </w:rPr>
      </w:pPr>
      <w:r w:rsidRPr="007F327D">
        <w:rPr>
          <w:rFonts w:ascii="Verdana" w:hAnsi="Verdana"/>
          <w:sz w:val="20"/>
          <w:lang w:val="es-CR"/>
        </w:rPr>
        <w:t>En este sentido,</w:t>
      </w:r>
      <w:r w:rsidRPr="00167DB0">
        <w:rPr>
          <w:rFonts w:ascii="Verdana" w:hAnsi="Verdana"/>
          <w:sz w:val="20"/>
          <w:szCs w:val="20"/>
          <w:lang w:val="es-CR"/>
        </w:rPr>
        <w:t xml:space="preserve"> </w:t>
      </w:r>
      <w:r>
        <w:rPr>
          <w:rFonts w:ascii="Verdana" w:hAnsi="Verdana"/>
          <w:sz w:val="20"/>
          <w:szCs w:val="20"/>
          <w:lang w:val="es-CR"/>
        </w:rPr>
        <w:t xml:space="preserve">la Corte </w:t>
      </w:r>
      <w:r w:rsidR="00164F52">
        <w:rPr>
          <w:rFonts w:ascii="Verdana" w:hAnsi="Verdana"/>
          <w:sz w:val="20"/>
          <w:szCs w:val="20"/>
          <w:lang w:val="es-CR"/>
        </w:rPr>
        <w:t xml:space="preserve">ya ha establecido </w:t>
      </w:r>
      <w:r>
        <w:rPr>
          <w:rFonts w:ascii="Verdana" w:hAnsi="Verdana"/>
          <w:sz w:val="20"/>
          <w:szCs w:val="20"/>
          <w:lang w:val="es-CR"/>
        </w:rPr>
        <w:t>que</w:t>
      </w:r>
      <w:r w:rsidR="00164F52">
        <w:rPr>
          <w:rFonts w:ascii="Verdana" w:hAnsi="Verdana"/>
          <w:sz w:val="20"/>
          <w:szCs w:val="20"/>
          <w:lang w:val="es-CR"/>
        </w:rPr>
        <w:t xml:space="preserve"> </w:t>
      </w:r>
      <w:r w:rsidRPr="007F327D">
        <w:rPr>
          <w:rFonts w:ascii="Verdana" w:hAnsi="Verdana"/>
          <w:sz w:val="20"/>
          <w:lang w:val="es-CR"/>
        </w:rPr>
        <w:t>el Estado debe garantizar la participación efectiva “en relación con todo plan de desarrollo, inversión, exploración o extracción”</w:t>
      </w:r>
      <w:r w:rsidRPr="007F327D">
        <w:rPr>
          <w:rStyle w:val="FootnoteReference"/>
        </w:rPr>
        <w:footnoteReference w:id="242"/>
      </w:r>
      <w:r w:rsidRPr="007F327D">
        <w:rPr>
          <w:rFonts w:ascii="Verdana" w:hAnsi="Verdana"/>
          <w:sz w:val="20"/>
          <w:lang w:val="es-CR"/>
        </w:rPr>
        <w:t>. En particular</w:t>
      </w:r>
      <w:r w:rsidRPr="00295E84">
        <w:rPr>
          <w:rFonts w:ascii="Verdana" w:hAnsi="Verdana"/>
          <w:sz w:val="20"/>
          <w:szCs w:val="20"/>
          <w:lang w:val="es-CR"/>
        </w:rPr>
        <w:t xml:space="preserve"> </w:t>
      </w:r>
      <w:r>
        <w:rPr>
          <w:rFonts w:ascii="Verdana" w:hAnsi="Verdana"/>
          <w:sz w:val="20"/>
          <w:szCs w:val="20"/>
          <w:lang w:val="es-CR"/>
        </w:rPr>
        <w:t xml:space="preserve">la Corte </w:t>
      </w:r>
      <w:r w:rsidRPr="00295E84">
        <w:rPr>
          <w:rFonts w:ascii="Verdana" w:hAnsi="Verdana"/>
          <w:sz w:val="20"/>
          <w:szCs w:val="20"/>
        </w:rPr>
        <w:t xml:space="preserve">se refirió </w:t>
      </w:r>
      <w:r>
        <w:rPr>
          <w:rFonts w:ascii="Verdana" w:hAnsi="Verdana"/>
          <w:sz w:val="20"/>
          <w:szCs w:val="20"/>
        </w:rPr>
        <w:t>a</w:t>
      </w:r>
      <w:r w:rsidRPr="00295E84">
        <w:rPr>
          <w:rFonts w:ascii="Verdana" w:hAnsi="Verdana"/>
          <w:sz w:val="20"/>
          <w:szCs w:val="20"/>
        </w:rPr>
        <w:t xml:space="preserve"> plan</w:t>
      </w:r>
      <w:r>
        <w:rPr>
          <w:rFonts w:ascii="Verdana" w:hAnsi="Verdana"/>
          <w:sz w:val="20"/>
          <w:szCs w:val="20"/>
        </w:rPr>
        <w:t>es</w:t>
      </w:r>
      <w:r w:rsidRPr="00295E84">
        <w:rPr>
          <w:rFonts w:ascii="Verdana" w:hAnsi="Verdana"/>
          <w:sz w:val="20"/>
          <w:szCs w:val="20"/>
        </w:rPr>
        <w:t xml:space="preserve"> de desarrollo e inversión </w:t>
      </w:r>
      <w:r w:rsidRPr="009255C6">
        <w:rPr>
          <w:rFonts w:ascii="Verdana" w:hAnsi="Verdana"/>
          <w:sz w:val="20"/>
          <w:szCs w:val="20"/>
        </w:rPr>
        <w:t>como “cualquie</w:t>
      </w:r>
      <w:r w:rsidRPr="00D72AD8">
        <w:rPr>
          <w:rFonts w:ascii="Verdana" w:hAnsi="Verdana"/>
          <w:sz w:val="20"/>
          <w:szCs w:val="20"/>
        </w:rPr>
        <w:t>r actividad que pueda afectar la integridad de las tierras y recursos naturales […], en particular, cualquier propuesta relacionada con concesiones madereras o mineras”</w:t>
      </w:r>
      <w:r w:rsidRPr="009255C6">
        <w:rPr>
          <w:rStyle w:val="FootnoteReference"/>
          <w:szCs w:val="20"/>
        </w:rPr>
        <w:footnoteReference w:id="243"/>
      </w:r>
      <w:r w:rsidRPr="00D72AD8">
        <w:rPr>
          <w:rFonts w:ascii="Verdana" w:hAnsi="Verdana"/>
          <w:sz w:val="20"/>
          <w:szCs w:val="20"/>
          <w:lang w:val="es-MX"/>
        </w:rPr>
        <w:t>.</w:t>
      </w:r>
    </w:p>
    <w:p w14:paraId="29AEA333" w14:textId="77777777" w:rsidR="00AE60CD" w:rsidRPr="007F327D" w:rsidRDefault="00AE60CD" w:rsidP="00190AD3">
      <w:pPr>
        <w:pStyle w:val="ListParagraph"/>
        <w:ind w:left="0"/>
        <w:jc w:val="both"/>
        <w:rPr>
          <w:rFonts w:ascii="Verdana" w:hAnsi="Verdana"/>
          <w:sz w:val="20"/>
          <w:lang w:val="es-CR"/>
        </w:rPr>
      </w:pPr>
    </w:p>
    <w:p w14:paraId="2BB79CDE" w14:textId="4AC28704" w:rsidR="004F1899" w:rsidRPr="007F327D" w:rsidRDefault="004F1899" w:rsidP="004F1899">
      <w:pPr>
        <w:pStyle w:val="ListParagraph"/>
        <w:numPr>
          <w:ilvl w:val="0"/>
          <w:numId w:val="2"/>
        </w:numPr>
        <w:ind w:left="0" w:hanging="11"/>
        <w:jc w:val="both"/>
        <w:rPr>
          <w:rFonts w:ascii="Verdana" w:hAnsi="Verdana"/>
          <w:sz w:val="20"/>
          <w:lang w:val="es-CR"/>
        </w:rPr>
      </w:pPr>
      <w:r w:rsidRPr="007F327D">
        <w:rPr>
          <w:rFonts w:ascii="Verdana" w:hAnsi="Verdana"/>
          <w:sz w:val="20"/>
          <w:lang w:val="es-MX"/>
        </w:rPr>
        <w:t>Al respecto,</w:t>
      </w:r>
      <w:r w:rsidRPr="00D72AD8">
        <w:rPr>
          <w:rFonts w:ascii="Verdana" w:hAnsi="Verdana"/>
          <w:sz w:val="20"/>
          <w:szCs w:val="20"/>
          <w:lang w:val="es-MX"/>
        </w:rPr>
        <w:t xml:space="preserve"> </w:t>
      </w:r>
      <w:r w:rsidRPr="007F327D">
        <w:rPr>
          <w:rFonts w:ascii="Verdana" w:hAnsi="Verdana"/>
          <w:sz w:val="20"/>
          <w:lang w:val="es-MX"/>
        </w:rPr>
        <w:t xml:space="preserve">el Tribunal considera que el deber del Estado en relación con dicha garantía se actualiza de manera previa a la ejecución de acciones que podrían afectar de manera relevante los intereses de los pueblos indígenas y tribales, tales como las etapas de exploración y explotación o extracción. En el presente caso, si bien la concesión minera se dio en el año 1958, las actividades de extracción de bauxita se iniciaron en el año 1997, es decir </w:t>
      </w:r>
      <w:r w:rsidR="00D97182">
        <w:rPr>
          <w:rFonts w:ascii="Verdana" w:hAnsi="Verdana"/>
          <w:sz w:val="20"/>
          <w:lang w:val="es-MX"/>
        </w:rPr>
        <w:t xml:space="preserve">casi </w:t>
      </w:r>
      <w:r w:rsidRPr="007F327D">
        <w:rPr>
          <w:rFonts w:ascii="Verdana" w:hAnsi="Verdana"/>
          <w:sz w:val="20"/>
          <w:lang w:val="es-MX"/>
        </w:rPr>
        <w:t xml:space="preserve">40 años después, momento en el cual ya se contaba con la determinación precisa del lugar donde se realizarían las actividades extractivas, respecto del resto del territorio previamente explorado. </w:t>
      </w:r>
      <w:r w:rsidRPr="007F327D">
        <w:rPr>
          <w:rFonts w:ascii="Verdana" w:hAnsi="Verdana"/>
          <w:sz w:val="20"/>
          <w:lang w:val="es-CR"/>
        </w:rPr>
        <w:t>En este sentido, la garantía de participación efectiva debió llevarse a cabo de manera previa al inicio de la extracción o explo</w:t>
      </w:r>
      <w:r w:rsidR="00E673A9">
        <w:rPr>
          <w:rFonts w:ascii="Verdana" w:hAnsi="Verdana"/>
          <w:sz w:val="20"/>
          <w:lang w:val="es-CR"/>
        </w:rPr>
        <w:t>t</w:t>
      </w:r>
      <w:r w:rsidRPr="007F327D">
        <w:rPr>
          <w:rFonts w:ascii="Verdana" w:hAnsi="Verdana"/>
          <w:sz w:val="20"/>
          <w:lang w:val="es-CR"/>
        </w:rPr>
        <w:t>ación minera, lo cual no ocurrió en el presente caso.</w:t>
      </w:r>
      <w:r w:rsidRPr="007F327D">
        <w:rPr>
          <w:rFonts w:ascii="Verdana" w:hAnsi="Verdana"/>
          <w:sz w:val="20"/>
          <w:lang w:val="es-MX"/>
        </w:rPr>
        <w:t xml:space="preserve"> Particularmente, respecto de los Pueblos Kaliña y Lokono que se encontraban cerca del área y mantenían una vinculación directa con esta zona, los cuales enfrentaron afectaciones en parte de su territorio tradicional</w:t>
      </w:r>
      <w:r>
        <w:rPr>
          <w:rFonts w:ascii="Verdana" w:hAnsi="Verdana"/>
          <w:sz w:val="20"/>
          <w:lang w:val="es-MX"/>
        </w:rPr>
        <w:t xml:space="preserve"> (</w:t>
      </w:r>
      <w:r w:rsidR="008A4ABB" w:rsidRPr="007E20F9">
        <w:rPr>
          <w:rFonts w:ascii="Verdana" w:hAnsi="Verdana"/>
          <w:i/>
          <w:sz w:val="20"/>
          <w:lang w:val="es-MX"/>
        </w:rPr>
        <w:t>supra</w:t>
      </w:r>
      <w:r w:rsidR="00243E73">
        <w:rPr>
          <w:rFonts w:ascii="Verdana" w:hAnsi="Verdana"/>
          <w:sz w:val="20"/>
          <w:lang w:val="es-MX"/>
        </w:rPr>
        <w:t xml:space="preserve"> </w:t>
      </w:r>
      <w:r w:rsidR="00572597">
        <w:rPr>
          <w:rFonts w:ascii="Verdana" w:hAnsi="Verdana"/>
          <w:sz w:val="20"/>
          <w:lang w:val="es-MX"/>
        </w:rPr>
        <w:t xml:space="preserve">párr. </w:t>
      </w:r>
      <w:r w:rsidR="00243E73">
        <w:rPr>
          <w:rFonts w:ascii="Verdana" w:hAnsi="Verdana"/>
          <w:sz w:val="20"/>
          <w:lang w:val="es-MX"/>
        </w:rPr>
        <w:t>92</w:t>
      </w:r>
      <w:r w:rsidR="00572597">
        <w:rPr>
          <w:rFonts w:ascii="Verdana" w:hAnsi="Verdana"/>
          <w:sz w:val="20"/>
          <w:lang w:val="es-MX"/>
        </w:rPr>
        <w:t>)</w:t>
      </w:r>
      <w:r w:rsidR="003E07A9">
        <w:rPr>
          <w:rFonts w:ascii="Verdana" w:hAnsi="Verdana"/>
          <w:sz w:val="20"/>
          <w:lang w:val="es-MX"/>
        </w:rPr>
        <w:t>.</w:t>
      </w:r>
    </w:p>
    <w:p w14:paraId="3E09B31C" w14:textId="77777777" w:rsidR="004F1899" w:rsidRPr="007703D4" w:rsidRDefault="004F1899" w:rsidP="004F1899">
      <w:pPr>
        <w:rPr>
          <w:lang w:val="es-CR"/>
        </w:rPr>
      </w:pPr>
    </w:p>
    <w:p w14:paraId="1529176F" w14:textId="77777777" w:rsidR="00E82F5C" w:rsidRPr="0002373B" w:rsidRDefault="004F1899" w:rsidP="009E77BD">
      <w:pPr>
        <w:numPr>
          <w:ilvl w:val="0"/>
          <w:numId w:val="2"/>
        </w:numPr>
        <w:ind w:left="0" w:hanging="11"/>
        <w:contextualSpacing/>
        <w:jc w:val="both"/>
        <w:rPr>
          <w:rFonts w:ascii="Verdana" w:hAnsi="Verdana"/>
          <w:sz w:val="20"/>
          <w:lang w:val="es-ES"/>
        </w:rPr>
      </w:pPr>
      <w:r w:rsidRPr="007F327D">
        <w:rPr>
          <w:rFonts w:ascii="Verdana" w:hAnsi="Verdana"/>
          <w:sz w:val="20"/>
          <w:lang w:val="es-MX"/>
        </w:rPr>
        <w:t>Ahora bien</w:t>
      </w:r>
      <w:r w:rsidR="0076614F" w:rsidRPr="007F327D">
        <w:rPr>
          <w:rFonts w:ascii="Verdana" w:hAnsi="Verdana"/>
          <w:sz w:val="20"/>
          <w:lang w:val="es-MX"/>
        </w:rPr>
        <w:t>,</w:t>
      </w:r>
      <w:r w:rsidR="0076614F" w:rsidRPr="00167DB0">
        <w:rPr>
          <w:rFonts w:ascii="Verdana" w:hAnsi="Verdana"/>
          <w:sz w:val="20"/>
          <w:lang w:val="es-MX"/>
        </w:rPr>
        <w:t xml:space="preserve"> </w:t>
      </w:r>
      <w:r w:rsidR="0076614F" w:rsidRPr="0002373B">
        <w:rPr>
          <w:rFonts w:ascii="Verdana" w:hAnsi="Verdana"/>
          <w:sz w:val="20"/>
          <w:lang w:val="es-MX"/>
        </w:rPr>
        <w:t xml:space="preserve">no se desprende de la información allegada por las partes a esta Corte, la existencia de algún mecanismo, normativa o medida </w:t>
      </w:r>
      <w:r w:rsidR="00F80C79" w:rsidRPr="00945759">
        <w:rPr>
          <w:rFonts w:ascii="Verdana" w:hAnsi="Verdana"/>
          <w:sz w:val="20"/>
          <w:lang w:val="es-MX"/>
        </w:rPr>
        <w:t>en el fuero</w:t>
      </w:r>
      <w:r w:rsidR="0076614F" w:rsidRPr="00945759">
        <w:rPr>
          <w:rFonts w:ascii="Verdana" w:hAnsi="Verdana"/>
          <w:sz w:val="20"/>
          <w:lang w:val="es-MX"/>
        </w:rPr>
        <w:t xml:space="preserve"> </w:t>
      </w:r>
      <w:r w:rsidR="0076614F" w:rsidRPr="0002373B">
        <w:rPr>
          <w:rFonts w:ascii="Verdana" w:hAnsi="Verdana"/>
          <w:sz w:val="20"/>
          <w:lang w:val="es-MX"/>
        </w:rPr>
        <w:t xml:space="preserve">interno </w:t>
      </w:r>
      <w:r w:rsidR="00E82F5C" w:rsidRPr="0002373B">
        <w:rPr>
          <w:rFonts w:ascii="Verdana" w:hAnsi="Verdana"/>
          <w:sz w:val="20"/>
          <w:lang w:val="es-MX"/>
        </w:rPr>
        <w:t xml:space="preserve">a efectos de </w:t>
      </w:r>
      <w:r w:rsidRPr="00945759">
        <w:rPr>
          <w:rFonts w:ascii="Verdana" w:hAnsi="Verdana"/>
          <w:sz w:val="20"/>
          <w:lang w:val="es-MX"/>
        </w:rPr>
        <w:t>garantizar la participación efectiva de los pueblos indígenas y tribales</w:t>
      </w:r>
      <w:r w:rsidR="00E82F5C" w:rsidRPr="0002373B">
        <w:rPr>
          <w:rFonts w:ascii="Verdana" w:hAnsi="Verdana"/>
          <w:sz w:val="20"/>
          <w:lang w:val="es-MX"/>
        </w:rPr>
        <w:t>, aunque el Estado indicó ciertas medidas que se estarían tomando en la actualidad para garantizar dicho derecho (</w:t>
      </w:r>
      <w:r w:rsidR="007829DF" w:rsidRPr="0002373B">
        <w:rPr>
          <w:rFonts w:ascii="Verdana" w:hAnsi="Verdana"/>
          <w:i/>
          <w:sz w:val="20"/>
          <w:lang w:val="es-MX"/>
        </w:rPr>
        <w:t>infra</w:t>
      </w:r>
      <w:r w:rsidR="00E82F5C" w:rsidRPr="0002373B">
        <w:rPr>
          <w:rFonts w:ascii="Verdana" w:hAnsi="Verdana"/>
          <w:i/>
          <w:sz w:val="20"/>
          <w:lang w:val="es-MX"/>
        </w:rPr>
        <w:t xml:space="preserve"> </w:t>
      </w:r>
      <w:r w:rsidR="00EA517B">
        <w:rPr>
          <w:rFonts w:ascii="Verdana" w:hAnsi="Verdana"/>
          <w:sz w:val="20"/>
          <w:lang w:val="es-MX"/>
        </w:rPr>
        <w:t xml:space="preserve">párr. </w:t>
      </w:r>
      <w:r w:rsidR="00572597">
        <w:rPr>
          <w:rFonts w:ascii="Verdana" w:hAnsi="Verdana"/>
          <w:sz w:val="20"/>
          <w:lang w:val="es-MX"/>
        </w:rPr>
        <w:t>210</w:t>
      </w:r>
      <w:r w:rsidR="00E82F5C" w:rsidRPr="0002373B">
        <w:rPr>
          <w:rFonts w:ascii="Verdana" w:hAnsi="Verdana"/>
          <w:sz w:val="20"/>
          <w:lang w:val="es-MX"/>
        </w:rPr>
        <w:t>).</w:t>
      </w:r>
    </w:p>
    <w:p w14:paraId="6474C421" w14:textId="77777777" w:rsidR="00E0088F" w:rsidRPr="007703D4" w:rsidRDefault="00E0088F" w:rsidP="009E77BD">
      <w:pPr>
        <w:contextualSpacing/>
        <w:jc w:val="both"/>
        <w:rPr>
          <w:rFonts w:ascii="Verdana" w:hAnsi="Verdana"/>
          <w:sz w:val="20"/>
          <w:lang w:val="es-MX"/>
        </w:rPr>
      </w:pPr>
    </w:p>
    <w:p w14:paraId="6E9518C7" w14:textId="5558B51F" w:rsidR="00E55C09" w:rsidRPr="007703D4" w:rsidRDefault="00C27280" w:rsidP="00E55C09">
      <w:pPr>
        <w:numPr>
          <w:ilvl w:val="0"/>
          <w:numId w:val="2"/>
        </w:numPr>
        <w:ind w:left="0" w:hanging="11"/>
        <w:contextualSpacing/>
        <w:jc w:val="both"/>
        <w:rPr>
          <w:rFonts w:ascii="Verdana" w:hAnsi="Verdana"/>
          <w:sz w:val="20"/>
          <w:lang w:val="es-CR"/>
        </w:rPr>
      </w:pPr>
      <w:r w:rsidRPr="007703D4">
        <w:rPr>
          <w:rFonts w:ascii="Verdana" w:hAnsi="Verdana"/>
          <w:sz w:val="20"/>
          <w:lang w:val="es-MX"/>
        </w:rPr>
        <w:t xml:space="preserve">Al respecto, </w:t>
      </w:r>
      <w:r w:rsidRPr="007703D4">
        <w:rPr>
          <w:rFonts w:ascii="Verdana" w:hAnsi="Verdana"/>
          <w:sz w:val="20"/>
          <w:lang w:val="es-CR"/>
        </w:rPr>
        <w:t>e</w:t>
      </w:r>
      <w:r w:rsidR="00E55C09" w:rsidRPr="007703D4">
        <w:rPr>
          <w:rFonts w:ascii="Verdana" w:hAnsi="Verdana"/>
          <w:sz w:val="20"/>
          <w:lang w:val="es-CR"/>
        </w:rPr>
        <w:t xml:space="preserve">l Estado alegó que </w:t>
      </w:r>
      <w:r w:rsidR="00E55C09" w:rsidRPr="007703D4">
        <w:rPr>
          <w:rFonts w:ascii="Verdana" w:hAnsi="Verdana"/>
          <w:sz w:val="20"/>
          <w:lang w:val="es-ES"/>
        </w:rPr>
        <w:t xml:space="preserve">conforme a la legislación en </w:t>
      </w:r>
      <w:r w:rsidR="00563E11" w:rsidRPr="007703D4">
        <w:rPr>
          <w:rFonts w:ascii="Verdana" w:hAnsi="Verdana"/>
          <w:sz w:val="20"/>
          <w:lang w:val="es-ES"/>
        </w:rPr>
        <w:t>Surinam</w:t>
      </w:r>
      <w:r w:rsidR="00E55C09" w:rsidRPr="007703D4">
        <w:rPr>
          <w:rFonts w:ascii="Verdana" w:hAnsi="Verdana"/>
          <w:sz w:val="20"/>
          <w:lang w:val="es-ES"/>
        </w:rPr>
        <w:t xml:space="preserve">, los derechos y los intereses de los indígenas y </w:t>
      </w:r>
      <w:r w:rsidR="006D4D2C">
        <w:rPr>
          <w:rFonts w:ascii="Verdana" w:hAnsi="Verdana"/>
          <w:sz w:val="20"/>
          <w:lang w:val="es-ES"/>
        </w:rPr>
        <w:t>maroon</w:t>
      </w:r>
      <w:r w:rsidR="00F57D87">
        <w:rPr>
          <w:rFonts w:ascii="Verdana" w:hAnsi="Verdana"/>
          <w:sz w:val="20"/>
          <w:lang w:val="es-ES"/>
        </w:rPr>
        <w:t>s</w:t>
      </w:r>
      <w:r w:rsidR="00E55C09" w:rsidRPr="007703D4">
        <w:rPr>
          <w:rFonts w:ascii="Verdana" w:hAnsi="Verdana"/>
          <w:sz w:val="20"/>
          <w:lang w:val="es-ES"/>
        </w:rPr>
        <w:t xml:space="preserve"> eran tomados en consideración </w:t>
      </w:r>
      <w:r w:rsidR="00572597">
        <w:rPr>
          <w:rFonts w:ascii="Verdana" w:hAnsi="Verdana"/>
          <w:sz w:val="20"/>
          <w:lang w:val="es-ES"/>
        </w:rPr>
        <w:t xml:space="preserve">en el </w:t>
      </w:r>
      <w:r w:rsidR="00E55C09" w:rsidRPr="007703D4">
        <w:rPr>
          <w:rFonts w:ascii="Verdana" w:hAnsi="Verdana"/>
          <w:sz w:val="20"/>
          <w:lang w:val="es-ES"/>
        </w:rPr>
        <w:t xml:space="preserve">momento </w:t>
      </w:r>
      <w:r w:rsidR="00572597">
        <w:rPr>
          <w:rFonts w:ascii="Verdana" w:hAnsi="Verdana"/>
          <w:sz w:val="20"/>
          <w:lang w:val="es-ES"/>
        </w:rPr>
        <w:t xml:space="preserve">en </w:t>
      </w:r>
      <w:r w:rsidR="00E55C09" w:rsidRPr="007703D4">
        <w:rPr>
          <w:rFonts w:ascii="Verdana" w:hAnsi="Verdana"/>
          <w:sz w:val="20"/>
          <w:lang w:val="es-ES"/>
        </w:rPr>
        <w:t xml:space="preserve">que el Estado decidía sobre el otorgamiento de una concesión, para lo cual hizo referencia al artículo 41 del </w:t>
      </w:r>
      <w:r w:rsidR="00B53B36" w:rsidRPr="008740D1">
        <w:rPr>
          <w:rFonts w:ascii="Verdana" w:hAnsi="Verdana"/>
          <w:sz w:val="20"/>
          <w:lang w:val="es-ES"/>
        </w:rPr>
        <w:t>Ley</w:t>
      </w:r>
      <w:r w:rsidR="0090550F" w:rsidRPr="008740D1">
        <w:rPr>
          <w:rFonts w:ascii="Verdana" w:hAnsi="Verdana"/>
          <w:sz w:val="20"/>
          <w:lang w:val="es-ES"/>
        </w:rPr>
        <w:t xml:space="preserve"> de Gestión </w:t>
      </w:r>
      <w:r w:rsidR="00B53B36" w:rsidRPr="008740D1">
        <w:rPr>
          <w:rFonts w:ascii="Verdana" w:hAnsi="Verdana"/>
          <w:sz w:val="20"/>
          <w:lang w:val="es-ES"/>
        </w:rPr>
        <w:t>Forestal</w:t>
      </w:r>
      <w:r w:rsidR="00E55C09" w:rsidRPr="007703D4">
        <w:rPr>
          <w:rStyle w:val="FootnoteReference"/>
          <w:lang w:val="es-ES"/>
        </w:rPr>
        <w:footnoteReference w:id="244"/>
      </w:r>
      <w:r w:rsidR="0090550F">
        <w:rPr>
          <w:rFonts w:ascii="Verdana" w:hAnsi="Verdana"/>
          <w:sz w:val="20"/>
          <w:lang w:val="es-ES"/>
        </w:rPr>
        <w:t xml:space="preserve"> </w:t>
      </w:r>
      <w:r w:rsidR="0090550F">
        <w:rPr>
          <w:rFonts w:ascii="Verdana" w:hAnsi="Verdana"/>
          <w:sz w:val="20"/>
          <w:szCs w:val="20"/>
          <w:lang w:val="es-ES"/>
        </w:rPr>
        <w:t>(</w:t>
      </w:r>
      <w:r w:rsidR="0090550F" w:rsidRPr="00B22EC8">
        <w:rPr>
          <w:rFonts w:ascii="Verdana" w:hAnsi="Verdana"/>
          <w:i/>
          <w:sz w:val="20"/>
          <w:szCs w:val="20"/>
          <w:lang w:val="es-ES"/>
        </w:rPr>
        <w:t>Forest Manageme</w:t>
      </w:r>
      <w:r w:rsidR="008740D1" w:rsidRPr="00B22EC8">
        <w:rPr>
          <w:rFonts w:ascii="Verdana" w:hAnsi="Verdana"/>
          <w:i/>
          <w:sz w:val="20"/>
          <w:szCs w:val="20"/>
          <w:lang w:val="es-ES"/>
        </w:rPr>
        <w:t>nt Act</w:t>
      </w:r>
      <w:r w:rsidR="008740D1">
        <w:rPr>
          <w:rFonts w:ascii="Verdana" w:hAnsi="Verdana"/>
          <w:sz w:val="20"/>
          <w:szCs w:val="20"/>
          <w:lang w:val="es-ES"/>
        </w:rPr>
        <w:t xml:space="preserve">) </w:t>
      </w:r>
      <w:r w:rsidR="00E55C09" w:rsidRPr="007703D4">
        <w:rPr>
          <w:rFonts w:ascii="Verdana" w:hAnsi="Verdana"/>
          <w:sz w:val="20"/>
          <w:lang w:val="es-ES"/>
        </w:rPr>
        <w:t>y al artículo 25.1 del</w:t>
      </w:r>
      <w:r w:rsidR="00B53B36">
        <w:rPr>
          <w:rFonts w:ascii="Verdana" w:hAnsi="Verdana"/>
          <w:sz w:val="20"/>
          <w:lang w:val="es-ES"/>
        </w:rPr>
        <w:t xml:space="preserve"> Decreto </w:t>
      </w:r>
      <w:r w:rsidR="0090550F">
        <w:rPr>
          <w:rFonts w:ascii="Verdana" w:hAnsi="Verdana"/>
          <w:sz w:val="20"/>
          <w:lang w:val="es-ES"/>
        </w:rPr>
        <w:t xml:space="preserve">de </w:t>
      </w:r>
      <w:r w:rsidR="00B53B36">
        <w:rPr>
          <w:rFonts w:ascii="Verdana" w:hAnsi="Verdana"/>
          <w:sz w:val="20"/>
          <w:lang w:val="es-ES"/>
        </w:rPr>
        <w:t>Miner</w:t>
      </w:r>
      <w:r w:rsidR="0090550F">
        <w:rPr>
          <w:rFonts w:ascii="Verdana" w:hAnsi="Verdana"/>
          <w:sz w:val="20"/>
          <w:lang w:val="es-ES"/>
        </w:rPr>
        <w:t>ía</w:t>
      </w:r>
      <w:r w:rsidR="00E55C09" w:rsidRPr="007703D4">
        <w:rPr>
          <w:rStyle w:val="FootnoteReference"/>
          <w:rFonts w:eastAsia="MS Gothic"/>
          <w:lang w:val="es-ES"/>
        </w:rPr>
        <w:footnoteReference w:id="245"/>
      </w:r>
      <w:r w:rsidR="0090550F">
        <w:rPr>
          <w:rFonts w:ascii="Verdana" w:hAnsi="Verdana"/>
          <w:sz w:val="20"/>
          <w:lang w:val="es-ES"/>
        </w:rPr>
        <w:t xml:space="preserve"> </w:t>
      </w:r>
      <w:r w:rsidR="0090550F">
        <w:rPr>
          <w:rFonts w:ascii="Verdana" w:hAnsi="Verdana"/>
          <w:sz w:val="20"/>
          <w:szCs w:val="20"/>
          <w:lang w:val="es-ES"/>
        </w:rPr>
        <w:t>(</w:t>
      </w:r>
      <w:r w:rsidR="0090550F" w:rsidRPr="00B22EC8">
        <w:rPr>
          <w:rFonts w:ascii="Verdana" w:hAnsi="Verdana"/>
          <w:i/>
          <w:sz w:val="20"/>
          <w:szCs w:val="20"/>
          <w:lang w:val="es-ES"/>
        </w:rPr>
        <w:t>Mining Decree</w:t>
      </w:r>
      <w:r w:rsidR="0090550F">
        <w:rPr>
          <w:rFonts w:ascii="Verdana" w:hAnsi="Verdana"/>
          <w:sz w:val="20"/>
          <w:szCs w:val="20"/>
          <w:lang w:val="es-ES"/>
        </w:rPr>
        <w:t>)</w:t>
      </w:r>
      <w:r w:rsidR="00E55C09" w:rsidRPr="007703D4">
        <w:rPr>
          <w:rFonts w:ascii="Verdana" w:hAnsi="Verdana"/>
          <w:sz w:val="20"/>
          <w:lang w:val="es-ES"/>
        </w:rPr>
        <w:t xml:space="preserve">. El primero establecía que se debía </w:t>
      </w:r>
      <w:r w:rsidR="00E55C09" w:rsidRPr="007703D4">
        <w:rPr>
          <w:rFonts w:ascii="Verdana" w:hAnsi="Verdana"/>
          <w:sz w:val="20"/>
          <w:lang w:val="es-MX"/>
        </w:rPr>
        <w:t xml:space="preserve">“respetar los derechos de las comunidades locales en sus lugares residenciales y de agricultura, </w:t>
      </w:r>
      <w:r w:rsidR="00783A53" w:rsidRPr="007703D4">
        <w:rPr>
          <w:rFonts w:ascii="Verdana" w:hAnsi="Verdana"/>
          <w:sz w:val="20"/>
          <w:lang w:val="es-MX"/>
        </w:rPr>
        <w:t>cuanto más se pueda (</w:t>
      </w:r>
      <w:r w:rsidR="00783A53" w:rsidRPr="00B22EC8">
        <w:rPr>
          <w:rFonts w:ascii="Verdana" w:hAnsi="Verdana"/>
          <w:i/>
          <w:sz w:val="20"/>
          <w:lang w:val="es-MX"/>
        </w:rPr>
        <w:t>as much as possible</w:t>
      </w:r>
      <w:r w:rsidR="00783A53" w:rsidRPr="007703D4">
        <w:rPr>
          <w:rFonts w:ascii="Verdana" w:hAnsi="Verdana"/>
          <w:sz w:val="20"/>
          <w:lang w:val="es-MX"/>
        </w:rPr>
        <w:t>)</w:t>
      </w:r>
      <w:r w:rsidR="00C31AF8">
        <w:rPr>
          <w:rFonts w:ascii="Verdana" w:hAnsi="Verdana"/>
          <w:sz w:val="20"/>
          <w:lang w:val="es-MX"/>
        </w:rPr>
        <w:t>;</w:t>
      </w:r>
      <w:r w:rsidR="00877560" w:rsidRPr="007703D4">
        <w:rPr>
          <w:rFonts w:ascii="Verdana" w:hAnsi="Verdana"/>
          <w:sz w:val="20"/>
          <w:lang w:val="es-MX"/>
        </w:rPr>
        <w:t xml:space="preserve"> y el segundo señalaba que “la aplicación de</w:t>
      </w:r>
      <w:r w:rsidR="00213026">
        <w:rPr>
          <w:rFonts w:ascii="Verdana" w:hAnsi="Verdana"/>
          <w:sz w:val="20"/>
          <w:lang w:val="es-MX"/>
        </w:rPr>
        <w:t xml:space="preserve"> los</w:t>
      </w:r>
      <w:r w:rsidR="00877560" w:rsidRPr="007703D4">
        <w:rPr>
          <w:rFonts w:ascii="Verdana" w:hAnsi="Verdana"/>
          <w:sz w:val="20"/>
          <w:lang w:val="es-MX"/>
        </w:rPr>
        <w:t xml:space="preserve"> derechos de exploración deb</w:t>
      </w:r>
      <w:r w:rsidR="00213026">
        <w:rPr>
          <w:rFonts w:ascii="Verdana" w:hAnsi="Verdana"/>
          <w:sz w:val="20"/>
          <w:lang w:val="es-MX"/>
        </w:rPr>
        <w:t>[ía] presentarse de conformidad con el artículo 10 y</w:t>
      </w:r>
      <w:r w:rsidR="00877560" w:rsidRPr="007703D4">
        <w:rPr>
          <w:rFonts w:ascii="Verdana" w:hAnsi="Verdana"/>
          <w:sz w:val="20"/>
          <w:lang w:val="es-MX"/>
        </w:rPr>
        <w:t xml:space="preserve"> contener</w:t>
      </w:r>
      <w:r w:rsidR="00213026">
        <w:rPr>
          <w:rFonts w:ascii="Verdana" w:hAnsi="Verdana"/>
          <w:sz w:val="20"/>
          <w:lang w:val="es-MX"/>
        </w:rPr>
        <w:t xml:space="preserve">: […] b. </w:t>
      </w:r>
      <w:r w:rsidR="00877560" w:rsidRPr="007703D4">
        <w:rPr>
          <w:rFonts w:ascii="Verdana" w:hAnsi="Verdana"/>
          <w:sz w:val="20"/>
          <w:lang w:val="es-MX"/>
        </w:rPr>
        <w:t xml:space="preserve">un reporte sobre </w:t>
      </w:r>
      <w:r w:rsidR="00877560" w:rsidRPr="007021B4">
        <w:rPr>
          <w:rFonts w:ascii="Verdana" w:hAnsi="Verdana"/>
          <w:sz w:val="20"/>
          <w:lang w:val="es-MX"/>
        </w:rPr>
        <w:t>las</w:t>
      </w:r>
      <w:r w:rsidR="00AC7320" w:rsidRPr="007021B4">
        <w:rPr>
          <w:rFonts w:ascii="Verdana" w:hAnsi="Verdana"/>
          <w:sz w:val="20"/>
          <w:lang w:val="es-MX"/>
        </w:rPr>
        <w:t xml:space="preserve"> </w:t>
      </w:r>
      <w:r w:rsidR="007877BE" w:rsidRPr="007021B4">
        <w:rPr>
          <w:rFonts w:ascii="Verdana" w:hAnsi="Verdana"/>
          <w:sz w:val="20"/>
          <w:lang w:val="es-MX"/>
        </w:rPr>
        <w:t>aldeas</w:t>
      </w:r>
      <w:r w:rsidR="00877560" w:rsidRPr="007021B4">
        <w:rPr>
          <w:rFonts w:ascii="Verdana" w:hAnsi="Verdana"/>
          <w:sz w:val="20"/>
          <w:lang w:val="es-MX"/>
        </w:rPr>
        <w:t xml:space="preserve"> existentes en el terreno y en la vecindad </w:t>
      </w:r>
      <w:r w:rsidR="007877BE" w:rsidRPr="007021B4">
        <w:rPr>
          <w:rFonts w:ascii="Verdana" w:hAnsi="Verdana"/>
          <w:sz w:val="20"/>
          <w:lang w:val="es-MX"/>
        </w:rPr>
        <w:t>del terreno</w:t>
      </w:r>
      <w:r w:rsidR="00877560" w:rsidRPr="007021B4">
        <w:rPr>
          <w:rFonts w:ascii="Verdana" w:hAnsi="Verdana"/>
          <w:sz w:val="20"/>
          <w:lang w:val="es-MX"/>
        </w:rPr>
        <w:t>,</w:t>
      </w:r>
      <w:r w:rsidR="00877560" w:rsidRPr="007703D4">
        <w:rPr>
          <w:rFonts w:ascii="Verdana" w:hAnsi="Verdana"/>
          <w:sz w:val="20"/>
          <w:lang w:val="es-MX"/>
        </w:rPr>
        <w:t xml:space="preserve"> así como un reporte acerca de los residentes de la zona”.</w:t>
      </w:r>
      <w:r w:rsidR="0076614F" w:rsidRPr="007703D4">
        <w:rPr>
          <w:rFonts w:ascii="Verdana" w:hAnsi="Verdana"/>
          <w:sz w:val="20"/>
          <w:lang w:val="es-MX"/>
        </w:rPr>
        <w:t xml:space="preserve"> Sin embargo, la Corte </w:t>
      </w:r>
      <w:r w:rsidR="003D0981" w:rsidRPr="007703D4">
        <w:rPr>
          <w:rFonts w:ascii="Verdana" w:hAnsi="Verdana"/>
          <w:sz w:val="20"/>
          <w:lang w:val="es-MX"/>
        </w:rPr>
        <w:t>estima</w:t>
      </w:r>
      <w:r w:rsidR="0076614F" w:rsidRPr="007703D4">
        <w:rPr>
          <w:rFonts w:ascii="Verdana" w:hAnsi="Verdana"/>
          <w:sz w:val="20"/>
          <w:lang w:val="es-MX"/>
        </w:rPr>
        <w:t xml:space="preserve"> que</w:t>
      </w:r>
      <w:r w:rsidR="000463AB" w:rsidRPr="007703D4">
        <w:rPr>
          <w:rFonts w:ascii="Verdana" w:hAnsi="Verdana"/>
          <w:sz w:val="20"/>
          <w:lang w:val="es-MX"/>
        </w:rPr>
        <w:t xml:space="preserve"> </w:t>
      </w:r>
      <w:r w:rsidR="003D0981" w:rsidRPr="007703D4">
        <w:rPr>
          <w:rFonts w:ascii="Verdana" w:hAnsi="Verdana"/>
          <w:sz w:val="20"/>
          <w:lang w:val="es-MX"/>
        </w:rPr>
        <w:t xml:space="preserve">si bien </w:t>
      </w:r>
      <w:r w:rsidR="0076614F" w:rsidRPr="007703D4">
        <w:rPr>
          <w:rFonts w:ascii="Verdana" w:hAnsi="Verdana"/>
          <w:sz w:val="20"/>
          <w:lang w:val="es-MX"/>
        </w:rPr>
        <w:t xml:space="preserve">la normativa interna </w:t>
      </w:r>
      <w:r w:rsidR="003D0981" w:rsidRPr="007703D4">
        <w:rPr>
          <w:rFonts w:ascii="Verdana" w:hAnsi="Verdana"/>
          <w:sz w:val="20"/>
          <w:lang w:val="es-MX"/>
        </w:rPr>
        <w:t xml:space="preserve">reconocía los “intereses” </w:t>
      </w:r>
      <w:r w:rsidR="000463AB" w:rsidRPr="007703D4">
        <w:rPr>
          <w:rFonts w:ascii="Verdana" w:hAnsi="Verdana"/>
          <w:sz w:val="20"/>
          <w:lang w:val="es-MX"/>
        </w:rPr>
        <w:t xml:space="preserve">de los derechos </w:t>
      </w:r>
      <w:r w:rsidR="0076614F" w:rsidRPr="007703D4">
        <w:rPr>
          <w:rFonts w:ascii="Verdana" w:hAnsi="Verdana"/>
          <w:sz w:val="20"/>
          <w:lang w:val="es-MX"/>
        </w:rPr>
        <w:t xml:space="preserve">de los pueblos indígenas y tribales </w:t>
      </w:r>
      <w:r w:rsidR="003D0981" w:rsidRPr="007703D4">
        <w:rPr>
          <w:rFonts w:ascii="Verdana" w:hAnsi="Verdana"/>
          <w:sz w:val="20"/>
          <w:lang w:val="es-MX"/>
        </w:rPr>
        <w:lastRenderedPageBreak/>
        <w:t>al</w:t>
      </w:r>
      <w:r w:rsidR="0076614F" w:rsidRPr="007703D4">
        <w:rPr>
          <w:rFonts w:ascii="Verdana" w:hAnsi="Verdana"/>
          <w:sz w:val="20"/>
          <w:lang w:val="es-MX"/>
        </w:rPr>
        <w:t xml:space="preserve"> </w:t>
      </w:r>
      <w:r w:rsidR="003D0981" w:rsidRPr="007703D4">
        <w:rPr>
          <w:rFonts w:ascii="Verdana" w:hAnsi="Verdana"/>
          <w:sz w:val="20"/>
          <w:lang w:val="es-MX"/>
        </w:rPr>
        <w:t>otorgar</w:t>
      </w:r>
      <w:r w:rsidR="0076614F" w:rsidRPr="007703D4">
        <w:rPr>
          <w:rFonts w:ascii="Verdana" w:hAnsi="Verdana"/>
          <w:sz w:val="20"/>
          <w:lang w:val="es-MX"/>
        </w:rPr>
        <w:t xml:space="preserve"> concesiones forestales y mineras, </w:t>
      </w:r>
      <w:r w:rsidR="003D0981" w:rsidRPr="007703D4">
        <w:rPr>
          <w:rFonts w:ascii="Verdana" w:hAnsi="Verdana"/>
          <w:sz w:val="20"/>
          <w:lang w:val="es-MX"/>
        </w:rPr>
        <w:t xml:space="preserve">esto no incluía el derecho a la </w:t>
      </w:r>
      <w:r w:rsidR="004F1899">
        <w:rPr>
          <w:rFonts w:ascii="Verdana" w:hAnsi="Verdana"/>
          <w:sz w:val="20"/>
          <w:lang w:val="es-MX"/>
        </w:rPr>
        <w:t>participación efectiva</w:t>
      </w:r>
      <w:r w:rsidR="000463AB" w:rsidRPr="007703D4">
        <w:rPr>
          <w:rStyle w:val="FootnoteReference"/>
          <w:lang w:val="es-MX"/>
        </w:rPr>
        <w:footnoteReference w:id="246"/>
      </w:r>
      <w:r w:rsidR="000463AB" w:rsidRPr="007703D4">
        <w:rPr>
          <w:rFonts w:ascii="Verdana" w:hAnsi="Verdana"/>
          <w:sz w:val="20"/>
          <w:lang w:val="es-MX"/>
        </w:rPr>
        <w:t>.</w:t>
      </w:r>
    </w:p>
    <w:p w14:paraId="68E46E9F" w14:textId="77777777" w:rsidR="007462B5" w:rsidRPr="007703D4" w:rsidRDefault="007462B5" w:rsidP="00366D91">
      <w:pPr>
        <w:pStyle w:val="ListParagraph"/>
        <w:ind w:left="0"/>
        <w:jc w:val="both"/>
        <w:rPr>
          <w:rFonts w:ascii="Verdana" w:hAnsi="Verdana"/>
          <w:sz w:val="20"/>
          <w:lang w:val="es-CR"/>
        </w:rPr>
      </w:pPr>
    </w:p>
    <w:p w14:paraId="1E74ABFF" w14:textId="2DDFC06C" w:rsidR="004F1899" w:rsidRPr="00213026" w:rsidRDefault="004F1899" w:rsidP="004F1899">
      <w:pPr>
        <w:numPr>
          <w:ilvl w:val="0"/>
          <w:numId w:val="2"/>
        </w:numPr>
        <w:ind w:left="0" w:hanging="11"/>
        <w:contextualSpacing/>
        <w:jc w:val="both"/>
        <w:rPr>
          <w:rFonts w:ascii="Verdana" w:hAnsi="Verdana"/>
          <w:sz w:val="20"/>
          <w:szCs w:val="20"/>
          <w:lang w:val="es-MX"/>
        </w:rPr>
      </w:pPr>
      <w:r w:rsidRPr="00FD5C59">
        <w:rPr>
          <w:rFonts w:ascii="Verdana" w:hAnsi="Verdana"/>
          <w:sz w:val="20"/>
          <w:szCs w:val="20"/>
          <w:lang w:val="es-MX"/>
        </w:rPr>
        <w:t xml:space="preserve">Asimismo, </w:t>
      </w:r>
      <w:r w:rsidR="00164F52">
        <w:rPr>
          <w:rFonts w:ascii="Verdana" w:hAnsi="Verdana"/>
          <w:sz w:val="20"/>
          <w:szCs w:val="20"/>
          <w:lang w:val="es-MX"/>
        </w:rPr>
        <w:t xml:space="preserve">como </w:t>
      </w:r>
      <w:r w:rsidR="000D7B24">
        <w:rPr>
          <w:rFonts w:ascii="Verdana" w:hAnsi="Verdana"/>
          <w:sz w:val="20"/>
          <w:szCs w:val="20"/>
          <w:lang w:val="es-MX"/>
        </w:rPr>
        <w:t>fue</w:t>
      </w:r>
      <w:r w:rsidR="00164F52">
        <w:rPr>
          <w:rFonts w:ascii="Verdana" w:hAnsi="Verdana"/>
          <w:sz w:val="20"/>
          <w:szCs w:val="20"/>
          <w:lang w:val="es-MX"/>
        </w:rPr>
        <w:t xml:space="preserve"> mencion</w:t>
      </w:r>
      <w:r w:rsidR="000D7B24">
        <w:rPr>
          <w:rFonts w:ascii="Verdana" w:hAnsi="Verdana"/>
          <w:sz w:val="20"/>
          <w:szCs w:val="20"/>
          <w:lang w:val="es-MX"/>
        </w:rPr>
        <w:t>ado</w:t>
      </w:r>
      <w:r w:rsidRPr="00FD5C59">
        <w:rPr>
          <w:rFonts w:ascii="Verdana" w:hAnsi="Verdana"/>
          <w:sz w:val="20"/>
          <w:szCs w:val="20"/>
          <w:lang w:val="es-MX"/>
        </w:rPr>
        <w:t xml:space="preserve">, el Estado manifestó su voluntad de seguir trabajando con el fin de asegurar la consulta previa, libre e informada de los pueblos indígenas y tribales, </w:t>
      </w:r>
      <w:r>
        <w:rPr>
          <w:rFonts w:ascii="Verdana" w:hAnsi="Verdana"/>
          <w:sz w:val="20"/>
          <w:szCs w:val="20"/>
          <w:lang w:val="es-MX"/>
        </w:rPr>
        <w:t>(</w:t>
      </w:r>
      <w:r w:rsidRPr="00CF360B">
        <w:rPr>
          <w:rFonts w:ascii="Verdana" w:hAnsi="Verdana"/>
          <w:i/>
          <w:sz w:val="20"/>
          <w:szCs w:val="20"/>
          <w:lang w:val="es-MX"/>
        </w:rPr>
        <w:t>supra</w:t>
      </w:r>
      <w:r>
        <w:rPr>
          <w:rFonts w:ascii="Verdana" w:hAnsi="Verdana"/>
          <w:sz w:val="20"/>
          <w:szCs w:val="20"/>
          <w:lang w:val="es-MX"/>
        </w:rPr>
        <w:t xml:space="preserve"> párr</w:t>
      </w:r>
      <w:r w:rsidR="00164F52">
        <w:rPr>
          <w:rFonts w:ascii="Verdana" w:hAnsi="Verdana"/>
          <w:sz w:val="20"/>
          <w:szCs w:val="20"/>
          <w:lang w:val="es-MX"/>
        </w:rPr>
        <w:t>.</w:t>
      </w:r>
      <w:r>
        <w:rPr>
          <w:rFonts w:ascii="Verdana" w:hAnsi="Verdana"/>
          <w:sz w:val="20"/>
          <w:szCs w:val="20"/>
          <w:lang w:val="es-MX"/>
        </w:rPr>
        <w:t xml:space="preserve"> </w:t>
      </w:r>
      <w:r w:rsidR="00E72187">
        <w:rPr>
          <w:rFonts w:ascii="Verdana" w:hAnsi="Verdana"/>
          <w:sz w:val="20"/>
          <w:szCs w:val="20"/>
          <w:lang w:val="es-MX"/>
        </w:rPr>
        <w:t>204</w:t>
      </w:r>
      <w:r>
        <w:rPr>
          <w:rFonts w:ascii="Verdana" w:hAnsi="Verdana"/>
          <w:sz w:val="20"/>
          <w:szCs w:val="20"/>
          <w:lang w:val="es-MX"/>
        </w:rPr>
        <w:t>)</w:t>
      </w:r>
      <w:r w:rsidRPr="00FD5C59">
        <w:rPr>
          <w:rFonts w:ascii="Verdana" w:hAnsi="Verdana"/>
          <w:sz w:val="20"/>
          <w:szCs w:val="20"/>
          <w:lang w:val="es-MX"/>
        </w:rPr>
        <w:t>. Para lograr</w:t>
      </w:r>
      <w:r w:rsidR="00E72187">
        <w:rPr>
          <w:rFonts w:ascii="Verdana" w:hAnsi="Verdana"/>
          <w:sz w:val="20"/>
          <w:szCs w:val="20"/>
          <w:lang w:val="es-MX"/>
        </w:rPr>
        <w:t>lo</w:t>
      </w:r>
      <w:r w:rsidRPr="00FD5C59">
        <w:rPr>
          <w:rFonts w:ascii="Verdana" w:hAnsi="Verdana"/>
          <w:sz w:val="20"/>
          <w:szCs w:val="20"/>
          <w:lang w:val="es-MX"/>
        </w:rPr>
        <w:t xml:space="preserve">, el Estado indicó que actualmente estaría elaborando un </w:t>
      </w:r>
      <w:r>
        <w:rPr>
          <w:rFonts w:ascii="Verdana" w:hAnsi="Verdana"/>
          <w:sz w:val="20"/>
          <w:szCs w:val="20"/>
          <w:lang w:val="es-MX"/>
        </w:rPr>
        <w:t>“</w:t>
      </w:r>
      <w:r w:rsidRPr="00FD5C59">
        <w:rPr>
          <w:rFonts w:ascii="Verdana" w:hAnsi="Verdana"/>
          <w:sz w:val="20"/>
          <w:szCs w:val="20"/>
          <w:lang w:val="es-MX"/>
        </w:rPr>
        <w:t>protocolo de consulta previa, libre e informada</w:t>
      </w:r>
      <w:r>
        <w:rPr>
          <w:rFonts w:ascii="Verdana" w:hAnsi="Verdana"/>
          <w:sz w:val="20"/>
          <w:szCs w:val="20"/>
          <w:lang w:val="es-MX"/>
        </w:rPr>
        <w:t>”</w:t>
      </w:r>
      <w:r w:rsidR="006B297B">
        <w:rPr>
          <w:rFonts w:ascii="Verdana" w:hAnsi="Verdana"/>
          <w:sz w:val="20"/>
          <w:szCs w:val="20"/>
          <w:lang w:val="es-MX"/>
        </w:rPr>
        <w:t xml:space="preserve"> </w:t>
      </w:r>
      <w:r w:rsidR="006B297B" w:rsidRPr="006B297B">
        <w:rPr>
          <w:rFonts w:ascii="Verdana" w:hAnsi="Verdana"/>
          <w:sz w:val="20"/>
          <w:szCs w:val="20"/>
          <w:lang w:val="es-MX"/>
        </w:rPr>
        <w:t>(</w:t>
      </w:r>
      <w:r w:rsidR="008A4ABB" w:rsidRPr="00B22EC8">
        <w:rPr>
          <w:rFonts w:ascii="Verdana" w:hAnsi="Verdana"/>
          <w:i/>
          <w:sz w:val="20"/>
          <w:lang w:val="es-MX"/>
        </w:rPr>
        <w:t>Free</w:t>
      </w:r>
      <w:r w:rsidR="006B297B" w:rsidRPr="00B22EC8">
        <w:rPr>
          <w:rFonts w:ascii="Verdana" w:hAnsi="Verdana"/>
          <w:i/>
          <w:sz w:val="20"/>
          <w:szCs w:val="20"/>
          <w:lang w:val="es-MX"/>
        </w:rPr>
        <w:t xml:space="preserve">, </w:t>
      </w:r>
      <w:r w:rsidR="008A4ABB" w:rsidRPr="00B22EC8">
        <w:rPr>
          <w:rFonts w:ascii="Verdana" w:hAnsi="Verdana"/>
          <w:i/>
          <w:sz w:val="20"/>
          <w:lang w:val="es-MX"/>
        </w:rPr>
        <w:t xml:space="preserve">Prior </w:t>
      </w:r>
      <w:r w:rsidR="006B297B" w:rsidRPr="00B22EC8">
        <w:rPr>
          <w:rFonts w:ascii="Verdana" w:hAnsi="Verdana"/>
          <w:i/>
          <w:sz w:val="20"/>
          <w:szCs w:val="20"/>
          <w:lang w:val="es-MX"/>
        </w:rPr>
        <w:t xml:space="preserve">and </w:t>
      </w:r>
      <w:r w:rsidR="008A4ABB" w:rsidRPr="00B22EC8">
        <w:rPr>
          <w:rFonts w:ascii="Verdana" w:hAnsi="Verdana"/>
          <w:i/>
          <w:sz w:val="20"/>
          <w:lang w:val="es-MX"/>
        </w:rPr>
        <w:t>Informed Consent Communication Protoco</w:t>
      </w:r>
      <w:r w:rsidR="008A4ABB" w:rsidRPr="007E20F9">
        <w:rPr>
          <w:rFonts w:ascii="Verdana" w:hAnsi="Verdana"/>
          <w:sz w:val="20"/>
          <w:lang w:val="es-MX"/>
        </w:rPr>
        <w:t>l</w:t>
      </w:r>
      <w:r w:rsidR="006B297B" w:rsidRPr="006B297B">
        <w:rPr>
          <w:rFonts w:ascii="Verdana" w:hAnsi="Verdana"/>
          <w:sz w:val="20"/>
          <w:szCs w:val="20"/>
          <w:lang w:val="es-MX"/>
        </w:rPr>
        <w:t>)</w:t>
      </w:r>
      <w:r w:rsidRPr="00FD5C59">
        <w:rPr>
          <w:rFonts w:ascii="Verdana" w:hAnsi="Verdana"/>
          <w:sz w:val="20"/>
          <w:szCs w:val="20"/>
          <w:lang w:val="es-MX"/>
        </w:rPr>
        <w:t xml:space="preserve">, y que habría establecido la </w:t>
      </w:r>
      <w:r w:rsidR="006B297B" w:rsidRPr="006B297B">
        <w:rPr>
          <w:rFonts w:ascii="Verdana" w:hAnsi="Verdana"/>
          <w:sz w:val="20"/>
          <w:szCs w:val="20"/>
          <w:lang w:val="es-MX"/>
        </w:rPr>
        <w:t>Comisión de Derecho sobre Autoridades Tradicionales</w:t>
      </w:r>
      <w:r w:rsidRPr="006B297B">
        <w:rPr>
          <w:rFonts w:ascii="Verdana" w:hAnsi="Verdana"/>
          <w:sz w:val="20"/>
          <w:szCs w:val="20"/>
          <w:lang w:val="es-MX"/>
        </w:rPr>
        <w:t xml:space="preserve"> </w:t>
      </w:r>
      <w:r w:rsidR="006B297B" w:rsidRPr="006B297B">
        <w:rPr>
          <w:rFonts w:ascii="Verdana" w:hAnsi="Verdana"/>
          <w:sz w:val="20"/>
          <w:szCs w:val="20"/>
          <w:lang w:val="es-MX"/>
        </w:rPr>
        <w:t>(</w:t>
      </w:r>
      <w:r w:rsidR="008A4ABB" w:rsidRPr="00B22EC8">
        <w:rPr>
          <w:rFonts w:ascii="Verdana" w:hAnsi="Verdana"/>
          <w:i/>
          <w:sz w:val="20"/>
          <w:lang w:val="es-MX"/>
        </w:rPr>
        <w:t xml:space="preserve">Commission </w:t>
      </w:r>
      <w:r w:rsidR="006B297B" w:rsidRPr="00B22EC8">
        <w:rPr>
          <w:rFonts w:ascii="Verdana" w:hAnsi="Verdana"/>
          <w:i/>
          <w:sz w:val="20"/>
          <w:szCs w:val="20"/>
          <w:lang w:val="es-MX"/>
        </w:rPr>
        <w:t>L</w:t>
      </w:r>
      <w:r w:rsidR="008A4ABB" w:rsidRPr="00B22EC8">
        <w:rPr>
          <w:rFonts w:ascii="Verdana" w:hAnsi="Verdana"/>
          <w:i/>
          <w:sz w:val="20"/>
          <w:lang w:val="es-MX"/>
        </w:rPr>
        <w:t>aw on Traditional Authorities</w:t>
      </w:r>
      <w:r w:rsidR="006B297B" w:rsidRPr="007E20F9">
        <w:rPr>
          <w:rFonts w:ascii="Verdana" w:hAnsi="Verdana"/>
          <w:sz w:val="20"/>
          <w:szCs w:val="20"/>
          <w:lang w:val="es-MX"/>
        </w:rPr>
        <w:t>)</w:t>
      </w:r>
      <w:r w:rsidR="008A4ABB" w:rsidRPr="007E20F9">
        <w:rPr>
          <w:rFonts w:ascii="Verdana" w:hAnsi="Verdana"/>
          <w:sz w:val="20"/>
          <w:lang w:val="es-MX"/>
        </w:rPr>
        <w:t>,</w:t>
      </w:r>
      <w:r w:rsidRPr="00FD5C59">
        <w:rPr>
          <w:rFonts w:ascii="Verdana" w:hAnsi="Verdana"/>
          <w:sz w:val="20"/>
          <w:szCs w:val="20"/>
          <w:lang w:val="es-MX"/>
        </w:rPr>
        <w:t xml:space="preserve"> cuyo objetivo sería reconocer a las autoridades tradicionales como legítimos representantes de los indígenas, particularmente en lo que se refiere a situaciones en las que los pueblos indígenas deben ser consultados</w:t>
      </w:r>
      <w:r w:rsidRPr="00213026">
        <w:rPr>
          <w:rFonts w:ascii="Verdana" w:hAnsi="Verdana"/>
          <w:sz w:val="20"/>
          <w:szCs w:val="20"/>
          <w:lang w:val="es-MX"/>
        </w:rPr>
        <w:t>. Al respecto, si bien el Tribunal considera positivo el compromiso estatal por la creación de un protocolo de consulta, el mismo no ha sido adoptado</w:t>
      </w:r>
      <w:r w:rsidR="00E72187" w:rsidRPr="00213026">
        <w:rPr>
          <w:rFonts w:ascii="Verdana" w:hAnsi="Verdana"/>
          <w:sz w:val="20"/>
          <w:szCs w:val="20"/>
          <w:lang w:val="es-MX"/>
        </w:rPr>
        <w:t xml:space="preserve"> hasta la fecha</w:t>
      </w:r>
      <w:r w:rsidRPr="00213026">
        <w:rPr>
          <w:rFonts w:ascii="Verdana" w:hAnsi="Verdana"/>
          <w:sz w:val="20"/>
          <w:szCs w:val="20"/>
          <w:lang w:val="es-MX"/>
        </w:rPr>
        <w:t>, ni consta en el expediente si dicho protocolo tomaría en cuenta los estándares en la materia, establecidos por esta Corte a fin de garantizar la participación efectiva de los pueblos indígenas y tribales de manera efectiv</w:t>
      </w:r>
      <w:r w:rsidR="00213026">
        <w:rPr>
          <w:rFonts w:ascii="Verdana" w:hAnsi="Verdana"/>
          <w:sz w:val="20"/>
          <w:szCs w:val="20"/>
          <w:lang w:val="es-MX"/>
        </w:rPr>
        <w:t>a.</w:t>
      </w:r>
    </w:p>
    <w:p w14:paraId="7CF70E21" w14:textId="77777777" w:rsidR="004F1899" w:rsidRPr="00FD5C59" w:rsidRDefault="004F1899" w:rsidP="004F1899">
      <w:pPr>
        <w:jc w:val="both"/>
        <w:rPr>
          <w:lang w:val="es-MX"/>
        </w:rPr>
      </w:pPr>
    </w:p>
    <w:p w14:paraId="2CE6068B" w14:textId="77777777" w:rsidR="004F1899" w:rsidRPr="007F327D" w:rsidRDefault="004F1899" w:rsidP="004F1899">
      <w:pPr>
        <w:pStyle w:val="ListParagraph"/>
        <w:numPr>
          <w:ilvl w:val="0"/>
          <w:numId w:val="2"/>
        </w:numPr>
        <w:ind w:left="0" w:hanging="11"/>
        <w:jc w:val="both"/>
        <w:rPr>
          <w:rFonts w:ascii="Verdana" w:eastAsiaTheme="minorEastAsia" w:hAnsi="Verdana" w:cstheme="minorBidi"/>
          <w:sz w:val="20"/>
          <w:szCs w:val="20"/>
          <w:lang w:val="es-CR"/>
        </w:rPr>
      </w:pPr>
      <w:r w:rsidRPr="007703D4">
        <w:rPr>
          <w:rFonts w:ascii="Verdana" w:hAnsi="Verdana"/>
          <w:sz w:val="20"/>
          <w:szCs w:val="20"/>
          <w:lang w:val="es-MX"/>
        </w:rPr>
        <w:t xml:space="preserve"> </w:t>
      </w:r>
      <w:r w:rsidRPr="007703D4">
        <w:rPr>
          <w:rFonts w:ascii="Verdana" w:hAnsi="Verdana"/>
          <w:sz w:val="20"/>
          <w:szCs w:val="20"/>
          <w:lang w:val="es-CR"/>
        </w:rPr>
        <w:t xml:space="preserve">Por otro lado, </w:t>
      </w:r>
      <w:r>
        <w:rPr>
          <w:rFonts w:ascii="Verdana" w:hAnsi="Verdana"/>
          <w:sz w:val="20"/>
          <w:szCs w:val="20"/>
          <w:lang w:val="es-CR"/>
        </w:rPr>
        <w:t>la Corte considera</w:t>
      </w:r>
      <w:r w:rsidRPr="002E5A36">
        <w:rPr>
          <w:rFonts w:ascii="Verdana" w:hAnsi="Verdana"/>
          <w:sz w:val="20"/>
          <w:szCs w:val="20"/>
          <w:lang w:val="es-CR"/>
        </w:rPr>
        <w:t xml:space="preserve"> que </w:t>
      </w:r>
      <w:r>
        <w:rPr>
          <w:rFonts w:ascii="Verdana" w:eastAsia="Times New Roman" w:hAnsi="Verdana"/>
          <w:color w:val="000000"/>
          <w:sz w:val="20"/>
          <w:szCs w:val="20"/>
          <w:lang w:val="es-CR" w:eastAsia="es-CR"/>
        </w:rPr>
        <w:t>la participación efectiva de los Pueblos Kaliña y Lokono también deberá ser garantizada por el Estado respecto de cualquier plan de desarrollo o inversión, así como de cualquier actividad nueva de exploración o explotación que pueda originarse en el futuro en los territorios tradicionales de estos pueblos</w:t>
      </w:r>
      <w:r>
        <w:rPr>
          <w:rStyle w:val="FootnoteReference"/>
          <w:rFonts w:eastAsia="Times New Roman"/>
          <w:color w:val="000000"/>
          <w:szCs w:val="20"/>
          <w:lang w:val="es-CR" w:eastAsia="es-CR"/>
        </w:rPr>
        <w:footnoteReference w:id="247"/>
      </w:r>
      <w:r>
        <w:rPr>
          <w:rFonts w:ascii="Verdana" w:eastAsia="Times New Roman" w:hAnsi="Verdana"/>
          <w:color w:val="000000"/>
          <w:sz w:val="20"/>
          <w:szCs w:val="20"/>
          <w:lang w:val="es-CR" w:eastAsia="es-CR"/>
        </w:rPr>
        <w:t xml:space="preserve">, en particular, dentro de la Reserva Natural de Wane Kreek </w:t>
      </w:r>
      <w:r w:rsidRPr="007703D4">
        <w:rPr>
          <w:rFonts w:ascii="Verdana" w:eastAsia="Times New Roman" w:hAnsi="Verdana"/>
          <w:color w:val="000000"/>
          <w:sz w:val="20"/>
          <w:szCs w:val="20"/>
          <w:lang w:val="es-CR" w:eastAsia="es-CR"/>
        </w:rPr>
        <w:t>(</w:t>
      </w:r>
      <w:r w:rsidRPr="007703D4">
        <w:rPr>
          <w:rFonts w:ascii="Verdana" w:eastAsia="Times New Roman" w:hAnsi="Verdana"/>
          <w:i/>
          <w:color w:val="000000"/>
          <w:sz w:val="20"/>
          <w:szCs w:val="20"/>
          <w:lang w:val="es-CR" w:eastAsia="es-CR"/>
        </w:rPr>
        <w:t>supra</w:t>
      </w:r>
      <w:r w:rsidRPr="007703D4">
        <w:rPr>
          <w:rFonts w:ascii="Verdana" w:eastAsia="Times New Roman" w:hAnsi="Verdana"/>
          <w:color w:val="000000"/>
          <w:sz w:val="20"/>
          <w:szCs w:val="20"/>
          <w:lang w:val="es-CR" w:eastAsia="es-CR"/>
        </w:rPr>
        <w:t xml:space="preserve"> </w:t>
      </w:r>
      <w:r w:rsidR="004A262D">
        <w:rPr>
          <w:rFonts w:ascii="Verdana" w:eastAsia="Times New Roman" w:hAnsi="Verdana"/>
          <w:color w:val="000000"/>
          <w:sz w:val="20"/>
          <w:szCs w:val="20"/>
          <w:lang w:val="es-CR" w:eastAsia="es-CR"/>
        </w:rPr>
        <w:t>párr.</w:t>
      </w:r>
      <w:r w:rsidR="00E72187">
        <w:rPr>
          <w:rFonts w:ascii="Verdana" w:eastAsia="Times New Roman" w:hAnsi="Verdana"/>
          <w:color w:val="000000"/>
          <w:sz w:val="20"/>
          <w:szCs w:val="20"/>
          <w:lang w:val="es-CR" w:eastAsia="es-CR"/>
        </w:rPr>
        <w:t xml:space="preserve"> 206</w:t>
      </w:r>
      <w:r w:rsidRPr="007703D4">
        <w:rPr>
          <w:rFonts w:ascii="Verdana" w:eastAsia="Times New Roman" w:hAnsi="Verdana"/>
          <w:color w:val="000000"/>
          <w:sz w:val="20"/>
          <w:szCs w:val="20"/>
          <w:lang w:val="es-CR" w:eastAsia="es-CR"/>
        </w:rPr>
        <w:t>).</w:t>
      </w:r>
      <w:r>
        <w:rPr>
          <w:rFonts w:ascii="Verdana" w:eastAsia="Times New Roman" w:hAnsi="Verdana"/>
          <w:color w:val="000000"/>
          <w:sz w:val="20"/>
          <w:szCs w:val="20"/>
          <w:lang w:val="es-CR" w:eastAsia="es-CR"/>
        </w:rPr>
        <w:t xml:space="preserve"> </w:t>
      </w:r>
    </w:p>
    <w:p w14:paraId="0F95D465" w14:textId="77777777" w:rsidR="004F1899" w:rsidRPr="007703D4" w:rsidRDefault="004F1899" w:rsidP="004F1899">
      <w:pPr>
        <w:pStyle w:val="ListParagraph"/>
        <w:jc w:val="both"/>
        <w:rPr>
          <w:rFonts w:ascii="Verdana" w:eastAsiaTheme="minorEastAsia" w:hAnsi="Verdana" w:cstheme="minorBidi"/>
          <w:sz w:val="20"/>
          <w:szCs w:val="20"/>
          <w:lang w:val="es-CR"/>
        </w:rPr>
      </w:pPr>
    </w:p>
    <w:p w14:paraId="0201EEA0" w14:textId="77777777" w:rsidR="004F1899" w:rsidRPr="007703D4" w:rsidRDefault="004F1899" w:rsidP="004F1899">
      <w:pPr>
        <w:pStyle w:val="ListParagraph"/>
        <w:numPr>
          <w:ilvl w:val="0"/>
          <w:numId w:val="2"/>
        </w:numPr>
        <w:ind w:left="0" w:hanging="11"/>
        <w:jc w:val="both"/>
        <w:rPr>
          <w:rFonts w:ascii="Verdana" w:hAnsi="Verdana"/>
          <w:sz w:val="20"/>
          <w:szCs w:val="20"/>
          <w:lang w:val="es-CR"/>
        </w:rPr>
      </w:pPr>
      <w:r w:rsidRPr="002E5A36">
        <w:rPr>
          <w:rFonts w:ascii="Verdana" w:hAnsi="Verdana"/>
          <w:sz w:val="20"/>
          <w:szCs w:val="20"/>
          <w:lang w:val="es-CR"/>
        </w:rPr>
        <w:t xml:space="preserve"> </w:t>
      </w:r>
      <w:r w:rsidRPr="007703D4">
        <w:rPr>
          <w:rFonts w:ascii="Verdana" w:eastAsia="Times New Roman" w:hAnsi="Verdana"/>
          <w:color w:val="000000"/>
          <w:sz w:val="20"/>
          <w:szCs w:val="20"/>
          <w:lang w:val="es-CR" w:eastAsia="es-CR"/>
        </w:rPr>
        <w:t>En conclusión, del acervo probatorio, la Corte ha constatado que el Estado no garantiz</w:t>
      </w:r>
      <w:r w:rsidR="00557E59">
        <w:rPr>
          <w:rFonts w:ascii="Verdana" w:eastAsia="Times New Roman" w:hAnsi="Verdana"/>
          <w:color w:val="000000"/>
          <w:sz w:val="20"/>
          <w:szCs w:val="20"/>
          <w:lang w:val="es-CR" w:eastAsia="es-CR"/>
        </w:rPr>
        <w:t>ó</w:t>
      </w:r>
      <w:r w:rsidRPr="007703D4">
        <w:rPr>
          <w:rFonts w:ascii="Verdana" w:eastAsia="Times New Roman" w:hAnsi="Verdana"/>
          <w:color w:val="000000"/>
          <w:sz w:val="20"/>
          <w:szCs w:val="20"/>
          <w:lang w:val="es-CR" w:eastAsia="es-CR"/>
        </w:rPr>
        <w:t xml:space="preserve"> la </w:t>
      </w:r>
      <w:r>
        <w:rPr>
          <w:rFonts w:ascii="Verdana" w:eastAsia="Times New Roman" w:hAnsi="Verdana"/>
          <w:color w:val="000000"/>
          <w:sz w:val="20"/>
          <w:szCs w:val="20"/>
          <w:lang w:val="es-CR" w:eastAsia="es-CR"/>
        </w:rPr>
        <w:t>participación efectiva</w:t>
      </w:r>
      <w:r w:rsidR="00557E59">
        <w:rPr>
          <w:rFonts w:ascii="Verdana" w:eastAsia="Times New Roman" w:hAnsi="Verdana"/>
          <w:color w:val="000000"/>
          <w:sz w:val="20"/>
          <w:szCs w:val="20"/>
          <w:lang w:val="es-CR" w:eastAsia="es-CR"/>
        </w:rPr>
        <w:t>, a través de un proceso de consulta</w:t>
      </w:r>
      <w:r w:rsidRPr="007703D4">
        <w:rPr>
          <w:rFonts w:ascii="Verdana" w:eastAsia="Times New Roman" w:hAnsi="Verdana"/>
          <w:color w:val="000000"/>
          <w:sz w:val="20"/>
          <w:szCs w:val="20"/>
          <w:lang w:val="es-CR" w:eastAsia="es-CR"/>
        </w:rPr>
        <w:t xml:space="preserve"> </w:t>
      </w:r>
      <w:r w:rsidR="00557E59">
        <w:rPr>
          <w:rFonts w:ascii="Verdana" w:eastAsia="Times New Roman" w:hAnsi="Verdana"/>
          <w:color w:val="000000"/>
          <w:sz w:val="20"/>
          <w:szCs w:val="20"/>
          <w:lang w:val="es-CR" w:eastAsia="es-CR"/>
        </w:rPr>
        <w:t xml:space="preserve">a </w:t>
      </w:r>
      <w:r w:rsidRPr="007703D4">
        <w:rPr>
          <w:rFonts w:ascii="Verdana" w:eastAsia="Times New Roman" w:hAnsi="Verdana"/>
          <w:color w:val="000000"/>
          <w:sz w:val="20"/>
          <w:szCs w:val="20"/>
          <w:lang w:val="es-CR" w:eastAsia="es-CR"/>
        </w:rPr>
        <w:t xml:space="preserve">los </w:t>
      </w:r>
      <w:r>
        <w:rPr>
          <w:rFonts w:ascii="Verdana" w:eastAsia="Times New Roman" w:hAnsi="Verdana"/>
          <w:color w:val="000000"/>
          <w:sz w:val="20"/>
          <w:szCs w:val="20"/>
          <w:lang w:val="es-CR" w:eastAsia="es-CR"/>
        </w:rPr>
        <w:t>P</w:t>
      </w:r>
      <w:r w:rsidRPr="007703D4">
        <w:rPr>
          <w:rFonts w:ascii="Verdana" w:eastAsia="Times New Roman" w:hAnsi="Verdana"/>
          <w:color w:val="000000"/>
          <w:sz w:val="20"/>
          <w:szCs w:val="20"/>
          <w:lang w:val="es-CR" w:eastAsia="es-CR"/>
        </w:rPr>
        <w:t>ueblos Kaliña y Lokono antes de emprender o autorizar la explotación de la mina de bauxita dentro de parte de su territorio tradicional</w:t>
      </w:r>
      <w:r w:rsidRPr="007703D4">
        <w:rPr>
          <w:rFonts w:ascii="Verdana" w:eastAsia="Times New Roman" w:hAnsi="Verdana"/>
          <w:color w:val="000000"/>
          <w:sz w:val="20"/>
          <w:lang w:val="es-CR" w:eastAsia="es-CR"/>
        </w:rPr>
        <w:t>.</w:t>
      </w:r>
    </w:p>
    <w:p w14:paraId="1F2C31FD" w14:textId="77777777" w:rsidR="006E360C" w:rsidRDefault="006E360C" w:rsidP="002E4580">
      <w:pPr>
        <w:shd w:val="clear" w:color="auto" w:fill="FFFFFF"/>
        <w:jc w:val="both"/>
        <w:textAlignment w:val="top"/>
        <w:rPr>
          <w:rFonts w:ascii="Verdana" w:eastAsia="Times New Roman" w:hAnsi="Verdana"/>
          <w:color w:val="000000"/>
          <w:sz w:val="20"/>
          <w:szCs w:val="20"/>
          <w:lang w:val="es-CR" w:eastAsia="es-CR"/>
        </w:rPr>
      </w:pPr>
    </w:p>
    <w:p w14:paraId="7D8683C9" w14:textId="77777777" w:rsidR="007A74B3" w:rsidRPr="007703D4" w:rsidRDefault="007A74B3" w:rsidP="00261627">
      <w:pPr>
        <w:shd w:val="clear" w:color="auto" w:fill="FFFFFF"/>
        <w:ind w:left="720" w:firstLine="720"/>
        <w:jc w:val="both"/>
        <w:textAlignment w:val="top"/>
        <w:rPr>
          <w:rFonts w:ascii="Verdana" w:eastAsia="Times New Roman" w:hAnsi="Verdana"/>
          <w:b/>
          <w:i/>
          <w:color w:val="000000"/>
          <w:sz w:val="20"/>
          <w:lang w:val="es-CR" w:eastAsia="es-CR"/>
        </w:rPr>
      </w:pPr>
      <w:r w:rsidRPr="007703D4">
        <w:rPr>
          <w:rFonts w:ascii="Verdana" w:hAnsi="Verdana"/>
          <w:b/>
          <w:i/>
          <w:sz w:val="20"/>
          <w:lang w:val="es-CR" w:eastAsia="es-ES"/>
        </w:rPr>
        <w:t xml:space="preserve">ii) </w:t>
      </w:r>
      <w:r w:rsidRPr="007703D4">
        <w:rPr>
          <w:rFonts w:ascii="Verdana" w:eastAsia="Times New Roman" w:hAnsi="Verdana"/>
          <w:b/>
          <w:i/>
          <w:color w:val="000000"/>
          <w:sz w:val="20"/>
          <w:lang w:val="es-CR" w:eastAsia="es-CR"/>
        </w:rPr>
        <w:t>Evaluaci</w:t>
      </w:r>
      <w:r w:rsidR="00557E59">
        <w:rPr>
          <w:rFonts w:ascii="Verdana" w:eastAsia="Times New Roman" w:hAnsi="Verdana"/>
          <w:b/>
          <w:i/>
          <w:color w:val="000000"/>
          <w:sz w:val="20"/>
          <w:lang w:val="es-CR" w:eastAsia="es-CR"/>
        </w:rPr>
        <w:t>ón</w:t>
      </w:r>
      <w:r w:rsidRPr="007703D4">
        <w:rPr>
          <w:rFonts w:ascii="Verdana" w:eastAsia="Times New Roman" w:hAnsi="Verdana"/>
          <w:b/>
          <w:i/>
          <w:color w:val="000000"/>
          <w:sz w:val="20"/>
          <w:lang w:val="es-CR" w:eastAsia="es-CR"/>
        </w:rPr>
        <w:t xml:space="preserve"> previa de impacto ambiental y social </w:t>
      </w:r>
    </w:p>
    <w:p w14:paraId="2C7AB4CD" w14:textId="77777777" w:rsidR="007A74B3" w:rsidRDefault="007A74B3" w:rsidP="007A74B3">
      <w:pPr>
        <w:shd w:val="clear" w:color="auto" w:fill="FFFFFF"/>
        <w:jc w:val="both"/>
        <w:textAlignment w:val="top"/>
        <w:rPr>
          <w:rFonts w:ascii="Verdana" w:eastAsia="Times New Roman" w:hAnsi="Verdana"/>
          <w:color w:val="000000"/>
          <w:sz w:val="20"/>
          <w:lang w:val="es-CR" w:eastAsia="es-CR"/>
        </w:rPr>
      </w:pPr>
    </w:p>
    <w:p w14:paraId="7A76DCD5" w14:textId="77777777" w:rsidR="004F1899" w:rsidRPr="00CF360B" w:rsidRDefault="004F1899" w:rsidP="004F1899">
      <w:pPr>
        <w:pStyle w:val="ListParagraph"/>
        <w:numPr>
          <w:ilvl w:val="0"/>
          <w:numId w:val="2"/>
        </w:numPr>
        <w:ind w:left="0" w:hanging="11"/>
        <w:jc w:val="both"/>
        <w:rPr>
          <w:rFonts w:ascii="Verdana" w:hAnsi="Verdana"/>
          <w:sz w:val="20"/>
          <w:lang w:val="es-CR"/>
        </w:rPr>
      </w:pPr>
      <w:r w:rsidRPr="00190AD3">
        <w:rPr>
          <w:rFonts w:ascii="Verdana" w:hAnsi="Verdana"/>
          <w:sz w:val="20"/>
          <w:lang w:val="es-CR"/>
        </w:rPr>
        <w:t xml:space="preserve">La Corte constató que en el año 2005 </w:t>
      </w:r>
      <w:r w:rsidRPr="00190AD3">
        <w:rPr>
          <w:rFonts w:ascii="Verdana" w:hAnsi="Verdana"/>
          <w:sz w:val="20"/>
        </w:rPr>
        <w:t>una consultora privada contratada por la empresa BHP Billiton realizó un estudio de sensibilidad ambiental</w:t>
      </w:r>
      <w:r w:rsidRPr="00190AD3">
        <w:rPr>
          <w:rFonts w:ascii="Verdana" w:hAnsi="Verdana"/>
          <w:sz w:val="20"/>
          <w:lang w:val="es-CR"/>
        </w:rPr>
        <w:t xml:space="preserve">, el cual concluyó que </w:t>
      </w:r>
      <w:r w:rsidRPr="00190AD3">
        <w:rPr>
          <w:rFonts w:ascii="Verdana" w:hAnsi="Verdana"/>
          <w:sz w:val="20"/>
          <w:lang w:val="es-ES"/>
        </w:rPr>
        <w:t xml:space="preserve">las secciones Wane </w:t>
      </w:r>
      <w:r w:rsidR="00A10C80">
        <w:rPr>
          <w:rFonts w:ascii="Verdana" w:hAnsi="Verdana"/>
          <w:sz w:val="20"/>
          <w:lang w:val="es-ES"/>
        </w:rPr>
        <w:t>1</w:t>
      </w:r>
      <w:r w:rsidRPr="00190AD3">
        <w:rPr>
          <w:rFonts w:ascii="Verdana" w:hAnsi="Verdana"/>
          <w:sz w:val="20"/>
          <w:lang w:val="es-ES"/>
        </w:rPr>
        <w:t xml:space="preserve"> y Wane </w:t>
      </w:r>
      <w:r w:rsidR="00A10C80">
        <w:rPr>
          <w:rFonts w:ascii="Verdana" w:hAnsi="Verdana"/>
          <w:sz w:val="20"/>
          <w:lang w:val="es-ES"/>
        </w:rPr>
        <w:t>2</w:t>
      </w:r>
      <w:r w:rsidRPr="00190AD3">
        <w:rPr>
          <w:rFonts w:ascii="Verdana" w:hAnsi="Verdana"/>
          <w:sz w:val="20"/>
          <w:lang w:val="es-ES"/>
        </w:rPr>
        <w:t xml:space="preserve"> habían sufrido un daño ambiental considerable como consecuencia de la minería. No obstante, Surinam alegó que </w:t>
      </w:r>
      <w:r w:rsidR="00164F52" w:rsidRPr="00190AD3">
        <w:rPr>
          <w:rFonts w:ascii="Verdana" w:hAnsi="Verdana"/>
          <w:sz w:val="20"/>
          <w:szCs w:val="20"/>
          <w:lang w:val="es-ES"/>
        </w:rPr>
        <w:t>la realización de estudios de impacto ambiental</w:t>
      </w:r>
      <w:r w:rsidRPr="00190AD3">
        <w:rPr>
          <w:rFonts w:ascii="Verdana" w:hAnsi="Verdana"/>
          <w:sz w:val="20"/>
          <w:szCs w:val="20"/>
          <w:lang w:val="es-ES"/>
        </w:rPr>
        <w:t xml:space="preserve"> </w:t>
      </w:r>
      <w:r w:rsidRPr="00190AD3">
        <w:rPr>
          <w:rFonts w:ascii="Verdana" w:hAnsi="Verdana"/>
          <w:sz w:val="20"/>
          <w:lang w:val="es-ES"/>
        </w:rPr>
        <w:t xml:space="preserve">no </w:t>
      </w:r>
      <w:r w:rsidR="00164F52" w:rsidRPr="00190AD3">
        <w:rPr>
          <w:rFonts w:ascii="Verdana" w:hAnsi="Verdana"/>
          <w:sz w:val="20"/>
          <w:szCs w:val="20"/>
          <w:lang w:val="es-ES"/>
        </w:rPr>
        <w:t xml:space="preserve">era exigida por </w:t>
      </w:r>
      <w:r w:rsidRPr="00190AD3">
        <w:rPr>
          <w:rFonts w:ascii="Verdana" w:hAnsi="Verdana"/>
          <w:sz w:val="20"/>
          <w:lang w:val="es-ES"/>
        </w:rPr>
        <w:t>su legislación interna</w:t>
      </w:r>
      <w:r w:rsidR="00164F52" w:rsidRPr="00190AD3">
        <w:rPr>
          <w:rFonts w:ascii="Verdana" w:hAnsi="Verdana"/>
          <w:sz w:val="20"/>
          <w:szCs w:val="20"/>
          <w:lang w:val="es-ES"/>
        </w:rPr>
        <w:t>. Asimismo, el Estado señaló que la zona afectada por</w:t>
      </w:r>
      <w:r w:rsidRPr="00190AD3">
        <w:rPr>
          <w:rFonts w:ascii="Verdana" w:hAnsi="Verdana"/>
          <w:sz w:val="20"/>
          <w:lang w:val="es-ES"/>
        </w:rPr>
        <w:t xml:space="preserve"> las actividades mineras estarían siendo rehabilitadas, lo cual ha sido controvertido por los representantes. </w:t>
      </w:r>
    </w:p>
    <w:p w14:paraId="3D02D8B5" w14:textId="77777777" w:rsidR="00EA517B" w:rsidRPr="00190AD3" w:rsidRDefault="00EA517B" w:rsidP="00CF360B">
      <w:pPr>
        <w:pStyle w:val="ListParagraph"/>
        <w:ind w:left="0"/>
        <w:jc w:val="both"/>
        <w:rPr>
          <w:rFonts w:ascii="Verdana" w:hAnsi="Verdana"/>
          <w:sz w:val="20"/>
          <w:lang w:val="es-CR"/>
        </w:rPr>
      </w:pPr>
    </w:p>
    <w:p w14:paraId="31405EDD" w14:textId="77777777" w:rsidR="004F1899" w:rsidRPr="000E2020" w:rsidRDefault="004F1899" w:rsidP="004F1899">
      <w:pPr>
        <w:pStyle w:val="ListParagraph"/>
        <w:numPr>
          <w:ilvl w:val="0"/>
          <w:numId w:val="2"/>
        </w:numPr>
        <w:ind w:left="0" w:hanging="11"/>
        <w:jc w:val="both"/>
        <w:rPr>
          <w:rFonts w:ascii="Verdana" w:hAnsi="Verdana"/>
          <w:sz w:val="20"/>
          <w:szCs w:val="20"/>
          <w:lang w:val="es-CR"/>
        </w:rPr>
      </w:pPr>
      <w:r>
        <w:rPr>
          <w:rFonts w:ascii="Verdana" w:hAnsi="Verdana"/>
          <w:sz w:val="20"/>
          <w:szCs w:val="20"/>
          <w:lang w:val="es-CR"/>
        </w:rPr>
        <w:t>A este respecto, e</w:t>
      </w:r>
      <w:r w:rsidRPr="007703D4">
        <w:rPr>
          <w:rFonts w:ascii="Verdana" w:hAnsi="Verdana"/>
          <w:sz w:val="20"/>
          <w:szCs w:val="20"/>
          <w:lang w:val="es-CR"/>
        </w:rPr>
        <w:t>l Tribunal ha establecido que el Estado debe garantizar que no se emitirá ninguna concesión dentro del territorio de una comunidad indígena a menos y hasta que entidades independientes y técnicamente capaces, bajo la supervisión del Estado, realicen un estudio previo de impacto social y ambiental</w:t>
      </w:r>
      <w:r w:rsidRPr="007703D4">
        <w:rPr>
          <w:rStyle w:val="FootnoteReference"/>
          <w:szCs w:val="20"/>
        </w:rPr>
        <w:footnoteReference w:id="248"/>
      </w:r>
      <w:r w:rsidRPr="007703D4">
        <w:rPr>
          <w:rFonts w:ascii="Verdana" w:hAnsi="Verdana"/>
          <w:sz w:val="20"/>
          <w:szCs w:val="20"/>
          <w:lang w:val="es-CR"/>
        </w:rPr>
        <w:t>. Además</w:t>
      </w:r>
      <w:r w:rsidR="00F134FE">
        <w:rPr>
          <w:rFonts w:ascii="Verdana" w:hAnsi="Verdana"/>
          <w:sz w:val="20"/>
          <w:szCs w:val="20"/>
          <w:lang w:val="es-CR"/>
        </w:rPr>
        <w:t>,</w:t>
      </w:r>
      <w:r w:rsidRPr="007703D4">
        <w:rPr>
          <w:rFonts w:ascii="Verdana" w:hAnsi="Verdana"/>
          <w:sz w:val="20"/>
          <w:szCs w:val="20"/>
          <w:lang w:val="es-CR"/>
        </w:rPr>
        <w:t xml:space="preserve"> la Corte determinó que </w:t>
      </w:r>
      <w:r>
        <w:rPr>
          <w:rFonts w:ascii="Verdana" w:hAnsi="Verdana" w:cs="Tahoma"/>
          <w:sz w:val="20"/>
          <w:szCs w:val="20"/>
          <w:lang w:val="es-CR"/>
        </w:rPr>
        <w:t xml:space="preserve">los </w:t>
      </w:r>
      <w:r>
        <w:rPr>
          <w:rFonts w:ascii="Verdana" w:hAnsi="Verdana" w:cs="Tahoma"/>
          <w:sz w:val="20"/>
          <w:szCs w:val="20"/>
          <w:lang w:val="es-CR"/>
        </w:rPr>
        <w:lastRenderedPageBreak/>
        <w:t>estudios de impacto a</w:t>
      </w:r>
      <w:r w:rsidRPr="007703D4">
        <w:rPr>
          <w:rFonts w:ascii="Verdana" w:hAnsi="Verdana" w:cs="Tahoma"/>
          <w:sz w:val="20"/>
          <w:szCs w:val="20"/>
          <w:lang w:val="es-CR"/>
        </w:rPr>
        <w:t xml:space="preserve">mbiental “sirven para evaluar el posible daño o impacto que un proyecto de desarrollo o inversión puede tener sobre la propiedad y comunidad en cuestión. El objetivo de [los mismos] no es [únicamente] tener alguna medida objetiva del posible impacto sobre la tierra y las personas, sino también […] </w:t>
      </w:r>
      <w:r w:rsidRPr="007703D4">
        <w:rPr>
          <w:rFonts w:ascii="Verdana" w:hAnsi="Verdana"/>
          <w:sz w:val="20"/>
          <w:szCs w:val="20"/>
          <w:lang w:val="es-CR"/>
        </w:rPr>
        <w:t>asegurar que los miembros del pueblo […] tengan conocimiento de los posibles riesgos, incluidos los riesgos ambientales y de salubridad”, para que puedan evaluar si aceptan el plan de desarrollo o inversión propuesto, “con conocimiento y de forma voluntaria”</w:t>
      </w:r>
      <w:r w:rsidRPr="007703D4">
        <w:rPr>
          <w:rStyle w:val="FootnoteReference"/>
          <w:szCs w:val="20"/>
        </w:rPr>
        <w:footnoteReference w:id="249"/>
      </w:r>
      <w:r w:rsidRPr="007703D4">
        <w:rPr>
          <w:rFonts w:ascii="Verdana" w:hAnsi="Verdana"/>
          <w:sz w:val="20"/>
          <w:szCs w:val="20"/>
          <w:lang w:val="es-CR"/>
        </w:rPr>
        <w:t>.</w:t>
      </w:r>
      <w:r>
        <w:rPr>
          <w:rFonts w:ascii="Verdana" w:hAnsi="Verdana"/>
          <w:sz w:val="20"/>
          <w:szCs w:val="20"/>
          <w:lang w:val="es-CR"/>
        </w:rPr>
        <w:t xml:space="preserve"> </w:t>
      </w:r>
      <w:r w:rsidRPr="00167DB0">
        <w:rPr>
          <w:rFonts w:ascii="Verdana" w:hAnsi="Verdana"/>
          <w:sz w:val="20"/>
          <w:szCs w:val="20"/>
        </w:rPr>
        <w:t>El nivel de impacto permitido no puede negar la capacidad de los miembros de los pueblos indígenas y tribales a su propia supervivencia</w:t>
      </w:r>
      <w:r w:rsidRPr="00167DB0">
        <w:rPr>
          <w:rStyle w:val="FootnoteReference"/>
          <w:szCs w:val="20"/>
        </w:rPr>
        <w:footnoteReference w:id="250"/>
      </w:r>
      <w:r w:rsidRPr="00167DB0">
        <w:rPr>
          <w:rFonts w:ascii="Verdana" w:hAnsi="Verdana"/>
          <w:sz w:val="20"/>
          <w:szCs w:val="20"/>
        </w:rPr>
        <w:t>.</w:t>
      </w:r>
    </w:p>
    <w:p w14:paraId="0D84063A" w14:textId="77777777" w:rsidR="004F1899" w:rsidRPr="007703D4" w:rsidRDefault="004F1899" w:rsidP="004F1899">
      <w:pPr>
        <w:pStyle w:val="ListParagraph"/>
        <w:ind w:left="0"/>
        <w:jc w:val="both"/>
        <w:rPr>
          <w:rFonts w:ascii="Verdana" w:hAnsi="Verdana"/>
          <w:sz w:val="20"/>
          <w:szCs w:val="20"/>
          <w:lang w:val="es-CR"/>
        </w:rPr>
      </w:pPr>
    </w:p>
    <w:p w14:paraId="1CEF8C8E" w14:textId="77777777" w:rsidR="004F1899" w:rsidRPr="00190AD3" w:rsidRDefault="004F1899" w:rsidP="004F1899">
      <w:pPr>
        <w:pStyle w:val="ListParagraph"/>
        <w:numPr>
          <w:ilvl w:val="0"/>
          <w:numId w:val="2"/>
        </w:numPr>
        <w:ind w:left="0" w:hanging="11"/>
        <w:jc w:val="both"/>
        <w:rPr>
          <w:rFonts w:ascii="Verdana" w:hAnsi="Verdana"/>
          <w:sz w:val="20"/>
          <w:lang w:val="es-CR"/>
        </w:rPr>
      </w:pPr>
      <w:r w:rsidRPr="003349BF">
        <w:rPr>
          <w:rFonts w:ascii="Verdana" w:hAnsi="Verdana"/>
          <w:sz w:val="20"/>
          <w:szCs w:val="20"/>
          <w:lang w:val="es-CR"/>
        </w:rPr>
        <w:t>Por otro lado, l</w:t>
      </w:r>
      <w:r>
        <w:rPr>
          <w:rFonts w:ascii="Verdana" w:hAnsi="Verdana"/>
          <w:sz w:val="20"/>
          <w:szCs w:val="20"/>
          <w:lang w:val="es-CR"/>
        </w:rPr>
        <w:t>a Corte ha establecido que los e</w:t>
      </w:r>
      <w:r w:rsidRPr="003349BF">
        <w:rPr>
          <w:rFonts w:ascii="Verdana" w:hAnsi="Verdana"/>
          <w:sz w:val="20"/>
          <w:szCs w:val="20"/>
          <w:lang w:val="es-CR"/>
        </w:rPr>
        <w:t>stu</w:t>
      </w:r>
      <w:r>
        <w:rPr>
          <w:rFonts w:ascii="Verdana" w:hAnsi="Verdana"/>
          <w:sz w:val="20"/>
          <w:szCs w:val="20"/>
          <w:lang w:val="es-CR"/>
        </w:rPr>
        <w:t>dios de impacto a</w:t>
      </w:r>
      <w:r w:rsidRPr="003349BF">
        <w:rPr>
          <w:rFonts w:ascii="Verdana" w:hAnsi="Verdana"/>
          <w:sz w:val="20"/>
          <w:szCs w:val="20"/>
          <w:lang w:val="es-CR"/>
        </w:rPr>
        <w:t>mbiental deben respetar las tradiciones y cultura de los pueblos indígenas</w:t>
      </w:r>
      <w:r>
        <w:rPr>
          <w:rFonts w:ascii="Verdana" w:hAnsi="Verdana"/>
          <w:sz w:val="20"/>
          <w:szCs w:val="20"/>
          <w:lang w:val="es-CR"/>
        </w:rPr>
        <w:t xml:space="preserve"> y </w:t>
      </w:r>
      <w:r w:rsidRPr="003349BF">
        <w:rPr>
          <w:rFonts w:ascii="Verdana" w:hAnsi="Verdana"/>
          <w:sz w:val="20"/>
          <w:szCs w:val="20"/>
          <w:lang w:val="es-CR"/>
        </w:rPr>
        <w:t>que uno de los objetivos de la exigencia de dichos estudios es garantizar el derecho del pueblo indígena a ser informado acerca de todos los proyectos propuestos en su territorio</w:t>
      </w:r>
      <w:r w:rsidRPr="007703D4">
        <w:rPr>
          <w:rStyle w:val="FootnoteReference"/>
          <w:szCs w:val="20"/>
        </w:rPr>
        <w:footnoteReference w:id="251"/>
      </w:r>
      <w:r w:rsidRPr="003349BF">
        <w:rPr>
          <w:rFonts w:ascii="Verdana" w:hAnsi="Verdana"/>
          <w:sz w:val="20"/>
          <w:szCs w:val="20"/>
          <w:lang w:val="es-CR"/>
        </w:rPr>
        <w:t xml:space="preserve">. </w:t>
      </w:r>
      <w:r w:rsidRPr="00341038">
        <w:rPr>
          <w:rFonts w:ascii="Verdana" w:hAnsi="Verdana"/>
          <w:sz w:val="20"/>
          <w:szCs w:val="20"/>
          <w:lang w:val="es-CR"/>
        </w:rPr>
        <w:t>Por lo tanto, la obligación del Estado de supervisar dichos estudios coincide con su deber de garantizar la efectiva participación del pueblo indígena</w:t>
      </w:r>
      <w:r w:rsidRPr="00167DB0">
        <w:rPr>
          <w:rStyle w:val="FootnoteReference"/>
          <w:szCs w:val="20"/>
          <w:lang w:val="es-CR"/>
        </w:rPr>
        <w:footnoteReference w:id="252"/>
      </w:r>
      <w:r w:rsidRPr="00341038">
        <w:rPr>
          <w:rFonts w:ascii="Verdana" w:hAnsi="Verdana"/>
          <w:sz w:val="20"/>
          <w:szCs w:val="20"/>
          <w:lang w:val="es-CR"/>
        </w:rPr>
        <w:t xml:space="preserve">. </w:t>
      </w:r>
      <w:r w:rsidRPr="00167DB0">
        <w:rPr>
          <w:rFonts w:ascii="Verdana" w:hAnsi="Verdana"/>
          <w:sz w:val="20"/>
          <w:szCs w:val="20"/>
          <w:lang w:val="es-CR"/>
        </w:rPr>
        <w:t xml:space="preserve">Al respecto, la Corte considera, como lo hizo con la salvaguardia relativa a la </w:t>
      </w:r>
      <w:r>
        <w:rPr>
          <w:rFonts w:ascii="Verdana" w:hAnsi="Verdana"/>
          <w:sz w:val="20"/>
          <w:szCs w:val="20"/>
          <w:lang w:val="es-CR"/>
        </w:rPr>
        <w:t>participación efectiva</w:t>
      </w:r>
      <w:r w:rsidR="00011ED0">
        <w:rPr>
          <w:rFonts w:ascii="Verdana" w:hAnsi="Verdana"/>
          <w:sz w:val="20"/>
          <w:szCs w:val="20"/>
          <w:lang w:val="es-CR"/>
        </w:rPr>
        <w:t xml:space="preserve"> en la</w:t>
      </w:r>
      <w:r w:rsidRPr="00167DB0">
        <w:rPr>
          <w:rFonts w:ascii="Verdana" w:hAnsi="Verdana"/>
          <w:sz w:val="20"/>
          <w:szCs w:val="20"/>
          <w:lang w:val="es-CR"/>
        </w:rPr>
        <w:t xml:space="preserve"> que</w:t>
      </w:r>
      <w:r w:rsidR="00011ED0">
        <w:rPr>
          <w:rFonts w:ascii="Verdana" w:hAnsi="Verdana"/>
          <w:sz w:val="20"/>
          <w:szCs w:val="20"/>
          <w:lang w:val="es-CR"/>
        </w:rPr>
        <w:t>,</w:t>
      </w:r>
      <w:r w:rsidRPr="00167DB0">
        <w:rPr>
          <w:rFonts w:ascii="Verdana" w:hAnsi="Verdana"/>
          <w:sz w:val="20"/>
          <w:szCs w:val="20"/>
          <w:lang w:val="es-CR"/>
        </w:rPr>
        <w:t xml:space="preserve"> para el caso concreto, el estudio de impacto ambiental y social </w:t>
      </w:r>
      <w:r w:rsidRPr="00190AD3">
        <w:rPr>
          <w:rFonts w:ascii="Verdana" w:hAnsi="Verdana"/>
          <w:sz w:val="20"/>
          <w:lang w:val="es-CR"/>
        </w:rPr>
        <w:t xml:space="preserve">adquiría también relevancia de manera previa al inicio de actividades de explotación, ya que es allí donde se concreta el área específica en la que se llevaría a cabo las actividades extractivas respecto de toda el área en concesión. </w:t>
      </w:r>
    </w:p>
    <w:p w14:paraId="2CEFE0E1" w14:textId="77777777" w:rsidR="004F1899" w:rsidRPr="003349BF" w:rsidRDefault="004F1899" w:rsidP="004F1899">
      <w:pPr>
        <w:pStyle w:val="ListParagraph"/>
        <w:ind w:left="0"/>
        <w:jc w:val="both"/>
        <w:rPr>
          <w:rFonts w:ascii="Verdana" w:hAnsi="Verdana"/>
          <w:sz w:val="20"/>
          <w:szCs w:val="20"/>
          <w:lang w:val="es-CR"/>
        </w:rPr>
      </w:pPr>
    </w:p>
    <w:p w14:paraId="0992E18C" w14:textId="7BE5C71F" w:rsidR="004F1899" w:rsidRDefault="004F1899" w:rsidP="004F1899">
      <w:pPr>
        <w:pStyle w:val="ListParagraph"/>
        <w:numPr>
          <w:ilvl w:val="0"/>
          <w:numId w:val="2"/>
        </w:numPr>
        <w:ind w:left="0" w:hanging="11"/>
        <w:jc w:val="both"/>
        <w:rPr>
          <w:rFonts w:ascii="Verdana" w:hAnsi="Verdana"/>
          <w:sz w:val="20"/>
          <w:szCs w:val="20"/>
          <w:lang w:val="es-CR"/>
        </w:rPr>
      </w:pPr>
      <w:r w:rsidRPr="007703D4">
        <w:rPr>
          <w:rFonts w:ascii="Verdana" w:hAnsi="Verdana"/>
          <w:sz w:val="20"/>
          <w:szCs w:val="20"/>
          <w:lang w:val="es-CR"/>
        </w:rPr>
        <w:t xml:space="preserve">En el presente caso, la Corte constató que el </w:t>
      </w:r>
      <w:r>
        <w:rPr>
          <w:rFonts w:ascii="Verdana" w:hAnsi="Verdana"/>
          <w:sz w:val="20"/>
          <w:szCs w:val="20"/>
          <w:lang w:val="es-CR"/>
        </w:rPr>
        <w:t xml:space="preserve">estudio </w:t>
      </w:r>
      <w:r w:rsidRPr="007703D4">
        <w:rPr>
          <w:rFonts w:ascii="Verdana" w:hAnsi="Verdana"/>
          <w:sz w:val="20"/>
          <w:szCs w:val="20"/>
          <w:lang w:val="es-CR"/>
        </w:rPr>
        <w:t>de impacto ambiental</w:t>
      </w:r>
      <w:r>
        <w:rPr>
          <w:rFonts w:ascii="Verdana" w:hAnsi="Verdana"/>
          <w:sz w:val="20"/>
          <w:szCs w:val="20"/>
          <w:lang w:val="es-CR"/>
        </w:rPr>
        <w:t xml:space="preserve"> y social</w:t>
      </w:r>
      <w:r w:rsidRPr="007703D4">
        <w:rPr>
          <w:rFonts w:ascii="Verdana" w:hAnsi="Verdana"/>
          <w:sz w:val="20"/>
          <w:szCs w:val="20"/>
          <w:lang w:val="es-CR"/>
        </w:rPr>
        <w:t xml:space="preserve">: </w:t>
      </w:r>
      <w:r w:rsidRPr="00341038">
        <w:rPr>
          <w:rFonts w:ascii="Verdana" w:hAnsi="Verdana"/>
          <w:sz w:val="20"/>
          <w:szCs w:val="20"/>
          <w:lang w:val="es-CR"/>
        </w:rPr>
        <w:t xml:space="preserve">a) </w:t>
      </w:r>
      <w:r w:rsidRPr="007703D4">
        <w:rPr>
          <w:rFonts w:ascii="Verdana" w:hAnsi="Verdana"/>
          <w:sz w:val="20"/>
          <w:szCs w:val="20"/>
          <w:lang w:val="es-CR"/>
        </w:rPr>
        <w:t xml:space="preserve">no fue efectuado antes del inicio de las actividades de extracción en 1997; </w:t>
      </w:r>
      <w:r w:rsidRPr="00341038">
        <w:rPr>
          <w:rFonts w:ascii="Verdana" w:hAnsi="Verdana"/>
          <w:sz w:val="20"/>
          <w:szCs w:val="20"/>
          <w:lang w:val="es-CR"/>
        </w:rPr>
        <w:t xml:space="preserve">b) la </w:t>
      </w:r>
      <w:r w:rsidRPr="00167DB0">
        <w:rPr>
          <w:rFonts w:ascii="Verdana" w:hAnsi="Verdana"/>
          <w:sz w:val="20"/>
          <w:szCs w:val="20"/>
          <w:lang w:val="es-CR"/>
        </w:rPr>
        <w:t>legislación</w:t>
      </w:r>
      <w:r w:rsidRPr="00341038">
        <w:rPr>
          <w:rFonts w:ascii="Verdana" w:hAnsi="Verdana"/>
          <w:sz w:val="20"/>
          <w:szCs w:val="20"/>
          <w:lang w:val="es-CR"/>
        </w:rPr>
        <w:t xml:space="preserve"> </w:t>
      </w:r>
      <w:r w:rsidRPr="00167DB0">
        <w:rPr>
          <w:rFonts w:ascii="Verdana" w:hAnsi="Verdana"/>
          <w:sz w:val="20"/>
          <w:szCs w:val="20"/>
          <w:lang w:val="es-CR"/>
        </w:rPr>
        <w:t xml:space="preserve">interna no lo exigía </w:t>
      </w:r>
      <w:r w:rsidRPr="00341038">
        <w:rPr>
          <w:rFonts w:ascii="Verdana" w:hAnsi="Verdana"/>
          <w:sz w:val="20"/>
          <w:szCs w:val="20"/>
          <w:lang w:val="es-CR"/>
        </w:rPr>
        <w:t>(</w:t>
      </w:r>
      <w:r w:rsidRPr="00906BE5">
        <w:rPr>
          <w:rFonts w:ascii="Verdana" w:hAnsi="Verdana"/>
          <w:i/>
          <w:sz w:val="20"/>
          <w:szCs w:val="20"/>
          <w:lang w:val="es-CR"/>
        </w:rPr>
        <w:t>supra</w:t>
      </w:r>
      <w:r w:rsidRPr="00906BE5">
        <w:rPr>
          <w:rFonts w:ascii="Verdana" w:hAnsi="Verdana"/>
          <w:sz w:val="20"/>
          <w:szCs w:val="20"/>
          <w:lang w:val="es-CR"/>
        </w:rPr>
        <w:t xml:space="preserve"> párr. </w:t>
      </w:r>
      <w:r w:rsidR="00C544F3">
        <w:rPr>
          <w:rFonts w:ascii="Verdana" w:hAnsi="Verdana"/>
          <w:sz w:val="20"/>
          <w:szCs w:val="20"/>
          <w:lang w:val="es-CR"/>
        </w:rPr>
        <w:t>213</w:t>
      </w:r>
      <w:r w:rsidRPr="00906BE5">
        <w:rPr>
          <w:rFonts w:ascii="Verdana" w:hAnsi="Verdana"/>
          <w:sz w:val="20"/>
          <w:szCs w:val="20"/>
          <w:lang w:val="es-CR"/>
        </w:rPr>
        <w:t>)</w:t>
      </w:r>
      <w:r w:rsidRPr="007703D4">
        <w:rPr>
          <w:rFonts w:ascii="Verdana" w:hAnsi="Verdana"/>
          <w:sz w:val="20"/>
          <w:szCs w:val="20"/>
          <w:lang w:val="es-CR"/>
        </w:rPr>
        <w:t xml:space="preserve">; c) el primer estudio fue realizado en el año 2005, </w:t>
      </w:r>
      <w:r w:rsidR="003D184B">
        <w:rPr>
          <w:rFonts w:ascii="Verdana" w:hAnsi="Verdana"/>
          <w:sz w:val="20"/>
          <w:szCs w:val="20"/>
          <w:lang w:val="es-CR"/>
        </w:rPr>
        <w:t>ocho</w:t>
      </w:r>
      <w:r w:rsidRPr="007703D4">
        <w:rPr>
          <w:rFonts w:ascii="Verdana" w:hAnsi="Verdana"/>
          <w:sz w:val="20"/>
          <w:szCs w:val="20"/>
          <w:lang w:val="es-CR"/>
        </w:rPr>
        <w:t xml:space="preserve"> a</w:t>
      </w:r>
      <w:r>
        <w:rPr>
          <w:rFonts w:ascii="Verdana" w:hAnsi="Verdana"/>
          <w:sz w:val="20"/>
          <w:szCs w:val="20"/>
          <w:lang w:val="es-CR"/>
        </w:rPr>
        <w:t xml:space="preserve">ños más tarde del inicio de la extracción </w:t>
      </w:r>
      <w:r w:rsidRPr="007703D4">
        <w:rPr>
          <w:rFonts w:ascii="Verdana" w:hAnsi="Verdana"/>
          <w:sz w:val="20"/>
          <w:szCs w:val="20"/>
          <w:lang w:val="es-CR"/>
        </w:rPr>
        <w:t>y aquel no contó con la participación de los Pueblos Kaliñ</w:t>
      </w:r>
      <w:r>
        <w:rPr>
          <w:rFonts w:ascii="Verdana" w:hAnsi="Verdana"/>
          <w:sz w:val="20"/>
          <w:szCs w:val="20"/>
          <w:lang w:val="es-CR"/>
        </w:rPr>
        <w:t>a y Lokono antes de su adopción, y</w:t>
      </w:r>
      <w:r w:rsidRPr="007703D4">
        <w:rPr>
          <w:rFonts w:ascii="Verdana" w:hAnsi="Verdana"/>
          <w:sz w:val="20"/>
          <w:szCs w:val="20"/>
          <w:lang w:val="es-CR"/>
        </w:rPr>
        <w:t xml:space="preserve"> d) fue realizado por una entidad privada subcontratada por la empresa minera, sin que conste que el mismo fue sometido a una supervisión o fiscalización posterior por parte de órganos estatales</w:t>
      </w:r>
      <w:r>
        <w:rPr>
          <w:rFonts w:ascii="Verdana" w:hAnsi="Verdana"/>
          <w:sz w:val="20"/>
          <w:szCs w:val="20"/>
          <w:lang w:val="es-CR"/>
        </w:rPr>
        <w:t xml:space="preserve">. </w:t>
      </w:r>
      <w:r w:rsidRPr="007703D4">
        <w:rPr>
          <w:rFonts w:ascii="Verdana" w:hAnsi="Verdana"/>
          <w:sz w:val="20"/>
          <w:szCs w:val="20"/>
          <w:lang w:val="es-CR"/>
        </w:rPr>
        <w:t xml:space="preserve">En vista de ello, el plan de </w:t>
      </w:r>
      <w:r w:rsidRPr="007703D4">
        <w:rPr>
          <w:rFonts w:ascii="Verdana" w:hAnsi="Verdana"/>
          <w:sz w:val="20"/>
          <w:szCs w:val="20"/>
          <w:lang w:val="es-CR"/>
        </w:rPr>
        <w:lastRenderedPageBreak/>
        <w:t>impacto ambiental no se llevó a cabo de conformidad con lo dispuesto en su jurisprudencia ni con los estándares internacionales en la materia</w:t>
      </w:r>
      <w:r w:rsidR="00011ED0">
        <w:rPr>
          <w:rStyle w:val="FootnoteReference"/>
          <w:szCs w:val="20"/>
          <w:lang w:val="es-CR"/>
        </w:rPr>
        <w:footnoteReference w:id="253"/>
      </w:r>
      <w:r>
        <w:rPr>
          <w:rFonts w:ascii="Verdana" w:hAnsi="Verdana"/>
          <w:sz w:val="20"/>
          <w:szCs w:val="20"/>
          <w:lang w:val="es-CR"/>
        </w:rPr>
        <w:t>.</w:t>
      </w:r>
    </w:p>
    <w:p w14:paraId="62E3681D" w14:textId="77777777" w:rsidR="004F1899" w:rsidRDefault="004F1899" w:rsidP="004F1899">
      <w:pPr>
        <w:pStyle w:val="ListParagraph"/>
        <w:ind w:left="0"/>
        <w:jc w:val="both"/>
        <w:rPr>
          <w:rFonts w:ascii="Verdana" w:hAnsi="Verdana"/>
          <w:sz w:val="20"/>
          <w:szCs w:val="20"/>
          <w:lang w:val="es-CR"/>
        </w:rPr>
      </w:pPr>
    </w:p>
    <w:p w14:paraId="491DF97A" w14:textId="74484406" w:rsidR="004F1899" w:rsidRPr="0073289E" w:rsidRDefault="004F1899" w:rsidP="004F1899">
      <w:pPr>
        <w:pStyle w:val="ListParagraph"/>
        <w:numPr>
          <w:ilvl w:val="0"/>
          <w:numId w:val="2"/>
        </w:numPr>
        <w:ind w:left="0" w:hanging="11"/>
        <w:jc w:val="both"/>
        <w:rPr>
          <w:rFonts w:ascii="Verdana" w:hAnsi="Verdana"/>
          <w:sz w:val="20"/>
          <w:lang w:val="es-CR"/>
        </w:rPr>
      </w:pPr>
      <w:r w:rsidRPr="00167DB0">
        <w:rPr>
          <w:rFonts w:ascii="Verdana" w:hAnsi="Verdana"/>
          <w:sz w:val="20"/>
          <w:szCs w:val="20"/>
          <w:lang w:val="es-MX"/>
        </w:rPr>
        <w:t xml:space="preserve">El </w:t>
      </w:r>
      <w:r w:rsidRPr="00167DB0">
        <w:rPr>
          <w:rFonts w:ascii="Verdana" w:hAnsi="Verdana"/>
          <w:sz w:val="20"/>
          <w:szCs w:val="20"/>
          <w:lang w:val="es-CR"/>
        </w:rPr>
        <w:t xml:space="preserve">Tribunal toma nota </w:t>
      </w:r>
      <w:r w:rsidR="00011ED0">
        <w:rPr>
          <w:rFonts w:ascii="Verdana" w:hAnsi="Verdana"/>
          <w:sz w:val="20"/>
          <w:szCs w:val="20"/>
          <w:lang w:val="es-CR"/>
        </w:rPr>
        <w:t xml:space="preserve">de </w:t>
      </w:r>
      <w:r w:rsidRPr="00167DB0">
        <w:rPr>
          <w:rFonts w:ascii="Verdana" w:hAnsi="Verdana"/>
          <w:sz w:val="20"/>
          <w:szCs w:val="20"/>
          <w:lang w:val="es-CR"/>
        </w:rPr>
        <w:t>que la Reserva Natural de Wane Kreek fue establecida con el objetivo</w:t>
      </w:r>
      <w:r w:rsidRPr="00167DB0">
        <w:rPr>
          <w:rFonts w:ascii="Verdana" w:hAnsi="Verdana"/>
          <w:sz w:val="20"/>
          <w:lang w:val="es-PE"/>
        </w:rPr>
        <w:t xml:space="preserve"> de proteger y conservar </w:t>
      </w:r>
      <w:r w:rsidRPr="00167DB0">
        <w:rPr>
          <w:rFonts w:ascii="Verdana" w:hAnsi="Verdana"/>
          <w:sz w:val="20"/>
          <w:szCs w:val="20"/>
        </w:rPr>
        <w:t>nueve ecosistemas únicos (</w:t>
      </w:r>
      <w:r w:rsidRPr="00167DB0">
        <w:rPr>
          <w:rFonts w:ascii="Verdana" w:hAnsi="Verdana"/>
          <w:i/>
          <w:sz w:val="20"/>
          <w:szCs w:val="20"/>
        </w:rPr>
        <w:t>supra</w:t>
      </w:r>
      <w:r w:rsidRPr="00167DB0">
        <w:rPr>
          <w:rFonts w:ascii="Verdana" w:hAnsi="Verdana"/>
          <w:sz w:val="20"/>
          <w:szCs w:val="20"/>
        </w:rPr>
        <w:t xml:space="preserve"> párr. </w:t>
      </w:r>
      <w:r w:rsidR="00011ED0">
        <w:rPr>
          <w:rFonts w:ascii="Verdana" w:hAnsi="Verdana"/>
          <w:sz w:val="20"/>
          <w:szCs w:val="20"/>
        </w:rPr>
        <w:t>81</w:t>
      </w:r>
      <w:r w:rsidRPr="00167DB0">
        <w:rPr>
          <w:rFonts w:ascii="Verdana" w:hAnsi="Verdana"/>
          <w:sz w:val="20"/>
          <w:szCs w:val="20"/>
        </w:rPr>
        <w:t xml:space="preserve">) en parte del territorio reclamado como tradicional por los Pueblos Kaliña y Lokono. Sin embargo, la Corte constata que </w:t>
      </w:r>
      <w:r w:rsidRPr="00167DB0">
        <w:rPr>
          <w:rFonts w:ascii="Verdana" w:hAnsi="Verdana"/>
          <w:sz w:val="20"/>
          <w:szCs w:val="20"/>
          <w:lang w:val="es-CR"/>
        </w:rPr>
        <w:t xml:space="preserve">por el contrario, la extracción de bauxita en Wane Kreek </w:t>
      </w:r>
      <w:r w:rsidR="00945095">
        <w:rPr>
          <w:rFonts w:ascii="Verdana" w:hAnsi="Verdana"/>
          <w:sz w:val="20"/>
          <w:szCs w:val="20"/>
          <w:lang w:val="es-CR"/>
        </w:rPr>
        <w:t>1</w:t>
      </w:r>
      <w:r w:rsidRPr="00167DB0">
        <w:rPr>
          <w:rFonts w:ascii="Verdana" w:hAnsi="Verdana"/>
          <w:sz w:val="20"/>
          <w:szCs w:val="20"/>
          <w:lang w:val="es-CR"/>
        </w:rPr>
        <w:t xml:space="preserve"> y </w:t>
      </w:r>
      <w:r w:rsidR="00945095">
        <w:rPr>
          <w:rFonts w:ascii="Verdana" w:hAnsi="Verdana"/>
          <w:sz w:val="20"/>
          <w:szCs w:val="20"/>
          <w:lang w:val="es-CR"/>
        </w:rPr>
        <w:t>2</w:t>
      </w:r>
      <w:r w:rsidRPr="00167DB0">
        <w:rPr>
          <w:rFonts w:ascii="Verdana" w:hAnsi="Verdana"/>
          <w:sz w:val="20"/>
          <w:szCs w:val="20"/>
          <w:lang w:val="es-CR"/>
        </w:rPr>
        <w:t xml:space="preserve"> generó graves daños al medio ambiente y </w:t>
      </w:r>
      <w:r w:rsidR="000771A6">
        <w:rPr>
          <w:rFonts w:ascii="Verdana" w:hAnsi="Verdana"/>
          <w:sz w:val="20"/>
          <w:szCs w:val="20"/>
          <w:lang w:val="es-CR"/>
        </w:rPr>
        <w:t xml:space="preserve">a los </w:t>
      </w:r>
      <w:r w:rsidRPr="00167DB0">
        <w:rPr>
          <w:rFonts w:ascii="Verdana" w:hAnsi="Verdana"/>
          <w:sz w:val="20"/>
          <w:szCs w:val="20"/>
          <w:lang w:val="es-CR"/>
        </w:rPr>
        <w:t>recursos naturales necesarios para la subsistencia y desarrollo de los Pueblos Kaliña y Lokono (</w:t>
      </w:r>
      <w:r w:rsidRPr="00167DB0">
        <w:rPr>
          <w:rFonts w:ascii="Verdana" w:hAnsi="Verdana"/>
          <w:i/>
          <w:sz w:val="20"/>
          <w:szCs w:val="20"/>
          <w:lang w:val="es-CR"/>
        </w:rPr>
        <w:t>supra</w:t>
      </w:r>
      <w:r w:rsidRPr="00167DB0">
        <w:rPr>
          <w:rFonts w:ascii="Verdana" w:hAnsi="Verdana"/>
          <w:sz w:val="20"/>
          <w:szCs w:val="20"/>
          <w:lang w:val="es-CR"/>
        </w:rPr>
        <w:t xml:space="preserve"> párr</w:t>
      </w:r>
      <w:r w:rsidR="00EA517B">
        <w:rPr>
          <w:rFonts w:ascii="Verdana" w:hAnsi="Verdana"/>
          <w:sz w:val="20"/>
          <w:szCs w:val="20"/>
          <w:lang w:val="es-CR"/>
        </w:rPr>
        <w:t>s</w:t>
      </w:r>
      <w:r w:rsidRPr="00167DB0">
        <w:rPr>
          <w:rFonts w:ascii="Verdana" w:hAnsi="Verdana"/>
          <w:sz w:val="20"/>
          <w:szCs w:val="20"/>
          <w:lang w:val="es-CR"/>
        </w:rPr>
        <w:t xml:space="preserve">. </w:t>
      </w:r>
      <w:r w:rsidR="00EA517B">
        <w:rPr>
          <w:rFonts w:ascii="Verdana" w:hAnsi="Verdana"/>
          <w:sz w:val="20"/>
          <w:szCs w:val="20"/>
          <w:lang w:val="es-CR"/>
        </w:rPr>
        <w:t xml:space="preserve">91 y </w:t>
      </w:r>
      <w:r w:rsidR="00011ED0">
        <w:rPr>
          <w:rFonts w:ascii="Verdana" w:hAnsi="Verdana"/>
          <w:sz w:val="20"/>
          <w:szCs w:val="20"/>
          <w:lang w:val="es-CR"/>
        </w:rPr>
        <w:t>92</w:t>
      </w:r>
      <w:r w:rsidRPr="00167DB0">
        <w:rPr>
          <w:rFonts w:ascii="Verdana" w:hAnsi="Verdana"/>
          <w:sz w:val="20"/>
          <w:szCs w:val="20"/>
          <w:lang w:val="es-CR"/>
        </w:rPr>
        <w:t xml:space="preserve">). </w:t>
      </w:r>
      <w:r w:rsidRPr="00842770">
        <w:rPr>
          <w:rFonts w:ascii="Verdana" w:hAnsi="Verdana"/>
          <w:sz w:val="20"/>
          <w:szCs w:val="20"/>
          <w:lang w:val="es-CR"/>
        </w:rPr>
        <w:t>En este sentido, conforme a diversas declaraciones</w:t>
      </w:r>
      <w:r w:rsidRPr="00842770">
        <w:rPr>
          <w:rStyle w:val="FootnoteReference"/>
          <w:szCs w:val="20"/>
          <w:lang w:val="es-CR"/>
        </w:rPr>
        <w:footnoteReference w:id="254"/>
      </w:r>
      <w:r w:rsidRPr="00842770">
        <w:rPr>
          <w:rFonts w:ascii="Verdana" w:hAnsi="Verdana"/>
          <w:sz w:val="20"/>
          <w:szCs w:val="20"/>
          <w:lang w:val="es-CR"/>
        </w:rPr>
        <w:t>, la actividad de extracción impactó ampliamente esta zona, pues el ruido de la construcción y las explosiones regulares de dinamita provocaron que los animales y aves se alejaran; los riachuelos se contaminaron afectando con ello la pesca; la tala de árboles y los ruidos derivados de las actividades ahuyentaron a diversas especi</w:t>
      </w:r>
      <w:r w:rsidR="0051785D">
        <w:rPr>
          <w:rFonts w:ascii="Verdana" w:hAnsi="Verdana"/>
          <w:sz w:val="20"/>
          <w:szCs w:val="20"/>
          <w:lang w:val="es-CR"/>
        </w:rPr>
        <w:t xml:space="preserve">es </w:t>
      </w:r>
      <w:r w:rsidRPr="00842770">
        <w:rPr>
          <w:rFonts w:ascii="Verdana" w:hAnsi="Verdana"/>
          <w:sz w:val="20"/>
          <w:szCs w:val="20"/>
          <w:lang w:val="es-CR"/>
        </w:rPr>
        <w:t>de animales, afectando con ello la caza</w:t>
      </w:r>
      <w:r w:rsidRPr="00842770">
        <w:rPr>
          <w:rStyle w:val="FootnoteReference"/>
          <w:szCs w:val="20"/>
          <w:lang w:val="es-CR"/>
        </w:rPr>
        <w:footnoteReference w:id="255"/>
      </w:r>
      <w:r w:rsidR="00011ED0">
        <w:rPr>
          <w:rFonts w:ascii="Verdana" w:hAnsi="Verdana"/>
          <w:sz w:val="20"/>
          <w:szCs w:val="20"/>
          <w:lang w:val="es-CR"/>
        </w:rPr>
        <w:t>, y</w:t>
      </w:r>
      <w:r w:rsidRPr="00842770">
        <w:rPr>
          <w:rFonts w:ascii="Verdana" w:hAnsi="Verdana"/>
          <w:sz w:val="20"/>
          <w:szCs w:val="20"/>
          <w:lang w:val="es-CR"/>
        </w:rPr>
        <w:t xml:space="preserve"> el suelo se vio afectado por lo que muchas de las plantas tradicionales dejaron de crecer</w:t>
      </w:r>
      <w:r w:rsidRPr="00356EA3">
        <w:rPr>
          <w:rFonts w:ascii="Verdana" w:hAnsi="Verdana"/>
          <w:sz w:val="20"/>
          <w:lang w:val="es-CR"/>
        </w:rPr>
        <w:t xml:space="preserve">. </w:t>
      </w:r>
      <w:r w:rsidRPr="0073289E">
        <w:rPr>
          <w:rFonts w:ascii="Verdana" w:hAnsi="Verdana"/>
          <w:sz w:val="20"/>
          <w:lang w:val="es-CR"/>
        </w:rPr>
        <w:t xml:space="preserve">Asimismo, </w:t>
      </w:r>
      <w:r w:rsidRPr="007F327D">
        <w:rPr>
          <w:rFonts w:ascii="Verdana" w:hAnsi="Verdana"/>
          <w:sz w:val="20"/>
          <w:lang w:val="es-CR"/>
        </w:rPr>
        <w:t xml:space="preserve">se habrían derivado otras afectaciones con motivo de </w:t>
      </w:r>
      <w:r w:rsidRPr="0073289E">
        <w:rPr>
          <w:rFonts w:ascii="Verdana" w:hAnsi="Verdana"/>
          <w:sz w:val="20"/>
          <w:lang w:val="es-CR"/>
        </w:rPr>
        <w:t>la construcción de la carretera para el transporte de la bauxita</w:t>
      </w:r>
      <w:r w:rsidRPr="0073289E">
        <w:rPr>
          <w:rStyle w:val="FootnoteReference"/>
          <w:lang w:val="es-CR"/>
        </w:rPr>
        <w:footnoteReference w:id="256"/>
      </w:r>
      <w:r w:rsidRPr="0073289E">
        <w:rPr>
          <w:rFonts w:ascii="Verdana" w:hAnsi="Verdana"/>
          <w:sz w:val="20"/>
          <w:lang w:val="es-CR"/>
        </w:rPr>
        <w:t>.</w:t>
      </w:r>
    </w:p>
    <w:p w14:paraId="1DF8881A" w14:textId="77777777" w:rsidR="007A74B3" w:rsidRPr="007F327D" w:rsidRDefault="007A74B3" w:rsidP="004F1899">
      <w:pPr>
        <w:pStyle w:val="ListParagraph"/>
        <w:ind w:left="0"/>
        <w:jc w:val="both"/>
        <w:rPr>
          <w:rFonts w:ascii="Verdana" w:hAnsi="Verdana"/>
          <w:sz w:val="20"/>
          <w:highlight w:val="yellow"/>
          <w:lang w:val="es-CR"/>
        </w:rPr>
      </w:pPr>
    </w:p>
    <w:p w14:paraId="628A0B8F" w14:textId="77777777" w:rsidR="007A74B3" w:rsidRPr="00C732C1" w:rsidRDefault="007A74B3" w:rsidP="007A74B3">
      <w:pPr>
        <w:pStyle w:val="ListParagraph"/>
        <w:numPr>
          <w:ilvl w:val="0"/>
          <w:numId w:val="2"/>
        </w:numPr>
        <w:ind w:left="0" w:hanging="11"/>
        <w:jc w:val="both"/>
        <w:rPr>
          <w:rFonts w:ascii="Verdana" w:hAnsi="Verdana"/>
          <w:lang w:val="es-CR"/>
        </w:rPr>
      </w:pPr>
      <w:r w:rsidRPr="007703D4">
        <w:rPr>
          <w:rFonts w:ascii="Verdana" w:hAnsi="Verdana"/>
          <w:sz w:val="20"/>
          <w:lang w:val="es-CR"/>
        </w:rPr>
        <w:t>Estos impactos negativos en el medio ambiente y recursos naturales indígenas, fueron además reconocid</w:t>
      </w:r>
      <w:r w:rsidR="000C6698" w:rsidRPr="007703D4">
        <w:rPr>
          <w:rFonts w:ascii="Verdana" w:hAnsi="Verdana"/>
          <w:sz w:val="20"/>
          <w:lang w:val="es-CR"/>
        </w:rPr>
        <w:t>o</w:t>
      </w:r>
      <w:r w:rsidRPr="007703D4">
        <w:rPr>
          <w:rFonts w:ascii="Verdana" w:hAnsi="Verdana"/>
          <w:sz w:val="20"/>
          <w:lang w:val="es-CR"/>
        </w:rPr>
        <w:t xml:space="preserve">s en el propio estudio de impacto ambiental </w:t>
      </w:r>
      <w:r w:rsidR="005D596D" w:rsidRPr="007703D4">
        <w:rPr>
          <w:rFonts w:ascii="Verdana" w:hAnsi="Verdana"/>
          <w:sz w:val="20"/>
          <w:lang w:val="es-CR"/>
        </w:rPr>
        <w:t>de 2005</w:t>
      </w:r>
      <w:r w:rsidRPr="007703D4">
        <w:rPr>
          <w:rFonts w:ascii="Verdana" w:hAnsi="Verdana"/>
          <w:sz w:val="20"/>
          <w:lang w:val="es-CR"/>
        </w:rPr>
        <w:t xml:space="preserve">, el cual fue preparado para NV BHP Billiton Maatschappij </w:t>
      </w:r>
      <w:r w:rsidR="00563E11" w:rsidRPr="007703D4">
        <w:rPr>
          <w:rFonts w:ascii="Verdana" w:hAnsi="Verdana"/>
          <w:sz w:val="20"/>
          <w:lang w:val="es-CR"/>
        </w:rPr>
        <w:t>Surinam</w:t>
      </w:r>
      <w:r w:rsidRPr="007703D4">
        <w:rPr>
          <w:rFonts w:ascii="Verdana" w:hAnsi="Verdana"/>
          <w:sz w:val="20"/>
          <w:lang w:val="es-CR"/>
        </w:rPr>
        <w:t xml:space="preserve">, ya que el mismo concluyó que </w:t>
      </w:r>
      <w:r w:rsidRPr="007703D4">
        <w:rPr>
          <w:rFonts w:ascii="Verdana" w:hAnsi="Verdana"/>
          <w:sz w:val="20"/>
          <w:lang w:val="es-ES"/>
        </w:rPr>
        <w:t>las secciones Wane 1 y Wane 2 habían sufrido un daño ambiental considerable como consecuencia de la minería a cielo abierto de bauxita. Asimismo, entre otros, el estudio recomendó lo siguiente: i) que las empresas dejaran las secciones Wane 3 y Wane 4 intactas para evitar mayor degradación ambiental; ii) que se finalizaran las actividades de exploración y extracción tan pronto fuera posible; iii) que se restauraran las áreas perjudicadas, y iv) que se retiraran de la Reserva Wane Kreek</w:t>
      </w:r>
      <w:r w:rsidRPr="007703D4">
        <w:rPr>
          <w:rStyle w:val="FootnoteReference"/>
          <w:lang w:val="es-ES"/>
        </w:rPr>
        <w:footnoteReference w:id="257"/>
      </w:r>
      <w:r w:rsidRPr="007703D4">
        <w:rPr>
          <w:rFonts w:ascii="Verdana" w:hAnsi="Verdana"/>
          <w:sz w:val="20"/>
          <w:lang w:val="es-ES"/>
        </w:rPr>
        <w:t xml:space="preserve"> (</w:t>
      </w:r>
      <w:r w:rsidR="00366D91" w:rsidRPr="007703D4">
        <w:rPr>
          <w:rFonts w:ascii="Verdana" w:hAnsi="Verdana"/>
          <w:i/>
          <w:sz w:val="20"/>
          <w:lang w:val="es-ES"/>
        </w:rPr>
        <w:t>supra</w:t>
      </w:r>
      <w:r w:rsidRPr="007703D4">
        <w:rPr>
          <w:rFonts w:ascii="Verdana" w:hAnsi="Verdana"/>
          <w:sz w:val="20"/>
          <w:lang w:val="es-ES"/>
        </w:rPr>
        <w:t xml:space="preserve"> párr</w:t>
      </w:r>
      <w:r w:rsidR="003D6C28">
        <w:rPr>
          <w:rFonts w:ascii="Verdana" w:hAnsi="Verdana"/>
          <w:sz w:val="20"/>
          <w:lang w:val="es-ES"/>
        </w:rPr>
        <w:t xml:space="preserve">. </w:t>
      </w:r>
      <w:r w:rsidR="00945095">
        <w:rPr>
          <w:rFonts w:ascii="Verdana" w:hAnsi="Verdana"/>
          <w:sz w:val="20"/>
          <w:lang w:val="es-ES"/>
        </w:rPr>
        <w:t>91</w:t>
      </w:r>
      <w:r w:rsidRPr="007703D4">
        <w:rPr>
          <w:rFonts w:ascii="Verdana" w:hAnsi="Verdana"/>
          <w:sz w:val="20"/>
          <w:lang w:val="es-ES"/>
        </w:rPr>
        <w:t>)</w:t>
      </w:r>
      <w:r w:rsidRPr="007703D4">
        <w:rPr>
          <w:rFonts w:ascii="Verdana" w:hAnsi="Verdana"/>
          <w:sz w:val="20"/>
          <w:lang w:val="es-CR"/>
        </w:rPr>
        <w:t>.</w:t>
      </w:r>
    </w:p>
    <w:p w14:paraId="64EA5D0A" w14:textId="77777777" w:rsidR="007A74B3" w:rsidRPr="00167DB0" w:rsidRDefault="007A74B3" w:rsidP="004F1899">
      <w:pPr>
        <w:pStyle w:val="ListParagraph"/>
        <w:rPr>
          <w:rFonts w:ascii="Verdana" w:hAnsi="Verdana"/>
          <w:highlight w:val="cyan"/>
          <w:lang w:val="es-CR"/>
        </w:rPr>
      </w:pPr>
    </w:p>
    <w:p w14:paraId="0E003EA6" w14:textId="77777777" w:rsidR="004F1899" w:rsidRPr="00190AD3" w:rsidRDefault="004F1899" w:rsidP="004F1899">
      <w:pPr>
        <w:pStyle w:val="ListParagraph"/>
        <w:numPr>
          <w:ilvl w:val="0"/>
          <w:numId w:val="2"/>
        </w:numPr>
        <w:ind w:left="0" w:hanging="11"/>
        <w:jc w:val="both"/>
        <w:rPr>
          <w:rFonts w:ascii="Verdana" w:hAnsi="Verdana"/>
          <w:lang w:val="es-CR"/>
        </w:rPr>
      </w:pPr>
      <w:r w:rsidRPr="00190AD3">
        <w:rPr>
          <w:rFonts w:ascii="Verdana" w:hAnsi="Verdana"/>
          <w:sz w:val="20"/>
          <w:lang w:val="es-CR"/>
        </w:rPr>
        <w:t>Al respecto, las compañías mineras han implementado ciertas políticas para la rehabilitación del área. Según prueba aportada por el Estado luego de la visita</w:t>
      </w:r>
      <w:r w:rsidRPr="00190AD3">
        <w:rPr>
          <w:rFonts w:ascii="Verdana" w:hAnsi="Verdana"/>
          <w:sz w:val="20"/>
          <w:vertAlign w:val="superscript"/>
          <w:lang w:val="es-CR"/>
        </w:rPr>
        <w:footnoteReference w:id="258"/>
      </w:r>
      <w:r w:rsidRPr="00190AD3">
        <w:rPr>
          <w:rFonts w:ascii="Verdana" w:hAnsi="Verdana"/>
          <w:sz w:val="20"/>
          <w:lang w:val="es-CR"/>
        </w:rPr>
        <w:t xml:space="preserve">, para agosto de 2015, Wane </w:t>
      </w:r>
      <w:r w:rsidR="00A10C80">
        <w:rPr>
          <w:rFonts w:ascii="Verdana" w:hAnsi="Verdana"/>
          <w:sz w:val="20"/>
          <w:lang w:val="es-CR"/>
        </w:rPr>
        <w:t>1</w:t>
      </w:r>
      <w:r w:rsidRPr="00190AD3">
        <w:rPr>
          <w:rFonts w:ascii="Verdana" w:hAnsi="Verdana"/>
          <w:sz w:val="20"/>
          <w:lang w:val="es-CR"/>
        </w:rPr>
        <w:t xml:space="preserve"> y </w:t>
      </w:r>
      <w:r w:rsidR="00A10C80">
        <w:rPr>
          <w:rFonts w:ascii="Verdana" w:hAnsi="Verdana"/>
          <w:sz w:val="20"/>
          <w:lang w:val="es-CR"/>
        </w:rPr>
        <w:t>2</w:t>
      </w:r>
      <w:r w:rsidRPr="00190AD3">
        <w:rPr>
          <w:rFonts w:ascii="Verdana" w:hAnsi="Verdana"/>
          <w:sz w:val="20"/>
          <w:lang w:val="es-CR"/>
        </w:rPr>
        <w:t xml:space="preserve"> estarían rehabilitadas (</w:t>
      </w:r>
      <w:r w:rsidR="008A4ABB" w:rsidRPr="007E20F9">
        <w:rPr>
          <w:rFonts w:ascii="Verdana" w:hAnsi="Verdana"/>
          <w:i/>
          <w:sz w:val="20"/>
          <w:lang w:val="es-CR"/>
        </w:rPr>
        <w:t>supra</w:t>
      </w:r>
      <w:r w:rsidRPr="00190AD3">
        <w:rPr>
          <w:rFonts w:ascii="Verdana" w:hAnsi="Verdana"/>
          <w:sz w:val="20"/>
          <w:lang w:val="es-CR"/>
        </w:rPr>
        <w:t xml:space="preserve"> </w:t>
      </w:r>
      <w:r w:rsidR="00945095">
        <w:rPr>
          <w:rFonts w:ascii="Verdana" w:hAnsi="Verdana"/>
          <w:sz w:val="20"/>
          <w:lang w:val="es-CR"/>
        </w:rPr>
        <w:t>párr.</w:t>
      </w:r>
      <w:r w:rsidRPr="00190AD3">
        <w:rPr>
          <w:rFonts w:ascii="Verdana" w:hAnsi="Verdana"/>
          <w:sz w:val="20"/>
          <w:lang w:val="es-CR"/>
        </w:rPr>
        <w:t xml:space="preserve"> </w:t>
      </w:r>
      <w:r w:rsidR="00BF1750">
        <w:rPr>
          <w:rFonts w:ascii="Verdana" w:hAnsi="Verdana"/>
          <w:sz w:val="20"/>
          <w:lang w:val="es-CR"/>
        </w:rPr>
        <w:t>9</w:t>
      </w:r>
      <w:r w:rsidR="003D6C28">
        <w:rPr>
          <w:rFonts w:ascii="Verdana" w:hAnsi="Verdana"/>
          <w:sz w:val="20"/>
          <w:lang w:val="es-CR"/>
        </w:rPr>
        <w:t>3</w:t>
      </w:r>
      <w:r w:rsidRPr="00190AD3">
        <w:rPr>
          <w:rFonts w:ascii="Verdana" w:hAnsi="Verdana"/>
          <w:sz w:val="20"/>
          <w:lang w:val="es-CR"/>
        </w:rPr>
        <w:t>) y el crecimiento estimado de lo plantado sería de</w:t>
      </w:r>
      <w:r w:rsidR="00C544F3">
        <w:rPr>
          <w:rFonts w:ascii="Verdana" w:hAnsi="Verdana"/>
          <w:sz w:val="20"/>
          <w:lang w:val="es-CR"/>
        </w:rPr>
        <w:t>l</w:t>
      </w:r>
      <w:r w:rsidRPr="00190AD3">
        <w:rPr>
          <w:rFonts w:ascii="Verdana" w:hAnsi="Verdana"/>
          <w:sz w:val="20"/>
          <w:lang w:val="es-CR"/>
        </w:rPr>
        <w:t xml:space="preserve"> 70-80%, aunque en otras áreas la intensidad de crecimiento pod</w:t>
      </w:r>
      <w:r w:rsidR="00BF1750">
        <w:rPr>
          <w:rFonts w:ascii="Verdana" w:hAnsi="Verdana"/>
          <w:sz w:val="20"/>
          <w:lang w:val="es-CR"/>
        </w:rPr>
        <w:t>r</w:t>
      </w:r>
      <w:r w:rsidRPr="00190AD3">
        <w:rPr>
          <w:rFonts w:ascii="Verdana" w:hAnsi="Verdana"/>
          <w:sz w:val="20"/>
          <w:lang w:val="es-CR"/>
        </w:rPr>
        <w:t>ía ser menor</w:t>
      </w:r>
      <w:r w:rsidRPr="00190AD3">
        <w:rPr>
          <w:rFonts w:ascii="Verdana" w:hAnsi="Verdana"/>
          <w:sz w:val="20"/>
          <w:vertAlign w:val="superscript"/>
          <w:lang w:val="es-CR"/>
        </w:rPr>
        <w:footnoteReference w:id="259"/>
      </w:r>
      <w:r w:rsidRPr="00190AD3">
        <w:rPr>
          <w:rFonts w:ascii="Verdana" w:hAnsi="Verdana"/>
          <w:sz w:val="20"/>
          <w:lang w:val="es-CR"/>
        </w:rPr>
        <w:t>. Sin embargo, los representantes resaltaron que lo anterior era contradictorio con las imágenes aportadas como prueba que muestran la zona devastada, y con lo señalado en declaraciones de las víctimas (</w:t>
      </w:r>
      <w:r w:rsidR="008A4ABB" w:rsidRPr="007E20F9">
        <w:rPr>
          <w:rFonts w:ascii="Verdana" w:hAnsi="Verdana"/>
          <w:i/>
          <w:sz w:val="20"/>
          <w:lang w:val="es-CR"/>
        </w:rPr>
        <w:t>supra</w:t>
      </w:r>
      <w:r w:rsidRPr="00190AD3">
        <w:rPr>
          <w:rFonts w:ascii="Verdana" w:hAnsi="Verdana"/>
          <w:sz w:val="20"/>
          <w:lang w:val="es-CR"/>
        </w:rPr>
        <w:t xml:space="preserve"> párr. </w:t>
      </w:r>
      <w:r w:rsidR="00BF1750">
        <w:rPr>
          <w:rFonts w:ascii="Verdana" w:hAnsi="Verdana"/>
          <w:sz w:val="20"/>
          <w:lang w:val="es-CR"/>
        </w:rPr>
        <w:t>92</w:t>
      </w:r>
      <w:r w:rsidRPr="00190AD3">
        <w:rPr>
          <w:rFonts w:ascii="Verdana" w:hAnsi="Verdana"/>
          <w:sz w:val="20"/>
          <w:lang w:val="es-CR"/>
        </w:rPr>
        <w:t xml:space="preserve">). Por ello, los representantes señalaron que no se </w:t>
      </w:r>
      <w:r w:rsidRPr="00190AD3">
        <w:rPr>
          <w:rFonts w:ascii="Verdana" w:hAnsi="Verdana"/>
          <w:sz w:val="20"/>
          <w:lang w:val="es-CR"/>
        </w:rPr>
        <w:lastRenderedPageBreak/>
        <w:t xml:space="preserve">tiene certeza </w:t>
      </w:r>
      <w:r w:rsidR="00BF1750">
        <w:rPr>
          <w:rFonts w:ascii="Verdana" w:hAnsi="Verdana"/>
          <w:sz w:val="20"/>
          <w:lang w:val="es-CR"/>
        </w:rPr>
        <w:t xml:space="preserve">de </w:t>
      </w:r>
      <w:r w:rsidRPr="00190AD3">
        <w:rPr>
          <w:rFonts w:ascii="Verdana" w:hAnsi="Verdana"/>
          <w:sz w:val="20"/>
          <w:lang w:val="es-CR"/>
        </w:rPr>
        <w:t>si las acciones de rehabilitación serán exitosas</w:t>
      </w:r>
      <w:r w:rsidR="00BF1750">
        <w:rPr>
          <w:rFonts w:ascii="Verdana" w:hAnsi="Verdana"/>
          <w:sz w:val="20"/>
          <w:lang w:val="es-CR"/>
        </w:rPr>
        <w:t>,</w:t>
      </w:r>
      <w:r w:rsidRPr="00190AD3">
        <w:rPr>
          <w:rFonts w:ascii="Verdana" w:hAnsi="Verdana"/>
          <w:sz w:val="20"/>
          <w:lang w:val="es-CR"/>
        </w:rPr>
        <w:t xml:space="preserve"> ya que</w:t>
      </w:r>
      <w:r w:rsidR="00BF1750">
        <w:rPr>
          <w:rFonts w:ascii="Verdana" w:hAnsi="Verdana"/>
          <w:sz w:val="20"/>
          <w:lang w:val="es-CR"/>
        </w:rPr>
        <w:t xml:space="preserve">, </w:t>
      </w:r>
      <w:r w:rsidRPr="00190AD3">
        <w:rPr>
          <w:rFonts w:ascii="Verdana" w:hAnsi="Verdana"/>
          <w:sz w:val="20"/>
          <w:lang w:val="es-CR"/>
        </w:rPr>
        <w:t>por ejemplo, los árboles que han plantado no han alcanzado el tamaño previsto, por lo que se espera que la rehabilitación de todo el territorio afectado demore un tiempo prolongado</w:t>
      </w:r>
      <w:r w:rsidRPr="00190AD3">
        <w:rPr>
          <w:rFonts w:ascii="Verdana" w:hAnsi="Verdana"/>
          <w:sz w:val="20"/>
          <w:vertAlign w:val="superscript"/>
          <w:lang w:val="es-CR"/>
        </w:rPr>
        <w:footnoteReference w:id="260"/>
      </w:r>
      <w:r w:rsidRPr="00190AD3">
        <w:rPr>
          <w:rFonts w:ascii="Verdana" w:hAnsi="Verdana"/>
          <w:sz w:val="20"/>
          <w:lang w:val="es-CR"/>
        </w:rPr>
        <w:t>.</w:t>
      </w:r>
    </w:p>
    <w:p w14:paraId="3A701D01" w14:textId="77777777" w:rsidR="004F1899" w:rsidRPr="00167DB0" w:rsidRDefault="004F1899" w:rsidP="004F1899">
      <w:pPr>
        <w:pStyle w:val="ListParagraph"/>
        <w:ind w:left="0"/>
        <w:jc w:val="both"/>
        <w:rPr>
          <w:rFonts w:ascii="Verdana" w:hAnsi="Verdana"/>
          <w:lang w:val="es-CR"/>
        </w:rPr>
      </w:pPr>
    </w:p>
    <w:p w14:paraId="7A1579C4" w14:textId="77777777" w:rsidR="004F1899" w:rsidRPr="00167DB0" w:rsidRDefault="004F1899" w:rsidP="004F1899">
      <w:pPr>
        <w:pStyle w:val="ListParagraph"/>
        <w:numPr>
          <w:ilvl w:val="0"/>
          <w:numId w:val="2"/>
        </w:numPr>
        <w:ind w:left="0" w:hanging="11"/>
        <w:jc w:val="both"/>
        <w:rPr>
          <w:rFonts w:ascii="Verdana" w:hAnsi="Verdana"/>
          <w:b/>
          <w:lang w:val="es-CR"/>
        </w:rPr>
      </w:pPr>
      <w:r w:rsidRPr="00167DB0">
        <w:rPr>
          <w:rFonts w:ascii="Verdana" w:hAnsi="Verdana"/>
          <w:sz w:val="20"/>
          <w:szCs w:val="20"/>
          <w:lang w:val="es-CR"/>
        </w:rPr>
        <w:t xml:space="preserve">Por su parte, el Tribunal en su diligencia </w:t>
      </w:r>
      <w:r w:rsidRPr="00167DB0">
        <w:rPr>
          <w:rFonts w:ascii="Verdana" w:hAnsi="Verdana"/>
          <w:i/>
          <w:sz w:val="20"/>
          <w:szCs w:val="20"/>
          <w:lang w:val="es-CR"/>
        </w:rPr>
        <w:t>in situ</w:t>
      </w:r>
      <w:r w:rsidRPr="00167DB0">
        <w:rPr>
          <w:rFonts w:ascii="Verdana" w:hAnsi="Verdana"/>
          <w:sz w:val="20"/>
          <w:szCs w:val="20"/>
          <w:lang w:val="es-CR"/>
        </w:rPr>
        <w:t>, co</w:t>
      </w:r>
      <w:r>
        <w:rPr>
          <w:rFonts w:ascii="Verdana" w:hAnsi="Verdana"/>
          <w:sz w:val="20"/>
          <w:szCs w:val="20"/>
          <w:lang w:val="es-CR"/>
        </w:rPr>
        <w:t>n</w:t>
      </w:r>
      <w:r w:rsidR="003D6C28">
        <w:rPr>
          <w:rFonts w:ascii="Verdana" w:hAnsi="Verdana"/>
          <w:sz w:val="20"/>
          <w:szCs w:val="20"/>
          <w:lang w:val="es-CR"/>
        </w:rPr>
        <w:t>s</w:t>
      </w:r>
      <w:r>
        <w:rPr>
          <w:rFonts w:ascii="Verdana" w:hAnsi="Verdana"/>
          <w:sz w:val="20"/>
          <w:szCs w:val="20"/>
          <w:lang w:val="es-CR"/>
        </w:rPr>
        <w:t>tató</w:t>
      </w:r>
      <w:r w:rsidRPr="00167DB0">
        <w:rPr>
          <w:rFonts w:ascii="Verdana" w:hAnsi="Verdana"/>
          <w:sz w:val="20"/>
          <w:szCs w:val="20"/>
          <w:lang w:val="es-CR"/>
        </w:rPr>
        <w:t xml:space="preserve"> que el área se encontraba afectada de manera evidente</w:t>
      </w:r>
      <w:r>
        <w:rPr>
          <w:rFonts w:ascii="Verdana" w:hAnsi="Verdana"/>
          <w:sz w:val="20"/>
          <w:szCs w:val="20"/>
          <w:lang w:val="es-CR"/>
        </w:rPr>
        <w:t xml:space="preserve"> </w:t>
      </w:r>
      <w:r w:rsidRPr="00190AD3">
        <w:rPr>
          <w:rFonts w:ascii="Verdana" w:hAnsi="Verdana"/>
          <w:sz w:val="20"/>
          <w:lang w:val="es-CR"/>
        </w:rPr>
        <w:t>y que existía una transformación radical del paisaje</w:t>
      </w:r>
      <w:r>
        <w:rPr>
          <w:rFonts w:ascii="Verdana" w:hAnsi="Verdana"/>
          <w:sz w:val="20"/>
          <w:szCs w:val="20"/>
          <w:lang w:val="es-CR"/>
        </w:rPr>
        <w:t xml:space="preserve"> </w:t>
      </w:r>
      <w:r w:rsidRPr="00190AD3">
        <w:rPr>
          <w:rFonts w:ascii="Verdana" w:hAnsi="Verdana"/>
          <w:sz w:val="20"/>
          <w:lang w:val="es-CR"/>
        </w:rPr>
        <w:t>(</w:t>
      </w:r>
      <w:r w:rsidRPr="00190AD3">
        <w:rPr>
          <w:rFonts w:ascii="Verdana" w:hAnsi="Verdana"/>
          <w:i/>
          <w:sz w:val="20"/>
          <w:lang w:val="es-CR"/>
        </w:rPr>
        <w:t>supra</w:t>
      </w:r>
      <w:r w:rsidRPr="00190AD3">
        <w:rPr>
          <w:rFonts w:ascii="Verdana" w:hAnsi="Verdana"/>
          <w:sz w:val="20"/>
          <w:lang w:val="es-CR"/>
        </w:rPr>
        <w:t xml:space="preserve"> párr. </w:t>
      </w:r>
      <w:r w:rsidR="003D6C28">
        <w:rPr>
          <w:rFonts w:ascii="Verdana" w:hAnsi="Verdana"/>
          <w:sz w:val="20"/>
          <w:lang w:val="es-CR"/>
        </w:rPr>
        <w:t>93</w:t>
      </w:r>
      <w:r w:rsidRPr="00190AD3">
        <w:rPr>
          <w:rFonts w:ascii="Verdana" w:hAnsi="Verdana"/>
          <w:sz w:val="20"/>
          <w:lang w:val="es-CR"/>
        </w:rPr>
        <w:t xml:space="preserve">), </w:t>
      </w:r>
      <w:r w:rsidRPr="00167DB0">
        <w:rPr>
          <w:rFonts w:ascii="Verdana" w:hAnsi="Verdana"/>
          <w:sz w:val="20"/>
          <w:szCs w:val="20"/>
          <w:lang w:val="es-CR"/>
        </w:rPr>
        <w:t xml:space="preserve">por lo que estima que hasta el momento las acciones </w:t>
      </w:r>
      <w:r w:rsidRPr="00190AD3">
        <w:rPr>
          <w:rFonts w:ascii="Verdana" w:hAnsi="Verdana"/>
          <w:sz w:val="20"/>
          <w:lang w:val="es-CR"/>
        </w:rPr>
        <w:t>emprendidas no han cumplido con los objetivos previstos para la adecuada rehabilitación del territorio en cuestión, máxime siendo un área protegida de reserva natural.</w:t>
      </w:r>
    </w:p>
    <w:p w14:paraId="24ED3C35" w14:textId="77777777" w:rsidR="004F1899" w:rsidRPr="00167DB0" w:rsidRDefault="004F1899" w:rsidP="004F1899">
      <w:pPr>
        <w:pStyle w:val="ListParagraph"/>
        <w:rPr>
          <w:rFonts w:ascii="Verdana" w:hAnsi="Verdana"/>
          <w:b/>
          <w:sz w:val="20"/>
          <w:szCs w:val="20"/>
          <w:lang w:val="es-CR"/>
        </w:rPr>
      </w:pPr>
    </w:p>
    <w:p w14:paraId="3C2B753A" w14:textId="77777777" w:rsidR="004F1899" w:rsidRPr="00190AD3" w:rsidRDefault="004F1899" w:rsidP="004F1899">
      <w:pPr>
        <w:pStyle w:val="ListParagraph"/>
        <w:numPr>
          <w:ilvl w:val="0"/>
          <w:numId w:val="2"/>
        </w:numPr>
        <w:ind w:left="0" w:hanging="11"/>
        <w:jc w:val="both"/>
        <w:rPr>
          <w:rFonts w:ascii="Verdana" w:hAnsi="Verdana"/>
          <w:sz w:val="20"/>
          <w:lang w:val="es-CR"/>
        </w:rPr>
      </w:pPr>
      <w:r w:rsidRPr="00DA1B52">
        <w:rPr>
          <w:rFonts w:ascii="Verdana" w:hAnsi="Verdana"/>
          <w:b/>
          <w:sz w:val="20"/>
          <w:szCs w:val="20"/>
          <w:lang w:val="es-CR"/>
        </w:rPr>
        <w:t xml:space="preserve"> </w:t>
      </w:r>
      <w:r w:rsidRPr="00190AD3">
        <w:rPr>
          <w:rFonts w:ascii="Verdana" w:hAnsi="Verdana"/>
          <w:sz w:val="20"/>
          <w:lang w:val="es-CR"/>
        </w:rPr>
        <w:t xml:space="preserve">Al respecto, el Estado tiene el deber de proteger tanto las áreas de reserva natural como los territorios tradicionales </w:t>
      </w:r>
      <w:r w:rsidR="001B40EC" w:rsidRPr="001B40EC">
        <w:rPr>
          <w:rFonts w:ascii="Verdana" w:hAnsi="Verdana"/>
          <w:sz w:val="20"/>
          <w:lang w:val="es-CR"/>
        </w:rPr>
        <w:t>con el fin de prevenir daños en el territorio indígena, inclusive aquel que proceda de terceros</w:t>
      </w:r>
      <w:r w:rsidR="001B40EC">
        <w:rPr>
          <w:rFonts w:ascii="Verdana" w:hAnsi="Verdana"/>
          <w:sz w:val="20"/>
          <w:lang w:val="es-CR"/>
        </w:rPr>
        <w:t>,</w:t>
      </w:r>
      <w:r w:rsidR="001B40EC" w:rsidRPr="001B40EC">
        <w:rPr>
          <w:rFonts w:ascii="Verdana" w:hAnsi="Verdana"/>
          <w:sz w:val="20"/>
          <w:lang w:val="es-CR"/>
        </w:rPr>
        <w:t xml:space="preserve"> </w:t>
      </w:r>
      <w:r w:rsidRPr="00190AD3">
        <w:rPr>
          <w:rFonts w:ascii="Verdana" w:hAnsi="Verdana"/>
          <w:sz w:val="20"/>
          <w:lang w:val="es-CR"/>
        </w:rPr>
        <w:t>a través de mecanismos adecuados de supervisión y fiscalización</w:t>
      </w:r>
      <w:r w:rsidRPr="00190AD3">
        <w:rPr>
          <w:rStyle w:val="FootnoteReference"/>
          <w:lang w:val="es-CR"/>
        </w:rPr>
        <w:footnoteReference w:id="261"/>
      </w:r>
      <w:r w:rsidRPr="00190AD3">
        <w:rPr>
          <w:rFonts w:ascii="Verdana" w:hAnsi="Verdana"/>
          <w:sz w:val="20"/>
          <w:lang w:val="es-CR"/>
        </w:rPr>
        <w:t xml:space="preserve"> que garanticen los derechos humanos, en particular, mediante la supervisión y fiscalización de estudios de impacto ambiental. Asimismo, el Tribunal toma nota que el artículo 32 de la Declaración de las Naciones Unidas sobre</w:t>
      </w:r>
      <w:r w:rsidR="00BF1750">
        <w:rPr>
          <w:rFonts w:ascii="Verdana" w:hAnsi="Verdana"/>
          <w:sz w:val="20"/>
          <w:lang w:val="es-CR"/>
        </w:rPr>
        <w:t xml:space="preserve"> </w:t>
      </w:r>
      <w:r w:rsidR="004E6F67">
        <w:rPr>
          <w:rFonts w:ascii="Verdana" w:hAnsi="Verdana"/>
          <w:sz w:val="20"/>
          <w:lang w:val="es-CR"/>
        </w:rPr>
        <w:t xml:space="preserve">los </w:t>
      </w:r>
      <w:r w:rsidR="00BF1750">
        <w:rPr>
          <w:rFonts w:ascii="Verdana" w:hAnsi="Verdana"/>
          <w:sz w:val="20"/>
          <w:lang w:val="es-CR"/>
        </w:rPr>
        <w:t>Derechos de los</w:t>
      </w:r>
      <w:r w:rsidRPr="00190AD3">
        <w:rPr>
          <w:rFonts w:ascii="Verdana" w:hAnsi="Verdana"/>
          <w:sz w:val="20"/>
          <w:lang w:val="es-CR"/>
        </w:rPr>
        <w:t xml:space="preserve"> Pueblos Indígenas dispone que “los Estados establecerán mecanismos eficaces para la reparación justa y equitativa por [la explotación de recursos minerales] y se adoptarán medidas adecuadas para mitigar las consecuencias nocivas de orden ambiental […]”.</w:t>
      </w:r>
    </w:p>
    <w:p w14:paraId="6A3CFFD8" w14:textId="77777777" w:rsidR="004F1899" w:rsidRPr="00190AD3" w:rsidRDefault="004F1899" w:rsidP="004F1899">
      <w:pPr>
        <w:pStyle w:val="ListParagraph"/>
        <w:ind w:left="0"/>
        <w:jc w:val="both"/>
        <w:rPr>
          <w:rFonts w:ascii="Verdana" w:hAnsi="Verdana"/>
          <w:sz w:val="20"/>
          <w:lang w:val="es-CR"/>
        </w:rPr>
      </w:pPr>
    </w:p>
    <w:p w14:paraId="412FF023" w14:textId="13669717" w:rsidR="004F1899" w:rsidRPr="00190AD3" w:rsidRDefault="004F1899" w:rsidP="004F1899">
      <w:pPr>
        <w:pStyle w:val="ListParagraph"/>
        <w:numPr>
          <w:ilvl w:val="0"/>
          <w:numId w:val="2"/>
        </w:numPr>
        <w:ind w:left="0" w:hanging="11"/>
        <w:jc w:val="both"/>
        <w:rPr>
          <w:rFonts w:ascii="Verdana" w:hAnsi="Verdana"/>
          <w:sz w:val="20"/>
          <w:lang w:val="es-CR"/>
        </w:rPr>
      </w:pPr>
      <w:r w:rsidRPr="00190AD3">
        <w:rPr>
          <w:rFonts w:ascii="Verdana" w:hAnsi="Verdana"/>
          <w:sz w:val="20"/>
          <w:lang w:val="es-CR"/>
        </w:rPr>
        <w:t xml:space="preserve">En este sentido, los impactos negativos en el área antes descritos </w:t>
      </w:r>
      <w:r w:rsidRPr="00190AD3">
        <w:rPr>
          <w:rFonts w:ascii="Verdana" w:hAnsi="Verdana"/>
          <w:sz w:val="20"/>
          <w:lang w:val="es-MX"/>
        </w:rPr>
        <w:t xml:space="preserve">afectaron de manera directa los recursos naturales de los Pueblos Kaliña y Lokono dentro de un área que tradicionalmente han utilizado. Asimismo, </w:t>
      </w:r>
      <w:r w:rsidRPr="00190AD3">
        <w:rPr>
          <w:rFonts w:ascii="Verdana" w:hAnsi="Verdana"/>
          <w:sz w:val="20"/>
          <w:lang w:val="es-CR"/>
        </w:rPr>
        <w:t>no s</w:t>
      </w:r>
      <w:r w:rsidR="00476486">
        <w:rPr>
          <w:rFonts w:ascii="Verdana" w:hAnsi="Verdana"/>
          <w:sz w:val="20"/>
          <w:lang w:val="es-CR"/>
        </w:rPr>
        <w:t>ó</w:t>
      </w:r>
      <w:r w:rsidRPr="00190AD3">
        <w:rPr>
          <w:rFonts w:ascii="Verdana" w:hAnsi="Verdana"/>
          <w:sz w:val="20"/>
          <w:lang w:val="es-CR"/>
        </w:rPr>
        <w:t xml:space="preserve">lo no fueron evitados mediante mecanismos de prevención o medidas adecuadas para mitigar el daño instaurado por parte del Estado, como lo es la supervisión de un estudio de impacto ambiental, sino que los efectos negativos se han mantenido en el tiempo, afectando con ello </w:t>
      </w:r>
      <w:r w:rsidR="00921339">
        <w:rPr>
          <w:rFonts w:ascii="Verdana" w:hAnsi="Verdana"/>
          <w:sz w:val="20"/>
          <w:lang w:val="es-CR"/>
        </w:rPr>
        <w:t>e</w:t>
      </w:r>
      <w:r w:rsidRPr="00190AD3">
        <w:rPr>
          <w:rFonts w:ascii="Verdana" w:hAnsi="Verdana"/>
          <w:sz w:val="20"/>
          <w:lang w:val="es-CR"/>
        </w:rPr>
        <w:t xml:space="preserve">l territorio tradicional y los medios de supervivencia de los miembros de dichos pueblos. Asimismo, la Corte recuerda que el Estado también tiene la responsabilidad de supervisar y fiscalizar las acciones en el territorio afectado, a efectos de lograr </w:t>
      </w:r>
      <w:r w:rsidR="00921339">
        <w:rPr>
          <w:rFonts w:ascii="Verdana" w:hAnsi="Verdana"/>
          <w:sz w:val="20"/>
          <w:lang w:val="es-CR"/>
        </w:rPr>
        <w:t xml:space="preserve">su </w:t>
      </w:r>
      <w:r w:rsidRPr="00190AD3">
        <w:rPr>
          <w:rFonts w:ascii="Verdana" w:hAnsi="Verdana"/>
          <w:sz w:val="20"/>
          <w:lang w:val="es-CR"/>
        </w:rPr>
        <w:t xml:space="preserve">pronta rehabilitación con el fin de garantizar un pleno use y goce de los derechos de los pueblos. </w:t>
      </w:r>
    </w:p>
    <w:p w14:paraId="671C536B" w14:textId="77777777" w:rsidR="004F1899" w:rsidRPr="00855238" w:rsidRDefault="004F1899" w:rsidP="004F1899">
      <w:pPr>
        <w:jc w:val="both"/>
        <w:rPr>
          <w:rFonts w:ascii="Verdana" w:hAnsi="Verdana"/>
          <w:sz w:val="20"/>
          <w:szCs w:val="20"/>
          <w:lang w:val="es-CR"/>
        </w:rPr>
      </w:pPr>
    </w:p>
    <w:p w14:paraId="44B90E81" w14:textId="77777777" w:rsidR="004F1899" w:rsidRPr="00855238" w:rsidRDefault="004F1899" w:rsidP="004F1899">
      <w:pPr>
        <w:pStyle w:val="ListParagraph"/>
        <w:numPr>
          <w:ilvl w:val="0"/>
          <w:numId w:val="2"/>
        </w:numPr>
        <w:ind w:left="0" w:hanging="11"/>
        <w:jc w:val="both"/>
        <w:rPr>
          <w:rFonts w:ascii="Verdana" w:hAnsi="Verdana"/>
          <w:sz w:val="20"/>
          <w:szCs w:val="20"/>
          <w:lang w:val="es-CR"/>
        </w:rPr>
      </w:pPr>
      <w:r w:rsidRPr="00855238">
        <w:rPr>
          <w:rFonts w:ascii="Verdana" w:hAnsi="Verdana"/>
          <w:sz w:val="20"/>
          <w:szCs w:val="20"/>
          <w:lang w:val="es-CR"/>
        </w:rPr>
        <w:t xml:space="preserve">En este particular, el Tribunal toma nota de que las actividades mineras que generaron las afectaciones al medio ambiente y por ende a los derechos de los pueblos indígenas, fueron llevadas a cabo por actores privados, primero por la empresa Suralco y posteriormente por la </w:t>
      </w:r>
      <w:r w:rsidRPr="00855238">
        <w:rPr>
          <w:rFonts w:ascii="Verdana" w:hAnsi="Verdana"/>
          <w:i/>
          <w:sz w:val="20"/>
          <w:szCs w:val="20"/>
          <w:lang w:val="es-CR"/>
        </w:rPr>
        <w:t>joint venture</w:t>
      </w:r>
      <w:r w:rsidRPr="00855238">
        <w:rPr>
          <w:rFonts w:ascii="Verdana" w:hAnsi="Verdana"/>
          <w:sz w:val="20"/>
          <w:szCs w:val="20"/>
          <w:lang w:val="es-CR"/>
        </w:rPr>
        <w:t xml:space="preserve"> denominada BHP Billiton-Suralco. </w:t>
      </w:r>
    </w:p>
    <w:p w14:paraId="0A6E5484" w14:textId="77777777" w:rsidR="007A74B3" w:rsidRPr="007703D4" w:rsidRDefault="007A74B3" w:rsidP="007A74B3">
      <w:pPr>
        <w:pStyle w:val="ListParagraph"/>
        <w:spacing w:after="200" w:line="276" w:lineRule="auto"/>
        <w:rPr>
          <w:rFonts w:ascii="Verdana" w:hAnsi="Verdana"/>
          <w:sz w:val="20"/>
          <w:lang w:val="es-CR"/>
        </w:rPr>
      </w:pPr>
    </w:p>
    <w:p w14:paraId="45AD03C6" w14:textId="54895B30" w:rsidR="00221AD1" w:rsidRPr="00190AD3" w:rsidRDefault="006E1E06" w:rsidP="00366D91">
      <w:pPr>
        <w:pStyle w:val="ListParagraph"/>
        <w:numPr>
          <w:ilvl w:val="0"/>
          <w:numId w:val="2"/>
        </w:numPr>
        <w:ind w:left="11" w:hanging="11"/>
        <w:jc w:val="both"/>
        <w:rPr>
          <w:rFonts w:ascii="Verdana" w:hAnsi="Verdana"/>
          <w:sz w:val="20"/>
          <w:lang w:val="es-CR"/>
        </w:rPr>
      </w:pPr>
      <w:r w:rsidRPr="007703D4">
        <w:rPr>
          <w:rFonts w:ascii="Verdana" w:hAnsi="Verdana"/>
          <w:sz w:val="20"/>
          <w:lang w:val="es-CR"/>
        </w:rPr>
        <w:t>Al respecto</w:t>
      </w:r>
      <w:r w:rsidR="007A74B3" w:rsidRPr="007703D4">
        <w:rPr>
          <w:rFonts w:ascii="Verdana" w:hAnsi="Verdana"/>
          <w:sz w:val="20"/>
          <w:lang w:val="es-CR"/>
        </w:rPr>
        <w:t xml:space="preserve">, la Corte toma nota de los “Principios </w:t>
      </w:r>
      <w:r w:rsidR="00C544F3">
        <w:rPr>
          <w:rFonts w:ascii="Verdana" w:hAnsi="Verdana"/>
          <w:sz w:val="20"/>
          <w:lang w:val="es-CR"/>
        </w:rPr>
        <w:t>R</w:t>
      </w:r>
      <w:r w:rsidR="007A74B3" w:rsidRPr="007703D4">
        <w:rPr>
          <w:rFonts w:ascii="Verdana" w:hAnsi="Verdana"/>
          <w:sz w:val="20"/>
          <w:lang w:val="es-CR"/>
        </w:rPr>
        <w:t>ectores sobre las empresas y los derechos humanos”</w:t>
      </w:r>
      <w:r w:rsidR="007A74B3" w:rsidRPr="007703D4">
        <w:rPr>
          <w:rStyle w:val="FootnoteReference"/>
          <w:lang w:val="es-CR"/>
        </w:rPr>
        <w:footnoteReference w:id="262"/>
      </w:r>
      <w:r w:rsidR="007A74B3" w:rsidRPr="007703D4">
        <w:rPr>
          <w:rFonts w:ascii="Verdana" w:hAnsi="Verdana"/>
          <w:sz w:val="20"/>
          <w:lang w:val="es-CR"/>
        </w:rPr>
        <w:t xml:space="preserve">, </w:t>
      </w:r>
      <w:r w:rsidR="00AC7609" w:rsidRPr="00476486">
        <w:rPr>
          <w:rFonts w:ascii="Verdana" w:hAnsi="Verdana"/>
          <w:sz w:val="20"/>
          <w:lang w:val="es-CR"/>
        </w:rPr>
        <w:t>avalados</w:t>
      </w:r>
      <w:r w:rsidR="00AC7609">
        <w:rPr>
          <w:rFonts w:ascii="Verdana" w:hAnsi="Verdana"/>
          <w:sz w:val="20"/>
          <w:lang w:val="es-CR"/>
        </w:rPr>
        <w:t xml:space="preserve"> </w:t>
      </w:r>
      <w:r w:rsidR="007A74B3" w:rsidRPr="007703D4">
        <w:rPr>
          <w:rFonts w:ascii="Verdana" w:hAnsi="Verdana"/>
          <w:sz w:val="20"/>
          <w:lang w:val="es-CR"/>
        </w:rPr>
        <w:t xml:space="preserve">por el Consejo de Derechos Humanos de la Naciones Unidas, </w:t>
      </w:r>
      <w:r w:rsidR="007A74B3" w:rsidRPr="007703D4">
        <w:rPr>
          <w:rFonts w:ascii="Verdana" w:hAnsi="Verdana"/>
          <w:sz w:val="20"/>
          <w:lang w:val="es-CR"/>
        </w:rPr>
        <w:lastRenderedPageBreak/>
        <w:t>mediante los cuales se ha establecido que las empresas deben actuar de conformidad con el respeto y la protección de los derechos humanos, así como prevenir, mitigar y hacerse responsables por las consecuencias negativas de sus actividades sobre los derechos humanos</w:t>
      </w:r>
      <w:r w:rsidR="007A74B3" w:rsidRPr="007703D4">
        <w:rPr>
          <w:rStyle w:val="FootnoteReference"/>
          <w:lang w:val="es-CR"/>
        </w:rPr>
        <w:footnoteReference w:id="263"/>
      </w:r>
      <w:r w:rsidR="007A74B3" w:rsidRPr="007703D4">
        <w:rPr>
          <w:rFonts w:ascii="Verdana" w:hAnsi="Verdana"/>
          <w:sz w:val="20"/>
          <w:lang w:val="es-CR"/>
        </w:rPr>
        <w:t xml:space="preserve">. </w:t>
      </w:r>
      <w:r w:rsidR="005D596D" w:rsidRPr="007703D4">
        <w:rPr>
          <w:rFonts w:ascii="Verdana" w:hAnsi="Verdana"/>
          <w:sz w:val="20"/>
          <w:lang w:val="es-CR"/>
        </w:rPr>
        <w:t xml:space="preserve">En este sentido, tal como lo reiteran dichos principios, </w:t>
      </w:r>
      <w:r w:rsidR="005D596D" w:rsidRPr="007703D4">
        <w:rPr>
          <w:rFonts w:ascii="Verdana" w:hAnsi="Verdana"/>
          <w:sz w:val="20"/>
          <w:lang w:val="es-MX"/>
        </w:rPr>
        <w:t xml:space="preserve">los Estados tienen </w:t>
      </w:r>
      <w:r w:rsidR="00221AD1" w:rsidRPr="007703D4">
        <w:rPr>
          <w:rFonts w:ascii="Verdana" w:hAnsi="Verdana"/>
          <w:sz w:val="20"/>
          <w:lang w:val="es-MX"/>
        </w:rPr>
        <w:t xml:space="preserve">la responsabilidad </w:t>
      </w:r>
      <w:r w:rsidR="005D596D" w:rsidRPr="007703D4">
        <w:rPr>
          <w:rFonts w:ascii="Verdana" w:hAnsi="Verdana"/>
          <w:sz w:val="20"/>
          <w:lang w:val="es-MX"/>
        </w:rPr>
        <w:t>de proteger los derechos humanos</w:t>
      </w:r>
      <w:r w:rsidR="00221AD1" w:rsidRPr="007703D4">
        <w:rPr>
          <w:rFonts w:ascii="Verdana" w:hAnsi="Verdana"/>
          <w:sz w:val="20"/>
          <w:lang w:val="es-MX"/>
        </w:rPr>
        <w:t xml:space="preserve"> de las personas contra las violaciones cometidas </w:t>
      </w:r>
      <w:r w:rsidR="005D596D" w:rsidRPr="007703D4">
        <w:rPr>
          <w:rFonts w:ascii="Verdana" w:hAnsi="Verdana"/>
          <w:sz w:val="20"/>
          <w:lang w:val="es-MX"/>
        </w:rPr>
        <w:t xml:space="preserve">en su territorio y/o su jurisdicción por terceros, incluidas las empresas. </w:t>
      </w:r>
      <w:r w:rsidR="00221AD1" w:rsidRPr="007703D4">
        <w:rPr>
          <w:rFonts w:ascii="Verdana" w:hAnsi="Verdana"/>
          <w:sz w:val="20"/>
          <w:lang w:val="es-CR"/>
        </w:rPr>
        <w:t>Para</w:t>
      </w:r>
      <w:r w:rsidR="005D596D" w:rsidRPr="007703D4">
        <w:rPr>
          <w:rFonts w:ascii="Verdana" w:hAnsi="Verdana"/>
          <w:sz w:val="20"/>
          <w:lang w:val="es-MX"/>
        </w:rPr>
        <w:t xml:space="preserve"> tal efecto los Estados deben adoptar las medidas apropiadas para prevenir, investigar, castigar y reparar</w:t>
      </w:r>
      <w:r w:rsidR="001B40EC">
        <w:rPr>
          <w:rFonts w:ascii="Verdana" w:hAnsi="Verdana"/>
          <w:sz w:val="20"/>
          <w:lang w:val="es-MX"/>
        </w:rPr>
        <w:t>,</w:t>
      </w:r>
      <w:r w:rsidR="005D596D" w:rsidRPr="007703D4">
        <w:rPr>
          <w:rFonts w:ascii="Verdana" w:hAnsi="Verdana"/>
          <w:sz w:val="20"/>
          <w:lang w:val="es-MX"/>
        </w:rPr>
        <w:t xml:space="preserve"> </w:t>
      </w:r>
      <w:r w:rsidR="001B40EC" w:rsidRPr="001B40EC">
        <w:rPr>
          <w:rFonts w:ascii="Verdana" w:hAnsi="Verdana"/>
          <w:sz w:val="20"/>
          <w:lang w:val="es-MX"/>
        </w:rPr>
        <w:t>mediante políticas adecuadas</w:t>
      </w:r>
      <w:r w:rsidR="001B40EC">
        <w:rPr>
          <w:rFonts w:ascii="Verdana" w:hAnsi="Verdana"/>
          <w:sz w:val="20"/>
          <w:lang w:val="es-MX"/>
        </w:rPr>
        <w:t>,</w:t>
      </w:r>
      <w:r w:rsidR="001B40EC" w:rsidRPr="001B40EC">
        <w:rPr>
          <w:rFonts w:ascii="Verdana" w:hAnsi="Verdana"/>
          <w:sz w:val="20"/>
          <w:lang w:val="es-MX"/>
        </w:rPr>
        <w:t xml:space="preserve"> </w:t>
      </w:r>
      <w:r w:rsidR="005D596D" w:rsidRPr="007703D4">
        <w:rPr>
          <w:rFonts w:ascii="Verdana" w:hAnsi="Verdana"/>
          <w:sz w:val="20"/>
          <w:lang w:val="es-MX"/>
        </w:rPr>
        <w:t>los abusos que aquellas puedan cometer, actividades de reglamentación y sometimiento a la justicia</w:t>
      </w:r>
      <w:r w:rsidR="005D596D" w:rsidRPr="007703D4">
        <w:rPr>
          <w:rStyle w:val="FootnoteReference"/>
          <w:lang w:val="es-MX"/>
        </w:rPr>
        <w:footnoteReference w:id="264"/>
      </w:r>
      <w:r w:rsidR="005D596D" w:rsidRPr="007703D4">
        <w:rPr>
          <w:rFonts w:ascii="Verdana" w:hAnsi="Verdana"/>
          <w:sz w:val="20"/>
          <w:lang w:val="es-MX"/>
        </w:rPr>
        <w:t>.</w:t>
      </w:r>
    </w:p>
    <w:p w14:paraId="1976A922" w14:textId="77777777" w:rsidR="00AE60CD" w:rsidRPr="00190AD3" w:rsidRDefault="00AE60CD" w:rsidP="00190AD3">
      <w:pPr>
        <w:jc w:val="both"/>
        <w:rPr>
          <w:rFonts w:ascii="Verdana" w:hAnsi="Verdana"/>
          <w:sz w:val="20"/>
          <w:lang w:val="es-CR"/>
        </w:rPr>
      </w:pPr>
    </w:p>
    <w:p w14:paraId="78434DE5" w14:textId="77777777" w:rsidR="004F1899" w:rsidRDefault="004F1899" w:rsidP="004F1899">
      <w:pPr>
        <w:pStyle w:val="ListParagraph"/>
        <w:numPr>
          <w:ilvl w:val="0"/>
          <w:numId w:val="2"/>
        </w:numPr>
        <w:ind w:left="0" w:hanging="11"/>
        <w:jc w:val="both"/>
        <w:rPr>
          <w:rFonts w:ascii="Verdana" w:hAnsi="Verdana"/>
          <w:sz w:val="20"/>
          <w:szCs w:val="20"/>
          <w:lang w:val="es-CR"/>
        </w:rPr>
      </w:pPr>
      <w:r w:rsidRPr="007703D4">
        <w:rPr>
          <w:rFonts w:ascii="Verdana" w:hAnsi="Verdana"/>
          <w:sz w:val="20"/>
          <w:szCs w:val="20"/>
          <w:lang w:val="es-CR"/>
        </w:rPr>
        <w:t xml:space="preserve">En </w:t>
      </w:r>
      <w:r>
        <w:rPr>
          <w:rFonts w:ascii="Verdana" w:hAnsi="Verdana"/>
          <w:sz w:val="20"/>
          <w:szCs w:val="20"/>
          <w:lang w:val="es-CR"/>
        </w:rPr>
        <w:t>este sentido, el Representante E</w:t>
      </w:r>
      <w:r w:rsidRPr="007703D4">
        <w:rPr>
          <w:rFonts w:ascii="Verdana" w:hAnsi="Verdana"/>
          <w:sz w:val="20"/>
          <w:szCs w:val="20"/>
          <w:lang w:val="es-CR"/>
        </w:rPr>
        <w:t xml:space="preserve">special del Secretario General de Naciones Unidas para la cuestión de los derechos humanos y las empresas transnacionales y otras empresas, ha señalado que estas deberán respetar los derechos humanos de personas pertenecientes a grupos o poblaciones específicas, entre ellos los </w:t>
      </w:r>
      <w:r w:rsidR="00031333">
        <w:rPr>
          <w:rFonts w:ascii="Verdana" w:hAnsi="Verdana"/>
          <w:sz w:val="20"/>
          <w:szCs w:val="20"/>
          <w:lang w:val="es-CR"/>
        </w:rPr>
        <w:t>pueblos indígenas y tribales</w:t>
      </w:r>
      <w:r w:rsidRPr="007703D4">
        <w:rPr>
          <w:rFonts w:ascii="Verdana" w:hAnsi="Verdana"/>
          <w:sz w:val="20"/>
          <w:szCs w:val="20"/>
          <w:lang w:val="es-CR"/>
        </w:rPr>
        <w:t>, y deberán prestarle especial atención cuando vulneren dichos derechos</w:t>
      </w:r>
      <w:r w:rsidRPr="007703D4">
        <w:rPr>
          <w:rStyle w:val="FootnoteReference"/>
          <w:szCs w:val="20"/>
          <w:lang w:val="es-CR"/>
        </w:rPr>
        <w:footnoteReference w:id="265"/>
      </w:r>
      <w:r w:rsidRPr="007703D4">
        <w:rPr>
          <w:rFonts w:ascii="Verdana" w:hAnsi="Verdana"/>
          <w:sz w:val="20"/>
          <w:szCs w:val="20"/>
          <w:lang w:val="es-CR"/>
        </w:rPr>
        <w:t xml:space="preserve">. </w:t>
      </w:r>
    </w:p>
    <w:p w14:paraId="49105482" w14:textId="77777777" w:rsidR="000D7B24" w:rsidRDefault="000D7B24" w:rsidP="00190AD3">
      <w:pPr>
        <w:pStyle w:val="ListParagraph"/>
        <w:ind w:left="0"/>
        <w:jc w:val="both"/>
        <w:rPr>
          <w:rFonts w:ascii="Verdana" w:hAnsi="Verdana"/>
          <w:sz w:val="20"/>
          <w:szCs w:val="20"/>
          <w:lang w:val="es-CR"/>
        </w:rPr>
      </w:pPr>
    </w:p>
    <w:p w14:paraId="1286E4E8" w14:textId="77777777" w:rsidR="007A74B3" w:rsidRPr="00190AD3" w:rsidRDefault="007A74B3" w:rsidP="007A74B3">
      <w:pPr>
        <w:pStyle w:val="ListParagraph"/>
        <w:numPr>
          <w:ilvl w:val="0"/>
          <w:numId w:val="2"/>
        </w:numPr>
        <w:ind w:left="0" w:hanging="11"/>
        <w:jc w:val="both"/>
        <w:rPr>
          <w:rFonts w:ascii="Verdana" w:hAnsi="Verdana"/>
          <w:sz w:val="20"/>
          <w:lang w:val="es-CR"/>
        </w:rPr>
      </w:pPr>
      <w:r w:rsidRPr="00190AD3">
        <w:rPr>
          <w:rFonts w:ascii="Verdana" w:hAnsi="Verdana"/>
          <w:sz w:val="20"/>
          <w:lang w:val="es-CR"/>
        </w:rPr>
        <w:t xml:space="preserve">En virtud de lo señalado, la Corte </w:t>
      </w:r>
      <w:r w:rsidR="002C50BE" w:rsidRPr="00190AD3">
        <w:rPr>
          <w:rFonts w:ascii="Verdana" w:hAnsi="Verdana"/>
          <w:sz w:val="20"/>
          <w:lang w:val="es-CR"/>
        </w:rPr>
        <w:t xml:space="preserve">estima </w:t>
      </w:r>
      <w:r w:rsidRPr="00190AD3">
        <w:rPr>
          <w:rFonts w:ascii="Verdana" w:hAnsi="Verdana"/>
          <w:sz w:val="20"/>
          <w:lang w:val="es-CR"/>
        </w:rPr>
        <w:t>que</w:t>
      </w:r>
      <w:r w:rsidR="002C50BE" w:rsidRPr="00190AD3">
        <w:rPr>
          <w:rFonts w:ascii="Verdana" w:hAnsi="Verdana"/>
          <w:sz w:val="20"/>
          <w:lang w:val="es-CR"/>
        </w:rPr>
        <w:t>, siendo que</w:t>
      </w:r>
      <w:r w:rsidRPr="00190AD3">
        <w:rPr>
          <w:rFonts w:ascii="Verdana" w:hAnsi="Verdana"/>
          <w:sz w:val="20"/>
          <w:lang w:val="es-CR"/>
        </w:rPr>
        <w:t xml:space="preserve"> el Estado </w:t>
      </w:r>
      <w:r w:rsidR="002C50BE" w:rsidRPr="00190AD3">
        <w:rPr>
          <w:rFonts w:ascii="Verdana" w:hAnsi="Verdana"/>
          <w:sz w:val="20"/>
          <w:lang w:val="es-CR"/>
        </w:rPr>
        <w:t xml:space="preserve">no garantizó la realización </w:t>
      </w:r>
      <w:r w:rsidRPr="00190AD3">
        <w:rPr>
          <w:rFonts w:ascii="Verdana" w:hAnsi="Verdana"/>
          <w:sz w:val="20"/>
          <w:lang w:val="es-CR"/>
        </w:rPr>
        <w:t>de un estudio de impacto ambiental</w:t>
      </w:r>
      <w:r w:rsidR="005079D3" w:rsidRPr="00190AD3">
        <w:rPr>
          <w:rFonts w:ascii="Verdana" w:hAnsi="Verdana"/>
          <w:sz w:val="20"/>
          <w:lang w:val="es-CR"/>
        </w:rPr>
        <w:t xml:space="preserve"> y social</w:t>
      </w:r>
      <w:r w:rsidR="005A3B55" w:rsidRPr="00190AD3">
        <w:rPr>
          <w:rFonts w:ascii="Verdana" w:hAnsi="Verdana"/>
          <w:sz w:val="20"/>
          <w:lang w:val="es-CR"/>
        </w:rPr>
        <w:t xml:space="preserve"> de manera independiente y</w:t>
      </w:r>
      <w:r w:rsidR="00221AD1" w:rsidRPr="00190AD3">
        <w:rPr>
          <w:rFonts w:ascii="Verdana" w:hAnsi="Verdana"/>
          <w:sz w:val="20"/>
          <w:lang w:val="es-CR"/>
        </w:rPr>
        <w:t xml:space="preserve"> previ</w:t>
      </w:r>
      <w:r w:rsidR="001B40EC">
        <w:rPr>
          <w:rFonts w:ascii="Verdana" w:hAnsi="Verdana"/>
          <w:sz w:val="20"/>
          <w:lang w:val="es-CR"/>
        </w:rPr>
        <w:t>a</w:t>
      </w:r>
      <w:r w:rsidR="00221AD1" w:rsidRPr="00190AD3">
        <w:rPr>
          <w:rFonts w:ascii="Verdana" w:hAnsi="Verdana"/>
          <w:sz w:val="20"/>
          <w:lang w:val="es-CR"/>
        </w:rPr>
        <w:t xml:space="preserve"> al inicio de la extracción de bauxita</w:t>
      </w:r>
      <w:r w:rsidR="002C50BE" w:rsidRPr="00190AD3">
        <w:rPr>
          <w:rFonts w:ascii="Verdana" w:hAnsi="Verdana"/>
          <w:sz w:val="20"/>
          <w:lang w:val="es-CR"/>
        </w:rPr>
        <w:t xml:space="preserve"> ni supervisó el </w:t>
      </w:r>
      <w:r w:rsidR="00DB5CB3" w:rsidRPr="00190AD3">
        <w:rPr>
          <w:rFonts w:ascii="Verdana" w:hAnsi="Verdana"/>
          <w:sz w:val="20"/>
          <w:lang w:val="es-CR"/>
        </w:rPr>
        <w:t xml:space="preserve">estudio que fue </w:t>
      </w:r>
      <w:r w:rsidR="002C50BE" w:rsidRPr="00190AD3">
        <w:rPr>
          <w:rFonts w:ascii="Verdana" w:hAnsi="Verdana"/>
          <w:sz w:val="20"/>
          <w:lang w:val="es-CR"/>
        </w:rPr>
        <w:t xml:space="preserve">realizado con posterioridad, </w:t>
      </w:r>
      <w:r w:rsidR="005A3B55" w:rsidRPr="00190AD3">
        <w:rPr>
          <w:rFonts w:ascii="Verdana" w:hAnsi="Verdana"/>
          <w:sz w:val="20"/>
          <w:lang w:val="es-CR"/>
        </w:rPr>
        <w:t xml:space="preserve">incumplió con dicha </w:t>
      </w:r>
      <w:r w:rsidR="004F1899" w:rsidRPr="00190AD3">
        <w:rPr>
          <w:rFonts w:ascii="Verdana" w:hAnsi="Verdana"/>
          <w:sz w:val="20"/>
          <w:lang w:val="es-CR"/>
        </w:rPr>
        <w:t>salvaguardia, máxime tratándose de un área natural protegida y de territorios tradicionales para diversos pueblos.</w:t>
      </w:r>
      <w:r w:rsidR="003966ED" w:rsidRPr="00190AD3">
        <w:rPr>
          <w:rFonts w:ascii="Verdana" w:hAnsi="Verdana"/>
          <w:sz w:val="20"/>
          <w:lang w:val="es-CR"/>
        </w:rPr>
        <w:t xml:space="preserve"> </w:t>
      </w:r>
    </w:p>
    <w:p w14:paraId="5C085E6A" w14:textId="77777777" w:rsidR="007A74B3" w:rsidRPr="007703D4" w:rsidRDefault="007A74B3" w:rsidP="007A74B3">
      <w:pPr>
        <w:jc w:val="both"/>
        <w:rPr>
          <w:rFonts w:ascii="Verdana" w:hAnsi="Verdana"/>
          <w:sz w:val="20"/>
          <w:lang w:val="es-CL"/>
        </w:rPr>
      </w:pPr>
    </w:p>
    <w:p w14:paraId="481AE2F2" w14:textId="77777777" w:rsidR="007A74B3" w:rsidRPr="007703D4" w:rsidRDefault="007A74B3" w:rsidP="00261627">
      <w:pPr>
        <w:shd w:val="clear" w:color="auto" w:fill="FFFFFF"/>
        <w:ind w:left="720" w:firstLine="720"/>
        <w:jc w:val="both"/>
        <w:textAlignment w:val="top"/>
        <w:rPr>
          <w:rFonts w:ascii="Verdana" w:eastAsia="Times New Roman" w:hAnsi="Verdana"/>
          <w:b/>
          <w:color w:val="000000"/>
          <w:sz w:val="20"/>
          <w:lang w:val="es-CR" w:eastAsia="es-CR"/>
        </w:rPr>
      </w:pPr>
      <w:r w:rsidRPr="007703D4">
        <w:rPr>
          <w:rFonts w:ascii="Verdana" w:hAnsi="Verdana"/>
          <w:b/>
          <w:i/>
          <w:sz w:val="20"/>
          <w:lang w:val="es-CR" w:eastAsia="es-ES"/>
        </w:rPr>
        <w:t>ii</w:t>
      </w:r>
      <w:r w:rsidR="00F62FEB" w:rsidRPr="007703D4">
        <w:rPr>
          <w:rFonts w:ascii="Verdana" w:hAnsi="Verdana"/>
          <w:b/>
          <w:i/>
          <w:sz w:val="20"/>
          <w:lang w:val="es-CR" w:eastAsia="es-ES"/>
        </w:rPr>
        <w:t>i</w:t>
      </w:r>
      <w:r w:rsidRPr="007703D4">
        <w:rPr>
          <w:rFonts w:ascii="Verdana" w:hAnsi="Verdana"/>
          <w:b/>
          <w:i/>
          <w:sz w:val="20"/>
          <w:lang w:val="es-CR" w:eastAsia="es-ES"/>
        </w:rPr>
        <w:t xml:space="preserve">) </w:t>
      </w:r>
      <w:r w:rsidRPr="007703D4">
        <w:rPr>
          <w:rFonts w:ascii="Verdana" w:eastAsia="Times New Roman" w:hAnsi="Verdana"/>
          <w:b/>
          <w:i/>
          <w:color w:val="000000"/>
          <w:sz w:val="20"/>
          <w:lang w:val="es-CR" w:eastAsia="es-CR"/>
        </w:rPr>
        <w:t>Beneficios compartidos</w:t>
      </w:r>
    </w:p>
    <w:p w14:paraId="4A8140F8" w14:textId="77777777" w:rsidR="007A74B3" w:rsidRPr="007703D4" w:rsidRDefault="007A74B3" w:rsidP="007A74B3">
      <w:pPr>
        <w:shd w:val="clear" w:color="auto" w:fill="FFFFFF"/>
        <w:jc w:val="both"/>
        <w:textAlignment w:val="top"/>
        <w:rPr>
          <w:rFonts w:ascii="Verdana" w:eastAsia="Times New Roman" w:hAnsi="Verdana"/>
          <w:color w:val="000000"/>
          <w:sz w:val="20"/>
          <w:lang w:val="es-CR" w:eastAsia="es-CR"/>
        </w:rPr>
      </w:pPr>
    </w:p>
    <w:p w14:paraId="5BA648E0" w14:textId="77777777" w:rsidR="007A74B3" w:rsidRPr="007F327D" w:rsidRDefault="00B73D90" w:rsidP="007A74B3">
      <w:pPr>
        <w:pStyle w:val="ListParagraph"/>
        <w:numPr>
          <w:ilvl w:val="0"/>
          <w:numId w:val="2"/>
        </w:numPr>
        <w:ind w:left="0" w:hanging="11"/>
        <w:jc w:val="both"/>
        <w:rPr>
          <w:rFonts w:ascii="Verdana" w:eastAsiaTheme="minorEastAsia" w:hAnsi="Verdana"/>
          <w:sz w:val="20"/>
          <w:lang w:val="es-CR"/>
        </w:rPr>
      </w:pPr>
      <w:r w:rsidRPr="007703D4">
        <w:rPr>
          <w:rFonts w:ascii="Verdana" w:eastAsia="Times New Roman" w:hAnsi="Verdana"/>
          <w:color w:val="000000"/>
          <w:sz w:val="20"/>
          <w:lang w:val="es-CR" w:eastAsia="es-CR"/>
        </w:rPr>
        <w:t>A</w:t>
      </w:r>
      <w:r w:rsidR="007A74B3" w:rsidRPr="007703D4">
        <w:rPr>
          <w:rFonts w:ascii="Verdana" w:eastAsia="Times New Roman" w:hAnsi="Verdana"/>
          <w:color w:val="000000"/>
          <w:sz w:val="20"/>
          <w:lang w:val="es-CR" w:eastAsia="es-CR"/>
        </w:rPr>
        <w:t>l considerar los planes de desarrollo dentro de los territorios de los pueblos indígenas</w:t>
      </w:r>
      <w:r w:rsidR="001803FD">
        <w:rPr>
          <w:rFonts w:ascii="Verdana" w:eastAsia="Times New Roman" w:hAnsi="Verdana"/>
          <w:color w:val="000000"/>
          <w:sz w:val="20"/>
          <w:lang w:val="es-CR" w:eastAsia="es-CR"/>
        </w:rPr>
        <w:t xml:space="preserve"> y </w:t>
      </w:r>
      <w:r w:rsidR="001803FD" w:rsidRPr="007703D4">
        <w:rPr>
          <w:rFonts w:ascii="Verdana" w:eastAsia="Times New Roman" w:hAnsi="Verdana"/>
          <w:color w:val="000000"/>
          <w:sz w:val="20"/>
          <w:lang w:val="es-CR" w:eastAsia="es-CR"/>
        </w:rPr>
        <w:t>tribales</w:t>
      </w:r>
      <w:r w:rsidR="004B79FA" w:rsidRPr="007703D4">
        <w:rPr>
          <w:rFonts w:ascii="Verdana" w:eastAsia="Times New Roman" w:hAnsi="Verdana"/>
          <w:color w:val="000000"/>
          <w:sz w:val="20"/>
          <w:lang w:val="es-CR" w:eastAsia="es-CR"/>
        </w:rPr>
        <w:t>,</w:t>
      </w:r>
      <w:r w:rsidR="007A74B3" w:rsidRPr="007703D4">
        <w:rPr>
          <w:rFonts w:ascii="Verdana" w:eastAsia="Times New Roman" w:hAnsi="Verdana"/>
          <w:color w:val="000000"/>
          <w:sz w:val="20"/>
          <w:lang w:val="es-CR" w:eastAsia="es-CR"/>
        </w:rPr>
        <w:t xml:space="preserve"> </w:t>
      </w:r>
      <w:r w:rsidR="004B79FA" w:rsidRPr="007703D4">
        <w:rPr>
          <w:rFonts w:ascii="Verdana" w:eastAsia="Times New Roman" w:hAnsi="Verdana"/>
          <w:color w:val="000000"/>
          <w:sz w:val="20"/>
          <w:lang w:val="es-CR" w:eastAsia="es-CR"/>
        </w:rPr>
        <w:t>e</w:t>
      </w:r>
      <w:r w:rsidRPr="007703D4">
        <w:rPr>
          <w:rFonts w:ascii="Verdana" w:eastAsia="Times New Roman" w:hAnsi="Verdana"/>
          <w:color w:val="000000"/>
          <w:sz w:val="20"/>
          <w:lang w:val="es-CR" w:eastAsia="es-CR"/>
        </w:rPr>
        <w:t xml:space="preserve">l Estado debe </w:t>
      </w:r>
      <w:r w:rsidR="007A74B3" w:rsidRPr="007703D4">
        <w:rPr>
          <w:rFonts w:ascii="Verdana" w:eastAsia="Times New Roman" w:hAnsi="Verdana"/>
          <w:color w:val="000000"/>
          <w:sz w:val="20"/>
          <w:lang w:val="es-CR" w:eastAsia="es-CR"/>
        </w:rPr>
        <w:t xml:space="preserve">compartir razonablemente los beneficios del proyecto en cuestión, de ser el caso. </w:t>
      </w:r>
      <w:r w:rsidR="004B79FA" w:rsidRPr="007703D4">
        <w:rPr>
          <w:rFonts w:ascii="Verdana" w:eastAsia="Times New Roman" w:hAnsi="Verdana"/>
          <w:color w:val="000000"/>
          <w:sz w:val="20"/>
          <w:lang w:val="es-CR" w:eastAsia="es-CR"/>
        </w:rPr>
        <w:t>Dicho</w:t>
      </w:r>
      <w:r w:rsidR="007A74B3" w:rsidRPr="007703D4">
        <w:rPr>
          <w:rFonts w:ascii="Verdana" w:eastAsia="Times New Roman" w:hAnsi="Verdana"/>
          <w:color w:val="000000"/>
          <w:sz w:val="20"/>
          <w:lang w:val="es-CR" w:eastAsia="es-CR"/>
        </w:rPr>
        <w:t xml:space="preserve"> concepto es inherente al derecho de indemnización reconocido en el artículo 21.2 de la Convención, el cual se extiende no sólo</w:t>
      </w:r>
      <w:r w:rsidR="001B40EC">
        <w:rPr>
          <w:rFonts w:ascii="Verdana" w:eastAsia="Times New Roman" w:hAnsi="Verdana"/>
          <w:color w:val="000000"/>
          <w:sz w:val="20"/>
          <w:lang w:val="es-CR" w:eastAsia="es-CR"/>
        </w:rPr>
        <w:t>, por ejemplo,</w:t>
      </w:r>
      <w:r w:rsidR="007A74B3" w:rsidRPr="007703D4">
        <w:rPr>
          <w:rFonts w:ascii="Verdana" w:eastAsia="Times New Roman" w:hAnsi="Verdana"/>
          <w:color w:val="000000"/>
          <w:sz w:val="20"/>
          <w:lang w:val="es-CR" w:eastAsia="es-CR"/>
        </w:rPr>
        <w:t xml:space="preserve"> a la total privación de un título de propiedad por medio de una expropiación por parte del Estado, por ejemplo, sino que también comprende la privación del uso y goce regular de dicha propiedad</w:t>
      </w:r>
      <w:r w:rsidR="007A74B3" w:rsidRPr="007703D4">
        <w:rPr>
          <w:rStyle w:val="FootnoteReference"/>
          <w:rFonts w:eastAsia="Times New Roman"/>
          <w:color w:val="000000"/>
          <w:lang w:val="es-CR" w:eastAsia="es-CR"/>
        </w:rPr>
        <w:footnoteReference w:id="266"/>
      </w:r>
      <w:r w:rsidR="007A74B3" w:rsidRPr="007703D4">
        <w:rPr>
          <w:rFonts w:ascii="Verdana" w:eastAsia="Times New Roman" w:hAnsi="Verdana"/>
          <w:color w:val="000000"/>
          <w:sz w:val="20"/>
          <w:lang w:val="es-CR" w:eastAsia="es-CR"/>
        </w:rPr>
        <w:t xml:space="preserve">. </w:t>
      </w:r>
    </w:p>
    <w:p w14:paraId="1546B0F7" w14:textId="77777777" w:rsidR="007A74B3" w:rsidRPr="007703D4" w:rsidRDefault="007A74B3" w:rsidP="004F1899">
      <w:pPr>
        <w:pStyle w:val="ListParagraph"/>
        <w:jc w:val="both"/>
        <w:rPr>
          <w:rFonts w:ascii="Verdana" w:eastAsiaTheme="minorEastAsia" w:hAnsi="Verdana"/>
          <w:sz w:val="20"/>
          <w:lang w:val="es-CR"/>
        </w:rPr>
      </w:pPr>
    </w:p>
    <w:p w14:paraId="53FFA34F" w14:textId="185F2396" w:rsidR="004F1899" w:rsidRDefault="004F1899" w:rsidP="004F1899">
      <w:pPr>
        <w:pStyle w:val="ListParagraph"/>
        <w:numPr>
          <w:ilvl w:val="0"/>
          <w:numId w:val="2"/>
        </w:numPr>
        <w:ind w:left="0" w:hanging="11"/>
        <w:jc w:val="both"/>
        <w:rPr>
          <w:rFonts w:ascii="Verdana" w:hAnsi="Verdana"/>
          <w:sz w:val="20"/>
          <w:szCs w:val="20"/>
          <w:lang w:val="es-CR"/>
        </w:rPr>
      </w:pPr>
      <w:r w:rsidRPr="007703D4">
        <w:rPr>
          <w:rFonts w:ascii="Verdana" w:hAnsi="Verdana"/>
          <w:sz w:val="20"/>
          <w:szCs w:val="20"/>
          <w:lang w:val="es-CR"/>
        </w:rPr>
        <w:lastRenderedPageBreak/>
        <w:t xml:space="preserve">En el presente caso, los representantes de las víctimas señalaron que no existía evidencia alguna en el expediente ante la Corte de que los Pueblos Kaliña y Lokono se hubieran beneficiado debido a la concesión minera otorgada por el Estado, sino que más bien esta causó daños graves al medio ambiente de la zona, perjudicando con ello a dichos Pueblos. Sin embargo, el Estado alegó que </w:t>
      </w:r>
      <w:r w:rsidR="001803FD">
        <w:rPr>
          <w:rFonts w:ascii="Verdana" w:hAnsi="Verdana"/>
          <w:sz w:val="20"/>
          <w:szCs w:val="20"/>
          <w:lang w:val="es-CR"/>
        </w:rPr>
        <w:t xml:space="preserve">el </w:t>
      </w:r>
      <w:r w:rsidRPr="007703D4">
        <w:rPr>
          <w:rFonts w:ascii="Verdana" w:hAnsi="Verdana"/>
          <w:sz w:val="20"/>
          <w:szCs w:val="20"/>
          <w:lang w:val="es-CR"/>
        </w:rPr>
        <w:t xml:space="preserve">daño </w:t>
      </w:r>
      <w:r w:rsidR="001803FD">
        <w:rPr>
          <w:rFonts w:ascii="Verdana" w:hAnsi="Verdana"/>
          <w:sz w:val="20"/>
          <w:szCs w:val="20"/>
          <w:lang w:val="es-CR"/>
        </w:rPr>
        <w:t>ocasionado</w:t>
      </w:r>
      <w:r w:rsidRPr="007703D4">
        <w:rPr>
          <w:rFonts w:ascii="Verdana" w:hAnsi="Verdana"/>
          <w:sz w:val="20"/>
          <w:szCs w:val="20"/>
          <w:lang w:val="es-CR"/>
        </w:rPr>
        <w:t xml:space="preserve"> fue mínimo, y</w:t>
      </w:r>
      <w:r w:rsidR="000B11A0">
        <w:rPr>
          <w:rFonts w:ascii="Verdana" w:hAnsi="Verdana"/>
          <w:sz w:val="20"/>
          <w:szCs w:val="20"/>
          <w:lang w:val="es-CR"/>
        </w:rPr>
        <w:t xml:space="preserve"> que,</w:t>
      </w:r>
      <w:r w:rsidRPr="007703D4">
        <w:rPr>
          <w:rFonts w:ascii="Verdana" w:hAnsi="Verdana"/>
          <w:sz w:val="20"/>
          <w:szCs w:val="20"/>
          <w:lang w:val="es-CR"/>
        </w:rPr>
        <w:t xml:space="preserve"> en todo caso, los Pueblos Kaliña y Lokono habrían sido compensados por el hecho de poder usar y gozar de la carretera construida a fin de transportar su madera. </w:t>
      </w:r>
    </w:p>
    <w:p w14:paraId="1128F4A7" w14:textId="77777777" w:rsidR="004F1899" w:rsidRDefault="004F1899" w:rsidP="004F1899">
      <w:pPr>
        <w:pStyle w:val="ListParagraph"/>
        <w:jc w:val="both"/>
        <w:rPr>
          <w:rFonts w:ascii="Verdana" w:hAnsi="Verdana"/>
          <w:sz w:val="20"/>
          <w:szCs w:val="20"/>
          <w:lang w:val="es-CR"/>
        </w:rPr>
      </w:pPr>
    </w:p>
    <w:p w14:paraId="6B3E742C" w14:textId="77777777" w:rsidR="004F1899" w:rsidRPr="007703D4" w:rsidRDefault="004F1899" w:rsidP="004F1899">
      <w:pPr>
        <w:pStyle w:val="ListParagraph"/>
        <w:numPr>
          <w:ilvl w:val="0"/>
          <w:numId w:val="2"/>
        </w:numPr>
        <w:ind w:left="0" w:hanging="11"/>
        <w:jc w:val="both"/>
        <w:rPr>
          <w:rFonts w:ascii="Verdana" w:hAnsi="Verdana"/>
          <w:sz w:val="20"/>
          <w:szCs w:val="20"/>
          <w:lang w:val="es-CR"/>
        </w:rPr>
      </w:pPr>
      <w:r w:rsidRPr="007703D4">
        <w:rPr>
          <w:rFonts w:ascii="Verdana" w:hAnsi="Verdana"/>
          <w:sz w:val="20"/>
          <w:szCs w:val="20"/>
          <w:lang w:val="es-CR"/>
        </w:rPr>
        <w:t xml:space="preserve">A este respecto, la Corte considera que conforme a la prueba del expediente, Surinam no reconoce esta salvaguardia en su legislación interna. Asimismo, si bien no consta controversia respecto de la utilización por los pueblos indígenas de la carretera, dicho acceso no puede ser considerado como un beneficio directo y consensuado en beneficio de los pueblos a la luz de los estándares antes referidos, máxime </w:t>
      </w:r>
      <w:r w:rsidR="000B11A0">
        <w:rPr>
          <w:rFonts w:ascii="Verdana" w:hAnsi="Verdana"/>
          <w:sz w:val="20"/>
          <w:szCs w:val="20"/>
          <w:lang w:val="es-CR"/>
        </w:rPr>
        <w:t xml:space="preserve">teniendo en cuenta </w:t>
      </w:r>
      <w:r w:rsidRPr="007703D4">
        <w:rPr>
          <w:rFonts w:ascii="Verdana" w:hAnsi="Verdana"/>
          <w:sz w:val="20"/>
          <w:szCs w:val="20"/>
          <w:lang w:val="es-CR"/>
        </w:rPr>
        <w:t>que dicha carretera fue parte del proyecto de explotación que generó un impacto negativo sobre los recursos naturales de su territorio, por lo que tampoco se garantizó este requisito.</w:t>
      </w:r>
    </w:p>
    <w:p w14:paraId="55FB9D17" w14:textId="77777777" w:rsidR="004F1899" w:rsidRPr="007703D4" w:rsidRDefault="004F1899" w:rsidP="004F1899">
      <w:pPr>
        <w:jc w:val="both"/>
        <w:rPr>
          <w:rFonts w:ascii="Verdana" w:hAnsi="Verdana"/>
          <w:sz w:val="20"/>
          <w:szCs w:val="20"/>
          <w:lang w:val="es-CR"/>
        </w:rPr>
      </w:pPr>
    </w:p>
    <w:p w14:paraId="30C664C8" w14:textId="77777777" w:rsidR="004F1899" w:rsidRPr="007703D4" w:rsidRDefault="004F1899" w:rsidP="004F1899">
      <w:pPr>
        <w:shd w:val="clear" w:color="auto" w:fill="FFFFFF"/>
        <w:ind w:left="720" w:firstLine="720"/>
        <w:jc w:val="both"/>
        <w:textAlignment w:val="top"/>
        <w:rPr>
          <w:rFonts w:ascii="Verdana" w:eastAsia="Times New Roman" w:hAnsi="Verdana"/>
          <w:b/>
          <w:color w:val="000000"/>
          <w:sz w:val="20"/>
          <w:szCs w:val="20"/>
          <w:lang w:val="es-CR" w:eastAsia="es-CR"/>
        </w:rPr>
      </w:pPr>
      <w:r w:rsidRPr="007703D4">
        <w:rPr>
          <w:rFonts w:ascii="Verdana" w:hAnsi="Verdana"/>
          <w:b/>
          <w:i/>
          <w:sz w:val="20"/>
          <w:szCs w:val="20"/>
          <w:lang w:val="es-CR" w:eastAsia="es-ES"/>
        </w:rPr>
        <w:t xml:space="preserve">iv) </w:t>
      </w:r>
      <w:r w:rsidRPr="007703D4">
        <w:rPr>
          <w:rFonts w:ascii="Verdana" w:eastAsia="Times New Roman" w:hAnsi="Verdana"/>
          <w:b/>
          <w:bCs/>
          <w:i/>
          <w:color w:val="000000"/>
          <w:sz w:val="20"/>
          <w:szCs w:val="20"/>
          <w:lang w:val="es-CR" w:eastAsia="es-CR"/>
        </w:rPr>
        <w:t>Conclusión respecto de las salvaguard</w:t>
      </w:r>
      <w:r>
        <w:rPr>
          <w:rFonts w:ascii="Verdana" w:eastAsia="Times New Roman" w:hAnsi="Verdana"/>
          <w:b/>
          <w:bCs/>
          <w:i/>
          <w:color w:val="000000"/>
          <w:sz w:val="20"/>
          <w:szCs w:val="20"/>
          <w:lang w:val="es-CR" w:eastAsia="es-CR"/>
        </w:rPr>
        <w:t>i</w:t>
      </w:r>
      <w:r w:rsidRPr="007703D4">
        <w:rPr>
          <w:rFonts w:ascii="Verdana" w:eastAsia="Times New Roman" w:hAnsi="Verdana"/>
          <w:b/>
          <w:bCs/>
          <w:i/>
          <w:color w:val="000000"/>
          <w:sz w:val="20"/>
          <w:szCs w:val="20"/>
          <w:lang w:val="es-CR" w:eastAsia="es-CR"/>
        </w:rPr>
        <w:t>as</w:t>
      </w:r>
    </w:p>
    <w:p w14:paraId="461515F0" w14:textId="77777777" w:rsidR="004F1899" w:rsidRPr="007703D4" w:rsidRDefault="004F1899" w:rsidP="004F1899">
      <w:pPr>
        <w:jc w:val="both"/>
        <w:rPr>
          <w:rFonts w:ascii="Verdana" w:hAnsi="Verdana"/>
          <w:sz w:val="20"/>
          <w:szCs w:val="20"/>
          <w:lang w:val="es-CR"/>
        </w:rPr>
      </w:pPr>
    </w:p>
    <w:p w14:paraId="31F76464" w14:textId="76CA43ED" w:rsidR="004F1899" w:rsidRPr="007F327D" w:rsidRDefault="004F1899" w:rsidP="004F1899">
      <w:pPr>
        <w:pStyle w:val="ListParagraph"/>
        <w:numPr>
          <w:ilvl w:val="0"/>
          <w:numId w:val="2"/>
        </w:numPr>
        <w:ind w:left="0" w:hanging="11"/>
        <w:jc w:val="both"/>
        <w:rPr>
          <w:b/>
          <w:lang w:val="es-CR"/>
        </w:rPr>
      </w:pPr>
      <w:r w:rsidRPr="007703D4">
        <w:rPr>
          <w:rFonts w:ascii="Verdana" w:hAnsi="Verdana"/>
          <w:sz w:val="20"/>
          <w:szCs w:val="20"/>
          <w:lang w:val="es-CR"/>
        </w:rPr>
        <w:t>Conforme a todo lo expuesto anteriormente, la Corte concluye que el Estado de Surinam no garantiz</w:t>
      </w:r>
      <w:r w:rsidR="00557E59">
        <w:rPr>
          <w:rFonts w:ascii="Verdana" w:hAnsi="Verdana"/>
          <w:sz w:val="20"/>
          <w:szCs w:val="20"/>
          <w:lang w:val="es-CR"/>
        </w:rPr>
        <w:t>ó</w:t>
      </w:r>
      <w:r w:rsidRPr="007703D4">
        <w:rPr>
          <w:rFonts w:ascii="Verdana" w:hAnsi="Verdana"/>
          <w:sz w:val="20"/>
          <w:szCs w:val="20"/>
          <w:lang w:val="es-CR"/>
        </w:rPr>
        <w:t xml:space="preserve"> </w:t>
      </w:r>
      <w:r w:rsidRPr="00190AD3">
        <w:rPr>
          <w:rFonts w:ascii="Verdana" w:hAnsi="Verdana"/>
          <w:sz w:val="20"/>
          <w:szCs w:val="20"/>
          <w:lang w:val="es-CR"/>
        </w:rPr>
        <w:t>la participación efectiva</w:t>
      </w:r>
      <w:r w:rsidR="00557E59">
        <w:rPr>
          <w:rFonts w:ascii="Verdana" w:hAnsi="Verdana"/>
          <w:sz w:val="20"/>
          <w:szCs w:val="20"/>
          <w:lang w:val="es-CR"/>
        </w:rPr>
        <w:t xml:space="preserve"> a través de un proceso de consulta</w:t>
      </w:r>
      <w:r>
        <w:rPr>
          <w:rFonts w:ascii="Verdana" w:hAnsi="Verdana"/>
          <w:sz w:val="20"/>
          <w:szCs w:val="20"/>
          <w:lang w:val="es-CR"/>
        </w:rPr>
        <w:t xml:space="preserve"> </w:t>
      </w:r>
      <w:r w:rsidR="00557E59">
        <w:rPr>
          <w:rFonts w:ascii="Verdana" w:hAnsi="Verdana"/>
          <w:sz w:val="20"/>
          <w:szCs w:val="20"/>
          <w:lang w:val="es-CR"/>
        </w:rPr>
        <w:t xml:space="preserve">a </w:t>
      </w:r>
      <w:r>
        <w:rPr>
          <w:rFonts w:ascii="Verdana" w:hAnsi="Verdana"/>
          <w:sz w:val="20"/>
          <w:szCs w:val="20"/>
          <w:lang w:val="es-CR"/>
        </w:rPr>
        <w:t>los P</w:t>
      </w:r>
      <w:r w:rsidRPr="007703D4">
        <w:rPr>
          <w:rFonts w:ascii="Verdana" w:hAnsi="Verdana"/>
          <w:sz w:val="20"/>
          <w:szCs w:val="20"/>
          <w:lang w:val="es-CR"/>
        </w:rPr>
        <w:t>ueblos Kaliña y Lokono</w:t>
      </w:r>
      <w:r>
        <w:rPr>
          <w:rFonts w:ascii="Verdana" w:hAnsi="Verdana"/>
          <w:sz w:val="20"/>
          <w:szCs w:val="20"/>
          <w:lang w:val="es-CR"/>
        </w:rPr>
        <w:t xml:space="preserve">. </w:t>
      </w:r>
      <w:r w:rsidRPr="007703D4">
        <w:rPr>
          <w:rFonts w:ascii="Verdana" w:hAnsi="Verdana"/>
          <w:sz w:val="20"/>
          <w:szCs w:val="20"/>
          <w:lang w:val="es-CR"/>
        </w:rPr>
        <w:t xml:space="preserve">Asimismo, el Tribunal concluye que no se llevó a cabo un estudio de impacto ambiental y social ni se </w:t>
      </w:r>
      <w:r>
        <w:rPr>
          <w:rFonts w:ascii="Verdana" w:hAnsi="Verdana"/>
          <w:sz w:val="20"/>
          <w:szCs w:val="20"/>
          <w:lang w:val="es-CR"/>
        </w:rPr>
        <w:t>compartieron</w:t>
      </w:r>
      <w:r w:rsidRPr="007703D4">
        <w:rPr>
          <w:rFonts w:ascii="Verdana" w:hAnsi="Verdana"/>
          <w:sz w:val="20"/>
          <w:szCs w:val="20"/>
          <w:lang w:val="es-CR"/>
        </w:rPr>
        <w:t xml:space="preserve"> los beneficios del citado proyecto minero. De igual manera, Surinam no ha</w:t>
      </w:r>
      <w:r w:rsidR="008053E2">
        <w:rPr>
          <w:rFonts w:ascii="Verdana" w:hAnsi="Verdana"/>
          <w:sz w:val="20"/>
          <w:szCs w:val="20"/>
          <w:lang w:val="es-CR"/>
        </w:rPr>
        <w:t xml:space="preserve"> </w:t>
      </w:r>
      <w:r w:rsidR="00FF1635" w:rsidRPr="00476486">
        <w:rPr>
          <w:rFonts w:ascii="Verdana" w:hAnsi="Verdana"/>
          <w:sz w:val="20"/>
          <w:szCs w:val="20"/>
          <w:lang w:val="es-CR"/>
        </w:rPr>
        <w:t xml:space="preserve">adoptado </w:t>
      </w:r>
      <w:r w:rsidRPr="00476486">
        <w:rPr>
          <w:rFonts w:ascii="Verdana" w:hAnsi="Verdana"/>
          <w:sz w:val="20"/>
          <w:szCs w:val="20"/>
          <w:lang w:val="es-CR"/>
        </w:rPr>
        <w:t>mecanismos</w:t>
      </w:r>
      <w:r w:rsidRPr="007703D4">
        <w:rPr>
          <w:rFonts w:ascii="Verdana" w:hAnsi="Verdana"/>
          <w:sz w:val="20"/>
          <w:szCs w:val="20"/>
          <w:lang w:val="es-CR"/>
        </w:rPr>
        <w:t xml:space="preserve"> a fin de garantizar las salvaguard</w:t>
      </w:r>
      <w:r>
        <w:rPr>
          <w:rFonts w:ascii="Verdana" w:hAnsi="Verdana"/>
          <w:sz w:val="20"/>
          <w:szCs w:val="20"/>
          <w:lang w:val="es-CR"/>
        </w:rPr>
        <w:t>i</w:t>
      </w:r>
      <w:r w:rsidRPr="007703D4">
        <w:rPr>
          <w:rFonts w:ascii="Verdana" w:hAnsi="Verdana"/>
          <w:sz w:val="20"/>
          <w:szCs w:val="20"/>
          <w:lang w:val="es-CR"/>
        </w:rPr>
        <w:t>as anteriores</w:t>
      </w:r>
      <w:r w:rsidRPr="007703D4">
        <w:rPr>
          <w:rFonts w:ascii="Verdana" w:hAnsi="Verdana"/>
          <w:sz w:val="20"/>
        </w:rPr>
        <w:t xml:space="preserve">. </w:t>
      </w:r>
      <w:r w:rsidRPr="00190AD3">
        <w:rPr>
          <w:rFonts w:ascii="Verdana" w:hAnsi="Verdana"/>
          <w:sz w:val="20"/>
        </w:rPr>
        <w:t>Con base en lo señalado,</w:t>
      </w:r>
      <w:r w:rsidRPr="00190AD3">
        <w:rPr>
          <w:rFonts w:ascii="Verdana" w:hAnsi="Verdana"/>
          <w:sz w:val="20"/>
          <w:lang w:val="es-CR"/>
        </w:rPr>
        <w:t xml:space="preserve"> el Estado ha violado los artículos 21 y 23 de la Convención, en relación con los artículos 1.1 y 2 de la misma, en perjuicio de los Pueblos Kaliña y Lokono y sus miembros.</w:t>
      </w:r>
    </w:p>
    <w:p w14:paraId="7AD31FC0" w14:textId="77777777" w:rsidR="002E4580" w:rsidRDefault="002E4580" w:rsidP="002E4580">
      <w:pPr>
        <w:rPr>
          <w:rFonts w:ascii="Verdana" w:hAnsi="Verdana"/>
          <w:sz w:val="20"/>
          <w:szCs w:val="20"/>
          <w:lang w:val="es-CR"/>
        </w:rPr>
      </w:pPr>
    </w:p>
    <w:p w14:paraId="1075F746" w14:textId="77777777" w:rsidR="00BA2A2A" w:rsidRDefault="008A3876" w:rsidP="008A3876">
      <w:pPr>
        <w:pStyle w:val="Heading1"/>
        <w:tabs>
          <w:tab w:val="left" w:pos="851"/>
        </w:tabs>
        <w:spacing w:before="0"/>
        <w:jc w:val="center"/>
        <w:rPr>
          <w:rFonts w:ascii="Verdana" w:hAnsi="Verdana" w:cs="Verdana"/>
          <w:caps/>
          <w:snapToGrid w:val="0"/>
          <w:color w:val="auto"/>
          <w:sz w:val="20"/>
          <w:szCs w:val="20"/>
        </w:rPr>
      </w:pPr>
      <w:bookmarkStart w:id="60" w:name="_Toc436065831"/>
      <w:bookmarkStart w:id="61" w:name="_Toc436289296"/>
      <w:bookmarkStart w:id="62" w:name="_Toc438137488"/>
      <w:bookmarkStart w:id="63" w:name="_Toc441666190"/>
      <w:r>
        <w:rPr>
          <w:rFonts w:ascii="Verdana" w:hAnsi="Verdana" w:cs="Verdana"/>
          <w:caps/>
          <w:snapToGrid w:val="0"/>
          <w:color w:val="auto"/>
          <w:sz w:val="20"/>
          <w:szCs w:val="20"/>
        </w:rPr>
        <w:t>VI-iiI</w:t>
      </w:r>
      <w:r w:rsidRPr="00FD7DB4">
        <w:rPr>
          <w:rFonts w:ascii="Verdana" w:hAnsi="Verdana" w:cs="Verdana"/>
          <w:caps/>
          <w:snapToGrid w:val="0"/>
          <w:color w:val="auto"/>
          <w:sz w:val="20"/>
          <w:szCs w:val="20"/>
        </w:rPr>
        <w:br/>
      </w:r>
      <w:r>
        <w:rPr>
          <w:rFonts w:ascii="Verdana" w:hAnsi="Verdana" w:cs="Verdana"/>
          <w:caps/>
          <w:snapToGrid w:val="0"/>
          <w:color w:val="auto"/>
          <w:sz w:val="20"/>
          <w:szCs w:val="20"/>
        </w:rPr>
        <w:t xml:space="preserve">DERECHO A LA PROTECCIÓN JUDICIAL </w:t>
      </w:r>
      <w:r w:rsidR="00E5489C">
        <w:rPr>
          <w:rFonts w:ascii="Verdana" w:hAnsi="Verdana" w:cs="Verdana"/>
          <w:caps/>
          <w:snapToGrid w:val="0"/>
          <w:color w:val="auto"/>
          <w:sz w:val="20"/>
          <w:szCs w:val="20"/>
        </w:rPr>
        <w:t xml:space="preserve">(ARTÍCULO 25) </w:t>
      </w:r>
      <w:r>
        <w:rPr>
          <w:rFonts w:ascii="Verdana" w:hAnsi="Verdana" w:cs="Verdana"/>
          <w:caps/>
          <w:snapToGrid w:val="0"/>
          <w:color w:val="auto"/>
          <w:sz w:val="20"/>
          <w:szCs w:val="20"/>
        </w:rPr>
        <w:t>EN RELACIÓN CON</w:t>
      </w:r>
      <w:bookmarkEnd w:id="60"/>
      <w:bookmarkEnd w:id="61"/>
      <w:bookmarkEnd w:id="62"/>
      <w:bookmarkEnd w:id="63"/>
    </w:p>
    <w:p w14:paraId="189BE8E9" w14:textId="77777777" w:rsidR="008A3876" w:rsidRDefault="008A3876" w:rsidP="008A3876">
      <w:pPr>
        <w:pStyle w:val="Heading1"/>
        <w:tabs>
          <w:tab w:val="left" w:pos="851"/>
        </w:tabs>
        <w:spacing w:before="0"/>
        <w:jc w:val="center"/>
        <w:rPr>
          <w:rFonts w:ascii="Verdana" w:hAnsi="Verdana" w:cs="Verdana"/>
          <w:caps/>
          <w:snapToGrid w:val="0"/>
          <w:color w:val="auto"/>
          <w:sz w:val="20"/>
          <w:szCs w:val="20"/>
        </w:rPr>
      </w:pPr>
      <w:r>
        <w:rPr>
          <w:rFonts w:ascii="Verdana" w:hAnsi="Verdana" w:cs="Verdana"/>
          <w:caps/>
          <w:snapToGrid w:val="0"/>
          <w:color w:val="auto"/>
          <w:sz w:val="20"/>
          <w:szCs w:val="20"/>
        </w:rPr>
        <w:t xml:space="preserve"> </w:t>
      </w:r>
      <w:bookmarkStart w:id="64" w:name="_Toc434249377"/>
      <w:bookmarkStart w:id="65" w:name="_Toc434939927"/>
      <w:bookmarkStart w:id="66" w:name="_Toc441666191"/>
      <w:r>
        <w:rPr>
          <w:rFonts w:ascii="Verdana" w:hAnsi="Verdana" w:cs="Verdana"/>
          <w:caps/>
          <w:snapToGrid w:val="0"/>
          <w:color w:val="auto"/>
          <w:sz w:val="20"/>
          <w:szCs w:val="20"/>
        </w:rPr>
        <w:t>LOS ARTÍCULOS 13, 1.1 Y 2 DE LA CONVENCIÓN AMERICANA</w:t>
      </w:r>
      <w:bookmarkEnd w:id="64"/>
      <w:bookmarkEnd w:id="65"/>
      <w:bookmarkEnd w:id="66"/>
    </w:p>
    <w:p w14:paraId="3042FA21" w14:textId="77777777" w:rsidR="00863F85" w:rsidRPr="00863F85" w:rsidRDefault="00863F85" w:rsidP="00863F85"/>
    <w:p w14:paraId="14828268" w14:textId="77777777" w:rsidR="008A3876" w:rsidRPr="00954452" w:rsidRDefault="008A3876" w:rsidP="008A3876">
      <w:pPr>
        <w:pStyle w:val="Heading2"/>
        <w:numPr>
          <w:ilvl w:val="0"/>
          <w:numId w:val="34"/>
        </w:numPr>
        <w:spacing w:before="0"/>
        <w:jc w:val="both"/>
        <w:rPr>
          <w:rFonts w:ascii="Verdana" w:eastAsia="Calibri" w:hAnsi="Verdana"/>
          <w:sz w:val="20"/>
          <w:szCs w:val="20"/>
          <w:lang w:val="es-ES"/>
        </w:rPr>
      </w:pPr>
      <w:bookmarkStart w:id="67" w:name="_Toc441666192"/>
      <w:r w:rsidRPr="008A3876">
        <w:rPr>
          <w:rFonts w:ascii="Verdana" w:hAnsi="Verdana"/>
          <w:bCs w:val="0"/>
          <w:i/>
          <w:color w:val="auto"/>
          <w:sz w:val="20"/>
          <w:szCs w:val="20"/>
        </w:rPr>
        <w:t>Argumentos de la Comisión y de las partes</w:t>
      </w:r>
      <w:bookmarkEnd w:id="67"/>
    </w:p>
    <w:p w14:paraId="6DD18F05" w14:textId="77777777" w:rsidR="008A3876" w:rsidRPr="00954452" w:rsidRDefault="008A3876" w:rsidP="008A3876">
      <w:pPr>
        <w:tabs>
          <w:tab w:val="left" w:pos="450"/>
        </w:tabs>
        <w:rPr>
          <w:rFonts w:ascii="Verdana" w:hAnsi="Verdana"/>
          <w:sz w:val="20"/>
          <w:szCs w:val="20"/>
          <w:lang w:val="es-ES"/>
        </w:rPr>
      </w:pPr>
    </w:p>
    <w:p w14:paraId="1B689859" w14:textId="45A6B17F" w:rsidR="008A3876" w:rsidRPr="00954452" w:rsidRDefault="008A3876" w:rsidP="008A3876">
      <w:pPr>
        <w:pStyle w:val="ListParagraph"/>
        <w:numPr>
          <w:ilvl w:val="0"/>
          <w:numId w:val="2"/>
        </w:numPr>
        <w:ind w:left="0" w:hanging="11"/>
        <w:jc w:val="both"/>
        <w:rPr>
          <w:rFonts w:ascii="Verdana" w:hAnsi="Verdana"/>
          <w:sz w:val="20"/>
          <w:szCs w:val="20"/>
          <w:lang w:val="es-ES"/>
        </w:rPr>
      </w:pPr>
      <w:r w:rsidRPr="00954452">
        <w:rPr>
          <w:rFonts w:ascii="Verdana" w:hAnsi="Verdana"/>
          <w:sz w:val="20"/>
          <w:szCs w:val="20"/>
          <w:lang w:val="es-ES"/>
        </w:rPr>
        <w:t xml:space="preserve">La </w:t>
      </w:r>
      <w:r w:rsidRPr="00954452">
        <w:rPr>
          <w:rFonts w:ascii="Verdana" w:hAnsi="Verdana"/>
          <w:b/>
          <w:i/>
          <w:sz w:val="20"/>
          <w:szCs w:val="20"/>
          <w:lang w:val="es-ES"/>
        </w:rPr>
        <w:t>Comisión</w:t>
      </w:r>
      <w:r w:rsidRPr="00954452">
        <w:rPr>
          <w:rFonts w:ascii="Verdana" w:hAnsi="Verdana"/>
          <w:sz w:val="20"/>
          <w:szCs w:val="20"/>
          <w:lang w:val="es-ES"/>
        </w:rPr>
        <w:t xml:space="preserve"> señaló que previamente en el caso </w:t>
      </w:r>
      <w:r w:rsidR="00403E34">
        <w:rPr>
          <w:rFonts w:ascii="Verdana" w:hAnsi="Verdana"/>
          <w:sz w:val="20"/>
          <w:szCs w:val="20"/>
          <w:lang w:val="es-ES"/>
        </w:rPr>
        <w:t xml:space="preserve">del </w:t>
      </w:r>
      <w:r w:rsidRPr="00954452">
        <w:rPr>
          <w:rFonts w:ascii="Verdana" w:hAnsi="Verdana"/>
          <w:i/>
          <w:sz w:val="20"/>
          <w:szCs w:val="20"/>
          <w:lang w:val="es-ES"/>
        </w:rPr>
        <w:t xml:space="preserve">Pueblo Saramaka </w:t>
      </w:r>
      <w:r w:rsidR="00476486">
        <w:rPr>
          <w:rFonts w:ascii="Verdana" w:hAnsi="Verdana"/>
          <w:i/>
          <w:sz w:val="20"/>
          <w:szCs w:val="20"/>
          <w:lang w:val="es-ES"/>
        </w:rPr>
        <w:t>V</w:t>
      </w:r>
      <w:r w:rsidRPr="00954452">
        <w:rPr>
          <w:rFonts w:ascii="Verdana" w:hAnsi="Verdana"/>
          <w:i/>
          <w:sz w:val="20"/>
          <w:szCs w:val="20"/>
          <w:lang w:val="es-ES"/>
        </w:rPr>
        <w:t xml:space="preserve">s. </w:t>
      </w:r>
      <w:r w:rsidR="00563E11">
        <w:rPr>
          <w:rFonts w:ascii="Verdana" w:hAnsi="Verdana"/>
          <w:i/>
          <w:sz w:val="20"/>
          <w:szCs w:val="20"/>
          <w:lang w:val="es-ES"/>
        </w:rPr>
        <w:t>Surinam</w:t>
      </w:r>
      <w:r w:rsidRPr="00954452">
        <w:rPr>
          <w:rFonts w:ascii="Verdana" w:hAnsi="Verdana"/>
          <w:sz w:val="20"/>
          <w:szCs w:val="20"/>
          <w:lang w:val="es-ES"/>
        </w:rPr>
        <w:t xml:space="preserve">, la Corte Interamericana determinó que el Código Civil de </w:t>
      </w:r>
      <w:r w:rsidR="00563E11">
        <w:rPr>
          <w:rFonts w:ascii="Verdana" w:hAnsi="Verdana"/>
          <w:sz w:val="20"/>
          <w:szCs w:val="20"/>
          <w:lang w:val="es-ES"/>
        </w:rPr>
        <w:t>Surinam</w:t>
      </w:r>
      <w:r w:rsidRPr="00954452">
        <w:rPr>
          <w:rFonts w:ascii="Verdana" w:hAnsi="Verdana"/>
          <w:sz w:val="20"/>
          <w:szCs w:val="20"/>
          <w:lang w:val="es-ES"/>
        </w:rPr>
        <w:t xml:space="preserve">, el Decreto-L de 1982, el Decreto de Minería de 1986 y la Ley de Gestión Forestal de 1992 no proveían recursos adecuados y efectivos que protegieran al pueblo tribal </w:t>
      </w:r>
      <w:r w:rsidRPr="00415A21">
        <w:rPr>
          <w:rFonts w:ascii="Verdana" w:hAnsi="Verdana"/>
          <w:i/>
          <w:sz w:val="20"/>
          <w:szCs w:val="20"/>
          <w:lang w:val="es-ES"/>
        </w:rPr>
        <w:t>Saramaka</w:t>
      </w:r>
      <w:r w:rsidRPr="00954452">
        <w:rPr>
          <w:rFonts w:ascii="Verdana" w:hAnsi="Verdana"/>
          <w:sz w:val="20"/>
          <w:szCs w:val="20"/>
          <w:lang w:val="es-ES"/>
        </w:rPr>
        <w:t xml:space="preserve"> de los actos que fueran violatorios de su derecho a la propiedad comunal. Sobre la base de lo anterior, tomando en consideración que el Estado no aportó información que demostrara acciones concretas que hayan sido adoptadas en aras de solucionar los problemas encontrados en el </w:t>
      </w:r>
      <w:r w:rsidR="00476486" w:rsidRPr="00476486">
        <w:rPr>
          <w:rFonts w:ascii="Verdana" w:hAnsi="Verdana"/>
          <w:sz w:val="20"/>
          <w:szCs w:val="20"/>
          <w:lang w:val="es-ES"/>
        </w:rPr>
        <w:t>c</w:t>
      </w:r>
      <w:r w:rsidRPr="004B0145">
        <w:rPr>
          <w:rFonts w:ascii="Verdana" w:hAnsi="Verdana"/>
          <w:sz w:val="20"/>
          <w:szCs w:val="20"/>
          <w:lang w:val="es-ES"/>
        </w:rPr>
        <w:t xml:space="preserve">aso </w:t>
      </w:r>
      <w:r w:rsidR="00476486" w:rsidRPr="004B0145">
        <w:rPr>
          <w:rFonts w:ascii="Verdana" w:hAnsi="Verdana"/>
          <w:sz w:val="20"/>
          <w:szCs w:val="20"/>
          <w:lang w:val="es-ES"/>
        </w:rPr>
        <w:t>del</w:t>
      </w:r>
      <w:r w:rsidR="00476486">
        <w:rPr>
          <w:rFonts w:ascii="Verdana" w:hAnsi="Verdana"/>
          <w:i/>
          <w:sz w:val="20"/>
          <w:szCs w:val="20"/>
          <w:lang w:val="es-ES"/>
        </w:rPr>
        <w:t xml:space="preserve"> Pueblo </w:t>
      </w:r>
      <w:r w:rsidRPr="00954452">
        <w:rPr>
          <w:rFonts w:ascii="Verdana" w:hAnsi="Verdana"/>
          <w:i/>
          <w:sz w:val="20"/>
          <w:szCs w:val="20"/>
          <w:lang w:val="es-ES"/>
        </w:rPr>
        <w:t>Saramaka</w:t>
      </w:r>
      <w:r w:rsidRPr="00954452">
        <w:rPr>
          <w:rFonts w:ascii="Verdana" w:hAnsi="Verdana"/>
          <w:sz w:val="20"/>
          <w:szCs w:val="20"/>
          <w:lang w:val="es-ES"/>
        </w:rPr>
        <w:t xml:space="preserve">, la Comisión concluyó que, en el presente caso, el Estado violó el derecho a la protección judicial debido a que no existe en el derecho interno de </w:t>
      </w:r>
      <w:r w:rsidR="00563E11">
        <w:rPr>
          <w:rFonts w:ascii="Verdana" w:hAnsi="Verdana"/>
          <w:sz w:val="20"/>
          <w:szCs w:val="20"/>
          <w:lang w:val="es-ES"/>
        </w:rPr>
        <w:t>Surinam</w:t>
      </w:r>
      <w:r w:rsidRPr="00954452">
        <w:rPr>
          <w:rFonts w:ascii="Verdana" w:hAnsi="Verdana"/>
          <w:sz w:val="20"/>
          <w:szCs w:val="20"/>
          <w:lang w:val="es-ES"/>
        </w:rPr>
        <w:t xml:space="preserve"> un recurso idóneo y efectivo que garantice la protección del derecho a la propiedad colectiva de los pueblos indígenas y tribales</w:t>
      </w:r>
      <w:r w:rsidR="00E5489C">
        <w:rPr>
          <w:rFonts w:ascii="Verdana" w:hAnsi="Verdana"/>
          <w:sz w:val="20"/>
          <w:szCs w:val="20"/>
          <w:lang w:val="es-ES"/>
        </w:rPr>
        <w:t>.</w:t>
      </w:r>
      <w:r w:rsidRPr="00954452">
        <w:rPr>
          <w:rFonts w:ascii="Verdana" w:hAnsi="Verdana"/>
          <w:sz w:val="20"/>
          <w:szCs w:val="20"/>
          <w:lang w:val="es-ES"/>
        </w:rPr>
        <w:t xml:space="preserve"> </w:t>
      </w:r>
    </w:p>
    <w:p w14:paraId="16A9469B" w14:textId="77777777" w:rsidR="008A3876" w:rsidRDefault="008A3876" w:rsidP="008A3876">
      <w:pPr>
        <w:tabs>
          <w:tab w:val="left" w:pos="450"/>
        </w:tabs>
        <w:jc w:val="both"/>
        <w:rPr>
          <w:rFonts w:ascii="Verdana" w:hAnsi="Verdana"/>
          <w:b/>
          <w:sz w:val="20"/>
          <w:szCs w:val="20"/>
          <w:lang w:val="es-ES"/>
        </w:rPr>
      </w:pPr>
    </w:p>
    <w:p w14:paraId="77066B97" w14:textId="660A17B8" w:rsidR="008A3876" w:rsidRPr="00F03C65" w:rsidRDefault="008A3876" w:rsidP="00F03C65">
      <w:pPr>
        <w:pStyle w:val="ListParagraph"/>
        <w:numPr>
          <w:ilvl w:val="0"/>
          <w:numId w:val="2"/>
        </w:numPr>
        <w:ind w:left="0" w:hanging="11"/>
        <w:jc w:val="both"/>
        <w:rPr>
          <w:rFonts w:ascii="Verdana" w:hAnsi="Verdana"/>
          <w:sz w:val="20"/>
          <w:szCs w:val="20"/>
          <w:lang w:val="es-ES"/>
        </w:rPr>
      </w:pPr>
      <w:r w:rsidRPr="00F03C65">
        <w:rPr>
          <w:rFonts w:ascii="Verdana" w:hAnsi="Verdana"/>
          <w:sz w:val="20"/>
          <w:szCs w:val="20"/>
          <w:lang w:val="es-ES"/>
        </w:rPr>
        <w:t xml:space="preserve">Asimismo, </w:t>
      </w:r>
      <w:r w:rsidR="00D53885" w:rsidRPr="00F03C65">
        <w:rPr>
          <w:rFonts w:ascii="Verdana" w:hAnsi="Verdana"/>
          <w:sz w:val="20"/>
          <w:szCs w:val="20"/>
          <w:lang w:val="es-ES"/>
        </w:rPr>
        <w:t xml:space="preserve">la Comisión señaló en su Informe de Fondo que, </w:t>
      </w:r>
      <w:r w:rsidR="00F03C65">
        <w:rPr>
          <w:rFonts w:ascii="Verdana" w:hAnsi="Verdana"/>
          <w:sz w:val="20"/>
          <w:szCs w:val="20"/>
          <w:lang w:val="es-ES"/>
        </w:rPr>
        <w:t>con posterioridad al Informe de A</w:t>
      </w:r>
      <w:r w:rsidR="00D53885" w:rsidRPr="00F03C65">
        <w:rPr>
          <w:rFonts w:ascii="Verdana" w:hAnsi="Verdana"/>
          <w:sz w:val="20"/>
          <w:szCs w:val="20"/>
          <w:lang w:val="es-ES"/>
        </w:rPr>
        <w:t>dmisibilidad, los peticionarios alegaron que el hecho de que el Estado no proporcionara detalles sobre las fechas exactas en que diversos títulos de propiedad y arrendamiento se emitieron a personas no indígenas sobre parte del territorio tradicional de los Pueblos Kaliña y Lokono, sin la formulación de una causa que justifique la negativa del otorgamiento de dicha información pública, constituía una violación del artículo 13 de la Convención Americana. La Comisión consideró lo ocurrido como parte de los hechos del caso, y</w:t>
      </w:r>
      <w:r w:rsidR="00F03C65" w:rsidRPr="00F03C65">
        <w:rPr>
          <w:rFonts w:ascii="Verdana" w:hAnsi="Verdana"/>
          <w:sz w:val="20"/>
          <w:szCs w:val="20"/>
          <w:lang w:val="es-ES"/>
        </w:rPr>
        <w:t xml:space="preserve"> concluyó que si bien no contó con suficientes elementos para declarar la violación del artículo </w:t>
      </w:r>
      <w:r w:rsidR="00F03C65" w:rsidRPr="00F03C65">
        <w:rPr>
          <w:rFonts w:ascii="Verdana" w:hAnsi="Verdana"/>
          <w:sz w:val="20"/>
          <w:szCs w:val="20"/>
          <w:lang w:val="es-ES"/>
        </w:rPr>
        <w:lastRenderedPageBreak/>
        <w:t xml:space="preserve">13 de la Convención Americana, </w:t>
      </w:r>
      <w:r w:rsidR="00F03C65">
        <w:rPr>
          <w:rFonts w:ascii="Verdana" w:hAnsi="Verdana"/>
          <w:sz w:val="20"/>
          <w:szCs w:val="20"/>
          <w:lang w:val="es-ES"/>
        </w:rPr>
        <w:t xml:space="preserve">los </w:t>
      </w:r>
      <w:r w:rsidR="00D53885" w:rsidRPr="00F03C65">
        <w:rPr>
          <w:rFonts w:ascii="Verdana" w:hAnsi="Verdana"/>
          <w:sz w:val="20"/>
          <w:szCs w:val="20"/>
          <w:lang w:val="es-ES"/>
        </w:rPr>
        <w:t>analizó</w:t>
      </w:r>
      <w:r w:rsidR="00F03C65" w:rsidRPr="00F03C65">
        <w:rPr>
          <w:rFonts w:ascii="Verdana" w:hAnsi="Verdana"/>
          <w:sz w:val="20"/>
          <w:szCs w:val="20"/>
          <w:lang w:val="es-ES"/>
        </w:rPr>
        <w:t xml:space="preserve"> </w:t>
      </w:r>
      <w:r w:rsidR="00D53885" w:rsidRPr="00F03C65">
        <w:rPr>
          <w:rFonts w:ascii="Verdana" w:hAnsi="Verdana"/>
          <w:sz w:val="20"/>
          <w:szCs w:val="20"/>
          <w:lang w:val="es-ES"/>
        </w:rPr>
        <w:t>dentro de la violación del derecho a la propiedad colectiva de los Pueblos Kaliña y Lokono, consagrado en el artículo 21 de la Convención</w:t>
      </w:r>
      <w:r w:rsidR="00D53885" w:rsidRPr="00D51203">
        <w:rPr>
          <w:rFonts w:ascii="Verdana" w:hAnsi="Verdana"/>
          <w:sz w:val="20"/>
          <w:szCs w:val="20"/>
          <w:lang w:val="es-ES"/>
        </w:rPr>
        <w:t xml:space="preserve">. </w:t>
      </w:r>
    </w:p>
    <w:p w14:paraId="4C5A8467" w14:textId="77777777" w:rsidR="00F03C65" w:rsidRPr="00F03C65" w:rsidRDefault="00F03C65" w:rsidP="00F03C65">
      <w:pPr>
        <w:pStyle w:val="ListParagraph"/>
        <w:ind w:left="0"/>
        <w:jc w:val="both"/>
        <w:rPr>
          <w:rFonts w:ascii="Verdana" w:hAnsi="Verdana"/>
          <w:sz w:val="20"/>
          <w:szCs w:val="20"/>
          <w:lang w:val="es-ES"/>
        </w:rPr>
      </w:pPr>
    </w:p>
    <w:p w14:paraId="479649B2" w14:textId="156C7D02" w:rsidR="008A3876" w:rsidRPr="008A3876" w:rsidRDefault="008A3876" w:rsidP="008A3876">
      <w:pPr>
        <w:pStyle w:val="ListParagraph"/>
        <w:numPr>
          <w:ilvl w:val="0"/>
          <w:numId w:val="2"/>
        </w:numPr>
        <w:ind w:left="0" w:hanging="11"/>
        <w:jc w:val="both"/>
        <w:rPr>
          <w:rFonts w:ascii="Verdana" w:hAnsi="Verdana"/>
          <w:b/>
          <w:sz w:val="20"/>
          <w:szCs w:val="20"/>
          <w:lang w:val="es-ES"/>
        </w:rPr>
      </w:pPr>
      <w:r w:rsidRPr="00954452">
        <w:rPr>
          <w:rFonts w:ascii="Verdana" w:hAnsi="Verdana"/>
          <w:sz w:val="20"/>
          <w:szCs w:val="20"/>
          <w:lang w:val="es-ES"/>
        </w:rPr>
        <w:t xml:space="preserve">Los </w:t>
      </w:r>
      <w:r w:rsidRPr="00954452">
        <w:rPr>
          <w:rFonts w:ascii="Verdana" w:hAnsi="Verdana"/>
          <w:b/>
          <w:i/>
          <w:sz w:val="20"/>
          <w:szCs w:val="20"/>
          <w:lang w:val="es-ES"/>
        </w:rPr>
        <w:t>representantes</w:t>
      </w:r>
      <w:r w:rsidRPr="00954452">
        <w:rPr>
          <w:rFonts w:ascii="Verdana" w:hAnsi="Verdana"/>
          <w:sz w:val="20"/>
          <w:szCs w:val="20"/>
          <w:lang w:val="es-ES"/>
        </w:rPr>
        <w:t xml:space="preserve"> coincidieron con lo señalado por la Comisión en el sentido de que </w:t>
      </w:r>
      <w:r w:rsidR="00563E11">
        <w:rPr>
          <w:rFonts w:ascii="Verdana" w:hAnsi="Verdana"/>
          <w:sz w:val="20"/>
          <w:szCs w:val="20"/>
          <w:lang w:val="es-ES"/>
        </w:rPr>
        <w:t>Surinam</w:t>
      </w:r>
      <w:r w:rsidRPr="00954452">
        <w:rPr>
          <w:rFonts w:ascii="Verdana" w:hAnsi="Verdana"/>
          <w:sz w:val="20"/>
          <w:szCs w:val="20"/>
          <w:lang w:val="es-ES"/>
        </w:rPr>
        <w:t xml:space="preserve"> </w:t>
      </w:r>
      <w:r w:rsidR="008740D1" w:rsidRPr="00954452">
        <w:rPr>
          <w:rFonts w:ascii="Verdana" w:hAnsi="Verdana"/>
          <w:sz w:val="20"/>
          <w:szCs w:val="20"/>
          <w:lang w:val="es-ES"/>
        </w:rPr>
        <w:t>continúa</w:t>
      </w:r>
      <w:r w:rsidRPr="00954452">
        <w:rPr>
          <w:rFonts w:ascii="Verdana" w:hAnsi="Verdana"/>
          <w:sz w:val="20"/>
          <w:szCs w:val="20"/>
          <w:lang w:val="es-ES"/>
        </w:rPr>
        <w:t xml:space="preserve"> sin establecer mecanismos legales o administrativos para la </w:t>
      </w:r>
      <w:r w:rsidRPr="008A3876">
        <w:rPr>
          <w:rFonts w:ascii="Verdana" w:hAnsi="Verdana"/>
          <w:sz w:val="20"/>
          <w:szCs w:val="20"/>
          <w:lang w:val="es-ES"/>
        </w:rPr>
        <w:t>restitución o el reconocimiento de los derechos de propiedad de los pueblos indígenas, ni para la delimitación, demarcación y titulación de sus territorios ancestrale</w:t>
      </w:r>
      <w:r w:rsidRPr="00E5489C">
        <w:rPr>
          <w:rFonts w:ascii="Verdana" w:hAnsi="Verdana"/>
          <w:sz w:val="20"/>
          <w:szCs w:val="20"/>
          <w:lang w:val="es-ES"/>
        </w:rPr>
        <w:t>s</w:t>
      </w:r>
      <w:r w:rsidR="008A4ABB" w:rsidRPr="007E20F9">
        <w:rPr>
          <w:rFonts w:ascii="Verdana" w:hAnsi="Verdana"/>
          <w:sz w:val="20"/>
          <w:szCs w:val="20"/>
          <w:lang w:val="es-ES"/>
        </w:rPr>
        <w:t>.</w:t>
      </w:r>
      <w:r w:rsidRPr="008A3876">
        <w:rPr>
          <w:rFonts w:ascii="Verdana" w:hAnsi="Verdana"/>
          <w:b/>
          <w:sz w:val="20"/>
          <w:szCs w:val="20"/>
          <w:lang w:val="es-ES"/>
        </w:rPr>
        <w:t xml:space="preserve"> </w:t>
      </w:r>
      <w:r w:rsidRPr="008A3876">
        <w:rPr>
          <w:rFonts w:ascii="Verdana" w:hAnsi="Verdana"/>
          <w:sz w:val="20"/>
          <w:szCs w:val="20"/>
          <w:lang w:val="es-ES"/>
        </w:rPr>
        <w:t xml:space="preserve">Al respecto, añadieron que los pueblos  Kaliña y Lokono hicieron uso del derecho de petición consagrado en el artículo 22 de la Constitución de </w:t>
      </w:r>
      <w:r w:rsidR="00563E11">
        <w:rPr>
          <w:rFonts w:ascii="Verdana" w:hAnsi="Verdana"/>
          <w:sz w:val="20"/>
          <w:szCs w:val="20"/>
          <w:lang w:val="es-ES"/>
        </w:rPr>
        <w:t>Surinam</w:t>
      </w:r>
      <w:r w:rsidRPr="008A3876">
        <w:rPr>
          <w:rFonts w:ascii="Verdana" w:hAnsi="Verdana"/>
          <w:sz w:val="20"/>
          <w:szCs w:val="20"/>
          <w:lang w:val="es-ES"/>
        </w:rPr>
        <w:t>, mediante el cual mantuvieron reuniones con autoridades y presentaron quejas y peticiones ante diversos Ministerios y oficinas estatales. Sin embargo, alegaron que los procedimientos fueron inefectivos ya que el Estado no ejecutó ninguna acción concreta, en violación del derecho a la protección judicial.</w:t>
      </w:r>
    </w:p>
    <w:p w14:paraId="6B96092E" w14:textId="77777777" w:rsidR="008A3876" w:rsidRPr="008A3876" w:rsidRDefault="008A3876" w:rsidP="008A3876">
      <w:pPr>
        <w:tabs>
          <w:tab w:val="left" w:pos="450"/>
        </w:tabs>
        <w:jc w:val="both"/>
        <w:rPr>
          <w:rFonts w:ascii="Verdana" w:hAnsi="Verdana"/>
          <w:b/>
          <w:sz w:val="20"/>
          <w:szCs w:val="20"/>
          <w:lang w:val="es-ES"/>
        </w:rPr>
      </w:pPr>
    </w:p>
    <w:p w14:paraId="75EB098B" w14:textId="0B1B1B5A" w:rsidR="008A3876" w:rsidRPr="008A3876" w:rsidRDefault="008A3876" w:rsidP="008A3876">
      <w:pPr>
        <w:pStyle w:val="ListParagraph"/>
        <w:numPr>
          <w:ilvl w:val="0"/>
          <w:numId w:val="2"/>
        </w:numPr>
        <w:ind w:left="0" w:hanging="11"/>
        <w:jc w:val="both"/>
        <w:rPr>
          <w:rFonts w:ascii="Verdana" w:hAnsi="Verdana"/>
          <w:sz w:val="20"/>
          <w:szCs w:val="20"/>
        </w:rPr>
      </w:pPr>
      <w:r>
        <w:rPr>
          <w:rFonts w:ascii="Verdana" w:hAnsi="Verdana"/>
          <w:sz w:val="20"/>
          <w:szCs w:val="20"/>
          <w:lang w:val="es-ES"/>
        </w:rPr>
        <w:t>R</w:t>
      </w:r>
      <w:r w:rsidRPr="008A3876">
        <w:rPr>
          <w:rFonts w:ascii="Verdana" w:hAnsi="Verdana"/>
          <w:sz w:val="20"/>
          <w:szCs w:val="20"/>
        </w:rPr>
        <w:t xml:space="preserve">especto del derecho de acceso a la información, alegaron ante la Comisión en su escrito de 28 de mayo de </w:t>
      </w:r>
      <w:r w:rsidR="00E5489C">
        <w:rPr>
          <w:rFonts w:ascii="Verdana" w:hAnsi="Verdana"/>
          <w:sz w:val="20"/>
          <w:szCs w:val="20"/>
        </w:rPr>
        <w:t>2008</w:t>
      </w:r>
      <w:r w:rsidR="00E5489C" w:rsidRPr="008A3876">
        <w:rPr>
          <w:rFonts w:ascii="Verdana" w:hAnsi="Verdana"/>
          <w:sz w:val="20"/>
          <w:szCs w:val="20"/>
        </w:rPr>
        <w:t xml:space="preserve"> </w:t>
      </w:r>
      <w:r w:rsidRPr="008A3876">
        <w:rPr>
          <w:rFonts w:ascii="Verdana" w:hAnsi="Verdana"/>
          <w:sz w:val="20"/>
          <w:szCs w:val="20"/>
        </w:rPr>
        <w:t xml:space="preserve">que la falta de respuesta respecto de la información solicitada constituía una violación del artículo 13 de la Convención Americana. Sin embargo, los representantes no solicitaron la </w:t>
      </w:r>
      <w:r w:rsidR="00921339">
        <w:rPr>
          <w:rFonts w:ascii="Verdana" w:hAnsi="Verdana"/>
          <w:sz w:val="20"/>
          <w:szCs w:val="20"/>
        </w:rPr>
        <w:t xml:space="preserve">declaratoria de la </w:t>
      </w:r>
      <w:r w:rsidRPr="008A3876">
        <w:rPr>
          <w:rFonts w:ascii="Verdana" w:hAnsi="Verdana"/>
          <w:sz w:val="20"/>
          <w:szCs w:val="20"/>
        </w:rPr>
        <w:t xml:space="preserve">violación de dicho artículo ante la Corte, sino que </w:t>
      </w:r>
      <w:r w:rsidRPr="008A3876">
        <w:rPr>
          <w:rFonts w:ascii="Verdana" w:hAnsi="Verdana"/>
          <w:sz w:val="20"/>
          <w:szCs w:val="20"/>
          <w:lang w:val="es-ES"/>
        </w:rPr>
        <w:t xml:space="preserve">argumentaron </w:t>
      </w:r>
      <w:r w:rsidR="00921339">
        <w:rPr>
          <w:rFonts w:ascii="Verdana" w:hAnsi="Verdana"/>
          <w:sz w:val="20"/>
          <w:szCs w:val="20"/>
          <w:lang w:val="es-ES"/>
        </w:rPr>
        <w:t>estos</w:t>
      </w:r>
      <w:r w:rsidRPr="008A3876">
        <w:rPr>
          <w:rFonts w:ascii="Verdana" w:hAnsi="Verdana"/>
          <w:sz w:val="20"/>
          <w:szCs w:val="20"/>
          <w:lang w:val="es-ES"/>
        </w:rPr>
        <w:t xml:space="preserve"> hechos en relación </w:t>
      </w:r>
      <w:r w:rsidR="00921339">
        <w:rPr>
          <w:rFonts w:ascii="Verdana" w:hAnsi="Verdana"/>
          <w:sz w:val="20"/>
          <w:szCs w:val="20"/>
          <w:lang w:val="es-ES"/>
        </w:rPr>
        <w:t xml:space="preserve">con </w:t>
      </w:r>
      <w:r w:rsidRPr="008A3876">
        <w:rPr>
          <w:rFonts w:ascii="Verdana" w:hAnsi="Verdana"/>
          <w:sz w:val="20"/>
          <w:szCs w:val="20"/>
          <w:lang w:val="es-ES"/>
        </w:rPr>
        <w:t xml:space="preserve">violaciones a los artículos 3, 21, y 25 de la Convención Americana, junto con los artículos 1 y 2 de la misma, por parte del Estado de </w:t>
      </w:r>
      <w:r w:rsidR="00563E11">
        <w:rPr>
          <w:rFonts w:ascii="Verdana" w:hAnsi="Verdana"/>
          <w:sz w:val="20"/>
          <w:szCs w:val="20"/>
          <w:lang w:val="es-ES"/>
        </w:rPr>
        <w:t>Surinam</w:t>
      </w:r>
      <w:r w:rsidRPr="008A3876">
        <w:rPr>
          <w:rFonts w:ascii="Verdana" w:hAnsi="Verdana"/>
          <w:sz w:val="20"/>
          <w:szCs w:val="20"/>
          <w:lang w:val="es-MX"/>
        </w:rPr>
        <w:t xml:space="preserve">. </w:t>
      </w:r>
    </w:p>
    <w:p w14:paraId="54D9FF9F" w14:textId="77777777" w:rsidR="008A3876" w:rsidRPr="008A3876" w:rsidRDefault="008A3876" w:rsidP="008A3876">
      <w:pPr>
        <w:tabs>
          <w:tab w:val="left" w:pos="450"/>
        </w:tabs>
        <w:jc w:val="both"/>
        <w:rPr>
          <w:rFonts w:ascii="Verdana" w:hAnsi="Verdana"/>
          <w:b/>
          <w:sz w:val="20"/>
          <w:szCs w:val="20"/>
          <w:lang w:val="es-ES"/>
        </w:rPr>
      </w:pPr>
    </w:p>
    <w:p w14:paraId="4A3066C7" w14:textId="77777777" w:rsidR="008A3876" w:rsidRDefault="008A3876" w:rsidP="008A3876">
      <w:pPr>
        <w:pStyle w:val="ListParagraph"/>
        <w:numPr>
          <w:ilvl w:val="0"/>
          <w:numId w:val="2"/>
        </w:numPr>
        <w:ind w:left="0" w:hanging="11"/>
        <w:jc w:val="both"/>
        <w:rPr>
          <w:rFonts w:ascii="Verdana" w:hAnsi="Verdana"/>
          <w:sz w:val="20"/>
          <w:szCs w:val="20"/>
          <w:lang w:val="es-CR"/>
        </w:rPr>
      </w:pPr>
      <w:r w:rsidRPr="008A3876">
        <w:rPr>
          <w:rFonts w:ascii="Verdana" w:hAnsi="Verdana"/>
          <w:sz w:val="20"/>
          <w:szCs w:val="20"/>
          <w:lang w:val="es-CR"/>
        </w:rPr>
        <w:t xml:space="preserve">El </w:t>
      </w:r>
      <w:r w:rsidRPr="008A3876">
        <w:rPr>
          <w:rFonts w:ascii="Verdana" w:hAnsi="Verdana"/>
          <w:b/>
          <w:i/>
          <w:sz w:val="20"/>
          <w:szCs w:val="20"/>
          <w:lang w:val="es-CR"/>
        </w:rPr>
        <w:t>Estado</w:t>
      </w:r>
      <w:r w:rsidRPr="008A3876">
        <w:rPr>
          <w:rFonts w:ascii="Verdana" w:hAnsi="Verdana"/>
          <w:sz w:val="20"/>
          <w:szCs w:val="20"/>
          <w:lang w:val="es-CR"/>
        </w:rPr>
        <w:t xml:space="preserve"> no se refirió a la alegada violación del derecho a la protección judicial. No obstante, durante la visita a la Asamblea Nacional realizada como parte de las diligencias </w:t>
      </w:r>
      <w:r w:rsidRPr="008A3876">
        <w:rPr>
          <w:rFonts w:ascii="Verdana" w:hAnsi="Verdana"/>
          <w:i/>
          <w:sz w:val="20"/>
          <w:szCs w:val="20"/>
          <w:lang w:val="es-CR"/>
        </w:rPr>
        <w:t>in situ</w:t>
      </w:r>
      <w:r w:rsidRPr="008A3876">
        <w:rPr>
          <w:rFonts w:ascii="Verdana" w:hAnsi="Verdana"/>
          <w:sz w:val="20"/>
          <w:szCs w:val="20"/>
          <w:lang w:val="es-CR"/>
        </w:rPr>
        <w:t xml:space="preserve">, la vocera de la Asamblea Nacional señaló que el </w:t>
      </w:r>
      <w:r w:rsidRPr="00C908CA">
        <w:rPr>
          <w:rFonts w:ascii="Verdana" w:hAnsi="Verdana"/>
          <w:sz w:val="20"/>
          <w:szCs w:val="20"/>
          <w:lang w:val="es-CR"/>
        </w:rPr>
        <w:t>Decreto sobre Otorgamiento de Territorios Estatales</w:t>
      </w:r>
      <w:r w:rsidRPr="007E20F9">
        <w:rPr>
          <w:rFonts w:ascii="Verdana" w:hAnsi="Verdana"/>
          <w:sz w:val="20"/>
          <w:szCs w:val="20"/>
          <w:lang w:val="es-CR"/>
        </w:rPr>
        <w:t xml:space="preserve"> de 15 de junio de 1982, conocido como</w:t>
      </w:r>
      <w:r w:rsidRPr="003A45C0">
        <w:rPr>
          <w:rFonts w:ascii="Verdana" w:hAnsi="Verdana"/>
          <w:sz w:val="20"/>
          <w:szCs w:val="20"/>
          <w:lang w:val="es-CR"/>
        </w:rPr>
        <w:t xml:space="preserve"> el “L Decree” </w:t>
      </w:r>
      <w:r w:rsidR="00C908CA">
        <w:rPr>
          <w:rFonts w:ascii="Verdana" w:hAnsi="Verdana"/>
          <w:sz w:val="20"/>
          <w:szCs w:val="20"/>
          <w:lang w:val="es-CR"/>
        </w:rPr>
        <w:t xml:space="preserve">(Decree Granting of State-owned Land) </w:t>
      </w:r>
      <w:r>
        <w:rPr>
          <w:rFonts w:ascii="Verdana" w:hAnsi="Verdana"/>
          <w:sz w:val="20"/>
          <w:szCs w:val="20"/>
          <w:lang w:val="es-CR"/>
        </w:rPr>
        <w:t>reconoce en cierta medida los derechos de los pueblos indígenas, y que en la práctica se reconoce su derecho a la propiedad colectiva</w:t>
      </w:r>
      <w:r w:rsidRPr="00954452">
        <w:rPr>
          <w:rFonts w:ascii="Verdana" w:hAnsi="Verdana"/>
          <w:sz w:val="20"/>
          <w:szCs w:val="20"/>
          <w:lang w:val="es-CR"/>
        </w:rPr>
        <w:t>.</w:t>
      </w:r>
    </w:p>
    <w:p w14:paraId="3DE3CF56" w14:textId="77777777" w:rsidR="008A3876" w:rsidRDefault="008A3876" w:rsidP="008A3876">
      <w:pPr>
        <w:jc w:val="both"/>
        <w:rPr>
          <w:rFonts w:ascii="Verdana" w:hAnsi="Verdana"/>
          <w:sz w:val="20"/>
          <w:szCs w:val="20"/>
          <w:lang w:val="es-CR"/>
        </w:rPr>
      </w:pPr>
    </w:p>
    <w:p w14:paraId="6795F76C" w14:textId="380D7FB9" w:rsidR="008A3876" w:rsidRDefault="008A3876" w:rsidP="008A3876">
      <w:pPr>
        <w:pStyle w:val="ListParagraph"/>
        <w:numPr>
          <w:ilvl w:val="0"/>
          <w:numId w:val="2"/>
        </w:numPr>
        <w:ind w:left="0" w:hanging="11"/>
        <w:jc w:val="both"/>
        <w:rPr>
          <w:rFonts w:ascii="Verdana" w:hAnsi="Verdana"/>
          <w:sz w:val="20"/>
          <w:szCs w:val="20"/>
          <w:lang w:val="es-ES"/>
        </w:rPr>
      </w:pPr>
      <w:r>
        <w:rPr>
          <w:rFonts w:ascii="Verdana" w:hAnsi="Verdana"/>
          <w:sz w:val="20"/>
          <w:szCs w:val="20"/>
          <w:lang w:val="es-ES"/>
        </w:rPr>
        <w:t xml:space="preserve">El </w:t>
      </w:r>
      <w:r w:rsidRPr="008A3876">
        <w:rPr>
          <w:rFonts w:ascii="Verdana" w:hAnsi="Verdana"/>
          <w:sz w:val="20"/>
          <w:szCs w:val="20"/>
          <w:lang w:val="es-ES"/>
        </w:rPr>
        <w:t>Estado</w:t>
      </w:r>
      <w:r>
        <w:rPr>
          <w:rFonts w:ascii="Verdana" w:hAnsi="Verdana"/>
          <w:sz w:val="20"/>
          <w:szCs w:val="20"/>
          <w:lang w:val="es-ES"/>
        </w:rPr>
        <w:t xml:space="preserve"> no hizo ninguna observación con respecto a la alegada violación del derecho de acceso a la información durante la etapa de fondo ante la Comisión y alegó durante la diligencia </w:t>
      </w:r>
      <w:r w:rsidR="008A4ABB" w:rsidRPr="007E20F9">
        <w:rPr>
          <w:rFonts w:ascii="Verdana" w:hAnsi="Verdana"/>
          <w:i/>
          <w:sz w:val="20"/>
          <w:szCs w:val="20"/>
          <w:lang w:val="es-ES"/>
        </w:rPr>
        <w:t>in situ</w:t>
      </w:r>
      <w:r>
        <w:rPr>
          <w:rFonts w:ascii="Verdana" w:hAnsi="Verdana"/>
          <w:sz w:val="20"/>
          <w:szCs w:val="20"/>
          <w:lang w:val="es-ES"/>
        </w:rPr>
        <w:t xml:space="preserve"> </w:t>
      </w:r>
      <w:r>
        <w:rPr>
          <w:rFonts w:ascii="Verdana" w:hAnsi="Verdana"/>
          <w:sz w:val="20"/>
          <w:szCs w:val="20"/>
          <w:lang w:val="es-PE"/>
        </w:rPr>
        <w:t xml:space="preserve">que en Surinam no se negaba </w:t>
      </w:r>
      <w:r w:rsidRPr="006C0A25">
        <w:rPr>
          <w:rFonts w:ascii="Verdana" w:hAnsi="Verdana"/>
          <w:sz w:val="20"/>
          <w:szCs w:val="20"/>
          <w:lang w:val="es-PE"/>
        </w:rPr>
        <w:t>al acceso al Registro Públi</w:t>
      </w:r>
      <w:r>
        <w:rPr>
          <w:rFonts w:ascii="Verdana" w:hAnsi="Verdana"/>
          <w:sz w:val="20"/>
          <w:szCs w:val="20"/>
          <w:lang w:val="es-PE"/>
        </w:rPr>
        <w:t>co</w:t>
      </w:r>
      <w:r w:rsidR="00E5489C">
        <w:rPr>
          <w:rFonts w:ascii="Verdana" w:hAnsi="Verdana"/>
          <w:sz w:val="20"/>
          <w:szCs w:val="20"/>
          <w:lang w:val="es-PE"/>
        </w:rPr>
        <w:t>.</w:t>
      </w:r>
    </w:p>
    <w:p w14:paraId="7F41DAA0" w14:textId="77777777" w:rsidR="008A3876" w:rsidRPr="00B976D8" w:rsidRDefault="008A3876" w:rsidP="008A3876">
      <w:pPr>
        <w:jc w:val="both"/>
        <w:rPr>
          <w:rFonts w:ascii="Verdana" w:hAnsi="Verdana"/>
          <w:sz w:val="20"/>
          <w:szCs w:val="20"/>
          <w:lang w:val="es-ES"/>
        </w:rPr>
      </w:pPr>
    </w:p>
    <w:p w14:paraId="1C6D17A6" w14:textId="77777777" w:rsidR="008A3876" w:rsidRPr="00954452" w:rsidRDefault="008A3876" w:rsidP="008A3876">
      <w:pPr>
        <w:pStyle w:val="Heading2"/>
        <w:numPr>
          <w:ilvl w:val="0"/>
          <w:numId w:val="34"/>
        </w:numPr>
        <w:spacing w:before="0"/>
        <w:jc w:val="both"/>
        <w:rPr>
          <w:rFonts w:ascii="Verdana" w:hAnsi="Verdana"/>
          <w:b w:val="0"/>
          <w:sz w:val="20"/>
          <w:szCs w:val="20"/>
          <w:lang w:val="es-CR"/>
        </w:rPr>
      </w:pPr>
      <w:bookmarkStart w:id="68" w:name="_Toc441666193"/>
      <w:r w:rsidRPr="008A3876">
        <w:rPr>
          <w:rFonts w:ascii="Verdana" w:hAnsi="Verdana"/>
          <w:bCs w:val="0"/>
          <w:i/>
          <w:color w:val="auto"/>
          <w:sz w:val="20"/>
          <w:szCs w:val="20"/>
        </w:rPr>
        <w:t>Consideraciones de la Corte</w:t>
      </w:r>
      <w:bookmarkEnd w:id="68"/>
    </w:p>
    <w:p w14:paraId="203107F5" w14:textId="77777777" w:rsidR="008A3876" w:rsidRPr="00954452" w:rsidRDefault="008A3876" w:rsidP="008A3876">
      <w:pPr>
        <w:jc w:val="both"/>
        <w:rPr>
          <w:rFonts w:ascii="Verdana" w:hAnsi="Verdana"/>
          <w:sz w:val="20"/>
          <w:szCs w:val="20"/>
          <w:lang w:val="es-CR"/>
        </w:rPr>
      </w:pPr>
    </w:p>
    <w:p w14:paraId="140B14E1" w14:textId="77777777" w:rsidR="008A3876" w:rsidRPr="00954452" w:rsidRDefault="008A3876" w:rsidP="008A3876">
      <w:pPr>
        <w:pStyle w:val="ListParagraph"/>
        <w:numPr>
          <w:ilvl w:val="0"/>
          <w:numId w:val="2"/>
        </w:numPr>
        <w:ind w:left="0" w:hanging="11"/>
        <w:jc w:val="both"/>
        <w:rPr>
          <w:rFonts w:ascii="Verdana" w:hAnsi="Verdana"/>
          <w:sz w:val="20"/>
          <w:szCs w:val="20"/>
          <w:lang w:val="es-CR"/>
        </w:rPr>
      </w:pPr>
      <w:r w:rsidRPr="00954452">
        <w:rPr>
          <w:rFonts w:ascii="Verdana" w:hAnsi="Verdana"/>
          <w:sz w:val="20"/>
          <w:szCs w:val="20"/>
          <w:lang w:val="es-CR" w:eastAsia="es-ES"/>
        </w:rPr>
        <w:t xml:space="preserve">La Corte ha expresado de manera reiterada que </w:t>
      </w:r>
      <w:r w:rsidRPr="003A45C0">
        <w:rPr>
          <w:rFonts w:ascii="Verdana" w:hAnsi="Verdana"/>
          <w:sz w:val="20"/>
          <w:szCs w:val="20"/>
          <w:lang w:val="es-CR" w:eastAsia="es-ES"/>
        </w:rPr>
        <w:t>los Estados Partes están obligados a suministrar recursos judiciales efectivos a las víctimas de violaciones de los derechos humanos (artículo 25), los cuales deben ser sustanciados de conformidad con las reglas del debido proceso legal (artículo 8.1), tod</w:t>
      </w:r>
      <w:r w:rsidRPr="00954452">
        <w:rPr>
          <w:rFonts w:ascii="Verdana" w:hAnsi="Verdana"/>
          <w:sz w:val="20"/>
          <w:szCs w:val="20"/>
          <w:lang w:val="es-CR" w:eastAsia="es-ES"/>
        </w:rPr>
        <w:t>o ello dentro de la obligación general, a cargo de los mismos Estados, de garantizar el libre y pleno ejercicio de los derechos reconocidos por la Convención a toda persona que se encuentre bajo su jurisdicción (artículo 1.1)</w:t>
      </w:r>
      <w:r w:rsidRPr="00BA6A08">
        <w:rPr>
          <w:rStyle w:val="FootnoteReference"/>
          <w:szCs w:val="20"/>
          <w:lang w:eastAsia="es-ES"/>
        </w:rPr>
        <w:footnoteReference w:id="267"/>
      </w:r>
      <w:r w:rsidRPr="00954452">
        <w:rPr>
          <w:rFonts w:ascii="Verdana" w:hAnsi="Verdana"/>
          <w:sz w:val="20"/>
          <w:szCs w:val="20"/>
          <w:lang w:val="es-CR" w:eastAsia="es-ES"/>
        </w:rPr>
        <w:t xml:space="preserve">. </w:t>
      </w:r>
      <w:r w:rsidRPr="00954452">
        <w:rPr>
          <w:rFonts w:ascii="Verdana" w:hAnsi="Verdana"/>
          <w:sz w:val="20"/>
          <w:szCs w:val="20"/>
          <w:lang w:val="es-CR"/>
        </w:rPr>
        <w:t>La inexistencia de un recurso efectivo frente a las violaciones de los derechos recogidos en la Convención supone una transgresión de la misma por el Estado Parte en el cual semejante situación tenga lugar</w:t>
      </w:r>
      <w:r w:rsidRPr="00BA6A08">
        <w:rPr>
          <w:rStyle w:val="FootnoteReference"/>
          <w:szCs w:val="20"/>
        </w:rPr>
        <w:footnoteReference w:id="268"/>
      </w:r>
      <w:r w:rsidRPr="00954452">
        <w:rPr>
          <w:rFonts w:ascii="Verdana" w:hAnsi="Verdana"/>
          <w:sz w:val="20"/>
          <w:szCs w:val="20"/>
          <w:lang w:val="es-CR"/>
        </w:rPr>
        <w:t xml:space="preserve">. </w:t>
      </w:r>
    </w:p>
    <w:p w14:paraId="082CAB2C" w14:textId="77777777" w:rsidR="008A3876" w:rsidRPr="00954452" w:rsidRDefault="008A3876" w:rsidP="008A3876">
      <w:pPr>
        <w:pStyle w:val="ListParagraph"/>
        <w:tabs>
          <w:tab w:val="left" w:pos="567"/>
        </w:tabs>
        <w:ind w:left="0"/>
        <w:jc w:val="both"/>
        <w:rPr>
          <w:rFonts w:ascii="Verdana" w:hAnsi="Verdana"/>
          <w:sz w:val="20"/>
          <w:szCs w:val="20"/>
          <w:lang w:val="es-CR"/>
        </w:rPr>
      </w:pPr>
    </w:p>
    <w:p w14:paraId="34AF69A3" w14:textId="3A63EBBD" w:rsidR="008A3876" w:rsidRPr="00954452" w:rsidRDefault="008A3876" w:rsidP="008A3876">
      <w:pPr>
        <w:pStyle w:val="ListParagraph"/>
        <w:numPr>
          <w:ilvl w:val="0"/>
          <w:numId w:val="2"/>
        </w:numPr>
        <w:ind w:left="0" w:hanging="11"/>
        <w:jc w:val="both"/>
        <w:rPr>
          <w:rFonts w:ascii="Verdana" w:hAnsi="Verdana"/>
          <w:sz w:val="20"/>
          <w:szCs w:val="20"/>
          <w:lang w:val="es-CR"/>
        </w:rPr>
      </w:pPr>
      <w:r w:rsidRPr="00954452">
        <w:rPr>
          <w:rFonts w:ascii="Verdana" w:hAnsi="Verdana"/>
          <w:sz w:val="20"/>
          <w:szCs w:val="20"/>
          <w:lang w:val="es-CR"/>
        </w:rPr>
        <w:t xml:space="preserve">Asimismo, la Corte ha interpretado que el alcance de la obligación del Estado de proporcionar un recurso judicial, recogida </w:t>
      </w:r>
      <w:r w:rsidR="000E01E1" w:rsidRPr="00B4017E">
        <w:rPr>
          <w:rFonts w:ascii="Verdana" w:hAnsi="Verdana"/>
          <w:sz w:val="20"/>
          <w:szCs w:val="20"/>
          <w:lang w:val="es-CR"/>
        </w:rPr>
        <w:t>en</w:t>
      </w:r>
      <w:r w:rsidR="000E01E1">
        <w:rPr>
          <w:rFonts w:ascii="Verdana" w:hAnsi="Verdana"/>
          <w:sz w:val="20"/>
          <w:szCs w:val="20"/>
          <w:lang w:val="es-CR"/>
        </w:rPr>
        <w:t xml:space="preserve"> </w:t>
      </w:r>
      <w:r w:rsidRPr="00954452">
        <w:rPr>
          <w:rFonts w:ascii="Verdana" w:hAnsi="Verdana"/>
          <w:sz w:val="20"/>
          <w:szCs w:val="20"/>
          <w:lang w:val="es-CR"/>
        </w:rPr>
        <w:t xml:space="preserve">el texto del artículo 25 de la Convención, no se reduce a la mera existencia de tribunales o procedimientos formales, sino que el Estado debe, además, adoptar medidas positivas para garantizar que estos recursos sean efectivos para </w:t>
      </w:r>
      <w:r w:rsidRPr="00954452">
        <w:rPr>
          <w:rFonts w:ascii="Verdana" w:hAnsi="Verdana"/>
          <w:sz w:val="20"/>
          <w:szCs w:val="20"/>
          <w:lang w:val="es-CR"/>
        </w:rPr>
        <w:lastRenderedPageBreak/>
        <w:t>dirimir si ha habido una vulneración de derechos humanos y proporcionar la eventual reparación</w:t>
      </w:r>
      <w:r w:rsidRPr="00BA6A08">
        <w:rPr>
          <w:rStyle w:val="FootnoteReference"/>
          <w:szCs w:val="20"/>
        </w:rPr>
        <w:footnoteReference w:id="269"/>
      </w:r>
      <w:r w:rsidRPr="00954452">
        <w:rPr>
          <w:rFonts w:ascii="Verdana" w:hAnsi="Verdana"/>
          <w:sz w:val="20"/>
          <w:szCs w:val="20"/>
          <w:lang w:val="es-CR"/>
        </w:rPr>
        <w:t xml:space="preserve">. </w:t>
      </w:r>
    </w:p>
    <w:p w14:paraId="487463F6" w14:textId="77777777" w:rsidR="008A3876" w:rsidRPr="00954452" w:rsidRDefault="008A3876" w:rsidP="008A3876">
      <w:pPr>
        <w:pStyle w:val="ListParagraph"/>
        <w:ind w:left="0"/>
        <w:jc w:val="both"/>
        <w:rPr>
          <w:rFonts w:ascii="Verdana" w:hAnsi="Verdana"/>
          <w:sz w:val="20"/>
          <w:szCs w:val="20"/>
          <w:lang w:val="es-CR"/>
        </w:rPr>
      </w:pPr>
    </w:p>
    <w:p w14:paraId="1BA0C33E" w14:textId="77777777" w:rsidR="00D51203" w:rsidRDefault="008A3876" w:rsidP="008A3876">
      <w:pPr>
        <w:pStyle w:val="ListParagraph"/>
        <w:numPr>
          <w:ilvl w:val="0"/>
          <w:numId w:val="2"/>
        </w:numPr>
        <w:ind w:left="0" w:hanging="11"/>
        <w:jc w:val="both"/>
        <w:rPr>
          <w:rFonts w:ascii="Verdana" w:hAnsi="Verdana"/>
          <w:sz w:val="20"/>
          <w:szCs w:val="20"/>
          <w:lang w:val="es-ES"/>
        </w:rPr>
      </w:pPr>
      <w:r w:rsidRPr="00954452">
        <w:rPr>
          <w:rFonts w:ascii="Verdana" w:hAnsi="Verdana"/>
          <w:sz w:val="20"/>
          <w:szCs w:val="20"/>
          <w:lang w:val="es-ES"/>
        </w:rPr>
        <w:t xml:space="preserve">En ese sentido, en los términos del citado artículo, es posible </w:t>
      </w:r>
      <w:r w:rsidRPr="00954452">
        <w:rPr>
          <w:rFonts w:ascii="Verdana" w:hAnsi="Verdana" w:cs="Arial"/>
          <w:sz w:val="20"/>
          <w:szCs w:val="20"/>
          <w:lang w:val="es-AR"/>
        </w:rPr>
        <w:t>identificar</w:t>
      </w:r>
      <w:r w:rsidRPr="00954452">
        <w:rPr>
          <w:rFonts w:ascii="Verdana" w:hAnsi="Verdana"/>
          <w:sz w:val="20"/>
          <w:szCs w:val="20"/>
          <w:lang w:val="es-ES"/>
        </w:rPr>
        <w:t xml:space="preserve"> dos obligaciones específicas del Estado. La primera, consagrar normativamente y asegurar la debida aplicación de recursos efectivos ante las autoridades competentes, que amparen a todas las personas bajo su jurisdicción contra actos que violen sus derechos fundamentales o que conlleven a la determinación de los derechos y obligaciones de éstas. La segunda, garantizar los medios para ejecutar las respectivas decisiones y sentencias definitivas emitidas por tales autoridades competentes, de manera que se protejan efectivamente los derechos declarados o reconocidos</w:t>
      </w:r>
      <w:r w:rsidR="001A2884" w:rsidRPr="00954452">
        <w:rPr>
          <w:rFonts w:ascii="Verdana" w:hAnsi="Verdana"/>
          <w:sz w:val="20"/>
          <w:szCs w:val="20"/>
          <w:vertAlign w:val="superscript"/>
          <w:lang w:val="es-ES"/>
        </w:rPr>
        <w:footnoteReference w:id="270"/>
      </w:r>
      <w:r w:rsidRPr="00954452">
        <w:rPr>
          <w:rFonts w:ascii="Verdana" w:hAnsi="Verdana"/>
          <w:sz w:val="20"/>
          <w:szCs w:val="20"/>
          <w:lang w:val="es-ES"/>
        </w:rPr>
        <w:t>.</w:t>
      </w:r>
    </w:p>
    <w:p w14:paraId="35D16330" w14:textId="77777777" w:rsidR="00D51203" w:rsidRPr="004B0145" w:rsidRDefault="00D51203" w:rsidP="004B0145">
      <w:pPr>
        <w:pStyle w:val="ListParagraph"/>
        <w:rPr>
          <w:rFonts w:ascii="Verdana" w:hAnsi="Verdana"/>
          <w:sz w:val="20"/>
          <w:szCs w:val="20"/>
          <w:lang w:val="es-ES"/>
        </w:rPr>
      </w:pPr>
    </w:p>
    <w:p w14:paraId="083671FB" w14:textId="77777777" w:rsidR="008A3876" w:rsidRPr="0067410A" w:rsidRDefault="008A3876" w:rsidP="008A3876">
      <w:pPr>
        <w:pStyle w:val="ListParagraph"/>
        <w:numPr>
          <w:ilvl w:val="0"/>
          <w:numId w:val="2"/>
        </w:numPr>
        <w:ind w:left="0" w:hanging="11"/>
        <w:jc w:val="both"/>
        <w:rPr>
          <w:rFonts w:ascii="Verdana" w:hAnsi="Verdana"/>
          <w:sz w:val="20"/>
          <w:szCs w:val="20"/>
          <w:lang w:val="es-CR"/>
        </w:rPr>
      </w:pPr>
      <w:r w:rsidRPr="00954452">
        <w:rPr>
          <w:rFonts w:ascii="Verdana" w:hAnsi="Verdana"/>
          <w:sz w:val="20"/>
          <w:szCs w:val="20"/>
          <w:lang w:val="es-CR"/>
        </w:rPr>
        <w:t xml:space="preserve">En lo que respecta a pueblos indígenas y tribales, la jurisprudencia de este Tribunal ha señalado que los </w:t>
      </w:r>
      <w:r w:rsidRPr="00954452">
        <w:rPr>
          <w:rFonts w:ascii="Verdana" w:eastAsia="Times New Roman" w:hAnsi="Verdana" w:cs="Arial"/>
          <w:sz w:val="20"/>
          <w:szCs w:val="20"/>
          <w:lang w:val="es-CR" w:eastAsia="es-ES"/>
        </w:rPr>
        <w:t>Estados tienen el deber de establecer procedimientos adecuados en el marco del ordenamiento jurídico interno para procesar las reivindicaciones de tierras de los pueblos indígenas, derivado de la obligación general de garantía que establecen los artículos 1 y 2 de la Convención</w:t>
      </w:r>
      <w:r w:rsidRPr="00BA6A08">
        <w:rPr>
          <w:rStyle w:val="FootnoteReference"/>
          <w:rFonts w:eastAsia="Times New Roman"/>
          <w:szCs w:val="20"/>
          <w:lang w:eastAsia="es-ES"/>
        </w:rPr>
        <w:footnoteReference w:id="271"/>
      </w:r>
      <w:r w:rsidRPr="00954452">
        <w:rPr>
          <w:rFonts w:ascii="Verdana" w:eastAsia="Times New Roman" w:hAnsi="Verdana" w:cs="Arial"/>
          <w:sz w:val="20"/>
          <w:szCs w:val="20"/>
          <w:lang w:val="es-CR" w:eastAsia="es-ES"/>
        </w:rPr>
        <w:t>.</w:t>
      </w:r>
      <w:r w:rsidRPr="00954452">
        <w:rPr>
          <w:rFonts w:ascii="Verdana" w:hAnsi="Verdana"/>
          <w:sz w:val="20"/>
          <w:szCs w:val="20"/>
          <w:lang w:val="es-CR"/>
        </w:rPr>
        <w:t xml:space="preserve"> De esta forma, l</w:t>
      </w:r>
      <w:r w:rsidRPr="00954452">
        <w:rPr>
          <w:rFonts w:ascii="Verdana" w:hAnsi="Verdana"/>
          <w:sz w:val="20"/>
          <w:szCs w:val="20"/>
          <w:lang w:val="es-ES"/>
        </w:rPr>
        <w:t>os recursos ofrecidos por el Estado deben suponer una posibilidad real</w:t>
      </w:r>
      <w:r w:rsidRPr="00BA6A08">
        <w:rPr>
          <w:rStyle w:val="FootnoteReference"/>
          <w:szCs w:val="20"/>
        </w:rPr>
        <w:footnoteReference w:id="272"/>
      </w:r>
      <w:r w:rsidRPr="00954452">
        <w:rPr>
          <w:rFonts w:ascii="Verdana" w:hAnsi="Verdana"/>
          <w:sz w:val="20"/>
          <w:szCs w:val="20"/>
          <w:lang w:val="es-ES"/>
        </w:rPr>
        <w:t xml:space="preserve"> para que las comunidades indígenas y tribales puedan defender sus derechos y puedan ejercer el control efectivo de su territorio</w:t>
      </w:r>
      <w:r w:rsidRPr="006834B1">
        <w:rPr>
          <w:rStyle w:val="FootnoteReference"/>
          <w:szCs w:val="20"/>
        </w:rPr>
        <w:footnoteReference w:id="273"/>
      </w:r>
      <w:r w:rsidRPr="006834B1">
        <w:rPr>
          <w:rFonts w:ascii="Verdana" w:hAnsi="Verdana"/>
          <w:sz w:val="20"/>
          <w:szCs w:val="20"/>
          <w:lang w:val="es-ES"/>
        </w:rPr>
        <w:t>.</w:t>
      </w:r>
    </w:p>
    <w:p w14:paraId="2BBF4C47" w14:textId="77777777" w:rsidR="008A3876" w:rsidRDefault="008A3876" w:rsidP="008A3876">
      <w:pPr>
        <w:pStyle w:val="ListParagraph"/>
        <w:ind w:left="0"/>
        <w:jc w:val="both"/>
        <w:rPr>
          <w:rFonts w:ascii="Verdana" w:hAnsi="Verdana"/>
          <w:spacing w:val="-2"/>
          <w:sz w:val="20"/>
          <w:szCs w:val="20"/>
          <w:lang w:val="es-CR"/>
        </w:rPr>
      </w:pPr>
    </w:p>
    <w:p w14:paraId="64DE0C11" w14:textId="59E73C53" w:rsidR="008A3876" w:rsidRPr="005232D1" w:rsidRDefault="008A3876" w:rsidP="004B0145">
      <w:pPr>
        <w:pStyle w:val="ListParagraph"/>
        <w:numPr>
          <w:ilvl w:val="0"/>
          <w:numId w:val="2"/>
        </w:numPr>
        <w:ind w:left="0" w:hanging="11"/>
        <w:jc w:val="both"/>
        <w:rPr>
          <w:rFonts w:ascii="Verdana" w:eastAsia="Times New Roman" w:hAnsi="Verdana" w:cs="Arial"/>
          <w:spacing w:val="-2"/>
          <w:sz w:val="20"/>
          <w:szCs w:val="20"/>
          <w:lang w:val="es-CR" w:eastAsia="es-ES"/>
        </w:rPr>
      </w:pPr>
      <w:r w:rsidRPr="00954452">
        <w:rPr>
          <w:rFonts w:ascii="Verdana" w:hAnsi="Verdana"/>
          <w:spacing w:val="-2"/>
          <w:sz w:val="20"/>
          <w:szCs w:val="20"/>
          <w:lang w:val="es-CR"/>
        </w:rPr>
        <w:t xml:space="preserve">Sobre la base de lo expuesto, a continuación el Tribunal analizará </w:t>
      </w:r>
      <w:r w:rsidRPr="003A45C0">
        <w:rPr>
          <w:rFonts w:ascii="Verdana" w:hAnsi="Verdana"/>
          <w:spacing w:val="-2"/>
          <w:sz w:val="20"/>
          <w:szCs w:val="20"/>
          <w:lang w:val="es-CR"/>
        </w:rPr>
        <w:t xml:space="preserve">la alegada violación del artículo </w:t>
      </w:r>
      <w:r w:rsidRPr="00954452">
        <w:rPr>
          <w:rFonts w:ascii="Verdana" w:hAnsi="Verdana"/>
          <w:spacing w:val="-2"/>
          <w:sz w:val="20"/>
          <w:szCs w:val="20"/>
          <w:lang w:val="es-CR"/>
        </w:rPr>
        <w:t xml:space="preserve">25 de la Convención, en relación con </w:t>
      </w:r>
      <w:r w:rsidR="008053E2">
        <w:rPr>
          <w:rFonts w:ascii="Verdana" w:hAnsi="Verdana"/>
          <w:spacing w:val="-2"/>
          <w:sz w:val="20"/>
          <w:szCs w:val="20"/>
          <w:lang w:val="es-CR"/>
        </w:rPr>
        <w:t>los</w:t>
      </w:r>
      <w:r w:rsidRPr="00954452">
        <w:rPr>
          <w:rFonts w:ascii="Verdana" w:hAnsi="Verdana"/>
          <w:spacing w:val="-2"/>
          <w:sz w:val="20"/>
          <w:szCs w:val="20"/>
          <w:lang w:val="es-CR"/>
        </w:rPr>
        <w:t xml:space="preserve"> artícul</w:t>
      </w:r>
      <w:r w:rsidRPr="00476486">
        <w:rPr>
          <w:rFonts w:ascii="Verdana" w:hAnsi="Verdana"/>
          <w:spacing w:val="-2"/>
          <w:sz w:val="20"/>
          <w:szCs w:val="20"/>
          <w:lang w:val="es-CR"/>
        </w:rPr>
        <w:t>o</w:t>
      </w:r>
      <w:r w:rsidR="00660056" w:rsidRPr="00476486">
        <w:rPr>
          <w:rFonts w:ascii="Verdana" w:hAnsi="Verdana"/>
          <w:spacing w:val="-2"/>
          <w:sz w:val="20"/>
          <w:szCs w:val="20"/>
          <w:lang w:val="es-CR"/>
        </w:rPr>
        <w:t>s</w:t>
      </w:r>
      <w:r w:rsidRPr="005232D1">
        <w:rPr>
          <w:rFonts w:ascii="Verdana" w:hAnsi="Verdana"/>
          <w:spacing w:val="-2"/>
          <w:sz w:val="20"/>
          <w:szCs w:val="20"/>
          <w:lang w:val="es-CR"/>
        </w:rPr>
        <w:t xml:space="preserve"> 1.1 y 2 de ese tratado, para lo cual valorará: a) </w:t>
      </w:r>
      <w:r w:rsidR="00A149AA" w:rsidRPr="004E0159">
        <w:rPr>
          <w:rFonts w:ascii="Verdana" w:eastAsia="Times New Roman" w:hAnsi="Verdana" w:cs="Arial"/>
          <w:spacing w:val="-2"/>
          <w:sz w:val="20"/>
          <w:szCs w:val="20"/>
          <w:lang w:val="es-CR" w:eastAsia="es-ES"/>
        </w:rPr>
        <w:t>los</w:t>
      </w:r>
      <w:r w:rsidRPr="000E612F">
        <w:rPr>
          <w:rFonts w:ascii="Verdana" w:eastAsia="Times New Roman" w:hAnsi="Verdana" w:cs="Arial"/>
          <w:spacing w:val="-2"/>
          <w:sz w:val="20"/>
          <w:szCs w:val="20"/>
          <w:lang w:val="es-CR" w:eastAsia="es-ES"/>
        </w:rPr>
        <w:t xml:space="preserve"> recurso</w:t>
      </w:r>
      <w:r w:rsidR="00A149AA" w:rsidRPr="00AC7609">
        <w:rPr>
          <w:rFonts w:ascii="Verdana" w:eastAsia="Times New Roman" w:hAnsi="Verdana" w:cs="Arial"/>
          <w:spacing w:val="-2"/>
          <w:sz w:val="20"/>
          <w:szCs w:val="20"/>
          <w:lang w:val="es-CR" w:eastAsia="es-ES"/>
        </w:rPr>
        <w:t>s</w:t>
      </w:r>
      <w:r w:rsidRPr="00AC7609">
        <w:rPr>
          <w:rFonts w:ascii="Verdana" w:eastAsia="Times New Roman" w:hAnsi="Verdana" w:cs="Arial"/>
          <w:spacing w:val="-2"/>
          <w:sz w:val="20"/>
          <w:szCs w:val="20"/>
          <w:lang w:val="es-CR" w:eastAsia="es-ES"/>
        </w:rPr>
        <w:t xml:space="preserve"> adecuado</w:t>
      </w:r>
      <w:r w:rsidR="00A149AA" w:rsidRPr="00AC7609">
        <w:rPr>
          <w:rFonts w:ascii="Verdana" w:eastAsia="Times New Roman" w:hAnsi="Verdana" w:cs="Arial"/>
          <w:spacing w:val="-2"/>
          <w:sz w:val="20"/>
          <w:szCs w:val="20"/>
          <w:lang w:val="es-CR" w:eastAsia="es-ES"/>
        </w:rPr>
        <w:t>s</w:t>
      </w:r>
      <w:r w:rsidRPr="00AC7609">
        <w:rPr>
          <w:rFonts w:ascii="Verdana" w:eastAsia="Times New Roman" w:hAnsi="Verdana" w:cs="Arial"/>
          <w:spacing w:val="-2"/>
          <w:sz w:val="20"/>
          <w:szCs w:val="20"/>
          <w:lang w:val="es-CR" w:eastAsia="es-ES"/>
        </w:rPr>
        <w:t xml:space="preserve"> y efectivo</w:t>
      </w:r>
      <w:r w:rsidR="00A149AA" w:rsidRPr="00AC7609">
        <w:rPr>
          <w:rFonts w:ascii="Verdana" w:eastAsia="Times New Roman" w:hAnsi="Verdana" w:cs="Arial"/>
          <w:spacing w:val="-2"/>
          <w:sz w:val="20"/>
          <w:szCs w:val="20"/>
          <w:lang w:val="es-CR" w:eastAsia="es-ES"/>
        </w:rPr>
        <w:t>s</w:t>
      </w:r>
      <w:r w:rsidRPr="00AC7609">
        <w:rPr>
          <w:rFonts w:ascii="Verdana" w:eastAsia="Times New Roman" w:hAnsi="Verdana" w:cs="Arial"/>
          <w:spacing w:val="-2"/>
          <w:sz w:val="20"/>
          <w:szCs w:val="20"/>
          <w:lang w:val="es-CR" w:eastAsia="es-ES"/>
        </w:rPr>
        <w:t xml:space="preserve"> en la legislación interna </w:t>
      </w:r>
      <w:r w:rsidRPr="00AC7609">
        <w:rPr>
          <w:rFonts w:ascii="Verdana" w:eastAsia="Times New Roman" w:hAnsi="Verdana" w:cs="Arial"/>
          <w:sz w:val="20"/>
          <w:szCs w:val="20"/>
          <w:lang w:val="es-CR" w:eastAsia="es-ES"/>
        </w:rPr>
        <w:t xml:space="preserve">para </w:t>
      </w:r>
      <w:r w:rsidR="00A149AA" w:rsidRPr="00292D5E">
        <w:rPr>
          <w:rFonts w:ascii="Verdana" w:eastAsia="Times New Roman" w:hAnsi="Verdana" w:cs="Arial"/>
          <w:sz w:val="20"/>
          <w:szCs w:val="20"/>
          <w:lang w:val="es-CR" w:eastAsia="es-ES"/>
        </w:rPr>
        <w:t xml:space="preserve">proteger los derechos de los pueblos indígenas y tribales; </w:t>
      </w:r>
      <w:r w:rsidRPr="005232D1">
        <w:rPr>
          <w:rFonts w:ascii="Verdana" w:eastAsia="Times New Roman" w:hAnsi="Verdana" w:cs="Arial"/>
          <w:sz w:val="20"/>
          <w:szCs w:val="20"/>
          <w:lang w:val="es-CR" w:eastAsia="es-ES"/>
        </w:rPr>
        <w:t>b) la idoneidad y efectividad de las peticiones interpuestas ante autoridades estatales</w:t>
      </w:r>
      <w:r w:rsidR="00A149AA" w:rsidRPr="005232D1">
        <w:rPr>
          <w:rFonts w:ascii="Verdana" w:eastAsia="Times New Roman" w:hAnsi="Verdana" w:cs="Arial"/>
          <w:sz w:val="20"/>
          <w:szCs w:val="20"/>
          <w:lang w:val="es-CR" w:eastAsia="es-ES"/>
        </w:rPr>
        <w:t xml:space="preserve">, y </w:t>
      </w:r>
      <w:r w:rsidR="00921339" w:rsidRPr="005232D1">
        <w:rPr>
          <w:rFonts w:ascii="Verdana" w:eastAsia="Times New Roman" w:hAnsi="Verdana" w:cs="Arial"/>
          <w:sz w:val="20"/>
          <w:szCs w:val="20"/>
          <w:lang w:val="es-CR" w:eastAsia="es-ES"/>
        </w:rPr>
        <w:t>c</w:t>
      </w:r>
      <w:r w:rsidR="00A149AA" w:rsidRPr="005232D1">
        <w:rPr>
          <w:rFonts w:ascii="Verdana" w:eastAsia="Times New Roman" w:hAnsi="Verdana" w:cs="Arial"/>
          <w:sz w:val="20"/>
          <w:szCs w:val="20"/>
          <w:lang w:val="es-CR" w:eastAsia="es-ES"/>
        </w:rPr>
        <w:t xml:space="preserve">) el derecho de acceso a la información en relación con el artículo 25 de la Convención Americana </w:t>
      </w:r>
      <w:r w:rsidRPr="005232D1">
        <w:rPr>
          <w:rFonts w:ascii="Verdana" w:eastAsia="Times New Roman" w:hAnsi="Verdana" w:cs="Arial"/>
          <w:sz w:val="20"/>
          <w:szCs w:val="20"/>
          <w:lang w:val="es-CR" w:eastAsia="es-ES"/>
        </w:rPr>
        <w:t>.</w:t>
      </w:r>
    </w:p>
    <w:p w14:paraId="3581E4EF" w14:textId="77777777" w:rsidR="008A3876" w:rsidRPr="00954452" w:rsidRDefault="008A3876" w:rsidP="008A3876">
      <w:pPr>
        <w:pStyle w:val="ListParagraph"/>
        <w:ind w:left="0"/>
        <w:jc w:val="both"/>
        <w:rPr>
          <w:rFonts w:ascii="Verdana" w:eastAsia="Times New Roman" w:hAnsi="Verdana" w:cs="Arial"/>
          <w:spacing w:val="-2"/>
          <w:sz w:val="20"/>
          <w:szCs w:val="20"/>
          <w:lang w:val="es-CR" w:eastAsia="es-ES"/>
        </w:rPr>
      </w:pPr>
    </w:p>
    <w:p w14:paraId="533868DC" w14:textId="77777777" w:rsidR="008A3876" w:rsidRPr="008A3876" w:rsidRDefault="008A3876" w:rsidP="008A3876">
      <w:pPr>
        <w:pStyle w:val="Heading3"/>
        <w:spacing w:before="0"/>
        <w:ind w:left="360"/>
        <w:jc w:val="both"/>
        <w:rPr>
          <w:rFonts w:ascii="Verdana" w:hAnsi="Verdana"/>
          <w:i/>
          <w:color w:val="auto"/>
          <w:sz w:val="20"/>
          <w:szCs w:val="20"/>
          <w:lang w:val="es-ES"/>
        </w:rPr>
      </w:pPr>
      <w:bookmarkStart w:id="69" w:name="_Toc441666194"/>
      <w:r w:rsidRPr="008A3876">
        <w:rPr>
          <w:rFonts w:ascii="Verdana" w:hAnsi="Verdana"/>
          <w:i/>
          <w:color w:val="auto"/>
          <w:sz w:val="20"/>
          <w:szCs w:val="20"/>
          <w:lang w:val="es-ES"/>
        </w:rPr>
        <w:t xml:space="preserve">B.1 </w:t>
      </w:r>
      <w:r w:rsidR="00156905">
        <w:rPr>
          <w:rFonts w:ascii="Verdana" w:hAnsi="Verdana"/>
          <w:i/>
          <w:color w:val="auto"/>
          <w:sz w:val="20"/>
          <w:szCs w:val="20"/>
          <w:lang w:val="es-ES"/>
        </w:rPr>
        <w:t>R</w:t>
      </w:r>
      <w:r w:rsidRPr="008A3876">
        <w:rPr>
          <w:rFonts w:ascii="Verdana" w:hAnsi="Verdana"/>
          <w:i/>
          <w:color w:val="auto"/>
          <w:sz w:val="20"/>
          <w:szCs w:val="20"/>
          <w:lang w:val="es-ES"/>
        </w:rPr>
        <w:t>ecurso</w:t>
      </w:r>
      <w:r w:rsidR="00156905">
        <w:rPr>
          <w:rFonts w:ascii="Verdana" w:hAnsi="Verdana"/>
          <w:i/>
          <w:color w:val="auto"/>
          <w:sz w:val="20"/>
          <w:szCs w:val="20"/>
          <w:lang w:val="es-ES"/>
        </w:rPr>
        <w:t>s</w:t>
      </w:r>
      <w:r w:rsidRPr="008A3876">
        <w:rPr>
          <w:rFonts w:ascii="Verdana" w:hAnsi="Verdana"/>
          <w:i/>
          <w:color w:val="auto"/>
          <w:sz w:val="20"/>
          <w:szCs w:val="20"/>
          <w:lang w:val="es-ES"/>
        </w:rPr>
        <w:t xml:space="preserve"> adecuado</w:t>
      </w:r>
      <w:r w:rsidR="00156905">
        <w:rPr>
          <w:rFonts w:ascii="Verdana" w:hAnsi="Verdana"/>
          <w:i/>
          <w:color w:val="auto"/>
          <w:sz w:val="20"/>
          <w:szCs w:val="20"/>
          <w:lang w:val="es-ES"/>
        </w:rPr>
        <w:t>s</w:t>
      </w:r>
      <w:r w:rsidRPr="008A3876">
        <w:rPr>
          <w:rFonts w:ascii="Verdana" w:hAnsi="Verdana"/>
          <w:i/>
          <w:color w:val="auto"/>
          <w:sz w:val="20"/>
          <w:szCs w:val="20"/>
          <w:lang w:val="es-ES"/>
        </w:rPr>
        <w:t xml:space="preserve"> y efectivo</w:t>
      </w:r>
      <w:r w:rsidR="00156905">
        <w:rPr>
          <w:rFonts w:ascii="Verdana" w:hAnsi="Verdana"/>
          <w:i/>
          <w:color w:val="auto"/>
          <w:sz w:val="20"/>
          <w:szCs w:val="20"/>
          <w:lang w:val="es-ES"/>
        </w:rPr>
        <w:t>s</w:t>
      </w:r>
      <w:r w:rsidRPr="008A3876">
        <w:rPr>
          <w:rFonts w:ascii="Verdana" w:hAnsi="Verdana"/>
          <w:i/>
          <w:color w:val="auto"/>
          <w:sz w:val="20"/>
          <w:szCs w:val="20"/>
          <w:lang w:val="es-ES"/>
        </w:rPr>
        <w:t xml:space="preserve"> en la legislación interna para </w:t>
      </w:r>
      <w:r w:rsidR="00156905">
        <w:rPr>
          <w:rFonts w:ascii="Verdana" w:hAnsi="Verdana"/>
          <w:i/>
          <w:color w:val="auto"/>
          <w:sz w:val="20"/>
          <w:szCs w:val="20"/>
          <w:lang w:val="es-ES"/>
        </w:rPr>
        <w:t xml:space="preserve">proteger los </w:t>
      </w:r>
      <w:r w:rsidRPr="008A3876">
        <w:rPr>
          <w:rFonts w:ascii="Verdana" w:hAnsi="Verdana"/>
          <w:i/>
          <w:color w:val="auto"/>
          <w:sz w:val="20"/>
          <w:szCs w:val="20"/>
          <w:lang w:val="es-ES"/>
        </w:rPr>
        <w:t>de</w:t>
      </w:r>
      <w:r w:rsidR="00156905">
        <w:rPr>
          <w:rFonts w:ascii="Verdana" w:hAnsi="Verdana"/>
          <w:i/>
          <w:color w:val="auto"/>
          <w:sz w:val="20"/>
          <w:szCs w:val="20"/>
          <w:lang w:val="es-ES"/>
        </w:rPr>
        <w:t>rechos de los</w:t>
      </w:r>
      <w:r w:rsidRPr="008A3876">
        <w:rPr>
          <w:rFonts w:ascii="Verdana" w:hAnsi="Verdana"/>
          <w:i/>
          <w:color w:val="auto"/>
          <w:sz w:val="20"/>
          <w:szCs w:val="20"/>
          <w:lang w:val="es-ES"/>
        </w:rPr>
        <w:t xml:space="preserve"> pueblos indígenas</w:t>
      </w:r>
      <w:r w:rsidR="00156905">
        <w:rPr>
          <w:rFonts w:ascii="Verdana" w:hAnsi="Verdana"/>
          <w:i/>
          <w:color w:val="auto"/>
          <w:sz w:val="20"/>
          <w:szCs w:val="20"/>
          <w:lang w:val="es-ES"/>
        </w:rPr>
        <w:t xml:space="preserve"> y tribales</w:t>
      </w:r>
      <w:bookmarkEnd w:id="69"/>
    </w:p>
    <w:p w14:paraId="361B9710" w14:textId="77777777" w:rsidR="008A3876" w:rsidRPr="00954452" w:rsidRDefault="008A3876" w:rsidP="008A3876">
      <w:pPr>
        <w:jc w:val="both"/>
        <w:rPr>
          <w:rFonts w:ascii="Verdana" w:eastAsia="Times New Roman" w:hAnsi="Verdana"/>
          <w:b/>
          <w:spacing w:val="-2"/>
          <w:sz w:val="20"/>
          <w:szCs w:val="20"/>
          <w:lang w:val="es-CR" w:eastAsia="es-ES"/>
        </w:rPr>
      </w:pPr>
    </w:p>
    <w:p w14:paraId="5B7F242B" w14:textId="170222E2" w:rsidR="008A3876" w:rsidRPr="00954452" w:rsidRDefault="008A3876" w:rsidP="008A3876">
      <w:pPr>
        <w:pStyle w:val="ListParagraph"/>
        <w:numPr>
          <w:ilvl w:val="0"/>
          <w:numId w:val="2"/>
        </w:numPr>
        <w:ind w:left="0" w:hanging="11"/>
        <w:jc w:val="both"/>
        <w:rPr>
          <w:rFonts w:ascii="Verdana" w:hAnsi="Verdana"/>
          <w:sz w:val="20"/>
          <w:szCs w:val="20"/>
          <w:lang w:val="es-CR"/>
        </w:rPr>
      </w:pPr>
      <w:r w:rsidRPr="003A45C0">
        <w:rPr>
          <w:rFonts w:ascii="Verdana" w:eastAsia="Times New Roman" w:hAnsi="Verdana"/>
          <w:spacing w:val="-2"/>
          <w:sz w:val="20"/>
          <w:szCs w:val="20"/>
          <w:lang w:val="es-CR" w:eastAsia="es-ES"/>
        </w:rPr>
        <w:t xml:space="preserve">En el </w:t>
      </w:r>
      <w:r w:rsidR="00476486" w:rsidRPr="004B0145">
        <w:rPr>
          <w:rFonts w:ascii="Verdana" w:eastAsia="Times New Roman" w:hAnsi="Verdana"/>
          <w:spacing w:val="-2"/>
          <w:sz w:val="20"/>
          <w:szCs w:val="20"/>
          <w:lang w:val="es-CR" w:eastAsia="es-ES"/>
        </w:rPr>
        <w:t>c</w:t>
      </w:r>
      <w:r w:rsidRPr="004B0145">
        <w:rPr>
          <w:rFonts w:ascii="Verdana" w:eastAsia="Times New Roman" w:hAnsi="Verdana"/>
          <w:spacing w:val="-2"/>
          <w:sz w:val="20"/>
          <w:szCs w:val="20"/>
          <w:lang w:val="es-CR" w:eastAsia="es-ES"/>
        </w:rPr>
        <w:t>aso del</w:t>
      </w:r>
      <w:r w:rsidRPr="003A45C0">
        <w:rPr>
          <w:rFonts w:ascii="Verdana" w:eastAsia="Times New Roman" w:hAnsi="Verdana"/>
          <w:i/>
          <w:spacing w:val="-2"/>
          <w:sz w:val="20"/>
          <w:szCs w:val="20"/>
          <w:lang w:val="es-CR" w:eastAsia="es-ES"/>
        </w:rPr>
        <w:t xml:space="preserve"> Pueblo Saramaka Vs. </w:t>
      </w:r>
      <w:r w:rsidR="00563E11">
        <w:rPr>
          <w:rFonts w:ascii="Verdana" w:eastAsia="Times New Roman" w:hAnsi="Verdana"/>
          <w:i/>
          <w:spacing w:val="-2"/>
          <w:sz w:val="20"/>
          <w:szCs w:val="20"/>
          <w:lang w:val="es-CR" w:eastAsia="es-ES"/>
        </w:rPr>
        <w:t>Surinam</w:t>
      </w:r>
      <w:r w:rsidRPr="003A45C0">
        <w:rPr>
          <w:rFonts w:ascii="Verdana" w:eastAsia="Times New Roman" w:hAnsi="Verdana"/>
          <w:spacing w:val="-2"/>
          <w:sz w:val="20"/>
          <w:szCs w:val="20"/>
          <w:lang w:val="es-CR" w:eastAsia="es-ES"/>
        </w:rPr>
        <w:t xml:space="preserve">, </w:t>
      </w:r>
      <w:r w:rsidRPr="003A45C0">
        <w:rPr>
          <w:rFonts w:ascii="Verdana" w:hAnsi="Verdana"/>
          <w:sz w:val="20"/>
          <w:szCs w:val="20"/>
          <w:lang w:val="es-CR"/>
        </w:rPr>
        <w:t xml:space="preserve">con fundamento en los alegatos expuestos por las partes y la Comisión, </w:t>
      </w:r>
      <w:r w:rsidRPr="00954452">
        <w:rPr>
          <w:rFonts w:ascii="Verdana" w:eastAsia="Times New Roman" w:hAnsi="Verdana"/>
          <w:spacing w:val="-2"/>
          <w:sz w:val="20"/>
          <w:szCs w:val="20"/>
          <w:lang w:val="es-CR" w:eastAsia="es-ES"/>
        </w:rPr>
        <w:t xml:space="preserve">la Corte analizó las disposiciones </w:t>
      </w:r>
      <w:r w:rsidRPr="003A45C0">
        <w:rPr>
          <w:rFonts w:ascii="Verdana" w:eastAsia="Times New Roman" w:hAnsi="Verdana"/>
          <w:spacing w:val="-2"/>
          <w:sz w:val="20"/>
          <w:szCs w:val="20"/>
          <w:lang w:val="es-CR" w:eastAsia="es-ES"/>
        </w:rPr>
        <w:t xml:space="preserve">establecidas en los artículos </w:t>
      </w:r>
      <w:r w:rsidRPr="003A45C0">
        <w:rPr>
          <w:rFonts w:ascii="Verdana" w:hAnsi="Verdana"/>
          <w:sz w:val="20"/>
          <w:szCs w:val="20"/>
        </w:rPr>
        <w:t>1386, 1387, 1388, 1392 y 1393 del</w:t>
      </w:r>
      <w:r w:rsidRPr="003A45C0">
        <w:rPr>
          <w:rFonts w:ascii="Verdana" w:eastAsia="Times New Roman" w:hAnsi="Verdana"/>
          <w:spacing w:val="-2"/>
          <w:sz w:val="20"/>
          <w:szCs w:val="20"/>
          <w:lang w:val="es-CR" w:eastAsia="es-ES"/>
        </w:rPr>
        <w:t xml:space="preserve"> Código Civil; el Decreto</w:t>
      </w:r>
      <w:r w:rsidR="00C908CA">
        <w:rPr>
          <w:rFonts w:ascii="Verdana" w:eastAsia="Times New Roman" w:hAnsi="Verdana"/>
          <w:spacing w:val="-2"/>
          <w:sz w:val="20"/>
          <w:szCs w:val="20"/>
          <w:lang w:val="es-CR" w:eastAsia="es-ES"/>
        </w:rPr>
        <w:t xml:space="preserve"> de Minería</w:t>
      </w:r>
      <w:r w:rsidRPr="003A45C0">
        <w:rPr>
          <w:rFonts w:ascii="Verdana" w:eastAsia="Times New Roman" w:hAnsi="Verdana"/>
          <w:spacing w:val="-2"/>
          <w:sz w:val="20"/>
          <w:szCs w:val="20"/>
          <w:lang w:val="es-CR" w:eastAsia="es-ES"/>
        </w:rPr>
        <w:t xml:space="preserve"> </w:t>
      </w:r>
      <w:r w:rsidR="00C908CA">
        <w:rPr>
          <w:rFonts w:ascii="Verdana" w:eastAsia="Times New Roman" w:hAnsi="Verdana"/>
          <w:spacing w:val="-2"/>
          <w:sz w:val="20"/>
          <w:szCs w:val="20"/>
          <w:lang w:val="es-CR" w:eastAsia="es-ES"/>
        </w:rPr>
        <w:t xml:space="preserve">(Decreto </w:t>
      </w:r>
      <w:r w:rsidRPr="003A45C0">
        <w:rPr>
          <w:rFonts w:ascii="Verdana" w:hAnsi="Verdana"/>
          <w:color w:val="000000"/>
          <w:sz w:val="20"/>
          <w:szCs w:val="20"/>
        </w:rPr>
        <w:t>E 58</w:t>
      </w:r>
      <w:r w:rsidR="00C908CA">
        <w:rPr>
          <w:rFonts w:ascii="Verdana" w:hAnsi="Verdana"/>
          <w:color w:val="000000"/>
          <w:sz w:val="20"/>
          <w:szCs w:val="20"/>
        </w:rPr>
        <w:t>)</w:t>
      </w:r>
      <w:r w:rsidRPr="003A45C0">
        <w:rPr>
          <w:rFonts w:ascii="Verdana" w:hAnsi="Verdana"/>
          <w:color w:val="000000"/>
          <w:sz w:val="20"/>
          <w:szCs w:val="20"/>
        </w:rPr>
        <w:t xml:space="preserve"> de 8 de mayo de 1986</w:t>
      </w:r>
      <w:r w:rsidRPr="00954452">
        <w:rPr>
          <w:rFonts w:ascii="Verdana" w:eastAsia="Times New Roman" w:hAnsi="Verdana"/>
          <w:spacing w:val="-2"/>
          <w:sz w:val="20"/>
          <w:szCs w:val="20"/>
          <w:lang w:val="es-CR" w:eastAsia="es-ES"/>
        </w:rPr>
        <w:t xml:space="preserve">, y el artículo 41.1.b de la Ley de Gestión Forestal de 1992, en aras de determinar si mediante dicha normativa resultaba posible reparar adecuadamente las presuntas violaciones </w:t>
      </w:r>
      <w:r w:rsidRPr="00954452">
        <w:rPr>
          <w:rFonts w:ascii="Verdana" w:hAnsi="Verdana"/>
          <w:sz w:val="20"/>
          <w:szCs w:val="20"/>
          <w:lang w:val="es-CR"/>
        </w:rPr>
        <w:t>a los derechos de propiedad colectiva de los pueblos indígenas y tribales</w:t>
      </w:r>
      <w:r w:rsidRPr="00954452">
        <w:rPr>
          <w:rStyle w:val="FootnoteReference"/>
          <w:szCs w:val="20"/>
          <w:lang w:val="es-CR"/>
        </w:rPr>
        <w:footnoteReference w:id="274"/>
      </w:r>
      <w:r w:rsidRPr="00954452">
        <w:rPr>
          <w:rFonts w:ascii="Verdana" w:hAnsi="Verdana"/>
          <w:sz w:val="20"/>
          <w:szCs w:val="20"/>
          <w:lang w:val="es-CR"/>
        </w:rPr>
        <w:t>.</w:t>
      </w:r>
    </w:p>
    <w:p w14:paraId="379B59EB" w14:textId="77777777" w:rsidR="008A3876" w:rsidRPr="00954452" w:rsidRDefault="008A3876" w:rsidP="008A3876">
      <w:pPr>
        <w:jc w:val="both"/>
        <w:rPr>
          <w:rFonts w:ascii="Verdana" w:hAnsi="Verdana"/>
          <w:sz w:val="20"/>
          <w:szCs w:val="20"/>
          <w:lang w:val="es-CR"/>
        </w:rPr>
      </w:pPr>
    </w:p>
    <w:p w14:paraId="5DD54D1C" w14:textId="77777777" w:rsidR="008A3876" w:rsidRPr="00954452" w:rsidRDefault="008A3876" w:rsidP="008A3876">
      <w:pPr>
        <w:pStyle w:val="ListParagraph"/>
        <w:numPr>
          <w:ilvl w:val="0"/>
          <w:numId w:val="2"/>
        </w:numPr>
        <w:ind w:left="0" w:hanging="11"/>
        <w:jc w:val="both"/>
        <w:rPr>
          <w:rFonts w:ascii="Verdana" w:hAnsi="Verdana"/>
          <w:sz w:val="20"/>
          <w:szCs w:val="20"/>
          <w:lang w:val="es-CR"/>
        </w:rPr>
      </w:pPr>
      <w:r w:rsidRPr="00954452">
        <w:rPr>
          <w:rFonts w:ascii="Verdana" w:hAnsi="Verdana"/>
          <w:sz w:val="20"/>
          <w:szCs w:val="20"/>
          <w:lang w:val="es-CR"/>
        </w:rPr>
        <w:t xml:space="preserve">Al respecto, </w:t>
      </w:r>
      <w:r w:rsidRPr="003A45C0">
        <w:rPr>
          <w:rFonts w:ascii="Verdana" w:hAnsi="Verdana"/>
          <w:sz w:val="20"/>
          <w:szCs w:val="20"/>
          <w:lang w:val="es-CR"/>
        </w:rPr>
        <w:t>en cuanto a las disposiciones del Código Civil, la Corte consideró que el recurs</w:t>
      </w:r>
      <w:r w:rsidRPr="00EF7537">
        <w:rPr>
          <w:rFonts w:ascii="Verdana" w:hAnsi="Verdana"/>
          <w:sz w:val="20"/>
          <w:szCs w:val="20"/>
          <w:lang w:val="es-CR"/>
        </w:rPr>
        <w:t>o judicial en él establecido era</w:t>
      </w:r>
      <w:r w:rsidRPr="00BA6A08">
        <w:rPr>
          <w:rFonts w:ascii="Verdana" w:hAnsi="Verdana"/>
          <w:sz w:val="20"/>
          <w:szCs w:val="20"/>
          <w:lang w:val="es-CR"/>
        </w:rPr>
        <w:t xml:space="preserve"> inadecuado e ineficaz en virtud de que solo se encontraba disponible para las personas que reclaman una violación de sus derechos individuales a la </w:t>
      </w:r>
      <w:r w:rsidRPr="00BA6A08">
        <w:rPr>
          <w:rFonts w:ascii="Verdana" w:hAnsi="Verdana"/>
          <w:sz w:val="20"/>
          <w:szCs w:val="20"/>
          <w:lang w:val="es-CR"/>
        </w:rPr>
        <w:lastRenderedPageBreak/>
        <w:t>propiedad privada, y no reconocía el derecho a la propiedad colectiva</w:t>
      </w:r>
      <w:r w:rsidRPr="00954452">
        <w:rPr>
          <w:rStyle w:val="FootnoteReference"/>
          <w:szCs w:val="20"/>
          <w:lang w:val="es-CR"/>
        </w:rPr>
        <w:footnoteReference w:id="275"/>
      </w:r>
      <w:r w:rsidRPr="00954452">
        <w:rPr>
          <w:rFonts w:ascii="Verdana" w:hAnsi="Verdana"/>
          <w:sz w:val="20"/>
          <w:szCs w:val="20"/>
          <w:lang w:val="es-CR"/>
        </w:rPr>
        <w:t>. Por otra parte, la Corte constató que, para interponer un procedimiento judicial</w:t>
      </w:r>
      <w:r w:rsidRPr="003A45C0">
        <w:rPr>
          <w:rFonts w:ascii="Verdana" w:hAnsi="Verdana"/>
          <w:sz w:val="20"/>
          <w:szCs w:val="20"/>
          <w:lang w:val="es-CR"/>
        </w:rPr>
        <w:t xml:space="preserve">, el Decreto de </w:t>
      </w:r>
      <w:r w:rsidR="00C908CA">
        <w:rPr>
          <w:rFonts w:ascii="Verdana" w:hAnsi="Verdana"/>
          <w:sz w:val="20"/>
          <w:szCs w:val="20"/>
          <w:lang w:val="es-CR"/>
        </w:rPr>
        <w:t xml:space="preserve">Minería </w:t>
      </w:r>
      <w:r w:rsidRPr="003A45C0">
        <w:rPr>
          <w:rFonts w:ascii="Verdana" w:hAnsi="Verdana"/>
          <w:sz w:val="20"/>
          <w:szCs w:val="20"/>
          <w:lang w:val="es-CR"/>
        </w:rPr>
        <w:t xml:space="preserve">exigía al reclamante </w:t>
      </w:r>
      <w:r w:rsidRPr="00BA6A08">
        <w:rPr>
          <w:rFonts w:ascii="Verdana" w:hAnsi="Verdana"/>
          <w:sz w:val="20"/>
          <w:szCs w:val="20"/>
          <w:lang w:val="es-CR"/>
        </w:rPr>
        <w:t xml:space="preserve">ser titular de un derecho o interés registrable emitido por el Estado, sin embargo los miembros del </w:t>
      </w:r>
      <w:r w:rsidRPr="00415A21">
        <w:rPr>
          <w:rFonts w:ascii="Verdana" w:hAnsi="Verdana"/>
          <w:i/>
          <w:sz w:val="20"/>
          <w:szCs w:val="20"/>
          <w:lang w:val="es-CR"/>
        </w:rPr>
        <w:t>Pueblo Saramaka</w:t>
      </w:r>
      <w:r w:rsidRPr="00BA6A08">
        <w:rPr>
          <w:rFonts w:ascii="Verdana" w:hAnsi="Verdana"/>
          <w:sz w:val="20"/>
          <w:szCs w:val="20"/>
          <w:lang w:val="es-CR"/>
        </w:rPr>
        <w:t xml:space="preserve"> no poseían un título sobre su territorio tradicional, por lo que el aparente recurso era inadecuado e ineficaz</w:t>
      </w:r>
      <w:r w:rsidRPr="00954452">
        <w:rPr>
          <w:rStyle w:val="FootnoteReference"/>
          <w:szCs w:val="20"/>
          <w:lang w:val="es-CR"/>
        </w:rPr>
        <w:footnoteReference w:id="276"/>
      </w:r>
      <w:r w:rsidRPr="00954452">
        <w:rPr>
          <w:rFonts w:ascii="Verdana" w:hAnsi="Verdana"/>
          <w:sz w:val="20"/>
          <w:szCs w:val="20"/>
          <w:lang w:val="es-CR"/>
        </w:rPr>
        <w:t xml:space="preserve">. Finalmente, </w:t>
      </w:r>
      <w:r w:rsidRPr="003A45C0">
        <w:rPr>
          <w:rFonts w:ascii="Verdana" w:hAnsi="Verdana"/>
          <w:sz w:val="20"/>
          <w:szCs w:val="20"/>
          <w:lang w:val="es-CR"/>
        </w:rPr>
        <w:t xml:space="preserve">la Corte observó que el procedimiento de presentación de reclamos escritos ante el Presidente de </w:t>
      </w:r>
      <w:r w:rsidR="00563E11">
        <w:rPr>
          <w:rFonts w:ascii="Verdana" w:hAnsi="Verdana"/>
          <w:sz w:val="20"/>
          <w:szCs w:val="20"/>
          <w:lang w:val="es-CR"/>
        </w:rPr>
        <w:t>Surinam</w:t>
      </w:r>
      <w:r w:rsidRPr="003A45C0">
        <w:rPr>
          <w:rFonts w:ascii="Verdana" w:hAnsi="Verdana"/>
          <w:sz w:val="20"/>
          <w:szCs w:val="20"/>
          <w:lang w:val="es-CR"/>
        </w:rPr>
        <w:t xml:space="preserve"> establecido en la Ley de Gestión Forestal era ineficaz ya que las quejas</w:t>
      </w:r>
      <w:r w:rsidRPr="00EF7537">
        <w:rPr>
          <w:rFonts w:ascii="Verdana" w:hAnsi="Verdana"/>
          <w:sz w:val="20"/>
          <w:szCs w:val="20"/>
          <w:lang w:val="es-CR"/>
        </w:rPr>
        <w:t xml:space="preserve"> interpuest</w:t>
      </w:r>
      <w:r w:rsidRPr="00BA6A08">
        <w:rPr>
          <w:rFonts w:ascii="Verdana" w:hAnsi="Verdana"/>
          <w:sz w:val="20"/>
          <w:szCs w:val="20"/>
          <w:lang w:val="es-CR"/>
        </w:rPr>
        <w:t xml:space="preserve">as por integrantes del </w:t>
      </w:r>
      <w:r w:rsidRPr="00415A21">
        <w:rPr>
          <w:rFonts w:ascii="Verdana" w:hAnsi="Verdana"/>
          <w:i/>
          <w:sz w:val="20"/>
          <w:szCs w:val="20"/>
          <w:lang w:val="es-CR"/>
        </w:rPr>
        <w:t>Pueblo Saramaka</w:t>
      </w:r>
      <w:r w:rsidRPr="00BA6A08">
        <w:rPr>
          <w:rFonts w:ascii="Verdana" w:hAnsi="Verdana"/>
          <w:sz w:val="20"/>
          <w:szCs w:val="20"/>
          <w:lang w:val="es-CR"/>
        </w:rPr>
        <w:t xml:space="preserve"> no obtuvieron una respuesta</w:t>
      </w:r>
      <w:r w:rsidRPr="00954452">
        <w:rPr>
          <w:rStyle w:val="FootnoteReference"/>
          <w:szCs w:val="20"/>
          <w:lang w:val="es-CR"/>
        </w:rPr>
        <w:footnoteReference w:id="277"/>
      </w:r>
      <w:r w:rsidRPr="00954452">
        <w:rPr>
          <w:rFonts w:ascii="Verdana" w:hAnsi="Verdana"/>
          <w:sz w:val="20"/>
          <w:szCs w:val="20"/>
          <w:lang w:val="es-CR"/>
        </w:rPr>
        <w:t xml:space="preserve">. </w:t>
      </w:r>
    </w:p>
    <w:p w14:paraId="5AFC029D" w14:textId="77777777" w:rsidR="008A3876" w:rsidRPr="00EF7537" w:rsidRDefault="008A3876" w:rsidP="008A3876">
      <w:pPr>
        <w:jc w:val="both"/>
        <w:rPr>
          <w:rFonts w:ascii="Verdana" w:hAnsi="Verdana"/>
          <w:sz w:val="20"/>
          <w:szCs w:val="20"/>
          <w:lang w:val="es-CR"/>
        </w:rPr>
      </w:pPr>
    </w:p>
    <w:p w14:paraId="10FD19E7" w14:textId="4800ECB3" w:rsidR="008A3876" w:rsidRPr="00EF7537" w:rsidRDefault="008A3876" w:rsidP="008A3876">
      <w:pPr>
        <w:pStyle w:val="ListParagraph"/>
        <w:numPr>
          <w:ilvl w:val="0"/>
          <w:numId w:val="2"/>
        </w:numPr>
        <w:ind w:left="0" w:hanging="11"/>
        <w:jc w:val="both"/>
        <w:rPr>
          <w:rFonts w:ascii="Verdana" w:hAnsi="Verdana"/>
          <w:sz w:val="20"/>
          <w:szCs w:val="20"/>
          <w:lang w:val="es-CR"/>
        </w:rPr>
      </w:pPr>
      <w:r w:rsidRPr="00EF7537">
        <w:rPr>
          <w:rFonts w:ascii="Verdana" w:hAnsi="Verdana"/>
          <w:sz w:val="20"/>
          <w:szCs w:val="20"/>
          <w:lang w:val="es-CR"/>
        </w:rPr>
        <w:t>En el presente caso, el Estado no aportó</w:t>
      </w:r>
      <w:r w:rsidRPr="00BA6A08">
        <w:rPr>
          <w:rFonts w:ascii="Verdana" w:hAnsi="Verdana"/>
          <w:sz w:val="20"/>
          <w:szCs w:val="20"/>
          <w:lang w:val="es-CR"/>
        </w:rPr>
        <w:t xml:space="preserve"> documentación o información que demostrara una modificación en la normativa analizada en el </w:t>
      </w:r>
      <w:r w:rsidR="00476486" w:rsidRPr="004B0145">
        <w:rPr>
          <w:rFonts w:ascii="Verdana" w:hAnsi="Verdana"/>
          <w:sz w:val="20"/>
          <w:szCs w:val="20"/>
          <w:lang w:val="es-CR"/>
        </w:rPr>
        <w:t>c</w:t>
      </w:r>
      <w:r w:rsidRPr="004B0145">
        <w:rPr>
          <w:rFonts w:ascii="Verdana" w:hAnsi="Verdana"/>
          <w:sz w:val="20"/>
          <w:szCs w:val="20"/>
          <w:lang w:val="es-CR"/>
        </w:rPr>
        <w:t xml:space="preserve">aso del </w:t>
      </w:r>
      <w:r w:rsidRPr="00BA6A08">
        <w:rPr>
          <w:rFonts w:ascii="Verdana" w:hAnsi="Verdana"/>
          <w:i/>
          <w:sz w:val="20"/>
          <w:szCs w:val="20"/>
          <w:lang w:val="es-CR"/>
        </w:rPr>
        <w:t xml:space="preserve">Pueblo Saramaka Vs. </w:t>
      </w:r>
      <w:r w:rsidR="00563E11">
        <w:rPr>
          <w:rFonts w:ascii="Verdana" w:hAnsi="Verdana"/>
          <w:i/>
          <w:sz w:val="20"/>
          <w:szCs w:val="20"/>
          <w:lang w:val="es-CR"/>
        </w:rPr>
        <w:t>Surinam</w:t>
      </w:r>
      <w:r w:rsidRPr="00BA6A08">
        <w:rPr>
          <w:rFonts w:ascii="Verdana" w:hAnsi="Verdana"/>
          <w:sz w:val="20"/>
          <w:szCs w:val="20"/>
          <w:lang w:val="es-CR"/>
        </w:rPr>
        <w:t xml:space="preserve">. Por ello, la Corte considera que dicha normativa continua siendo inadecuada e ineficaz para resolver </w:t>
      </w:r>
      <w:r w:rsidRPr="00954452">
        <w:rPr>
          <w:rFonts w:ascii="Verdana" w:eastAsia="Times New Roman" w:hAnsi="Verdana"/>
          <w:spacing w:val="-2"/>
          <w:sz w:val="20"/>
          <w:szCs w:val="20"/>
          <w:lang w:val="es-CR" w:eastAsia="es-ES"/>
        </w:rPr>
        <w:t xml:space="preserve">presuntas violaciones </w:t>
      </w:r>
      <w:r w:rsidRPr="00954452">
        <w:rPr>
          <w:rFonts w:ascii="Verdana" w:hAnsi="Verdana"/>
          <w:sz w:val="20"/>
          <w:szCs w:val="20"/>
          <w:lang w:val="es-CR"/>
        </w:rPr>
        <w:t xml:space="preserve">a los derechos de propiedad colectiva de los pueblos indígenas y tribales en </w:t>
      </w:r>
      <w:r w:rsidR="00563E11">
        <w:rPr>
          <w:rFonts w:ascii="Verdana" w:hAnsi="Verdana"/>
          <w:sz w:val="20"/>
          <w:szCs w:val="20"/>
          <w:lang w:val="es-CR"/>
        </w:rPr>
        <w:t>Surinam</w:t>
      </w:r>
      <w:r w:rsidRPr="00954452">
        <w:rPr>
          <w:rFonts w:ascii="Verdana" w:hAnsi="Verdana"/>
          <w:sz w:val="20"/>
          <w:szCs w:val="20"/>
          <w:lang w:val="es-CR"/>
        </w:rPr>
        <w:t>.</w:t>
      </w:r>
    </w:p>
    <w:p w14:paraId="58D776BA" w14:textId="77777777" w:rsidR="008A3876" w:rsidRPr="00BA6A08" w:rsidRDefault="008A3876" w:rsidP="008A3876">
      <w:pPr>
        <w:jc w:val="both"/>
        <w:rPr>
          <w:rFonts w:ascii="Verdana" w:hAnsi="Verdana"/>
          <w:sz w:val="20"/>
          <w:szCs w:val="20"/>
          <w:lang w:val="es-CR"/>
        </w:rPr>
      </w:pPr>
    </w:p>
    <w:p w14:paraId="5CF2A62B" w14:textId="77777777" w:rsidR="008A3876" w:rsidRDefault="008A3876" w:rsidP="008A3876">
      <w:pPr>
        <w:pStyle w:val="ListParagraph"/>
        <w:numPr>
          <w:ilvl w:val="0"/>
          <w:numId w:val="2"/>
        </w:numPr>
        <w:ind w:left="0" w:hanging="11"/>
        <w:jc w:val="both"/>
        <w:rPr>
          <w:rFonts w:ascii="Verdana" w:eastAsia="Times New Roman" w:hAnsi="Verdana" w:cs="Arial"/>
          <w:sz w:val="20"/>
          <w:szCs w:val="20"/>
          <w:lang w:val="es-CR" w:eastAsia="es-ES"/>
        </w:rPr>
      </w:pPr>
      <w:r w:rsidRPr="00BA6A08">
        <w:rPr>
          <w:rFonts w:ascii="Verdana" w:hAnsi="Verdana"/>
          <w:sz w:val="20"/>
          <w:szCs w:val="20"/>
          <w:lang w:val="es-CR"/>
        </w:rPr>
        <w:t xml:space="preserve">A pesar de lo anterior, de los hechos del presente caso se desprende que las presuntas víctimas se han fundamentado en el artículo 22 de la Constitución Política de </w:t>
      </w:r>
      <w:r w:rsidR="00563E11">
        <w:rPr>
          <w:rFonts w:ascii="Verdana" w:hAnsi="Verdana"/>
          <w:sz w:val="20"/>
          <w:szCs w:val="20"/>
          <w:lang w:val="es-CR"/>
        </w:rPr>
        <w:t>Surinam</w:t>
      </w:r>
      <w:r w:rsidRPr="00BA6A08">
        <w:rPr>
          <w:rFonts w:ascii="Verdana" w:hAnsi="Verdana"/>
          <w:sz w:val="20"/>
          <w:szCs w:val="20"/>
          <w:lang w:val="es-CR"/>
        </w:rPr>
        <w:t xml:space="preserve"> para interponer peticiones escritas ante diversas autoridades estatales </w:t>
      </w:r>
      <w:r w:rsidRPr="00954452">
        <w:rPr>
          <w:rFonts w:ascii="Verdana" w:hAnsi="Verdana"/>
          <w:sz w:val="20"/>
          <w:szCs w:val="20"/>
          <w:lang w:val="es-CR"/>
        </w:rPr>
        <w:t>para reclamar sus derechos (</w:t>
      </w:r>
      <w:r w:rsidR="00366D91" w:rsidRPr="00366D91">
        <w:rPr>
          <w:rFonts w:ascii="Verdana" w:hAnsi="Verdana"/>
          <w:i/>
          <w:sz w:val="20"/>
          <w:szCs w:val="20"/>
          <w:lang w:val="es-CR"/>
        </w:rPr>
        <w:t>supra</w:t>
      </w:r>
      <w:r w:rsidRPr="00954452">
        <w:rPr>
          <w:rFonts w:ascii="Verdana" w:hAnsi="Verdana"/>
          <w:sz w:val="20"/>
          <w:szCs w:val="20"/>
          <w:lang w:val="es-CR"/>
        </w:rPr>
        <w:t xml:space="preserve"> párr. </w:t>
      </w:r>
      <w:r w:rsidR="003033BC">
        <w:rPr>
          <w:rFonts w:ascii="Verdana" w:hAnsi="Verdana"/>
          <w:sz w:val="20"/>
          <w:szCs w:val="20"/>
          <w:lang w:val="es-CR"/>
        </w:rPr>
        <w:t>65</w:t>
      </w:r>
      <w:r w:rsidR="00BE2256">
        <w:rPr>
          <w:rFonts w:ascii="Verdana" w:hAnsi="Verdana"/>
          <w:sz w:val="20"/>
          <w:szCs w:val="20"/>
          <w:lang w:val="es-CR"/>
        </w:rPr>
        <w:t xml:space="preserve"> e </w:t>
      </w:r>
      <w:r w:rsidR="00BE2256" w:rsidRPr="00CF360B">
        <w:rPr>
          <w:rFonts w:ascii="Verdana" w:hAnsi="Verdana"/>
          <w:i/>
          <w:sz w:val="20"/>
          <w:szCs w:val="20"/>
          <w:lang w:val="es-CR"/>
        </w:rPr>
        <w:t>infra</w:t>
      </w:r>
      <w:r w:rsidR="00BE2256">
        <w:rPr>
          <w:rFonts w:ascii="Verdana" w:hAnsi="Verdana"/>
          <w:sz w:val="20"/>
          <w:szCs w:val="20"/>
          <w:lang w:val="es-CR"/>
        </w:rPr>
        <w:t xml:space="preserve"> párr. 265</w:t>
      </w:r>
      <w:r w:rsidR="003033BC" w:rsidRPr="00954452">
        <w:rPr>
          <w:rFonts w:ascii="Verdana" w:hAnsi="Verdana"/>
          <w:sz w:val="20"/>
          <w:szCs w:val="20"/>
          <w:lang w:val="es-CR"/>
        </w:rPr>
        <w:t xml:space="preserve">). </w:t>
      </w:r>
      <w:r w:rsidR="00231093">
        <w:rPr>
          <w:rFonts w:ascii="Verdana" w:hAnsi="Verdana"/>
          <w:sz w:val="20"/>
          <w:szCs w:val="20"/>
          <w:lang w:val="es-CR"/>
        </w:rPr>
        <w:t>Se</w:t>
      </w:r>
      <w:r w:rsidRPr="00954452">
        <w:rPr>
          <w:rFonts w:ascii="Verdana" w:hAnsi="Verdana"/>
          <w:sz w:val="20"/>
          <w:szCs w:val="20"/>
          <w:lang w:val="es-CR"/>
        </w:rPr>
        <w:t xml:space="preserve"> constata que dicho artículo </w:t>
      </w:r>
      <w:r w:rsidRPr="00954452">
        <w:rPr>
          <w:rFonts w:ascii="Verdana" w:eastAsia="Times New Roman" w:hAnsi="Verdana" w:cs="Arial"/>
          <w:sz w:val="20"/>
          <w:szCs w:val="20"/>
          <w:lang w:val="es-CR" w:eastAsia="es-ES"/>
        </w:rPr>
        <w:t xml:space="preserve">establece que toda persona tiene el derecho de someter peticiones escritas ante autoridades públicas, y la ley establecerá el procedimiento respectivo. Con ello, se regula el derecho fundamental </w:t>
      </w:r>
      <w:r w:rsidR="00921339">
        <w:rPr>
          <w:rFonts w:ascii="Verdana" w:eastAsia="Times New Roman" w:hAnsi="Verdana" w:cs="Arial"/>
          <w:sz w:val="20"/>
          <w:szCs w:val="20"/>
          <w:lang w:val="es-CR" w:eastAsia="es-ES"/>
        </w:rPr>
        <w:t xml:space="preserve">de </w:t>
      </w:r>
      <w:r w:rsidRPr="00954452">
        <w:rPr>
          <w:rFonts w:ascii="Verdana" w:eastAsia="Times New Roman" w:hAnsi="Verdana" w:cs="Arial"/>
          <w:sz w:val="20"/>
          <w:szCs w:val="20"/>
          <w:lang w:val="es-CR" w:eastAsia="es-ES"/>
        </w:rPr>
        <w:t>petición a la vez que</w:t>
      </w:r>
      <w:r w:rsidR="00921339">
        <w:rPr>
          <w:rFonts w:ascii="Verdana" w:eastAsia="Times New Roman" w:hAnsi="Verdana" w:cs="Arial"/>
          <w:sz w:val="20"/>
          <w:szCs w:val="20"/>
          <w:lang w:val="es-CR" w:eastAsia="es-ES"/>
        </w:rPr>
        <w:t xml:space="preserve"> se</w:t>
      </w:r>
      <w:r w:rsidRPr="00954452">
        <w:rPr>
          <w:rFonts w:ascii="Verdana" w:eastAsia="Times New Roman" w:hAnsi="Verdana" w:cs="Arial"/>
          <w:sz w:val="20"/>
          <w:szCs w:val="20"/>
          <w:lang w:val="es-CR" w:eastAsia="es-ES"/>
        </w:rPr>
        <w:t xml:space="preserve"> delega la creación de recursos específicos a normas de jerarquía inferior, como las leyes. </w:t>
      </w:r>
    </w:p>
    <w:p w14:paraId="63DDAF56" w14:textId="77777777" w:rsidR="008A3876" w:rsidRDefault="008A3876" w:rsidP="008A3876">
      <w:pPr>
        <w:jc w:val="both"/>
        <w:rPr>
          <w:rFonts w:ascii="Verdana" w:eastAsia="Times New Roman" w:hAnsi="Verdana" w:cs="Arial"/>
          <w:sz w:val="20"/>
          <w:szCs w:val="20"/>
          <w:lang w:val="es-CR" w:eastAsia="es-ES"/>
        </w:rPr>
      </w:pPr>
    </w:p>
    <w:p w14:paraId="4A9C6FC7" w14:textId="77777777" w:rsidR="008A3876" w:rsidRPr="004264AA" w:rsidRDefault="008A3876" w:rsidP="008A3876">
      <w:pPr>
        <w:pStyle w:val="ListParagraph"/>
        <w:numPr>
          <w:ilvl w:val="0"/>
          <w:numId w:val="2"/>
        </w:numPr>
        <w:ind w:left="0" w:hanging="11"/>
        <w:jc w:val="both"/>
        <w:rPr>
          <w:rFonts w:ascii="Verdana" w:hAnsi="Verdana"/>
          <w:sz w:val="20"/>
          <w:szCs w:val="20"/>
          <w:shd w:val="clear" w:color="auto" w:fill="FFFFFF"/>
          <w:lang w:val="es-CR"/>
        </w:rPr>
      </w:pPr>
      <w:r w:rsidRPr="00954452">
        <w:rPr>
          <w:rFonts w:ascii="Verdana" w:eastAsia="Times New Roman" w:hAnsi="Verdana" w:cs="Arial"/>
          <w:sz w:val="20"/>
          <w:szCs w:val="20"/>
          <w:lang w:val="es-CR" w:eastAsia="es-ES"/>
        </w:rPr>
        <w:t xml:space="preserve">Sin embargo, para que este derecho de petición sea efectivo, la Corte estima que este debe a su vez comprender una respuesta oportuna, </w:t>
      </w:r>
      <w:r w:rsidRPr="004264AA">
        <w:rPr>
          <w:rFonts w:ascii="Verdana" w:eastAsia="Times New Roman" w:hAnsi="Verdana" w:cs="Arial"/>
          <w:sz w:val="20"/>
          <w:szCs w:val="20"/>
          <w:lang w:val="es-CR" w:eastAsia="es-ES"/>
        </w:rPr>
        <w:t xml:space="preserve">coherente, completa y detallada sobre </w:t>
      </w:r>
      <w:r w:rsidRPr="004264AA">
        <w:rPr>
          <w:rFonts w:ascii="Verdana" w:hAnsi="Verdana"/>
          <w:sz w:val="20"/>
          <w:szCs w:val="20"/>
          <w:shd w:val="clear" w:color="auto" w:fill="FFFFFF"/>
          <w:lang w:val="es-CR"/>
        </w:rPr>
        <w:t>los asuntos indicados en la petición, independientemente de que sea favorable o no a lo solicitado. En este sentido, la Corte recuerda que el artículo 24 de la Declaración Americana de los Derechos y Deberes del Hombre establece que “[t]oda persona tiene derecho a presentar peticiones respetuosas a cualquier autoridad competente, ya sea por motivo de interés general, ya de interés particular, y el de obtener una pronta resolución”.</w:t>
      </w:r>
    </w:p>
    <w:p w14:paraId="6E78F098" w14:textId="77777777" w:rsidR="008A3876" w:rsidRPr="004264AA" w:rsidRDefault="008A3876" w:rsidP="008A3876">
      <w:pPr>
        <w:autoSpaceDE w:val="0"/>
        <w:autoSpaceDN w:val="0"/>
        <w:adjustRightInd w:val="0"/>
        <w:jc w:val="both"/>
        <w:rPr>
          <w:rFonts w:ascii="Verdana" w:hAnsi="Verdana"/>
          <w:sz w:val="20"/>
          <w:szCs w:val="20"/>
          <w:lang w:val="es-CR"/>
        </w:rPr>
      </w:pPr>
    </w:p>
    <w:p w14:paraId="30B2E61D" w14:textId="42B22888" w:rsidR="008A3876" w:rsidRPr="00EF7537" w:rsidRDefault="008A3876" w:rsidP="008A3876">
      <w:pPr>
        <w:pStyle w:val="ListParagraph"/>
        <w:numPr>
          <w:ilvl w:val="0"/>
          <w:numId w:val="2"/>
        </w:numPr>
        <w:ind w:left="0" w:hanging="11"/>
        <w:jc w:val="both"/>
        <w:rPr>
          <w:rFonts w:ascii="Verdana" w:hAnsi="Verdana"/>
          <w:sz w:val="20"/>
          <w:szCs w:val="20"/>
          <w:lang w:val="es-CR"/>
        </w:rPr>
      </w:pPr>
      <w:r w:rsidRPr="004264AA">
        <w:rPr>
          <w:rFonts w:ascii="Verdana" w:hAnsi="Verdana"/>
          <w:sz w:val="20"/>
          <w:szCs w:val="20"/>
          <w:lang w:val="es-CR"/>
        </w:rPr>
        <w:t xml:space="preserve">Asimismo, el Estado aportó </w:t>
      </w:r>
      <w:r w:rsidRPr="00C908CA">
        <w:rPr>
          <w:rFonts w:ascii="Verdana" w:hAnsi="Verdana"/>
          <w:sz w:val="20"/>
          <w:szCs w:val="20"/>
          <w:lang w:val="es-CR"/>
        </w:rPr>
        <w:t xml:space="preserve">el </w:t>
      </w:r>
      <w:r w:rsidR="008A4ABB" w:rsidRPr="007E20F9">
        <w:rPr>
          <w:rFonts w:ascii="Verdana" w:hAnsi="Verdana"/>
          <w:sz w:val="20"/>
          <w:szCs w:val="20"/>
          <w:lang w:val="es-CR"/>
        </w:rPr>
        <w:t>Decreto sobre Otorgamiento de Territorios Estatales</w:t>
      </w:r>
      <w:r w:rsidRPr="00C908CA">
        <w:rPr>
          <w:rFonts w:ascii="Verdana" w:hAnsi="Verdana"/>
          <w:sz w:val="20"/>
          <w:szCs w:val="20"/>
          <w:lang w:val="es-CR"/>
        </w:rPr>
        <w:t xml:space="preserve"> de</w:t>
      </w:r>
      <w:r w:rsidRPr="004264AA">
        <w:rPr>
          <w:rFonts w:ascii="Verdana" w:hAnsi="Verdana"/>
          <w:sz w:val="20"/>
          <w:szCs w:val="20"/>
          <w:lang w:val="es-CR"/>
        </w:rPr>
        <w:t xml:space="preserve"> 15 de junio de 1982, conocido como el “L Decree”</w:t>
      </w:r>
      <w:r w:rsidRPr="00EF7537">
        <w:rPr>
          <w:rFonts w:ascii="Verdana" w:hAnsi="Verdana"/>
          <w:sz w:val="20"/>
          <w:szCs w:val="20"/>
          <w:lang w:val="es-CR"/>
        </w:rPr>
        <w:t>.</w:t>
      </w:r>
      <w:r w:rsidRPr="00BA6A08">
        <w:rPr>
          <w:rFonts w:ascii="Verdana" w:hAnsi="Verdana"/>
          <w:sz w:val="20"/>
          <w:szCs w:val="20"/>
          <w:lang w:val="es-CR"/>
        </w:rPr>
        <w:t xml:space="preserve"> Dicho Decreto establece que para solicitar el otorgamiento de un territorio que sea propiedad del Estado, el solicitante deberá presentar una petición por escrito al Ministro de Planificación Territorial</w:t>
      </w:r>
      <w:r w:rsidRPr="00954452">
        <w:rPr>
          <w:rStyle w:val="FootnoteReference"/>
          <w:szCs w:val="20"/>
          <w:lang w:val="es-CR"/>
        </w:rPr>
        <w:footnoteReference w:id="278"/>
      </w:r>
      <w:r w:rsidRPr="00954452">
        <w:rPr>
          <w:rFonts w:ascii="Verdana" w:hAnsi="Verdana"/>
          <w:sz w:val="20"/>
          <w:szCs w:val="20"/>
          <w:lang w:val="es-CR"/>
        </w:rPr>
        <w:t xml:space="preserve">, especificando la ubicación del territorio y </w:t>
      </w:r>
      <w:r w:rsidRPr="00D94A61">
        <w:rPr>
          <w:rFonts w:ascii="Verdana" w:hAnsi="Verdana"/>
          <w:sz w:val="20"/>
          <w:szCs w:val="20"/>
          <w:lang w:val="es-CR"/>
        </w:rPr>
        <w:t xml:space="preserve">el uso </w:t>
      </w:r>
      <w:r w:rsidRPr="003A45C0">
        <w:rPr>
          <w:rFonts w:ascii="Verdana" w:hAnsi="Verdana"/>
          <w:sz w:val="20"/>
          <w:szCs w:val="20"/>
          <w:lang w:val="es-CR"/>
        </w:rPr>
        <w:t>pretendido</w:t>
      </w:r>
      <w:r w:rsidRPr="00954452">
        <w:rPr>
          <w:rStyle w:val="FootnoteReference"/>
          <w:szCs w:val="20"/>
          <w:lang w:val="es-CR"/>
        </w:rPr>
        <w:footnoteReference w:id="279"/>
      </w:r>
      <w:r w:rsidRPr="00954452">
        <w:rPr>
          <w:rFonts w:ascii="Verdana" w:hAnsi="Verdana"/>
          <w:sz w:val="20"/>
          <w:szCs w:val="20"/>
          <w:lang w:val="es-CR"/>
        </w:rPr>
        <w:t xml:space="preserve">. Dicha solicitud será puesta </w:t>
      </w:r>
      <w:r w:rsidRPr="00D94A61">
        <w:rPr>
          <w:rFonts w:ascii="Verdana" w:hAnsi="Verdana"/>
          <w:sz w:val="20"/>
          <w:szCs w:val="20"/>
          <w:lang w:val="es-CR"/>
        </w:rPr>
        <w:t>en conocimiento del Comisionado de Distrito correspondiente</w:t>
      </w:r>
      <w:r w:rsidRPr="00954452">
        <w:rPr>
          <w:rStyle w:val="FootnoteReference"/>
          <w:szCs w:val="20"/>
          <w:lang w:val="es-CR"/>
        </w:rPr>
        <w:footnoteReference w:id="280"/>
      </w:r>
      <w:r w:rsidRPr="00954452">
        <w:rPr>
          <w:rFonts w:ascii="Verdana" w:hAnsi="Verdana"/>
          <w:sz w:val="20"/>
          <w:szCs w:val="20"/>
          <w:lang w:val="es-CR"/>
        </w:rPr>
        <w:t>, y eventualmente será resuelta e informada al solicitante</w:t>
      </w:r>
      <w:r w:rsidRPr="00D94A61">
        <w:rPr>
          <w:rFonts w:ascii="Verdana" w:hAnsi="Verdana"/>
          <w:sz w:val="20"/>
          <w:szCs w:val="20"/>
          <w:lang w:val="es-CR"/>
        </w:rPr>
        <w:t xml:space="preserve"> por el propio Ministro de Planificaci</w:t>
      </w:r>
      <w:r w:rsidRPr="003A45C0">
        <w:rPr>
          <w:rFonts w:ascii="Verdana" w:hAnsi="Verdana"/>
          <w:sz w:val="20"/>
          <w:szCs w:val="20"/>
          <w:lang w:val="es-CR"/>
        </w:rPr>
        <w:t>ón Territorial</w:t>
      </w:r>
      <w:r w:rsidRPr="00954452">
        <w:rPr>
          <w:rStyle w:val="FootnoteReference"/>
          <w:szCs w:val="20"/>
          <w:lang w:val="es-CR"/>
        </w:rPr>
        <w:footnoteReference w:id="281"/>
      </w:r>
      <w:r w:rsidRPr="00954452">
        <w:rPr>
          <w:rFonts w:ascii="Verdana" w:hAnsi="Verdana"/>
          <w:sz w:val="20"/>
          <w:szCs w:val="20"/>
          <w:lang w:val="es-CR"/>
        </w:rPr>
        <w:t xml:space="preserve">. </w:t>
      </w:r>
      <w:r w:rsidRPr="003A45C0">
        <w:rPr>
          <w:rFonts w:ascii="Verdana" w:hAnsi="Verdana"/>
          <w:sz w:val="20"/>
          <w:szCs w:val="20"/>
          <w:lang w:val="es-CR"/>
        </w:rPr>
        <w:t>En este sentido, la Corte constató que los procedimientos establecidos en dicho instrumento</w:t>
      </w:r>
      <w:r w:rsidRPr="00EF7537">
        <w:rPr>
          <w:rFonts w:ascii="Verdana" w:hAnsi="Verdana"/>
          <w:sz w:val="20"/>
          <w:szCs w:val="20"/>
          <w:lang w:val="es-CR"/>
        </w:rPr>
        <w:t xml:space="preserve"> se refieren de forma general al </w:t>
      </w:r>
      <w:r w:rsidRPr="00EF7537">
        <w:rPr>
          <w:rFonts w:ascii="Verdana" w:hAnsi="Verdana"/>
          <w:sz w:val="20"/>
          <w:szCs w:val="20"/>
          <w:lang w:val="es-CR"/>
        </w:rPr>
        <w:lastRenderedPageBreak/>
        <w:t>otorgamiento de territorios que sean propiedad del Estado</w:t>
      </w:r>
      <w:r w:rsidRPr="00BA6A08">
        <w:rPr>
          <w:rFonts w:ascii="Verdana" w:hAnsi="Verdana"/>
          <w:sz w:val="20"/>
          <w:szCs w:val="20"/>
          <w:lang w:val="es-CR"/>
        </w:rPr>
        <w:t xml:space="preserve"> a individuos o personas jurídicas que residan en </w:t>
      </w:r>
      <w:r w:rsidR="00563E11">
        <w:rPr>
          <w:rFonts w:ascii="Verdana" w:hAnsi="Verdana"/>
          <w:sz w:val="20"/>
          <w:szCs w:val="20"/>
          <w:lang w:val="es-CR"/>
        </w:rPr>
        <w:t>Surinam</w:t>
      </w:r>
      <w:r w:rsidRPr="00954452">
        <w:rPr>
          <w:rStyle w:val="FootnoteReference"/>
          <w:szCs w:val="20"/>
          <w:lang w:val="es-CR"/>
        </w:rPr>
        <w:footnoteReference w:id="282"/>
      </w:r>
      <w:r w:rsidRPr="00954452">
        <w:rPr>
          <w:rFonts w:ascii="Verdana" w:hAnsi="Verdana"/>
          <w:sz w:val="20"/>
          <w:szCs w:val="20"/>
          <w:lang w:val="es-CR"/>
        </w:rPr>
        <w:t xml:space="preserve">, </w:t>
      </w:r>
      <w:r w:rsidRPr="00D94A61">
        <w:rPr>
          <w:rFonts w:ascii="Verdana" w:hAnsi="Verdana"/>
          <w:sz w:val="20"/>
          <w:szCs w:val="20"/>
          <w:lang w:val="es-CR"/>
        </w:rPr>
        <w:t xml:space="preserve">y </w:t>
      </w:r>
      <w:r w:rsidRPr="003A45C0">
        <w:rPr>
          <w:rFonts w:ascii="Verdana" w:hAnsi="Verdana"/>
          <w:sz w:val="20"/>
          <w:szCs w:val="20"/>
          <w:lang w:val="es-CR"/>
        </w:rPr>
        <w:t xml:space="preserve">no guardan relación con solicitudes </w:t>
      </w:r>
      <w:r w:rsidR="006834B1">
        <w:rPr>
          <w:rFonts w:ascii="Verdana" w:hAnsi="Verdana"/>
          <w:sz w:val="20"/>
          <w:szCs w:val="20"/>
          <w:lang w:val="es-CR"/>
        </w:rPr>
        <w:t>específicas</w:t>
      </w:r>
      <w:r w:rsidRPr="003A45C0">
        <w:rPr>
          <w:rFonts w:ascii="Verdana" w:hAnsi="Verdana"/>
          <w:sz w:val="20"/>
          <w:szCs w:val="20"/>
          <w:lang w:val="es-CR"/>
        </w:rPr>
        <w:t xml:space="preserve"> de </w:t>
      </w:r>
      <w:r w:rsidRPr="003A45C0">
        <w:rPr>
          <w:rFonts w:ascii="Verdana" w:eastAsia="Times New Roman" w:hAnsi="Verdana" w:cs="Arial"/>
          <w:sz w:val="20"/>
          <w:szCs w:val="20"/>
          <w:lang w:val="es-CR" w:eastAsia="es-ES"/>
        </w:rPr>
        <w:t xml:space="preserve">reivindicaciones de </w:t>
      </w:r>
      <w:r w:rsidRPr="00954452">
        <w:rPr>
          <w:rFonts w:ascii="Verdana" w:eastAsia="Times New Roman" w:hAnsi="Verdana" w:cs="Arial"/>
          <w:sz w:val="20"/>
          <w:szCs w:val="20"/>
          <w:lang w:val="es-CR" w:eastAsia="es-ES"/>
        </w:rPr>
        <w:t>territorios de pueblos indígenas como las analizadas en el presente caso.</w:t>
      </w:r>
      <w:r w:rsidRPr="00EF7537">
        <w:rPr>
          <w:rFonts w:ascii="Verdana" w:hAnsi="Verdana"/>
          <w:sz w:val="20"/>
          <w:szCs w:val="20"/>
          <w:lang w:val="es-CR"/>
        </w:rPr>
        <w:t xml:space="preserve"> </w:t>
      </w:r>
      <w:r w:rsidR="008E016A" w:rsidRPr="00190AD3">
        <w:rPr>
          <w:rFonts w:ascii="Verdana" w:hAnsi="Verdana"/>
          <w:sz w:val="20"/>
          <w:szCs w:val="20"/>
          <w:lang w:val="es-CR"/>
        </w:rPr>
        <w:t xml:space="preserve">Asimismo, el Estado no argumentó de qué manera el procedimiento podía </w:t>
      </w:r>
      <w:r w:rsidR="008E016A" w:rsidRPr="00190AD3">
        <w:rPr>
          <w:rFonts w:ascii="Verdana" w:eastAsia="Times New Roman" w:hAnsi="Verdana"/>
          <w:spacing w:val="-2"/>
          <w:sz w:val="20"/>
          <w:szCs w:val="20"/>
          <w:lang w:val="es-CR" w:eastAsia="es-ES"/>
        </w:rPr>
        <w:t>reparar adecuadamente las violaciones alegadas por los Pueblos Kaliña y Lokono</w:t>
      </w:r>
      <w:r w:rsidR="006834B1" w:rsidRPr="00190AD3">
        <w:rPr>
          <w:rFonts w:ascii="Verdana" w:eastAsia="Times New Roman" w:hAnsi="Verdana"/>
          <w:spacing w:val="-2"/>
          <w:sz w:val="20"/>
          <w:szCs w:val="20"/>
          <w:lang w:val="es-CR" w:eastAsia="es-ES"/>
        </w:rPr>
        <w:t xml:space="preserve">, máxime que </w:t>
      </w:r>
      <w:r w:rsidR="00204504" w:rsidRPr="00190AD3">
        <w:rPr>
          <w:rFonts w:ascii="Verdana" w:eastAsia="Times New Roman" w:hAnsi="Verdana"/>
          <w:spacing w:val="-2"/>
          <w:sz w:val="20"/>
          <w:szCs w:val="20"/>
          <w:lang w:val="es-CR" w:eastAsia="es-ES"/>
        </w:rPr>
        <w:t>los mismos</w:t>
      </w:r>
      <w:r w:rsidR="008E016A" w:rsidRPr="00190AD3">
        <w:rPr>
          <w:rFonts w:ascii="Verdana" w:eastAsia="Times New Roman" w:hAnsi="Verdana"/>
          <w:spacing w:val="-2"/>
          <w:sz w:val="20"/>
          <w:szCs w:val="20"/>
          <w:lang w:val="es-CR" w:eastAsia="es-ES"/>
        </w:rPr>
        <w:t xml:space="preserve"> carece</w:t>
      </w:r>
      <w:r w:rsidR="006834B1" w:rsidRPr="00190AD3">
        <w:rPr>
          <w:rFonts w:ascii="Verdana" w:eastAsia="Times New Roman" w:hAnsi="Verdana"/>
          <w:spacing w:val="-2"/>
          <w:sz w:val="20"/>
          <w:szCs w:val="20"/>
          <w:lang w:val="es-CR" w:eastAsia="es-ES"/>
        </w:rPr>
        <w:t>n</w:t>
      </w:r>
      <w:r w:rsidR="008E016A" w:rsidRPr="00190AD3">
        <w:rPr>
          <w:rFonts w:ascii="Verdana" w:eastAsia="Times New Roman" w:hAnsi="Verdana"/>
          <w:spacing w:val="-2"/>
          <w:sz w:val="20"/>
          <w:szCs w:val="20"/>
          <w:lang w:val="es-CR" w:eastAsia="es-ES"/>
        </w:rPr>
        <w:t xml:space="preserve"> de legitimación para solicitar el otorgamiento del territorio, en virtud de que el Estado no reconoce la personalidad jurídica colectiva de los pueblos indígenas (</w:t>
      </w:r>
      <w:r w:rsidR="008E016A" w:rsidRPr="00190AD3">
        <w:rPr>
          <w:rFonts w:ascii="Verdana" w:eastAsia="Times New Roman" w:hAnsi="Verdana"/>
          <w:i/>
          <w:spacing w:val="-2"/>
          <w:sz w:val="20"/>
          <w:szCs w:val="20"/>
          <w:lang w:val="es-CR" w:eastAsia="es-ES"/>
        </w:rPr>
        <w:t>supra</w:t>
      </w:r>
      <w:r w:rsidR="008E016A" w:rsidRPr="00190AD3">
        <w:rPr>
          <w:rFonts w:ascii="Verdana" w:eastAsia="Times New Roman" w:hAnsi="Verdana"/>
          <w:spacing w:val="-2"/>
          <w:sz w:val="20"/>
          <w:szCs w:val="20"/>
          <w:lang w:val="es-CR" w:eastAsia="es-ES"/>
        </w:rPr>
        <w:t xml:space="preserve"> párr. </w:t>
      </w:r>
      <w:r w:rsidR="00D30AF0">
        <w:rPr>
          <w:rFonts w:ascii="Verdana" w:eastAsia="Times New Roman" w:hAnsi="Verdana"/>
          <w:spacing w:val="-2"/>
          <w:sz w:val="20"/>
          <w:szCs w:val="20"/>
          <w:lang w:val="es-CR" w:eastAsia="es-ES"/>
        </w:rPr>
        <w:t>1</w:t>
      </w:r>
      <w:r w:rsidR="00BE2256">
        <w:rPr>
          <w:rFonts w:ascii="Verdana" w:eastAsia="Times New Roman" w:hAnsi="Verdana"/>
          <w:spacing w:val="-2"/>
          <w:sz w:val="20"/>
          <w:szCs w:val="20"/>
          <w:lang w:val="es-CR" w:eastAsia="es-ES"/>
        </w:rPr>
        <w:t>12</w:t>
      </w:r>
      <w:r w:rsidR="008E016A" w:rsidRPr="00190AD3">
        <w:rPr>
          <w:rFonts w:ascii="Verdana" w:eastAsia="Times New Roman" w:hAnsi="Verdana"/>
          <w:spacing w:val="-2"/>
          <w:sz w:val="20"/>
          <w:szCs w:val="20"/>
          <w:lang w:val="es-CR" w:eastAsia="es-ES"/>
        </w:rPr>
        <w:t>)</w:t>
      </w:r>
      <w:r w:rsidR="00880EAE">
        <w:rPr>
          <w:rFonts w:ascii="Verdana" w:eastAsia="Times New Roman" w:hAnsi="Verdana"/>
          <w:spacing w:val="-2"/>
          <w:sz w:val="20"/>
          <w:szCs w:val="20"/>
          <w:lang w:val="es-CR" w:eastAsia="es-ES"/>
        </w:rPr>
        <w:t>.</w:t>
      </w:r>
    </w:p>
    <w:p w14:paraId="5A32B9C7" w14:textId="77777777" w:rsidR="008A3876" w:rsidRPr="00BA6A08" w:rsidRDefault="008A3876" w:rsidP="008A3876">
      <w:pPr>
        <w:jc w:val="both"/>
        <w:rPr>
          <w:rFonts w:ascii="Verdana" w:hAnsi="Verdana"/>
          <w:sz w:val="20"/>
          <w:szCs w:val="20"/>
          <w:lang w:val="es-CR"/>
        </w:rPr>
      </w:pPr>
    </w:p>
    <w:p w14:paraId="670DFFED" w14:textId="70BF0E9D" w:rsidR="008A3876" w:rsidRPr="00954452" w:rsidRDefault="008A3876" w:rsidP="008A3876">
      <w:pPr>
        <w:pStyle w:val="ListParagraph"/>
        <w:numPr>
          <w:ilvl w:val="0"/>
          <w:numId w:val="2"/>
        </w:numPr>
        <w:ind w:left="0" w:hanging="11"/>
        <w:jc w:val="both"/>
        <w:rPr>
          <w:rFonts w:ascii="Verdana" w:hAnsi="Verdana"/>
          <w:sz w:val="20"/>
          <w:szCs w:val="20"/>
          <w:lang w:val="es-CR"/>
        </w:rPr>
      </w:pPr>
      <w:r w:rsidRPr="00954452">
        <w:rPr>
          <w:rFonts w:ascii="Verdana" w:hAnsi="Verdana"/>
          <w:sz w:val="20"/>
          <w:szCs w:val="20"/>
          <w:lang w:val="es-CR"/>
        </w:rPr>
        <w:t xml:space="preserve">Por otra parte, la Corte toma nota de que en el informe de 18 de agosto de 2011, la Relatoría Especial sobre los </w:t>
      </w:r>
      <w:r w:rsidR="008E016A">
        <w:rPr>
          <w:rFonts w:ascii="Verdana" w:hAnsi="Verdana"/>
          <w:sz w:val="20"/>
          <w:szCs w:val="20"/>
          <w:lang w:val="es-CR"/>
        </w:rPr>
        <w:t>D</w:t>
      </w:r>
      <w:r w:rsidRPr="00954452">
        <w:rPr>
          <w:rFonts w:ascii="Verdana" w:hAnsi="Verdana"/>
          <w:sz w:val="20"/>
          <w:szCs w:val="20"/>
          <w:lang w:val="es-CR"/>
        </w:rPr>
        <w:t xml:space="preserve">erechos de los </w:t>
      </w:r>
      <w:r w:rsidR="008E016A">
        <w:rPr>
          <w:rFonts w:ascii="Verdana" w:hAnsi="Verdana"/>
          <w:sz w:val="20"/>
          <w:szCs w:val="20"/>
          <w:lang w:val="es-CR"/>
        </w:rPr>
        <w:t>P</w:t>
      </w:r>
      <w:r w:rsidRPr="00954452">
        <w:rPr>
          <w:rFonts w:ascii="Verdana" w:hAnsi="Verdana"/>
          <w:sz w:val="20"/>
          <w:szCs w:val="20"/>
          <w:lang w:val="es-CR"/>
        </w:rPr>
        <w:t xml:space="preserve">ueblos </w:t>
      </w:r>
      <w:r w:rsidR="008E016A">
        <w:rPr>
          <w:rFonts w:ascii="Verdana" w:hAnsi="Verdana"/>
          <w:sz w:val="20"/>
          <w:szCs w:val="20"/>
          <w:lang w:val="es-CR"/>
        </w:rPr>
        <w:t>I</w:t>
      </w:r>
      <w:r w:rsidRPr="00954452">
        <w:rPr>
          <w:rFonts w:ascii="Verdana" w:hAnsi="Verdana"/>
          <w:sz w:val="20"/>
          <w:szCs w:val="20"/>
          <w:lang w:val="es-CR"/>
        </w:rPr>
        <w:t xml:space="preserve">ndígenas de Naciones Unidas, indicó que resultaba evidente que </w:t>
      </w:r>
      <w:r w:rsidR="00563E11">
        <w:rPr>
          <w:rFonts w:ascii="Verdana" w:hAnsi="Verdana"/>
          <w:sz w:val="20"/>
          <w:szCs w:val="20"/>
          <w:lang w:val="es-CR"/>
        </w:rPr>
        <w:t>Surinam</w:t>
      </w:r>
      <w:r w:rsidRPr="00954452">
        <w:rPr>
          <w:rFonts w:ascii="Verdana" w:hAnsi="Verdana"/>
          <w:sz w:val="20"/>
          <w:szCs w:val="20"/>
          <w:lang w:val="es-CR"/>
        </w:rPr>
        <w:t xml:space="preserve"> debía adoptar medidas legislativas o reglamentarias que establecieran adecuadamente protecciones y procedimientos específicos mediante las cuales se aseguraran los derechos de los pueblos indígenas y tribales. En este sentido, a la luz de las Sentencias emitidas por la Corte en los casos </w:t>
      </w:r>
      <w:r w:rsidR="00476486">
        <w:rPr>
          <w:rFonts w:ascii="Verdana" w:hAnsi="Verdana"/>
          <w:sz w:val="20"/>
          <w:szCs w:val="20"/>
          <w:lang w:val="es-CR"/>
        </w:rPr>
        <w:t xml:space="preserve">de los </w:t>
      </w:r>
      <w:r w:rsidR="00476486" w:rsidRPr="004B0145">
        <w:rPr>
          <w:rFonts w:ascii="Verdana" w:hAnsi="Verdana"/>
          <w:i/>
          <w:sz w:val="20"/>
          <w:szCs w:val="20"/>
          <w:lang w:val="es-CR"/>
        </w:rPr>
        <w:t xml:space="preserve">Pueblos </w:t>
      </w:r>
      <w:r w:rsidR="008A4ABB" w:rsidRPr="007E20F9">
        <w:rPr>
          <w:rFonts w:ascii="Verdana" w:hAnsi="Verdana"/>
          <w:i/>
          <w:sz w:val="20"/>
          <w:szCs w:val="20"/>
          <w:lang w:val="es-CR"/>
        </w:rPr>
        <w:t>Moiwana</w:t>
      </w:r>
      <w:r w:rsidRPr="00954452">
        <w:rPr>
          <w:rFonts w:ascii="Verdana" w:hAnsi="Verdana"/>
          <w:sz w:val="20"/>
          <w:szCs w:val="20"/>
          <w:lang w:val="es-CR"/>
        </w:rPr>
        <w:t xml:space="preserve"> y </w:t>
      </w:r>
      <w:r w:rsidR="008A4ABB" w:rsidRPr="007E20F9">
        <w:rPr>
          <w:rFonts w:ascii="Verdana" w:hAnsi="Verdana"/>
          <w:i/>
          <w:sz w:val="20"/>
          <w:szCs w:val="20"/>
          <w:lang w:val="es-CR"/>
        </w:rPr>
        <w:t>Saramaka</w:t>
      </w:r>
      <w:r w:rsidRPr="00954452">
        <w:rPr>
          <w:rFonts w:ascii="Verdana" w:hAnsi="Verdana"/>
          <w:sz w:val="20"/>
          <w:szCs w:val="20"/>
          <w:lang w:val="es-CR"/>
        </w:rPr>
        <w:t>, recomendó que se debía priorizar el desarrollo de legislación sobre dos puntos: i) un procedimiento para identificar y titular territorios indígenas y tribales, y ii) un procedimiento para consultar, con miras al consentimiento, a los pueblos indígenas y tribales sobre la extracción de recursos y otras actividades que afecten su territorio</w:t>
      </w:r>
      <w:r w:rsidRPr="00954452">
        <w:rPr>
          <w:rStyle w:val="FootnoteReference"/>
          <w:szCs w:val="20"/>
          <w:lang w:val="es-CR"/>
        </w:rPr>
        <w:footnoteReference w:id="283"/>
      </w:r>
      <w:r w:rsidRPr="00954452">
        <w:rPr>
          <w:rFonts w:ascii="Verdana" w:hAnsi="Verdana"/>
          <w:sz w:val="20"/>
          <w:szCs w:val="20"/>
          <w:lang w:val="es-CR"/>
        </w:rPr>
        <w:t xml:space="preserve">. </w:t>
      </w:r>
    </w:p>
    <w:p w14:paraId="1F2011DF" w14:textId="77777777" w:rsidR="008A3876" w:rsidRPr="003A45C0" w:rsidRDefault="008A3876" w:rsidP="008A3876">
      <w:pPr>
        <w:jc w:val="both"/>
        <w:rPr>
          <w:rFonts w:ascii="Verdana" w:hAnsi="Verdana"/>
          <w:sz w:val="20"/>
          <w:szCs w:val="20"/>
          <w:lang w:val="es-CR"/>
        </w:rPr>
      </w:pPr>
    </w:p>
    <w:p w14:paraId="2C5A6BA2" w14:textId="77777777" w:rsidR="008A3876" w:rsidRDefault="008A3876" w:rsidP="008A3876">
      <w:pPr>
        <w:pStyle w:val="ListParagraph"/>
        <w:numPr>
          <w:ilvl w:val="0"/>
          <w:numId w:val="2"/>
        </w:numPr>
        <w:ind w:left="0" w:hanging="11"/>
        <w:jc w:val="both"/>
        <w:rPr>
          <w:rFonts w:ascii="Verdana" w:hAnsi="Verdana"/>
          <w:sz w:val="20"/>
          <w:szCs w:val="20"/>
          <w:lang w:val="es-CR"/>
        </w:rPr>
      </w:pPr>
      <w:r w:rsidRPr="003A45C0">
        <w:rPr>
          <w:rFonts w:ascii="Verdana" w:hAnsi="Verdana"/>
          <w:sz w:val="20"/>
          <w:szCs w:val="20"/>
          <w:lang w:val="es-CR"/>
        </w:rPr>
        <w:t xml:space="preserve">En consecuencia, la Corte considera que la normativa analizada en el presente caso no contempla recursos judiciales o administrativos mediante los cuales se establezcan procedimientos para la protección del derecho </w:t>
      </w:r>
      <w:r w:rsidRPr="00954452">
        <w:rPr>
          <w:rFonts w:ascii="Verdana" w:hAnsi="Verdana"/>
          <w:sz w:val="20"/>
          <w:szCs w:val="20"/>
          <w:lang w:val="es-CR"/>
        </w:rPr>
        <w:t>de propiedad colectiva de los pueblos indígenas y tribales.</w:t>
      </w:r>
    </w:p>
    <w:p w14:paraId="23DFF49A" w14:textId="77777777" w:rsidR="008A3876" w:rsidRDefault="008A3876" w:rsidP="008A3876">
      <w:pPr>
        <w:jc w:val="both"/>
        <w:rPr>
          <w:rFonts w:ascii="Verdana" w:hAnsi="Verdana"/>
          <w:sz w:val="20"/>
          <w:szCs w:val="20"/>
          <w:lang w:val="es-CR"/>
        </w:rPr>
      </w:pPr>
    </w:p>
    <w:p w14:paraId="61B78E1C" w14:textId="6EA14E64" w:rsidR="008A3876" w:rsidRDefault="008A3876" w:rsidP="008A3876">
      <w:pPr>
        <w:pStyle w:val="ListParagraph"/>
        <w:numPr>
          <w:ilvl w:val="0"/>
          <w:numId w:val="2"/>
        </w:numPr>
        <w:ind w:left="0" w:hanging="11"/>
        <w:jc w:val="both"/>
        <w:rPr>
          <w:rFonts w:ascii="Verdana" w:hAnsi="Verdana"/>
          <w:sz w:val="20"/>
          <w:szCs w:val="20"/>
          <w:lang w:val="es-CR"/>
        </w:rPr>
      </w:pPr>
      <w:r>
        <w:rPr>
          <w:rFonts w:ascii="Verdana" w:hAnsi="Verdana"/>
          <w:sz w:val="20"/>
          <w:szCs w:val="20"/>
          <w:lang w:val="es-CR"/>
        </w:rPr>
        <w:t xml:space="preserve">Ahora bien, la Corte toma en consideración </w:t>
      </w:r>
      <w:r w:rsidRPr="00464EDF">
        <w:rPr>
          <w:rFonts w:ascii="Verdana" w:hAnsi="Verdana"/>
          <w:sz w:val="20"/>
          <w:szCs w:val="20"/>
          <w:lang w:val="es-CR"/>
        </w:rPr>
        <w:t>que durante la audiencia pública del presente caso, el Estado indicó “</w:t>
      </w:r>
      <w:r w:rsidRPr="00B976D8">
        <w:rPr>
          <w:rFonts w:ascii="Verdana" w:hAnsi="Verdana"/>
          <w:sz w:val="20"/>
          <w:szCs w:val="20"/>
          <w:lang w:val="es-CR"/>
        </w:rPr>
        <w:t xml:space="preserve">estar consciente de que la legislación de </w:t>
      </w:r>
      <w:r w:rsidR="00563E11">
        <w:rPr>
          <w:rFonts w:ascii="Verdana" w:hAnsi="Verdana"/>
          <w:sz w:val="20"/>
          <w:szCs w:val="20"/>
          <w:lang w:val="es-CR"/>
        </w:rPr>
        <w:t>Surinam</w:t>
      </w:r>
      <w:r w:rsidRPr="00B976D8">
        <w:rPr>
          <w:rFonts w:ascii="Verdana" w:hAnsi="Verdana"/>
          <w:sz w:val="20"/>
          <w:szCs w:val="20"/>
          <w:lang w:val="es-CR"/>
        </w:rPr>
        <w:t xml:space="preserve"> efectivamente aún no cumple con las normas internacionales”</w:t>
      </w:r>
      <w:r>
        <w:rPr>
          <w:rFonts w:ascii="Verdana" w:hAnsi="Verdana"/>
          <w:sz w:val="20"/>
          <w:szCs w:val="20"/>
          <w:lang w:val="es-CR"/>
        </w:rPr>
        <w:t xml:space="preserve">, por lo que </w:t>
      </w:r>
      <w:r w:rsidR="00A414DD">
        <w:rPr>
          <w:rFonts w:ascii="Verdana" w:hAnsi="Verdana"/>
          <w:sz w:val="20"/>
          <w:szCs w:val="20"/>
          <w:lang w:val="es-CR"/>
        </w:rPr>
        <w:t>solicitó</w:t>
      </w:r>
      <w:r w:rsidR="00A414DD" w:rsidRPr="00B976D8">
        <w:rPr>
          <w:rFonts w:ascii="Verdana" w:hAnsi="Verdana"/>
          <w:sz w:val="20"/>
          <w:szCs w:val="20"/>
          <w:lang w:val="es-CR"/>
        </w:rPr>
        <w:t xml:space="preserve"> </w:t>
      </w:r>
      <w:r>
        <w:rPr>
          <w:rFonts w:ascii="Verdana" w:hAnsi="Verdana"/>
          <w:sz w:val="20"/>
          <w:szCs w:val="20"/>
          <w:lang w:val="es-CR"/>
        </w:rPr>
        <w:t xml:space="preserve">a la Corte </w:t>
      </w:r>
      <w:r w:rsidRPr="00B976D8">
        <w:rPr>
          <w:rFonts w:ascii="Verdana" w:hAnsi="Verdana"/>
          <w:sz w:val="20"/>
          <w:szCs w:val="20"/>
          <w:lang w:val="es-CR"/>
        </w:rPr>
        <w:t xml:space="preserve">la guía para solventar las distintas complejidades relacionadas con el reconocimiento de los derechos de los pueblos indígenas y tribales en </w:t>
      </w:r>
      <w:r w:rsidR="00563E11">
        <w:rPr>
          <w:rFonts w:ascii="Verdana" w:hAnsi="Verdana"/>
          <w:sz w:val="20"/>
          <w:szCs w:val="20"/>
          <w:lang w:val="es-CR"/>
        </w:rPr>
        <w:t>Surinam</w:t>
      </w:r>
      <w:r w:rsidRPr="00B976D8">
        <w:rPr>
          <w:rFonts w:ascii="Verdana" w:hAnsi="Verdana"/>
          <w:sz w:val="20"/>
          <w:szCs w:val="20"/>
          <w:lang w:val="es-CR"/>
        </w:rPr>
        <w:t xml:space="preserve">. </w:t>
      </w:r>
    </w:p>
    <w:p w14:paraId="59D3C407" w14:textId="77777777" w:rsidR="008A3876" w:rsidRDefault="008A3876" w:rsidP="008A3876">
      <w:pPr>
        <w:jc w:val="both"/>
        <w:rPr>
          <w:rFonts w:ascii="Verdana" w:hAnsi="Verdana"/>
          <w:sz w:val="20"/>
          <w:szCs w:val="20"/>
          <w:lang w:val="es-ES"/>
        </w:rPr>
      </w:pPr>
    </w:p>
    <w:p w14:paraId="2C14240D" w14:textId="77777777" w:rsidR="009A2779" w:rsidRPr="00366D91" w:rsidRDefault="00CC293F" w:rsidP="00366D91">
      <w:pPr>
        <w:pStyle w:val="ListParagraph"/>
        <w:numPr>
          <w:ilvl w:val="0"/>
          <w:numId w:val="2"/>
        </w:numPr>
        <w:ind w:left="0" w:hanging="11"/>
        <w:jc w:val="both"/>
        <w:rPr>
          <w:rFonts w:ascii="Verdana" w:hAnsi="Verdana"/>
          <w:sz w:val="20"/>
          <w:szCs w:val="20"/>
          <w:lang w:val="es-ES"/>
        </w:rPr>
      </w:pPr>
      <w:r w:rsidRPr="00BC6F15">
        <w:rPr>
          <w:rFonts w:ascii="Verdana" w:hAnsi="Verdana"/>
          <w:sz w:val="20"/>
          <w:szCs w:val="20"/>
          <w:lang w:val="es-ES"/>
        </w:rPr>
        <w:t xml:space="preserve">En este sentido, </w:t>
      </w:r>
      <w:r w:rsidR="00275235">
        <w:rPr>
          <w:rFonts w:ascii="Verdana" w:hAnsi="Verdana"/>
          <w:sz w:val="20"/>
          <w:szCs w:val="20"/>
          <w:lang w:val="es-ES"/>
        </w:rPr>
        <w:t xml:space="preserve">la Corte estima </w:t>
      </w:r>
      <w:r w:rsidRPr="00FB5943">
        <w:rPr>
          <w:rFonts w:ascii="Verdana" w:hAnsi="Verdana"/>
          <w:sz w:val="20"/>
          <w:szCs w:val="20"/>
          <w:lang w:val="es-ES"/>
        </w:rPr>
        <w:t xml:space="preserve">que </w:t>
      </w:r>
      <w:r w:rsidRPr="00156905">
        <w:rPr>
          <w:rFonts w:ascii="Verdana" w:hAnsi="Verdana"/>
          <w:sz w:val="20"/>
          <w:szCs w:val="20"/>
          <w:lang w:val="es-CR"/>
        </w:rPr>
        <w:t>conforme a la</w:t>
      </w:r>
      <w:r>
        <w:rPr>
          <w:rFonts w:ascii="Verdana" w:hAnsi="Verdana"/>
          <w:sz w:val="20"/>
          <w:szCs w:val="20"/>
          <w:lang w:val="es-CR"/>
        </w:rPr>
        <w:t xml:space="preserve"> </w:t>
      </w:r>
      <w:r w:rsidRPr="00156905">
        <w:rPr>
          <w:rFonts w:ascii="Verdana" w:hAnsi="Verdana"/>
          <w:sz w:val="20"/>
          <w:szCs w:val="20"/>
          <w:lang w:val="es-CR"/>
        </w:rPr>
        <w:t>jurisprudencia del Tribunal</w:t>
      </w:r>
      <w:r w:rsidR="00275235">
        <w:rPr>
          <w:rFonts w:ascii="Verdana" w:hAnsi="Verdana"/>
          <w:sz w:val="20"/>
          <w:szCs w:val="20"/>
          <w:lang w:val="es-CR"/>
        </w:rPr>
        <w:t>,</w:t>
      </w:r>
      <w:r w:rsidRPr="00156905">
        <w:rPr>
          <w:rFonts w:ascii="Verdana" w:hAnsi="Verdana"/>
          <w:sz w:val="20"/>
          <w:szCs w:val="20"/>
          <w:lang w:val="es-CR"/>
        </w:rPr>
        <w:t xml:space="preserve"> </w:t>
      </w:r>
      <w:r w:rsidR="00DE3742">
        <w:rPr>
          <w:rFonts w:ascii="Verdana" w:hAnsi="Verdana"/>
          <w:sz w:val="20"/>
          <w:szCs w:val="20"/>
          <w:lang w:val="es-CR"/>
        </w:rPr>
        <w:t xml:space="preserve">así como de otros </w:t>
      </w:r>
      <w:r w:rsidR="009A2779">
        <w:rPr>
          <w:rFonts w:ascii="Verdana" w:hAnsi="Verdana"/>
          <w:sz w:val="20"/>
          <w:szCs w:val="20"/>
          <w:lang w:val="es-CR"/>
        </w:rPr>
        <w:t>estándares</w:t>
      </w:r>
      <w:r w:rsidRPr="00156905">
        <w:rPr>
          <w:rFonts w:ascii="Verdana" w:hAnsi="Verdana"/>
          <w:sz w:val="20"/>
          <w:szCs w:val="20"/>
          <w:lang w:val="es-CR"/>
        </w:rPr>
        <w:t xml:space="preserve"> internacional</w:t>
      </w:r>
      <w:r w:rsidR="00F66B20">
        <w:rPr>
          <w:rFonts w:ascii="Verdana" w:hAnsi="Verdana"/>
          <w:sz w:val="20"/>
          <w:szCs w:val="20"/>
          <w:lang w:val="es-CR"/>
        </w:rPr>
        <w:t>es</w:t>
      </w:r>
      <w:r w:rsidR="00DE3742">
        <w:rPr>
          <w:rFonts w:ascii="Verdana" w:hAnsi="Verdana"/>
          <w:sz w:val="20"/>
          <w:szCs w:val="20"/>
          <w:lang w:val="es-CR"/>
        </w:rPr>
        <w:t xml:space="preserve"> en la materia</w:t>
      </w:r>
      <w:r w:rsidRPr="00FB5943">
        <w:rPr>
          <w:rFonts w:ascii="Verdana" w:hAnsi="Verdana"/>
          <w:sz w:val="20"/>
          <w:szCs w:val="20"/>
          <w:lang w:val="es-CR"/>
        </w:rPr>
        <w:t xml:space="preserve">, los recursos </w:t>
      </w:r>
      <w:r w:rsidR="005C496B">
        <w:rPr>
          <w:rFonts w:ascii="Verdana" w:hAnsi="Verdana"/>
          <w:sz w:val="20"/>
          <w:szCs w:val="20"/>
          <w:lang w:val="es-CR"/>
        </w:rPr>
        <w:t>internos</w:t>
      </w:r>
      <w:r>
        <w:rPr>
          <w:rFonts w:ascii="Verdana" w:hAnsi="Verdana"/>
          <w:sz w:val="20"/>
          <w:szCs w:val="20"/>
          <w:lang w:val="es-CR"/>
        </w:rPr>
        <w:t xml:space="preserve">, </w:t>
      </w:r>
      <w:r w:rsidRPr="003966ED">
        <w:rPr>
          <w:rFonts w:ascii="Verdana" w:hAnsi="Verdana"/>
          <w:sz w:val="20"/>
          <w:szCs w:val="20"/>
          <w:lang w:val="es-CR"/>
        </w:rPr>
        <w:t>debe</w:t>
      </w:r>
      <w:r w:rsidR="002F15E0">
        <w:rPr>
          <w:rFonts w:ascii="Verdana" w:hAnsi="Verdana"/>
          <w:sz w:val="20"/>
          <w:szCs w:val="20"/>
          <w:lang w:val="es-CR"/>
        </w:rPr>
        <w:t>n</w:t>
      </w:r>
      <w:r w:rsidRPr="003966ED">
        <w:rPr>
          <w:rFonts w:ascii="Verdana" w:hAnsi="Verdana"/>
          <w:sz w:val="20"/>
          <w:szCs w:val="20"/>
          <w:lang w:val="es-CR"/>
        </w:rPr>
        <w:t xml:space="preserve"> ser interpretados </w:t>
      </w:r>
      <w:r w:rsidR="002F15E0">
        <w:rPr>
          <w:rFonts w:ascii="Verdana" w:hAnsi="Verdana"/>
          <w:sz w:val="20"/>
          <w:szCs w:val="20"/>
          <w:lang w:val="es-CR"/>
        </w:rPr>
        <w:t>y</w:t>
      </w:r>
      <w:r w:rsidRPr="003966ED">
        <w:rPr>
          <w:rFonts w:ascii="Verdana" w:hAnsi="Verdana"/>
          <w:sz w:val="20"/>
          <w:szCs w:val="20"/>
          <w:lang w:val="es-CR"/>
        </w:rPr>
        <w:t xml:space="preserve"> aplicados </w:t>
      </w:r>
      <w:r w:rsidR="00DE3742" w:rsidRPr="003966ED">
        <w:rPr>
          <w:rFonts w:ascii="Verdana" w:hAnsi="Verdana"/>
          <w:sz w:val="20"/>
          <w:szCs w:val="20"/>
          <w:lang w:val="es-CR"/>
        </w:rPr>
        <w:t xml:space="preserve">con el fin de </w:t>
      </w:r>
      <w:r w:rsidR="00DE3742">
        <w:rPr>
          <w:rFonts w:ascii="Verdana" w:hAnsi="Verdana"/>
          <w:sz w:val="20"/>
          <w:szCs w:val="20"/>
          <w:lang w:val="es-CR"/>
        </w:rPr>
        <w:t>garantizar</w:t>
      </w:r>
      <w:r w:rsidR="00DE3742" w:rsidRPr="003966ED">
        <w:rPr>
          <w:rFonts w:ascii="Verdana" w:hAnsi="Verdana"/>
          <w:sz w:val="20"/>
          <w:szCs w:val="20"/>
          <w:lang w:val="es-CR"/>
        </w:rPr>
        <w:t xml:space="preserve"> los derechos humanos de los pueblos indígenas</w:t>
      </w:r>
      <w:r w:rsidR="00DE3742">
        <w:rPr>
          <w:rFonts w:ascii="Verdana" w:hAnsi="Verdana"/>
          <w:sz w:val="20"/>
          <w:szCs w:val="20"/>
          <w:lang w:val="es-CR"/>
        </w:rPr>
        <w:t xml:space="preserve">, </w:t>
      </w:r>
      <w:r w:rsidRPr="003966ED">
        <w:rPr>
          <w:rFonts w:ascii="Verdana" w:hAnsi="Verdana"/>
          <w:sz w:val="20"/>
          <w:szCs w:val="20"/>
          <w:lang w:val="es-CR"/>
        </w:rPr>
        <w:t xml:space="preserve">tomando en cuenta los siguientes </w:t>
      </w:r>
      <w:r w:rsidR="002F15E0">
        <w:rPr>
          <w:rFonts w:ascii="Verdana" w:hAnsi="Verdana"/>
          <w:sz w:val="20"/>
          <w:szCs w:val="20"/>
          <w:lang w:val="es-CR"/>
        </w:rPr>
        <w:t>criterios</w:t>
      </w:r>
      <w:r w:rsidR="00226C52">
        <w:rPr>
          <w:rFonts w:ascii="Verdana" w:hAnsi="Verdana"/>
          <w:sz w:val="20"/>
          <w:szCs w:val="20"/>
          <w:lang w:val="es-CR"/>
        </w:rPr>
        <w:t xml:space="preserve">: </w:t>
      </w:r>
    </w:p>
    <w:p w14:paraId="1BB7C298" w14:textId="77777777" w:rsidR="009A2779" w:rsidRPr="00DE3742" w:rsidRDefault="009A2779" w:rsidP="00366D91">
      <w:pPr>
        <w:pStyle w:val="ListParagraph"/>
        <w:ind w:left="0"/>
        <w:jc w:val="both"/>
        <w:rPr>
          <w:rFonts w:ascii="Verdana" w:hAnsi="Verdana"/>
          <w:sz w:val="20"/>
          <w:szCs w:val="20"/>
          <w:lang w:val="es-ES"/>
        </w:rPr>
      </w:pPr>
    </w:p>
    <w:p w14:paraId="73B0F9B6" w14:textId="77777777" w:rsidR="00CC293F" w:rsidRPr="009E77BD" w:rsidRDefault="00CC293F" w:rsidP="00CC293F">
      <w:pPr>
        <w:pStyle w:val="ListParagraph"/>
        <w:numPr>
          <w:ilvl w:val="0"/>
          <w:numId w:val="31"/>
        </w:numPr>
        <w:tabs>
          <w:tab w:val="left" w:pos="270"/>
          <w:tab w:val="left" w:pos="709"/>
        </w:tabs>
        <w:ind w:left="426" w:firstLine="0"/>
        <w:jc w:val="both"/>
        <w:rPr>
          <w:rFonts w:ascii="Verdana" w:eastAsia="Times New Roman" w:hAnsi="Verdana"/>
          <w:spacing w:val="-2"/>
          <w:sz w:val="20"/>
          <w:szCs w:val="20"/>
          <w:lang w:val="es-CR" w:eastAsia="es-ES"/>
        </w:rPr>
      </w:pPr>
      <w:r w:rsidRPr="009E77BD">
        <w:rPr>
          <w:rFonts w:ascii="Verdana" w:hAnsi="Verdana"/>
          <w:sz w:val="20"/>
          <w:szCs w:val="20"/>
          <w:lang w:val="es-CR"/>
        </w:rPr>
        <w:t>reconocimiento de la personalidad jurídica colectiv</w:t>
      </w:r>
      <w:r w:rsidR="00A5739E" w:rsidRPr="009E77BD">
        <w:rPr>
          <w:rFonts w:ascii="Verdana" w:hAnsi="Verdana"/>
          <w:sz w:val="20"/>
          <w:szCs w:val="20"/>
          <w:lang w:val="es-CR"/>
        </w:rPr>
        <w:t>a</w:t>
      </w:r>
      <w:r w:rsidRPr="009E77BD">
        <w:rPr>
          <w:rFonts w:ascii="Verdana" w:hAnsi="Verdana"/>
          <w:sz w:val="20"/>
          <w:szCs w:val="20"/>
          <w:lang w:val="es-CR"/>
        </w:rPr>
        <w:t>, en tanto pueblos indígenas y tribales</w:t>
      </w:r>
      <w:r w:rsidRPr="009E77BD">
        <w:rPr>
          <w:rStyle w:val="FootnoteReference"/>
          <w:szCs w:val="20"/>
        </w:rPr>
        <w:footnoteReference w:id="284"/>
      </w:r>
      <w:r w:rsidRPr="009E77BD">
        <w:rPr>
          <w:rFonts w:ascii="Verdana" w:hAnsi="Verdana"/>
          <w:sz w:val="20"/>
          <w:szCs w:val="20"/>
          <w:lang w:val="es-CR"/>
        </w:rPr>
        <w:t>, así como de la personalidad jurídica individual, como miembros integrantes de dichos pueblos</w:t>
      </w:r>
      <w:r w:rsidRPr="009E77BD">
        <w:rPr>
          <w:rStyle w:val="FootnoteReference"/>
          <w:szCs w:val="20"/>
        </w:rPr>
        <w:footnoteReference w:id="285"/>
      </w:r>
      <w:r w:rsidRPr="009E77BD">
        <w:rPr>
          <w:rFonts w:ascii="Verdana" w:hAnsi="Verdana"/>
          <w:sz w:val="20"/>
          <w:szCs w:val="20"/>
          <w:lang w:val="es-CR"/>
        </w:rPr>
        <w:t>;</w:t>
      </w:r>
    </w:p>
    <w:p w14:paraId="6768B9AB" w14:textId="77777777" w:rsidR="00CC293F" w:rsidRPr="009E77BD" w:rsidRDefault="00CC293F" w:rsidP="00CC293F">
      <w:pPr>
        <w:pStyle w:val="ListParagraph"/>
        <w:tabs>
          <w:tab w:val="left" w:pos="270"/>
        </w:tabs>
        <w:ind w:left="426"/>
        <w:jc w:val="both"/>
        <w:rPr>
          <w:rFonts w:ascii="Verdana" w:eastAsia="Times New Roman" w:hAnsi="Verdana"/>
          <w:spacing w:val="-2"/>
          <w:sz w:val="20"/>
          <w:szCs w:val="20"/>
          <w:lang w:val="es-CR" w:eastAsia="es-ES"/>
        </w:rPr>
      </w:pPr>
    </w:p>
    <w:p w14:paraId="37A7CD62" w14:textId="77777777" w:rsidR="00CC293F" w:rsidRPr="009E77BD" w:rsidRDefault="00CC293F" w:rsidP="00CC293F">
      <w:pPr>
        <w:pStyle w:val="ListParagraph"/>
        <w:numPr>
          <w:ilvl w:val="0"/>
          <w:numId w:val="31"/>
        </w:numPr>
        <w:tabs>
          <w:tab w:val="left" w:pos="270"/>
        </w:tabs>
        <w:ind w:left="426" w:firstLine="0"/>
        <w:jc w:val="both"/>
        <w:rPr>
          <w:rFonts w:ascii="Verdana" w:eastAsia="Times New Roman" w:hAnsi="Verdana"/>
          <w:spacing w:val="-2"/>
          <w:sz w:val="20"/>
          <w:szCs w:val="20"/>
          <w:lang w:val="es-CR" w:eastAsia="es-ES"/>
        </w:rPr>
      </w:pPr>
      <w:r w:rsidRPr="009E77BD">
        <w:rPr>
          <w:rFonts w:ascii="Verdana" w:hAnsi="Verdana"/>
          <w:sz w:val="20"/>
          <w:szCs w:val="20"/>
          <w:lang w:val="es-CR"/>
        </w:rPr>
        <w:t xml:space="preserve">otorgamiento de capacidad legal para interponer acciones administrativas, judiciales o de cualquier otra índole de manera colectiva, a través de sus representantes, o en forma individual, tomando en cuenta sus costumbres y </w:t>
      </w:r>
      <w:r w:rsidRPr="009E77BD">
        <w:rPr>
          <w:rFonts w:ascii="Verdana" w:hAnsi="Verdana"/>
          <w:sz w:val="20"/>
          <w:szCs w:val="20"/>
          <w:lang w:val="es-MX"/>
        </w:rPr>
        <w:t>características culturales</w:t>
      </w:r>
      <w:r w:rsidRPr="009E77BD">
        <w:rPr>
          <w:rStyle w:val="FootnoteReference"/>
          <w:szCs w:val="20"/>
          <w:lang w:val="es-MX"/>
        </w:rPr>
        <w:footnoteReference w:id="286"/>
      </w:r>
      <w:r w:rsidRPr="009E77BD">
        <w:rPr>
          <w:rFonts w:ascii="Verdana" w:hAnsi="Verdana"/>
          <w:sz w:val="20"/>
          <w:szCs w:val="20"/>
          <w:lang w:val="es-MX"/>
        </w:rPr>
        <w:t>;</w:t>
      </w:r>
    </w:p>
    <w:p w14:paraId="3B7EF089" w14:textId="77777777" w:rsidR="00CC293F" w:rsidRPr="009E77BD" w:rsidRDefault="00CC293F" w:rsidP="00CC293F">
      <w:pPr>
        <w:pStyle w:val="ListParagraph"/>
        <w:rPr>
          <w:rFonts w:ascii="Verdana" w:eastAsia="Times New Roman" w:hAnsi="Verdana"/>
          <w:spacing w:val="-2"/>
          <w:sz w:val="20"/>
          <w:szCs w:val="20"/>
          <w:lang w:val="es-CR" w:eastAsia="es-ES"/>
        </w:rPr>
      </w:pPr>
    </w:p>
    <w:p w14:paraId="0FDE79A3" w14:textId="77777777" w:rsidR="00CC293F" w:rsidRDefault="00CC293F" w:rsidP="00DE3742">
      <w:pPr>
        <w:pStyle w:val="ListParagraph"/>
        <w:numPr>
          <w:ilvl w:val="0"/>
          <w:numId w:val="31"/>
        </w:numPr>
        <w:tabs>
          <w:tab w:val="left" w:pos="270"/>
        </w:tabs>
        <w:ind w:left="426" w:firstLine="0"/>
        <w:jc w:val="both"/>
        <w:rPr>
          <w:rFonts w:ascii="Verdana" w:eastAsia="Times New Roman" w:hAnsi="Verdana"/>
          <w:spacing w:val="-2"/>
          <w:sz w:val="20"/>
          <w:szCs w:val="20"/>
          <w:lang w:val="es-CR" w:eastAsia="es-ES"/>
        </w:rPr>
      </w:pPr>
      <w:r w:rsidRPr="009E77BD">
        <w:rPr>
          <w:rFonts w:ascii="Verdana" w:hAnsi="Verdana"/>
          <w:sz w:val="20"/>
          <w:szCs w:val="20"/>
          <w:lang w:val="es-CR"/>
        </w:rPr>
        <w:t>garantía de acceso a la justicia de las víctimas -en tanto miembros de un pueblo indígena o tribal- sin discriminación</w:t>
      </w:r>
      <w:r w:rsidRPr="00DE3742">
        <w:rPr>
          <w:rStyle w:val="FootnoteReference"/>
          <w:szCs w:val="20"/>
          <w:lang w:val="es-CR"/>
        </w:rPr>
        <w:footnoteReference w:id="287"/>
      </w:r>
      <w:r w:rsidRPr="009E77BD">
        <w:rPr>
          <w:rFonts w:ascii="Verdana" w:hAnsi="Verdana"/>
          <w:sz w:val="20"/>
          <w:szCs w:val="20"/>
          <w:lang w:val="es-CR"/>
        </w:rPr>
        <w:t xml:space="preserve"> y conforme a las reglas del debido proceso</w:t>
      </w:r>
      <w:r w:rsidRPr="009E77BD">
        <w:rPr>
          <w:rStyle w:val="FootnoteReference"/>
          <w:rFonts w:eastAsia="Times New Roman"/>
          <w:szCs w:val="20"/>
          <w:lang w:val="es-CR"/>
        </w:rPr>
        <w:footnoteReference w:id="288"/>
      </w:r>
      <w:r w:rsidRPr="009E77BD">
        <w:rPr>
          <w:rFonts w:ascii="Verdana" w:hAnsi="Verdana"/>
          <w:sz w:val="20"/>
          <w:szCs w:val="20"/>
          <w:lang w:val="es-CR"/>
        </w:rPr>
        <w:t xml:space="preserve">, por lo que </w:t>
      </w:r>
      <w:r w:rsidRPr="009E77BD">
        <w:rPr>
          <w:rFonts w:ascii="Verdana" w:eastAsia="Times New Roman" w:hAnsi="Verdana"/>
          <w:spacing w:val="-2"/>
          <w:sz w:val="20"/>
          <w:szCs w:val="20"/>
          <w:lang w:val="es-CR" w:eastAsia="es-ES"/>
        </w:rPr>
        <w:t>el recurso disponible deberá ser:</w:t>
      </w:r>
    </w:p>
    <w:p w14:paraId="4A378F51" w14:textId="77777777" w:rsidR="00C33A35" w:rsidRPr="004B0145" w:rsidRDefault="00C33A35" w:rsidP="004B0145">
      <w:pPr>
        <w:pStyle w:val="ListParagraph"/>
        <w:rPr>
          <w:rFonts w:ascii="Verdana" w:eastAsia="Times New Roman" w:hAnsi="Verdana"/>
          <w:spacing w:val="-2"/>
          <w:sz w:val="20"/>
          <w:szCs w:val="20"/>
          <w:lang w:val="es-CR" w:eastAsia="es-ES"/>
        </w:rPr>
      </w:pPr>
    </w:p>
    <w:p w14:paraId="64ED08BA" w14:textId="77777777" w:rsidR="00CC293F" w:rsidRPr="00156905" w:rsidRDefault="00F2069A" w:rsidP="00DE3742">
      <w:pPr>
        <w:pStyle w:val="ListParagraph"/>
        <w:numPr>
          <w:ilvl w:val="0"/>
          <w:numId w:val="32"/>
        </w:numPr>
        <w:tabs>
          <w:tab w:val="left" w:pos="270"/>
          <w:tab w:val="left" w:pos="1134"/>
        </w:tabs>
        <w:ind w:left="709" w:firstLine="0"/>
        <w:jc w:val="both"/>
        <w:rPr>
          <w:rFonts w:ascii="Verdana" w:eastAsia="Times New Roman" w:hAnsi="Verdana"/>
          <w:spacing w:val="-2"/>
          <w:sz w:val="18"/>
          <w:szCs w:val="18"/>
          <w:lang w:val="es-CR" w:eastAsia="es-ES"/>
        </w:rPr>
      </w:pPr>
      <w:r>
        <w:rPr>
          <w:rFonts w:ascii="Verdana" w:eastAsia="Times New Roman" w:hAnsi="Verdana"/>
          <w:spacing w:val="-2"/>
          <w:sz w:val="18"/>
          <w:szCs w:val="18"/>
          <w:lang w:val="es-CR" w:eastAsia="es-ES"/>
        </w:rPr>
        <w:t>a</w:t>
      </w:r>
      <w:r w:rsidR="00CC293F" w:rsidRPr="00BC6F15">
        <w:rPr>
          <w:rFonts w:ascii="Verdana" w:eastAsia="Times New Roman" w:hAnsi="Verdana"/>
          <w:spacing w:val="-2"/>
          <w:sz w:val="18"/>
          <w:szCs w:val="18"/>
          <w:lang w:val="es-CR" w:eastAsia="es-ES"/>
        </w:rPr>
        <w:t>ccesible</w:t>
      </w:r>
      <w:r w:rsidR="00CC293F" w:rsidRPr="00FB5943">
        <w:rPr>
          <w:rStyle w:val="FootnoteReference"/>
          <w:rFonts w:eastAsia="Times New Roman"/>
          <w:spacing w:val="-2"/>
          <w:sz w:val="18"/>
          <w:szCs w:val="18"/>
          <w:lang w:val="es-CR" w:eastAsia="es-ES"/>
        </w:rPr>
        <w:footnoteReference w:id="289"/>
      </w:r>
      <w:r w:rsidR="00CC293F" w:rsidRPr="00FB5943">
        <w:rPr>
          <w:rFonts w:ascii="Verdana" w:eastAsia="Times New Roman" w:hAnsi="Verdana"/>
          <w:spacing w:val="-2"/>
          <w:sz w:val="18"/>
          <w:szCs w:val="18"/>
          <w:lang w:val="es-CR" w:eastAsia="es-ES"/>
        </w:rPr>
        <w:t xml:space="preserve">, sencillo y </w:t>
      </w:r>
      <w:r w:rsidR="00F8475C" w:rsidRPr="00F8475C">
        <w:rPr>
          <w:rFonts w:ascii="Verdana" w:eastAsia="Times New Roman" w:hAnsi="Verdana"/>
          <w:spacing w:val="-2"/>
          <w:sz w:val="18"/>
          <w:szCs w:val="18"/>
          <w:lang w:val="es-CR" w:eastAsia="es-ES"/>
        </w:rPr>
        <w:t>dentro de</w:t>
      </w:r>
      <w:r w:rsidR="00CC293F" w:rsidRPr="00400A3D">
        <w:rPr>
          <w:rFonts w:ascii="Verdana" w:eastAsia="Times New Roman" w:hAnsi="Verdana"/>
          <w:spacing w:val="-2"/>
          <w:sz w:val="18"/>
          <w:szCs w:val="18"/>
          <w:lang w:val="es-CR" w:eastAsia="es-ES"/>
        </w:rPr>
        <w:t xml:space="preserve"> un</w:t>
      </w:r>
      <w:r w:rsidR="00CC293F" w:rsidRPr="00FB5943">
        <w:rPr>
          <w:rFonts w:ascii="Verdana" w:eastAsia="Times New Roman" w:hAnsi="Verdana"/>
          <w:spacing w:val="-2"/>
          <w:sz w:val="18"/>
          <w:szCs w:val="18"/>
          <w:lang w:val="es-CR" w:eastAsia="es-ES"/>
        </w:rPr>
        <w:t xml:space="preserve"> plazo razonable</w:t>
      </w:r>
      <w:r w:rsidR="00CC293F" w:rsidRPr="00FB5943">
        <w:rPr>
          <w:rStyle w:val="FootnoteReference"/>
          <w:rFonts w:eastAsia="Times New Roman"/>
          <w:spacing w:val="-2"/>
          <w:sz w:val="18"/>
          <w:szCs w:val="18"/>
          <w:lang w:val="es-CR" w:eastAsia="es-ES"/>
        </w:rPr>
        <w:footnoteReference w:id="290"/>
      </w:r>
      <w:r w:rsidR="00CC293F" w:rsidRPr="00FB5943">
        <w:rPr>
          <w:rFonts w:ascii="Verdana" w:eastAsia="Times New Roman" w:hAnsi="Verdana"/>
          <w:spacing w:val="-2"/>
          <w:sz w:val="18"/>
          <w:szCs w:val="18"/>
          <w:lang w:val="es-CR" w:eastAsia="es-ES"/>
        </w:rPr>
        <w:t>. Ello implica, entre otras cosas, el establecimiento de medidas especiales par</w:t>
      </w:r>
      <w:r w:rsidR="00CC293F" w:rsidRPr="00156905">
        <w:rPr>
          <w:rFonts w:ascii="Verdana" w:eastAsia="Times New Roman" w:hAnsi="Verdana"/>
          <w:spacing w:val="-2"/>
          <w:sz w:val="18"/>
          <w:szCs w:val="18"/>
          <w:lang w:val="es-CR" w:eastAsia="es-ES"/>
        </w:rPr>
        <w:t xml:space="preserve">a asegurar el acceso efectivo y eliminación de obstáculos de acceso a la justicia, a saber: </w:t>
      </w:r>
    </w:p>
    <w:p w14:paraId="7474AF58" w14:textId="77777777" w:rsidR="00CC293F" w:rsidRPr="00156905" w:rsidRDefault="00CC293F" w:rsidP="00E26BFE">
      <w:pPr>
        <w:pStyle w:val="ListParagraph"/>
        <w:tabs>
          <w:tab w:val="left" w:pos="270"/>
        </w:tabs>
        <w:ind w:left="426"/>
        <w:jc w:val="both"/>
        <w:rPr>
          <w:rFonts w:ascii="Verdana" w:eastAsia="Times New Roman" w:hAnsi="Verdana"/>
          <w:spacing w:val="-2"/>
          <w:sz w:val="18"/>
          <w:szCs w:val="18"/>
          <w:lang w:val="es-CR" w:eastAsia="es-ES"/>
        </w:rPr>
      </w:pPr>
    </w:p>
    <w:p w14:paraId="3B77B2C3" w14:textId="77777777" w:rsidR="00DE3742" w:rsidRPr="009E77BD" w:rsidRDefault="00CC293F" w:rsidP="00DB1CC3">
      <w:pPr>
        <w:pStyle w:val="ListParagraph"/>
        <w:numPr>
          <w:ilvl w:val="0"/>
          <w:numId w:val="33"/>
        </w:numPr>
        <w:tabs>
          <w:tab w:val="left" w:pos="142"/>
        </w:tabs>
        <w:ind w:left="993" w:firstLine="0"/>
        <w:jc w:val="both"/>
        <w:rPr>
          <w:rFonts w:ascii="Verdana" w:eastAsia="Times New Roman" w:hAnsi="Verdana"/>
          <w:spacing w:val="-2"/>
          <w:sz w:val="18"/>
          <w:szCs w:val="18"/>
          <w:lang w:val="es-CR" w:eastAsia="es-ES"/>
        </w:rPr>
      </w:pPr>
      <w:r w:rsidRPr="003966ED">
        <w:rPr>
          <w:rFonts w:ascii="Verdana" w:eastAsia="Times New Roman" w:hAnsi="Verdana"/>
          <w:sz w:val="18"/>
          <w:szCs w:val="18"/>
          <w:lang w:val="es-CR"/>
        </w:rPr>
        <w:t xml:space="preserve">asegurar que </w:t>
      </w:r>
      <w:r w:rsidRPr="002E4F7F">
        <w:rPr>
          <w:rFonts w:ascii="Verdana" w:hAnsi="Verdana"/>
          <w:sz w:val="18"/>
          <w:szCs w:val="18"/>
          <w:lang w:val="es-CR"/>
        </w:rPr>
        <w:t>los miembros de la comunidad</w:t>
      </w:r>
      <w:r w:rsidRPr="002E4F7F">
        <w:rPr>
          <w:rFonts w:ascii="Verdana" w:eastAsia="Times New Roman" w:hAnsi="Verdana"/>
          <w:sz w:val="18"/>
          <w:szCs w:val="18"/>
          <w:lang w:val="es-CR"/>
        </w:rPr>
        <w:t xml:space="preserve"> puedan comprender y hacerse comprender en los procedimientos legales iniciados, facilitándoles intérpretes u otros medio</w:t>
      </w:r>
      <w:r w:rsidRPr="00BC6F15">
        <w:rPr>
          <w:rFonts w:ascii="Verdana" w:eastAsia="Times New Roman" w:hAnsi="Verdana"/>
          <w:sz w:val="18"/>
          <w:szCs w:val="18"/>
          <w:lang w:val="es-CR"/>
        </w:rPr>
        <w:t>s eficaces para tal fin</w:t>
      </w:r>
      <w:r w:rsidRPr="00FB5943">
        <w:rPr>
          <w:rStyle w:val="FootnoteReference"/>
          <w:rFonts w:eastAsia="Times New Roman"/>
          <w:sz w:val="18"/>
          <w:szCs w:val="18"/>
        </w:rPr>
        <w:footnoteReference w:id="291"/>
      </w:r>
      <w:r w:rsidR="00DE3742">
        <w:rPr>
          <w:rFonts w:ascii="Verdana" w:eastAsia="Times New Roman" w:hAnsi="Verdana"/>
          <w:sz w:val="18"/>
          <w:szCs w:val="18"/>
          <w:lang w:val="es-CR"/>
        </w:rPr>
        <w:t>;</w:t>
      </w:r>
    </w:p>
    <w:p w14:paraId="7A11BCFA" w14:textId="77777777" w:rsidR="00CC293F" w:rsidRPr="00156905" w:rsidRDefault="00CC293F" w:rsidP="009E77BD">
      <w:pPr>
        <w:pStyle w:val="ListParagraph"/>
        <w:tabs>
          <w:tab w:val="left" w:pos="142"/>
        </w:tabs>
        <w:ind w:left="993"/>
        <w:jc w:val="both"/>
        <w:rPr>
          <w:rFonts w:ascii="Verdana" w:eastAsia="Times New Roman" w:hAnsi="Verdana"/>
          <w:spacing w:val="-2"/>
          <w:sz w:val="18"/>
          <w:szCs w:val="18"/>
          <w:lang w:val="es-CR" w:eastAsia="es-ES"/>
        </w:rPr>
      </w:pPr>
    </w:p>
    <w:p w14:paraId="158BB05E" w14:textId="77777777" w:rsidR="00CC293F" w:rsidRPr="004B0145" w:rsidRDefault="00CC293F" w:rsidP="00DE3742">
      <w:pPr>
        <w:pStyle w:val="ListParagraph"/>
        <w:numPr>
          <w:ilvl w:val="0"/>
          <w:numId w:val="33"/>
        </w:numPr>
        <w:tabs>
          <w:tab w:val="left" w:pos="142"/>
        </w:tabs>
        <w:ind w:left="993" w:firstLine="0"/>
        <w:jc w:val="both"/>
        <w:rPr>
          <w:rFonts w:ascii="Verdana" w:eastAsia="Times New Roman" w:hAnsi="Verdana"/>
          <w:spacing w:val="-2"/>
          <w:sz w:val="18"/>
          <w:szCs w:val="18"/>
          <w:lang w:val="es-CR" w:eastAsia="es-ES"/>
        </w:rPr>
      </w:pPr>
      <w:r w:rsidRPr="00240FC6">
        <w:rPr>
          <w:rFonts w:ascii="Verdana" w:hAnsi="Verdana"/>
          <w:sz w:val="18"/>
          <w:szCs w:val="18"/>
          <w:lang w:val="es-CR"/>
        </w:rPr>
        <w:t>proporcionar</w:t>
      </w:r>
      <w:r>
        <w:rPr>
          <w:rFonts w:ascii="Verdana" w:hAnsi="Verdana"/>
          <w:sz w:val="18"/>
          <w:szCs w:val="18"/>
          <w:lang w:val="es-CR"/>
        </w:rPr>
        <w:t xml:space="preserve"> el acceso</w:t>
      </w:r>
      <w:r w:rsidRPr="00240FC6">
        <w:rPr>
          <w:rFonts w:ascii="Verdana" w:hAnsi="Verdana"/>
          <w:sz w:val="18"/>
          <w:szCs w:val="18"/>
          <w:lang w:val="es-CR"/>
        </w:rPr>
        <w:t xml:space="preserve"> </w:t>
      </w:r>
      <w:r w:rsidRPr="00D2274D">
        <w:rPr>
          <w:rFonts w:ascii="Verdana" w:hAnsi="Verdana"/>
          <w:iCs/>
          <w:sz w:val="18"/>
          <w:szCs w:val="18"/>
          <w:lang w:val="es-CR"/>
        </w:rPr>
        <w:t xml:space="preserve">a los pueblos indígenas </w:t>
      </w:r>
      <w:r>
        <w:rPr>
          <w:rFonts w:ascii="Verdana" w:hAnsi="Verdana"/>
          <w:iCs/>
          <w:sz w:val="18"/>
          <w:szCs w:val="18"/>
          <w:lang w:val="es-CR"/>
        </w:rPr>
        <w:t xml:space="preserve">y tribales a </w:t>
      </w:r>
      <w:r w:rsidRPr="00D2274D">
        <w:rPr>
          <w:rFonts w:ascii="Verdana" w:hAnsi="Verdana"/>
          <w:iCs/>
          <w:sz w:val="18"/>
          <w:szCs w:val="18"/>
          <w:lang w:val="es-CR"/>
        </w:rPr>
        <w:t>asistencia técnica</w:t>
      </w:r>
      <w:r>
        <w:rPr>
          <w:rFonts w:ascii="Verdana" w:hAnsi="Verdana"/>
          <w:iCs/>
          <w:sz w:val="18"/>
          <w:szCs w:val="18"/>
          <w:lang w:val="es-CR"/>
        </w:rPr>
        <w:t xml:space="preserve"> y legal</w:t>
      </w:r>
      <w:r w:rsidRPr="00D2274D">
        <w:rPr>
          <w:rFonts w:ascii="Verdana" w:hAnsi="Verdana"/>
          <w:iCs/>
          <w:sz w:val="18"/>
          <w:szCs w:val="18"/>
          <w:lang w:val="es-CR"/>
        </w:rPr>
        <w:t xml:space="preserve"> en relación con su derecho a la propiedad colectiva</w:t>
      </w:r>
      <w:r w:rsidRPr="00D2274D">
        <w:rPr>
          <w:rStyle w:val="FootnoteReference"/>
          <w:sz w:val="18"/>
          <w:szCs w:val="18"/>
        </w:rPr>
        <w:footnoteReference w:id="292"/>
      </w:r>
      <w:r w:rsidRPr="00D2274D">
        <w:rPr>
          <w:rFonts w:ascii="Verdana" w:hAnsi="Verdana"/>
          <w:sz w:val="18"/>
          <w:szCs w:val="18"/>
          <w:lang w:val="es-CR"/>
        </w:rPr>
        <w:t xml:space="preserve">, </w:t>
      </w:r>
      <w:r w:rsidRPr="00240FC6">
        <w:rPr>
          <w:rFonts w:ascii="Verdana" w:hAnsi="Verdana"/>
          <w:sz w:val="18"/>
          <w:szCs w:val="18"/>
          <w:lang w:val="es-CR"/>
        </w:rPr>
        <w:t xml:space="preserve">en el supuesto de que estos </w:t>
      </w:r>
      <w:r>
        <w:rPr>
          <w:rFonts w:ascii="Verdana" w:hAnsi="Verdana"/>
          <w:sz w:val="18"/>
          <w:szCs w:val="18"/>
          <w:lang w:val="es-CR"/>
        </w:rPr>
        <w:t xml:space="preserve">se encontrasen </w:t>
      </w:r>
      <w:r w:rsidRPr="00240FC6">
        <w:rPr>
          <w:rFonts w:ascii="Verdana" w:hAnsi="Verdana"/>
          <w:sz w:val="18"/>
          <w:szCs w:val="18"/>
          <w:lang w:val="es-CR"/>
        </w:rPr>
        <w:t xml:space="preserve">en </w:t>
      </w:r>
      <w:r>
        <w:rPr>
          <w:rFonts w:ascii="Verdana" w:hAnsi="Verdana"/>
          <w:sz w:val="18"/>
          <w:szCs w:val="18"/>
          <w:lang w:val="es-CR"/>
        </w:rPr>
        <w:t>una</w:t>
      </w:r>
      <w:r w:rsidRPr="00D2274D">
        <w:rPr>
          <w:rFonts w:ascii="Verdana" w:hAnsi="Verdana"/>
          <w:sz w:val="18"/>
          <w:szCs w:val="18"/>
          <w:lang w:val="es-CR"/>
        </w:rPr>
        <w:t xml:space="preserve"> </w:t>
      </w:r>
      <w:r w:rsidRPr="00240FC6">
        <w:rPr>
          <w:rFonts w:ascii="Verdana" w:hAnsi="Verdana"/>
          <w:sz w:val="18"/>
          <w:szCs w:val="18"/>
          <w:lang w:val="es-CR"/>
        </w:rPr>
        <w:t xml:space="preserve">situación de vulnerabilidad </w:t>
      </w:r>
      <w:r>
        <w:rPr>
          <w:rFonts w:ascii="Verdana" w:hAnsi="Verdana"/>
          <w:sz w:val="18"/>
          <w:szCs w:val="18"/>
          <w:lang w:val="es-CR"/>
        </w:rPr>
        <w:t>que les impediría</w:t>
      </w:r>
      <w:r w:rsidRPr="00240FC6">
        <w:rPr>
          <w:rFonts w:ascii="Verdana" w:hAnsi="Verdana"/>
          <w:sz w:val="18"/>
          <w:szCs w:val="18"/>
          <w:lang w:val="es-CR"/>
        </w:rPr>
        <w:t xml:space="preserve"> conseguirla, y</w:t>
      </w:r>
    </w:p>
    <w:p w14:paraId="263B1ED1" w14:textId="77777777" w:rsidR="003D75CF" w:rsidRPr="004B0145" w:rsidRDefault="003D75CF" w:rsidP="004B0145">
      <w:pPr>
        <w:tabs>
          <w:tab w:val="left" w:pos="142"/>
        </w:tabs>
        <w:jc w:val="both"/>
        <w:rPr>
          <w:rFonts w:ascii="Verdana" w:eastAsia="Times New Roman" w:hAnsi="Verdana"/>
          <w:spacing w:val="-2"/>
          <w:sz w:val="18"/>
          <w:szCs w:val="18"/>
          <w:lang w:val="es-CR" w:eastAsia="es-ES"/>
        </w:rPr>
      </w:pPr>
    </w:p>
    <w:p w14:paraId="4C891BCF" w14:textId="77777777" w:rsidR="00CC293F" w:rsidRPr="00156905" w:rsidRDefault="00CC293F" w:rsidP="00DE3742">
      <w:pPr>
        <w:pStyle w:val="ListParagraph"/>
        <w:numPr>
          <w:ilvl w:val="0"/>
          <w:numId w:val="33"/>
        </w:numPr>
        <w:tabs>
          <w:tab w:val="left" w:pos="142"/>
        </w:tabs>
        <w:ind w:left="992" w:firstLine="0"/>
        <w:jc w:val="both"/>
        <w:rPr>
          <w:rFonts w:ascii="Verdana" w:eastAsia="Times New Roman" w:hAnsi="Verdana"/>
          <w:spacing w:val="-2"/>
          <w:sz w:val="18"/>
          <w:szCs w:val="18"/>
          <w:lang w:val="es-CR" w:eastAsia="es-ES"/>
        </w:rPr>
      </w:pPr>
      <w:r>
        <w:rPr>
          <w:rFonts w:ascii="Verdana" w:eastAsia="Times New Roman" w:hAnsi="Verdana"/>
          <w:sz w:val="18"/>
          <w:szCs w:val="18"/>
          <w:lang w:val="es-CR"/>
        </w:rPr>
        <w:t>facilitar el acceso</w:t>
      </w:r>
      <w:r w:rsidRPr="00BC6F15">
        <w:rPr>
          <w:rFonts w:ascii="Verdana" w:eastAsia="Times New Roman" w:hAnsi="Verdana"/>
          <w:sz w:val="18"/>
          <w:szCs w:val="18"/>
          <w:lang w:val="es-CR"/>
        </w:rPr>
        <w:t xml:space="preserve"> físi</w:t>
      </w:r>
      <w:r>
        <w:rPr>
          <w:rFonts w:ascii="Verdana" w:eastAsia="Times New Roman" w:hAnsi="Verdana"/>
          <w:sz w:val="18"/>
          <w:szCs w:val="18"/>
          <w:lang w:val="es-CR"/>
        </w:rPr>
        <w:t>co</w:t>
      </w:r>
      <w:r w:rsidRPr="00BC6F15">
        <w:rPr>
          <w:rFonts w:ascii="Verdana" w:eastAsia="Times New Roman" w:hAnsi="Verdana"/>
          <w:sz w:val="18"/>
          <w:szCs w:val="18"/>
          <w:lang w:val="es-CR"/>
        </w:rPr>
        <w:t xml:space="preserve"> a </w:t>
      </w:r>
      <w:r w:rsidRPr="00BC6F15">
        <w:rPr>
          <w:rFonts w:ascii="Verdana" w:hAnsi="Verdana"/>
          <w:sz w:val="18"/>
          <w:szCs w:val="18"/>
          <w:lang w:val="es-CR"/>
        </w:rPr>
        <w:t>las instituciones administrativas y judiciales, o a</w:t>
      </w:r>
      <w:r w:rsidRPr="00BC6F15">
        <w:rPr>
          <w:rFonts w:ascii="Verdana" w:eastAsia="Times New Roman" w:hAnsi="Verdana"/>
          <w:sz w:val="18"/>
          <w:szCs w:val="18"/>
          <w:lang w:val="es-CR"/>
        </w:rPr>
        <w:t xml:space="preserve"> los</w:t>
      </w:r>
      <w:r>
        <w:rPr>
          <w:rFonts w:ascii="Verdana" w:eastAsia="Times New Roman" w:hAnsi="Verdana"/>
          <w:sz w:val="18"/>
          <w:szCs w:val="18"/>
          <w:lang w:val="es-CR"/>
        </w:rPr>
        <w:t xml:space="preserve"> organismos encargados de garantizar el derecho a la propiedad colectiva de los pueblos indígenas y tribales, </w:t>
      </w:r>
      <w:r w:rsidRPr="00BC6F15">
        <w:rPr>
          <w:rFonts w:ascii="Verdana" w:eastAsia="Times New Roman" w:hAnsi="Verdana"/>
          <w:sz w:val="18"/>
          <w:szCs w:val="18"/>
          <w:lang w:val="es-CR"/>
        </w:rPr>
        <w:t xml:space="preserve">así como </w:t>
      </w:r>
      <w:r>
        <w:rPr>
          <w:rFonts w:ascii="Verdana" w:eastAsia="Times New Roman" w:hAnsi="Verdana"/>
          <w:sz w:val="18"/>
          <w:szCs w:val="18"/>
          <w:lang w:val="es-CR"/>
        </w:rPr>
        <w:t xml:space="preserve">facilitar la </w:t>
      </w:r>
      <w:r w:rsidRPr="00BC6F15">
        <w:rPr>
          <w:rFonts w:ascii="Verdana" w:eastAsia="Times New Roman" w:hAnsi="Verdana"/>
          <w:sz w:val="18"/>
          <w:szCs w:val="18"/>
          <w:lang w:val="es-CR"/>
        </w:rPr>
        <w:t>participa</w:t>
      </w:r>
      <w:r>
        <w:rPr>
          <w:rFonts w:ascii="Verdana" w:eastAsia="Times New Roman" w:hAnsi="Verdana"/>
          <w:sz w:val="18"/>
          <w:szCs w:val="18"/>
          <w:lang w:val="es-CR"/>
        </w:rPr>
        <w:t>ción</w:t>
      </w:r>
      <w:r w:rsidRPr="00BC6F15">
        <w:rPr>
          <w:rFonts w:ascii="Verdana" w:eastAsia="Times New Roman" w:hAnsi="Verdana"/>
          <w:sz w:val="18"/>
          <w:szCs w:val="18"/>
          <w:lang w:val="es-CR"/>
        </w:rPr>
        <w:t xml:space="preserve"> </w:t>
      </w:r>
      <w:r>
        <w:rPr>
          <w:rFonts w:ascii="Verdana" w:eastAsia="Times New Roman" w:hAnsi="Verdana"/>
          <w:sz w:val="18"/>
          <w:szCs w:val="18"/>
          <w:lang w:val="es-CR"/>
        </w:rPr>
        <w:t xml:space="preserve">de los pueblos </w:t>
      </w:r>
      <w:r w:rsidRPr="00BC6F15">
        <w:rPr>
          <w:rFonts w:ascii="Verdana" w:eastAsia="Times New Roman" w:hAnsi="Verdana"/>
          <w:sz w:val="18"/>
          <w:szCs w:val="18"/>
          <w:lang w:val="es-CR"/>
        </w:rPr>
        <w:t xml:space="preserve">en </w:t>
      </w:r>
      <w:r>
        <w:rPr>
          <w:rFonts w:ascii="Verdana" w:eastAsia="Times New Roman" w:hAnsi="Verdana"/>
          <w:sz w:val="18"/>
          <w:szCs w:val="18"/>
          <w:lang w:val="es-CR"/>
        </w:rPr>
        <w:t xml:space="preserve">el desarrollo de </w:t>
      </w:r>
      <w:r w:rsidRPr="00FB5943">
        <w:rPr>
          <w:rFonts w:ascii="Verdana" w:hAnsi="Verdana"/>
          <w:sz w:val="18"/>
          <w:szCs w:val="18"/>
          <w:lang w:val="es-CR"/>
        </w:rPr>
        <w:t>los procesos judiciales, administrati</w:t>
      </w:r>
      <w:r w:rsidRPr="003966ED">
        <w:rPr>
          <w:rFonts w:ascii="Verdana" w:hAnsi="Verdana"/>
          <w:sz w:val="18"/>
          <w:szCs w:val="18"/>
          <w:lang w:val="es-CR"/>
        </w:rPr>
        <w:t>vos o de cualquier otra índole,</w:t>
      </w:r>
      <w:r w:rsidRPr="002E4F7F">
        <w:rPr>
          <w:rFonts w:ascii="Verdana" w:eastAsia="Times New Roman" w:hAnsi="Verdana"/>
          <w:sz w:val="18"/>
          <w:szCs w:val="18"/>
          <w:lang w:val="es-CR"/>
        </w:rPr>
        <w:t xml:space="preserve"> sin que ello </w:t>
      </w:r>
      <w:r>
        <w:rPr>
          <w:rFonts w:ascii="Verdana" w:eastAsia="Times New Roman" w:hAnsi="Verdana"/>
          <w:sz w:val="18"/>
          <w:szCs w:val="18"/>
          <w:lang w:val="es-CR"/>
        </w:rPr>
        <w:t xml:space="preserve">les </w:t>
      </w:r>
      <w:r w:rsidRPr="002E4F7F">
        <w:rPr>
          <w:rFonts w:ascii="Verdana" w:eastAsia="Times New Roman" w:hAnsi="Verdana"/>
          <w:sz w:val="18"/>
          <w:szCs w:val="18"/>
          <w:lang w:val="es-CR"/>
        </w:rPr>
        <w:t>implique hacer esfuerzos desmedidos o exagerados</w:t>
      </w:r>
      <w:r w:rsidRPr="00FB5943">
        <w:rPr>
          <w:rStyle w:val="FootnoteReference"/>
          <w:rFonts w:eastAsia="Times New Roman"/>
          <w:sz w:val="18"/>
          <w:szCs w:val="18"/>
        </w:rPr>
        <w:footnoteReference w:id="293"/>
      </w:r>
      <w:r w:rsidRPr="00FB5943">
        <w:rPr>
          <w:rFonts w:ascii="Verdana" w:eastAsia="Times New Roman" w:hAnsi="Verdana"/>
          <w:sz w:val="18"/>
          <w:szCs w:val="18"/>
          <w:lang w:val="es-CR"/>
        </w:rPr>
        <w:t>, ya sea debido a las distancias o a las vías de acceso a dichas instituciones, o a</w:t>
      </w:r>
      <w:r w:rsidRPr="003966ED">
        <w:rPr>
          <w:rFonts w:ascii="Verdana" w:hAnsi="Verdana"/>
          <w:sz w:val="18"/>
          <w:szCs w:val="18"/>
          <w:lang w:val="es-CR"/>
        </w:rPr>
        <w:t xml:space="preserve"> los altos costos en virtud de los procedimientos</w:t>
      </w:r>
      <w:r w:rsidRPr="00FB5943">
        <w:rPr>
          <w:rStyle w:val="FootnoteReference"/>
          <w:sz w:val="18"/>
          <w:szCs w:val="18"/>
        </w:rPr>
        <w:footnoteReference w:id="294"/>
      </w:r>
      <w:r w:rsidRPr="00FB5943">
        <w:rPr>
          <w:rFonts w:ascii="Verdana" w:hAnsi="Verdana"/>
          <w:sz w:val="18"/>
          <w:szCs w:val="18"/>
          <w:lang w:val="es-CR"/>
        </w:rPr>
        <w:t>.</w:t>
      </w:r>
    </w:p>
    <w:p w14:paraId="743475B7" w14:textId="77777777" w:rsidR="00CC293F" w:rsidRPr="00156905" w:rsidRDefault="00F2069A" w:rsidP="00DB1CC3">
      <w:pPr>
        <w:pStyle w:val="ListParagraph"/>
        <w:numPr>
          <w:ilvl w:val="0"/>
          <w:numId w:val="32"/>
        </w:numPr>
        <w:tabs>
          <w:tab w:val="left" w:pos="270"/>
          <w:tab w:val="left" w:pos="1134"/>
        </w:tabs>
        <w:ind w:left="709" w:firstLine="0"/>
        <w:jc w:val="both"/>
        <w:rPr>
          <w:rFonts w:ascii="Verdana" w:eastAsia="Times New Roman" w:hAnsi="Verdana"/>
          <w:spacing w:val="-2"/>
          <w:sz w:val="18"/>
          <w:szCs w:val="18"/>
          <w:lang w:val="es-CR" w:eastAsia="es-ES"/>
        </w:rPr>
      </w:pPr>
      <w:r>
        <w:rPr>
          <w:rFonts w:ascii="Verdana" w:eastAsia="Times New Roman" w:hAnsi="Verdana"/>
          <w:spacing w:val="-2"/>
          <w:sz w:val="18"/>
          <w:szCs w:val="18"/>
          <w:lang w:val="es-CR" w:eastAsia="es-ES"/>
        </w:rPr>
        <w:lastRenderedPageBreak/>
        <w:t>a</w:t>
      </w:r>
      <w:r w:rsidR="00CC293F" w:rsidRPr="00BC6F15">
        <w:rPr>
          <w:rFonts w:ascii="Verdana" w:eastAsia="Times New Roman" w:hAnsi="Verdana"/>
          <w:spacing w:val="-2"/>
          <w:sz w:val="18"/>
          <w:szCs w:val="18"/>
          <w:lang w:val="es-CR" w:eastAsia="es-ES"/>
        </w:rPr>
        <w:t xml:space="preserve">decuado y efectivo </w:t>
      </w:r>
      <w:r w:rsidR="00CC293F" w:rsidRPr="00BC6F15">
        <w:rPr>
          <w:rFonts w:ascii="Verdana" w:hAnsi="Verdana"/>
          <w:sz w:val="18"/>
          <w:szCs w:val="18"/>
          <w:lang w:val="es-ES"/>
        </w:rPr>
        <w:t xml:space="preserve">para proteger, garantizar y promover </w:t>
      </w:r>
      <w:r w:rsidR="00CC293F">
        <w:rPr>
          <w:rFonts w:ascii="Verdana" w:hAnsi="Verdana"/>
          <w:sz w:val="18"/>
          <w:szCs w:val="18"/>
          <w:lang w:val="es-ES"/>
        </w:rPr>
        <w:t>los</w:t>
      </w:r>
      <w:r w:rsidR="00CC293F" w:rsidRPr="00BC6F15">
        <w:rPr>
          <w:rFonts w:ascii="Verdana" w:hAnsi="Verdana"/>
          <w:sz w:val="18"/>
          <w:szCs w:val="18"/>
          <w:lang w:val="es-ES"/>
        </w:rPr>
        <w:t xml:space="preserve"> derechos sobre </w:t>
      </w:r>
      <w:r w:rsidR="00CC293F">
        <w:rPr>
          <w:rFonts w:ascii="Verdana" w:hAnsi="Verdana"/>
          <w:sz w:val="18"/>
          <w:szCs w:val="18"/>
          <w:lang w:val="es-ES"/>
        </w:rPr>
        <w:t>su</w:t>
      </w:r>
      <w:r w:rsidR="00CC293F" w:rsidRPr="00BC6F15">
        <w:rPr>
          <w:rFonts w:ascii="Verdana" w:hAnsi="Verdana"/>
          <w:sz w:val="18"/>
          <w:szCs w:val="18"/>
          <w:lang w:val="es-ES"/>
        </w:rPr>
        <w:t xml:space="preserve">s territorios indígenas, a través de los cuales se puedan llevar a cabo los procesos de reconocimiento, delimitación, demarcación, titulación y, en su caso, </w:t>
      </w:r>
      <w:r w:rsidR="005C496B">
        <w:rPr>
          <w:rFonts w:ascii="Verdana" w:hAnsi="Verdana"/>
          <w:sz w:val="18"/>
          <w:szCs w:val="18"/>
          <w:lang w:val="es-ES"/>
        </w:rPr>
        <w:t xml:space="preserve">de </w:t>
      </w:r>
      <w:r w:rsidR="00CC293F" w:rsidRPr="00BC6F15">
        <w:rPr>
          <w:rFonts w:ascii="Verdana" w:hAnsi="Verdana"/>
          <w:sz w:val="18"/>
          <w:szCs w:val="18"/>
          <w:lang w:val="es-ES"/>
        </w:rPr>
        <w:t>garantía del uso y goce de sus territorios tradicionales</w:t>
      </w:r>
      <w:r w:rsidR="00CC293F" w:rsidRPr="00FB5943">
        <w:rPr>
          <w:rStyle w:val="FootnoteReference"/>
          <w:sz w:val="18"/>
          <w:szCs w:val="18"/>
        </w:rPr>
        <w:footnoteReference w:id="295"/>
      </w:r>
      <w:r w:rsidR="00CC293F" w:rsidRPr="00FB5943">
        <w:rPr>
          <w:rFonts w:ascii="Verdana" w:hAnsi="Verdana"/>
          <w:sz w:val="18"/>
          <w:szCs w:val="18"/>
          <w:lang w:val="es-ES"/>
        </w:rPr>
        <w:t>;</w:t>
      </w:r>
    </w:p>
    <w:p w14:paraId="1B94D5DC" w14:textId="77777777" w:rsidR="00CC293F" w:rsidRPr="003966ED" w:rsidRDefault="00CC293F">
      <w:pPr>
        <w:pStyle w:val="ListParagraph"/>
        <w:tabs>
          <w:tab w:val="left" w:pos="270"/>
          <w:tab w:val="left" w:pos="1134"/>
        </w:tabs>
        <w:ind w:left="709"/>
        <w:jc w:val="both"/>
        <w:rPr>
          <w:rFonts w:ascii="Verdana" w:eastAsia="Times New Roman" w:hAnsi="Verdana"/>
          <w:spacing w:val="-2"/>
          <w:sz w:val="18"/>
          <w:szCs w:val="18"/>
          <w:lang w:val="es-CR" w:eastAsia="es-ES"/>
        </w:rPr>
      </w:pPr>
    </w:p>
    <w:p w14:paraId="37DD0D73" w14:textId="77777777" w:rsidR="00CC293F" w:rsidRPr="009E77BD" w:rsidRDefault="00CC293F" w:rsidP="009E77BD">
      <w:pPr>
        <w:pStyle w:val="ListParagraph"/>
        <w:numPr>
          <w:ilvl w:val="0"/>
          <w:numId w:val="31"/>
        </w:numPr>
        <w:tabs>
          <w:tab w:val="left" w:pos="270"/>
        </w:tabs>
        <w:ind w:left="426" w:firstLine="0"/>
        <w:jc w:val="both"/>
        <w:rPr>
          <w:rFonts w:ascii="Verdana" w:eastAsia="Times New Roman" w:hAnsi="Verdana"/>
          <w:spacing w:val="-2"/>
          <w:sz w:val="20"/>
          <w:szCs w:val="20"/>
          <w:lang w:val="es-CR" w:eastAsia="es-ES"/>
        </w:rPr>
      </w:pPr>
      <w:r w:rsidRPr="009E77BD">
        <w:rPr>
          <w:rFonts w:ascii="Verdana" w:hAnsi="Verdana"/>
          <w:sz w:val="20"/>
          <w:szCs w:val="20"/>
          <w:lang w:val="es-CR"/>
        </w:rPr>
        <w:t>otorgamiento de una protección efectiva que tome en cuenta las particularidades propias que los diferencian de la población en general y que conforman su identidad cultural</w:t>
      </w:r>
      <w:r w:rsidRPr="009E77BD">
        <w:rPr>
          <w:rStyle w:val="FootnoteReference"/>
          <w:rFonts w:eastAsia="Times New Roman"/>
          <w:szCs w:val="20"/>
        </w:rPr>
        <w:footnoteReference w:id="296"/>
      </w:r>
      <w:r w:rsidRPr="009E77BD">
        <w:rPr>
          <w:rFonts w:ascii="Verdana" w:hAnsi="Verdana"/>
          <w:sz w:val="20"/>
          <w:szCs w:val="20"/>
          <w:lang w:val="es-CR"/>
        </w:rPr>
        <w:t>, sus características económicas y sociales, su posible situación de vulnerabilidad, su derecho consuetudinario, valores, usos y costumbres</w:t>
      </w:r>
      <w:r w:rsidRPr="009E77BD">
        <w:rPr>
          <w:rStyle w:val="FootnoteReference"/>
          <w:rFonts w:eastAsia="Times New Roman"/>
          <w:szCs w:val="20"/>
        </w:rPr>
        <w:footnoteReference w:id="297"/>
      </w:r>
      <w:r w:rsidRPr="009E77BD">
        <w:rPr>
          <w:rFonts w:ascii="Verdana" w:hAnsi="Verdana"/>
          <w:sz w:val="20"/>
          <w:szCs w:val="20"/>
          <w:lang w:val="es-CR"/>
        </w:rPr>
        <w:t>, así como su especial relación con la tierra</w:t>
      </w:r>
      <w:r w:rsidRPr="009E77BD">
        <w:rPr>
          <w:rStyle w:val="FootnoteReference"/>
          <w:rFonts w:eastAsia="Times New Roman"/>
          <w:szCs w:val="20"/>
        </w:rPr>
        <w:footnoteReference w:id="298"/>
      </w:r>
      <w:r w:rsidRPr="009E77BD">
        <w:rPr>
          <w:rFonts w:ascii="Verdana" w:hAnsi="Verdana"/>
          <w:sz w:val="20"/>
          <w:szCs w:val="20"/>
          <w:lang w:val="es-CR"/>
        </w:rPr>
        <w:t>, y</w:t>
      </w:r>
    </w:p>
    <w:p w14:paraId="3659B4EB" w14:textId="77777777" w:rsidR="00CC293F" w:rsidRPr="00116F0A" w:rsidRDefault="00CC293F" w:rsidP="00CC293F">
      <w:pPr>
        <w:tabs>
          <w:tab w:val="left" w:pos="270"/>
        </w:tabs>
        <w:ind w:left="426"/>
        <w:jc w:val="both"/>
        <w:rPr>
          <w:rFonts w:ascii="Verdana" w:eastAsia="Times New Roman" w:hAnsi="Verdana"/>
          <w:strike/>
          <w:spacing w:val="-2"/>
          <w:sz w:val="20"/>
          <w:szCs w:val="20"/>
          <w:lang w:val="es-CR" w:eastAsia="es-ES"/>
        </w:rPr>
      </w:pPr>
    </w:p>
    <w:p w14:paraId="2A7E616E" w14:textId="77777777" w:rsidR="00CC293F" w:rsidRPr="009E77BD" w:rsidRDefault="00CC293F" w:rsidP="00CC293F">
      <w:pPr>
        <w:pStyle w:val="ListParagraph"/>
        <w:numPr>
          <w:ilvl w:val="0"/>
          <w:numId w:val="31"/>
        </w:numPr>
        <w:tabs>
          <w:tab w:val="left" w:pos="270"/>
        </w:tabs>
        <w:ind w:left="426" w:firstLine="0"/>
        <w:jc w:val="both"/>
        <w:rPr>
          <w:rFonts w:ascii="Verdana" w:hAnsi="Verdana"/>
          <w:sz w:val="20"/>
          <w:szCs w:val="20"/>
          <w:lang w:val="es-CR"/>
        </w:rPr>
      </w:pPr>
      <w:r w:rsidRPr="009E77BD">
        <w:rPr>
          <w:rFonts w:ascii="Verdana" w:hAnsi="Verdana"/>
          <w:sz w:val="20"/>
          <w:szCs w:val="20"/>
          <w:lang w:val="es-CR"/>
        </w:rPr>
        <w:t>respeto de los mecanismos internos de decisión de controversias en materia indígena, los cuales se encuentren en armonía con los derechos humanos</w:t>
      </w:r>
      <w:r w:rsidRPr="009E77BD">
        <w:rPr>
          <w:rStyle w:val="FootnoteReference"/>
          <w:rFonts w:eastAsia="Times New Roman"/>
          <w:szCs w:val="20"/>
          <w:lang w:val="es-CR"/>
        </w:rPr>
        <w:footnoteReference w:id="299"/>
      </w:r>
      <w:r w:rsidRPr="009E77BD">
        <w:rPr>
          <w:rFonts w:ascii="Verdana" w:eastAsia="Times New Roman" w:hAnsi="Verdana"/>
          <w:sz w:val="20"/>
          <w:szCs w:val="20"/>
          <w:lang w:val="es-CR"/>
        </w:rPr>
        <w:t xml:space="preserve">.  </w:t>
      </w:r>
    </w:p>
    <w:p w14:paraId="4D6C8C6E" w14:textId="77777777" w:rsidR="00226C52" w:rsidRPr="00226C52" w:rsidRDefault="00226C52" w:rsidP="00226C52">
      <w:pPr>
        <w:tabs>
          <w:tab w:val="left" w:pos="270"/>
        </w:tabs>
        <w:jc w:val="both"/>
        <w:rPr>
          <w:rFonts w:ascii="Verdana" w:hAnsi="Verdana"/>
          <w:strike/>
          <w:sz w:val="18"/>
          <w:szCs w:val="18"/>
          <w:lang w:val="es-CR"/>
        </w:rPr>
      </w:pPr>
    </w:p>
    <w:p w14:paraId="58543F23" w14:textId="77777777" w:rsidR="008A3876" w:rsidRPr="008A3876" w:rsidRDefault="008A3876" w:rsidP="008A3876">
      <w:pPr>
        <w:pStyle w:val="Heading3"/>
        <w:spacing w:before="0"/>
        <w:ind w:left="360"/>
        <w:jc w:val="both"/>
        <w:rPr>
          <w:rFonts w:ascii="Verdana" w:hAnsi="Verdana"/>
          <w:i/>
          <w:color w:val="auto"/>
          <w:sz w:val="20"/>
          <w:szCs w:val="20"/>
          <w:lang w:val="es-ES"/>
        </w:rPr>
      </w:pPr>
      <w:bookmarkStart w:id="70" w:name="_Toc441666195"/>
      <w:r w:rsidRPr="008A3876">
        <w:rPr>
          <w:rFonts w:ascii="Verdana" w:hAnsi="Verdana"/>
          <w:i/>
          <w:color w:val="auto"/>
          <w:sz w:val="20"/>
          <w:szCs w:val="20"/>
          <w:lang w:val="es-ES"/>
        </w:rPr>
        <w:t>B.2 Idoneidad y efectividad de los procedimientos judiciales y peticiones interpuestas ante autoridades estatales</w:t>
      </w:r>
      <w:bookmarkEnd w:id="70"/>
    </w:p>
    <w:p w14:paraId="33070020" w14:textId="77777777" w:rsidR="008A3876" w:rsidRDefault="008A3876" w:rsidP="008A3876">
      <w:pPr>
        <w:jc w:val="both"/>
        <w:rPr>
          <w:rFonts w:ascii="Verdana" w:eastAsia="Times New Roman" w:hAnsi="Verdana"/>
          <w:b/>
          <w:spacing w:val="-2"/>
          <w:sz w:val="20"/>
          <w:szCs w:val="20"/>
          <w:lang w:val="es-CR" w:eastAsia="es-ES"/>
        </w:rPr>
      </w:pPr>
    </w:p>
    <w:p w14:paraId="2E9CA05F" w14:textId="2ACCE765" w:rsidR="008A3876" w:rsidRDefault="008A3876" w:rsidP="008A3876">
      <w:pPr>
        <w:pStyle w:val="ListParagraph"/>
        <w:numPr>
          <w:ilvl w:val="0"/>
          <w:numId w:val="2"/>
        </w:numPr>
        <w:ind w:left="0" w:hanging="11"/>
        <w:jc w:val="both"/>
        <w:rPr>
          <w:rFonts w:ascii="Verdana" w:hAnsi="Verdana"/>
          <w:sz w:val="20"/>
          <w:szCs w:val="20"/>
          <w:lang w:val="es-ES"/>
        </w:rPr>
      </w:pPr>
      <w:r>
        <w:rPr>
          <w:rFonts w:ascii="Verdana" w:eastAsia="Times New Roman" w:hAnsi="Verdana"/>
          <w:spacing w:val="-2"/>
          <w:sz w:val="20"/>
          <w:szCs w:val="20"/>
          <w:lang w:val="es-CR" w:eastAsia="es-ES"/>
        </w:rPr>
        <w:t xml:space="preserve">A pesar de la inexistencia de una consagración normativa de </w:t>
      </w:r>
      <w:r w:rsidRPr="000B4295">
        <w:rPr>
          <w:rFonts w:ascii="Verdana" w:eastAsia="Times New Roman" w:hAnsi="Verdana"/>
          <w:spacing w:val="-2"/>
          <w:sz w:val="20"/>
          <w:szCs w:val="20"/>
          <w:lang w:val="es-CR" w:eastAsia="es-ES"/>
        </w:rPr>
        <w:t>procedimiento</w:t>
      </w:r>
      <w:r>
        <w:rPr>
          <w:rFonts w:ascii="Verdana" w:eastAsia="Times New Roman" w:hAnsi="Verdana"/>
          <w:spacing w:val="-2"/>
          <w:sz w:val="20"/>
          <w:szCs w:val="20"/>
          <w:lang w:val="es-CR" w:eastAsia="es-ES"/>
        </w:rPr>
        <w:t>s</w:t>
      </w:r>
      <w:r w:rsidRPr="000B4295">
        <w:rPr>
          <w:rFonts w:ascii="Verdana" w:eastAsia="Times New Roman" w:hAnsi="Verdana"/>
          <w:spacing w:val="-2"/>
          <w:sz w:val="20"/>
          <w:szCs w:val="20"/>
          <w:lang w:val="es-CR" w:eastAsia="es-ES"/>
        </w:rPr>
        <w:t xml:space="preserve"> judicial</w:t>
      </w:r>
      <w:r>
        <w:rPr>
          <w:rFonts w:ascii="Verdana" w:eastAsia="Times New Roman" w:hAnsi="Verdana"/>
          <w:spacing w:val="-2"/>
          <w:sz w:val="20"/>
          <w:szCs w:val="20"/>
          <w:lang w:val="es-CR" w:eastAsia="es-ES"/>
        </w:rPr>
        <w:t>es</w:t>
      </w:r>
      <w:r w:rsidRPr="000B4295">
        <w:rPr>
          <w:rFonts w:ascii="Verdana" w:eastAsia="Times New Roman" w:hAnsi="Verdana"/>
          <w:spacing w:val="-2"/>
          <w:sz w:val="20"/>
          <w:szCs w:val="20"/>
          <w:lang w:val="es-CR" w:eastAsia="es-ES"/>
        </w:rPr>
        <w:t xml:space="preserve"> o administrativo</w:t>
      </w:r>
      <w:r>
        <w:rPr>
          <w:rFonts w:ascii="Verdana" w:eastAsia="Times New Roman" w:hAnsi="Verdana"/>
          <w:spacing w:val="-2"/>
          <w:sz w:val="20"/>
          <w:szCs w:val="20"/>
          <w:lang w:val="es-CR" w:eastAsia="es-ES"/>
        </w:rPr>
        <w:t>s</w:t>
      </w:r>
      <w:r w:rsidRPr="000B4295">
        <w:rPr>
          <w:rFonts w:ascii="Verdana" w:eastAsia="Times New Roman" w:hAnsi="Verdana"/>
          <w:spacing w:val="-2"/>
          <w:sz w:val="20"/>
          <w:szCs w:val="20"/>
          <w:lang w:val="es-CR" w:eastAsia="es-ES"/>
        </w:rPr>
        <w:t xml:space="preserve"> </w:t>
      </w:r>
      <w:r>
        <w:rPr>
          <w:rFonts w:ascii="Verdana" w:eastAsia="Times New Roman" w:hAnsi="Verdana"/>
          <w:spacing w:val="-2"/>
          <w:sz w:val="20"/>
          <w:szCs w:val="20"/>
          <w:lang w:val="es-CR" w:eastAsia="es-ES"/>
        </w:rPr>
        <w:t>específicos</w:t>
      </w:r>
      <w:r>
        <w:rPr>
          <w:rFonts w:ascii="Verdana" w:eastAsia="Times New Roman" w:hAnsi="Verdana" w:cs="Arial"/>
          <w:sz w:val="20"/>
          <w:szCs w:val="20"/>
          <w:lang w:val="es-CR" w:eastAsia="es-ES"/>
        </w:rPr>
        <w:t xml:space="preserve">, los </w:t>
      </w:r>
      <w:r w:rsidR="00382F4D">
        <w:rPr>
          <w:rFonts w:ascii="Verdana" w:eastAsia="Times New Roman" w:hAnsi="Verdana" w:cs="Arial"/>
          <w:sz w:val="20"/>
          <w:szCs w:val="20"/>
          <w:lang w:val="es-CR" w:eastAsia="es-ES"/>
        </w:rPr>
        <w:t>Pueblos Kaliña y Lokono</w:t>
      </w:r>
      <w:r w:rsidR="00CB39E1" w:rsidRPr="004D5C3E">
        <w:rPr>
          <w:rFonts w:ascii="Verdana" w:hAnsi="Verdana"/>
          <w:sz w:val="20"/>
          <w:szCs w:val="20"/>
          <w:lang w:val="es-ES"/>
        </w:rPr>
        <w:t xml:space="preserve"> </w:t>
      </w:r>
      <w:r>
        <w:rPr>
          <w:rFonts w:ascii="Verdana" w:eastAsia="Times New Roman" w:hAnsi="Verdana" w:cs="Arial"/>
          <w:sz w:val="20"/>
          <w:szCs w:val="20"/>
          <w:lang w:val="es-CR" w:eastAsia="es-ES"/>
        </w:rPr>
        <w:t xml:space="preserve">han recurrido a tribunales de jurisdicción ordinaria y a diversas autoridades administrativas para la presentación de quejas y solicitudes formales, fundamentadas en el derecho a la petición consagrado en el </w:t>
      </w:r>
      <w:r>
        <w:rPr>
          <w:rFonts w:ascii="Verdana" w:hAnsi="Verdana"/>
          <w:sz w:val="20"/>
          <w:szCs w:val="20"/>
          <w:lang w:val="es-ES"/>
        </w:rPr>
        <w:t>artículo 22 de la Constitución Política de 1987 (</w:t>
      </w:r>
      <w:r w:rsidR="00366D91" w:rsidRPr="00366D91">
        <w:rPr>
          <w:rFonts w:ascii="Verdana" w:hAnsi="Verdana"/>
          <w:i/>
          <w:sz w:val="20"/>
          <w:szCs w:val="20"/>
          <w:lang w:val="es-ES"/>
        </w:rPr>
        <w:t>supra</w:t>
      </w:r>
      <w:r>
        <w:rPr>
          <w:rFonts w:ascii="Verdana" w:hAnsi="Verdana"/>
          <w:sz w:val="20"/>
          <w:szCs w:val="20"/>
          <w:lang w:val="es-ES"/>
        </w:rPr>
        <w:t xml:space="preserve"> párr. </w:t>
      </w:r>
      <w:r w:rsidR="00BC33D0">
        <w:rPr>
          <w:rFonts w:ascii="Verdana" w:hAnsi="Verdana"/>
          <w:sz w:val="20"/>
          <w:szCs w:val="20"/>
          <w:lang w:val="es-ES"/>
        </w:rPr>
        <w:t>65</w:t>
      </w:r>
      <w:r>
        <w:rPr>
          <w:rFonts w:ascii="Verdana" w:hAnsi="Verdana"/>
          <w:sz w:val="20"/>
          <w:szCs w:val="20"/>
          <w:lang w:val="es-ES"/>
        </w:rPr>
        <w:t xml:space="preserve">), con el objetivo de reclamar el reconocimiento de los derechos a sus territorios ancestrales; su personalidad jurídica y la obligación de consulta. </w:t>
      </w:r>
    </w:p>
    <w:p w14:paraId="49C120B2" w14:textId="77777777" w:rsidR="008A3876" w:rsidRDefault="008A3876" w:rsidP="008A3876">
      <w:pPr>
        <w:jc w:val="both"/>
        <w:rPr>
          <w:rFonts w:ascii="Verdana" w:hAnsi="Verdana"/>
          <w:sz w:val="20"/>
          <w:szCs w:val="20"/>
          <w:lang w:val="es-ES"/>
        </w:rPr>
      </w:pPr>
    </w:p>
    <w:p w14:paraId="111031BF" w14:textId="54097622" w:rsidR="008A3876" w:rsidRPr="00BA6A08" w:rsidRDefault="008A3876" w:rsidP="008A3876">
      <w:pPr>
        <w:pStyle w:val="ListParagraph"/>
        <w:numPr>
          <w:ilvl w:val="0"/>
          <w:numId w:val="2"/>
        </w:numPr>
        <w:ind w:left="0" w:hanging="11"/>
        <w:jc w:val="both"/>
        <w:rPr>
          <w:rFonts w:ascii="Verdana" w:hAnsi="Verdana"/>
          <w:sz w:val="20"/>
          <w:szCs w:val="20"/>
          <w:lang w:val="es-ES"/>
        </w:rPr>
      </w:pPr>
      <w:r>
        <w:rPr>
          <w:rFonts w:ascii="Verdana" w:hAnsi="Verdana"/>
          <w:sz w:val="20"/>
          <w:szCs w:val="20"/>
          <w:lang w:val="es-ES"/>
        </w:rPr>
        <w:t xml:space="preserve">En este sentido, la sentencia emitida </w:t>
      </w:r>
      <w:r w:rsidR="00BC33D0">
        <w:rPr>
          <w:rFonts w:ascii="Verdana" w:hAnsi="Verdana"/>
          <w:sz w:val="20"/>
          <w:szCs w:val="20"/>
          <w:lang w:val="es-ES"/>
        </w:rPr>
        <w:t xml:space="preserve">el 21 </w:t>
      </w:r>
      <w:r>
        <w:rPr>
          <w:rFonts w:ascii="Verdana" w:hAnsi="Verdana"/>
          <w:sz w:val="20"/>
          <w:szCs w:val="20"/>
          <w:lang w:val="es-ES"/>
        </w:rPr>
        <w:t xml:space="preserve">mayo de 1998 </w:t>
      </w:r>
      <w:r w:rsidR="008E016A" w:rsidRPr="00190AD3">
        <w:rPr>
          <w:rFonts w:ascii="Verdana" w:hAnsi="Verdana"/>
          <w:sz w:val="20"/>
          <w:szCs w:val="20"/>
          <w:lang w:val="es-ES"/>
        </w:rPr>
        <w:t xml:space="preserve">por la </w:t>
      </w:r>
      <w:r w:rsidR="008E016A" w:rsidRPr="00190AD3">
        <w:rPr>
          <w:rFonts w:ascii="Verdana" w:hAnsi="Verdana"/>
          <w:snapToGrid w:val="0"/>
          <w:sz w:val="20"/>
          <w:szCs w:val="20"/>
          <w:lang w:val="es-CR"/>
        </w:rPr>
        <w:t>Corte Cantonal del Primer Cantón de Paramaribo en</w:t>
      </w:r>
      <w:r w:rsidR="008E016A" w:rsidRPr="00880EAE">
        <w:rPr>
          <w:rFonts w:ascii="Verdana" w:hAnsi="Verdana"/>
          <w:sz w:val="20"/>
          <w:szCs w:val="20"/>
          <w:lang w:val="es-ES"/>
        </w:rPr>
        <w:t xml:space="preserve"> </w:t>
      </w:r>
      <w:r>
        <w:rPr>
          <w:rFonts w:ascii="Verdana" w:hAnsi="Verdana"/>
          <w:sz w:val="20"/>
          <w:szCs w:val="20"/>
          <w:lang w:val="es-ES"/>
        </w:rPr>
        <w:t xml:space="preserve">el </w:t>
      </w:r>
      <w:r w:rsidRPr="006765E7">
        <w:rPr>
          <w:rFonts w:ascii="Verdana" w:hAnsi="Verdana"/>
          <w:bCs/>
          <w:sz w:val="20"/>
          <w:szCs w:val="20"/>
          <w:lang w:val="es-CR"/>
        </w:rPr>
        <w:t xml:space="preserve">caso </w:t>
      </w:r>
      <w:r w:rsidRPr="006765E7">
        <w:rPr>
          <w:rFonts w:ascii="Verdana" w:hAnsi="Verdana"/>
          <w:i/>
          <w:sz w:val="20"/>
          <w:szCs w:val="20"/>
          <w:lang w:val="es-ES"/>
        </w:rPr>
        <w:t>Tjang A</w:t>
      </w:r>
      <w:r>
        <w:rPr>
          <w:rFonts w:ascii="Verdana" w:hAnsi="Verdana"/>
          <w:i/>
          <w:sz w:val="20"/>
          <w:szCs w:val="20"/>
          <w:lang w:val="es-ES"/>
        </w:rPr>
        <w:t>.</w:t>
      </w:r>
      <w:r w:rsidRPr="006765E7">
        <w:rPr>
          <w:rFonts w:ascii="Verdana" w:hAnsi="Verdana"/>
          <w:i/>
          <w:sz w:val="20"/>
          <w:szCs w:val="20"/>
          <w:lang w:val="es-ES"/>
        </w:rPr>
        <w:t xml:space="preserve"> Sjin </w:t>
      </w:r>
      <w:r w:rsidR="00FB4175">
        <w:rPr>
          <w:rFonts w:ascii="Verdana" w:hAnsi="Verdana"/>
          <w:i/>
          <w:sz w:val="20"/>
          <w:szCs w:val="20"/>
          <w:lang w:val="es-ES"/>
        </w:rPr>
        <w:t>v</w:t>
      </w:r>
      <w:r w:rsidRPr="006765E7">
        <w:rPr>
          <w:rFonts w:ascii="Verdana" w:hAnsi="Verdana"/>
          <w:i/>
          <w:sz w:val="20"/>
          <w:szCs w:val="20"/>
          <w:lang w:val="es-ES"/>
        </w:rPr>
        <w:t>. Zaalman y otros</w:t>
      </w:r>
      <w:r>
        <w:rPr>
          <w:rFonts w:ascii="Verdana" w:hAnsi="Verdana"/>
          <w:i/>
          <w:sz w:val="20"/>
          <w:szCs w:val="20"/>
          <w:lang w:val="es-ES"/>
        </w:rPr>
        <w:t xml:space="preserve">, </w:t>
      </w:r>
      <w:r w:rsidRPr="006765E7">
        <w:rPr>
          <w:rFonts w:ascii="Verdana" w:hAnsi="Verdana"/>
          <w:snapToGrid w:val="0"/>
          <w:sz w:val="20"/>
          <w:szCs w:val="20"/>
          <w:lang w:val="es-CR"/>
        </w:rPr>
        <w:t xml:space="preserve">estableció que </w:t>
      </w:r>
      <w:r w:rsidRPr="006765E7">
        <w:rPr>
          <w:rFonts w:ascii="Verdana" w:hAnsi="Verdana"/>
          <w:sz w:val="20"/>
          <w:szCs w:val="20"/>
          <w:lang w:val="es-ES"/>
        </w:rPr>
        <w:t>la comunidad de Marijkedorp</w:t>
      </w:r>
      <w:r>
        <w:rPr>
          <w:rFonts w:ascii="Verdana" w:hAnsi="Verdana"/>
          <w:sz w:val="20"/>
          <w:szCs w:val="20"/>
          <w:lang w:val="es-ES"/>
        </w:rPr>
        <w:t xml:space="preserve"> </w:t>
      </w:r>
      <w:r w:rsidR="00BC33D0">
        <w:rPr>
          <w:rFonts w:ascii="Verdana" w:hAnsi="Verdana"/>
          <w:sz w:val="20"/>
          <w:szCs w:val="20"/>
          <w:lang w:val="es-ES"/>
        </w:rPr>
        <w:t>(</w:t>
      </w:r>
      <w:r w:rsidR="00BC33D0" w:rsidRPr="006765E7">
        <w:rPr>
          <w:rFonts w:ascii="Verdana" w:hAnsi="Verdana"/>
          <w:sz w:val="20"/>
          <w:szCs w:val="20"/>
          <w:lang w:val="es-ES"/>
        </w:rPr>
        <w:t>Wan Shi Sha</w:t>
      </w:r>
      <w:r w:rsidR="00BC33D0">
        <w:rPr>
          <w:rFonts w:ascii="Verdana" w:hAnsi="Verdana"/>
          <w:sz w:val="20"/>
          <w:szCs w:val="20"/>
          <w:lang w:val="es-ES"/>
        </w:rPr>
        <w:t>)</w:t>
      </w:r>
      <w:r w:rsidR="00BC33D0" w:rsidRPr="006765E7">
        <w:rPr>
          <w:rFonts w:ascii="Verdana" w:hAnsi="Verdana"/>
          <w:sz w:val="20"/>
          <w:szCs w:val="20"/>
          <w:lang w:val="es-ES"/>
        </w:rPr>
        <w:t xml:space="preserve"> </w:t>
      </w:r>
      <w:r>
        <w:rPr>
          <w:rFonts w:ascii="Verdana" w:hAnsi="Verdana"/>
          <w:snapToGrid w:val="0"/>
          <w:sz w:val="20"/>
          <w:szCs w:val="20"/>
          <w:lang w:val="es-CR"/>
        </w:rPr>
        <w:t xml:space="preserve">debía respetar el derecho de propiedad del </w:t>
      </w:r>
      <w:r w:rsidRPr="009C52D5">
        <w:rPr>
          <w:rFonts w:ascii="Verdana" w:hAnsi="Verdana"/>
          <w:sz w:val="20"/>
          <w:szCs w:val="20"/>
          <w:lang w:val="es-ES"/>
        </w:rPr>
        <w:t>señor Tjan A. Sjin</w:t>
      </w:r>
      <w:r>
        <w:rPr>
          <w:rFonts w:ascii="Verdana" w:hAnsi="Verdana"/>
          <w:sz w:val="20"/>
          <w:szCs w:val="20"/>
          <w:lang w:val="es-ES"/>
        </w:rPr>
        <w:t>,</w:t>
      </w:r>
      <w:r w:rsidRPr="006765E7">
        <w:rPr>
          <w:rFonts w:ascii="Verdana" w:hAnsi="Verdana"/>
          <w:snapToGrid w:val="0"/>
          <w:sz w:val="20"/>
          <w:szCs w:val="20"/>
          <w:lang w:val="es-CR"/>
        </w:rPr>
        <w:t xml:space="preserve"> </w:t>
      </w:r>
      <w:r>
        <w:rPr>
          <w:rFonts w:ascii="Verdana" w:hAnsi="Verdana"/>
          <w:snapToGrid w:val="0"/>
          <w:sz w:val="20"/>
          <w:szCs w:val="20"/>
          <w:lang w:val="es-CR"/>
        </w:rPr>
        <w:t xml:space="preserve">ya que éste </w:t>
      </w:r>
      <w:r w:rsidRPr="006765E7">
        <w:rPr>
          <w:rFonts w:ascii="Verdana" w:hAnsi="Verdana"/>
          <w:snapToGrid w:val="0"/>
          <w:sz w:val="20"/>
          <w:szCs w:val="20"/>
          <w:lang w:val="es-CR"/>
        </w:rPr>
        <w:t xml:space="preserve">tenía un título </w:t>
      </w:r>
      <w:r>
        <w:rPr>
          <w:rFonts w:ascii="Verdana" w:hAnsi="Verdana"/>
          <w:snapToGrid w:val="0"/>
          <w:sz w:val="20"/>
          <w:szCs w:val="20"/>
          <w:lang w:val="es-CR"/>
        </w:rPr>
        <w:t xml:space="preserve">de propiedad </w:t>
      </w:r>
      <w:r w:rsidRPr="006765E7">
        <w:rPr>
          <w:rFonts w:ascii="Verdana" w:hAnsi="Verdana"/>
          <w:snapToGrid w:val="0"/>
          <w:sz w:val="20"/>
          <w:szCs w:val="20"/>
          <w:lang w:val="es-CR"/>
        </w:rPr>
        <w:t xml:space="preserve">válido conforme al ordenamiento </w:t>
      </w:r>
      <w:r>
        <w:rPr>
          <w:rFonts w:ascii="Verdana" w:hAnsi="Verdana"/>
          <w:snapToGrid w:val="0"/>
          <w:sz w:val="20"/>
          <w:szCs w:val="20"/>
          <w:lang w:val="es-CR"/>
        </w:rPr>
        <w:t>surinamés (</w:t>
      </w:r>
      <w:r w:rsidR="00366D91" w:rsidRPr="00366D91">
        <w:rPr>
          <w:rFonts w:ascii="Verdana" w:hAnsi="Verdana"/>
          <w:i/>
          <w:snapToGrid w:val="0"/>
          <w:sz w:val="20"/>
          <w:szCs w:val="20"/>
          <w:lang w:val="es-CR"/>
        </w:rPr>
        <w:t>supra</w:t>
      </w:r>
      <w:r>
        <w:rPr>
          <w:rFonts w:ascii="Verdana" w:hAnsi="Verdana"/>
          <w:snapToGrid w:val="0"/>
          <w:sz w:val="20"/>
          <w:szCs w:val="20"/>
          <w:lang w:val="es-CR"/>
        </w:rPr>
        <w:t xml:space="preserve"> párr. </w:t>
      </w:r>
      <w:r w:rsidR="00BC33D0">
        <w:rPr>
          <w:rFonts w:ascii="Verdana" w:hAnsi="Verdana"/>
          <w:snapToGrid w:val="0"/>
          <w:sz w:val="20"/>
          <w:szCs w:val="20"/>
          <w:lang w:val="es-CR"/>
        </w:rPr>
        <w:t>63</w:t>
      </w:r>
      <w:r>
        <w:rPr>
          <w:rFonts w:ascii="Verdana" w:hAnsi="Verdana"/>
          <w:snapToGrid w:val="0"/>
          <w:sz w:val="20"/>
          <w:szCs w:val="20"/>
          <w:lang w:val="es-CR"/>
        </w:rPr>
        <w:t xml:space="preserve">). </w:t>
      </w:r>
      <w:r>
        <w:rPr>
          <w:rFonts w:ascii="Verdana" w:hAnsi="Verdana"/>
          <w:sz w:val="20"/>
          <w:szCs w:val="20"/>
          <w:lang w:val="es-ES"/>
        </w:rPr>
        <w:t>Asimismo, la sentencia de</w:t>
      </w:r>
      <w:r w:rsidRPr="00BA6A08">
        <w:rPr>
          <w:rFonts w:ascii="Verdana" w:hAnsi="Verdana"/>
          <w:snapToGrid w:val="0"/>
          <w:sz w:val="20"/>
          <w:szCs w:val="20"/>
          <w:lang w:val="es-CR"/>
        </w:rPr>
        <w:t xml:space="preserve"> 24 de julio de 2003 </w:t>
      </w:r>
      <w:r>
        <w:rPr>
          <w:rFonts w:ascii="Verdana" w:hAnsi="Verdana"/>
          <w:snapToGrid w:val="0"/>
          <w:sz w:val="20"/>
          <w:szCs w:val="20"/>
          <w:lang w:val="es-CR"/>
        </w:rPr>
        <w:t xml:space="preserve">emitida </w:t>
      </w:r>
      <w:r w:rsidRPr="00BA6A08">
        <w:rPr>
          <w:rFonts w:ascii="Verdana" w:hAnsi="Verdana"/>
          <w:snapToGrid w:val="0"/>
          <w:sz w:val="20"/>
          <w:szCs w:val="20"/>
          <w:lang w:val="es-CR"/>
        </w:rPr>
        <w:t>por el la Corte Cantonal del Primer Cantón de Paramaribo</w:t>
      </w:r>
      <w:r>
        <w:rPr>
          <w:rFonts w:ascii="Verdana" w:hAnsi="Verdana"/>
          <w:sz w:val="20"/>
          <w:szCs w:val="20"/>
          <w:lang w:val="es-ES"/>
        </w:rPr>
        <w:t xml:space="preserve"> en el </w:t>
      </w:r>
      <w:r w:rsidRPr="00BA4DD5">
        <w:rPr>
          <w:rFonts w:ascii="Verdana" w:hAnsi="Verdana"/>
          <w:snapToGrid w:val="0"/>
          <w:sz w:val="20"/>
          <w:szCs w:val="20"/>
          <w:lang w:val="es-CR"/>
        </w:rPr>
        <w:t xml:space="preserve">caso </w:t>
      </w:r>
      <w:r w:rsidRPr="00BA6A08">
        <w:rPr>
          <w:rFonts w:ascii="Verdana" w:hAnsi="Verdana"/>
          <w:i/>
          <w:snapToGrid w:val="0"/>
          <w:sz w:val="20"/>
          <w:szCs w:val="20"/>
          <w:lang w:val="es-CR"/>
        </w:rPr>
        <w:t xml:space="preserve">Celientje Martina Joeroeja-Koewie y otros </w:t>
      </w:r>
      <w:r w:rsidR="00FB4175">
        <w:rPr>
          <w:rFonts w:ascii="Verdana" w:hAnsi="Verdana"/>
          <w:i/>
          <w:snapToGrid w:val="0"/>
          <w:sz w:val="20"/>
          <w:szCs w:val="20"/>
          <w:lang w:val="es-CR"/>
        </w:rPr>
        <w:t>v</w:t>
      </w:r>
      <w:r w:rsidRPr="00BA6A08">
        <w:rPr>
          <w:rFonts w:ascii="Verdana" w:hAnsi="Verdana"/>
          <w:i/>
          <w:snapToGrid w:val="0"/>
          <w:sz w:val="20"/>
          <w:szCs w:val="20"/>
          <w:lang w:val="es-CR"/>
        </w:rPr>
        <w:t xml:space="preserve">. </w:t>
      </w:r>
      <w:r w:rsidR="00563E11">
        <w:rPr>
          <w:rFonts w:ascii="Verdana" w:hAnsi="Verdana"/>
          <w:i/>
          <w:snapToGrid w:val="0"/>
          <w:sz w:val="20"/>
          <w:szCs w:val="20"/>
          <w:lang w:val="es-CR"/>
        </w:rPr>
        <w:t>Surinam</w:t>
      </w:r>
      <w:r w:rsidRPr="00BA6A08">
        <w:rPr>
          <w:rFonts w:ascii="Verdana" w:hAnsi="Verdana"/>
          <w:i/>
          <w:snapToGrid w:val="0"/>
          <w:sz w:val="20"/>
          <w:szCs w:val="20"/>
          <w:lang w:val="es-CR"/>
        </w:rPr>
        <w:t xml:space="preserve"> </w:t>
      </w:r>
      <w:r w:rsidRPr="00BA6A08">
        <w:rPr>
          <w:rFonts w:ascii="Verdana" w:hAnsi="Verdana"/>
          <w:i/>
          <w:sz w:val="20"/>
          <w:szCs w:val="20"/>
          <w:lang w:val="es-CR"/>
        </w:rPr>
        <w:t xml:space="preserve">&amp; </w:t>
      </w:r>
      <w:r w:rsidR="00563E11">
        <w:rPr>
          <w:rFonts w:ascii="Verdana" w:hAnsi="Verdana"/>
          <w:i/>
          <w:sz w:val="20"/>
          <w:szCs w:val="20"/>
          <w:lang w:val="es-CR"/>
        </w:rPr>
        <w:t>Surinam</w:t>
      </w:r>
      <w:r w:rsidRPr="00BA6A08">
        <w:rPr>
          <w:rFonts w:ascii="Verdana" w:hAnsi="Verdana"/>
          <w:i/>
          <w:sz w:val="20"/>
          <w:szCs w:val="20"/>
          <w:lang w:val="es-CR"/>
        </w:rPr>
        <w:t xml:space="preserve"> Stone &amp; Industries N.V</w:t>
      </w:r>
      <w:r w:rsidRPr="00BA6A08">
        <w:rPr>
          <w:rFonts w:ascii="Verdana" w:hAnsi="Verdana"/>
          <w:i/>
          <w:snapToGrid w:val="0"/>
          <w:sz w:val="20"/>
          <w:szCs w:val="20"/>
          <w:lang w:val="es-CR"/>
        </w:rPr>
        <w:t>.</w:t>
      </w:r>
      <w:r w:rsidRPr="00BA6A08">
        <w:rPr>
          <w:rFonts w:ascii="Verdana" w:hAnsi="Verdana"/>
          <w:snapToGrid w:val="0"/>
          <w:sz w:val="20"/>
          <w:szCs w:val="20"/>
          <w:lang w:val="es-CR"/>
        </w:rPr>
        <w:t xml:space="preserve">, rechazó la solicitud de </w:t>
      </w:r>
      <w:r w:rsidRPr="005D315B">
        <w:rPr>
          <w:rFonts w:ascii="Verdana" w:hAnsi="Verdana"/>
          <w:snapToGrid w:val="0"/>
          <w:sz w:val="20"/>
          <w:szCs w:val="20"/>
          <w:lang w:val="es-CR"/>
        </w:rPr>
        <w:t xml:space="preserve">los habitantes de Pierrekondre de revocar una concesión de minería </w:t>
      </w:r>
      <w:r>
        <w:rPr>
          <w:rFonts w:ascii="Verdana" w:hAnsi="Verdana"/>
          <w:snapToGrid w:val="0"/>
          <w:sz w:val="20"/>
          <w:szCs w:val="20"/>
          <w:lang w:val="es-CR"/>
        </w:rPr>
        <w:t xml:space="preserve">de arena que había sido otorgada en su territorio </w:t>
      </w:r>
      <w:r w:rsidRPr="00501EFE">
        <w:rPr>
          <w:rFonts w:ascii="Verdana" w:hAnsi="Verdana"/>
          <w:snapToGrid w:val="0"/>
          <w:sz w:val="20"/>
          <w:szCs w:val="20"/>
          <w:lang w:val="es-CR"/>
        </w:rPr>
        <w:t xml:space="preserve">en virtud de que carecían de </w:t>
      </w:r>
      <w:r>
        <w:rPr>
          <w:rFonts w:ascii="Verdana" w:hAnsi="Verdana"/>
          <w:snapToGrid w:val="0"/>
          <w:sz w:val="20"/>
          <w:szCs w:val="20"/>
          <w:lang w:val="es-CR"/>
        </w:rPr>
        <w:t>personalidad jurídica</w:t>
      </w:r>
      <w:r w:rsidRPr="00501EFE">
        <w:rPr>
          <w:rFonts w:ascii="Verdana" w:hAnsi="Verdana"/>
          <w:snapToGrid w:val="0"/>
          <w:sz w:val="20"/>
          <w:szCs w:val="20"/>
          <w:lang w:val="es-CR"/>
        </w:rPr>
        <w:t xml:space="preserve"> como entidad colectiva</w:t>
      </w:r>
      <w:r>
        <w:rPr>
          <w:rFonts w:ascii="Verdana" w:hAnsi="Verdana"/>
          <w:snapToGrid w:val="0"/>
          <w:sz w:val="20"/>
          <w:szCs w:val="20"/>
          <w:lang w:val="es-CR"/>
        </w:rPr>
        <w:t xml:space="preserve"> (</w:t>
      </w:r>
      <w:r w:rsidR="00366D91" w:rsidRPr="00366D91">
        <w:rPr>
          <w:rFonts w:ascii="Verdana" w:hAnsi="Verdana"/>
          <w:i/>
          <w:snapToGrid w:val="0"/>
          <w:sz w:val="20"/>
          <w:szCs w:val="20"/>
          <w:lang w:val="es-CR"/>
        </w:rPr>
        <w:t>supra</w:t>
      </w:r>
      <w:r>
        <w:rPr>
          <w:rFonts w:ascii="Verdana" w:hAnsi="Verdana"/>
          <w:snapToGrid w:val="0"/>
          <w:sz w:val="20"/>
          <w:szCs w:val="20"/>
          <w:lang w:val="es-CR"/>
        </w:rPr>
        <w:t xml:space="preserve"> párr. </w:t>
      </w:r>
      <w:r w:rsidR="00BC33D0">
        <w:rPr>
          <w:rFonts w:ascii="Verdana" w:hAnsi="Verdana"/>
          <w:snapToGrid w:val="0"/>
          <w:sz w:val="20"/>
          <w:szCs w:val="20"/>
          <w:lang w:val="es-CR"/>
        </w:rPr>
        <w:t>64</w:t>
      </w:r>
      <w:r>
        <w:rPr>
          <w:rFonts w:ascii="Verdana" w:hAnsi="Verdana"/>
          <w:snapToGrid w:val="0"/>
          <w:sz w:val="20"/>
          <w:szCs w:val="20"/>
          <w:lang w:val="es-CR"/>
        </w:rPr>
        <w:t>)</w:t>
      </w:r>
      <w:r w:rsidRPr="00501EFE">
        <w:rPr>
          <w:rFonts w:ascii="Verdana" w:hAnsi="Verdana"/>
          <w:snapToGrid w:val="0"/>
          <w:sz w:val="20"/>
          <w:szCs w:val="20"/>
          <w:lang w:val="es-CR"/>
        </w:rPr>
        <w:t>.</w:t>
      </w:r>
    </w:p>
    <w:p w14:paraId="35512123" w14:textId="77777777" w:rsidR="008A3876" w:rsidRDefault="008A3876" w:rsidP="008A3876">
      <w:pPr>
        <w:pStyle w:val="ListParagraph"/>
        <w:ind w:left="0"/>
        <w:jc w:val="both"/>
        <w:rPr>
          <w:rFonts w:ascii="Verdana" w:hAnsi="Verdana"/>
          <w:sz w:val="20"/>
          <w:szCs w:val="20"/>
          <w:lang w:val="es-ES"/>
        </w:rPr>
      </w:pPr>
    </w:p>
    <w:p w14:paraId="047110C3" w14:textId="77777777" w:rsidR="008A3876" w:rsidRDefault="008A3876" w:rsidP="008A3876">
      <w:pPr>
        <w:pStyle w:val="ListParagraph"/>
        <w:numPr>
          <w:ilvl w:val="0"/>
          <w:numId w:val="2"/>
        </w:numPr>
        <w:ind w:left="0" w:hanging="11"/>
        <w:jc w:val="both"/>
        <w:rPr>
          <w:rFonts w:ascii="Verdana" w:hAnsi="Verdana"/>
          <w:sz w:val="20"/>
          <w:szCs w:val="20"/>
          <w:lang w:val="es-ES"/>
        </w:rPr>
      </w:pPr>
      <w:r>
        <w:rPr>
          <w:rFonts w:ascii="Verdana" w:hAnsi="Verdana"/>
          <w:sz w:val="20"/>
          <w:szCs w:val="20"/>
          <w:lang w:val="es-ES"/>
        </w:rPr>
        <w:t>Por otra parte, el</w:t>
      </w:r>
      <w:r w:rsidRPr="00C2374D">
        <w:rPr>
          <w:rFonts w:ascii="Verdana" w:hAnsi="Verdana"/>
          <w:sz w:val="20"/>
          <w:szCs w:val="20"/>
          <w:lang w:val="es-ES"/>
        </w:rPr>
        <w:t xml:space="preserve"> </w:t>
      </w:r>
      <w:r>
        <w:rPr>
          <w:rFonts w:ascii="Verdana" w:hAnsi="Verdana"/>
          <w:sz w:val="20"/>
          <w:szCs w:val="20"/>
          <w:lang w:val="es-ES"/>
        </w:rPr>
        <w:t>12 de enero de 2003</w:t>
      </w:r>
      <w:r w:rsidRPr="00C2374D">
        <w:rPr>
          <w:rFonts w:ascii="Verdana" w:hAnsi="Verdana"/>
          <w:sz w:val="20"/>
          <w:szCs w:val="20"/>
          <w:lang w:val="es-ES"/>
        </w:rPr>
        <w:t xml:space="preserve"> </w:t>
      </w:r>
      <w:r>
        <w:rPr>
          <w:rFonts w:ascii="Verdana" w:hAnsi="Verdana"/>
          <w:sz w:val="20"/>
          <w:szCs w:val="20"/>
          <w:lang w:val="es-ES"/>
        </w:rPr>
        <w:t xml:space="preserve">los Capitanes de los </w:t>
      </w:r>
      <w:r w:rsidR="007F642B">
        <w:rPr>
          <w:rFonts w:ascii="Verdana" w:hAnsi="Verdana"/>
          <w:sz w:val="20"/>
          <w:szCs w:val="20"/>
          <w:lang w:val="es-ES"/>
        </w:rPr>
        <w:t>P</w:t>
      </w:r>
      <w:r>
        <w:rPr>
          <w:rFonts w:ascii="Verdana" w:hAnsi="Verdana"/>
          <w:sz w:val="20"/>
          <w:szCs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sidRPr="00C2374D">
        <w:rPr>
          <w:rFonts w:ascii="Verdana" w:hAnsi="Verdana"/>
          <w:sz w:val="20"/>
          <w:szCs w:val="20"/>
          <w:lang w:val="es-ES"/>
        </w:rPr>
        <w:t xml:space="preserve">presentaron </w:t>
      </w:r>
      <w:r>
        <w:rPr>
          <w:rFonts w:ascii="Verdana" w:hAnsi="Verdana"/>
          <w:sz w:val="20"/>
          <w:szCs w:val="20"/>
          <w:lang w:val="es-ES"/>
        </w:rPr>
        <w:t xml:space="preserve">una petición formal ante el Presidente de </w:t>
      </w:r>
      <w:r w:rsidR="00563E11">
        <w:rPr>
          <w:rFonts w:ascii="Verdana" w:hAnsi="Verdana"/>
          <w:sz w:val="20"/>
          <w:szCs w:val="20"/>
          <w:lang w:val="es-ES"/>
        </w:rPr>
        <w:t>Surinam</w:t>
      </w:r>
      <w:r>
        <w:rPr>
          <w:rFonts w:ascii="Verdana" w:hAnsi="Verdana"/>
          <w:sz w:val="20"/>
          <w:szCs w:val="20"/>
          <w:lang w:val="es-ES"/>
        </w:rPr>
        <w:t xml:space="preserve">, el señor Ronald Venetiaan, y los Ministerios y agencias estatales afines, en la cual solicitaron el reconocimiento de los derechos a sus territorios ancestrales; su personalidad jurídica y la obligación de consulta. Los días </w:t>
      </w:r>
      <w:r w:rsidRPr="00C2374D">
        <w:rPr>
          <w:rFonts w:ascii="Verdana" w:hAnsi="Verdana"/>
          <w:sz w:val="20"/>
          <w:szCs w:val="20"/>
          <w:lang w:val="es-ES"/>
        </w:rPr>
        <w:t xml:space="preserve">31 de enero y 28 de febrero de 2003 se llevaron a cabo reuniones </w:t>
      </w:r>
      <w:r>
        <w:rPr>
          <w:rFonts w:ascii="Verdana" w:hAnsi="Verdana"/>
          <w:sz w:val="20"/>
          <w:szCs w:val="20"/>
          <w:lang w:val="es-ES"/>
        </w:rPr>
        <w:t>al respecto pero no se alcanzaron acuerdos concretos (</w:t>
      </w:r>
      <w:r w:rsidR="00366D91" w:rsidRPr="00366D91">
        <w:rPr>
          <w:rFonts w:ascii="Verdana" w:hAnsi="Verdana"/>
          <w:i/>
          <w:sz w:val="20"/>
          <w:szCs w:val="20"/>
          <w:lang w:val="es-ES"/>
        </w:rPr>
        <w:t>supra</w:t>
      </w:r>
      <w:r>
        <w:rPr>
          <w:rFonts w:ascii="Verdana" w:hAnsi="Verdana"/>
          <w:sz w:val="20"/>
          <w:szCs w:val="20"/>
          <w:lang w:val="es-ES"/>
        </w:rPr>
        <w:t xml:space="preserve"> párrs. </w:t>
      </w:r>
      <w:r w:rsidR="000D6E72">
        <w:rPr>
          <w:rFonts w:ascii="Verdana" w:hAnsi="Verdana"/>
          <w:sz w:val="20"/>
          <w:szCs w:val="20"/>
          <w:lang w:val="es-ES"/>
        </w:rPr>
        <w:t xml:space="preserve">65 y </w:t>
      </w:r>
      <w:r w:rsidR="00BC33D0">
        <w:rPr>
          <w:rFonts w:ascii="Verdana" w:hAnsi="Verdana"/>
          <w:sz w:val="20"/>
          <w:szCs w:val="20"/>
          <w:lang w:val="es-ES"/>
        </w:rPr>
        <w:t>66</w:t>
      </w:r>
      <w:r>
        <w:rPr>
          <w:rFonts w:ascii="Verdana" w:hAnsi="Verdana"/>
          <w:sz w:val="20"/>
          <w:szCs w:val="20"/>
          <w:lang w:val="es-ES"/>
        </w:rPr>
        <w:t xml:space="preserve">). Posteriormente, el </w:t>
      </w:r>
      <w:r w:rsidRPr="00C2374D">
        <w:rPr>
          <w:rFonts w:ascii="Verdana" w:hAnsi="Verdana"/>
          <w:sz w:val="20"/>
          <w:szCs w:val="20"/>
          <w:lang w:val="es-ES"/>
        </w:rPr>
        <w:t xml:space="preserve">22 de marzo de 2004 </w:t>
      </w:r>
      <w:r>
        <w:rPr>
          <w:rFonts w:ascii="Verdana" w:hAnsi="Verdana"/>
          <w:sz w:val="20"/>
          <w:szCs w:val="20"/>
          <w:lang w:val="es-ES"/>
        </w:rPr>
        <w:lastRenderedPageBreak/>
        <w:t xml:space="preserve">los Capitanes de los </w:t>
      </w:r>
      <w:r w:rsidR="007F642B">
        <w:rPr>
          <w:rFonts w:ascii="Verdana" w:hAnsi="Verdana"/>
          <w:sz w:val="20"/>
          <w:szCs w:val="20"/>
          <w:lang w:val="es-ES"/>
        </w:rPr>
        <w:t>P</w:t>
      </w:r>
      <w:r>
        <w:rPr>
          <w:rFonts w:ascii="Verdana" w:hAnsi="Verdana"/>
          <w:sz w:val="20"/>
          <w:szCs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Pr>
          <w:rFonts w:ascii="Verdana" w:hAnsi="Verdana"/>
          <w:sz w:val="20"/>
          <w:szCs w:val="20"/>
          <w:lang w:val="es-ES"/>
        </w:rPr>
        <w:t>reiteraron lo establecido en la petición de 12 de enero de 2003. Sin embargo, la petición no obtuvo respuesta por parte del Estado (</w:t>
      </w:r>
      <w:r w:rsidR="00366D91" w:rsidRPr="00366D91">
        <w:rPr>
          <w:rFonts w:ascii="Verdana" w:hAnsi="Verdana"/>
          <w:i/>
          <w:sz w:val="20"/>
          <w:szCs w:val="20"/>
          <w:lang w:val="es-ES"/>
        </w:rPr>
        <w:t>supra</w:t>
      </w:r>
      <w:r>
        <w:rPr>
          <w:rFonts w:ascii="Verdana" w:hAnsi="Verdana"/>
          <w:sz w:val="20"/>
          <w:szCs w:val="20"/>
          <w:lang w:val="es-ES"/>
        </w:rPr>
        <w:t xml:space="preserve"> párr. </w:t>
      </w:r>
      <w:r w:rsidR="00BC33D0">
        <w:rPr>
          <w:rFonts w:ascii="Verdana" w:hAnsi="Verdana"/>
          <w:sz w:val="20"/>
          <w:szCs w:val="20"/>
          <w:lang w:val="es-ES"/>
        </w:rPr>
        <w:t>65</w:t>
      </w:r>
      <w:r>
        <w:rPr>
          <w:rFonts w:ascii="Verdana" w:hAnsi="Verdana"/>
          <w:sz w:val="20"/>
          <w:szCs w:val="20"/>
          <w:lang w:val="es-ES"/>
        </w:rPr>
        <w:t xml:space="preserve">). </w:t>
      </w:r>
    </w:p>
    <w:p w14:paraId="009CC28A" w14:textId="77777777" w:rsidR="008A3876" w:rsidRDefault="008A3876" w:rsidP="008A3876">
      <w:pPr>
        <w:pStyle w:val="ListParagraph"/>
        <w:ind w:left="0"/>
        <w:jc w:val="both"/>
        <w:rPr>
          <w:rFonts w:ascii="Verdana" w:hAnsi="Verdana"/>
          <w:sz w:val="20"/>
          <w:szCs w:val="20"/>
          <w:lang w:val="es-ES"/>
        </w:rPr>
      </w:pPr>
    </w:p>
    <w:p w14:paraId="18DFD65E" w14:textId="5511962C" w:rsidR="008A3876" w:rsidRDefault="008A3876" w:rsidP="008A3876">
      <w:pPr>
        <w:pStyle w:val="ListParagraph"/>
        <w:numPr>
          <w:ilvl w:val="0"/>
          <w:numId w:val="2"/>
        </w:numPr>
        <w:ind w:left="0" w:hanging="11"/>
        <w:jc w:val="both"/>
        <w:rPr>
          <w:rFonts w:ascii="Verdana" w:hAnsi="Verdana"/>
          <w:sz w:val="20"/>
          <w:szCs w:val="20"/>
          <w:lang w:val="es-ES"/>
        </w:rPr>
      </w:pPr>
      <w:r>
        <w:rPr>
          <w:rFonts w:ascii="Verdana" w:hAnsi="Verdana"/>
          <w:sz w:val="20"/>
          <w:szCs w:val="20"/>
          <w:lang w:val="es-ES"/>
        </w:rPr>
        <w:t>A su vez, e</w:t>
      </w:r>
      <w:r w:rsidRPr="00C2374D">
        <w:rPr>
          <w:rFonts w:ascii="Verdana" w:hAnsi="Verdana"/>
          <w:sz w:val="20"/>
          <w:szCs w:val="20"/>
          <w:lang w:val="es-ES"/>
        </w:rPr>
        <w:t>n diciembre de 2004</w:t>
      </w:r>
      <w:r>
        <w:rPr>
          <w:rFonts w:ascii="Verdana" w:hAnsi="Verdana"/>
          <w:sz w:val="20"/>
          <w:szCs w:val="20"/>
          <w:lang w:val="es-ES"/>
        </w:rPr>
        <w:t xml:space="preserve"> la organización CLIM presentó una comunicación a la Oficina de Tierras Estatales en la cual solicitó la suspensión de entrega de títulos en la zona denominada “Tuinstad</w:t>
      </w:r>
      <w:r w:rsidR="00BC33D0">
        <w:rPr>
          <w:rFonts w:ascii="Verdana" w:hAnsi="Verdana"/>
          <w:sz w:val="20"/>
          <w:szCs w:val="20"/>
          <w:lang w:val="es-ES"/>
        </w:rPr>
        <w:t xml:space="preserve"> </w:t>
      </w:r>
      <w:r>
        <w:rPr>
          <w:rFonts w:ascii="Verdana" w:hAnsi="Verdana"/>
          <w:sz w:val="20"/>
          <w:szCs w:val="20"/>
          <w:lang w:val="es-ES"/>
        </w:rPr>
        <w:t>Albina</w:t>
      </w:r>
      <w:r w:rsidR="00BC33D0">
        <w:rPr>
          <w:rFonts w:ascii="Verdana" w:hAnsi="Verdana"/>
          <w:sz w:val="20"/>
          <w:szCs w:val="20"/>
          <w:lang w:val="es-ES"/>
        </w:rPr>
        <w:t>”</w:t>
      </w:r>
      <w:r>
        <w:rPr>
          <w:rFonts w:ascii="Verdana" w:hAnsi="Verdana"/>
          <w:sz w:val="20"/>
          <w:szCs w:val="20"/>
          <w:lang w:val="es-ES"/>
        </w:rPr>
        <w:t>. También, el 22 de mayo de 2006 CLIM presentó una comunicación al Ministro de Planificación Territorial solicitando la suspensión de cualquier actividad que afectara su territorio ancestral</w:t>
      </w:r>
      <w:r w:rsidR="00476486">
        <w:rPr>
          <w:rFonts w:ascii="Verdana" w:hAnsi="Verdana"/>
          <w:sz w:val="20"/>
          <w:szCs w:val="20"/>
          <w:lang w:val="es-ES"/>
        </w:rPr>
        <w:t>.</w:t>
      </w:r>
      <w:r>
        <w:rPr>
          <w:rFonts w:ascii="Verdana" w:hAnsi="Verdana"/>
          <w:sz w:val="20"/>
          <w:szCs w:val="20"/>
          <w:lang w:val="es-ES"/>
        </w:rPr>
        <w:t xml:space="preserve"> No obstante, las comunicaciones no fueron respondidas </w:t>
      </w:r>
      <w:r w:rsidRPr="00CF360B">
        <w:rPr>
          <w:rFonts w:ascii="Verdana" w:hAnsi="Verdana"/>
          <w:sz w:val="20"/>
          <w:szCs w:val="20"/>
          <w:lang w:val="es-ES"/>
        </w:rPr>
        <w:t>(</w:t>
      </w:r>
      <w:r w:rsidR="00366D91" w:rsidRPr="000D6E72">
        <w:rPr>
          <w:rFonts w:ascii="Verdana" w:hAnsi="Verdana"/>
          <w:i/>
          <w:sz w:val="20"/>
          <w:szCs w:val="20"/>
          <w:lang w:val="es-ES"/>
        </w:rPr>
        <w:t>supra</w:t>
      </w:r>
      <w:r w:rsidRPr="00CF360B">
        <w:rPr>
          <w:rFonts w:ascii="Verdana" w:hAnsi="Verdana"/>
          <w:sz w:val="20"/>
          <w:szCs w:val="20"/>
          <w:lang w:val="es-ES"/>
        </w:rPr>
        <w:t xml:space="preserve"> párr. </w:t>
      </w:r>
      <w:r w:rsidR="00BC33D0" w:rsidRPr="00CF360B">
        <w:rPr>
          <w:rFonts w:ascii="Verdana" w:hAnsi="Verdana"/>
          <w:sz w:val="20"/>
          <w:szCs w:val="20"/>
          <w:lang w:val="es-ES"/>
        </w:rPr>
        <w:t>67</w:t>
      </w:r>
      <w:r w:rsidRPr="00CF360B">
        <w:rPr>
          <w:rFonts w:ascii="Verdana" w:hAnsi="Verdana"/>
          <w:sz w:val="20"/>
          <w:szCs w:val="20"/>
          <w:lang w:val="es-ES"/>
        </w:rPr>
        <w:t>)</w:t>
      </w:r>
      <w:r w:rsidRPr="000D6E72">
        <w:rPr>
          <w:rFonts w:ascii="Verdana" w:hAnsi="Verdana"/>
          <w:sz w:val="20"/>
          <w:szCs w:val="20"/>
          <w:lang w:val="es-ES"/>
        </w:rPr>
        <w:t>.</w:t>
      </w:r>
      <w:r>
        <w:rPr>
          <w:rFonts w:ascii="Verdana" w:hAnsi="Verdana"/>
          <w:sz w:val="20"/>
          <w:szCs w:val="20"/>
          <w:lang w:val="es-ES"/>
        </w:rPr>
        <w:t xml:space="preserve"> Igualmente, el 7 de octubre de 2007 los Capitanes de los </w:t>
      </w:r>
      <w:r w:rsidR="007F642B">
        <w:rPr>
          <w:rFonts w:ascii="Verdana" w:hAnsi="Verdana"/>
          <w:sz w:val="20"/>
          <w:szCs w:val="20"/>
          <w:lang w:val="es-ES"/>
        </w:rPr>
        <w:t>P</w:t>
      </w:r>
      <w:r>
        <w:rPr>
          <w:rFonts w:ascii="Verdana" w:hAnsi="Verdana"/>
          <w:sz w:val="20"/>
          <w:szCs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Pr>
          <w:rFonts w:ascii="Verdana" w:hAnsi="Verdana"/>
          <w:sz w:val="20"/>
          <w:szCs w:val="20"/>
          <w:lang w:val="es-ES"/>
        </w:rPr>
        <w:t xml:space="preserve">presentaron una comunicación al Presidente de </w:t>
      </w:r>
      <w:r w:rsidR="00563E11">
        <w:rPr>
          <w:rFonts w:ascii="Verdana" w:hAnsi="Verdana"/>
          <w:sz w:val="20"/>
          <w:szCs w:val="20"/>
          <w:lang w:val="es-ES"/>
        </w:rPr>
        <w:t>Surinam</w:t>
      </w:r>
      <w:r>
        <w:rPr>
          <w:rFonts w:ascii="Verdana" w:hAnsi="Verdana"/>
          <w:sz w:val="20"/>
          <w:szCs w:val="20"/>
          <w:lang w:val="es-ES"/>
        </w:rPr>
        <w:t xml:space="preserve"> impugnando diversas construcciones en la comunidad de Pierrekondre, sin obtener respuesta de parte del Estado</w:t>
      </w:r>
      <w:r w:rsidR="00BC33D0">
        <w:rPr>
          <w:rFonts w:ascii="Verdana" w:hAnsi="Verdana"/>
          <w:b/>
          <w:sz w:val="20"/>
          <w:szCs w:val="20"/>
          <w:lang w:val="es-ES"/>
        </w:rPr>
        <w:t xml:space="preserve"> </w:t>
      </w:r>
      <w:r w:rsidR="008A4ABB" w:rsidRPr="007E20F9">
        <w:rPr>
          <w:rFonts w:ascii="Verdana" w:hAnsi="Verdana"/>
          <w:sz w:val="20"/>
          <w:szCs w:val="20"/>
          <w:lang w:val="es-ES"/>
        </w:rPr>
        <w:t>(</w:t>
      </w:r>
      <w:r w:rsidR="008A4ABB" w:rsidRPr="007E20F9">
        <w:rPr>
          <w:rFonts w:ascii="Verdana" w:hAnsi="Verdana"/>
          <w:i/>
          <w:sz w:val="20"/>
          <w:szCs w:val="20"/>
          <w:lang w:val="es-ES"/>
        </w:rPr>
        <w:t>supra</w:t>
      </w:r>
      <w:r w:rsidR="008A4ABB" w:rsidRPr="007E20F9">
        <w:rPr>
          <w:rFonts w:ascii="Verdana" w:hAnsi="Verdana"/>
          <w:sz w:val="20"/>
          <w:szCs w:val="20"/>
          <w:lang w:val="es-ES"/>
        </w:rPr>
        <w:t xml:space="preserve"> párr. 68)</w:t>
      </w:r>
      <w:r>
        <w:rPr>
          <w:rFonts w:ascii="Verdana" w:hAnsi="Verdana"/>
          <w:sz w:val="20"/>
          <w:szCs w:val="20"/>
          <w:lang w:val="es-ES"/>
        </w:rPr>
        <w:t>.</w:t>
      </w:r>
      <w:r w:rsidR="00F66B20">
        <w:rPr>
          <w:rFonts w:ascii="Verdana" w:hAnsi="Verdana"/>
          <w:sz w:val="20"/>
          <w:szCs w:val="20"/>
          <w:lang w:val="es-ES"/>
        </w:rPr>
        <w:t xml:space="preserve"> Asimismo, el 28 de enero de 2013 los </w:t>
      </w:r>
      <w:r w:rsidR="00F66B20" w:rsidRPr="009A23B9">
        <w:rPr>
          <w:rFonts w:ascii="Verdana" w:hAnsi="Verdana"/>
          <w:sz w:val="20"/>
          <w:szCs w:val="20"/>
          <w:lang w:val="es-ES"/>
        </w:rPr>
        <w:t>Capitanes de Marijkedorp (Wan Shi Sha), Pierrekondre, Tapuku y Erowarte presentaron una comunicación al Presidente de la República protestando por la construcción de un casino en la comunidad de Marijkedorp</w:t>
      </w:r>
      <w:r w:rsidR="00F66B20">
        <w:rPr>
          <w:rFonts w:ascii="Verdana" w:hAnsi="Verdana"/>
          <w:sz w:val="20"/>
          <w:szCs w:val="20"/>
          <w:lang w:val="es-ES"/>
        </w:rPr>
        <w:t>, sin recibir respuesta alguna (</w:t>
      </w:r>
      <w:r w:rsidR="00F66B20" w:rsidRPr="009E77BD">
        <w:rPr>
          <w:rFonts w:ascii="Verdana" w:hAnsi="Verdana"/>
          <w:i/>
          <w:sz w:val="20"/>
          <w:szCs w:val="20"/>
          <w:lang w:val="es-ES"/>
        </w:rPr>
        <w:t xml:space="preserve">supra </w:t>
      </w:r>
      <w:r w:rsidR="00F66B20">
        <w:rPr>
          <w:rFonts w:ascii="Verdana" w:hAnsi="Verdana"/>
          <w:sz w:val="20"/>
          <w:szCs w:val="20"/>
          <w:lang w:val="es-ES"/>
        </w:rPr>
        <w:t xml:space="preserve">párr. </w:t>
      </w:r>
      <w:r w:rsidR="00BC33D0">
        <w:rPr>
          <w:rFonts w:ascii="Verdana" w:hAnsi="Verdana"/>
          <w:sz w:val="20"/>
          <w:szCs w:val="20"/>
          <w:lang w:val="es-ES"/>
        </w:rPr>
        <w:t>69</w:t>
      </w:r>
      <w:r w:rsidR="00F66B20">
        <w:rPr>
          <w:rFonts w:ascii="Verdana" w:hAnsi="Verdana"/>
          <w:sz w:val="20"/>
          <w:szCs w:val="20"/>
          <w:lang w:val="es-ES"/>
        </w:rPr>
        <w:t>).</w:t>
      </w:r>
    </w:p>
    <w:p w14:paraId="5E2F8A65" w14:textId="77777777" w:rsidR="008A3876" w:rsidRDefault="008A3876" w:rsidP="008A3876">
      <w:pPr>
        <w:jc w:val="both"/>
        <w:rPr>
          <w:rFonts w:ascii="Verdana" w:hAnsi="Verdana"/>
          <w:sz w:val="20"/>
          <w:lang w:val="es-CR"/>
        </w:rPr>
      </w:pPr>
    </w:p>
    <w:p w14:paraId="60DD3D83" w14:textId="0A05CEFF" w:rsidR="008A3876" w:rsidRDefault="008A3876" w:rsidP="008A3876">
      <w:pPr>
        <w:pStyle w:val="ListParagraph"/>
        <w:numPr>
          <w:ilvl w:val="0"/>
          <w:numId w:val="2"/>
        </w:numPr>
        <w:ind w:left="0" w:hanging="11"/>
        <w:jc w:val="both"/>
        <w:rPr>
          <w:rFonts w:ascii="Verdana" w:hAnsi="Verdana"/>
          <w:sz w:val="20"/>
          <w:szCs w:val="20"/>
          <w:lang w:val="es-ES"/>
        </w:rPr>
      </w:pPr>
      <w:r>
        <w:rPr>
          <w:rFonts w:ascii="Verdana" w:hAnsi="Verdana"/>
          <w:sz w:val="20"/>
          <w:szCs w:val="20"/>
          <w:lang w:val="es-ES"/>
        </w:rPr>
        <w:t xml:space="preserve">Sobre la base de lo anterior, la testigo Loreen Jubitana, directora de la Asociación de Líderes de </w:t>
      </w:r>
      <w:r w:rsidR="00A10C80">
        <w:rPr>
          <w:rFonts w:ascii="Verdana" w:hAnsi="Verdana"/>
          <w:sz w:val="20"/>
          <w:szCs w:val="20"/>
          <w:lang w:val="es-ES"/>
        </w:rPr>
        <w:t>Pueblos</w:t>
      </w:r>
      <w:r>
        <w:rPr>
          <w:rFonts w:ascii="Verdana" w:hAnsi="Verdana"/>
          <w:sz w:val="20"/>
          <w:szCs w:val="20"/>
          <w:lang w:val="es-ES"/>
        </w:rPr>
        <w:t xml:space="preserve"> Indígenas en </w:t>
      </w:r>
      <w:r w:rsidR="00563E11">
        <w:rPr>
          <w:rFonts w:ascii="Verdana" w:hAnsi="Verdana"/>
          <w:sz w:val="20"/>
          <w:szCs w:val="20"/>
          <w:lang w:val="es-ES"/>
        </w:rPr>
        <w:t>Surinam</w:t>
      </w:r>
      <w:r>
        <w:rPr>
          <w:rFonts w:ascii="Verdana" w:hAnsi="Verdana"/>
          <w:sz w:val="20"/>
          <w:szCs w:val="20"/>
          <w:lang w:val="es-ES"/>
        </w:rPr>
        <w:t xml:space="preserve"> (VIDS), manifestó en su declaración jurada presentada ante la Corte que no existen avances concretos por parte del Estado en aras de solucionar las problemáticas relacionadas con el reconocimiento de los derechos de los pueblos indígenas, y que por el contrario, cuando se ejerce presión sobre el Estado, éste crea comisiones como un mecanismo para tranquilizar la situación, sin que se alcancen resultados efectivos</w:t>
      </w:r>
      <w:r>
        <w:rPr>
          <w:rStyle w:val="FootnoteReference"/>
          <w:szCs w:val="20"/>
          <w:lang w:val="es-ES"/>
        </w:rPr>
        <w:footnoteReference w:id="300"/>
      </w:r>
      <w:r>
        <w:rPr>
          <w:rFonts w:ascii="Verdana" w:hAnsi="Verdana"/>
          <w:sz w:val="20"/>
          <w:szCs w:val="20"/>
          <w:lang w:val="es-ES"/>
        </w:rPr>
        <w:t>.</w:t>
      </w:r>
    </w:p>
    <w:p w14:paraId="228DB3A4" w14:textId="77777777" w:rsidR="008A3876" w:rsidRDefault="008A3876" w:rsidP="008A3876">
      <w:pPr>
        <w:jc w:val="both"/>
        <w:rPr>
          <w:rFonts w:ascii="Verdana" w:hAnsi="Verdana"/>
          <w:sz w:val="20"/>
          <w:lang w:val="es-ES"/>
        </w:rPr>
      </w:pPr>
    </w:p>
    <w:p w14:paraId="31316761" w14:textId="77777777" w:rsidR="008A3876" w:rsidRPr="00460575" w:rsidRDefault="008A3876" w:rsidP="008A3876">
      <w:pPr>
        <w:pStyle w:val="ListParagraph"/>
        <w:numPr>
          <w:ilvl w:val="0"/>
          <w:numId w:val="2"/>
        </w:numPr>
        <w:ind w:left="0" w:hanging="11"/>
        <w:jc w:val="both"/>
        <w:rPr>
          <w:rFonts w:ascii="Verdana" w:hAnsi="Verdana"/>
          <w:sz w:val="20"/>
          <w:lang w:val="es-ES"/>
        </w:rPr>
      </w:pPr>
      <w:r>
        <w:rPr>
          <w:rFonts w:ascii="Verdana" w:hAnsi="Verdana"/>
          <w:sz w:val="20"/>
          <w:lang w:val="es-ES"/>
        </w:rPr>
        <w:t xml:space="preserve">Por su parte, el perito Stuart Kirsh manifestó en su declaración jurada presentada ante la Corte que a pesar de haber sometido numerosas peticiones y haber sostenido múltiples reuniones con autoridades estatales, los </w:t>
      </w:r>
      <w:r w:rsidR="007F642B">
        <w:rPr>
          <w:rFonts w:ascii="Verdana" w:hAnsi="Verdana"/>
          <w:sz w:val="20"/>
          <w:lang w:val="es-ES"/>
        </w:rPr>
        <w:t>P</w:t>
      </w:r>
      <w:r>
        <w:rPr>
          <w:rFonts w:ascii="Verdana" w:hAnsi="Verdana"/>
          <w:sz w:val="20"/>
          <w:lang w:val="es-ES"/>
        </w:rPr>
        <w:t xml:space="preserve">ueblos </w:t>
      </w:r>
      <w:r w:rsidR="00CB39E1">
        <w:rPr>
          <w:rFonts w:ascii="Verdana" w:hAnsi="Verdana"/>
          <w:sz w:val="20"/>
          <w:szCs w:val="20"/>
          <w:lang w:val="es-ES"/>
        </w:rPr>
        <w:t>Kaliña y Lokono</w:t>
      </w:r>
      <w:r w:rsidR="00CB39E1" w:rsidRPr="004D5C3E">
        <w:rPr>
          <w:rFonts w:ascii="Verdana" w:hAnsi="Verdana"/>
          <w:sz w:val="20"/>
          <w:szCs w:val="20"/>
          <w:lang w:val="es-ES"/>
        </w:rPr>
        <w:t xml:space="preserve"> </w:t>
      </w:r>
      <w:r>
        <w:rPr>
          <w:rFonts w:ascii="Verdana" w:hAnsi="Verdana"/>
          <w:sz w:val="20"/>
          <w:lang w:val="es-ES"/>
        </w:rPr>
        <w:t>no han recibido una respuesta productiva o conclusiva a sus solicitudes de reconocimiento de sus territorios ancestrales u otros derechos</w:t>
      </w:r>
      <w:r>
        <w:rPr>
          <w:rStyle w:val="FootnoteReference"/>
          <w:lang w:val="es-ES"/>
        </w:rPr>
        <w:footnoteReference w:id="301"/>
      </w:r>
      <w:r>
        <w:rPr>
          <w:rFonts w:ascii="Verdana" w:hAnsi="Verdana"/>
          <w:sz w:val="20"/>
          <w:lang w:val="es-ES"/>
        </w:rPr>
        <w:t>.</w:t>
      </w:r>
    </w:p>
    <w:p w14:paraId="4F57D50C" w14:textId="77777777" w:rsidR="008A3876" w:rsidRDefault="008A3876" w:rsidP="008A3876">
      <w:pPr>
        <w:jc w:val="both"/>
        <w:rPr>
          <w:rFonts w:ascii="Verdana" w:hAnsi="Verdana"/>
          <w:sz w:val="20"/>
          <w:szCs w:val="20"/>
          <w:lang w:val="es-CR"/>
        </w:rPr>
      </w:pPr>
    </w:p>
    <w:p w14:paraId="7794FAE8" w14:textId="77777777" w:rsidR="008E016A" w:rsidRPr="00AB4A4B" w:rsidRDefault="008E016A" w:rsidP="008E016A">
      <w:pPr>
        <w:pStyle w:val="ListParagraph"/>
        <w:numPr>
          <w:ilvl w:val="0"/>
          <w:numId w:val="2"/>
        </w:numPr>
        <w:ind w:left="0" w:hanging="11"/>
        <w:jc w:val="both"/>
        <w:rPr>
          <w:rFonts w:ascii="Verdana" w:eastAsia="Times New Roman" w:hAnsi="Verdana" w:cs="Arial"/>
          <w:sz w:val="20"/>
          <w:szCs w:val="20"/>
          <w:lang w:val="es-CR" w:eastAsia="es-ES"/>
        </w:rPr>
      </w:pPr>
      <w:r w:rsidRPr="00880EAE">
        <w:rPr>
          <w:rFonts w:ascii="Verdana" w:hAnsi="Verdana"/>
          <w:sz w:val="20"/>
          <w:szCs w:val="20"/>
          <w:lang w:val="es-CR"/>
        </w:rPr>
        <w:t xml:space="preserve">De esta forma, la Corte considera que </w:t>
      </w:r>
      <w:r w:rsidRPr="00190AD3">
        <w:rPr>
          <w:rFonts w:ascii="Verdana" w:hAnsi="Verdana"/>
          <w:sz w:val="20"/>
          <w:szCs w:val="20"/>
          <w:lang w:val="es-CR"/>
        </w:rPr>
        <w:t xml:space="preserve">las actuaciones y omisiones de las autoridades estatales en </w:t>
      </w:r>
      <w:r w:rsidRPr="00880EAE">
        <w:rPr>
          <w:rFonts w:ascii="Verdana" w:hAnsi="Verdana"/>
          <w:sz w:val="20"/>
          <w:szCs w:val="20"/>
          <w:lang w:val="es-CR"/>
        </w:rPr>
        <w:t xml:space="preserve">los </w:t>
      </w:r>
      <w:r w:rsidRPr="00880EAE">
        <w:rPr>
          <w:rFonts w:ascii="Verdana" w:eastAsia="Times New Roman" w:hAnsi="Verdana" w:cs="Arial"/>
          <w:sz w:val="20"/>
          <w:szCs w:val="20"/>
          <w:lang w:val="es-CR" w:eastAsia="es-ES"/>
        </w:rPr>
        <w:t>procedimientos judiciales y peticiones analizadas en el presente apartado</w:t>
      </w:r>
      <w:r w:rsidR="00880EAE" w:rsidRPr="00880EAE">
        <w:rPr>
          <w:rFonts w:ascii="Verdana" w:eastAsia="Times New Roman" w:hAnsi="Verdana" w:cs="Arial"/>
          <w:sz w:val="20"/>
          <w:szCs w:val="20"/>
          <w:lang w:val="es-CR" w:eastAsia="es-ES"/>
        </w:rPr>
        <w:t>,</w:t>
      </w:r>
      <w:r w:rsidRPr="00880EAE">
        <w:rPr>
          <w:rFonts w:ascii="Verdana" w:eastAsia="Times New Roman" w:hAnsi="Verdana" w:cs="Arial"/>
          <w:sz w:val="20"/>
          <w:szCs w:val="20"/>
          <w:lang w:val="es-CR" w:eastAsia="es-ES"/>
        </w:rPr>
        <w:t xml:space="preserve"> </w:t>
      </w:r>
      <w:r w:rsidRPr="00190AD3">
        <w:rPr>
          <w:rFonts w:ascii="Verdana" w:eastAsia="Times New Roman" w:hAnsi="Verdana" w:cs="Arial"/>
          <w:sz w:val="20"/>
          <w:szCs w:val="20"/>
          <w:lang w:val="es-CR" w:eastAsia="es-ES"/>
        </w:rPr>
        <w:t>no han dado respuestas  adecuadas y efectivas a los reclamos planteados,</w:t>
      </w:r>
      <w:r w:rsidR="00880EAE" w:rsidRPr="00190AD3">
        <w:rPr>
          <w:rFonts w:ascii="Verdana" w:eastAsia="Times New Roman" w:hAnsi="Verdana" w:cs="Arial"/>
          <w:sz w:val="20"/>
          <w:szCs w:val="20"/>
          <w:lang w:val="es-CR" w:eastAsia="es-ES"/>
        </w:rPr>
        <w:t xml:space="preserve"> </w:t>
      </w:r>
      <w:r w:rsidR="00880EAE" w:rsidRPr="00880EAE">
        <w:rPr>
          <w:rFonts w:ascii="Verdana" w:eastAsia="Times New Roman" w:hAnsi="Verdana" w:cs="Arial"/>
          <w:sz w:val="20"/>
          <w:szCs w:val="20"/>
          <w:lang w:val="es-CR" w:eastAsia="es-ES"/>
        </w:rPr>
        <w:t>por lo</w:t>
      </w:r>
      <w:r w:rsidRPr="00880EAE">
        <w:rPr>
          <w:rFonts w:ascii="Verdana" w:eastAsia="Times New Roman" w:hAnsi="Verdana" w:cs="Arial"/>
          <w:sz w:val="20"/>
          <w:szCs w:val="20"/>
          <w:lang w:val="es-CR" w:eastAsia="es-ES"/>
        </w:rPr>
        <w:t xml:space="preserve"> que no han mostrado una posibi</w:t>
      </w:r>
      <w:r w:rsidRPr="00AB4A4B">
        <w:rPr>
          <w:rFonts w:ascii="Verdana" w:eastAsia="Times New Roman" w:hAnsi="Verdana" w:cs="Arial"/>
          <w:sz w:val="20"/>
          <w:szCs w:val="20"/>
          <w:lang w:val="es-CR" w:eastAsia="es-ES"/>
        </w:rPr>
        <w:t>lidad real para que los Pueblos Kaliña y Lokono alcancen la reivindicación de sus territorios ancestrales.</w:t>
      </w:r>
    </w:p>
    <w:p w14:paraId="296A9669" w14:textId="77777777" w:rsidR="008A3876" w:rsidRDefault="008A3876" w:rsidP="008A3876">
      <w:pPr>
        <w:jc w:val="both"/>
        <w:rPr>
          <w:rFonts w:ascii="Verdana" w:hAnsi="Verdana"/>
          <w:sz w:val="20"/>
          <w:lang w:val="es-CR"/>
        </w:rPr>
      </w:pPr>
    </w:p>
    <w:p w14:paraId="791904D8" w14:textId="77777777" w:rsidR="008A3876" w:rsidRPr="008A3876" w:rsidRDefault="008A3876" w:rsidP="008A3876">
      <w:pPr>
        <w:pStyle w:val="Heading3"/>
        <w:spacing w:before="0"/>
        <w:ind w:left="360"/>
        <w:jc w:val="both"/>
        <w:rPr>
          <w:rFonts w:ascii="Verdana" w:hAnsi="Verdana"/>
          <w:i/>
          <w:color w:val="auto"/>
          <w:sz w:val="20"/>
          <w:szCs w:val="20"/>
          <w:lang w:val="es-ES"/>
        </w:rPr>
      </w:pPr>
      <w:bookmarkStart w:id="71" w:name="_Toc441666196"/>
      <w:r w:rsidRPr="008A3876">
        <w:rPr>
          <w:rFonts w:ascii="Verdana" w:hAnsi="Verdana"/>
          <w:i/>
          <w:color w:val="auto"/>
          <w:sz w:val="20"/>
          <w:szCs w:val="20"/>
          <w:lang w:val="es-ES"/>
        </w:rPr>
        <w:t>B.3 El derecho de acceso a la información en relación con el artículo 25 de la Convención Americana</w:t>
      </w:r>
      <w:bookmarkEnd w:id="71"/>
      <w:r w:rsidRPr="008A3876">
        <w:rPr>
          <w:rFonts w:ascii="Verdana" w:hAnsi="Verdana"/>
          <w:i/>
          <w:color w:val="auto"/>
          <w:sz w:val="20"/>
          <w:szCs w:val="20"/>
          <w:lang w:val="es-ES"/>
        </w:rPr>
        <w:t xml:space="preserve"> </w:t>
      </w:r>
    </w:p>
    <w:p w14:paraId="4FDBD658" w14:textId="77777777" w:rsidR="008A3876" w:rsidRPr="00DD160A" w:rsidRDefault="008A3876" w:rsidP="008A3876">
      <w:pPr>
        <w:pStyle w:val="ListParagraph"/>
        <w:ind w:left="360"/>
        <w:jc w:val="both"/>
        <w:rPr>
          <w:rFonts w:ascii="Verdana" w:hAnsi="Verdana"/>
          <w:b/>
          <w:sz w:val="20"/>
          <w:szCs w:val="20"/>
          <w:lang w:val="es-ES"/>
        </w:rPr>
      </w:pPr>
    </w:p>
    <w:p w14:paraId="3FBABBD2" w14:textId="77777777" w:rsidR="00B24890" w:rsidRDefault="00E6747D" w:rsidP="00E6747D">
      <w:pPr>
        <w:pStyle w:val="ListParagraph"/>
        <w:numPr>
          <w:ilvl w:val="0"/>
          <w:numId w:val="2"/>
        </w:numPr>
        <w:ind w:left="0" w:hanging="11"/>
        <w:jc w:val="both"/>
        <w:rPr>
          <w:rFonts w:ascii="Verdana" w:hAnsi="Verdana"/>
          <w:sz w:val="20"/>
          <w:szCs w:val="20"/>
        </w:rPr>
      </w:pPr>
      <w:r>
        <w:rPr>
          <w:rFonts w:ascii="Verdana" w:hAnsi="Verdana"/>
          <w:sz w:val="20"/>
          <w:szCs w:val="20"/>
        </w:rPr>
        <w:t xml:space="preserve">La Corte considera importante resaltar que las partes no han alegado la violación del artículo 13 de la Convención durante el procedimiento ante este </w:t>
      </w:r>
      <w:r w:rsidRPr="00BC33D0">
        <w:rPr>
          <w:rFonts w:ascii="Verdana" w:hAnsi="Verdana"/>
          <w:sz w:val="20"/>
          <w:szCs w:val="20"/>
        </w:rPr>
        <w:t>Tribunal</w:t>
      </w:r>
      <w:r w:rsidR="00A8064E" w:rsidRPr="00BC33D0">
        <w:rPr>
          <w:rFonts w:ascii="Verdana" w:hAnsi="Verdana"/>
          <w:sz w:val="20"/>
          <w:szCs w:val="20"/>
        </w:rPr>
        <w:t xml:space="preserve"> </w:t>
      </w:r>
      <w:r w:rsidR="008A4ABB" w:rsidRPr="007E20F9">
        <w:rPr>
          <w:rFonts w:ascii="Verdana" w:hAnsi="Verdana"/>
          <w:sz w:val="20"/>
          <w:szCs w:val="20"/>
        </w:rPr>
        <w:t>(</w:t>
      </w:r>
      <w:r w:rsidR="008A4ABB" w:rsidRPr="007E20F9">
        <w:rPr>
          <w:rFonts w:ascii="Verdana" w:hAnsi="Verdana"/>
          <w:i/>
          <w:sz w:val="20"/>
          <w:szCs w:val="20"/>
        </w:rPr>
        <w:t>supra</w:t>
      </w:r>
      <w:r w:rsidR="008A4ABB" w:rsidRPr="007E20F9">
        <w:rPr>
          <w:rFonts w:ascii="Verdana" w:hAnsi="Verdana"/>
          <w:sz w:val="20"/>
          <w:szCs w:val="20"/>
        </w:rPr>
        <w:t xml:space="preserve"> párrs. 232 y 234).</w:t>
      </w:r>
      <w:r>
        <w:rPr>
          <w:rFonts w:ascii="Verdana" w:hAnsi="Verdana"/>
          <w:sz w:val="20"/>
          <w:szCs w:val="20"/>
        </w:rPr>
        <w:t xml:space="preserve"> Sin embargo, estima pertinente aplicar el principio </w:t>
      </w:r>
      <w:r>
        <w:rPr>
          <w:rFonts w:ascii="Verdana" w:hAnsi="Verdana"/>
          <w:i/>
          <w:sz w:val="20"/>
          <w:szCs w:val="20"/>
        </w:rPr>
        <w:t>iura novit curia</w:t>
      </w:r>
      <w:r>
        <w:rPr>
          <w:rFonts w:ascii="Verdana" w:hAnsi="Verdana"/>
          <w:sz w:val="20"/>
          <w:szCs w:val="20"/>
        </w:rPr>
        <w:t>, el cual permite estudiar la posible violación de las normas de la Convención que no han sido alegadas en los escritos presentados por las partes, siempre y cuando éstas hayan tenido la oportunidad de expresar sus respectivas posiciones en relación con los hechos que las sustentan</w:t>
      </w:r>
      <w:r>
        <w:rPr>
          <w:rStyle w:val="FootnoteReference"/>
          <w:szCs w:val="20"/>
        </w:rPr>
        <w:footnoteReference w:id="302"/>
      </w:r>
      <w:r>
        <w:rPr>
          <w:rFonts w:ascii="Verdana" w:hAnsi="Verdana"/>
          <w:sz w:val="20"/>
          <w:szCs w:val="20"/>
        </w:rPr>
        <w:t>.</w:t>
      </w:r>
    </w:p>
    <w:p w14:paraId="2DED9A63" w14:textId="77777777" w:rsidR="00476486" w:rsidRDefault="00476486" w:rsidP="004B0145">
      <w:pPr>
        <w:pStyle w:val="ListParagraph"/>
        <w:ind w:left="0"/>
        <w:jc w:val="both"/>
        <w:rPr>
          <w:rFonts w:ascii="Verdana" w:hAnsi="Verdana"/>
          <w:sz w:val="20"/>
          <w:szCs w:val="20"/>
        </w:rPr>
      </w:pPr>
    </w:p>
    <w:p w14:paraId="776E12E4" w14:textId="726987CC" w:rsidR="005B2BBE" w:rsidRDefault="008A3876" w:rsidP="008A3876">
      <w:pPr>
        <w:pStyle w:val="ListParagraph"/>
        <w:numPr>
          <w:ilvl w:val="0"/>
          <w:numId w:val="2"/>
        </w:numPr>
        <w:ind w:left="0" w:hanging="11"/>
        <w:jc w:val="both"/>
        <w:rPr>
          <w:rFonts w:ascii="Verdana" w:hAnsi="Verdana"/>
          <w:sz w:val="20"/>
          <w:szCs w:val="20"/>
          <w:lang w:val="es-PE"/>
        </w:rPr>
      </w:pPr>
      <w:r w:rsidRPr="00B976D8">
        <w:rPr>
          <w:rFonts w:ascii="Verdana" w:hAnsi="Verdana"/>
          <w:sz w:val="20"/>
          <w:szCs w:val="20"/>
          <w:lang w:val="es-PE"/>
        </w:rPr>
        <w:t xml:space="preserve">A la Corte le corresponde analizar si la falta de respuesta por parte del Estado a la solicitud de información acerca de los títulos de propiedad que alegan las víctimas constituye una violación del </w:t>
      </w:r>
      <w:r w:rsidR="00476486" w:rsidRPr="00DE49D4">
        <w:rPr>
          <w:rFonts w:ascii="Verdana" w:hAnsi="Verdana"/>
          <w:sz w:val="20"/>
          <w:szCs w:val="20"/>
          <w:lang w:val="es-PE"/>
        </w:rPr>
        <w:t>ar</w:t>
      </w:r>
      <w:r w:rsidR="00476486">
        <w:rPr>
          <w:rFonts w:ascii="Verdana" w:hAnsi="Verdana"/>
          <w:sz w:val="20"/>
          <w:szCs w:val="20"/>
          <w:lang w:val="es-PE"/>
        </w:rPr>
        <w:t xml:space="preserve">tículo </w:t>
      </w:r>
      <w:r w:rsidR="00476486" w:rsidRPr="00B976D8">
        <w:rPr>
          <w:rFonts w:ascii="Verdana" w:hAnsi="Verdana"/>
          <w:sz w:val="20"/>
          <w:szCs w:val="20"/>
          <w:lang w:val="es-PE"/>
        </w:rPr>
        <w:t xml:space="preserve">25 </w:t>
      </w:r>
      <w:r w:rsidRPr="00B976D8">
        <w:rPr>
          <w:rFonts w:ascii="Verdana" w:hAnsi="Verdana"/>
          <w:sz w:val="20"/>
          <w:szCs w:val="20"/>
          <w:lang w:val="es-PE"/>
        </w:rPr>
        <w:t>de la Convención Am</w:t>
      </w:r>
      <w:r w:rsidRPr="00DE49D4">
        <w:rPr>
          <w:rFonts w:ascii="Verdana" w:hAnsi="Verdana"/>
          <w:sz w:val="20"/>
          <w:szCs w:val="20"/>
          <w:lang w:val="es-PE"/>
        </w:rPr>
        <w:t xml:space="preserve">ericana en relación con el </w:t>
      </w:r>
      <w:r w:rsidR="00476486" w:rsidRPr="00B976D8">
        <w:rPr>
          <w:rFonts w:ascii="Verdana" w:hAnsi="Verdana"/>
          <w:sz w:val="20"/>
          <w:szCs w:val="20"/>
          <w:lang w:val="es-PE"/>
        </w:rPr>
        <w:t xml:space="preserve">artículo 13 </w:t>
      </w:r>
      <w:r w:rsidRPr="00B976D8">
        <w:rPr>
          <w:rFonts w:ascii="Verdana" w:hAnsi="Verdana"/>
          <w:sz w:val="20"/>
          <w:szCs w:val="20"/>
          <w:lang w:val="es-PE"/>
        </w:rPr>
        <w:t>de la misma.</w:t>
      </w:r>
    </w:p>
    <w:p w14:paraId="54D7BA46" w14:textId="77777777" w:rsidR="008A3876" w:rsidRPr="00B976D8" w:rsidRDefault="008A3876" w:rsidP="009E77BD">
      <w:pPr>
        <w:pStyle w:val="ListParagraph"/>
        <w:ind w:left="0"/>
        <w:jc w:val="both"/>
        <w:rPr>
          <w:rFonts w:ascii="Verdana" w:hAnsi="Verdana"/>
          <w:sz w:val="20"/>
          <w:szCs w:val="20"/>
          <w:lang w:val="es-PE"/>
        </w:rPr>
      </w:pPr>
      <w:r w:rsidRPr="00B976D8">
        <w:rPr>
          <w:rFonts w:ascii="Verdana" w:hAnsi="Verdana"/>
          <w:sz w:val="20"/>
          <w:szCs w:val="20"/>
          <w:lang w:val="es-PE"/>
        </w:rPr>
        <w:t xml:space="preserve"> </w:t>
      </w:r>
    </w:p>
    <w:p w14:paraId="7311FC99" w14:textId="77777777" w:rsidR="008A3876" w:rsidRDefault="008A3876" w:rsidP="008A3876">
      <w:pPr>
        <w:pStyle w:val="ListParagraph"/>
        <w:numPr>
          <w:ilvl w:val="0"/>
          <w:numId w:val="2"/>
        </w:numPr>
        <w:ind w:left="0" w:hanging="11"/>
        <w:jc w:val="both"/>
        <w:rPr>
          <w:rFonts w:ascii="Verdana" w:hAnsi="Verdana"/>
          <w:sz w:val="20"/>
          <w:szCs w:val="20"/>
        </w:rPr>
      </w:pPr>
      <w:r>
        <w:rPr>
          <w:rFonts w:ascii="Verdana" w:hAnsi="Verdana"/>
          <w:sz w:val="20"/>
          <w:szCs w:val="20"/>
        </w:rPr>
        <w:t xml:space="preserve">La Corte ha establecido que, de acuerdo </w:t>
      </w:r>
      <w:r w:rsidR="00BC33D0">
        <w:rPr>
          <w:rFonts w:ascii="Verdana" w:hAnsi="Verdana"/>
          <w:sz w:val="20"/>
          <w:szCs w:val="20"/>
        </w:rPr>
        <w:t xml:space="preserve">con </w:t>
      </w:r>
      <w:r>
        <w:rPr>
          <w:rFonts w:ascii="Verdana" w:hAnsi="Verdana"/>
          <w:sz w:val="20"/>
          <w:szCs w:val="20"/>
        </w:rPr>
        <w:t>la protección que otorga la Convención Americana, el derecho a la libertad de pensamiento y de expresión comprende no sólo el derecho y la libertad de expresar su propio pensamiento, sino también el derecho y la libertad de buscar, recibir y difundir informaciones e ideas de toda índole</w:t>
      </w:r>
      <w:r>
        <w:rPr>
          <w:rStyle w:val="FootnoteReference"/>
          <w:szCs w:val="20"/>
        </w:rPr>
        <w:footnoteReference w:id="303"/>
      </w:r>
      <w:r>
        <w:rPr>
          <w:rFonts w:ascii="Verdana" w:hAnsi="Verdana"/>
          <w:sz w:val="20"/>
          <w:szCs w:val="20"/>
        </w:rPr>
        <w:t>. De este modo, el artículo 13 de la Convención, al estipular expresamente los derechos a buscar y a recibir informaciones, protege el derecho que tiene toda persona a solicitar el acceso a la información bajo el control del Estado, con las salvedades permitidas bajo el régimen de restricciones de la Convención. Dicha información debe ser entregada sin necesidad de acreditar un interés directo para su obtención o una afectación personal, salvo en los casos en que se aplique una legítima restricción</w:t>
      </w:r>
      <w:r>
        <w:rPr>
          <w:rStyle w:val="FootnoteReference"/>
          <w:szCs w:val="20"/>
        </w:rPr>
        <w:footnoteReference w:id="304"/>
      </w:r>
      <w:r>
        <w:rPr>
          <w:rFonts w:ascii="Verdana" w:hAnsi="Verdana"/>
          <w:sz w:val="20"/>
          <w:szCs w:val="20"/>
        </w:rPr>
        <w:t xml:space="preserve">. </w:t>
      </w:r>
    </w:p>
    <w:p w14:paraId="14146C60" w14:textId="77777777" w:rsidR="008A3876" w:rsidRDefault="008A3876" w:rsidP="008A3876">
      <w:pPr>
        <w:pStyle w:val="ListParagraph"/>
        <w:ind w:left="0"/>
        <w:jc w:val="both"/>
        <w:rPr>
          <w:rFonts w:ascii="Verdana" w:hAnsi="Verdana"/>
          <w:sz w:val="20"/>
          <w:szCs w:val="20"/>
        </w:rPr>
      </w:pPr>
    </w:p>
    <w:p w14:paraId="6E8E5CD7" w14:textId="77777777" w:rsidR="00930352" w:rsidRPr="00930352" w:rsidRDefault="00B73D90" w:rsidP="00261627">
      <w:pPr>
        <w:pStyle w:val="ListParagraph"/>
        <w:numPr>
          <w:ilvl w:val="0"/>
          <w:numId w:val="2"/>
        </w:numPr>
        <w:ind w:left="0" w:hanging="11"/>
        <w:jc w:val="both"/>
        <w:rPr>
          <w:rFonts w:ascii="Verdana" w:hAnsi="Verdana"/>
          <w:sz w:val="20"/>
          <w:szCs w:val="20"/>
        </w:rPr>
      </w:pPr>
      <w:r>
        <w:rPr>
          <w:rFonts w:ascii="Verdana" w:hAnsi="Verdana"/>
          <w:sz w:val="20"/>
          <w:szCs w:val="20"/>
        </w:rPr>
        <w:t>L</w:t>
      </w:r>
      <w:r w:rsidR="008A3876" w:rsidRPr="00930352">
        <w:rPr>
          <w:rFonts w:ascii="Verdana" w:hAnsi="Verdana"/>
          <w:sz w:val="20"/>
          <w:szCs w:val="20"/>
        </w:rPr>
        <w:t xml:space="preserve">a Corte </w:t>
      </w:r>
      <w:r>
        <w:rPr>
          <w:rFonts w:ascii="Verdana" w:hAnsi="Verdana"/>
          <w:sz w:val="20"/>
          <w:szCs w:val="20"/>
        </w:rPr>
        <w:t xml:space="preserve">ha </w:t>
      </w:r>
      <w:r w:rsidR="008A3876" w:rsidRPr="00930352">
        <w:rPr>
          <w:rFonts w:ascii="Verdana" w:hAnsi="Verdana"/>
          <w:sz w:val="20"/>
          <w:szCs w:val="20"/>
        </w:rPr>
        <w:t>estableci</w:t>
      </w:r>
      <w:r>
        <w:rPr>
          <w:rFonts w:ascii="Verdana" w:hAnsi="Verdana"/>
          <w:sz w:val="20"/>
          <w:szCs w:val="20"/>
        </w:rPr>
        <w:t>d</w:t>
      </w:r>
      <w:r w:rsidR="00723617">
        <w:rPr>
          <w:rFonts w:ascii="Verdana" w:hAnsi="Verdana"/>
          <w:sz w:val="20"/>
          <w:szCs w:val="20"/>
        </w:rPr>
        <w:t>o</w:t>
      </w:r>
      <w:r w:rsidR="008A3876" w:rsidRPr="00930352">
        <w:rPr>
          <w:rFonts w:ascii="Verdana" w:hAnsi="Verdana"/>
          <w:sz w:val="20"/>
          <w:szCs w:val="20"/>
        </w:rPr>
        <w:t xml:space="preserve"> que los Estados se encuentran en la obligación de suministrar la información solicitada. Sin embargo, en caso de que proceda la negativa de entrega, deberá dar una respuesta fundamentada que permita conocer cuáles son los motivos y normas en que se basa para no entregar la información.</w:t>
      </w:r>
      <w:r w:rsidR="008A3876" w:rsidRPr="00930352">
        <w:rPr>
          <w:rFonts w:ascii="Verdana" w:hAnsi="Verdana"/>
          <w:i/>
          <w:sz w:val="20"/>
          <w:szCs w:val="20"/>
        </w:rPr>
        <w:t xml:space="preserve"> </w:t>
      </w:r>
      <w:r w:rsidR="008A3876" w:rsidRPr="00930352">
        <w:rPr>
          <w:rFonts w:ascii="Verdana" w:hAnsi="Verdana"/>
          <w:sz w:val="20"/>
          <w:szCs w:val="20"/>
        </w:rPr>
        <w:t xml:space="preserve">De esta manera, analizando dicha decisión se podrá determinar si tal restricción es compatible con </w:t>
      </w:r>
      <w:r w:rsidR="00930352" w:rsidRPr="00930352">
        <w:rPr>
          <w:rFonts w:ascii="Verdana" w:hAnsi="Verdana"/>
          <w:sz w:val="20"/>
          <w:szCs w:val="20"/>
        </w:rPr>
        <w:t>las restricciones permitidas por la Convención Americana, esto es, aquellas que sean legales, necesarias, proporcionales, con el fin de lograr un objetivo legítimo y que respondan a un interés general en el marco de una sociedad democrática</w:t>
      </w:r>
      <w:r w:rsidR="00930352" w:rsidRPr="00930352">
        <w:rPr>
          <w:rStyle w:val="FootnoteReference"/>
          <w:szCs w:val="20"/>
        </w:rPr>
        <w:footnoteReference w:id="305"/>
      </w:r>
      <w:r w:rsidR="00930352" w:rsidRPr="00261627">
        <w:rPr>
          <w:rFonts w:ascii="Verdana" w:hAnsi="Verdana"/>
          <w:sz w:val="20"/>
          <w:szCs w:val="20"/>
        </w:rPr>
        <w:t>.</w:t>
      </w:r>
      <w:r w:rsidR="008A3876" w:rsidRPr="00930352">
        <w:rPr>
          <w:rFonts w:ascii="Verdana" w:hAnsi="Verdana"/>
          <w:sz w:val="20"/>
          <w:szCs w:val="20"/>
        </w:rPr>
        <w:t xml:space="preserve"> En los casos en que no se obtiene respuesta del Estado la Corte entiende que además de la violación al artículo 13 de la Convención, tal actitud supone una decisión arbitraria</w:t>
      </w:r>
      <w:r w:rsidR="008A3876" w:rsidRPr="00930352">
        <w:rPr>
          <w:rStyle w:val="FootnoteReference"/>
          <w:szCs w:val="20"/>
        </w:rPr>
        <w:footnoteReference w:id="306"/>
      </w:r>
      <w:r w:rsidR="008A3876" w:rsidRPr="00930352">
        <w:rPr>
          <w:rFonts w:ascii="Verdana" w:hAnsi="Verdana"/>
          <w:sz w:val="20"/>
          <w:szCs w:val="20"/>
        </w:rPr>
        <w:t>. En razón de esto es necesario que la carga de la prueba para justificar cualquier negativa de acceso a la información recaiga en el órgano al cual la información fue solicitada</w:t>
      </w:r>
      <w:r w:rsidR="008A3876" w:rsidRPr="00930352">
        <w:rPr>
          <w:rStyle w:val="FootnoteReference"/>
          <w:szCs w:val="20"/>
        </w:rPr>
        <w:footnoteReference w:id="307"/>
      </w:r>
      <w:r w:rsidR="008A3876" w:rsidRPr="00930352">
        <w:rPr>
          <w:rFonts w:ascii="Verdana" w:hAnsi="Verdana"/>
          <w:sz w:val="20"/>
          <w:szCs w:val="20"/>
        </w:rPr>
        <w:t>.</w:t>
      </w:r>
      <w:r w:rsidR="00046EA9" w:rsidRPr="00930352">
        <w:rPr>
          <w:rFonts w:ascii="Verdana" w:hAnsi="Verdana"/>
          <w:sz w:val="20"/>
          <w:szCs w:val="20"/>
        </w:rPr>
        <w:t xml:space="preserve"> </w:t>
      </w:r>
    </w:p>
    <w:p w14:paraId="668C8642" w14:textId="77777777" w:rsidR="008A3876" w:rsidRPr="00930352" w:rsidRDefault="008A3876" w:rsidP="00930352">
      <w:pPr>
        <w:pStyle w:val="ListParagraph"/>
        <w:ind w:left="0"/>
        <w:jc w:val="both"/>
        <w:rPr>
          <w:rFonts w:ascii="Verdana" w:hAnsi="Verdana"/>
          <w:sz w:val="20"/>
          <w:szCs w:val="20"/>
        </w:rPr>
      </w:pPr>
    </w:p>
    <w:p w14:paraId="3807903B" w14:textId="63B52A8F" w:rsidR="003E05BA" w:rsidRDefault="008A3876" w:rsidP="002C323A">
      <w:pPr>
        <w:pStyle w:val="ListParagraph"/>
        <w:numPr>
          <w:ilvl w:val="0"/>
          <w:numId w:val="2"/>
        </w:numPr>
        <w:ind w:left="0" w:hanging="11"/>
        <w:jc w:val="both"/>
        <w:rPr>
          <w:rFonts w:ascii="Verdana" w:hAnsi="Verdana"/>
          <w:sz w:val="20"/>
          <w:szCs w:val="20"/>
        </w:rPr>
      </w:pPr>
      <w:r w:rsidRPr="008A3876">
        <w:rPr>
          <w:rFonts w:ascii="Verdana" w:hAnsi="Verdana"/>
          <w:sz w:val="20"/>
          <w:szCs w:val="20"/>
        </w:rPr>
        <w:t xml:space="preserve">En el caso </w:t>
      </w:r>
      <w:r w:rsidRPr="00B22EC8">
        <w:rPr>
          <w:rFonts w:ascii="Verdana" w:hAnsi="Verdana"/>
          <w:sz w:val="20"/>
          <w:szCs w:val="20"/>
        </w:rPr>
        <w:t xml:space="preserve">particular, el 7 de octubre de 2007 los Capitanes de ocho comunidades de los </w:t>
      </w:r>
      <w:r w:rsidR="00476486" w:rsidRPr="00B22EC8">
        <w:rPr>
          <w:rFonts w:ascii="Verdana" w:hAnsi="Verdana"/>
          <w:sz w:val="20"/>
          <w:szCs w:val="20"/>
        </w:rPr>
        <w:t>P</w:t>
      </w:r>
      <w:r w:rsidRPr="00B22EC8">
        <w:rPr>
          <w:rFonts w:ascii="Verdana" w:hAnsi="Verdana"/>
          <w:sz w:val="20"/>
          <w:szCs w:val="20"/>
        </w:rPr>
        <w:t>ueblos Kaliña y Lokono</w:t>
      </w:r>
      <w:r w:rsidRPr="00B22EC8">
        <w:rPr>
          <w:rStyle w:val="FootnoteReference"/>
          <w:szCs w:val="20"/>
        </w:rPr>
        <w:footnoteReference w:id="308"/>
      </w:r>
      <w:r w:rsidRPr="00B22EC8">
        <w:rPr>
          <w:rFonts w:ascii="Verdana" w:hAnsi="Verdana"/>
          <w:sz w:val="20"/>
          <w:szCs w:val="20"/>
        </w:rPr>
        <w:t>, la Comisión de Derechos</w:t>
      </w:r>
      <w:r w:rsidRPr="00A10C80">
        <w:rPr>
          <w:rFonts w:ascii="Verdana" w:hAnsi="Verdana"/>
          <w:sz w:val="20"/>
          <w:szCs w:val="20"/>
        </w:rPr>
        <w:t xml:space="preserve"> </w:t>
      </w:r>
      <w:r w:rsidR="00A10C80" w:rsidRPr="00727D10">
        <w:rPr>
          <w:rFonts w:ascii="Verdana" w:hAnsi="Verdana"/>
          <w:sz w:val="20"/>
          <w:szCs w:val="20"/>
        </w:rPr>
        <w:t>de Tierras del Bajo Marowijne</w:t>
      </w:r>
      <w:r w:rsidRPr="008A3876">
        <w:rPr>
          <w:rStyle w:val="FootnoteReference"/>
          <w:szCs w:val="20"/>
        </w:rPr>
        <w:footnoteReference w:id="309"/>
      </w:r>
      <w:r w:rsidRPr="008A3876">
        <w:rPr>
          <w:rFonts w:ascii="Verdana" w:hAnsi="Verdana"/>
          <w:sz w:val="20"/>
          <w:szCs w:val="20"/>
        </w:rPr>
        <w:t xml:space="preserve"> y la </w:t>
      </w:r>
      <w:r w:rsidRPr="008A3876">
        <w:rPr>
          <w:rFonts w:ascii="Verdana" w:hAnsi="Verdana"/>
          <w:sz w:val="20"/>
          <w:szCs w:val="20"/>
        </w:rPr>
        <w:lastRenderedPageBreak/>
        <w:t xml:space="preserve">Asociación de Líderes de </w:t>
      </w:r>
      <w:r w:rsidR="00A10C80">
        <w:rPr>
          <w:rFonts w:ascii="Verdana" w:hAnsi="Verdana"/>
          <w:sz w:val="20"/>
          <w:szCs w:val="20"/>
        </w:rPr>
        <w:t>P</w:t>
      </w:r>
      <w:r w:rsidRPr="008A3876">
        <w:rPr>
          <w:rFonts w:ascii="Verdana" w:hAnsi="Verdana"/>
          <w:sz w:val="20"/>
          <w:szCs w:val="20"/>
        </w:rPr>
        <w:t xml:space="preserve">ueblos </w:t>
      </w:r>
      <w:r w:rsidR="00A10C80">
        <w:rPr>
          <w:rFonts w:ascii="Verdana" w:hAnsi="Verdana"/>
          <w:sz w:val="20"/>
          <w:szCs w:val="20"/>
        </w:rPr>
        <w:t>I</w:t>
      </w:r>
      <w:r w:rsidRPr="008A3876">
        <w:rPr>
          <w:rFonts w:ascii="Verdana" w:hAnsi="Verdana"/>
          <w:sz w:val="20"/>
          <w:szCs w:val="20"/>
        </w:rPr>
        <w:t xml:space="preserve">ndígenas en </w:t>
      </w:r>
      <w:r w:rsidR="00563E11">
        <w:rPr>
          <w:rFonts w:ascii="Verdana" w:hAnsi="Verdana"/>
          <w:sz w:val="20"/>
          <w:szCs w:val="20"/>
        </w:rPr>
        <w:t>Surinam</w:t>
      </w:r>
      <w:r w:rsidRPr="008A3876">
        <w:rPr>
          <w:rStyle w:val="FootnoteReference"/>
          <w:szCs w:val="20"/>
        </w:rPr>
        <w:footnoteReference w:id="310"/>
      </w:r>
      <w:r w:rsidRPr="008A3876">
        <w:rPr>
          <w:rFonts w:ascii="Verdana" w:hAnsi="Verdana"/>
          <w:sz w:val="20"/>
          <w:szCs w:val="20"/>
        </w:rPr>
        <w:t xml:space="preserve"> solicitaron al Estado </w:t>
      </w:r>
      <w:r w:rsidR="00A8064E" w:rsidRPr="00190AD3">
        <w:rPr>
          <w:rFonts w:ascii="Verdana" w:eastAsiaTheme="minorHAnsi" w:hAnsi="Verdana"/>
          <w:sz w:val="20"/>
          <w:szCs w:val="20"/>
        </w:rPr>
        <w:t xml:space="preserve">“clarificar y producir los documentos relevantes que prueben si las personas identificadas anteriormente [los señores </w:t>
      </w:r>
      <w:r w:rsidR="00A8064E" w:rsidRPr="00190AD3">
        <w:rPr>
          <w:rFonts w:ascii="Verdana" w:hAnsi="Verdana"/>
          <w:sz w:val="20"/>
          <w:szCs w:val="20"/>
        </w:rPr>
        <w:t>H.J. De Vries y Harrold Sijlbing</w:t>
      </w:r>
      <w:r w:rsidR="00A8064E" w:rsidRPr="00190AD3">
        <w:rPr>
          <w:rFonts w:ascii="Verdana" w:eastAsiaTheme="minorHAnsi" w:hAnsi="Verdana"/>
          <w:sz w:val="20"/>
          <w:szCs w:val="20"/>
        </w:rPr>
        <w:t>] poseen títulos válidos en el Pueblo de Pierrekondre; y si fuera así, [clarificar] la naturaleza de aquellos títulos y si estas personas tienen permiso para construir casas y/o comercios debido a los mismos. Solicita</w:t>
      </w:r>
      <w:r w:rsidR="006834B1" w:rsidRPr="00190AD3">
        <w:rPr>
          <w:rFonts w:ascii="Verdana" w:eastAsiaTheme="minorHAnsi" w:hAnsi="Verdana"/>
          <w:sz w:val="20"/>
          <w:szCs w:val="20"/>
        </w:rPr>
        <w:t>[ron]</w:t>
      </w:r>
      <w:r w:rsidR="00A8064E" w:rsidRPr="00190AD3">
        <w:rPr>
          <w:rFonts w:ascii="Verdana" w:eastAsiaTheme="minorHAnsi" w:hAnsi="Verdana"/>
          <w:sz w:val="20"/>
          <w:szCs w:val="20"/>
        </w:rPr>
        <w:t xml:space="preserve"> que esta información sea entregada por escrito y sea discutida con </w:t>
      </w:r>
      <w:r w:rsidR="006834B1" w:rsidRPr="00190AD3">
        <w:rPr>
          <w:rFonts w:ascii="Verdana" w:eastAsiaTheme="minorHAnsi" w:hAnsi="Verdana"/>
          <w:sz w:val="20"/>
          <w:szCs w:val="20"/>
        </w:rPr>
        <w:t>[estos]</w:t>
      </w:r>
      <w:r w:rsidR="00A8064E" w:rsidRPr="00190AD3">
        <w:rPr>
          <w:rFonts w:ascii="Verdana" w:eastAsiaTheme="minorHAnsi" w:hAnsi="Verdana"/>
          <w:sz w:val="20"/>
          <w:szCs w:val="20"/>
        </w:rPr>
        <w:t xml:space="preserve"> </w:t>
      </w:r>
      <w:r w:rsidR="00FA5D91">
        <w:rPr>
          <w:rFonts w:ascii="Verdana" w:eastAsiaTheme="minorHAnsi" w:hAnsi="Verdana"/>
          <w:sz w:val="20"/>
          <w:szCs w:val="20"/>
        </w:rPr>
        <w:t>tan pronto</w:t>
      </w:r>
      <w:r w:rsidR="00A8064E" w:rsidRPr="00190AD3">
        <w:rPr>
          <w:rFonts w:ascii="Verdana" w:eastAsiaTheme="minorHAnsi" w:hAnsi="Verdana"/>
          <w:sz w:val="20"/>
          <w:szCs w:val="20"/>
        </w:rPr>
        <w:t xml:space="preserve"> se encuentre disponible”</w:t>
      </w:r>
      <w:r w:rsidR="00A8064E" w:rsidRPr="00880EAE">
        <w:rPr>
          <w:rStyle w:val="FootnoteReference"/>
          <w:szCs w:val="20"/>
        </w:rPr>
        <w:footnoteReference w:id="311"/>
      </w:r>
      <w:r w:rsidR="00A8064E" w:rsidRPr="00880EAE">
        <w:rPr>
          <w:szCs w:val="20"/>
        </w:rPr>
        <w:t>.</w:t>
      </w:r>
      <w:r w:rsidR="00A8064E">
        <w:rPr>
          <w:rFonts w:ascii="Verdana" w:eastAsiaTheme="minorHAnsi" w:hAnsi="Verdana"/>
          <w:b/>
          <w:sz w:val="20"/>
          <w:szCs w:val="20"/>
        </w:rPr>
        <w:t xml:space="preserve"> </w:t>
      </w:r>
      <w:r w:rsidRPr="008A3876">
        <w:rPr>
          <w:rFonts w:ascii="Verdana" w:hAnsi="Verdana"/>
          <w:sz w:val="20"/>
          <w:szCs w:val="20"/>
        </w:rPr>
        <w:t xml:space="preserve">Sin embargo, el Estado de </w:t>
      </w:r>
      <w:r w:rsidR="00563E11">
        <w:rPr>
          <w:rFonts w:ascii="Verdana" w:hAnsi="Verdana"/>
          <w:sz w:val="20"/>
          <w:szCs w:val="20"/>
        </w:rPr>
        <w:t>Surinam</w:t>
      </w:r>
      <w:r w:rsidRPr="008A3876">
        <w:rPr>
          <w:rFonts w:ascii="Verdana" w:hAnsi="Verdana"/>
          <w:sz w:val="20"/>
          <w:szCs w:val="20"/>
        </w:rPr>
        <w:t xml:space="preserve"> no dio respuesta a dicha solicitud</w:t>
      </w:r>
      <w:r w:rsidRPr="008A3876">
        <w:rPr>
          <w:rStyle w:val="FootnoteReference"/>
          <w:szCs w:val="20"/>
        </w:rPr>
        <w:footnoteReference w:id="312"/>
      </w:r>
      <w:r w:rsidRPr="008A3876">
        <w:rPr>
          <w:rFonts w:ascii="Verdana" w:hAnsi="Verdana"/>
          <w:sz w:val="20"/>
          <w:szCs w:val="20"/>
        </w:rPr>
        <w:t xml:space="preserve">. </w:t>
      </w:r>
      <w:r w:rsidR="003E05BA" w:rsidRPr="00190AD3">
        <w:rPr>
          <w:rFonts w:ascii="Verdana" w:hAnsi="Verdana"/>
          <w:sz w:val="20"/>
          <w:szCs w:val="20"/>
        </w:rPr>
        <w:t xml:space="preserve">Por otro lado, durante la diligencia </w:t>
      </w:r>
      <w:r w:rsidR="003E05BA" w:rsidRPr="00190AD3">
        <w:rPr>
          <w:rFonts w:ascii="Verdana" w:hAnsi="Verdana"/>
          <w:i/>
          <w:sz w:val="20"/>
          <w:szCs w:val="20"/>
        </w:rPr>
        <w:t>in situ</w:t>
      </w:r>
      <w:r w:rsidR="003E05BA" w:rsidRPr="00190AD3">
        <w:rPr>
          <w:rFonts w:ascii="Verdana" w:hAnsi="Verdana"/>
          <w:sz w:val="20"/>
          <w:szCs w:val="20"/>
        </w:rPr>
        <w:t xml:space="preserve">, </w:t>
      </w:r>
      <w:r w:rsidR="00FA5D91">
        <w:rPr>
          <w:rFonts w:ascii="Verdana" w:hAnsi="Verdana"/>
          <w:sz w:val="20"/>
          <w:szCs w:val="20"/>
        </w:rPr>
        <w:t>el</w:t>
      </w:r>
      <w:r w:rsidR="003E05BA" w:rsidRPr="00190AD3">
        <w:rPr>
          <w:rFonts w:ascii="Verdana" w:hAnsi="Verdana"/>
          <w:sz w:val="20"/>
          <w:szCs w:val="20"/>
        </w:rPr>
        <w:t xml:space="preserve"> Estado señaló que cualquier surinamés podía acceder a los registros públicos a solicitar dicha información.</w:t>
      </w:r>
    </w:p>
    <w:p w14:paraId="153503C0" w14:textId="77777777" w:rsidR="00880EAE" w:rsidRDefault="00880EAE" w:rsidP="00190AD3">
      <w:pPr>
        <w:pStyle w:val="ListParagraph"/>
        <w:ind w:left="0"/>
        <w:jc w:val="both"/>
        <w:rPr>
          <w:rFonts w:ascii="Verdana" w:hAnsi="Verdana"/>
          <w:sz w:val="20"/>
          <w:szCs w:val="20"/>
        </w:rPr>
      </w:pPr>
    </w:p>
    <w:p w14:paraId="2DDD87D6" w14:textId="77777777" w:rsidR="00557E59" w:rsidRPr="00190AD3" w:rsidRDefault="003E05BA" w:rsidP="00190AD3">
      <w:pPr>
        <w:pStyle w:val="ListParagraph"/>
        <w:numPr>
          <w:ilvl w:val="0"/>
          <w:numId w:val="2"/>
        </w:numPr>
        <w:ind w:left="0" w:hanging="11"/>
        <w:jc w:val="both"/>
        <w:rPr>
          <w:rFonts w:ascii="Verdana" w:hAnsi="Verdana"/>
          <w:sz w:val="20"/>
          <w:szCs w:val="20"/>
          <w:lang w:val="es-CR"/>
        </w:rPr>
      </w:pPr>
      <w:r w:rsidRPr="00190AD3">
        <w:rPr>
          <w:rFonts w:ascii="Verdana" w:hAnsi="Verdana"/>
          <w:sz w:val="20"/>
          <w:szCs w:val="20"/>
        </w:rPr>
        <w:t xml:space="preserve">De </w:t>
      </w:r>
      <w:r w:rsidR="008A3876" w:rsidRPr="00190AD3">
        <w:rPr>
          <w:rFonts w:ascii="Verdana" w:hAnsi="Verdana"/>
          <w:sz w:val="20"/>
          <w:szCs w:val="20"/>
        </w:rPr>
        <w:t xml:space="preserve">igual manera, </w:t>
      </w:r>
      <w:r w:rsidR="000C251D" w:rsidRPr="00190AD3">
        <w:rPr>
          <w:rFonts w:ascii="Verdana" w:hAnsi="Verdana"/>
          <w:sz w:val="20"/>
          <w:szCs w:val="20"/>
        </w:rPr>
        <w:t xml:space="preserve">esta </w:t>
      </w:r>
      <w:r w:rsidR="008A3876" w:rsidRPr="00190AD3">
        <w:rPr>
          <w:rFonts w:ascii="Verdana" w:hAnsi="Verdana"/>
          <w:sz w:val="20"/>
          <w:szCs w:val="20"/>
        </w:rPr>
        <w:t>Corte solicitó al Estado</w:t>
      </w:r>
      <w:r w:rsidR="00880EAE" w:rsidRPr="00190AD3">
        <w:rPr>
          <w:rFonts w:ascii="Verdana" w:hAnsi="Verdana"/>
          <w:sz w:val="20"/>
          <w:szCs w:val="20"/>
        </w:rPr>
        <w:t xml:space="preserve"> </w:t>
      </w:r>
      <w:r w:rsidR="008A3876" w:rsidRPr="00190AD3">
        <w:rPr>
          <w:rFonts w:ascii="Verdana" w:hAnsi="Verdana"/>
          <w:sz w:val="20"/>
          <w:szCs w:val="20"/>
        </w:rPr>
        <w:t xml:space="preserve">que aportara </w:t>
      </w:r>
      <w:r w:rsidRPr="00190AD3">
        <w:rPr>
          <w:rFonts w:ascii="Verdana" w:hAnsi="Verdana"/>
          <w:sz w:val="20"/>
          <w:szCs w:val="20"/>
        </w:rPr>
        <w:t xml:space="preserve">los títulos de propiedad y de arrendamiento a corto y largo plazo, otorgados a terceros indígenas y no indígenas, así como información respecto </w:t>
      </w:r>
      <w:r w:rsidR="00FA5D91">
        <w:rPr>
          <w:rFonts w:ascii="Verdana" w:hAnsi="Verdana"/>
          <w:sz w:val="20"/>
          <w:szCs w:val="20"/>
        </w:rPr>
        <w:t>de</w:t>
      </w:r>
      <w:r w:rsidR="00FA5D91" w:rsidRPr="00190AD3">
        <w:rPr>
          <w:rFonts w:ascii="Verdana" w:hAnsi="Verdana"/>
          <w:sz w:val="20"/>
          <w:szCs w:val="20"/>
        </w:rPr>
        <w:t xml:space="preserve"> </w:t>
      </w:r>
      <w:r w:rsidRPr="00190AD3">
        <w:rPr>
          <w:rFonts w:ascii="Verdana" w:hAnsi="Verdana"/>
          <w:sz w:val="20"/>
          <w:szCs w:val="20"/>
        </w:rPr>
        <w:t>cuántos de estos títulos fueron entregados a terceros no indígenas. E</w:t>
      </w:r>
      <w:r w:rsidR="008A3876" w:rsidRPr="00190AD3">
        <w:rPr>
          <w:rFonts w:ascii="Verdana" w:hAnsi="Verdana"/>
          <w:sz w:val="20"/>
          <w:szCs w:val="20"/>
        </w:rPr>
        <w:t xml:space="preserve">sta información </w:t>
      </w:r>
      <w:r w:rsidRPr="00190AD3">
        <w:rPr>
          <w:rFonts w:ascii="Verdana" w:hAnsi="Verdana"/>
          <w:sz w:val="20"/>
          <w:szCs w:val="20"/>
        </w:rPr>
        <w:t xml:space="preserve">fue </w:t>
      </w:r>
      <w:r w:rsidR="008A3876" w:rsidRPr="00190AD3">
        <w:rPr>
          <w:rFonts w:ascii="Verdana" w:hAnsi="Verdana"/>
          <w:sz w:val="20"/>
          <w:szCs w:val="20"/>
        </w:rPr>
        <w:t>entregad</w:t>
      </w:r>
      <w:r w:rsidRPr="00190AD3">
        <w:rPr>
          <w:rFonts w:ascii="Verdana" w:hAnsi="Verdana"/>
          <w:sz w:val="20"/>
          <w:szCs w:val="20"/>
        </w:rPr>
        <w:t>a</w:t>
      </w:r>
      <w:r w:rsidR="008A3876" w:rsidRPr="00190AD3">
        <w:rPr>
          <w:rFonts w:ascii="Verdana" w:hAnsi="Verdana"/>
          <w:sz w:val="20"/>
          <w:szCs w:val="20"/>
        </w:rPr>
        <w:t xml:space="preserve"> el 22 de septiembre de 2015, pero en idioma holandés </w:t>
      </w:r>
      <w:r w:rsidR="000D6E72" w:rsidRPr="00BE1078">
        <w:rPr>
          <w:rFonts w:ascii="Verdana" w:hAnsi="Verdana"/>
          <w:sz w:val="20"/>
          <w:szCs w:val="20"/>
          <w:lang w:val="es-MX"/>
        </w:rPr>
        <w:t>(</w:t>
      </w:r>
      <w:r w:rsidR="000D6E72" w:rsidRPr="00BE1078">
        <w:rPr>
          <w:rFonts w:ascii="Verdana" w:hAnsi="Verdana"/>
          <w:i/>
          <w:sz w:val="20"/>
          <w:szCs w:val="20"/>
          <w:lang w:val="es-MX"/>
        </w:rPr>
        <w:t>supra</w:t>
      </w:r>
      <w:r w:rsidR="000D6E72" w:rsidRPr="00BE1078">
        <w:rPr>
          <w:rFonts w:ascii="Verdana" w:hAnsi="Verdana"/>
          <w:sz w:val="20"/>
          <w:szCs w:val="20"/>
          <w:lang w:val="es-MX"/>
        </w:rPr>
        <w:t xml:space="preserve"> párr. </w:t>
      </w:r>
      <w:r w:rsidR="000D6E72">
        <w:rPr>
          <w:rFonts w:ascii="Verdana" w:hAnsi="Verdana"/>
          <w:sz w:val="20"/>
          <w:szCs w:val="20"/>
          <w:lang w:val="es-MX"/>
        </w:rPr>
        <w:t>27)</w:t>
      </w:r>
      <w:r w:rsidR="000D6E72" w:rsidRPr="00BE1078">
        <w:rPr>
          <w:rFonts w:ascii="Verdana" w:hAnsi="Verdana"/>
          <w:sz w:val="20"/>
          <w:szCs w:val="20"/>
          <w:lang w:val="es-MX"/>
        </w:rPr>
        <w:t xml:space="preserve"> </w:t>
      </w:r>
      <w:r w:rsidR="006834B1" w:rsidRPr="00190AD3">
        <w:rPr>
          <w:rFonts w:ascii="Verdana" w:hAnsi="Verdana"/>
          <w:sz w:val="20"/>
          <w:szCs w:val="20"/>
        </w:rPr>
        <w:t>y sin explicar la información remitida</w:t>
      </w:r>
      <w:r w:rsidRPr="00190AD3">
        <w:rPr>
          <w:rFonts w:ascii="Verdana" w:hAnsi="Verdana"/>
          <w:sz w:val="20"/>
          <w:szCs w:val="20"/>
        </w:rPr>
        <w:t>, luego de que</w:t>
      </w:r>
      <w:r w:rsidR="00116F0A">
        <w:rPr>
          <w:rFonts w:ascii="Verdana" w:hAnsi="Verdana"/>
          <w:sz w:val="20"/>
          <w:szCs w:val="20"/>
        </w:rPr>
        <w:t xml:space="preserve"> fuera solicitada</w:t>
      </w:r>
      <w:r w:rsidRPr="00190AD3">
        <w:rPr>
          <w:rFonts w:ascii="Verdana" w:hAnsi="Verdana"/>
          <w:sz w:val="20"/>
          <w:szCs w:val="20"/>
        </w:rPr>
        <w:t xml:space="preserve"> en tres oportunidades</w:t>
      </w:r>
      <w:r w:rsidR="00086426" w:rsidRPr="00190AD3">
        <w:rPr>
          <w:rFonts w:ascii="Verdana" w:hAnsi="Verdana"/>
          <w:sz w:val="20"/>
          <w:szCs w:val="20"/>
        </w:rPr>
        <w:t xml:space="preserve"> (</w:t>
      </w:r>
      <w:r w:rsidR="00086426" w:rsidRPr="00CF360B">
        <w:rPr>
          <w:rFonts w:ascii="Verdana" w:hAnsi="Verdana"/>
          <w:i/>
          <w:sz w:val="20"/>
          <w:szCs w:val="20"/>
        </w:rPr>
        <w:t>supra</w:t>
      </w:r>
      <w:r w:rsidR="00086426" w:rsidRPr="00190AD3">
        <w:rPr>
          <w:rFonts w:ascii="Verdana" w:hAnsi="Verdana"/>
          <w:sz w:val="20"/>
          <w:szCs w:val="20"/>
        </w:rPr>
        <w:t xml:space="preserve"> párrs. </w:t>
      </w:r>
      <w:r w:rsidR="00FA5D91">
        <w:rPr>
          <w:rFonts w:ascii="Verdana" w:hAnsi="Verdana"/>
          <w:sz w:val="20"/>
          <w:szCs w:val="20"/>
        </w:rPr>
        <w:t>12 y 16</w:t>
      </w:r>
      <w:r w:rsidR="00086426" w:rsidRPr="00190AD3">
        <w:rPr>
          <w:rFonts w:ascii="Verdana" w:hAnsi="Verdana"/>
          <w:sz w:val="20"/>
          <w:szCs w:val="20"/>
        </w:rPr>
        <w:t>)</w:t>
      </w:r>
      <w:r w:rsidRPr="00880EAE">
        <w:rPr>
          <w:rStyle w:val="FootnoteReference"/>
          <w:szCs w:val="20"/>
        </w:rPr>
        <w:footnoteReference w:id="313"/>
      </w:r>
      <w:r w:rsidRPr="00190AD3">
        <w:rPr>
          <w:rFonts w:ascii="Verdana" w:hAnsi="Verdana"/>
          <w:sz w:val="20"/>
          <w:szCs w:val="20"/>
        </w:rPr>
        <w:t>.</w:t>
      </w:r>
      <w:r w:rsidR="008A3876" w:rsidRPr="00190AD3">
        <w:rPr>
          <w:rFonts w:ascii="Verdana" w:hAnsi="Verdana"/>
          <w:sz w:val="20"/>
          <w:szCs w:val="20"/>
        </w:rPr>
        <w:t xml:space="preserve"> </w:t>
      </w:r>
    </w:p>
    <w:p w14:paraId="26B0E13B" w14:textId="77777777" w:rsidR="008A3876" w:rsidRPr="00880EAE" w:rsidRDefault="008A3876" w:rsidP="00557E59">
      <w:pPr>
        <w:pStyle w:val="ListParagraph"/>
        <w:ind w:left="0"/>
        <w:jc w:val="both"/>
        <w:rPr>
          <w:rFonts w:ascii="Verdana" w:hAnsi="Verdana"/>
          <w:sz w:val="20"/>
          <w:szCs w:val="20"/>
        </w:rPr>
      </w:pPr>
    </w:p>
    <w:p w14:paraId="6ABD48A8" w14:textId="77777777" w:rsidR="00BE1078" w:rsidRPr="009E77BD" w:rsidRDefault="00BE1078" w:rsidP="009E77BD">
      <w:pPr>
        <w:pStyle w:val="ListParagraph"/>
        <w:numPr>
          <w:ilvl w:val="0"/>
          <w:numId w:val="2"/>
        </w:numPr>
        <w:ind w:left="0" w:hanging="11"/>
        <w:jc w:val="both"/>
        <w:rPr>
          <w:rFonts w:ascii="Verdana" w:hAnsi="Verdana"/>
          <w:sz w:val="20"/>
          <w:szCs w:val="20"/>
        </w:rPr>
      </w:pPr>
      <w:r w:rsidRPr="009E77BD">
        <w:rPr>
          <w:rFonts w:ascii="Verdana" w:hAnsi="Verdana"/>
          <w:sz w:val="20"/>
          <w:szCs w:val="20"/>
          <w:lang w:val="es-MX"/>
        </w:rPr>
        <w:t>L</w:t>
      </w:r>
      <w:r w:rsidR="008A3876" w:rsidRPr="00BE1078">
        <w:rPr>
          <w:rFonts w:ascii="Verdana" w:hAnsi="Verdana"/>
          <w:sz w:val="20"/>
          <w:szCs w:val="20"/>
          <w:lang w:val="es-MX"/>
        </w:rPr>
        <w:t xml:space="preserve">a Corte no tiene conocimiento específico acerca de la existencia de una norma interna que desarrolle y regule el acceso a la información en </w:t>
      </w:r>
      <w:r w:rsidR="00563E11" w:rsidRPr="00BE1078">
        <w:rPr>
          <w:rFonts w:ascii="Verdana" w:hAnsi="Verdana"/>
          <w:sz w:val="20"/>
          <w:szCs w:val="20"/>
          <w:lang w:val="es-MX"/>
        </w:rPr>
        <w:t>Surinam</w:t>
      </w:r>
      <w:r w:rsidRPr="009E77BD">
        <w:rPr>
          <w:rFonts w:ascii="Verdana" w:hAnsi="Verdana"/>
          <w:sz w:val="20"/>
          <w:szCs w:val="20"/>
          <w:lang w:val="es-MX"/>
        </w:rPr>
        <w:t>.</w:t>
      </w:r>
      <w:r w:rsidR="008A3876" w:rsidRPr="00BE1078">
        <w:rPr>
          <w:rFonts w:ascii="Verdana" w:hAnsi="Verdana"/>
          <w:sz w:val="20"/>
          <w:szCs w:val="20"/>
          <w:lang w:val="es-MX"/>
        </w:rPr>
        <w:t xml:space="preserve"> </w:t>
      </w:r>
      <w:r w:rsidRPr="009E77BD">
        <w:rPr>
          <w:rFonts w:ascii="Verdana" w:hAnsi="Verdana"/>
          <w:sz w:val="20"/>
          <w:szCs w:val="20"/>
          <w:lang w:val="es-MX"/>
        </w:rPr>
        <w:t xml:space="preserve">No obstante, observa que </w:t>
      </w:r>
      <w:r w:rsidR="005B2BBE" w:rsidRPr="009E77BD">
        <w:rPr>
          <w:rFonts w:ascii="Verdana" w:hAnsi="Verdana"/>
          <w:sz w:val="20"/>
          <w:szCs w:val="20"/>
          <w:lang w:val="es-MX"/>
        </w:rPr>
        <w:t xml:space="preserve">la solicitud de información de 7 de octubre de 2007 sobre la existencia de títulos de propiedad en Pierrekondre, </w:t>
      </w:r>
      <w:r w:rsidR="008A3876" w:rsidRPr="00BE1078">
        <w:rPr>
          <w:rFonts w:ascii="Verdana" w:hAnsi="Verdana"/>
          <w:sz w:val="20"/>
          <w:szCs w:val="20"/>
          <w:lang w:val="es-MX"/>
        </w:rPr>
        <w:t xml:space="preserve">se </w:t>
      </w:r>
      <w:r w:rsidR="005B2BBE" w:rsidRPr="009E77BD">
        <w:rPr>
          <w:rFonts w:ascii="Verdana" w:hAnsi="Verdana"/>
          <w:sz w:val="20"/>
          <w:szCs w:val="20"/>
          <w:lang w:val="es-MX"/>
        </w:rPr>
        <w:t xml:space="preserve">amparó en </w:t>
      </w:r>
      <w:r w:rsidR="008A3876" w:rsidRPr="00BE1078">
        <w:rPr>
          <w:rFonts w:ascii="Verdana" w:hAnsi="Verdana"/>
          <w:sz w:val="20"/>
          <w:szCs w:val="20"/>
          <w:lang w:val="es-MX"/>
        </w:rPr>
        <w:t xml:space="preserve">la protección del artículo 22 de su Constitución, que </w:t>
      </w:r>
      <w:r w:rsidR="005B2BBE" w:rsidRPr="009E77BD">
        <w:rPr>
          <w:rFonts w:ascii="Verdana" w:hAnsi="Verdana"/>
          <w:sz w:val="20"/>
          <w:szCs w:val="20"/>
          <w:lang w:val="es-MX"/>
        </w:rPr>
        <w:t>permite la presentación por parte de t</w:t>
      </w:r>
      <w:r w:rsidR="008A3876" w:rsidRPr="00BE1078">
        <w:rPr>
          <w:rFonts w:ascii="Verdana" w:hAnsi="Verdana"/>
          <w:sz w:val="20"/>
          <w:szCs w:val="20"/>
          <w:lang w:val="es-MX"/>
        </w:rPr>
        <w:t xml:space="preserve">oda persona </w:t>
      </w:r>
      <w:r w:rsidR="005B2BBE" w:rsidRPr="009E77BD">
        <w:rPr>
          <w:rFonts w:ascii="Verdana" w:hAnsi="Verdana"/>
          <w:sz w:val="20"/>
          <w:szCs w:val="20"/>
          <w:lang w:val="es-MX"/>
        </w:rPr>
        <w:t xml:space="preserve">de </w:t>
      </w:r>
      <w:r w:rsidR="008A3876" w:rsidRPr="00BE1078">
        <w:rPr>
          <w:rFonts w:ascii="Verdana" w:hAnsi="Verdana"/>
          <w:sz w:val="20"/>
          <w:szCs w:val="20"/>
          <w:lang w:val="es-MX"/>
        </w:rPr>
        <w:t xml:space="preserve">peticiones escritas ante las autoridades públicas. </w:t>
      </w:r>
      <w:r w:rsidRPr="009E77BD">
        <w:rPr>
          <w:rFonts w:ascii="Verdana" w:hAnsi="Verdana"/>
          <w:sz w:val="20"/>
          <w:szCs w:val="20"/>
          <w:lang w:val="es-MX"/>
        </w:rPr>
        <w:t>C</w:t>
      </w:r>
      <w:r w:rsidR="00B24890" w:rsidRPr="00BE1078">
        <w:rPr>
          <w:rFonts w:ascii="Verdana" w:hAnsi="Verdana"/>
          <w:sz w:val="20"/>
          <w:szCs w:val="20"/>
          <w:lang w:val="es-MX"/>
        </w:rPr>
        <w:t xml:space="preserve">omo ya </w:t>
      </w:r>
      <w:r w:rsidRPr="009E77BD">
        <w:rPr>
          <w:rFonts w:ascii="Verdana" w:hAnsi="Verdana"/>
          <w:sz w:val="20"/>
          <w:szCs w:val="20"/>
          <w:lang w:val="es-MX"/>
        </w:rPr>
        <w:t>fue mencionad</w:t>
      </w:r>
      <w:r w:rsidR="00086426">
        <w:rPr>
          <w:rFonts w:ascii="Verdana" w:hAnsi="Verdana"/>
          <w:sz w:val="20"/>
          <w:szCs w:val="20"/>
          <w:lang w:val="es-MX"/>
        </w:rPr>
        <w:t>o</w:t>
      </w:r>
      <w:r w:rsidRPr="00AB4A4B">
        <w:rPr>
          <w:rFonts w:ascii="Verdana" w:hAnsi="Verdana"/>
          <w:sz w:val="20"/>
          <w:szCs w:val="20"/>
          <w:lang w:val="es-MX"/>
        </w:rPr>
        <w:t xml:space="preserve">, </w:t>
      </w:r>
      <w:r w:rsidR="00086426" w:rsidRPr="00190AD3">
        <w:rPr>
          <w:rFonts w:ascii="Verdana" w:hAnsi="Verdana"/>
          <w:sz w:val="20"/>
          <w:szCs w:val="20"/>
          <w:lang w:val="es-MX"/>
        </w:rPr>
        <w:t xml:space="preserve">la Corte ha señalado en su jurisprudencia que el Estado tiene la obligación </w:t>
      </w:r>
      <w:r w:rsidR="00086426" w:rsidRPr="00190AD3">
        <w:rPr>
          <w:rFonts w:ascii="Verdana" w:hAnsi="Verdana"/>
          <w:sz w:val="20"/>
          <w:szCs w:val="20"/>
        </w:rPr>
        <w:t>de suministrar la información solicitada, o si procediera la negativa de la entrega de la misma, deberá dar una respuesta fundamentada que permita conocer cuáles son los motivos y normas en que se basa para no entregar la información. Asimismo</w:t>
      </w:r>
      <w:r w:rsidRPr="00190AD3">
        <w:rPr>
          <w:rFonts w:ascii="Verdana" w:hAnsi="Verdana"/>
          <w:sz w:val="20"/>
        </w:rPr>
        <w:t>,</w:t>
      </w:r>
      <w:r w:rsidRPr="009E77BD">
        <w:rPr>
          <w:rFonts w:ascii="Verdana" w:hAnsi="Verdana"/>
          <w:sz w:val="20"/>
          <w:szCs w:val="20"/>
          <w:lang w:val="es-MX"/>
        </w:rPr>
        <w:t xml:space="preserve"> </w:t>
      </w:r>
      <w:r w:rsidR="008A3876" w:rsidRPr="00BE1078">
        <w:rPr>
          <w:rFonts w:ascii="Verdana" w:hAnsi="Verdana"/>
          <w:sz w:val="20"/>
          <w:szCs w:val="20"/>
          <w:lang w:val="es-MX"/>
        </w:rPr>
        <w:t>el artículo 24 de la Declaración Americana</w:t>
      </w:r>
      <w:r w:rsidRPr="009E77BD">
        <w:rPr>
          <w:rFonts w:ascii="Verdana" w:hAnsi="Verdana"/>
          <w:sz w:val="20"/>
          <w:szCs w:val="20"/>
          <w:lang w:val="es-MX"/>
        </w:rPr>
        <w:t xml:space="preserve">  establece como parte del</w:t>
      </w:r>
      <w:r w:rsidR="008A3876" w:rsidRPr="00BE1078">
        <w:rPr>
          <w:rFonts w:ascii="Verdana" w:hAnsi="Verdana"/>
          <w:sz w:val="20"/>
          <w:szCs w:val="20"/>
          <w:lang w:val="es-MX"/>
        </w:rPr>
        <w:t xml:space="preserve"> derecho de petición</w:t>
      </w:r>
      <w:r w:rsidRPr="009E77BD">
        <w:rPr>
          <w:rFonts w:ascii="Verdana" w:hAnsi="Verdana"/>
          <w:sz w:val="20"/>
          <w:szCs w:val="20"/>
          <w:lang w:val="es-MX"/>
        </w:rPr>
        <w:t>,</w:t>
      </w:r>
      <w:r w:rsidR="008A3876" w:rsidRPr="00BE1078">
        <w:rPr>
          <w:rFonts w:ascii="Verdana" w:hAnsi="Verdana"/>
          <w:sz w:val="20"/>
          <w:szCs w:val="20"/>
          <w:lang w:val="es-MX"/>
        </w:rPr>
        <w:t xml:space="preserve"> la obligación de dar una pronta respuesta por parte del Estado</w:t>
      </w:r>
      <w:r w:rsidR="00B24890" w:rsidRPr="00BE1078">
        <w:rPr>
          <w:rFonts w:ascii="Verdana" w:hAnsi="Verdana"/>
          <w:sz w:val="20"/>
          <w:szCs w:val="20"/>
          <w:lang w:val="es-MX"/>
        </w:rPr>
        <w:t xml:space="preserve"> (</w:t>
      </w:r>
      <w:r w:rsidR="00366D91" w:rsidRPr="00BE1078">
        <w:rPr>
          <w:rFonts w:ascii="Verdana" w:hAnsi="Verdana"/>
          <w:i/>
          <w:sz w:val="20"/>
          <w:szCs w:val="20"/>
          <w:lang w:val="es-MX"/>
        </w:rPr>
        <w:t>supra</w:t>
      </w:r>
      <w:r w:rsidR="00B24890" w:rsidRPr="00BE1078">
        <w:rPr>
          <w:rFonts w:ascii="Verdana" w:hAnsi="Verdana"/>
          <w:sz w:val="20"/>
          <w:szCs w:val="20"/>
          <w:lang w:val="es-MX"/>
        </w:rPr>
        <w:t xml:space="preserve"> párr. </w:t>
      </w:r>
      <w:r w:rsidR="00FF2FAC">
        <w:rPr>
          <w:rFonts w:ascii="Verdana" w:hAnsi="Verdana"/>
          <w:sz w:val="20"/>
          <w:szCs w:val="20"/>
          <w:lang w:val="es-MX"/>
        </w:rPr>
        <w:t>246</w:t>
      </w:r>
      <w:r w:rsidR="00B24890" w:rsidRPr="00BE1078">
        <w:rPr>
          <w:rFonts w:ascii="Verdana" w:hAnsi="Verdana"/>
          <w:sz w:val="20"/>
          <w:szCs w:val="20"/>
          <w:lang w:val="es-MX"/>
        </w:rPr>
        <w:t xml:space="preserve">). </w:t>
      </w:r>
    </w:p>
    <w:p w14:paraId="7A994605" w14:textId="77777777" w:rsidR="000C251D" w:rsidRPr="00366D91" w:rsidRDefault="000C251D" w:rsidP="009E77BD">
      <w:pPr>
        <w:pStyle w:val="ListParagraph"/>
        <w:ind w:left="0"/>
        <w:jc w:val="both"/>
        <w:rPr>
          <w:rFonts w:ascii="Verdana" w:hAnsi="Verdana"/>
          <w:sz w:val="20"/>
          <w:szCs w:val="20"/>
          <w:lang w:val="es-PE"/>
        </w:rPr>
      </w:pPr>
    </w:p>
    <w:p w14:paraId="65202AB8" w14:textId="77777777" w:rsidR="008A3876" w:rsidRDefault="00BE1078" w:rsidP="008A3876">
      <w:pPr>
        <w:pStyle w:val="ListParagraph"/>
        <w:numPr>
          <w:ilvl w:val="0"/>
          <w:numId w:val="2"/>
        </w:numPr>
        <w:ind w:left="0" w:hanging="11"/>
        <w:jc w:val="both"/>
        <w:rPr>
          <w:rFonts w:ascii="Verdana" w:hAnsi="Verdana"/>
          <w:sz w:val="20"/>
          <w:szCs w:val="20"/>
        </w:rPr>
      </w:pPr>
      <w:r>
        <w:rPr>
          <w:rFonts w:ascii="Verdana" w:hAnsi="Verdana"/>
          <w:sz w:val="20"/>
          <w:szCs w:val="20"/>
          <w:lang w:val="es-PE"/>
        </w:rPr>
        <w:t xml:space="preserve">En este sentido, </w:t>
      </w:r>
      <w:r w:rsidR="008A3876" w:rsidRPr="00B976D8">
        <w:rPr>
          <w:rFonts w:ascii="Verdana" w:hAnsi="Verdana"/>
          <w:sz w:val="20"/>
          <w:szCs w:val="20"/>
          <w:lang w:val="es-PE"/>
        </w:rPr>
        <w:t>la</w:t>
      </w:r>
      <w:r w:rsidR="008A3876">
        <w:rPr>
          <w:rFonts w:ascii="Verdana" w:hAnsi="Verdana"/>
          <w:sz w:val="20"/>
          <w:szCs w:val="20"/>
        </w:rPr>
        <w:t xml:space="preserve"> Corte subraya el hecho de que </w:t>
      </w:r>
      <w:r>
        <w:rPr>
          <w:rFonts w:ascii="Verdana" w:hAnsi="Verdana"/>
          <w:sz w:val="20"/>
          <w:szCs w:val="20"/>
        </w:rPr>
        <w:t xml:space="preserve">frente a dicha petición no se brindó una respuesta o razón </w:t>
      </w:r>
      <w:r w:rsidR="008A3876">
        <w:rPr>
          <w:rFonts w:ascii="Verdana" w:hAnsi="Verdana"/>
          <w:sz w:val="20"/>
          <w:szCs w:val="20"/>
        </w:rPr>
        <w:t xml:space="preserve">fundamentada para no facilitar tal </w:t>
      </w:r>
      <w:r w:rsidR="00093AF9">
        <w:rPr>
          <w:rFonts w:ascii="Verdana" w:hAnsi="Verdana"/>
          <w:sz w:val="20"/>
          <w:szCs w:val="20"/>
        </w:rPr>
        <w:t>documentación</w:t>
      </w:r>
      <w:r w:rsidR="000E3E7F" w:rsidRPr="00ED4B35">
        <w:rPr>
          <w:rFonts w:ascii="Verdana" w:hAnsi="Verdana"/>
          <w:sz w:val="20"/>
          <w:szCs w:val="20"/>
        </w:rPr>
        <w:t>.</w:t>
      </w:r>
      <w:r w:rsidR="000E3E7F">
        <w:rPr>
          <w:rFonts w:ascii="Verdana" w:hAnsi="Verdana"/>
          <w:sz w:val="20"/>
          <w:szCs w:val="20"/>
        </w:rPr>
        <w:t xml:space="preserve"> </w:t>
      </w:r>
      <w:r w:rsidR="008A3876">
        <w:rPr>
          <w:rFonts w:ascii="Verdana" w:hAnsi="Verdana"/>
          <w:sz w:val="20"/>
          <w:szCs w:val="20"/>
        </w:rPr>
        <w:t xml:space="preserve">Además, </w:t>
      </w:r>
      <w:r>
        <w:rPr>
          <w:rFonts w:ascii="Verdana" w:hAnsi="Verdana"/>
          <w:sz w:val="20"/>
          <w:szCs w:val="20"/>
        </w:rPr>
        <w:t>l</w:t>
      </w:r>
      <w:r w:rsidR="008A3876">
        <w:rPr>
          <w:rFonts w:ascii="Verdana" w:hAnsi="Verdana"/>
          <w:sz w:val="20"/>
          <w:szCs w:val="20"/>
        </w:rPr>
        <w:t xml:space="preserve">a Corte ya ha establecido en ocasiones anteriores que no dar respuesta posibilita la actuación discrecional y arbitraria del Estado de facilitar o no determinada información, generando con ello inseguridad jurídica respecto al ejercicio del derecho </w:t>
      </w:r>
      <w:r w:rsidR="00116F0A">
        <w:rPr>
          <w:rFonts w:ascii="Verdana" w:hAnsi="Verdana"/>
          <w:sz w:val="20"/>
          <w:szCs w:val="20"/>
        </w:rPr>
        <w:t>bajo análisis</w:t>
      </w:r>
      <w:r w:rsidR="008A3876">
        <w:rPr>
          <w:rStyle w:val="FootnoteReference"/>
          <w:szCs w:val="20"/>
        </w:rPr>
        <w:footnoteReference w:id="314"/>
      </w:r>
      <w:r w:rsidR="008A3876">
        <w:rPr>
          <w:rFonts w:ascii="Verdana" w:hAnsi="Verdana"/>
          <w:sz w:val="20"/>
          <w:szCs w:val="20"/>
        </w:rPr>
        <w:t>.</w:t>
      </w:r>
    </w:p>
    <w:p w14:paraId="1E13CD42" w14:textId="77777777" w:rsidR="00CC293F" w:rsidRPr="00366D91" w:rsidRDefault="00CC293F" w:rsidP="00366D91">
      <w:pPr>
        <w:pStyle w:val="ListParagraph"/>
        <w:rPr>
          <w:rFonts w:ascii="Verdana" w:hAnsi="Verdana"/>
          <w:sz w:val="20"/>
          <w:szCs w:val="20"/>
        </w:rPr>
      </w:pPr>
    </w:p>
    <w:p w14:paraId="78B60C7A" w14:textId="77777777" w:rsidR="00CC293F" w:rsidRDefault="00CC293F" w:rsidP="00366D91">
      <w:pPr>
        <w:pStyle w:val="ListParagraph"/>
        <w:numPr>
          <w:ilvl w:val="0"/>
          <w:numId w:val="2"/>
        </w:numPr>
        <w:ind w:left="0" w:hanging="11"/>
        <w:jc w:val="both"/>
        <w:rPr>
          <w:rFonts w:ascii="Verdana" w:hAnsi="Verdana"/>
          <w:sz w:val="20"/>
          <w:szCs w:val="20"/>
        </w:rPr>
      </w:pPr>
      <w:r>
        <w:rPr>
          <w:rFonts w:ascii="Verdana" w:hAnsi="Verdana"/>
          <w:sz w:val="20"/>
          <w:szCs w:val="20"/>
        </w:rPr>
        <w:lastRenderedPageBreak/>
        <w:t>Por otro lado, la Corte estima que la información solicitada</w:t>
      </w:r>
      <w:r w:rsidR="00AB4A4B">
        <w:rPr>
          <w:rFonts w:ascii="Verdana" w:hAnsi="Verdana"/>
          <w:sz w:val="20"/>
          <w:szCs w:val="20"/>
        </w:rPr>
        <w:t xml:space="preserve"> </w:t>
      </w:r>
      <w:r>
        <w:rPr>
          <w:rFonts w:ascii="Verdana" w:hAnsi="Verdana"/>
          <w:sz w:val="20"/>
          <w:szCs w:val="20"/>
        </w:rPr>
        <w:t xml:space="preserve">era documentación de importancia para que </w:t>
      </w:r>
      <w:r w:rsidR="00086426" w:rsidRPr="00190AD3">
        <w:rPr>
          <w:rFonts w:ascii="Verdana" w:hAnsi="Verdana"/>
          <w:sz w:val="20"/>
          <w:szCs w:val="20"/>
        </w:rPr>
        <w:t>los Pueblos Kaliña y Lokono</w:t>
      </w:r>
      <w:r w:rsidR="00086426" w:rsidRPr="002C323A">
        <w:rPr>
          <w:rFonts w:ascii="Verdana" w:hAnsi="Verdana"/>
          <w:b/>
          <w:sz w:val="20"/>
          <w:szCs w:val="20"/>
        </w:rPr>
        <w:t xml:space="preserve"> </w:t>
      </w:r>
      <w:r>
        <w:rPr>
          <w:rFonts w:ascii="Verdana" w:hAnsi="Verdana"/>
          <w:sz w:val="20"/>
          <w:szCs w:val="20"/>
        </w:rPr>
        <w:t xml:space="preserve">pudieran tener elementos claros de cuántos individuos ajenos a sus comunidades se encontraban en la zona, y cuál era la situación legal de la posesión de ese territorio. En este sentido, aquella información podría haberles otorgado elementos adicionales a efectos de la presentación de sus reclamos </w:t>
      </w:r>
      <w:r w:rsidR="00F80C79" w:rsidRPr="00190AD3">
        <w:rPr>
          <w:rFonts w:ascii="Verdana" w:hAnsi="Verdana"/>
          <w:sz w:val="20"/>
          <w:szCs w:val="20"/>
        </w:rPr>
        <w:t>en el fuero</w:t>
      </w:r>
      <w:r>
        <w:rPr>
          <w:rFonts w:ascii="Verdana" w:hAnsi="Verdana"/>
          <w:sz w:val="20"/>
          <w:szCs w:val="20"/>
        </w:rPr>
        <w:t xml:space="preserve"> interno. Por ello, el Tribunal considera que la </w:t>
      </w:r>
      <w:r w:rsidR="00086426" w:rsidRPr="00190AD3">
        <w:rPr>
          <w:rFonts w:ascii="Verdana" w:hAnsi="Verdana"/>
          <w:sz w:val="20"/>
          <w:szCs w:val="20"/>
        </w:rPr>
        <w:t>ausencia de entrega de la información en manos de la oficina de registros públicos de Surinam, o la</w:t>
      </w:r>
      <w:r w:rsidR="00116F0A">
        <w:rPr>
          <w:rFonts w:ascii="Verdana" w:hAnsi="Verdana"/>
          <w:sz w:val="20"/>
          <w:szCs w:val="20"/>
        </w:rPr>
        <w:t xml:space="preserve"> falta de</w:t>
      </w:r>
      <w:r w:rsidR="00086426" w:rsidRPr="00190AD3">
        <w:rPr>
          <w:rFonts w:ascii="Verdana" w:hAnsi="Verdana"/>
          <w:sz w:val="20"/>
          <w:szCs w:val="20"/>
        </w:rPr>
        <w:t xml:space="preserve"> fundamentación de la negativa de la misma,</w:t>
      </w:r>
      <w:r w:rsidR="00AB4A4B">
        <w:rPr>
          <w:rFonts w:ascii="Verdana" w:hAnsi="Verdana"/>
          <w:sz w:val="20"/>
          <w:szCs w:val="20"/>
        </w:rPr>
        <w:t xml:space="preserve"> </w:t>
      </w:r>
      <w:r w:rsidRPr="00C27C93">
        <w:rPr>
          <w:rFonts w:ascii="Verdana" w:hAnsi="Verdana"/>
          <w:sz w:val="20"/>
          <w:szCs w:val="20"/>
        </w:rPr>
        <w:t>colocó a estos pueblos en una situación de desventaja y desconocimiento frente a los terceros que alegaban la titularidad de parte de las tierras</w:t>
      </w:r>
      <w:r w:rsidR="000E3E7F">
        <w:rPr>
          <w:rFonts w:ascii="Verdana" w:hAnsi="Verdana"/>
          <w:sz w:val="20"/>
          <w:szCs w:val="20"/>
        </w:rPr>
        <w:t>, por lo que no garan</w:t>
      </w:r>
      <w:r w:rsidR="00ED4B35">
        <w:rPr>
          <w:rFonts w:ascii="Verdana" w:hAnsi="Verdana"/>
          <w:sz w:val="20"/>
          <w:szCs w:val="20"/>
        </w:rPr>
        <w:t>tizó</w:t>
      </w:r>
      <w:r w:rsidR="00610F88">
        <w:rPr>
          <w:rFonts w:ascii="Verdana" w:hAnsi="Verdana"/>
          <w:sz w:val="20"/>
          <w:szCs w:val="20"/>
        </w:rPr>
        <w:t>,</w:t>
      </w:r>
      <w:r w:rsidR="00ED4B35">
        <w:rPr>
          <w:rFonts w:ascii="Verdana" w:hAnsi="Verdana"/>
          <w:sz w:val="20"/>
          <w:szCs w:val="20"/>
        </w:rPr>
        <w:t xml:space="preserve"> </w:t>
      </w:r>
      <w:r w:rsidR="00610F88">
        <w:rPr>
          <w:rFonts w:ascii="Verdana" w:hAnsi="Verdana"/>
          <w:sz w:val="20"/>
          <w:szCs w:val="20"/>
        </w:rPr>
        <w:t xml:space="preserve">a través del derecho de petición, </w:t>
      </w:r>
      <w:r w:rsidR="00ED4B35">
        <w:rPr>
          <w:rFonts w:ascii="Verdana" w:hAnsi="Verdana"/>
          <w:sz w:val="20"/>
          <w:szCs w:val="20"/>
        </w:rPr>
        <w:t xml:space="preserve">el acceso a la </w:t>
      </w:r>
      <w:r w:rsidR="00ED4B35" w:rsidRPr="00AB4A4B">
        <w:rPr>
          <w:rFonts w:ascii="Verdana" w:hAnsi="Verdana"/>
          <w:sz w:val="20"/>
          <w:szCs w:val="20"/>
        </w:rPr>
        <w:t>información</w:t>
      </w:r>
      <w:r w:rsidR="00052CDB" w:rsidRPr="00AB4A4B">
        <w:rPr>
          <w:rFonts w:ascii="Verdana" w:hAnsi="Verdana"/>
          <w:sz w:val="20"/>
          <w:szCs w:val="20"/>
        </w:rPr>
        <w:t xml:space="preserve"> y a la justicia.</w:t>
      </w:r>
    </w:p>
    <w:p w14:paraId="7B09AAAA" w14:textId="77777777" w:rsidR="008A3876" w:rsidRPr="00B976D8" w:rsidRDefault="008A3876" w:rsidP="008A3876">
      <w:pPr>
        <w:pStyle w:val="ListParagraph"/>
        <w:ind w:left="0"/>
        <w:jc w:val="both"/>
        <w:rPr>
          <w:rFonts w:ascii="Verdana" w:hAnsi="Verdana"/>
          <w:strike/>
          <w:sz w:val="20"/>
          <w:szCs w:val="20"/>
        </w:rPr>
      </w:pPr>
    </w:p>
    <w:p w14:paraId="3CE52FD2" w14:textId="77777777" w:rsidR="008A3876" w:rsidRPr="008A3876" w:rsidRDefault="008A3876" w:rsidP="008A3876">
      <w:pPr>
        <w:pStyle w:val="Heading2"/>
        <w:numPr>
          <w:ilvl w:val="0"/>
          <w:numId w:val="34"/>
        </w:numPr>
        <w:spacing w:before="0"/>
        <w:jc w:val="both"/>
        <w:rPr>
          <w:rFonts w:ascii="Verdana" w:hAnsi="Verdana"/>
          <w:bCs w:val="0"/>
          <w:i/>
          <w:color w:val="auto"/>
          <w:sz w:val="20"/>
          <w:szCs w:val="20"/>
        </w:rPr>
      </w:pPr>
      <w:bookmarkStart w:id="72" w:name="_Toc441666197"/>
      <w:r w:rsidRPr="008A3876">
        <w:rPr>
          <w:rFonts w:ascii="Verdana" w:hAnsi="Verdana"/>
          <w:bCs w:val="0"/>
          <w:i/>
          <w:color w:val="auto"/>
          <w:sz w:val="20"/>
          <w:szCs w:val="20"/>
        </w:rPr>
        <w:t>Conclusión</w:t>
      </w:r>
      <w:bookmarkEnd w:id="72"/>
    </w:p>
    <w:p w14:paraId="3F687311" w14:textId="77777777" w:rsidR="008A3876" w:rsidRDefault="008A3876" w:rsidP="008A3876">
      <w:pPr>
        <w:jc w:val="both"/>
        <w:rPr>
          <w:rFonts w:ascii="Verdana" w:hAnsi="Verdana"/>
          <w:b/>
          <w:sz w:val="20"/>
          <w:szCs w:val="20"/>
          <w:lang w:val="es-CR"/>
        </w:rPr>
      </w:pPr>
    </w:p>
    <w:p w14:paraId="25131C9C" w14:textId="382E91A8" w:rsidR="00B24890" w:rsidRPr="00366D91" w:rsidRDefault="008A3876" w:rsidP="00B24890">
      <w:pPr>
        <w:pStyle w:val="ListParagraph"/>
        <w:numPr>
          <w:ilvl w:val="0"/>
          <w:numId w:val="2"/>
        </w:numPr>
        <w:ind w:left="0" w:hanging="11"/>
        <w:jc w:val="both"/>
        <w:rPr>
          <w:rFonts w:ascii="Verdana" w:hAnsi="Verdana"/>
          <w:sz w:val="20"/>
          <w:szCs w:val="20"/>
          <w:lang w:val="es-CR"/>
        </w:rPr>
      </w:pPr>
      <w:r w:rsidRPr="00320B43">
        <w:rPr>
          <w:rFonts w:ascii="Verdana" w:hAnsi="Verdana"/>
          <w:sz w:val="20"/>
          <w:szCs w:val="20"/>
          <w:lang w:val="es-CR"/>
        </w:rPr>
        <w:t>En vista de</w:t>
      </w:r>
      <w:r w:rsidR="00AA2B86">
        <w:rPr>
          <w:rFonts w:ascii="Verdana" w:hAnsi="Verdana"/>
          <w:sz w:val="20"/>
          <w:szCs w:val="20"/>
          <w:lang w:val="es-CR"/>
        </w:rPr>
        <w:t xml:space="preserve"> </w:t>
      </w:r>
      <w:r w:rsidRPr="00320B43">
        <w:rPr>
          <w:rFonts w:ascii="Verdana" w:hAnsi="Verdana"/>
          <w:sz w:val="20"/>
          <w:szCs w:val="20"/>
          <w:lang w:val="es-CR"/>
        </w:rPr>
        <w:t>lo anteriormente</w:t>
      </w:r>
      <w:r w:rsidR="00FF2FAC">
        <w:rPr>
          <w:rFonts w:ascii="Verdana" w:hAnsi="Verdana"/>
          <w:sz w:val="20"/>
          <w:szCs w:val="20"/>
          <w:lang w:val="es-CR"/>
        </w:rPr>
        <w:t xml:space="preserve"> señalado</w:t>
      </w:r>
      <w:r w:rsidRPr="00320B43">
        <w:rPr>
          <w:rFonts w:ascii="Verdana" w:hAnsi="Verdana"/>
          <w:sz w:val="20"/>
          <w:szCs w:val="20"/>
          <w:lang w:val="es-CR"/>
        </w:rPr>
        <w:t xml:space="preserve">, el Tribunal concluye </w:t>
      </w:r>
      <w:r w:rsidR="00AF6319" w:rsidRPr="00366D91">
        <w:rPr>
          <w:rFonts w:ascii="Verdana" w:hAnsi="Verdana"/>
          <w:sz w:val="20"/>
          <w:lang w:val="es-CR"/>
        </w:rPr>
        <w:t>que l</w:t>
      </w:r>
      <w:r w:rsidR="00B24890" w:rsidRPr="00366D91">
        <w:rPr>
          <w:rFonts w:ascii="Verdana" w:hAnsi="Verdana"/>
          <w:sz w:val="20"/>
          <w:lang w:val="es-CR"/>
        </w:rPr>
        <w:t>as disposiciones internas a</w:t>
      </w:r>
      <w:r w:rsidR="00AF6319" w:rsidRPr="00366D91">
        <w:rPr>
          <w:rFonts w:ascii="Verdana" w:hAnsi="Verdana"/>
          <w:sz w:val="20"/>
          <w:lang w:val="es-CR"/>
        </w:rPr>
        <w:t>ntes mencionadas no proporcionaron</w:t>
      </w:r>
      <w:r w:rsidR="00B24890" w:rsidRPr="00366D91">
        <w:rPr>
          <w:rFonts w:ascii="Verdana" w:hAnsi="Verdana"/>
          <w:sz w:val="20"/>
          <w:lang w:val="es-CR"/>
        </w:rPr>
        <w:t xml:space="preserve"> recur</w:t>
      </w:r>
      <w:r w:rsidR="00AF6319" w:rsidRPr="00366D91">
        <w:rPr>
          <w:rFonts w:ascii="Verdana" w:hAnsi="Verdana"/>
          <w:sz w:val="20"/>
          <w:lang w:val="es-CR"/>
        </w:rPr>
        <w:t>sos legales adecuados y efectivos</w:t>
      </w:r>
      <w:r w:rsidR="00B24890" w:rsidRPr="00366D91">
        <w:rPr>
          <w:rFonts w:ascii="Verdana" w:hAnsi="Verdana"/>
          <w:sz w:val="20"/>
          <w:lang w:val="es-CR"/>
        </w:rPr>
        <w:t xml:space="preserve"> para proteger a los miembros de los </w:t>
      </w:r>
      <w:r w:rsidR="00382F4D">
        <w:rPr>
          <w:rFonts w:ascii="Verdana" w:hAnsi="Verdana"/>
          <w:sz w:val="20"/>
          <w:lang w:val="es-CR"/>
        </w:rPr>
        <w:t>Pueblos Kaliña y Lokono</w:t>
      </w:r>
      <w:r w:rsidR="00B24890" w:rsidRPr="00366D91">
        <w:rPr>
          <w:rFonts w:ascii="Verdana" w:hAnsi="Verdana"/>
          <w:sz w:val="20"/>
          <w:lang w:val="es-CR"/>
        </w:rPr>
        <w:t xml:space="preserve"> contra actos que violan su derecho a la propiedad, los procedimientos judiciales y</w:t>
      </w:r>
      <w:r w:rsidR="00B4017E">
        <w:rPr>
          <w:rFonts w:ascii="Verdana" w:hAnsi="Verdana"/>
          <w:sz w:val="20"/>
          <w:lang w:val="es-CR"/>
        </w:rPr>
        <w:t xml:space="preserve"> las</w:t>
      </w:r>
      <w:r w:rsidR="00B24890" w:rsidRPr="00366D91">
        <w:rPr>
          <w:rFonts w:ascii="Verdana" w:hAnsi="Verdana"/>
          <w:sz w:val="20"/>
          <w:lang w:val="es-CR"/>
        </w:rPr>
        <w:t xml:space="preserve"> peticiones int</w:t>
      </w:r>
      <w:r w:rsidR="00AF6319" w:rsidRPr="00366D91">
        <w:rPr>
          <w:rFonts w:ascii="Verdana" w:hAnsi="Verdana"/>
          <w:sz w:val="20"/>
          <w:lang w:val="es-CR"/>
        </w:rPr>
        <w:t>erpuestas no resultaron efectiv</w:t>
      </w:r>
      <w:r w:rsidR="00B4017E">
        <w:rPr>
          <w:rFonts w:ascii="Verdana" w:hAnsi="Verdana"/>
          <w:sz w:val="20"/>
          <w:lang w:val="es-CR"/>
        </w:rPr>
        <w:t>a</w:t>
      </w:r>
      <w:r w:rsidR="00B24890" w:rsidRPr="00366D91">
        <w:rPr>
          <w:rFonts w:ascii="Verdana" w:hAnsi="Verdana"/>
          <w:sz w:val="20"/>
          <w:lang w:val="es-CR"/>
        </w:rPr>
        <w:t xml:space="preserve">s para tal efecto, y el Estado no </w:t>
      </w:r>
      <w:r w:rsidR="00AF6319" w:rsidRPr="00366D91">
        <w:rPr>
          <w:rFonts w:ascii="Verdana" w:hAnsi="Verdana"/>
          <w:sz w:val="20"/>
          <w:lang w:val="es-CR"/>
        </w:rPr>
        <w:t xml:space="preserve">otorgó </w:t>
      </w:r>
      <w:r w:rsidR="00B24890" w:rsidRPr="00366D91">
        <w:rPr>
          <w:rFonts w:ascii="Verdana" w:hAnsi="Verdana"/>
          <w:sz w:val="20"/>
          <w:lang w:val="es-CR"/>
        </w:rPr>
        <w:t>la información solicitada por los representantes ni fundamentó la imposibilidad de entrega de la misma.</w:t>
      </w:r>
      <w:r w:rsidR="00AF6319" w:rsidRPr="00366D91">
        <w:rPr>
          <w:rFonts w:ascii="Verdana" w:hAnsi="Verdana"/>
          <w:sz w:val="20"/>
          <w:lang w:val="es-CR"/>
        </w:rPr>
        <w:t xml:space="preserve"> Por ello, el Estado es responsable por la violación </w:t>
      </w:r>
      <w:r w:rsidR="00AF6319" w:rsidRPr="00366D91">
        <w:rPr>
          <w:rFonts w:ascii="Verdana" w:hAnsi="Verdana"/>
          <w:sz w:val="20"/>
          <w:szCs w:val="20"/>
          <w:lang w:val="es-CR"/>
        </w:rPr>
        <w:t xml:space="preserve">del derecho a la protección judicial establecido en el artículo 25 de la Convención Americana, </w:t>
      </w:r>
      <w:r w:rsidR="00AF6319" w:rsidRPr="00366D91">
        <w:rPr>
          <w:rFonts w:ascii="Verdana" w:hAnsi="Verdana"/>
          <w:sz w:val="20"/>
          <w:szCs w:val="20"/>
          <w:lang w:val="es-ES"/>
        </w:rPr>
        <w:t>en relación con los artículos 1.1</w:t>
      </w:r>
      <w:r w:rsidR="000E3E7F">
        <w:rPr>
          <w:rFonts w:ascii="Verdana" w:hAnsi="Verdana"/>
          <w:sz w:val="20"/>
          <w:szCs w:val="20"/>
          <w:lang w:val="es-ES"/>
        </w:rPr>
        <w:t xml:space="preserve">, </w:t>
      </w:r>
      <w:r w:rsidR="00AF6319" w:rsidRPr="00366D91">
        <w:rPr>
          <w:rFonts w:ascii="Verdana" w:hAnsi="Verdana"/>
          <w:sz w:val="20"/>
          <w:szCs w:val="20"/>
          <w:lang w:val="es-ES"/>
        </w:rPr>
        <w:t>2 y 13 del mismo instrumento.</w:t>
      </w:r>
    </w:p>
    <w:p w14:paraId="693D4072" w14:textId="77777777" w:rsidR="008A3876" w:rsidRPr="009E77BD" w:rsidRDefault="008A3876" w:rsidP="00AF6319">
      <w:pPr>
        <w:pStyle w:val="ListParagraph"/>
        <w:ind w:left="0"/>
        <w:jc w:val="both"/>
        <w:rPr>
          <w:rFonts w:ascii="Verdana" w:hAnsi="Verdana"/>
          <w:sz w:val="20"/>
          <w:lang w:val="es-CR"/>
        </w:rPr>
      </w:pPr>
    </w:p>
    <w:p w14:paraId="6DDE42F5" w14:textId="77777777" w:rsidR="00A91B78" w:rsidRPr="00A91B78" w:rsidRDefault="006B4713" w:rsidP="00A91B78">
      <w:pPr>
        <w:keepNext/>
        <w:keepLines/>
        <w:tabs>
          <w:tab w:val="left" w:pos="851"/>
        </w:tabs>
        <w:jc w:val="center"/>
        <w:outlineLvl w:val="0"/>
        <w:rPr>
          <w:rFonts w:ascii="Verdana" w:eastAsia="Times New Roman" w:hAnsi="Verdana" w:cs="Verdana"/>
          <w:b/>
          <w:bCs/>
          <w:caps/>
          <w:snapToGrid w:val="0"/>
          <w:sz w:val="20"/>
          <w:szCs w:val="20"/>
          <w:lang w:val="es-CR"/>
        </w:rPr>
      </w:pPr>
      <w:bookmarkStart w:id="73" w:name="_Toc410112261"/>
      <w:bookmarkStart w:id="74" w:name="_Toc432072831"/>
      <w:bookmarkStart w:id="75" w:name="_Toc441666198"/>
      <w:r>
        <w:rPr>
          <w:rFonts w:ascii="Verdana" w:eastAsia="Times New Roman" w:hAnsi="Verdana" w:cs="Verdana"/>
          <w:b/>
          <w:bCs/>
          <w:caps/>
          <w:snapToGrid w:val="0"/>
          <w:sz w:val="20"/>
          <w:szCs w:val="20"/>
          <w:lang w:val="es-CR"/>
        </w:rPr>
        <w:t>VII</w:t>
      </w:r>
      <w:r w:rsidR="00A91B78" w:rsidRPr="00A91B78">
        <w:rPr>
          <w:rFonts w:ascii="Verdana" w:eastAsia="Times New Roman" w:hAnsi="Verdana" w:cs="Verdana"/>
          <w:b/>
          <w:bCs/>
          <w:caps/>
          <w:snapToGrid w:val="0"/>
          <w:sz w:val="20"/>
          <w:szCs w:val="20"/>
          <w:lang w:val="es-CR"/>
        </w:rPr>
        <w:br/>
        <w:t>REPARACIONES</w:t>
      </w:r>
      <w:bookmarkEnd w:id="73"/>
      <w:bookmarkEnd w:id="74"/>
      <w:bookmarkEnd w:id="75"/>
    </w:p>
    <w:p w14:paraId="02BBA047" w14:textId="77777777" w:rsidR="00A91B78" w:rsidRPr="00A91B78" w:rsidRDefault="00A91B78" w:rsidP="00A91B78">
      <w:pPr>
        <w:keepNext/>
        <w:keepLines/>
        <w:tabs>
          <w:tab w:val="left" w:pos="851"/>
        </w:tabs>
        <w:jc w:val="center"/>
        <w:outlineLvl w:val="0"/>
        <w:rPr>
          <w:rFonts w:ascii="Verdana" w:eastAsia="Times New Roman" w:hAnsi="Verdana" w:cs="Verdana"/>
          <w:b/>
          <w:bCs/>
          <w:caps/>
          <w:snapToGrid w:val="0"/>
          <w:sz w:val="20"/>
          <w:szCs w:val="20"/>
          <w:lang w:val="es-CR"/>
        </w:rPr>
      </w:pPr>
      <w:bookmarkStart w:id="76" w:name="_Toc414885402"/>
      <w:bookmarkStart w:id="77" w:name="_Toc421543138"/>
      <w:bookmarkStart w:id="78" w:name="_Toc421868237"/>
      <w:bookmarkStart w:id="79" w:name="_Toc423347861"/>
      <w:bookmarkStart w:id="80" w:name="_Toc429724493"/>
      <w:bookmarkStart w:id="81" w:name="_Toc430787606"/>
      <w:bookmarkStart w:id="82" w:name="_Toc432072832"/>
      <w:bookmarkStart w:id="83" w:name="_Toc433396455"/>
      <w:bookmarkStart w:id="84" w:name="_Toc433396679"/>
      <w:bookmarkStart w:id="85" w:name="_Toc434249385"/>
      <w:bookmarkStart w:id="86" w:name="_Toc434939935"/>
      <w:bookmarkStart w:id="87" w:name="_Toc436065840"/>
      <w:bookmarkStart w:id="88" w:name="_Toc436289305"/>
      <w:bookmarkStart w:id="89" w:name="_Toc438137497"/>
      <w:bookmarkStart w:id="90" w:name="_Toc441666199"/>
      <w:r w:rsidRPr="00A91B78">
        <w:rPr>
          <w:rFonts w:ascii="Verdana" w:eastAsia="Times New Roman" w:hAnsi="Verdana" w:cs="Verdana"/>
          <w:b/>
          <w:bCs/>
          <w:caps/>
          <w:snapToGrid w:val="0"/>
          <w:sz w:val="20"/>
          <w:szCs w:val="20"/>
          <w:lang w:val="es-CR"/>
        </w:rPr>
        <w:t>(Aplicación del artículo 63.1 de la Convención Americana)</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3006D3A" w14:textId="77777777" w:rsidR="00A91B78" w:rsidRPr="00A91B78" w:rsidRDefault="00A91B78" w:rsidP="00A91B78">
      <w:pPr>
        <w:keepNext/>
        <w:keepLines/>
        <w:tabs>
          <w:tab w:val="left" w:pos="851"/>
        </w:tabs>
        <w:jc w:val="center"/>
        <w:outlineLvl w:val="0"/>
        <w:rPr>
          <w:rFonts w:ascii="Verdana" w:eastAsia="Times New Roman" w:hAnsi="Verdana" w:cs="Verdana"/>
          <w:b/>
          <w:bCs/>
          <w:caps/>
          <w:snapToGrid w:val="0"/>
          <w:sz w:val="20"/>
          <w:szCs w:val="20"/>
          <w:lang w:val="es-CR"/>
        </w:rPr>
      </w:pPr>
    </w:p>
    <w:p w14:paraId="726B3511" w14:textId="77777777" w:rsidR="00A91B78" w:rsidRPr="00A91B78" w:rsidRDefault="00A91B78" w:rsidP="00A91B78">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CR"/>
        </w:rPr>
        <w:t>Sobre la base de lo dispuesto en el artículo 63.1 de la Convención Americana</w:t>
      </w:r>
      <w:r w:rsidRPr="00A91B78">
        <w:rPr>
          <w:rFonts w:ascii="Verdana" w:hAnsi="Verdana"/>
          <w:sz w:val="20"/>
          <w:szCs w:val="20"/>
          <w:vertAlign w:val="superscript"/>
        </w:rPr>
        <w:footnoteReference w:id="315"/>
      </w:r>
      <w:r w:rsidRPr="00A91B78">
        <w:rPr>
          <w:rFonts w:ascii="Verdana" w:hAnsi="Verdana"/>
          <w:sz w:val="20"/>
          <w:szCs w:val="20"/>
          <w:lang w:val="es-CR"/>
        </w:rPr>
        <w:t>, la Corte ha indicado que toda violación de una obligación internacional que haya producido daño</w:t>
      </w:r>
      <w:r w:rsidR="00160073">
        <w:rPr>
          <w:rFonts w:ascii="Verdana" w:hAnsi="Verdana"/>
          <w:sz w:val="20"/>
          <w:szCs w:val="20"/>
          <w:lang w:val="es-CR"/>
        </w:rPr>
        <w:t>,</w:t>
      </w:r>
      <w:r w:rsidRPr="00A91B78">
        <w:rPr>
          <w:rFonts w:ascii="Verdana" w:hAnsi="Verdana"/>
          <w:sz w:val="20"/>
          <w:szCs w:val="20"/>
          <w:lang w:val="es-CR"/>
        </w:rPr>
        <w:t xml:space="preserve"> comporta el deber de repararlo adecuadamente y que esa disposición recoge una norma </w:t>
      </w:r>
      <w:r w:rsidRPr="00A91B78">
        <w:rPr>
          <w:rFonts w:ascii="Verdana" w:eastAsia="Times New Roman" w:hAnsi="Verdana"/>
          <w:bCs/>
          <w:sz w:val="20"/>
          <w:szCs w:val="20"/>
          <w:lang w:val="es-ES" w:eastAsia="es-ES"/>
        </w:rPr>
        <w:t>consuetudinaria</w:t>
      </w:r>
      <w:r w:rsidRPr="00A91B78">
        <w:rPr>
          <w:rFonts w:ascii="Verdana" w:hAnsi="Verdana"/>
          <w:sz w:val="20"/>
          <w:szCs w:val="20"/>
          <w:lang w:val="es-CR"/>
        </w:rPr>
        <w:t xml:space="preserve"> que constituye uno de los principios fundamentales del Derecho Internacional contemporáneo sobre responsabilidad de un Estado</w:t>
      </w:r>
      <w:r w:rsidRPr="00A91B78">
        <w:rPr>
          <w:rFonts w:ascii="Verdana" w:hAnsi="Verdana"/>
          <w:sz w:val="20"/>
          <w:szCs w:val="20"/>
          <w:vertAlign w:val="superscript"/>
        </w:rPr>
        <w:footnoteReference w:id="316"/>
      </w:r>
      <w:r w:rsidRPr="00A91B78">
        <w:rPr>
          <w:rFonts w:ascii="Verdana" w:hAnsi="Verdana"/>
          <w:sz w:val="20"/>
          <w:szCs w:val="20"/>
          <w:lang w:val="es-CR"/>
        </w:rPr>
        <w:t xml:space="preserve">. </w:t>
      </w:r>
    </w:p>
    <w:p w14:paraId="15DFCCA2" w14:textId="77777777" w:rsidR="00A91B78" w:rsidRPr="00A91B78" w:rsidRDefault="00A91B78" w:rsidP="00A91B78">
      <w:pPr>
        <w:contextualSpacing/>
        <w:jc w:val="both"/>
        <w:rPr>
          <w:rFonts w:ascii="Verdana" w:hAnsi="Verdana"/>
          <w:sz w:val="20"/>
          <w:szCs w:val="20"/>
          <w:lang w:val="es-CR"/>
        </w:rPr>
      </w:pPr>
    </w:p>
    <w:p w14:paraId="45BA1547" w14:textId="77777777" w:rsidR="00A91B78" w:rsidRPr="00A91B78" w:rsidRDefault="00A91B78" w:rsidP="00A91B78">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CR"/>
        </w:rPr>
        <w:t xml:space="preserve">La Corte ha establecido que las reparaciones deben tener un nexo causal con los hechos del caso, las violaciones declaradas y los daños acreditados, así como con las medidas </w:t>
      </w:r>
      <w:r w:rsidRPr="00A91B78">
        <w:rPr>
          <w:rFonts w:ascii="Verdana" w:eastAsia="Times New Roman" w:hAnsi="Verdana"/>
          <w:bCs/>
          <w:sz w:val="20"/>
          <w:szCs w:val="20"/>
          <w:lang w:val="es-ES" w:eastAsia="es-ES"/>
        </w:rPr>
        <w:t>solicitadas</w:t>
      </w:r>
      <w:r w:rsidRPr="00A91B78">
        <w:rPr>
          <w:rFonts w:ascii="Verdana" w:hAnsi="Verdana"/>
          <w:sz w:val="20"/>
          <w:szCs w:val="20"/>
          <w:lang w:val="es-CR"/>
        </w:rPr>
        <w:t xml:space="preserve"> para reparar los daños respectivos. Por lo tanto, la Corte deberá observar dicha concurrencia para pronunciarse debidamente y conforme a derecho</w:t>
      </w:r>
      <w:r w:rsidRPr="00A91B78">
        <w:rPr>
          <w:rFonts w:ascii="Verdana" w:hAnsi="Verdana"/>
          <w:sz w:val="20"/>
          <w:szCs w:val="20"/>
          <w:vertAlign w:val="superscript"/>
        </w:rPr>
        <w:footnoteReference w:id="317"/>
      </w:r>
      <w:r w:rsidRPr="00A91B78">
        <w:rPr>
          <w:rFonts w:ascii="Verdana" w:hAnsi="Verdana"/>
          <w:sz w:val="20"/>
          <w:szCs w:val="20"/>
          <w:lang w:val="es-CR"/>
        </w:rPr>
        <w:t xml:space="preserve">. </w:t>
      </w:r>
    </w:p>
    <w:p w14:paraId="0ECF2800" w14:textId="77777777" w:rsidR="00A91B78" w:rsidRPr="00A91B78" w:rsidRDefault="00A91B78" w:rsidP="00A91B78">
      <w:pPr>
        <w:contextualSpacing/>
        <w:jc w:val="both"/>
        <w:rPr>
          <w:rFonts w:ascii="Verdana" w:hAnsi="Verdana"/>
          <w:sz w:val="20"/>
          <w:szCs w:val="20"/>
          <w:lang w:val="es-CR"/>
        </w:rPr>
      </w:pPr>
    </w:p>
    <w:p w14:paraId="3C3E4E5C" w14:textId="2E86A1D6" w:rsidR="00A91B78" w:rsidRPr="00A91B78" w:rsidRDefault="00A91B78" w:rsidP="00A91B78">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CR"/>
        </w:rPr>
        <w:t xml:space="preserve">De acuerdo con las violaciones a la Convención Americana declaradas en </w:t>
      </w:r>
      <w:r w:rsidR="00B4017E">
        <w:rPr>
          <w:rFonts w:ascii="Verdana" w:hAnsi="Verdana"/>
          <w:sz w:val="20"/>
          <w:szCs w:val="20"/>
          <w:lang w:val="es-CR"/>
        </w:rPr>
        <w:t>el</w:t>
      </w:r>
      <w:r w:rsidRPr="00A91B78">
        <w:rPr>
          <w:rFonts w:ascii="Verdana" w:hAnsi="Verdana"/>
          <w:sz w:val="20"/>
          <w:szCs w:val="20"/>
          <w:lang w:val="es-CR"/>
        </w:rPr>
        <w:t xml:space="preserve"> Capítulo </w:t>
      </w:r>
      <w:r w:rsidR="00D24B97">
        <w:rPr>
          <w:rFonts w:ascii="Verdana" w:hAnsi="Verdana"/>
          <w:sz w:val="20"/>
          <w:szCs w:val="20"/>
          <w:lang w:val="es-CR"/>
        </w:rPr>
        <w:t>VI</w:t>
      </w:r>
      <w:r w:rsidRPr="00A91B78">
        <w:rPr>
          <w:rFonts w:ascii="Verdana" w:hAnsi="Verdana"/>
          <w:sz w:val="20"/>
          <w:szCs w:val="20"/>
          <w:lang w:val="es-CR"/>
        </w:rPr>
        <w:t xml:space="preserve"> de la presente Sentencia, la Corte procederá a analizar los argumentos y recomendaciones presentados por la Comisión, las pretensiones de los representantes de las víctimas y los alegatos del Estado, a la luz de los criterios fijados en su jurisprudencia en relación con la </w:t>
      </w:r>
      <w:r w:rsidRPr="00A91B78">
        <w:rPr>
          <w:rFonts w:ascii="Verdana" w:hAnsi="Verdana"/>
          <w:sz w:val="20"/>
          <w:szCs w:val="20"/>
          <w:lang w:val="es-CR"/>
        </w:rPr>
        <w:lastRenderedPageBreak/>
        <w:t>naturaleza y alcance de la obligación de reparar, con el objeto de disponer las medidas dirigidas a reparar los daños ocasionados a las víctimas</w:t>
      </w:r>
      <w:r w:rsidRPr="00A91B78">
        <w:rPr>
          <w:rFonts w:ascii="Verdana" w:hAnsi="Verdana"/>
          <w:sz w:val="20"/>
          <w:szCs w:val="20"/>
          <w:vertAlign w:val="superscript"/>
        </w:rPr>
        <w:footnoteReference w:id="318"/>
      </w:r>
      <w:r w:rsidRPr="00A91B78">
        <w:rPr>
          <w:rFonts w:ascii="Verdana" w:hAnsi="Verdana"/>
          <w:sz w:val="20"/>
          <w:szCs w:val="20"/>
          <w:lang w:val="es-CR"/>
        </w:rPr>
        <w:t xml:space="preserve">. </w:t>
      </w:r>
    </w:p>
    <w:p w14:paraId="3D50E867" w14:textId="77777777" w:rsidR="00A91B78" w:rsidRPr="00A91B78" w:rsidRDefault="00A91B78" w:rsidP="00A91B78">
      <w:pPr>
        <w:contextualSpacing/>
        <w:rPr>
          <w:rFonts w:ascii="Verdana" w:hAnsi="Verdana"/>
          <w:sz w:val="20"/>
          <w:szCs w:val="20"/>
          <w:lang w:val="es-CR"/>
        </w:rPr>
      </w:pPr>
    </w:p>
    <w:p w14:paraId="63F08E1C" w14:textId="77777777" w:rsidR="00A91B78" w:rsidRPr="00A91B78" w:rsidRDefault="00A91B78" w:rsidP="00A91B78">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CR"/>
        </w:rPr>
        <w:t>La Corte considera que la reparación en casos como el presente</w:t>
      </w:r>
      <w:r w:rsidR="00160073">
        <w:rPr>
          <w:rFonts w:ascii="Verdana" w:hAnsi="Verdana"/>
          <w:sz w:val="20"/>
          <w:szCs w:val="20"/>
          <w:lang w:val="es-CR"/>
        </w:rPr>
        <w:t>,</w:t>
      </w:r>
      <w:r w:rsidRPr="00A91B78">
        <w:rPr>
          <w:rFonts w:ascii="Verdana" w:hAnsi="Verdana"/>
          <w:sz w:val="20"/>
          <w:szCs w:val="20"/>
          <w:lang w:val="es-CR"/>
        </w:rPr>
        <w:t xml:space="preserve"> debe reconocer el fortalecimiento de la identidad cultural de los pueblos indígenas y tribales, garantizando el control de sus propias instituciones, culturas, tradiciones y territorios, a fin de contribuir con su desarrollo de acuerdo con sus proyectos de vida</w:t>
      </w:r>
      <w:r w:rsidR="00160073">
        <w:rPr>
          <w:rFonts w:ascii="Verdana" w:hAnsi="Verdana"/>
          <w:sz w:val="20"/>
          <w:szCs w:val="20"/>
          <w:lang w:val="es-CR"/>
        </w:rPr>
        <w:t>,</w:t>
      </w:r>
      <w:r w:rsidRPr="00A91B78">
        <w:rPr>
          <w:rFonts w:ascii="Verdana" w:hAnsi="Verdana"/>
          <w:sz w:val="20"/>
          <w:szCs w:val="20"/>
          <w:lang w:val="es-CR"/>
        </w:rPr>
        <w:t xml:space="preserve"> necesidades presentes y futuras. Asimismo, el Tribunal reconoce que la situación de los pueblos indígenas varía según las particularidades nacionales y regionales, </w:t>
      </w:r>
      <w:r w:rsidR="00160073">
        <w:rPr>
          <w:rFonts w:ascii="Verdana" w:hAnsi="Verdana"/>
          <w:sz w:val="20"/>
          <w:szCs w:val="20"/>
          <w:lang w:val="es-CR"/>
        </w:rPr>
        <w:t>así como con</w:t>
      </w:r>
      <w:r w:rsidRPr="00A91B78">
        <w:rPr>
          <w:rFonts w:ascii="Verdana" w:hAnsi="Verdana"/>
          <w:sz w:val="20"/>
          <w:szCs w:val="20"/>
          <w:lang w:val="es-CR"/>
        </w:rPr>
        <w:t xml:space="preserve"> las diversas tradiciones históricas y culturales. En vista de ello, la Corte estima que, las medidas de reparación otorgadas deben proporcionar mecanismos eficaces</w:t>
      </w:r>
      <w:r w:rsidR="00160073">
        <w:rPr>
          <w:rFonts w:ascii="Verdana" w:hAnsi="Verdana"/>
          <w:sz w:val="20"/>
          <w:szCs w:val="20"/>
          <w:lang w:val="es-CR"/>
        </w:rPr>
        <w:t>,</w:t>
      </w:r>
      <w:r w:rsidRPr="00A91B78">
        <w:rPr>
          <w:rFonts w:ascii="Verdana" w:hAnsi="Verdana"/>
          <w:sz w:val="20"/>
          <w:szCs w:val="20"/>
          <w:lang w:val="es-CR"/>
        </w:rPr>
        <w:t xml:space="preserve"> enfocados desde su propia perspectiva étnica</w:t>
      </w:r>
      <w:r w:rsidR="00160073">
        <w:rPr>
          <w:rFonts w:ascii="Verdana" w:hAnsi="Verdana"/>
          <w:sz w:val="20"/>
          <w:szCs w:val="20"/>
          <w:lang w:val="es-CR"/>
        </w:rPr>
        <w:t>,</w:t>
      </w:r>
      <w:r w:rsidRPr="00A91B78">
        <w:rPr>
          <w:rFonts w:ascii="Verdana" w:hAnsi="Verdana"/>
          <w:sz w:val="20"/>
          <w:szCs w:val="20"/>
          <w:lang w:val="es-CR"/>
        </w:rPr>
        <w:t xml:space="preserve"> que les permita definir sus prioridades en lo que atañe a su proceso de desarrollo y evolución como pueblo</w:t>
      </w:r>
      <w:r w:rsidR="000C251D">
        <w:rPr>
          <w:rStyle w:val="FootnoteReference"/>
          <w:szCs w:val="20"/>
          <w:lang w:val="es-CR"/>
        </w:rPr>
        <w:footnoteReference w:id="319"/>
      </w:r>
      <w:r w:rsidRPr="00A91B78">
        <w:rPr>
          <w:rFonts w:ascii="Verdana" w:hAnsi="Verdana"/>
          <w:sz w:val="20"/>
          <w:szCs w:val="20"/>
          <w:lang w:val="es-CR"/>
        </w:rPr>
        <w:t>.</w:t>
      </w:r>
    </w:p>
    <w:p w14:paraId="1E88A815" w14:textId="77777777" w:rsidR="00A91B78" w:rsidRPr="00A91B78" w:rsidRDefault="00A91B78" w:rsidP="00A91B78">
      <w:pPr>
        <w:jc w:val="both"/>
        <w:rPr>
          <w:rFonts w:ascii="Verdana" w:hAnsi="Verdana"/>
          <w:sz w:val="20"/>
          <w:szCs w:val="20"/>
          <w:lang w:val="es-CR"/>
        </w:rPr>
      </w:pPr>
    </w:p>
    <w:p w14:paraId="7BA4F448"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91" w:name="_Toc432072833"/>
      <w:bookmarkStart w:id="92" w:name="_Toc441666200"/>
      <w:r w:rsidRPr="00A91B78">
        <w:rPr>
          <w:rFonts w:ascii="Verdana" w:hAnsi="Verdana"/>
          <w:bCs w:val="0"/>
          <w:i/>
          <w:color w:val="auto"/>
          <w:sz w:val="20"/>
          <w:szCs w:val="20"/>
        </w:rPr>
        <w:t>Parte Lesionada</w:t>
      </w:r>
      <w:bookmarkEnd w:id="91"/>
      <w:bookmarkEnd w:id="92"/>
    </w:p>
    <w:p w14:paraId="023C7961" w14:textId="77777777" w:rsidR="00A91B78" w:rsidRPr="00A91B78" w:rsidRDefault="00A91B78" w:rsidP="00A91B78">
      <w:pPr>
        <w:jc w:val="both"/>
        <w:rPr>
          <w:rFonts w:ascii="Verdana" w:hAnsi="Verdana"/>
          <w:sz w:val="20"/>
          <w:szCs w:val="20"/>
        </w:rPr>
      </w:pPr>
    </w:p>
    <w:p w14:paraId="65091E15" w14:textId="77777777" w:rsidR="00A91B78" w:rsidRPr="0067410A" w:rsidRDefault="00A91B78" w:rsidP="00A91B78">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CR"/>
        </w:rPr>
        <w:t xml:space="preserve">La Corte considera parte lesionada, en los términos del artículo 63.1 de la Convención, a quien ha sido declarada víctima de la violación de algún derecho reconocido en la misma. Por lo tanto, esta Corte considera como parte lesionada a los </w:t>
      </w:r>
      <w:r w:rsidR="00382F4D">
        <w:rPr>
          <w:rFonts w:ascii="Verdana" w:hAnsi="Verdana"/>
          <w:sz w:val="20"/>
          <w:szCs w:val="20"/>
          <w:lang w:val="es-CR"/>
        </w:rPr>
        <w:t>Pueblos Kaliña y Lokono</w:t>
      </w:r>
      <w:r w:rsidRPr="00A91B78">
        <w:rPr>
          <w:rFonts w:ascii="Verdana" w:hAnsi="Verdana"/>
          <w:sz w:val="20"/>
          <w:szCs w:val="20"/>
          <w:lang w:val="es-CR"/>
        </w:rPr>
        <w:t xml:space="preserve"> </w:t>
      </w:r>
      <w:r w:rsidRPr="0067410A">
        <w:rPr>
          <w:rFonts w:ascii="Verdana" w:hAnsi="Verdana"/>
          <w:sz w:val="20"/>
          <w:lang w:val="es-CR"/>
        </w:rPr>
        <w:t>y sus miembros</w:t>
      </w:r>
      <w:r w:rsidRPr="0067410A">
        <w:rPr>
          <w:rFonts w:ascii="Verdana" w:hAnsi="Verdana"/>
          <w:sz w:val="20"/>
          <w:szCs w:val="20"/>
          <w:lang w:val="es-CR"/>
        </w:rPr>
        <w:t>.</w:t>
      </w:r>
    </w:p>
    <w:p w14:paraId="29D3ED0A" w14:textId="77777777" w:rsidR="00A91B78" w:rsidRPr="00A91B78" w:rsidRDefault="00A91B78" w:rsidP="00A91B78">
      <w:pPr>
        <w:contextualSpacing/>
        <w:jc w:val="both"/>
        <w:rPr>
          <w:rFonts w:ascii="Verdana" w:hAnsi="Verdana"/>
          <w:sz w:val="20"/>
          <w:szCs w:val="20"/>
          <w:lang w:val="es-CR"/>
        </w:rPr>
      </w:pPr>
    </w:p>
    <w:p w14:paraId="42396835"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93" w:name="_Toc432072834"/>
      <w:bookmarkStart w:id="94" w:name="_Toc441666201"/>
      <w:r w:rsidRPr="00A91B78">
        <w:rPr>
          <w:rFonts w:ascii="Verdana" w:hAnsi="Verdana"/>
          <w:bCs w:val="0"/>
          <w:i/>
          <w:color w:val="auto"/>
          <w:sz w:val="20"/>
          <w:szCs w:val="20"/>
        </w:rPr>
        <w:t>Restitución</w:t>
      </w:r>
      <w:bookmarkEnd w:id="93"/>
      <w:bookmarkEnd w:id="94"/>
    </w:p>
    <w:p w14:paraId="2F5F8F59" w14:textId="77777777" w:rsidR="00A91B78" w:rsidRPr="00A91B78" w:rsidRDefault="00A91B78" w:rsidP="00A91B78">
      <w:pPr>
        <w:jc w:val="both"/>
        <w:rPr>
          <w:rFonts w:ascii="Verdana" w:hAnsi="Verdana"/>
          <w:sz w:val="20"/>
          <w:szCs w:val="20"/>
          <w:lang w:val="es-MX"/>
        </w:rPr>
      </w:pPr>
    </w:p>
    <w:p w14:paraId="000B17DC" w14:textId="63CA37D3" w:rsidR="00A91B78" w:rsidRPr="00222DE9" w:rsidRDefault="00A91B78" w:rsidP="00607070">
      <w:pPr>
        <w:numPr>
          <w:ilvl w:val="0"/>
          <w:numId w:val="2"/>
        </w:numPr>
        <w:ind w:left="0" w:hanging="11"/>
        <w:contextualSpacing/>
        <w:jc w:val="both"/>
        <w:rPr>
          <w:rFonts w:ascii="Verdana" w:hAnsi="Verdana" w:cs="Arial"/>
          <w:color w:val="222222"/>
          <w:sz w:val="20"/>
          <w:szCs w:val="20"/>
          <w:lang w:val="es-ES"/>
        </w:rPr>
      </w:pPr>
      <w:r w:rsidRPr="00A91B78">
        <w:rPr>
          <w:rFonts w:ascii="Verdana" w:hAnsi="Verdana"/>
          <w:sz w:val="20"/>
          <w:szCs w:val="20"/>
          <w:lang w:val="es-MX"/>
        </w:rPr>
        <w:t>L</w:t>
      </w:r>
      <w:r w:rsidRPr="00A91B78">
        <w:rPr>
          <w:rFonts w:ascii="Verdana" w:hAnsi="Verdana"/>
          <w:sz w:val="20"/>
          <w:szCs w:val="20"/>
          <w:lang w:val="es-ES"/>
        </w:rPr>
        <w:t xml:space="preserve">a </w:t>
      </w:r>
      <w:r w:rsidR="008A4ABB" w:rsidRPr="007E20F9">
        <w:rPr>
          <w:rFonts w:ascii="Verdana" w:hAnsi="Verdana"/>
          <w:b/>
          <w:i/>
          <w:sz w:val="20"/>
          <w:lang w:val="es-ES"/>
        </w:rPr>
        <w:t>Comisión</w:t>
      </w:r>
      <w:r w:rsidRPr="0067410A">
        <w:rPr>
          <w:rFonts w:ascii="Verdana" w:hAnsi="Verdana"/>
          <w:sz w:val="20"/>
          <w:szCs w:val="20"/>
          <w:lang w:val="es-ES"/>
        </w:rPr>
        <w:t xml:space="preserve"> </w:t>
      </w:r>
      <w:r w:rsidRPr="0067410A">
        <w:rPr>
          <w:rFonts w:ascii="Verdana" w:hAnsi="Verdana"/>
          <w:sz w:val="20"/>
          <w:szCs w:val="20"/>
          <w:lang w:val="es-CR"/>
        </w:rPr>
        <w:t>solicitó</w:t>
      </w:r>
      <w:r w:rsidR="00607070" w:rsidRPr="0067410A">
        <w:rPr>
          <w:rFonts w:ascii="Verdana" w:hAnsi="Verdana"/>
          <w:sz w:val="20"/>
          <w:szCs w:val="20"/>
          <w:lang w:val="es-CR"/>
        </w:rPr>
        <w:t xml:space="preserve"> </w:t>
      </w:r>
      <w:r w:rsidR="00607070" w:rsidRPr="002C323A">
        <w:rPr>
          <w:rFonts w:ascii="Verdana" w:hAnsi="Verdana"/>
          <w:sz w:val="20"/>
          <w:szCs w:val="20"/>
          <w:lang w:val="es-CR"/>
        </w:rPr>
        <w:t xml:space="preserve">que </w:t>
      </w:r>
      <w:r w:rsidR="00607070" w:rsidRPr="002C323A">
        <w:rPr>
          <w:rFonts w:ascii="Verdana" w:hAnsi="Verdana" w:cs="Arial"/>
          <w:color w:val="222222"/>
          <w:sz w:val="20"/>
          <w:szCs w:val="20"/>
          <w:lang w:val="es-ES"/>
        </w:rPr>
        <w:t xml:space="preserve">se </w:t>
      </w:r>
      <w:r w:rsidR="00607070" w:rsidRPr="002C323A">
        <w:rPr>
          <w:rFonts w:ascii="Verdana" w:hAnsi="Verdana"/>
          <w:sz w:val="20"/>
          <w:szCs w:val="20"/>
          <w:lang w:val="es-ES"/>
        </w:rPr>
        <w:t>reconozca a los Pueblos Kaliña y Lokono como personas jurídicas. Además,</w:t>
      </w:r>
      <w:r w:rsidR="00607070" w:rsidRPr="0067410A">
        <w:rPr>
          <w:rFonts w:ascii="Verdana" w:hAnsi="Verdana" w:cs="Arial"/>
          <w:color w:val="222222"/>
          <w:sz w:val="20"/>
          <w:szCs w:val="20"/>
          <w:lang w:val="es-ES"/>
        </w:rPr>
        <w:t xml:space="preserve"> </w:t>
      </w:r>
      <w:r w:rsidRPr="0067410A">
        <w:rPr>
          <w:rFonts w:ascii="Verdana" w:hAnsi="Verdana"/>
          <w:sz w:val="20"/>
          <w:szCs w:val="20"/>
          <w:lang w:val="es-ES"/>
        </w:rPr>
        <w:t xml:space="preserve">que a través de </w:t>
      </w:r>
      <w:r w:rsidRPr="0067410A">
        <w:rPr>
          <w:rFonts w:ascii="Verdana" w:hAnsi="Verdana" w:cs="Arial"/>
          <w:color w:val="222222"/>
          <w:sz w:val="20"/>
          <w:szCs w:val="20"/>
          <w:lang w:val="es-ES"/>
        </w:rPr>
        <w:t xml:space="preserve">consultas efectivas y plenamente informadas de los </w:t>
      </w:r>
      <w:r w:rsidR="00382F4D" w:rsidRPr="0067410A">
        <w:rPr>
          <w:rFonts w:ascii="Verdana" w:hAnsi="Verdana" w:cs="Arial"/>
          <w:color w:val="222222"/>
          <w:sz w:val="20"/>
          <w:szCs w:val="20"/>
          <w:lang w:val="es-ES"/>
        </w:rPr>
        <w:t>Pueblos Kaliña y Lokono</w:t>
      </w:r>
      <w:r w:rsidR="00B4017E">
        <w:rPr>
          <w:rFonts w:ascii="Verdana" w:hAnsi="Verdana" w:cs="Arial"/>
          <w:color w:val="222222"/>
          <w:sz w:val="20"/>
          <w:szCs w:val="20"/>
          <w:lang w:val="es-ES"/>
        </w:rPr>
        <w:t>,</w:t>
      </w:r>
      <w:r w:rsidRPr="00607070">
        <w:rPr>
          <w:rFonts w:ascii="Verdana" w:hAnsi="Verdana" w:cs="Arial"/>
          <w:color w:val="222222"/>
          <w:sz w:val="20"/>
          <w:szCs w:val="20"/>
          <w:lang w:val="es-ES"/>
        </w:rPr>
        <w:t xml:space="preserve"> y respetando su derecho consuetudinario, se lleve a cabo: i) la delimitación, demarcación y entrega de título colectivo de propiedad a los </w:t>
      </w:r>
      <w:r w:rsidR="00382F4D" w:rsidRPr="00607070">
        <w:rPr>
          <w:rFonts w:ascii="Verdana" w:hAnsi="Verdana" w:cs="Arial"/>
          <w:color w:val="222222"/>
          <w:sz w:val="20"/>
          <w:szCs w:val="20"/>
          <w:lang w:val="es-ES"/>
        </w:rPr>
        <w:t>Pueblos Kaliña y Lokono</w:t>
      </w:r>
      <w:r w:rsidRPr="00607070">
        <w:rPr>
          <w:rFonts w:ascii="Verdana" w:hAnsi="Verdana" w:cs="Arial"/>
          <w:color w:val="222222"/>
          <w:sz w:val="20"/>
          <w:szCs w:val="20"/>
          <w:lang w:val="es-ES"/>
        </w:rPr>
        <w:t xml:space="preserve"> sobre las tierras y territorios que han ocupado y usado tradicionalmente; ii) </w:t>
      </w:r>
      <w:r w:rsidRPr="00607070">
        <w:rPr>
          <w:rFonts w:ascii="Verdana" w:hAnsi="Verdana"/>
          <w:sz w:val="20"/>
          <w:szCs w:val="20"/>
          <w:lang w:val="es-ES"/>
        </w:rPr>
        <w:t>la r</w:t>
      </w:r>
      <w:r w:rsidRPr="00B51C8C">
        <w:rPr>
          <w:rStyle w:val="hps"/>
          <w:rFonts w:ascii="Verdana" w:hAnsi="Verdana" w:cs="Arial"/>
          <w:color w:val="222222"/>
          <w:sz w:val="20"/>
          <w:szCs w:val="20"/>
          <w:lang w:val="es-ES"/>
        </w:rPr>
        <w:t>evisión</w:t>
      </w:r>
      <w:r w:rsidRPr="00B51C8C">
        <w:rPr>
          <w:rFonts w:ascii="Verdana" w:hAnsi="Verdana" w:cs="Arial"/>
          <w:color w:val="222222"/>
          <w:sz w:val="20"/>
          <w:szCs w:val="20"/>
          <w:lang w:val="es-ES"/>
        </w:rPr>
        <w:t xml:space="preserve"> y determinación de las modificaciones necesarias a los </w:t>
      </w:r>
      <w:r w:rsidRPr="00B51C8C">
        <w:rPr>
          <w:rStyle w:val="hps"/>
          <w:rFonts w:ascii="Verdana" w:hAnsi="Verdana" w:cs="Arial"/>
          <w:color w:val="222222"/>
          <w:sz w:val="20"/>
          <w:szCs w:val="20"/>
          <w:lang w:val="es-ES"/>
        </w:rPr>
        <w:t>títulos de propiedad</w:t>
      </w:r>
      <w:r w:rsidRPr="00B51C8C">
        <w:rPr>
          <w:rFonts w:ascii="Verdana" w:hAnsi="Verdana" w:cs="Arial"/>
          <w:color w:val="222222"/>
          <w:sz w:val="20"/>
          <w:szCs w:val="20"/>
          <w:lang w:val="es-ES"/>
        </w:rPr>
        <w:t xml:space="preserve">, </w:t>
      </w:r>
      <w:r w:rsidRPr="00B51C8C">
        <w:rPr>
          <w:rStyle w:val="hps"/>
          <w:rFonts w:ascii="Verdana" w:hAnsi="Verdana" w:cs="Arial"/>
          <w:color w:val="222222"/>
          <w:sz w:val="20"/>
          <w:szCs w:val="20"/>
          <w:lang w:val="es-ES"/>
        </w:rPr>
        <w:t>derechos de traspaso</w:t>
      </w:r>
      <w:r w:rsidRPr="000A6C20">
        <w:rPr>
          <w:rFonts w:ascii="Verdana" w:hAnsi="Verdana" w:cs="Arial"/>
          <w:color w:val="222222"/>
          <w:sz w:val="20"/>
          <w:szCs w:val="20"/>
          <w:lang w:val="es-ES"/>
        </w:rPr>
        <w:t xml:space="preserve"> </w:t>
      </w:r>
      <w:r w:rsidRPr="000A6C20">
        <w:rPr>
          <w:rStyle w:val="hps"/>
          <w:rFonts w:ascii="Verdana" w:hAnsi="Verdana" w:cs="Arial"/>
          <w:color w:val="222222"/>
          <w:sz w:val="20"/>
          <w:szCs w:val="20"/>
          <w:lang w:val="es-ES"/>
        </w:rPr>
        <w:t>y arrendamiento a</w:t>
      </w:r>
      <w:r w:rsidRPr="007D0565">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largo plazo otorgados a personas</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no indígenas</w:t>
      </w:r>
      <w:r w:rsidRPr="00607070">
        <w:rPr>
          <w:rFonts w:ascii="Verdana" w:hAnsi="Verdana" w:cs="Arial"/>
          <w:color w:val="222222"/>
          <w:sz w:val="20"/>
          <w:szCs w:val="20"/>
          <w:lang w:val="es-ES"/>
        </w:rPr>
        <w:t xml:space="preserve">; iii) la revisión de los términos </w:t>
      </w:r>
      <w:r w:rsidRPr="00607070">
        <w:rPr>
          <w:rStyle w:val="hps"/>
          <w:rFonts w:ascii="Verdana" w:hAnsi="Verdana" w:cs="Arial"/>
          <w:color w:val="222222"/>
          <w:sz w:val="20"/>
          <w:szCs w:val="20"/>
          <w:lang w:val="es-ES"/>
        </w:rPr>
        <w:t>de</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las</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actividades mineras</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autorizadas</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dentro de la Reserva Natural Wane</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Kreek</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y</w:t>
      </w:r>
      <w:r w:rsidRPr="00607070">
        <w:rPr>
          <w:rFonts w:ascii="Verdana" w:hAnsi="Verdana" w:cs="Arial"/>
          <w:color w:val="222222"/>
          <w:sz w:val="20"/>
          <w:szCs w:val="20"/>
          <w:lang w:val="es-ES"/>
        </w:rPr>
        <w:t xml:space="preserve"> iv) la verificación de </w:t>
      </w:r>
      <w:r w:rsidRPr="00607070">
        <w:rPr>
          <w:rStyle w:val="hps"/>
          <w:rFonts w:ascii="Verdana" w:hAnsi="Verdana" w:cs="Arial"/>
          <w:color w:val="222222"/>
          <w:sz w:val="20"/>
          <w:szCs w:val="20"/>
          <w:lang w:val="es-ES"/>
        </w:rPr>
        <w:t>los términos de creación y gestión</w:t>
      </w:r>
      <w:r w:rsidRPr="00607070">
        <w:rPr>
          <w:rFonts w:ascii="Verdana" w:hAnsi="Verdana" w:cs="Arial"/>
          <w:color w:val="222222"/>
          <w:sz w:val="20"/>
          <w:szCs w:val="20"/>
          <w:lang w:val="es-ES"/>
        </w:rPr>
        <w:t xml:space="preserve"> </w:t>
      </w:r>
      <w:r w:rsidRPr="00607070">
        <w:rPr>
          <w:rStyle w:val="hps"/>
          <w:rFonts w:ascii="Verdana" w:hAnsi="Verdana" w:cs="Arial"/>
          <w:color w:val="222222"/>
          <w:sz w:val="20"/>
          <w:szCs w:val="20"/>
          <w:lang w:val="es-ES"/>
        </w:rPr>
        <w:t>de las reservas naturales,</w:t>
      </w:r>
      <w:r w:rsidRPr="00607070">
        <w:rPr>
          <w:rFonts w:ascii="Verdana" w:hAnsi="Verdana" w:cs="Arial"/>
          <w:color w:val="222222"/>
          <w:sz w:val="20"/>
          <w:szCs w:val="20"/>
          <w:lang w:val="es-ES"/>
        </w:rPr>
        <w:t xml:space="preserve"> con el fin de garantizar que las mismas no serán un obstáculo para el uso y goce pleno de las tierras </w:t>
      </w:r>
      <w:r w:rsidRPr="00222DE9">
        <w:rPr>
          <w:rFonts w:ascii="Verdana" w:hAnsi="Verdana" w:cs="Arial"/>
          <w:color w:val="222222"/>
          <w:sz w:val="20"/>
          <w:szCs w:val="20"/>
          <w:lang w:val="es-ES"/>
        </w:rPr>
        <w:t xml:space="preserve">de los pueblos, y el levantamiento del estatus de “reserva” o, por el contrario, mantenerlo, pero bajo un modelo de manejo conjunto con los pueblos, todo ello con la consulta previa correspondiente. </w:t>
      </w:r>
    </w:p>
    <w:p w14:paraId="449F142F" w14:textId="77777777" w:rsidR="00A91B78" w:rsidRPr="00222DE9" w:rsidRDefault="00A91B78" w:rsidP="00A91B78">
      <w:pPr>
        <w:jc w:val="both"/>
        <w:rPr>
          <w:rFonts w:ascii="Verdana" w:hAnsi="Verdana" w:cs="Arial"/>
          <w:color w:val="222222"/>
          <w:sz w:val="20"/>
          <w:szCs w:val="20"/>
          <w:lang w:val="es-ES"/>
        </w:rPr>
      </w:pPr>
    </w:p>
    <w:p w14:paraId="25D630EF" w14:textId="0D48AF88" w:rsidR="00A91B78" w:rsidRPr="00222DE9" w:rsidRDefault="00A91B78" w:rsidP="00A91B78">
      <w:pPr>
        <w:numPr>
          <w:ilvl w:val="0"/>
          <w:numId w:val="2"/>
        </w:numPr>
        <w:ind w:left="0" w:hanging="11"/>
        <w:contextualSpacing/>
        <w:jc w:val="both"/>
        <w:rPr>
          <w:rFonts w:ascii="Verdana" w:hAnsi="Verdana" w:cs="Arial"/>
          <w:b/>
          <w:color w:val="222222"/>
          <w:sz w:val="20"/>
          <w:szCs w:val="20"/>
          <w:lang w:val="es-ES"/>
        </w:rPr>
      </w:pPr>
      <w:r w:rsidRPr="00222DE9">
        <w:rPr>
          <w:rFonts w:ascii="Verdana" w:hAnsi="Verdana"/>
          <w:sz w:val="20"/>
          <w:szCs w:val="20"/>
          <w:lang w:val="es-ES"/>
        </w:rPr>
        <w:t xml:space="preserve">Además, la Comisión solicitó a la Corte que, en relación con las concesiones mineras, ordene al Estado la abstención de todo acto estatal o privado de terceras partes que afecte el disfrute de los </w:t>
      </w:r>
      <w:r w:rsidR="00382F4D" w:rsidRPr="00222DE9">
        <w:rPr>
          <w:rFonts w:ascii="Verdana" w:hAnsi="Verdana"/>
          <w:sz w:val="20"/>
          <w:szCs w:val="20"/>
          <w:lang w:val="es-ES"/>
        </w:rPr>
        <w:t>Pueblos Kaliña y Lokono</w:t>
      </w:r>
      <w:r w:rsidRPr="00222DE9">
        <w:rPr>
          <w:rFonts w:ascii="Verdana" w:hAnsi="Verdana"/>
          <w:sz w:val="20"/>
          <w:szCs w:val="20"/>
          <w:lang w:val="es-ES"/>
        </w:rPr>
        <w:t xml:space="preserve">, tales como concesiones, proyectos de desarrollo o inversión, así como la explotación forestal indiscriminada, que no cumplan con los estándares internacionales aplicables. Asimismo, en sus </w:t>
      </w:r>
      <w:r w:rsidR="00C04802" w:rsidRPr="00B4017E">
        <w:rPr>
          <w:rFonts w:ascii="Verdana" w:hAnsi="Verdana"/>
          <w:sz w:val="20"/>
          <w:szCs w:val="20"/>
          <w:lang w:val="es-ES"/>
        </w:rPr>
        <w:t>observaciones</w:t>
      </w:r>
      <w:r w:rsidR="00F508F2">
        <w:rPr>
          <w:rFonts w:ascii="Verdana" w:hAnsi="Verdana"/>
          <w:sz w:val="20"/>
          <w:szCs w:val="20"/>
          <w:lang w:val="es-ES"/>
        </w:rPr>
        <w:t xml:space="preserve"> </w:t>
      </w:r>
      <w:r w:rsidRPr="00222DE9">
        <w:rPr>
          <w:rFonts w:ascii="Verdana" w:hAnsi="Verdana"/>
          <w:sz w:val="20"/>
          <w:szCs w:val="20"/>
          <w:lang w:val="es-ES"/>
        </w:rPr>
        <w:t xml:space="preserve">finales </w:t>
      </w:r>
      <w:r w:rsidRPr="00222DE9">
        <w:rPr>
          <w:rFonts w:ascii="Verdana" w:hAnsi="Verdana" w:cs="Arial"/>
          <w:color w:val="222222"/>
          <w:sz w:val="20"/>
          <w:szCs w:val="20"/>
          <w:lang w:val="es-ES"/>
        </w:rPr>
        <w:t xml:space="preserve">la Comisión precisó que las medidas de reparación deben ser cumplidas dentro de un plazo determinado. De lo contrario, siguiendo lo ordenado por la Corte en el </w:t>
      </w:r>
      <w:r w:rsidR="00160073">
        <w:rPr>
          <w:rFonts w:ascii="Verdana" w:hAnsi="Verdana" w:cs="Arial"/>
          <w:color w:val="222222"/>
          <w:sz w:val="20"/>
          <w:szCs w:val="20"/>
          <w:lang w:val="es-ES"/>
        </w:rPr>
        <w:t>c</w:t>
      </w:r>
      <w:r w:rsidR="008A4ABB" w:rsidRPr="007E20F9">
        <w:rPr>
          <w:rFonts w:ascii="Verdana" w:hAnsi="Verdana" w:cs="Arial"/>
          <w:color w:val="222222"/>
          <w:sz w:val="20"/>
          <w:szCs w:val="20"/>
          <w:lang w:val="es-ES"/>
        </w:rPr>
        <w:t>aso</w:t>
      </w:r>
      <w:r w:rsidRPr="00222DE9">
        <w:rPr>
          <w:rFonts w:ascii="Verdana" w:hAnsi="Verdana" w:cs="Arial"/>
          <w:i/>
          <w:color w:val="222222"/>
          <w:sz w:val="20"/>
          <w:szCs w:val="20"/>
          <w:lang w:val="es-ES"/>
        </w:rPr>
        <w:t xml:space="preserve"> Xákmok Kásek</w:t>
      </w:r>
      <w:r w:rsidRPr="00222DE9">
        <w:rPr>
          <w:rFonts w:ascii="Verdana" w:hAnsi="Verdana" w:cs="Arial"/>
          <w:color w:val="222222"/>
          <w:sz w:val="20"/>
          <w:szCs w:val="20"/>
          <w:lang w:val="es-ES"/>
        </w:rPr>
        <w:t>, el Estado deberá pagar un monto de compensación por el incumplimiento dentro del plazo establecido</w:t>
      </w:r>
      <w:r w:rsidRPr="004B0145">
        <w:rPr>
          <w:rFonts w:ascii="Verdana" w:hAnsi="Verdana" w:cs="Arial"/>
          <w:color w:val="222222"/>
          <w:sz w:val="20"/>
          <w:szCs w:val="20"/>
          <w:lang w:val="es-ES"/>
        </w:rPr>
        <w:t>.</w:t>
      </w:r>
    </w:p>
    <w:p w14:paraId="25200A7B" w14:textId="77777777" w:rsidR="00A91B78" w:rsidRPr="00222DE9" w:rsidRDefault="00A91B78" w:rsidP="00A91B78">
      <w:pPr>
        <w:jc w:val="both"/>
        <w:rPr>
          <w:rFonts w:ascii="Verdana" w:hAnsi="Verdana"/>
          <w:sz w:val="20"/>
          <w:szCs w:val="20"/>
        </w:rPr>
      </w:pPr>
    </w:p>
    <w:p w14:paraId="593ED95D" w14:textId="26CF2240" w:rsidR="00A91B78" w:rsidRPr="0067410A" w:rsidRDefault="00A91B78" w:rsidP="00B17B8E">
      <w:pPr>
        <w:numPr>
          <w:ilvl w:val="0"/>
          <w:numId w:val="2"/>
        </w:numPr>
        <w:ind w:left="0" w:hanging="11"/>
        <w:contextualSpacing/>
        <w:jc w:val="both"/>
        <w:rPr>
          <w:rFonts w:ascii="Verdana" w:hAnsi="Verdana"/>
          <w:sz w:val="20"/>
          <w:szCs w:val="20"/>
          <w:lang w:val="es-ES"/>
        </w:rPr>
      </w:pPr>
      <w:r w:rsidRPr="00222DE9">
        <w:rPr>
          <w:rFonts w:ascii="Verdana" w:hAnsi="Verdana" w:cs="Arial"/>
          <w:color w:val="222222"/>
          <w:sz w:val="20"/>
          <w:szCs w:val="20"/>
          <w:lang w:val="es-ES"/>
        </w:rPr>
        <w:t xml:space="preserve">Por su </w:t>
      </w:r>
      <w:r w:rsidRPr="0067410A">
        <w:rPr>
          <w:rFonts w:ascii="Verdana" w:hAnsi="Verdana" w:cs="Arial"/>
          <w:color w:val="222222"/>
          <w:sz w:val="20"/>
          <w:szCs w:val="20"/>
          <w:lang w:val="es-ES"/>
        </w:rPr>
        <w:t>parte,</w:t>
      </w:r>
      <w:r w:rsidR="00B51C8C" w:rsidRPr="0067410A">
        <w:rPr>
          <w:rFonts w:ascii="Verdana" w:hAnsi="Verdana" w:cs="Arial"/>
          <w:color w:val="222222"/>
          <w:sz w:val="20"/>
          <w:szCs w:val="20"/>
          <w:lang w:val="es-ES"/>
        </w:rPr>
        <w:t xml:space="preserve"> </w:t>
      </w:r>
      <w:r w:rsidR="00B51C8C" w:rsidRPr="002C323A">
        <w:rPr>
          <w:rFonts w:ascii="Verdana" w:hAnsi="Verdana"/>
          <w:sz w:val="20"/>
          <w:szCs w:val="20"/>
          <w:lang w:val="es-ES"/>
        </w:rPr>
        <w:t xml:space="preserve">los </w:t>
      </w:r>
      <w:r w:rsidR="008A4ABB" w:rsidRPr="007E20F9">
        <w:rPr>
          <w:rFonts w:ascii="Verdana" w:hAnsi="Verdana"/>
          <w:b/>
          <w:i/>
          <w:sz w:val="20"/>
          <w:lang w:val="es-ES"/>
        </w:rPr>
        <w:t>representantes</w:t>
      </w:r>
      <w:r w:rsidR="00B51C8C" w:rsidRPr="002C323A">
        <w:rPr>
          <w:rFonts w:ascii="Verdana" w:hAnsi="Verdana"/>
          <w:sz w:val="20"/>
          <w:szCs w:val="20"/>
          <w:lang w:val="es-ES"/>
        </w:rPr>
        <w:t xml:space="preserve"> solicitaron </w:t>
      </w:r>
      <w:r w:rsidR="00B51C8C" w:rsidRPr="002C323A">
        <w:rPr>
          <w:rFonts w:ascii="Verdana" w:hAnsi="Verdana" w:cs="Arial"/>
          <w:color w:val="222222"/>
          <w:sz w:val="20"/>
          <w:szCs w:val="20"/>
          <w:lang w:val="es-ES"/>
        </w:rPr>
        <w:t xml:space="preserve">que la Corte ordene al Estado la adopción de todas </w:t>
      </w:r>
      <w:r w:rsidR="00DD751A">
        <w:rPr>
          <w:rFonts w:ascii="Verdana" w:hAnsi="Verdana" w:cs="Arial"/>
          <w:color w:val="222222"/>
          <w:sz w:val="20"/>
          <w:szCs w:val="20"/>
          <w:lang w:val="es-ES"/>
        </w:rPr>
        <w:t>las</w:t>
      </w:r>
      <w:r w:rsidR="00B51C8C" w:rsidRPr="002C323A">
        <w:rPr>
          <w:rFonts w:ascii="Verdana" w:hAnsi="Verdana" w:cs="Arial"/>
          <w:color w:val="222222"/>
          <w:sz w:val="20"/>
          <w:szCs w:val="20"/>
          <w:lang w:val="es-ES"/>
        </w:rPr>
        <w:t xml:space="preserve"> medidas legislativas, administrativas y de otra índole necesarias para: i) </w:t>
      </w:r>
      <w:r w:rsidR="00B51C8C" w:rsidRPr="002C323A">
        <w:rPr>
          <w:rFonts w:ascii="Verdana" w:hAnsi="Verdana"/>
          <w:sz w:val="20"/>
          <w:szCs w:val="20"/>
          <w:lang w:val="es-MX"/>
        </w:rPr>
        <w:t>reconocer y garantizar el derecho de los Pueblos Kaliña y Lokono a la personalidad jurídica con la finalidad de garantizar el ejercicio y disfrute pleno de su derecho a la propiedad colectiva,;</w:t>
      </w:r>
      <w:r w:rsidR="00B51C8C" w:rsidRPr="0067410A">
        <w:rPr>
          <w:rFonts w:ascii="Verdana" w:hAnsi="Verdana"/>
          <w:sz w:val="20"/>
          <w:szCs w:val="20"/>
          <w:lang w:val="es-MX"/>
        </w:rPr>
        <w:t xml:space="preserve"> </w:t>
      </w:r>
      <w:r w:rsidR="00B51C8C" w:rsidRPr="0067410A">
        <w:rPr>
          <w:rFonts w:ascii="Verdana" w:hAnsi="Verdana"/>
          <w:sz w:val="20"/>
          <w:szCs w:val="20"/>
          <w:lang w:val="es-MX"/>
        </w:rPr>
        <w:lastRenderedPageBreak/>
        <w:t>i</w:t>
      </w:r>
      <w:r w:rsidRPr="0067410A">
        <w:rPr>
          <w:rFonts w:ascii="Verdana" w:hAnsi="Verdana" w:cs="Arial"/>
          <w:color w:val="222222"/>
          <w:sz w:val="20"/>
          <w:szCs w:val="20"/>
          <w:lang w:val="es-ES"/>
        </w:rPr>
        <w:t xml:space="preserve">i) </w:t>
      </w:r>
      <w:r w:rsidRPr="0067410A">
        <w:rPr>
          <w:rFonts w:ascii="Verdana" w:hAnsi="Verdana"/>
          <w:sz w:val="20"/>
          <w:szCs w:val="20"/>
          <w:lang w:val="es-MX"/>
        </w:rPr>
        <w:t>crea</w:t>
      </w:r>
      <w:r w:rsidR="00DD751A">
        <w:rPr>
          <w:rFonts w:ascii="Verdana" w:hAnsi="Verdana"/>
          <w:sz w:val="20"/>
          <w:szCs w:val="20"/>
          <w:lang w:val="es-MX"/>
        </w:rPr>
        <w:t>r</w:t>
      </w:r>
      <w:r w:rsidRPr="0067410A">
        <w:rPr>
          <w:rFonts w:ascii="Verdana" w:hAnsi="Verdana"/>
          <w:sz w:val="20"/>
          <w:szCs w:val="20"/>
          <w:lang w:val="es-MX"/>
        </w:rPr>
        <w:t xml:space="preserve"> un mecanismo efectivo, con la colaboración de las víctimas y en el plazo</w:t>
      </w:r>
      <w:r w:rsidRPr="00222DE9">
        <w:rPr>
          <w:rFonts w:ascii="Verdana" w:hAnsi="Verdana"/>
          <w:sz w:val="20"/>
          <w:szCs w:val="20"/>
          <w:lang w:val="es-MX"/>
        </w:rPr>
        <w:t xml:space="preserve"> de 18 meses, para la delimitación, demarcación y titulación del territorio y recursos naturales que tradicionalmente han poseído y utilizado los </w:t>
      </w:r>
      <w:r w:rsidR="00382F4D" w:rsidRPr="00222DE9">
        <w:rPr>
          <w:rFonts w:ascii="Verdana" w:hAnsi="Verdana"/>
          <w:sz w:val="20"/>
          <w:szCs w:val="20"/>
          <w:lang w:val="es-MX"/>
        </w:rPr>
        <w:t>Pueblos Kaliña y Lokono</w:t>
      </w:r>
      <w:r w:rsidRPr="00222DE9">
        <w:rPr>
          <w:rFonts w:ascii="Verdana" w:hAnsi="Verdana"/>
          <w:sz w:val="20"/>
          <w:szCs w:val="20"/>
          <w:lang w:val="es-MX"/>
        </w:rPr>
        <w:t xml:space="preserve">, de acuerdo con sus valores, usos, costumbres y con pleno respeto de los límites tradicionalmente reconocidos por los </w:t>
      </w:r>
      <w:r w:rsidR="00DD751A">
        <w:rPr>
          <w:rFonts w:ascii="Verdana" w:hAnsi="Verdana"/>
          <w:sz w:val="20"/>
          <w:szCs w:val="20"/>
          <w:lang w:val="es-MX"/>
        </w:rPr>
        <w:t>mismos</w:t>
      </w:r>
      <w:r w:rsidRPr="00222DE9">
        <w:rPr>
          <w:rFonts w:ascii="Verdana" w:hAnsi="Verdana"/>
          <w:sz w:val="20"/>
          <w:szCs w:val="20"/>
          <w:lang w:val="es-MX"/>
        </w:rPr>
        <w:t xml:space="preserve"> y por sus vecinos, los pueblos tribales N'djuka. Asimismo, solicitaron que </w:t>
      </w:r>
      <w:r w:rsidR="00563E11" w:rsidRPr="00222DE9">
        <w:rPr>
          <w:rFonts w:ascii="Verdana" w:hAnsi="Verdana"/>
          <w:sz w:val="20"/>
          <w:szCs w:val="20"/>
          <w:lang w:val="es-MX"/>
        </w:rPr>
        <w:t>Surinam</w:t>
      </w:r>
      <w:r w:rsidRPr="00222DE9">
        <w:rPr>
          <w:rFonts w:ascii="Verdana" w:hAnsi="Verdana"/>
          <w:sz w:val="20"/>
          <w:szCs w:val="20"/>
          <w:lang w:val="es-MX"/>
        </w:rPr>
        <w:t xml:space="preserve"> se abstenga, hasta que este proceso culmine, de toda afectación a su territorio, a menos que el Estado obtenga el consentimiento libre, previo e informado; i</w:t>
      </w:r>
      <w:r w:rsidR="00B51C8C" w:rsidRPr="00222DE9">
        <w:rPr>
          <w:rFonts w:ascii="Verdana" w:hAnsi="Verdana"/>
          <w:sz w:val="20"/>
          <w:szCs w:val="20"/>
          <w:lang w:val="es-MX"/>
        </w:rPr>
        <w:t>ii</w:t>
      </w:r>
      <w:r w:rsidRPr="00222DE9">
        <w:rPr>
          <w:rFonts w:ascii="Verdana" w:hAnsi="Verdana"/>
          <w:sz w:val="20"/>
          <w:szCs w:val="20"/>
          <w:lang w:val="es-MX"/>
        </w:rPr>
        <w:t>) restitu</w:t>
      </w:r>
      <w:r w:rsidR="00DD751A">
        <w:rPr>
          <w:rFonts w:ascii="Verdana" w:hAnsi="Verdana"/>
          <w:sz w:val="20"/>
          <w:szCs w:val="20"/>
          <w:lang w:val="es-MX"/>
        </w:rPr>
        <w:t xml:space="preserve">ir </w:t>
      </w:r>
      <w:r w:rsidRPr="00222DE9">
        <w:rPr>
          <w:rFonts w:ascii="Verdana" w:hAnsi="Verdana"/>
          <w:sz w:val="20"/>
          <w:szCs w:val="20"/>
          <w:lang w:val="es-MX"/>
        </w:rPr>
        <w:t>la</w:t>
      </w:r>
      <w:r w:rsidR="00DD751A">
        <w:rPr>
          <w:rFonts w:ascii="Verdana" w:hAnsi="Verdana"/>
          <w:sz w:val="20"/>
          <w:szCs w:val="20"/>
          <w:lang w:val="es-MX"/>
        </w:rPr>
        <w:t>s</w:t>
      </w:r>
      <w:r w:rsidRPr="00222DE9">
        <w:rPr>
          <w:rFonts w:ascii="Verdana" w:hAnsi="Verdana"/>
          <w:sz w:val="20"/>
          <w:szCs w:val="20"/>
          <w:lang w:val="es-MX"/>
        </w:rPr>
        <w:t xml:space="preserve"> tierras que están en manos de terceros</w:t>
      </w:r>
      <w:r w:rsidR="008A4ABB" w:rsidRPr="007E20F9">
        <w:rPr>
          <w:rFonts w:ascii="Verdana" w:hAnsi="Verdana"/>
          <w:sz w:val="20"/>
          <w:lang w:val="es-MX"/>
        </w:rPr>
        <w:t>;</w:t>
      </w:r>
      <w:r w:rsidRPr="00222DE9">
        <w:rPr>
          <w:rFonts w:ascii="Verdana" w:hAnsi="Verdana"/>
          <w:b/>
          <w:sz w:val="20"/>
          <w:szCs w:val="20"/>
          <w:lang w:val="es-MX"/>
        </w:rPr>
        <w:t xml:space="preserve"> </w:t>
      </w:r>
      <w:r w:rsidR="00B51C8C" w:rsidRPr="00BF58DC">
        <w:rPr>
          <w:rFonts w:ascii="Verdana" w:hAnsi="Verdana"/>
          <w:sz w:val="20"/>
          <w:szCs w:val="20"/>
          <w:lang w:val="es-MX"/>
        </w:rPr>
        <w:t>iv</w:t>
      </w:r>
      <w:r w:rsidRPr="00BF58DC">
        <w:rPr>
          <w:rFonts w:ascii="Verdana" w:hAnsi="Verdana"/>
          <w:sz w:val="20"/>
          <w:szCs w:val="20"/>
          <w:lang w:val="es-MX"/>
        </w:rPr>
        <w:t>)</w:t>
      </w:r>
      <w:r w:rsidRPr="00222DE9">
        <w:rPr>
          <w:rFonts w:ascii="Verdana" w:hAnsi="Verdana"/>
          <w:sz w:val="20"/>
          <w:szCs w:val="20"/>
          <w:lang w:val="es-MX"/>
        </w:rPr>
        <w:t xml:space="preserve"> restitu</w:t>
      </w:r>
      <w:r w:rsidR="00DD751A">
        <w:rPr>
          <w:rFonts w:ascii="Verdana" w:hAnsi="Verdana"/>
          <w:sz w:val="20"/>
          <w:szCs w:val="20"/>
          <w:lang w:val="es-MX"/>
        </w:rPr>
        <w:t>ir a las víctimas</w:t>
      </w:r>
      <w:r w:rsidRPr="00222DE9">
        <w:rPr>
          <w:rFonts w:ascii="Verdana" w:hAnsi="Verdana"/>
          <w:sz w:val="20"/>
          <w:szCs w:val="20"/>
          <w:lang w:val="es-MX"/>
        </w:rPr>
        <w:t xml:space="preserve"> las tierras incorporadas a las áreas protegidas y que forman parte de los territorios de los </w:t>
      </w:r>
      <w:r w:rsidR="00382F4D" w:rsidRPr="00222DE9">
        <w:rPr>
          <w:rFonts w:ascii="Verdana" w:hAnsi="Verdana"/>
          <w:sz w:val="20"/>
          <w:szCs w:val="20"/>
          <w:lang w:val="es-MX"/>
        </w:rPr>
        <w:t>Pueblos Kaliña y Lokono</w:t>
      </w:r>
      <w:r w:rsidRPr="00222DE9">
        <w:rPr>
          <w:rFonts w:ascii="Verdana" w:hAnsi="Verdana"/>
          <w:sz w:val="20"/>
          <w:szCs w:val="20"/>
          <w:lang w:val="es-MX"/>
        </w:rPr>
        <w:t xml:space="preserve">, reconociendo su </w:t>
      </w:r>
      <w:r w:rsidR="00DD751A">
        <w:rPr>
          <w:rFonts w:ascii="Verdana" w:hAnsi="Verdana"/>
          <w:sz w:val="20"/>
          <w:szCs w:val="20"/>
          <w:lang w:val="es-MX"/>
        </w:rPr>
        <w:t xml:space="preserve">derecho </w:t>
      </w:r>
      <w:r w:rsidR="00B73EDA">
        <w:rPr>
          <w:rFonts w:ascii="Verdana" w:hAnsi="Verdana"/>
          <w:sz w:val="20"/>
          <w:szCs w:val="20"/>
          <w:lang w:val="es-MX"/>
        </w:rPr>
        <w:t xml:space="preserve">de </w:t>
      </w:r>
      <w:r w:rsidRPr="00222DE9">
        <w:rPr>
          <w:rFonts w:ascii="Verdana" w:hAnsi="Verdana"/>
          <w:sz w:val="20"/>
          <w:szCs w:val="20"/>
          <w:lang w:val="es-MX"/>
        </w:rPr>
        <w:t>propiedad y otros derechos sobre estas tierras, así como requerir que el Estado negocie con los representantes</w:t>
      </w:r>
      <w:r w:rsidR="00DD751A">
        <w:rPr>
          <w:rFonts w:ascii="Verdana" w:hAnsi="Verdana"/>
          <w:sz w:val="20"/>
          <w:szCs w:val="20"/>
          <w:lang w:val="es-MX"/>
        </w:rPr>
        <w:t>,</w:t>
      </w:r>
      <w:r w:rsidRPr="00222DE9">
        <w:rPr>
          <w:rFonts w:ascii="Verdana" w:hAnsi="Verdana"/>
          <w:sz w:val="20"/>
          <w:szCs w:val="20"/>
          <w:lang w:val="es-MX"/>
        </w:rPr>
        <w:t xml:space="preserve"> elegidos libremente por las víctimas</w:t>
      </w:r>
      <w:r w:rsidR="00DD751A">
        <w:rPr>
          <w:rFonts w:ascii="Verdana" w:hAnsi="Verdana"/>
          <w:sz w:val="20"/>
          <w:szCs w:val="20"/>
          <w:lang w:val="es-MX"/>
        </w:rPr>
        <w:t>,</w:t>
      </w:r>
      <w:r w:rsidRPr="00222DE9">
        <w:rPr>
          <w:rFonts w:ascii="Verdana" w:hAnsi="Verdana"/>
          <w:sz w:val="20"/>
          <w:szCs w:val="20"/>
          <w:lang w:val="es-MX"/>
        </w:rPr>
        <w:t xml:space="preserve"> sobre el posible mantenimiento de la</w:t>
      </w:r>
      <w:r w:rsidR="005B06D7">
        <w:rPr>
          <w:rFonts w:ascii="Verdana" w:hAnsi="Verdana"/>
          <w:sz w:val="20"/>
          <w:szCs w:val="20"/>
          <w:lang w:val="es-MX"/>
        </w:rPr>
        <w:t>s</w:t>
      </w:r>
      <w:r w:rsidRPr="00222DE9">
        <w:rPr>
          <w:rFonts w:ascii="Verdana" w:hAnsi="Verdana"/>
          <w:sz w:val="20"/>
          <w:szCs w:val="20"/>
          <w:lang w:val="es-MX"/>
        </w:rPr>
        <w:t xml:space="preserve"> área</w:t>
      </w:r>
      <w:r w:rsidR="005B06D7">
        <w:rPr>
          <w:rFonts w:ascii="Verdana" w:hAnsi="Verdana"/>
          <w:sz w:val="20"/>
          <w:szCs w:val="20"/>
          <w:lang w:val="es-MX"/>
        </w:rPr>
        <w:t>s</w:t>
      </w:r>
      <w:r w:rsidRPr="00222DE9">
        <w:rPr>
          <w:rFonts w:ascii="Verdana" w:hAnsi="Verdana"/>
          <w:sz w:val="20"/>
          <w:szCs w:val="20"/>
          <w:lang w:val="es-MX"/>
        </w:rPr>
        <w:t xml:space="preserve"> protegida</w:t>
      </w:r>
      <w:r w:rsidR="005B06D7">
        <w:rPr>
          <w:rFonts w:ascii="Verdana" w:hAnsi="Verdana"/>
          <w:sz w:val="20"/>
          <w:szCs w:val="20"/>
          <w:lang w:val="es-MX"/>
        </w:rPr>
        <w:t>s</w:t>
      </w:r>
      <w:r w:rsidRPr="00222DE9">
        <w:rPr>
          <w:rFonts w:ascii="Verdana" w:hAnsi="Verdana"/>
          <w:sz w:val="20"/>
          <w:szCs w:val="20"/>
          <w:lang w:val="es-MX"/>
        </w:rPr>
        <w:t xml:space="preserve">, planes de manejo de ecosistemas y especies, y los mecanismos de distribución equitativa de </w:t>
      </w:r>
      <w:r w:rsidR="005B06D7">
        <w:rPr>
          <w:rFonts w:ascii="Verdana" w:hAnsi="Verdana"/>
          <w:sz w:val="20"/>
          <w:szCs w:val="20"/>
          <w:lang w:val="es-MX"/>
        </w:rPr>
        <w:t xml:space="preserve">los </w:t>
      </w:r>
      <w:r w:rsidRPr="00222DE9">
        <w:rPr>
          <w:rFonts w:ascii="Verdana" w:hAnsi="Verdana"/>
          <w:sz w:val="20"/>
          <w:szCs w:val="20"/>
          <w:lang w:val="es-MX"/>
        </w:rPr>
        <w:t>beneficio</w:t>
      </w:r>
      <w:r w:rsidR="00B51C8C" w:rsidRPr="00222DE9">
        <w:rPr>
          <w:rFonts w:ascii="Verdana" w:hAnsi="Verdana"/>
          <w:sz w:val="20"/>
          <w:szCs w:val="20"/>
          <w:lang w:val="es-MX"/>
        </w:rPr>
        <w:t>;</w:t>
      </w:r>
      <w:r w:rsidRPr="00222DE9">
        <w:rPr>
          <w:rFonts w:ascii="Verdana" w:hAnsi="Verdana"/>
          <w:sz w:val="20"/>
          <w:szCs w:val="20"/>
          <w:lang w:val="es-MX"/>
        </w:rPr>
        <w:t xml:space="preserve"> v) revis</w:t>
      </w:r>
      <w:r w:rsidR="00ED1811">
        <w:rPr>
          <w:rFonts w:ascii="Verdana" w:hAnsi="Verdana"/>
          <w:sz w:val="20"/>
          <w:szCs w:val="20"/>
          <w:lang w:val="es-MX"/>
        </w:rPr>
        <w:t>ar</w:t>
      </w:r>
      <w:r w:rsidRPr="00222DE9">
        <w:rPr>
          <w:rFonts w:ascii="Verdana" w:hAnsi="Verdana"/>
          <w:sz w:val="20"/>
          <w:szCs w:val="20"/>
          <w:lang w:val="es-MX"/>
        </w:rPr>
        <w:t xml:space="preserve">, y en su caso </w:t>
      </w:r>
      <w:r w:rsidRPr="0067410A">
        <w:rPr>
          <w:rFonts w:ascii="Verdana" w:hAnsi="Verdana"/>
          <w:sz w:val="20"/>
          <w:szCs w:val="20"/>
          <w:lang w:val="es-MX"/>
        </w:rPr>
        <w:t>revoca</w:t>
      </w:r>
      <w:r w:rsidR="00ED1811">
        <w:rPr>
          <w:rFonts w:ascii="Verdana" w:hAnsi="Verdana"/>
          <w:sz w:val="20"/>
          <w:szCs w:val="20"/>
          <w:lang w:val="es-MX"/>
        </w:rPr>
        <w:t>r</w:t>
      </w:r>
      <w:r w:rsidRPr="0067410A">
        <w:rPr>
          <w:rFonts w:ascii="Verdana" w:hAnsi="Verdana"/>
          <w:sz w:val="20"/>
          <w:szCs w:val="20"/>
          <w:lang w:val="es-MX"/>
        </w:rPr>
        <w:t xml:space="preserve">, las concesiones madereras y de aceite de palma en el territorio de los </w:t>
      </w:r>
      <w:r w:rsidR="00382F4D" w:rsidRPr="0067410A">
        <w:rPr>
          <w:rFonts w:ascii="Verdana" w:hAnsi="Verdana"/>
          <w:sz w:val="20"/>
          <w:szCs w:val="20"/>
          <w:lang w:val="es-MX"/>
        </w:rPr>
        <w:t>Pueblos Kaliña y Lokono</w:t>
      </w:r>
      <w:r w:rsidRPr="0067410A">
        <w:rPr>
          <w:rFonts w:ascii="Verdana" w:hAnsi="Verdana"/>
          <w:sz w:val="20"/>
          <w:szCs w:val="20"/>
          <w:lang w:val="es-MX"/>
        </w:rPr>
        <w:t>, con la participación efectiva de las víctimas</w:t>
      </w:r>
      <w:r w:rsidR="00B51C8C" w:rsidRPr="002C323A">
        <w:rPr>
          <w:rFonts w:ascii="Verdana" w:hAnsi="Verdana"/>
          <w:sz w:val="20"/>
          <w:szCs w:val="20"/>
          <w:lang w:val="es-MX"/>
        </w:rPr>
        <w:t xml:space="preserve">, y vi) garantizar la participación efectiva y la consulta previa e informada respecto de actividades que puedan afectar a los Pueblos Kaliña y Lokono o sus territorios, </w:t>
      </w:r>
      <w:r w:rsidR="00ED1811">
        <w:rPr>
          <w:rFonts w:ascii="Verdana" w:hAnsi="Verdana"/>
          <w:sz w:val="20"/>
          <w:szCs w:val="20"/>
          <w:lang w:val="es-MX"/>
        </w:rPr>
        <w:t>así como</w:t>
      </w:r>
      <w:r w:rsidR="00B51C8C" w:rsidRPr="002C323A">
        <w:rPr>
          <w:rFonts w:ascii="Verdana" w:hAnsi="Verdana"/>
          <w:sz w:val="20"/>
          <w:szCs w:val="20"/>
          <w:lang w:val="es-MX"/>
        </w:rPr>
        <w:t xml:space="preserve"> </w:t>
      </w:r>
      <w:r w:rsidR="00B4017E">
        <w:rPr>
          <w:rFonts w:ascii="Verdana" w:hAnsi="Verdana"/>
          <w:sz w:val="20"/>
          <w:szCs w:val="20"/>
          <w:lang w:val="es-MX"/>
        </w:rPr>
        <w:t>de</w:t>
      </w:r>
      <w:r w:rsidR="00B51C8C" w:rsidRPr="002C323A">
        <w:rPr>
          <w:rFonts w:ascii="Verdana" w:hAnsi="Verdana"/>
          <w:sz w:val="20"/>
          <w:szCs w:val="20"/>
          <w:lang w:val="es-MX"/>
        </w:rPr>
        <w:t xml:space="preserve"> compartir razonablemente los beneficios de cualquier proyecto de desarrollo que se realice en su territorio</w:t>
      </w:r>
      <w:r w:rsidR="00B51C8C" w:rsidRPr="0067410A">
        <w:rPr>
          <w:rFonts w:ascii="Verdana" w:hAnsi="Verdana"/>
          <w:sz w:val="20"/>
          <w:szCs w:val="20"/>
          <w:lang w:val="es-MX"/>
        </w:rPr>
        <w:t>.</w:t>
      </w:r>
    </w:p>
    <w:p w14:paraId="5B25A5F7" w14:textId="77777777" w:rsidR="00A91B78" w:rsidRPr="00222DE9" w:rsidRDefault="00A91B78" w:rsidP="00A91B78">
      <w:pPr>
        <w:jc w:val="both"/>
        <w:rPr>
          <w:rFonts w:ascii="Verdana" w:hAnsi="Verdana"/>
          <w:sz w:val="20"/>
          <w:szCs w:val="20"/>
          <w:lang w:val="es-MX"/>
        </w:rPr>
      </w:pPr>
    </w:p>
    <w:p w14:paraId="4E5CE51F" w14:textId="02AD9AE1" w:rsidR="00A91B78" w:rsidRPr="00B4017E" w:rsidRDefault="00275235" w:rsidP="00A91B78">
      <w:pPr>
        <w:numPr>
          <w:ilvl w:val="0"/>
          <w:numId w:val="2"/>
        </w:numPr>
        <w:ind w:left="0" w:hanging="11"/>
        <w:contextualSpacing/>
        <w:jc w:val="both"/>
        <w:rPr>
          <w:rFonts w:ascii="Verdana" w:hAnsi="Verdana"/>
          <w:sz w:val="20"/>
          <w:szCs w:val="20"/>
          <w:lang w:val="es-MX"/>
        </w:rPr>
      </w:pPr>
      <w:r w:rsidRPr="000A6C20">
        <w:rPr>
          <w:rFonts w:ascii="Verdana" w:hAnsi="Verdana"/>
          <w:sz w:val="20"/>
          <w:szCs w:val="20"/>
          <w:lang w:val="es-MX"/>
        </w:rPr>
        <w:t xml:space="preserve">El </w:t>
      </w:r>
      <w:r w:rsidRPr="000A6C20">
        <w:rPr>
          <w:rFonts w:ascii="Verdana" w:hAnsi="Verdana"/>
          <w:b/>
          <w:i/>
          <w:sz w:val="20"/>
          <w:szCs w:val="20"/>
          <w:lang w:val="es-MX"/>
        </w:rPr>
        <w:t>Estado</w:t>
      </w:r>
      <w:r w:rsidRPr="000A6C20">
        <w:rPr>
          <w:rFonts w:ascii="Verdana" w:hAnsi="Verdana"/>
          <w:sz w:val="20"/>
          <w:szCs w:val="20"/>
          <w:lang w:val="es-MX"/>
        </w:rPr>
        <w:t xml:space="preserve"> </w:t>
      </w:r>
      <w:r w:rsidR="00A91B78" w:rsidRPr="007D0565">
        <w:rPr>
          <w:rFonts w:ascii="Verdana" w:hAnsi="Verdana"/>
          <w:sz w:val="20"/>
          <w:szCs w:val="20"/>
          <w:lang w:val="es-MX"/>
        </w:rPr>
        <w:t xml:space="preserve">no se pronunció en su contestación respecto de las </w:t>
      </w:r>
      <w:r w:rsidR="00A91B78" w:rsidRPr="00222DE9">
        <w:rPr>
          <w:rFonts w:ascii="Verdana" w:hAnsi="Verdana"/>
          <w:sz w:val="20"/>
          <w:szCs w:val="20"/>
          <w:lang w:val="es-MX"/>
        </w:rPr>
        <w:t>pretensiones planteadas por la Comisión y los representantes</w:t>
      </w:r>
      <w:r w:rsidR="00B4017E">
        <w:rPr>
          <w:rFonts w:ascii="Verdana" w:hAnsi="Verdana"/>
          <w:sz w:val="20"/>
          <w:szCs w:val="20"/>
          <w:lang w:val="es-MX"/>
        </w:rPr>
        <w:t>,</w:t>
      </w:r>
      <w:r w:rsidR="00A91B78" w:rsidRPr="00222DE9">
        <w:rPr>
          <w:rFonts w:ascii="Verdana" w:hAnsi="Verdana"/>
          <w:sz w:val="20"/>
          <w:szCs w:val="20"/>
          <w:lang w:val="es-MX"/>
        </w:rPr>
        <w:t xml:space="preserve"> concernientes a medidas de restitución. Sin embargo, en sus alegatos finales el Estado</w:t>
      </w:r>
      <w:r w:rsidR="00A91B78" w:rsidRPr="00A91B78">
        <w:rPr>
          <w:rFonts w:ascii="Verdana" w:hAnsi="Verdana"/>
          <w:sz w:val="20"/>
          <w:szCs w:val="20"/>
          <w:lang w:val="es-MX"/>
        </w:rPr>
        <w:t xml:space="preserve"> argumentó en relación a las solicitudes de las partes y la Comisión lo siguiente: i)</w:t>
      </w:r>
      <w:r>
        <w:rPr>
          <w:rFonts w:ascii="Verdana" w:hAnsi="Verdana"/>
          <w:sz w:val="20"/>
          <w:szCs w:val="20"/>
          <w:lang w:val="es-MX"/>
        </w:rPr>
        <w:t xml:space="preserve"> </w:t>
      </w:r>
      <w:r w:rsidR="00A91B78" w:rsidRPr="00A91B78">
        <w:rPr>
          <w:rFonts w:ascii="Verdana" w:hAnsi="Verdana"/>
          <w:sz w:val="20"/>
          <w:szCs w:val="20"/>
          <w:lang w:val="es-MX"/>
        </w:rPr>
        <w:t xml:space="preserve">la delimitación, titulación y demarcación suponen una serie de dificultades que en principio no la harían viable; ii) los </w:t>
      </w:r>
      <w:r w:rsidR="00ED1811">
        <w:rPr>
          <w:rFonts w:ascii="Verdana" w:hAnsi="Verdana"/>
          <w:sz w:val="20"/>
          <w:szCs w:val="20"/>
          <w:lang w:val="es-MX"/>
        </w:rPr>
        <w:t>p</w:t>
      </w:r>
      <w:r w:rsidR="00A91B78" w:rsidRPr="00A91B78">
        <w:rPr>
          <w:rFonts w:ascii="Verdana" w:hAnsi="Verdana"/>
          <w:sz w:val="20"/>
          <w:szCs w:val="20"/>
          <w:lang w:val="es-MX"/>
        </w:rPr>
        <w:t>ueblos indígenas no tienen la capacidad de afrontar el manejo de las reservas (</w:t>
      </w:r>
      <w:r w:rsidR="00366D91" w:rsidRPr="00366D91">
        <w:rPr>
          <w:rFonts w:ascii="Verdana" w:hAnsi="Verdana"/>
          <w:i/>
          <w:sz w:val="20"/>
          <w:szCs w:val="20"/>
          <w:lang w:val="es-MX"/>
        </w:rPr>
        <w:t>supra</w:t>
      </w:r>
      <w:r w:rsidR="00A91B78" w:rsidRPr="00A91B78">
        <w:rPr>
          <w:rFonts w:ascii="Verdana" w:hAnsi="Verdana"/>
          <w:i/>
          <w:sz w:val="20"/>
          <w:szCs w:val="20"/>
          <w:lang w:val="es-MX"/>
        </w:rPr>
        <w:t xml:space="preserve"> </w:t>
      </w:r>
      <w:r w:rsidR="000453EB">
        <w:rPr>
          <w:rFonts w:ascii="Verdana" w:hAnsi="Verdana"/>
          <w:sz w:val="20"/>
          <w:szCs w:val="20"/>
          <w:lang w:val="es-MX"/>
        </w:rPr>
        <w:t>párr. 120</w:t>
      </w:r>
      <w:r w:rsidR="000453EB" w:rsidRPr="00A91B78">
        <w:rPr>
          <w:rFonts w:ascii="Verdana" w:hAnsi="Verdana"/>
          <w:sz w:val="20"/>
          <w:szCs w:val="20"/>
          <w:lang w:val="es-MX"/>
        </w:rPr>
        <w:t>)</w:t>
      </w:r>
      <w:r w:rsidR="00A91B78" w:rsidRPr="00A91B78">
        <w:rPr>
          <w:rFonts w:ascii="Verdana" w:hAnsi="Verdana"/>
          <w:sz w:val="20"/>
          <w:szCs w:val="20"/>
          <w:lang w:val="es-MX"/>
        </w:rPr>
        <w:t xml:space="preserve"> iii) </w:t>
      </w:r>
      <w:r w:rsidR="00B4017E">
        <w:rPr>
          <w:rFonts w:ascii="Verdana" w:hAnsi="Verdana"/>
          <w:sz w:val="20"/>
          <w:szCs w:val="20"/>
          <w:lang w:val="es-MX"/>
        </w:rPr>
        <w:t xml:space="preserve">se opuso </w:t>
      </w:r>
      <w:r w:rsidR="00A91B78" w:rsidRPr="00A91B78">
        <w:rPr>
          <w:rFonts w:ascii="Verdana" w:hAnsi="Verdana"/>
          <w:sz w:val="20"/>
          <w:szCs w:val="20"/>
          <w:lang w:val="es-MX"/>
        </w:rPr>
        <w:t xml:space="preserve">a la restitución de las reservas, dado que introduciría alteraciones en la población y sentaría precedente para otros grupos indígenas y tribales que viven en reservas; además el Estado tiene una obligación medioambiental tanto </w:t>
      </w:r>
      <w:r w:rsidR="00F80C79" w:rsidRPr="00190AD3">
        <w:rPr>
          <w:rFonts w:ascii="Verdana" w:hAnsi="Verdana"/>
          <w:sz w:val="20"/>
          <w:lang w:val="es-MX"/>
        </w:rPr>
        <w:t>en el ámbito</w:t>
      </w:r>
      <w:r w:rsidR="00A91B78" w:rsidRPr="00A91B78">
        <w:rPr>
          <w:rFonts w:ascii="Verdana" w:hAnsi="Verdana"/>
          <w:sz w:val="20"/>
          <w:szCs w:val="20"/>
          <w:lang w:val="es-MX"/>
        </w:rPr>
        <w:t xml:space="preserve"> nacional, con sus ciudadanos, </w:t>
      </w:r>
      <w:r w:rsidR="00ED1811">
        <w:rPr>
          <w:rFonts w:ascii="Verdana" w:hAnsi="Verdana"/>
          <w:sz w:val="20"/>
          <w:szCs w:val="20"/>
          <w:lang w:val="es-MX"/>
        </w:rPr>
        <w:t>como</w:t>
      </w:r>
      <w:r w:rsidR="00A91B78" w:rsidRPr="00A91B78">
        <w:rPr>
          <w:rFonts w:ascii="Verdana" w:hAnsi="Verdana"/>
          <w:sz w:val="20"/>
          <w:szCs w:val="20"/>
          <w:lang w:val="es-MX"/>
        </w:rPr>
        <w:t xml:space="preserve"> </w:t>
      </w:r>
      <w:r w:rsidR="00F80C79">
        <w:rPr>
          <w:rFonts w:ascii="Verdana" w:hAnsi="Verdana"/>
          <w:sz w:val="20"/>
          <w:szCs w:val="20"/>
          <w:lang w:val="es-MX"/>
        </w:rPr>
        <w:t>en el</w:t>
      </w:r>
      <w:r w:rsidR="00A91B78" w:rsidRPr="00A91B78">
        <w:rPr>
          <w:rFonts w:ascii="Verdana" w:hAnsi="Verdana"/>
          <w:sz w:val="20"/>
          <w:szCs w:val="20"/>
          <w:lang w:val="es-MX"/>
        </w:rPr>
        <w:t xml:space="preserve"> internacional a partir de pactos medioambientales internacionales, como el Convenio de Diversidad Biológica</w:t>
      </w:r>
      <w:r w:rsidR="008A4ABB" w:rsidRPr="007E20F9">
        <w:rPr>
          <w:rFonts w:ascii="Verdana" w:hAnsi="Verdana"/>
          <w:sz w:val="20"/>
          <w:lang w:val="es-MX"/>
        </w:rPr>
        <w:t>;</w:t>
      </w:r>
      <w:r w:rsidR="00A91B78" w:rsidRPr="00A91B78">
        <w:rPr>
          <w:rFonts w:ascii="Verdana" w:hAnsi="Verdana"/>
          <w:sz w:val="20"/>
          <w:szCs w:val="20"/>
          <w:lang w:val="es-MX"/>
        </w:rPr>
        <w:t xml:space="preserve"> iv) en cuanto a la posibilidad de expropiar a terceros, esto provocaría conflictos étnicos y raciales, supondría consecuencias impredecibles sobre la vida de las personas que se vieran obligadas a abandonar estos territorios y comportaría perjuicios económicos </w:t>
      </w:r>
      <w:r w:rsidR="00F80C79">
        <w:rPr>
          <w:rFonts w:ascii="Verdana" w:hAnsi="Verdana"/>
          <w:sz w:val="20"/>
          <w:szCs w:val="20"/>
          <w:lang w:val="es-MX"/>
        </w:rPr>
        <w:t>en el ámbito</w:t>
      </w:r>
      <w:r w:rsidR="00A91B78" w:rsidRPr="00A91B78">
        <w:rPr>
          <w:rFonts w:ascii="Verdana" w:hAnsi="Verdana"/>
          <w:sz w:val="20"/>
          <w:szCs w:val="20"/>
          <w:lang w:val="es-MX"/>
        </w:rPr>
        <w:t xml:space="preserve"> local y estatal</w:t>
      </w:r>
      <w:r w:rsidR="00A91B78" w:rsidRPr="00A91B78">
        <w:rPr>
          <w:rStyle w:val="FootnoteReference"/>
          <w:szCs w:val="20"/>
          <w:lang w:val="es-MX"/>
        </w:rPr>
        <w:footnoteReference w:id="320"/>
      </w:r>
      <w:r w:rsidR="00A91B78" w:rsidRPr="00A91B78">
        <w:rPr>
          <w:rFonts w:ascii="Verdana" w:hAnsi="Verdana"/>
          <w:sz w:val="20"/>
          <w:szCs w:val="20"/>
          <w:lang w:val="es-MX"/>
        </w:rPr>
        <w:t xml:space="preserve">, y v) el Estado no puede compartir el control de sus recursos, dado que el 85% de la economía de </w:t>
      </w:r>
      <w:r w:rsidR="00563E11">
        <w:rPr>
          <w:rFonts w:ascii="Verdana" w:hAnsi="Verdana"/>
          <w:sz w:val="20"/>
          <w:szCs w:val="20"/>
          <w:lang w:val="es-MX"/>
        </w:rPr>
        <w:t>Surinam</w:t>
      </w:r>
      <w:r w:rsidR="00A91B78" w:rsidRPr="00A91B78">
        <w:rPr>
          <w:rFonts w:ascii="Verdana" w:hAnsi="Verdana"/>
          <w:sz w:val="20"/>
          <w:szCs w:val="20"/>
          <w:lang w:val="es-MX"/>
        </w:rPr>
        <w:t xml:space="preserve"> depende de sus recursos naturales</w:t>
      </w:r>
      <w:r w:rsidR="00A91B78" w:rsidRPr="00A91B78">
        <w:rPr>
          <w:rStyle w:val="FootnoteReference"/>
          <w:szCs w:val="20"/>
          <w:lang w:val="es-MX"/>
        </w:rPr>
        <w:footnoteReference w:id="321"/>
      </w:r>
      <w:r w:rsidR="00A91B78" w:rsidRPr="00A91B78">
        <w:rPr>
          <w:rFonts w:ascii="Verdana" w:hAnsi="Verdana"/>
          <w:sz w:val="20"/>
          <w:szCs w:val="20"/>
          <w:lang w:val="es-MX"/>
        </w:rPr>
        <w:t xml:space="preserve"> y debe, por tanto, poseer el control total de </w:t>
      </w:r>
      <w:r w:rsidR="005C32D8">
        <w:rPr>
          <w:rFonts w:ascii="Verdana" w:hAnsi="Verdana"/>
          <w:sz w:val="20"/>
          <w:szCs w:val="20"/>
          <w:lang w:val="es-MX"/>
        </w:rPr>
        <w:t>estos</w:t>
      </w:r>
      <w:r w:rsidR="00A91B78" w:rsidRPr="00A91B78">
        <w:rPr>
          <w:rFonts w:ascii="Verdana" w:hAnsi="Verdana"/>
          <w:sz w:val="20"/>
          <w:szCs w:val="20"/>
          <w:lang w:val="es-MX"/>
        </w:rPr>
        <w:t xml:space="preserve"> para proveer a sus ciudadanos </w:t>
      </w:r>
      <w:r w:rsidR="00CE4D2A" w:rsidRPr="00B4017E">
        <w:rPr>
          <w:rFonts w:ascii="Verdana" w:hAnsi="Verdana"/>
          <w:sz w:val="20"/>
          <w:szCs w:val="20"/>
          <w:lang w:val="es-MX"/>
        </w:rPr>
        <w:t>y sostener a la economía que es el principal promotor del desarrollo de la nación</w:t>
      </w:r>
      <w:r w:rsidR="004918F8" w:rsidRPr="00B4017E">
        <w:rPr>
          <w:rFonts w:ascii="Verdana" w:hAnsi="Verdana"/>
          <w:sz w:val="20"/>
          <w:szCs w:val="20"/>
          <w:lang w:val="es-MX"/>
        </w:rPr>
        <w:t>.</w:t>
      </w:r>
      <w:r w:rsidR="00CE4D2A" w:rsidRPr="00B4017E">
        <w:rPr>
          <w:rFonts w:ascii="Verdana" w:hAnsi="Verdana"/>
          <w:sz w:val="20"/>
          <w:szCs w:val="20"/>
          <w:lang w:val="es-MX"/>
        </w:rPr>
        <w:t xml:space="preserve"> </w:t>
      </w:r>
      <w:r w:rsidR="00A91B78" w:rsidRPr="00B4017E">
        <w:rPr>
          <w:rFonts w:ascii="Verdana" w:hAnsi="Verdana"/>
          <w:sz w:val="20"/>
          <w:szCs w:val="20"/>
          <w:lang w:val="es-MX"/>
        </w:rPr>
        <w:t xml:space="preserve">. </w:t>
      </w:r>
    </w:p>
    <w:p w14:paraId="5CCEC1C8" w14:textId="77777777" w:rsidR="00A91B78" w:rsidRPr="00A91B78" w:rsidRDefault="00A91B78" w:rsidP="00A91B78">
      <w:pPr>
        <w:jc w:val="both"/>
        <w:rPr>
          <w:rFonts w:ascii="Verdana" w:hAnsi="Verdana"/>
          <w:sz w:val="20"/>
          <w:szCs w:val="20"/>
          <w:lang w:val="es-MX"/>
        </w:rPr>
      </w:pPr>
      <w:r w:rsidRPr="00A91B78">
        <w:rPr>
          <w:rFonts w:ascii="Verdana" w:hAnsi="Verdana"/>
          <w:sz w:val="20"/>
          <w:szCs w:val="20"/>
          <w:lang w:val="es-MX"/>
        </w:rPr>
        <w:t xml:space="preserve"> </w:t>
      </w:r>
    </w:p>
    <w:p w14:paraId="02ED089A" w14:textId="4607B786" w:rsidR="00DB613E" w:rsidRDefault="00A91B78" w:rsidP="00A91B78">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MX"/>
        </w:rPr>
        <w:t>En</w:t>
      </w:r>
      <w:r w:rsidRPr="00A91B78">
        <w:rPr>
          <w:rFonts w:ascii="Verdana" w:hAnsi="Verdana"/>
          <w:sz w:val="20"/>
          <w:szCs w:val="20"/>
          <w:lang w:val="es-CR"/>
        </w:rPr>
        <w:t xml:space="preserve"> los Capítulos </w:t>
      </w:r>
      <w:r w:rsidR="005C32D8">
        <w:rPr>
          <w:rFonts w:ascii="Verdana" w:hAnsi="Verdana"/>
          <w:sz w:val="20"/>
          <w:szCs w:val="20"/>
          <w:lang w:val="es-CR"/>
        </w:rPr>
        <w:t>VI-I</w:t>
      </w:r>
      <w:r w:rsidRPr="00A91B78">
        <w:rPr>
          <w:rFonts w:ascii="Verdana" w:hAnsi="Verdana"/>
          <w:sz w:val="20"/>
          <w:szCs w:val="20"/>
          <w:lang w:val="es-CR"/>
        </w:rPr>
        <w:t xml:space="preserve"> y </w:t>
      </w:r>
      <w:r w:rsidR="005C32D8">
        <w:rPr>
          <w:rFonts w:ascii="Verdana" w:hAnsi="Verdana"/>
          <w:sz w:val="20"/>
          <w:szCs w:val="20"/>
          <w:lang w:val="es-CR"/>
        </w:rPr>
        <w:t>VI-II</w:t>
      </w:r>
      <w:r w:rsidRPr="00A91B78">
        <w:rPr>
          <w:rFonts w:ascii="Verdana" w:hAnsi="Verdana"/>
          <w:sz w:val="20"/>
          <w:szCs w:val="20"/>
          <w:lang w:val="es-CR"/>
        </w:rPr>
        <w:t>, la Corte determinó que el Estado violó los artículo 3</w:t>
      </w:r>
      <w:r w:rsidR="00D83C12" w:rsidRPr="002706DE">
        <w:rPr>
          <w:rFonts w:ascii="Verdana" w:hAnsi="Verdana"/>
          <w:sz w:val="20"/>
          <w:szCs w:val="20"/>
          <w:lang w:val="es-CR"/>
        </w:rPr>
        <w:t xml:space="preserve">, </w:t>
      </w:r>
      <w:r w:rsidRPr="002706DE">
        <w:rPr>
          <w:rFonts w:ascii="Verdana" w:hAnsi="Verdana"/>
          <w:sz w:val="20"/>
          <w:szCs w:val="20"/>
          <w:lang w:val="es-MX"/>
        </w:rPr>
        <w:t>21</w:t>
      </w:r>
      <w:r w:rsidR="00D83C12" w:rsidRPr="002706DE">
        <w:rPr>
          <w:rFonts w:ascii="Verdana" w:hAnsi="Verdana"/>
          <w:sz w:val="20"/>
          <w:szCs w:val="20"/>
          <w:lang w:val="es-MX"/>
        </w:rPr>
        <w:t xml:space="preserve"> </w:t>
      </w:r>
      <w:r w:rsidR="00D83C12" w:rsidRPr="00190AD3">
        <w:rPr>
          <w:rFonts w:ascii="Verdana" w:hAnsi="Verdana"/>
          <w:sz w:val="20"/>
          <w:lang w:val="es-MX"/>
        </w:rPr>
        <w:t>y 23</w:t>
      </w:r>
      <w:r w:rsidRPr="00190AD3">
        <w:rPr>
          <w:rFonts w:ascii="Verdana" w:hAnsi="Verdana"/>
          <w:sz w:val="20"/>
          <w:lang w:val="es-MX"/>
        </w:rPr>
        <w:t xml:space="preserve"> </w:t>
      </w:r>
      <w:r w:rsidRPr="002706DE">
        <w:rPr>
          <w:rFonts w:ascii="Verdana" w:hAnsi="Verdana"/>
          <w:sz w:val="20"/>
          <w:szCs w:val="20"/>
          <w:lang w:val="es-CR"/>
        </w:rPr>
        <w:t xml:space="preserve">de la Convención Americana, </w:t>
      </w:r>
      <w:r w:rsidRPr="00077064">
        <w:rPr>
          <w:rFonts w:ascii="Verdana" w:hAnsi="Verdana"/>
          <w:sz w:val="20"/>
          <w:szCs w:val="20"/>
          <w:lang w:val="es-MX"/>
        </w:rPr>
        <w:t xml:space="preserve">en relación con los artículos </w:t>
      </w:r>
      <w:r w:rsidRPr="00002891">
        <w:rPr>
          <w:rFonts w:ascii="Verdana" w:hAnsi="Verdana"/>
          <w:sz w:val="20"/>
          <w:szCs w:val="20"/>
          <w:lang w:val="es-CR"/>
        </w:rPr>
        <w:t xml:space="preserve">1.1 y </w:t>
      </w:r>
      <w:r w:rsidRPr="00002891">
        <w:rPr>
          <w:rFonts w:ascii="Verdana" w:hAnsi="Verdana"/>
          <w:sz w:val="20"/>
          <w:szCs w:val="20"/>
          <w:lang w:val="es-MX"/>
        </w:rPr>
        <w:t xml:space="preserve">2 de la misma, en perjuicio de </w:t>
      </w:r>
      <w:r w:rsidRPr="002706DE">
        <w:rPr>
          <w:rFonts w:ascii="Verdana" w:hAnsi="Verdana"/>
          <w:sz w:val="20"/>
          <w:szCs w:val="20"/>
          <w:lang w:val="es-MX"/>
        </w:rPr>
        <w:t xml:space="preserve">los </w:t>
      </w:r>
      <w:r w:rsidR="00382F4D" w:rsidRPr="00002891">
        <w:rPr>
          <w:rFonts w:ascii="Verdana" w:hAnsi="Verdana"/>
          <w:sz w:val="20"/>
          <w:lang w:val="es-MX"/>
        </w:rPr>
        <w:t>Pueblos Kaliña y Lokono</w:t>
      </w:r>
      <w:r w:rsidRPr="00002891">
        <w:rPr>
          <w:rFonts w:ascii="Verdana" w:hAnsi="Verdana"/>
          <w:sz w:val="20"/>
          <w:lang w:val="es-MX"/>
        </w:rPr>
        <w:t xml:space="preserve">, por diversos motivos: a) la falta de reconocimiento de la personalidad jurídica </w:t>
      </w:r>
      <w:r w:rsidRPr="00FD3D20">
        <w:rPr>
          <w:rFonts w:ascii="Verdana" w:hAnsi="Verdana"/>
          <w:sz w:val="20"/>
          <w:lang w:val="es-MX"/>
        </w:rPr>
        <w:t xml:space="preserve">colectiva; </w:t>
      </w:r>
      <w:r w:rsidR="00DB613E" w:rsidRPr="002706DE">
        <w:rPr>
          <w:rFonts w:ascii="Verdana" w:hAnsi="Verdana"/>
          <w:sz w:val="20"/>
          <w:szCs w:val="20"/>
          <w:lang w:val="es-MX"/>
        </w:rPr>
        <w:t>b) la falta de reconocimiento y garantías de la propiedad colectiva indígena, a través de la falta de delimitación, demarcación,</w:t>
      </w:r>
      <w:r w:rsidR="00DB613E" w:rsidRPr="00801BD1">
        <w:rPr>
          <w:rFonts w:ascii="Verdana" w:hAnsi="Verdana"/>
          <w:b/>
          <w:sz w:val="20"/>
          <w:lang w:val="es-MX"/>
        </w:rPr>
        <w:t xml:space="preserve"> </w:t>
      </w:r>
      <w:r w:rsidR="00DB613E" w:rsidRPr="002706DE">
        <w:rPr>
          <w:rFonts w:ascii="Verdana" w:hAnsi="Verdana"/>
          <w:sz w:val="20"/>
          <w:szCs w:val="20"/>
          <w:lang w:val="es-MX"/>
        </w:rPr>
        <w:t xml:space="preserve">titulación </w:t>
      </w:r>
      <w:r w:rsidR="0067410A" w:rsidRPr="002706DE">
        <w:rPr>
          <w:rFonts w:ascii="Verdana" w:hAnsi="Verdana"/>
          <w:sz w:val="20"/>
          <w:szCs w:val="20"/>
          <w:lang w:val="es-MX"/>
        </w:rPr>
        <w:t>y garantía de uso y goce</w:t>
      </w:r>
      <w:r w:rsidR="00DB613E" w:rsidRPr="002706DE">
        <w:rPr>
          <w:rFonts w:ascii="Verdana" w:hAnsi="Verdana"/>
          <w:sz w:val="20"/>
          <w:szCs w:val="20"/>
          <w:lang w:val="es-MX"/>
        </w:rPr>
        <w:t>, así como las afectaciones derivadas de la entrega de títulos a terceros</w:t>
      </w:r>
      <w:r w:rsidR="00DB613E" w:rsidRPr="00190AD3">
        <w:rPr>
          <w:rFonts w:ascii="Verdana" w:hAnsi="Verdana"/>
          <w:sz w:val="20"/>
          <w:lang w:val="es-MX"/>
        </w:rPr>
        <w:t xml:space="preserve">, </w:t>
      </w:r>
      <w:r w:rsidR="00DB613E" w:rsidRPr="002706DE">
        <w:rPr>
          <w:rFonts w:ascii="Verdana" w:hAnsi="Verdana"/>
          <w:sz w:val="20"/>
          <w:szCs w:val="20"/>
          <w:lang w:val="es-MX"/>
        </w:rPr>
        <w:t>y con motivo de diversas</w:t>
      </w:r>
      <w:r w:rsidR="00DB613E" w:rsidRPr="00190AD3">
        <w:rPr>
          <w:rFonts w:ascii="Verdana" w:hAnsi="Verdana"/>
          <w:sz w:val="20"/>
          <w:lang w:val="es-MX"/>
        </w:rPr>
        <w:t xml:space="preserve"> </w:t>
      </w:r>
      <w:r w:rsidR="0067410A" w:rsidRPr="002706DE">
        <w:rPr>
          <w:rFonts w:ascii="Verdana" w:hAnsi="Verdana"/>
          <w:sz w:val="20"/>
          <w:szCs w:val="20"/>
          <w:lang w:val="es-MX"/>
        </w:rPr>
        <w:t>afectaciones</w:t>
      </w:r>
      <w:r w:rsidR="00DB613E" w:rsidRPr="002706DE">
        <w:rPr>
          <w:rFonts w:ascii="Verdana" w:hAnsi="Verdana"/>
          <w:sz w:val="20"/>
          <w:szCs w:val="20"/>
          <w:lang w:val="es-MX"/>
        </w:rPr>
        <w:t xml:space="preserve"> en las reservas, y c) la falta de </w:t>
      </w:r>
      <w:r w:rsidR="009D4E53" w:rsidRPr="00190AD3">
        <w:rPr>
          <w:rFonts w:ascii="Verdana" w:hAnsi="Verdana"/>
          <w:sz w:val="20"/>
          <w:lang w:val="es-MX"/>
        </w:rPr>
        <w:t>participación efectiva</w:t>
      </w:r>
      <w:r w:rsidR="009D4E53" w:rsidRPr="002706DE">
        <w:rPr>
          <w:rFonts w:ascii="Verdana" w:hAnsi="Verdana"/>
          <w:sz w:val="20"/>
          <w:szCs w:val="20"/>
          <w:lang w:val="es-MX"/>
        </w:rPr>
        <w:t xml:space="preserve"> </w:t>
      </w:r>
      <w:r w:rsidR="00DB613E" w:rsidRPr="002706DE">
        <w:rPr>
          <w:rFonts w:ascii="Verdana" w:hAnsi="Verdana"/>
          <w:sz w:val="20"/>
          <w:szCs w:val="20"/>
          <w:lang w:val="es-MX"/>
        </w:rPr>
        <w:t>frente</w:t>
      </w:r>
      <w:r w:rsidR="00DB613E" w:rsidRPr="0029611B">
        <w:rPr>
          <w:rFonts w:ascii="Verdana" w:hAnsi="Verdana"/>
          <w:sz w:val="20"/>
          <w:szCs w:val="20"/>
          <w:lang w:val="es-MX"/>
        </w:rPr>
        <w:t xml:space="preserve"> a proyectos de explotación en el área de la </w:t>
      </w:r>
      <w:r w:rsidR="00DB613E" w:rsidRPr="002706DE">
        <w:rPr>
          <w:rFonts w:ascii="Verdana" w:hAnsi="Verdana"/>
          <w:sz w:val="20"/>
          <w:szCs w:val="20"/>
          <w:lang w:val="es-MX"/>
        </w:rPr>
        <w:t>reserva</w:t>
      </w:r>
      <w:r w:rsidR="00DB613E" w:rsidRPr="00190AD3">
        <w:rPr>
          <w:rFonts w:ascii="Verdana" w:hAnsi="Verdana"/>
          <w:sz w:val="20"/>
          <w:lang w:val="es-MX"/>
        </w:rPr>
        <w:t xml:space="preserve"> </w:t>
      </w:r>
      <w:r w:rsidR="00DB613E" w:rsidRPr="002706DE">
        <w:rPr>
          <w:rFonts w:ascii="Verdana" w:hAnsi="Verdana"/>
          <w:sz w:val="20"/>
          <w:szCs w:val="20"/>
          <w:lang w:val="es-CR"/>
        </w:rPr>
        <w:t>(</w:t>
      </w:r>
      <w:r w:rsidR="00DB613E" w:rsidRPr="008C0FDC">
        <w:rPr>
          <w:rFonts w:ascii="Verdana" w:hAnsi="Verdana"/>
          <w:i/>
          <w:sz w:val="20"/>
          <w:szCs w:val="20"/>
          <w:lang w:val="es-CR"/>
        </w:rPr>
        <w:t xml:space="preserve">supra </w:t>
      </w:r>
      <w:r w:rsidR="000453EB" w:rsidRPr="00CF360B">
        <w:rPr>
          <w:rFonts w:ascii="Verdana" w:hAnsi="Verdana"/>
          <w:sz w:val="20"/>
          <w:szCs w:val="20"/>
          <w:lang w:val="es-CR"/>
        </w:rPr>
        <w:t>párrs</w:t>
      </w:r>
      <w:r w:rsidR="000453EB">
        <w:rPr>
          <w:rFonts w:ascii="Verdana" w:hAnsi="Verdana"/>
          <w:i/>
          <w:sz w:val="20"/>
          <w:szCs w:val="20"/>
          <w:lang w:val="es-CR"/>
        </w:rPr>
        <w:t xml:space="preserve">. </w:t>
      </w:r>
      <w:r w:rsidR="00B4017E" w:rsidRPr="004B0145">
        <w:rPr>
          <w:rFonts w:ascii="Verdana" w:hAnsi="Verdana"/>
          <w:sz w:val="20"/>
          <w:szCs w:val="20"/>
          <w:lang w:val="es-CR"/>
        </w:rPr>
        <w:t xml:space="preserve">114, </w:t>
      </w:r>
      <w:r w:rsidR="000453EB">
        <w:rPr>
          <w:rFonts w:ascii="Verdana" w:hAnsi="Verdana"/>
          <w:sz w:val="20"/>
          <w:szCs w:val="20"/>
          <w:lang w:val="es-CR"/>
        </w:rPr>
        <w:t>142, 160, 198 y 230</w:t>
      </w:r>
      <w:r w:rsidR="00DB613E" w:rsidRPr="008C0FDC">
        <w:rPr>
          <w:rFonts w:ascii="Verdana" w:hAnsi="Verdana"/>
          <w:i/>
          <w:sz w:val="20"/>
          <w:szCs w:val="20"/>
          <w:lang w:val="es-CR"/>
        </w:rPr>
        <w:t>)</w:t>
      </w:r>
      <w:r w:rsidR="00DB613E" w:rsidRPr="008C0FDC">
        <w:rPr>
          <w:rFonts w:ascii="Verdana" w:hAnsi="Verdana"/>
          <w:sz w:val="20"/>
          <w:szCs w:val="20"/>
          <w:lang w:val="es-CR"/>
        </w:rPr>
        <w:t>.</w:t>
      </w:r>
    </w:p>
    <w:p w14:paraId="5A6FA17C" w14:textId="77777777" w:rsidR="00A91B78" w:rsidRPr="00A91B78" w:rsidRDefault="00A91B78" w:rsidP="002C323A">
      <w:pPr>
        <w:contextualSpacing/>
        <w:jc w:val="both"/>
        <w:rPr>
          <w:rFonts w:ascii="Verdana" w:hAnsi="Verdana"/>
          <w:sz w:val="20"/>
          <w:szCs w:val="20"/>
          <w:lang w:val="es-CR"/>
        </w:rPr>
      </w:pPr>
    </w:p>
    <w:p w14:paraId="0792EBF8" w14:textId="77777777" w:rsidR="00A91B78" w:rsidRPr="00A91B78" w:rsidRDefault="00A91B78" w:rsidP="00A91B78">
      <w:pPr>
        <w:numPr>
          <w:ilvl w:val="0"/>
          <w:numId w:val="2"/>
        </w:numPr>
        <w:ind w:left="0" w:hanging="11"/>
        <w:contextualSpacing/>
        <w:jc w:val="both"/>
        <w:rPr>
          <w:rFonts w:ascii="Verdana" w:hAnsi="Verdana" w:cs="Arial"/>
          <w:sz w:val="20"/>
          <w:szCs w:val="20"/>
          <w:lang w:val="es-ES"/>
        </w:rPr>
      </w:pPr>
      <w:r w:rsidRPr="00A91B78">
        <w:rPr>
          <w:rFonts w:ascii="Verdana" w:hAnsi="Verdana"/>
          <w:sz w:val="20"/>
          <w:szCs w:val="20"/>
          <w:lang w:val="es-MX"/>
        </w:rPr>
        <w:lastRenderedPageBreak/>
        <w:t>La</w:t>
      </w:r>
      <w:r w:rsidRPr="00A91B78">
        <w:rPr>
          <w:rFonts w:ascii="Verdana" w:hAnsi="Verdana"/>
          <w:sz w:val="20"/>
          <w:szCs w:val="20"/>
          <w:lang w:val="es-CR"/>
        </w:rPr>
        <w:t xml:space="preserve"> Corte establece que a fin de lograr una reparación integral de las</w:t>
      </w:r>
      <w:r w:rsidRPr="00A91B78">
        <w:rPr>
          <w:rFonts w:ascii="Verdana" w:hAnsi="Verdana"/>
          <w:sz w:val="20"/>
          <w:szCs w:val="20"/>
          <w:lang w:val="es-MX"/>
        </w:rPr>
        <w:t xml:space="preserve"> violación</w:t>
      </w:r>
      <w:r w:rsidRPr="00A91B78">
        <w:rPr>
          <w:rFonts w:ascii="Verdana" w:hAnsi="Verdana"/>
          <w:sz w:val="20"/>
          <w:szCs w:val="20"/>
          <w:lang w:val="es-CR"/>
        </w:rPr>
        <w:t xml:space="preserve">es acreditadas, a través de la restitución de los derechos conculcados, corresponde al Estado </w:t>
      </w:r>
      <w:r w:rsidR="003C0536">
        <w:rPr>
          <w:rFonts w:ascii="Verdana" w:hAnsi="Verdana"/>
          <w:sz w:val="20"/>
          <w:szCs w:val="20"/>
          <w:lang w:val="es-CR"/>
        </w:rPr>
        <w:t>adoptar las siguientes medidas</w:t>
      </w:r>
      <w:r w:rsidRPr="00A91B78">
        <w:rPr>
          <w:rFonts w:ascii="Verdana" w:hAnsi="Verdana"/>
          <w:sz w:val="20"/>
          <w:szCs w:val="20"/>
          <w:lang w:val="es-CR"/>
        </w:rPr>
        <w:t>:</w:t>
      </w:r>
      <w:r w:rsidRPr="00A91B78">
        <w:rPr>
          <w:rFonts w:ascii="Verdana" w:hAnsi="Verdana" w:cs="Arial"/>
          <w:sz w:val="20"/>
          <w:szCs w:val="20"/>
          <w:lang w:val="es-ES"/>
        </w:rPr>
        <w:t xml:space="preserve"> </w:t>
      </w:r>
    </w:p>
    <w:p w14:paraId="2A732C03" w14:textId="77777777" w:rsidR="00A91B78" w:rsidRPr="00A91B78" w:rsidRDefault="00A91B78" w:rsidP="00A91B78">
      <w:pPr>
        <w:contextualSpacing/>
        <w:jc w:val="both"/>
        <w:rPr>
          <w:rFonts w:ascii="Verdana" w:hAnsi="Verdana" w:cs="Arial"/>
          <w:i/>
          <w:sz w:val="20"/>
          <w:szCs w:val="20"/>
          <w:lang w:val="es-ES"/>
        </w:rPr>
      </w:pPr>
    </w:p>
    <w:p w14:paraId="1F6C3B4B" w14:textId="079E618A" w:rsidR="00A91B78" w:rsidRPr="0067410A" w:rsidRDefault="00A91B78" w:rsidP="00A144BB">
      <w:pPr>
        <w:pStyle w:val="ListParagraph"/>
        <w:numPr>
          <w:ilvl w:val="0"/>
          <w:numId w:val="45"/>
        </w:numPr>
        <w:jc w:val="both"/>
        <w:rPr>
          <w:rFonts w:ascii="Verdana" w:hAnsi="Verdana"/>
          <w:i/>
          <w:sz w:val="20"/>
        </w:rPr>
      </w:pPr>
      <w:r w:rsidRPr="0067410A">
        <w:rPr>
          <w:rFonts w:ascii="Verdana" w:hAnsi="Verdana"/>
          <w:i/>
          <w:sz w:val="20"/>
          <w:lang w:val="es-ES"/>
        </w:rPr>
        <w:t>Respecto de</w:t>
      </w:r>
      <w:r w:rsidR="004E6C2D" w:rsidRPr="0067410A">
        <w:rPr>
          <w:rFonts w:ascii="Verdana" w:hAnsi="Verdana"/>
          <w:i/>
          <w:sz w:val="20"/>
          <w:lang w:val="es-ES"/>
        </w:rPr>
        <w:t xml:space="preserve"> la persona</w:t>
      </w:r>
      <w:r w:rsidR="00A144BB" w:rsidRPr="0067410A">
        <w:rPr>
          <w:rFonts w:ascii="Verdana" w:hAnsi="Verdana"/>
          <w:i/>
          <w:sz w:val="20"/>
          <w:lang w:val="es-ES"/>
        </w:rPr>
        <w:t xml:space="preserve">lidad jurídica y </w:t>
      </w:r>
      <w:r w:rsidR="00B4017E">
        <w:rPr>
          <w:rFonts w:ascii="Verdana" w:hAnsi="Verdana"/>
          <w:i/>
          <w:sz w:val="20"/>
          <w:lang w:val="es-ES"/>
        </w:rPr>
        <w:t xml:space="preserve">la </w:t>
      </w:r>
      <w:r w:rsidR="00A144BB" w:rsidRPr="0067410A">
        <w:rPr>
          <w:rFonts w:ascii="Verdana" w:hAnsi="Verdana"/>
          <w:i/>
          <w:sz w:val="20"/>
          <w:lang w:val="es-ES"/>
        </w:rPr>
        <w:t xml:space="preserve">propiedad colectiva </w:t>
      </w:r>
    </w:p>
    <w:p w14:paraId="162B7BAC" w14:textId="77777777" w:rsidR="00A91B78" w:rsidRPr="00A91B78" w:rsidRDefault="00A91B78" w:rsidP="00A91B78">
      <w:pPr>
        <w:pStyle w:val="ListParagraph"/>
        <w:ind w:left="942"/>
        <w:jc w:val="both"/>
        <w:rPr>
          <w:rFonts w:ascii="Verdana" w:hAnsi="Verdana"/>
          <w:i/>
          <w:sz w:val="20"/>
          <w:szCs w:val="20"/>
        </w:rPr>
      </w:pPr>
    </w:p>
    <w:p w14:paraId="1D343DA5" w14:textId="77777777" w:rsidR="000C251D" w:rsidRPr="00864F9B" w:rsidRDefault="000C251D" w:rsidP="000C251D">
      <w:pPr>
        <w:pStyle w:val="ListParagraph"/>
        <w:numPr>
          <w:ilvl w:val="0"/>
          <w:numId w:val="44"/>
        </w:numPr>
        <w:jc w:val="both"/>
        <w:rPr>
          <w:rFonts w:ascii="Verdana" w:hAnsi="Verdana"/>
          <w:sz w:val="20"/>
          <w:szCs w:val="20"/>
          <w:lang w:val="es-MX"/>
        </w:rPr>
      </w:pPr>
      <w:r w:rsidRPr="00864F9B">
        <w:rPr>
          <w:rFonts w:ascii="Verdana" w:hAnsi="Verdana"/>
          <w:sz w:val="20"/>
          <w:szCs w:val="20"/>
          <w:lang w:val="es-MX"/>
        </w:rPr>
        <w:t xml:space="preserve">otorgar a los </w:t>
      </w:r>
      <w:r w:rsidR="00382F4D" w:rsidRPr="00864F9B">
        <w:rPr>
          <w:rFonts w:ascii="Verdana" w:hAnsi="Verdana"/>
          <w:sz w:val="20"/>
          <w:szCs w:val="20"/>
          <w:lang w:val="es-MX"/>
        </w:rPr>
        <w:t>Pueblos Kaliña y Lokono</w:t>
      </w:r>
      <w:r w:rsidRPr="00864F9B">
        <w:rPr>
          <w:rFonts w:ascii="Verdana" w:hAnsi="Verdana"/>
          <w:sz w:val="20"/>
          <w:szCs w:val="20"/>
          <w:lang w:val="es-MX"/>
        </w:rPr>
        <w:t xml:space="preserve"> el reconocimiento legal de la </w:t>
      </w:r>
      <w:r w:rsidR="006465E1" w:rsidRPr="00864F9B">
        <w:rPr>
          <w:rFonts w:ascii="Verdana" w:hAnsi="Verdana"/>
          <w:sz w:val="20"/>
          <w:szCs w:val="20"/>
          <w:lang w:val="es-MX"/>
        </w:rPr>
        <w:t xml:space="preserve">personalidad jurídica </w:t>
      </w:r>
      <w:r w:rsidRPr="00864F9B">
        <w:rPr>
          <w:rFonts w:ascii="Verdana" w:hAnsi="Verdana"/>
          <w:sz w:val="20"/>
          <w:szCs w:val="20"/>
          <w:lang w:val="es-MX"/>
        </w:rPr>
        <w:t xml:space="preserve">colectiva correspondiente con la comunidad que ellos integren, con el propósito de garantizarles el ejercicio y </w:t>
      </w:r>
      <w:r w:rsidR="005C32D8">
        <w:rPr>
          <w:rFonts w:ascii="Verdana" w:hAnsi="Verdana"/>
          <w:sz w:val="20"/>
          <w:szCs w:val="20"/>
          <w:lang w:val="es-MX"/>
        </w:rPr>
        <w:t xml:space="preserve">pleno </w:t>
      </w:r>
      <w:r w:rsidRPr="00864F9B">
        <w:rPr>
          <w:rFonts w:ascii="Verdana" w:hAnsi="Verdana"/>
          <w:sz w:val="20"/>
          <w:szCs w:val="20"/>
          <w:lang w:val="es-MX"/>
        </w:rPr>
        <w:t>goce de su derecho a la propiedad de carácter c</w:t>
      </w:r>
      <w:r w:rsidR="006465E1" w:rsidRPr="00864F9B">
        <w:rPr>
          <w:rFonts w:ascii="Verdana" w:hAnsi="Verdana"/>
          <w:sz w:val="20"/>
          <w:szCs w:val="20"/>
          <w:lang w:val="es-MX"/>
        </w:rPr>
        <w:t>olectiva</w:t>
      </w:r>
      <w:r w:rsidRPr="00864F9B">
        <w:rPr>
          <w:rFonts w:ascii="Verdana" w:hAnsi="Verdana"/>
          <w:sz w:val="20"/>
          <w:szCs w:val="20"/>
          <w:lang w:val="es-MX"/>
        </w:rPr>
        <w:t>, así como el acceso a la justicia como comunidad, de conformidad con su</w:t>
      </w:r>
      <w:r w:rsidR="006465E1" w:rsidRPr="00864F9B">
        <w:rPr>
          <w:rFonts w:ascii="Verdana" w:hAnsi="Verdana"/>
          <w:sz w:val="20"/>
          <w:szCs w:val="20"/>
          <w:lang w:val="es-MX"/>
        </w:rPr>
        <w:t xml:space="preserve">s costumbres </w:t>
      </w:r>
      <w:r w:rsidRPr="00864F9B">
        <w:rPr>
          <w:rFonts w:ascii="Verdana" w:hAnsi="Verdana"/>
          <w:sz w:val="20"/>
          <w:szCs w:val="20"/>
          <w:lang w:val="es-MX"/>
        </w:rPr>
        <w:t xml:space="preserve">y tradiciones, de acuerdo a lo establecido en los párrafos </w:t>
      </w:r>
      <w:r w:rsidR="005C32D8">
        <w:rPr>
          <w:rFonts w:ascii="Verdana" w:hAnsi="Verdana"/>
          <w:sz w:val="20"/>
          <w:szCs w:val="20"/>
          <w:lang w:val="es-MX"/>
        </w:rPr>
        <w:t>1</w:t>
      </w:r>
      <w:r w:rsidR="00D02060">
        <w:rPr>
          <w:rFonts w:ascii="Verdana" w:hAnsi="Verdana"/>
          <w:sz w:val="20"/>
          <w:szCs w:val="20"/>
          <w:lang w:val="es-MX"/>
        </w:rPr>
        <w:t>0</w:t>
      </w:r>
      <w:r w:rsidR="004E48FF">
        <w:rPr>
          <w:rFonts w:ascii="Verdana" w:hAnsi="Verdana"/>
          <w:sz w:val="20"/>
          <w:szCs w:val="20"/>
          <w:lang w:val="es-MX"/>
        </w:rPr>
        <w:t>5</w:t>
      </w:r>
      <w:r w:rsidR="005C32D8">
        <w:rPr>
          <w:rFonts w:ascii="Verdana" w:hAnsi="Verdana"/>
          <w:sz w:val="20"/>
          <w:szCs w:val="20"/>
          <w:lang w:val="es-MX"/>
        </w:rPr>
        <w:t xml:space="preserve"> </w:t>
      </w:r>
      <w:r w:rsidR="00D02060">
        <w:rPr>
          <w:rFonts w:ascii="Verdana" w:hAnsi="Verdana"/>
          <w:sz w:val="20"/>
          <w:szCs w:val="20"/>
          <w:lang w:val="es-MX"/>
        </w:rPr>
        <w:t>a</w:t>
      </w:r>
      <w:r w:rsidR="005C32D8">
        <w:rPr>
          <w:rFonts w:ascii="Verdana" w:hAnsi="Verdana"/>
          <w:sz w:val="20"/>
          <w:szCs w:val="20"/>
          <w:lang w:val="es-MX"/>
        </w:rPr>
        <w:t xml:space="preserve"> </w:t>
      </w:r>
      <w:r w:rsidR="00D02060">
        <w:rPr>
          <w:rFonts w:ascii="Verdana" w:hAnsi="Verdana"/>
          <w:sz w:val="20"/>
          <w:szCs w:val="20"/>
          <w:lang w:val="es-MX"/>
        </w:rPr>
        <w:t>114</w:t>
      </w:r>
      <w:r w:rsidRPr="00864F9B">
        <w:rPr>
          <w:rFonts w:ascii="Verdana" w:hAnsi="Verdana"/>
          <w:sz w:val="20"/>
          <w:szCs w:val="20"/>
          <w:lang w:val="es-MX"/>
        </w:rPr>
        <w:t>. El Estado deberá cumplir con esta medida de reparación dentro de un</w:t>
      </w:r>
      <w:r w:rsidRPr="002706DE">
        <w:rPr>
          <w:rFonts w:ascii="Verdana" w:hAnsi="Verdana"/>
          <w:sz w:val="20"/>
          <w:szCs w:val="20"/>
          <w:lang w:val="es-MX"/>
        </w:rPr>
        <w:t xml:space="preserve"> plazo no mayor a </w:t>
      </w:r>
      <w:r w:rsidRPr="00190AD3">
        <w:rPr>
          <w:rFonts w:ascii="Verdana" w:hAnsi="Verdana"/>
          <w:sz w:val="20"/>
          <w:lang w:val="es-MX"/>
        </w:rPr>
        <w:t>18 meses</w:t>
      </w:r>
      <w:r w:rsidRPr="002706DE">
        <w:rPr>
          <w:rFonts w:ascii="Verdana" w:hAnsi="Verdana"/>
          <w:sz w:val="20"/>
          <w:szCs w:val="20"/>
          <w:lang w:val="es-MX"/>
        </w:rPr>
        <w:t>, a partir de la notifi</w:t>
      </w:r>
      <w:r w:rsidR="008B5275">
        <w:rPr>
          <w:rFonts w:ascii="Verdana" w:hAnsi="Verdana"/>
          <w:sz w:val="20"/>
          <w:szCs w:val="20"/>
          <w:lang w:val="es-MX"/>
        </w:rPr>
        <w:t>cación de la presente Sentencia, y</w:t>
      </w:r>
    </w:p>
    <w:p w14:paraId="782D9358" w14:textId="77777777" w:rsidR="000C251D" w:rsidRPr="008B5275" w:rsidRDefault="000C251D" w:rsidP="000C251D">
      <w:pPr>
        <w:contextualSpacing/>
        <w:jc w:val="both"/>
        <w:rPr>
          <w:rFonts w:ascii="Verdana" w:hAnsi="Verdana"/>
          <w:sz w:val="20"/>
          <w:szCs w:val="20"/>
          <w:lang w:val="es-MX"/>
        </w:rPr>
      </w:pPr>
    </w:p>
    <w:p w14:paraId="077A7DD9" w14:textId="591B6501" w:rsidR="000C251D" w:rsidRPr="008C0FDC" w:rsidRDefault="000C251D" w:rsidP="000C251D">
      <w:pPr>
        <w:pStyle w:val="ListParagraph"/>
        <w:numPr>
          <w:ilvl w:val="0"/>
          <w:numId w:val="44"/>
        </w:numPr>
        <w:jc w:val="both"/>
        <w:rPr>
          <w:rFonts w:ascii="Verdana" w:hAnsi="Verdana"/>
          <w:sz w:val="20"/>
          <w:szCs w:val="20"/>
          <w:lang w:val="es-CR"/>
        </w:rPr>
      </w:pPr>
      <w:r w:rsidRPr="008C0FDC">
        <w:rPr>
          <w:rFonts w:ascii="Verdana" w:hAnsi="Verdana"/>
          <w:sz w:val="20"/>
          <w:szCs w:val="20"/>
          <w:lang w:val="es-CR"/>
        </w:rPr>
        <w:t>delimitar, demarcar</w:t>
      </w:r>
      <w:r w:rsidRPr="002C323A">
        <w:rPr>
          <w:rFonts w:ascii="Verdana" w:hAnsi="Verdana"/>
          <w:sz w:val="20"/>
          <w:szCs w:val="20"/>
          <w:lang w:val="es-CR"/>
        </w:rPr>
        <w:t>,</w:t>
      </w:r>
      <w:r w:rsidRPr="008C0FDC">
        <w:rPr>
          <w:rFonts w:ascii="Verdana" w:hAnsi="Verdana"/>
          <w:sz w:val="20"/>
          <w:szCs w:val="20"/>
          <w:lang w:val="es-CR"/>
        </w:rPr>
        <w:t xml:space="preserve"> </w:t>
      </w:r>
      <w:r w:rsidR="001049A0">
        <w:rPr>
          <w:rFonts w:ascii="Verdana" w:hAnsi="Verdana"/>
          <w:sz w:val="20"/>
          <w:szCs w:val="20"/>
          <w:lang w:val="es-CR"/>
        </w:rPr>
        <w:t xml:space="preserve">y </w:t>
      </w:r>
      <w:r w:rsidRPr="008C0FDC">
        <w:rPr>
          <w:rFonts w:ascii="Verdana" w:hAnsi="Verdana"/>
          <w:sz w:val="20"/>
          <w:szCs w:val="20"/>
          <w:lang w:val="es-CR"/>
        </w:rPr>
        <w:t xml:space="preserve">otorgar título colectivo del territorio de los miembros de los </w:t>
      </w:r>
      <w:r w:rsidR="00382F4D" w:rsidRPr="008C0FDC">
        <w:rPr>
          <w:rFonts w:ascii="Verdana" w:hAnsi="Verdana"/>
          <w:sz w:val="20"/>
          <w:szCs w:val="20"/>
          <w:lang w:val="es-CR"/>
        </w:rPr>
        <w:t>Pueblos Kaliña y Lokono</w:t>
      </w:r>
      <w:r w:rsidR="0067410A">
        <w:rPr>
          <w:rFonts w:ascii="Verdana" w:hAnsi="Verdana"/>
          <w:sz w:val="20"/>
          <w:szCs w:val="20"/>
          <w:lang w:val="es-CR"/>
        </w:rPr>
        <w:t xml:space="preserve">, </w:t>
      </w:r>
      <w:r w:rsidR="0067410A" w:rsidRPr="002C323A">
        <w:rPr>
          <w:rFonts w:ascii="Verdana" w:hAnsi="Verdana"/>
          <w:sz w:val="20"/>
          <w:szCs w:val="20"/>
          <w:lang w:val="es-CR"/>
        </w:rPr>
        <w:t>garantizando su uso y goce efectivo,</w:t>
      </w:r>
      <w:r w:rsidRPr="008C0FDC">
        <w:rPr>
          <w:rFonts w:ascii="Verdana" w:hAnsi="Verdana"/>
          <w:sz w:val="20"/>
          <w:szCs w:val="20"/>
          <w:lang w:val="es-CR"/>
        </w:rPr>
        <w:t xml:space="preserve"> de conformidad con lo establecido en </w:t>
      </w:r>
      <w:r w:rsidR="005C32D8">
        <w:rPr>
          <w:rFonts w:ascii="Verdana" w:hAnsi="Verdana"/>
          <w:sz w:val="20"/>
          <w:szCs w:val="20"/>
          <w:lang w:val="es-CR"/>
        </w:rPr>
        <w:t>los</w:t>
      </w:r>
      <w:r w:rsidRPr="008C0FDC">
        <w:rPr>
          <w:rFonts w:ascii="Verdana" w:hAnsi="Verdana"/>
          <w:sz w:val="20"/>
          <w:szCs w:val="20"/>
          <w:lang w:val="es-CR"/>
        </w:rPr>
        <w:t xml:space="preserve"> párrafo</w:t>
      </w:r>
      <w:r w:rsidR="005C32D8">
        <w:rPr>
          <w:rFonts w:ascii="Verdana" w:hAnsi="Verdana"/>
          <w:sz w:val="20"/>
          <w:szCs w:val="20"/>
          <w:lang w:val="es-CR"/>
        </w:rPr>
        <w:t>s</w:t>
      </w:r>
      <w:r w:rsidRPr="008C0FDC">
        <w:rPr>
          <w:rFonts w:ascii="Verdana" w:hAnsi="Verdana"/>
          <w:sz w:val="20"/>
          <w:szCs w:val="20"/>
          <w:lang w:val="es-CR"/>
        </w:rPr>
        <w:t xml:space="preserve"> </w:t>
      </w:r>
      <w:r w:rsidR="001049A0">
        <w:rPr>
          <w:rFonts w:ascii="Verdana" w:hAnsi="Verdana"/>
          <w:sz w:val="20"/>
          <w:szCs w:val="20"/>
          <w:lang w:val="es-CR"/>
        </w:rPr>
        <w:t>1</w:t>
      </w:r>
      <w:r w:rsidR="00D02060">
        <w:rPr>
          <w:rFonts w:ascii="Verdana" w:hAnsi="Verdana"/>
          <w:sz w:val="20"/>
          <w:szCs w:val="20"/>
          <w:lang w:val="es-CR"/>
        </w:rPr>
        <w:t>29</w:t>
      </w:r>
      <w:r w:rsidR="001049A0">
        <w:rPr>
          <w:rFonts w:ascii="Verdana" w:hAnsi="Verdana"/>
          <w:sz w:val="20"/>
          <w:szCs w:val="20"/>
          <w:lang w:val="es-CR"/>
        </w:rPr>
        <w:t xml:space="preserve"> </w:t>
      </w:r>
      <w:r w:rsidR="00D02060">
        <w:rPr>
          <w:rFonts w:ascii="Verdana" w:hAnsi="Verdana"/>
          <w:sz w:val="20"/>
          <w:szCs w:val="20"/>
          <w:lang w:val="es-CR"/>
        </w:rPr>
        <w:t>a</w:t>
      </w:r>
      <w:r w:rsidR="001049A0">
        <w:rPr>
          <w:rFonts w:ascii="Verdana" w:hAnsi="Verdana"/>
          <w:sz w:val="20"/>
          <w:szCs w:val="20"/>
          <w:lang w:val="es-CR"/>
        </w:rPr>
        <w:t xml:space="preserve"> 1</w:t>
      </w:r>
      <w:r w:rsidR="00D02060">
        <w:rPr>
          <w:rFonts w:ascii="Verdana" w:hAnsi="Verdana"/>
          <w:sz w:val="20"/>
          <w:szCs w:val="20"/>
          <w:lang w:val="es-CR"/>
        </w:rPr>
        <w:t>42</w:t>
      </w:r>
      <w:r w:rsidRPr="008C0FDC">
        <w:rPr>
          <w:rFonts w:ascii="Verdana" w:hAnsi="Verdana"/>
          <w:sz w:val="20"/>
          <w:szCs w:val="20"/>
          <w:lang w:val="es-CR"/>
        </w:rPr>
        <w:t xml:space="preserve"> de la Sentencia, </w:t>
      </w:r>
      <w:r w:rsidRPr="0067410A">
        <w:rPr>
          <w:rFonts w:ascii="Verdana" w:hAnsi="Verdana"/>
          <w:sz w:val="20"/>
          <w:lang w:val="es-CR"/>
        </w:rPr>
        <w:t xml:space="preserve">y a través de </w:t>
      </w:r>
      <w:r w:rsidR="0067410A">
        <w:rPr>
          <w:rFonts w:ascii="Verdana" w:hAnsi="Verdana"/>
          <w:sz w:val="20"/>
          <w:lang w:val="es-CR"/>
        </w:rPr>
        <w:t xml:space="preserve">procesos participativos </w:t>
      </w:r>
      <w:r w:rsidRPr="0067410A">
        <w:rPr>
          <w:rFonts w:ascii="Verdana" w:hAnsi="Verdana"/>
          <w:sz w:val="20"/>
          <w:lang w:val="es-CR"/>
        </w:rPr>
        <w:t xml:space="preserve">con los </w:t>
      </w:r>
      <w:r w:rsidR="005C32D8">
        <w:rPr>
          <w:rFonts w:ascii="Verdana" w:hAnsi="Verdana"/>
          <w:sz w:val="20"/>
          <w:lang w:val="es-CR"/>
        </w:rPr>
        <w:t>mismos</w:t>
      </w:r>
      <w:r w:rsidRPr="0067410A">
        <w:rPr>
          <w:rFonts w:ascii="Verdana" w:hAnsi="Verdana"/>
          <w:sz w:val="20"/>
          <w:lang w:val="es-CR"/>
        </w:rPr>
        <w:t>.</w:t>
      </w:r>
      <w:r w:rsidRPr="008C0FDC">
        <w:rPr>
          <w:rFonts w:ascii="Verdana" w:hAnsi="Verdana"/>
          <w:sz w:val="20"/>
          <w:szCs w:val="20"/>
          <w:lang w:val="es-CR"/>
        </w:rPr>
        <w:t xml:space="preserve"> Lo anterior, tomando en cuenta los derechos que asisten a otros pueblos tribales en la zona. </w:t>
      </w:r>
    </w:p>
    <w:p w14:paraId="013AB073" w14:textId="77777777" w:rsidR="000C251D" w:rsidRPr="002C323A" w:rsidRDefault="000C251D" w:rsidP="000C251D">
      <w:pPr>
        <w:contextualSpacing/>
        <w:jc w:val="both"/>
        <w:rPr>
          <w:rFonts w:ascii="Verdana" w:hAnsi="Verdana"/>
          <w:sz w:val="20"/>
        </w:rPr>
      </w:pPr>
    </w:p>
    <w:p w14:paraId="5C543380" w14:textId="3751130F" w:rsidR="00CE4D2A" w:rsidRPr="004B0145" w:rsidRDefault="000C251D" w:rsidP="004B0145">
      <w:pPr>
        <w:numPr>
          <w:ilvl w:val="0"/>
          <w:numId w:val="2"/>
        </w:numPr>
        <w:ind w:left="0" w:hanging="11"/>
        <w:contextualSpacing/>
        <w:jc w:val="both"/>
        <w:rPr>
          <w:rFonts w:ascii="Verdana" w:hAnsi="Verdana" w:cs="Arial"/>
          <w:sz w:val="20"/>
          <w:szCs w:val="20"/>
          <w:lang w:val="es-ES"/>
        </w:rPr>
      </w:pPr>
      <w:r w:rsidRPr="00CE4D2A">
        <w:rPr>
          <w:rFonts w:ascii="Verdana" w:hAnsi="Verdana"/>
          <w:sz w:val="20"/>
          <w:lang w:val="es-CR"/>
        </w:rPr>
        <w:t xml:space="preserve">En el caso de </w:t>
      </w:r>
      <w:r w:rsidR="00AB443C" w:rsidRPr="00CE4D2A">
        <w:rPr>
          <w:rFonts w:ascii="Verdana" w:hAnsi="Verdana"/>
          <w:sz w:val="20"/>
          <w:lang w:val="es-CR"/>
        </w:rPr>
        <w:t xml:space="preserve">que </w:t>
      </w:r>
      <w:r w:rsidRPr="00CE4D2A">
        <w:rPr>
          <w:rFonts w:ascii="Verdana" w:hAnsi="Verdana"/>
          <w:sz w:val="20"/>
          <w:lang w:val="es-CR"/>
        </w:rPr>
        <w:t>las tierras reclamadas en manos de terceros</w:t>
      </w:r>
      <w:r w:rsidR="0067410A" w:rsidRPr="00CE4D2A">
        <w:rPr>
          <w:rFonts w:ascii="Verdana" w:hAnsi="Verdana"/>
          <w:sz w:val="20"/>
          <w:lang w:val="es-CR"/>
        </w:rPr>
        <w:t xml:space="preserve"> no indígenas </w:t>
      </w:r>
      <w:r w:rsidR="00B73EDA" w:rsidRPr="00CE4D2A">
        <w:rPr>
          <w:rFonts w:ascii="Verdana" w:hAnsi="Verdana"/>
          <w:sz w:val="20"/>
          <w:lang w:val="es-CR"/>
        </w:rPr>
        <w:t xml:space="preserve">ni </w:t>
      </w:r>
      <w:r w:rsidR="0067410A" w:rsidRPr="00CE4D2A">
        <w:rPr>
          <w:rFonts w:ascii="Verdana" w:hAnsi="Verdana"/>
          <w:sz w:val="20"/>
          <w:lang w:val="es-CR"/>
        </w:rPr>
        <w:t>tribales</w:t>
      </w:r>
      <w:r w:rsidRPr="00CE4D2A">
        <w:rPr>
          <w:rFonts w:ascii="Verdana" w:hAnsi="Verdana"/>
          <w:sz w:val="20"/>
          <w:lang w:val="es-CR"/>
        </w:rPr>
        <w:t xml:space="preserve">, sean </w:t>
      </w:r>
      <w:r w:rsidR="00AB443C" w:rsidRPr="00CE4D2A">
        <w:rPr>
          <w:rFonts w:ascii="Verdana" w:hAnsi="Verdana"/>
          <w:sz w:val="20"/>
          <w:lang w:val="es-CR"/>
        </w:rPr>
        <w:t>de</w:t>
      </w:r>
      <w:r w:rsidRPr="00CE4D2A">
        <w:rPr>
          <w:rFonts w:ascii="Verdana" w:hAnsi="Verdana"/>
          <w:sz w:val="20"/>
          <w:lang w:val="es-CR"/>
        </w:rPr>
        <w:t xml:space="preserve"> personas naturales o jurídicas,</w:t>
      </w:r>
      <w:r w:rsidRPr="00CE4D2A">
        <w:rPr>
          <w:rFonts w:ascii="Verdana" w:hAnsi="Verdana"/>
          <w:sz w:val="20"/>
          <w:szCs w:val="20"/>
          <w:lang w:val="es-CR"/>
        </w:rPr>
        <w:t xml:space="preserve"> </w:t>
      </w:r>
      <w:r w:rsidR="0067410A" w:rsidRPr="00CE4D2A">
        <w:rPr>
          <w:rFonts w:ascii="Verdana" w:hAnsi="Verdana"/>
          <w:sz w:val="20"/>
          <w:szCs w:val="20"/>
          <w:lang w:val="es-CR"/>
        </w:rPr>
        <w:t>e</w:t>
      </w:r>
      <w:r w:rsidRPr="00CE4D2A">
        <w:rPr>
          <w:rFonts w:ascii="Verdana" w:hAnsi="Verdana"/>
          <w:sz w:val="20"/>
          <w:szCs w:val="20"/>
          <w:lang w:val="es-CR"/>
        </w:rPr>
        <w:t>l Estado deberá, a través de sus autoridades competentes, decidir si procede la compra o expropiación del territorio a favor de los indígenas, a través del pago de las indemnizaciones que correspond</w:t>
      </w:r>
      <w:r w:rsidR="00AB443C" w:rsidRPr="00CE4D2A">
        <w:rPr>
          <w:rFonts w:ascii="Verdana" w:hAnsi="Verdana"/>
          <w:sz w:val="20"/>
          <w:szCs w:val="20"/>
          <w:lang w:val="es-CR"/>
        </w:rPr>
        <w:t>a</w:t>
      </w:r>
      <w:r w:rsidRPr="00CE4D2A">
        <w:rPr>
          <w:rFonts w:ascii="Verdana" w:hAnsi="Verdana"/>
          <w:sz w:val="20"/>
          <w:szCs w:val="20"/>
          <w:lang w:val="es-CR"/>
        </w:rPr>
        <w:t xml:space="preserve"> a los perjudicados</w:t>
      </w:r>
      <w:r w:rsidR="00B4017E">
        <w:rPr>
          <w:rFonts w:ascii="Verdana" w:hAnsi="Verdana"/>
          <w:sz w:val="20"/>
          <w:szCs w:val="20"/>
          <w:lang w:val="es-CR"/>
        </w:rPr>
        <w:t>,</w:t>
      </w:r>
      <w:r w:rsidRPr="00CE4D2A">
        <w:rPr>
          <w:rFonts w:ascii="Verdana" w:hAnsi="Verdana"/>
          <w:sz w:val="20"/>
          <w:szCs w:val="20"/>
          <w:lang w:val="es-CR"/>
        </w:rPr>
        <w:t xml:space="preserve"> de conformidad con lo establecido en el derecho interno</w:t>
      </w:r>
      <w:r w:rsidR="00606243">
        <w:rPr>
          <w:rStyle w:val="FootnoteReference"/>
          <w:szCs w:val="20"/>
          <w:lang w:val="es-CR"/>
        </w:rPr>
        <w:footnoteReference w:id="322"/>
      </w:r>
      <w:r w:rsidRPr="00CE4D2A">
        <w:rPr>
          <w:rFonts w:ascii="Verdana" w:hAnsi="Verdana"/>
          <w:sz w:val="20"/>
          <w:szCs w:val="20"/>
          <w:lang w:val="es-CR"/>
        </w:rPr>
        <w:t>. Para resolver esta cuestión, las autoridades estatales deben seguir los estándares establecidos en esta Sentencia (</w:t>
      </w:r>
      <w:r w:rsidR="00366D91" w:rsidRPr="00CE4D2A">
        <w:rPr>
          <w:rFonts w:ascii="Verdana" w:hAnsi="Verdana"/>
          <w:i/>
          <w:sz w:val="20"/>
          <w:szCs w:val="20"/>
          <w:lang w:val="es-CR"/>
        </w:rPr>
        <w:t>supra</w:t>
      </w:r>
      <w:r w:rsidRPr="00CE4D2A">
        <w:rPr>
          <w:rFonts w:ascii="Verdana" w:hAnsi="Verdana"/>
          <w:sz w:val="20"/>
          <w:szCs w:val="20"/>
          <w:lang w:val="es-CR"/>
        </w:rPr>
        <w:t xml:space="preserve"> párrs.</w:t>
      </w:r>
      <w:r w:rsidR="00AB443C" w:rsidRPr="00CE4D2A">
        <w:rPr>
          <w:rFonts w:ascii="Verdana" w:hAnsi="Verdana"/>
          <w:sz w:val="20"/>
          <w:szCs w:val="20"/>
          <w:lang w:val="es-CR"/>
        </w:rPr>
        <w:t xml:space="preserve"> </w:t>
      </w:r>
      <w:r w:rsidR="001049A0" w:rsidRPr="00CE4D2A">
        <w:rPr>
          <w:rFonts w:ascii="Verdana" w:hAnsi="Verdana"/>
          <w:sz w:val="20"/>
          <w:szCs w:val="20"/>
          <w:lang w:val="es-CR"/>
        </w:rPr>
        <w:t>1</w:t>
      </w:r>
      <w:r w:rsidR="00D02060" w:rsidRPr="00CE4D2A">
        <w:rPr>
          <w:rFonts w:ascii="Verdana" w:hAnsi="Verdana"/>
          <w:sz w:val="20"/>
          <w:szCs w:val="20"/>
          <w:lang w:val="es-CR"/>
        </w:rPr>
        <w:t xml:space="preserve">55 </w:t>
      </w:r>
      <w:r w:rsidR="00B4017E">
        <w:rPr>
          <w:rFonts w:ascii="Verdana" w:hAnsi="Verdana"/>
          <w:sz w:val="20"/>
          <w:szCs w:val="20"/>
          <w:lang w:val="es-CR"/>
        </w:rPr>
        <w:t>a</w:t>
      </w:r>
      <w:r w:rsidR="00D02060" w:rsidRPr="00CE4D2A">
        <w:rPr>
          <w:rFonts w:ascii="Verdana" w:hAnsi="Verdana"/>
          <w:sz w:val="20"/>
          <w:szCs w:val="20"/>
          <w:lang w:val="es-CR"/>
        </w:rPr>
        <w:t xml:space="preserve"> 15</w:t>
      </w:r>
      <w:r w:rsidR="00B4017E">
        <w:rPr>
          <w:rFonts w:ascii="Verdana" w:hAnsi="Verdana"/>
          <w:sz w:val="20"/>
          <w:szCs w:val="20"/>
          <w:lang w:val="es-CR"/>
        </w:rPr>
        <w:t>9 y 168</w:t>
      </w:r>
      <w:r w:rsidRPr="00CE4D2A">
        <w:rPr>
          <w:rFonts w:ascii="Verdana" w:hAnsi="Verdana"/>
          <w:sz w:val="20"/>
          <w:szCs w:val="20"/>
          <w:lang w:val="es-CR"/>
        </w:rPr>
        <w:t>), teniendo muy en cuenta la especial relación que los indígenas tienen con sus tierras para la preservación de su cultura y su supervivencia. En ningún caso la decisión de las autoridades internas deberá basarse exclusivamente en que dichas tierras estén en manos privadas o que estén racionalmente explotadas</w:t>
      </w:r>
      <w:r w:rsidR="00606243">
        <w:rPr>
          <w:rStyle w:val="FootnoteReference"/>
          <w:szCs w:val="20"/>
          <w:lang w:val="es-CR"/>
        </w:rPr>
        <w:footnoteReference w:id="323"/>
      </w:r>
      <w:r w:rsidRPr="00CE4D2A">
        <w:rPr>
          <w:rFonts w:ascii="Verdana" w:hAnsi="Verdana"/>
          <w:sz w:val="20"/>
          <w:szCs w:val="20"/>
          <w:lang w:val="es-CR"/>
        </w:rPr>
        <w:t>.</w:t>
      </w:r>
    </w:p>
    <w:p w14:paraId="438FCB3F" w14:textId="2548A273" w:rsidR="005E7791" w:rsidRPr="004B0145" w:rsidRDefault="000C251D" w:rsidP="004B0145">
      <w:pPr>
        <w:contextualSpacing/>
        <w:jc w:val="both"/>
        <w:rPr>
          <w:rFonts w:ascii="Verdana" w:hAnsi="Verdana" w:cs="Arial"/>
          <w:sz w:val="20"/>
          <w:szCs w:val="20"/>
          <w:lang w:val="es-ES"/>
        </w:rPr>
      </w:pPr>
      <w:r w:rsidRPr="00CE4D2A">
        <w:rPr>
          <w:rFonts w:ascii="Verdana" w:hAnsi="Verdana"/>
          <w:sz w:val="20"/>
          <w:szCs w:val="20"/>
          <w:lang w:val="es-CR"/>
        </w:rPr>
        <w:t xml:space="preserve"> </w:t>
      </w:r>
    </w:p>
    <w:p w14:paraId="6CAC6E90" w14:textId="3C55047C" w:rsidR="000C251D" w:rsidRPr="0067410A" w:rsidRDefault="000C251D" w:rsidP="000C251D">
      <w:pPr>
        <w:numPr>
          <w:ilvl w:val="0"/>
          <w:numId w:val="2"/>
        </w:numPr>
        <w:ind w:left="0" w:hanging="11"/>
        <w:contextualSpacing/>
        <w:jc w:val="both"/>
        <w:rPr>
          <w:rFonts w:ascii="Verdana" w:hAnsi="Verdana"/>
          <w:sz w:val="20"/>
          <w:szCs w:val="20"/>
          <w:lang w:val="es-CR"/>
        </w:rPr>
      </w:pPr>
      <w:r w:rsidRPr="00863F85">
        <w:rPr>
          <w:rFonts w:ascii="Verdana" w:hAnsi="Verdana"/>
          <w:sz w:val="20"/>
          <w:szCs w:val="20"/>
          <w:lang w:val="es-CR"/>
        </w:rPr>
        <w:t xml:space="preserve">En </w:t>
      </w:r>
      <w:r w:rsidR="00B4017E">
        <w:rPr>
          <w:rFonts w:ascii="Verdana" w:hAnsi="Verdana"/>
          <w:sz w:val="20"/>
          <w:szCs w:val="20"/>
          <w:lang w:val="es-CR"/>
        </w:rPr>
        <w:t xml:space="preserve">el </w:t>
      </w:r>
      <w:r w:rsidRPr="00863F85">
        <w:rPr>
          <w:rFonts w:ascii="Verdana" w:hAnsi="Verdana"/>
          <w:sz w:val="20"/>
          <w:szCs w:val="20"/>
          <w:lang w:val="es-CR"/>
        </w:rPr>
        <w:t xml:space="preserve">caso que, por motivos objetivos y debidamente fundados, el Estado considere que no es posible llevar a cabo la titulación de las tierras tradicionales, deberá </w:t>
      </w:r>
      <w:r w:rsidRPr="00863F85">
        <w:rPr>
          <w:rFonts w:ascii="Verdana" w:hAnsi="Verdana" w:cs="Verdana Bold"/>
          <w:bCs/>
          <w:sz w:val="20"/>
          <w:szCs w:val="20"/>
          <w:lang w:val="es-CL" w:eastAsia="es-MX" w:bidi="en-US"/>
        </w:rPr>
        <w:t>conferir</w:t>
      </w:r>
      <w:r w:rsidRPr="00863F85">
        <w:rPr>
          <w:rFonts w:ascii="Verdana" w:hAnsi="Verdana"/>
          <w:sz w:val="20"/>
          <w:szCs w:val="20"/>
          <w:lang w:val="es-CR"/>
        </w:rPr>
        <w:t xml:space="preserve"> títulos de propiedad colectiva a dichos pueblos sobre tierras alternativas contiguas de igual extensión y calidad que las no otorgadas. </w:t>
      </w:r>
      <w:r w:rsidRPr="0067410A">
        <w:rPr>
          <w:rFonts w:ascii="Verdana" w:hAnsi="Verdana"/>
          <w:sz w:val="20"/>
          <w:lang w:val="es-CR"/>
        </w:rPr>
        <w:t xml:space="preserve">El Estado, para la implementación de esta medida, </w:t>
      </w:r>
      <w:r w:rsidRPr="002706DE">
        <w:rPr>
          <w:rFonts w:ascii="Verdana" w:hAnsi="Verdana"/>
          <w:sz w:val="20"/>
          <w:lang w:val="es-CR"/>
        </w:rPr>
        <w:t>deberá</w:t>
      </w:r>
      <w:r w:rsidR="007F0F43" w:rsidRPr="00190AD3">
        <w:rPr>
          <w:rFonts w:ascii="Verdana" w:hAnsi="Verdana"/>
          <w:sz w:val="20"/>
          <w:lang w:val="es-CR"/>
        </w:rPr>
        <w:t xml:space="preserve">, </w:t>
      </w:r>
      <w:r w:rsidR="009D4E53" w:rsidRPr="00190AD3">
        <w:rPr>
          <w:rFonts w:ascii="Verdana" w:hAnsi="Verdana"/>
          <w:sz w:val="20"/>
          <w:lang w:val="es-CR"/>
        </w:rPr>
        <w:t>contar con la participación efectiva de</w:t>
      </w:r>
      <w:r w:rsidR="009D4E53" w:rsidRPr="0029611B">
        <w:rPr>
          <w:rFonts w:ascii="Verdana" w:hAnsi="Verdana"/>
          <w:b/>
          <w:sz w:val="20"/>
          <w:lang w:val="es-CR"/>
        </w:rPr>
        <w:t xml:space="preserve"> </w:t>
      </w:r>
      <w:r w:rsidRPr="0067410A">
        <w:rPr>
          <w:rFonts w:ascii="Verdana" w:hAnsi="Verdana"/>
          <w:sz w:val="20"/>
          <w:lang w:val="es-CR"/>
        </w:rPr>
        <w:t xml:space="preserve">los </w:t>
      </w:r>
      <w:r w:rsidR="00382F4D" w:rsidRPr="0067410A">
        <w:rPr>
          <w:rFonts w:ascii="Verdana" w:hAnsi="Verdana"/>
          <w:sz w:val="20"/>
          <w:lang w:val="es-CR"/>
        </w:rPr>
        <w:t>Pueblos Kaliña y Lokono</w:t>
      </w:r>
      <w:r w:rsidRPr="0067410A">
        <w:rPr>
          <w:rFonts w:ascii="Verdana" w:hAnsi="Verdana"/>
          <w:sz w:val="20"/>
          <w:lang w:val="es-CR"/>
        </w:rPr>
        <w:t xml:space="preserve"> y sus miembros, </w:t>
      </w:r>
      <w:r w:rsidR="007F0F43" w:rsidRPr="0067410A">
        <w:rPr>
          <w:rFonts w:ascii="Verdana" w:hAnsi="Verdana"/>
          <w:sz w:val="20"/>
          <w:lang w:val="es-CR"/>
        </w:rPr>
        <w:t xml:space="preserve">de conformidad con </w:t>
      </w:r>
      <w:r w:rsidRPr="0067410A">
        <w:rPr>
          <w:rFonts w:ascii="Verdana" w:hAnsi="Verdana"/>
          <w:sz w:val="20"/>
          <w:lang w:val="es-CR"/>
        </w:rPr>
        <w:t>los estándares en la materia</w:t>
      </w:r>
      <w:r w:rsidR="00606243">
        <w:rPr>
          <w:rStyle w:val="FootnoteReference"/>
          <w:lang w:val="es-CR"/>
        </w:rPr>
        <w:footnoteReference w:id="324"/>
      </w:r>
      <w:r w:rsidRPr="0067410A">
        <w:rPr>
          <w:rFonts w:ascii="Verdana" w:hAnsi="Verdana"/>
          <w:sz w:val="20"/>
        </w:rPr>
        <w:t>.</w:t>
      </w:r>
      <w:r w:rsidRPr="0067410A">
        <w:rPr>
          <w:rFonts w:ascii="Verdana" w:hAnsi="Verdana"/>
          <w:sz w:val="20"/>
          <w:szCs w:val="20"/>
        </w:rPr>
        <w:t xml:space="preserve"> </w:t>
      </w:r>
      <w:r w:rsidRPr="0067410A">
        <w:rPr>
          <w:rFonts w:ascii="Verdana" w:hAnsi="Verdana"/>
          <w:sz w:val="20"/>
          <w:szCs w:val="20"/>
          <w:lang w:val="es-CR"/>
        </w:rPr>
        <w:t xml:space="preserve"> </w:t>
      </w:r>
    </w:p>
    <w:p w14:paraId="2E1A8605" w14:textId="77777777" w:rsidR="000C251D" w:rsidRPr="002C323A" w:rsidRDefault="000C251D" w:rsidP="000C251D">
      <w:pPr>
        <w:contextualSpacing/>
        <w:jc w:val="both"/>
        <w:rPr>
          <w:rFonts w:ascii="Verdana" w:hAnsi="Verdana"/>
          <w:sz w:val="20"/>
          <w:szCs w:val="20"/>
          <w:lang w:val="es-CR"/>
        </w:rPr>
      </w:pPr>
    </w:p>
    <w:p w14:paraId="4A944376" w14:textId="77777777" w:rsidR="002706DE" w:rsidRDefault="000C251D" w:rsidP="00190AD3">
      <w:pPr>
        <w:numPr>
          <w:ilvl w:val="0"/>
          <w:numId w:val="2"/>
        </w:numPr>
        <w:ind w:left="0" w:hanging="11"/>
        <w:contextualSpacing/>
        <w:jc w:val="both"/>
        <w:rPr>
          <w:rFonts w:ascii="Verdana" w:hAnsi="Verdana"/>
          <w:sz w:val="20"/>
          <w:szCs w:val="20"/>
          <w:lang w:val="es-CR"/>
        </w:rPr>
      </w:pPr>
      <w:r w:rsidRPr="00CB6CFC">
        <w:rPr>
          <w:rFonts w:ascii="Verdana" w:hAnsi="Verdana"/>
          <w:sz w:val="20"/>
          <w:szCs w:val="20"/>
          <w:lang w:val="es-CR"/>
        </w:rPr>
        <w:t xml:space="preserve">Hasta </w:t>
      </w:r>
      <w:r w:rsidR="00752443">
        <w:rPr>
          <w:rFonts w:ascii="Verdana" w:hAnsi="Verdana"/>
          <w:sz w:val="20"/>
          <w:szCs w:val="20"/>
          <w:lang w:val="es-CR"/>
        </w:rPr>
        <w:t>en</w:t>
      </w:r>
      <w:r w:rsidRPr="00CB6CFC">
        <w:rPr>
          <w:rFonts w:ascii="Verdana" w:hAnsi="Verdana"/>
          <w:sz w:val="20"/>
          <w:szCs w:val="20"/>
          <w:lang w:val="es-CR"/>
        </w:rPr>
        <w:t xml:space="preserve"> tanto no se lleven a cabo dichas medidas</w:t>
      </w:r>
      <w:r w:rsidR="00DE6274" w:rsidRPr="00CB6CFC">
        <w:rPr>
          <w:rFonts w:ascii="Verdana" w:hAnsi="Verdana"/>
          <w:sz w:val="20"/>
          <w:szCs w:val="20"/>
          <w:lang w:val="es-CR"/>
        </w:rPr>
        <w:t>,</w:t>
      </w:r>
      <w:r w:rsidRPr="00CB6CFC">
        <w:rPr>
          <w:rFonts w:ascii="Verdana" w:hAnsi="Verdana"/>
          <w:sz w:val="20"/>
          <w:szCs w:val="20"/>
          <w:lang w:val="es-CR"/>
        </w:rPr>
        <w:t xml:space="preserve"> el Estado debe</w:t>
      </w:r>
      <w:r w:rsidR="00752443">
        <w:rPr>
          <w:rFonts w:ascii="Verdana" w:hAnsi="Verdana"/>
          <w:sz w:val="20"/>
          <w:szCs w:val="20"/>
          <w:lang w:val="es-CR"/>
        </w:rPr>
        <w:t>rá</w:t>
      </w:r>
      <w:r w:rsidRPr="00CB6CFC">
        <w:rPr>
          <w:rFonts w:ascii="Verdana" w:hAnsi="Verdana"/>
          <w:sz w:val="20"/>
          <w:szCs w:val="20"/>
          <w:lang w:val="es-CR"/>
        </w:rPr>
        <w:t xml:space="preserve"> garantizar de manera inmediata y efectiva que los territorios que actualmente se encuentran en posesión de los </w:t>
      </w:r>
      <w:r w:rsidR="00382F4D" w:rsidRPr="00CB6CFC">
        <w:rPr>
          <w:rFonts w:ascii="Verdana" w:hAnsi="Verdana"/>
          <w:sz w:val="20"/>
          <w:szCs w:val="20"/>
          <w:lang w:val="es-CR"/>
        </w:rPr>
        <w:t>Pueblos Kaliña y Lokono</w:t>
      </w:r>
      <w:r w:rsidRPr="00CB6CFC">
        <w:rPr>
          <w:rFonts w:ascii="Verdana" w:hAnsi="Verdana"/>
          <w:sz w:val="20"/>
          <w:szCs w:val="20"/>
          <w:lang w:val="es-CR"/>
        </w:rPr>
        <w:t>, no sufran ninguna intrusión, interferencia o afectación por parte de terceros o agentes del Estado que pueda</w:t>
      </w:r>
      <w:r w:rsidR="00752443">
        <w:rPr>
          <w:rFonts w:ascii="Verdana" w:hAnsi="Verdana"/>
          <w:sz w:val="20"/>
          <w:szCs w:val="20"/>
          <w:lang w:val="es-CR"/>
        </w:rPr>
        <w:t>n</w:t>
      </w:r>
      <w:r w:rsidRPr="00CB6CFC">
        <w:rPr>
          <w:rFonts w:ascii="Verdana" w:hAnsi="Verdana"/>
          <w:sz w:val="20"/>
          <w:szCs w:val="20"/>
          <w:lang w:val="es-CR"/>
        </w:rPr>
        <w:t xml:space="preserve"> </w:t>
      </w:r>
      <w:r w:rsidRPr="00323B7B">
        <w:rPr>
          <w:rFonts w:ascii="Verdana" w:hAnsi="Verdana"/>
          <w:sz w:val="20"/>
          <w:szCs w:val="20"/>
          <w:lang w:val="es-CR"/>
        </w:rPr>
        <w:t xml:space="preserve">menoscabar la existencia, el valor, el uso o el </w:t>
      </w:r>
      <w:r w:rsidRPr="00323B7B">
        <w:rPr>
          <w:rFonts w:ascii="Verdana" w:hAnsi="Verdana"/>
          <w:sz w:val="20"/>
          <w:szCs w:val="20"/>
          <w:lang w:val="es-CR"/>
        </w:rPr>
        <w:lastRenderedPageBreak/>
        <w:t>goce de su territorio</w:t>
      </w:r>
      <w:r w:rsidR="00606243">
        <w:rPr>
          <w:rStyle w:val="FootnoteReference"/>
          <w:szCs w:val="20"/>
          <w:lang w:val="es-CR"/>
        </w:rPr>
        <w:footnoteReference w:id="325"/>
      </w:r>
      <w:r w:rsidR="00CB6CFC" w:rsidRPr="00CB6CFC">
        <w:rPr>
          <w:rFonts w:ascii="Verdana" w:hAnsi="Verdana"/>
          <w:sz w:val="20"/>
          <w:szCs w:val="20"/>
          <w:lang w:val="es-CR"/>
        </w:rPr>
        <w:t xml:space="preserve">, </w:t>
      </w:r>
      <w:r w:rsidR="00CB6CFC" w:rsidRPr="0029611B">
        <w:rPr>
          <w:rFonts w:ascii="Verdana" w:hAnsi="Verdana"/>
          <w:sz w:val="20"/>
          <w:szCs w:val="20"/>
          <w:lang w:val="es-CR"/>
        </w:rPr>
        <w:t>así como evitar, mediante garantías de seguridad jurídica, la emisión de nuevos títulos de propiedad y arrendamiento en los territorios de los Pueblos Kaliña y Lokono.</w:t>
      </w:r>
      <w:r w:rsidR="002706DE">
        <w:rPr>
          <w:rFonts w:ascii="Verdana" w:hAnsi="Verdana"/>
          <w:sz w:val="20"/>
          <w:szCs w:val="20"/>
          <w:lang w:val="es-CR"/>
        </w:rPr>
        <w:t xml:space="preserve"> </w:t>
      </w:r>
    </w:p>
    <w:p w14:paraId="34ECD0F2" w14:textId="77777777" w:rsidR="002706DE" w:rsidRPr="0029611B" w:rsidRDefault="002706DE" w:rsidP="00190AD3">
      <w:pPr>
        <w:contextualSpacing/>
        <w:jc w:val="both"/>
        <w:rPr>
          <w:rFonts w:ascii="Verdana" w:hAnsi="Verdana"/>
          <w:sz w:val="20"/>
          <w:szCs w:val="20"/>
          <w:lang w:val="es-CR"/>
        </w:rPr>
      </w:pPr>
    </w:p>
    <w:p w14:paraId="7C18ADE6" w14:textId="53D2EF80" w:rsidR="00CB6CFC" w:rsidRPr="002079C8" w:rsidRDefault="0067410A" w:rsidP="00190AD3">
      <w:pPr>
        <w:numPr>
          <w:ilvl w:val="0"/>
          <w:numId w:val="2"/>
        </w:numPr>
        <w:ind w:left="0" w:hanging="11"/>
        <w:contextualSpacing/>
        <w:jc w:val="both"/>
        <w:rPr>
          <w:rFonts w:ascii="Verdana" w:hAnsi="Verdana"/>
          <w:sz w:val="20"/>
          <w:szCs w:val="20"/>
          <w:lang w:val="es-CR"/>
        </w:rPr>
      </w:pPr>
      <w:r w:rsidRPr="0029611B">
        <w:rPr>
          <w:rFonts w:ascii="Verdana" w:hAnsi="Verdana"/>
          <w:sz w:val="20"/>
          <w:szCs w:val="20"/>
          <w:lang w:val="es-CR"/>
        </w:rPr>
        <w:t>El Estado deberá desarrollar, de común acuerdo con los Pueblos Kaliña y Lokono y los otros pueblos tribales de la zona</w:t>
      </w:r>
      <w:r w:rsidR="005F5F92" w:rsidRPr="0029611B">
        <w:rPr>
          <w:rFonts w:ascii="Verdana" w:hAnsi="Verdana"/>
          <w:sz w:val="20"/>
          <w:szCs w:val="20"/>
          <w:lang w:val="es-CR"/>
        </w:rPr>
        <w:t>, así como</w:t>
      </w:r>
      <w:r w:rsidRPr="0029611B">
        <w:rPr>
          <w:rFonts w:ascii="Verdana" w:hAnsi="Verdana"/>
          <w:sz w:val="20"/>
          <w:szCs w:val="20"/>
          <w:lang w:val="es-CR"/>
        </w:rPr>
        <w:t xml:space="preserve"> de terceros privados, reglas de convivencia pacífica y armoniosas en el territorio en cuestión</w:t>
      </w:r>
      <w:r w:rsidR="00752443">
        <w:rPr>
          <w:rFonts w:ascii="Verdana" w:hAnsi="Verdana"/>
          <w:sz w:val="20"/>
          <w:szCs w:val="20"/>
          <w:lang w:val="es-CR"/>
        </w:rPr>
        <w:t>,</w:t>
      </w:r>
      <w:r w:rsidRPr="0029611B">
        <w:rPr>
          <w:rFonts w:ascii="Verdana" w:hAnsi="Verdana"/>
          <w:sz w:val="20"/>
          <w:szCs w:val="20"/>
          <w:lang w:val="es-CR"/>
        </w:rPr>
        <w:t xml:space="preserve"> que respeten los usos y costumbres de los Pueblos Kaliña y Lokono, las cuales garanticen su relación con </w:t>
      </w:r>
      <w:r w:rsidR="00CB6CFC" w:rsidRPr="0029611B">
        <w:rPr>
          <w:rFonts w:ascii="Verdana" w:hAnsi="Verdana"/>
          <w:sz w:val="20"/>
          <w:szCs w:val="20"/>
          <w:lang w:val="es-CR"/>
        </w:rPr>
        <w:t xml:space="preserve">sus áreas tradicionales, incluyendo </w:t>
      </w:r>
      <w:r w:rsidRPr="0029611B">
        <w:rPr>
          <w:rFonts w:ascii="Verdana" w:hAnsi="Verdana"/>
          <w:sz w:val="20"/>
          <w:szCs w:val="20"/>
          <w:lang w:val="es-CR"/>
        </w:rPr>
        <w:t xml:space="preserve">el </w:t>
      </w:r>
      <w:r w:rsidR="00752443">
        <w:rPr>
          <w:rFonts w:ascii="Verdana" w:hAnsi="Verdana"/>
          <w:sz w:val="20"/>
          <w:szCs w:val="20"/>
          <w:lang w:val="es-CR"/>
        </w:rPr>
        <w:t>r</w:t>
      </w:r>
      <w:r w:rsidRPr="0029611B">
        <w:rPr>
          <w:rFonts w:ascii="Verdana" w:hAnsi="Verdana"/>
          <w:sz w:val="20"/>
          <w:szCs w:val="20"/>
          <w:lang w:val="es-CR"/>
        </w:rPr>
        <w:t>ío</w:t>
      </w:r>
      <w:r w:rsidR="00F508F2">
        <w:rPr>
          <w:rFonts w:ascii="Verdana" w:hAnsi="Verdana"/>
          <w:sz w:val="20"/>
          <w:szCs w:val="20"/>
          <w:lang w:val="es-CR"/>
        </w:rPr>
        <w:t xml:space="preserve"> </w:t>
      </w:r>
      <w:r w:rsidR="00385C68" w:rsidRPr="0032075F">
        <w:rPr>
          <w:rFonts w:ascii="Verdana" w:hAnsi="Verdana"/>
          <w:sz w:val="20"/>
          <w:szCs w:val="20"/>
          <w:lang w:val="es-CR"/>
        </w:rPr>
        <w:t>Marowijne</w:t>
      </w:r>
      <w:r w:rsidR="00B4017E" w:rsidRPr="0032075F">
        <w:rPr>
          <w:rFonts w:ascii="Verdana" w:hAnsi="Verdana"/>
          <w:sz w:val="20"/>
          <w:szCs w:val="20"/>
          <w:lang w:val="es-CR"/>
        </w:rPr>
        <w:t xml:space="preserve"> (</w:t>
      </w:r>
      <w:r w:rsidR="00B4017E" w:rsidRPr="0032075F">
        <w:rPr>
          <w:rFonts w:ascii="Verdana" w:hAnsi="Verdana"/>
          <w:i/>
          <w:sz w:val="20"/>
          <w:szCs w:val="20"/>
          <w:lang w:val="es-CR"/>
        </w:rPr>
        <w:t xml:space="preserve">supra </w:t>
      </w:r>
      <w:r w:rsidR="00B4017E" w:rsidRPr="0032075F">
        <w:rPr>
          <w:rFonts w:ascii="Verdana" w:hAnsi="Verdana"/>
          <w:sz w:val="20"/>
          <w:szCs w:val="20"/>
          <w:lang w:val="es-CR"/>
        </w:rPr>
        <w:t>párr. 159).</w:t>
      </w:r>
      <w:r w:rsidR="00CB6CFC" w:rsidRPr="002079C8">
        <w:rPr>
          <w:rFonts w:ascii="Verdana" w:hAnsi="Verdana"/>
          <w:sz w:val="20"/>
          <w:szCs w:val="20"/>
          <w:lang w:val="es-CR"/>
        </w:rPr>
        <w:t xml:space="preserve"> </w:t>
      </w:r>
    </w:p>
    <w:p w14:paraId="59D45686" w14:textId="77777777" w:rsidR="0067410A" w:rsidRPr="008E7DF8" w:rsidRDefault="0067410A" w:rsidP="000C251D">
      <w:pPr>
        <w:jc w:val="both"/>
        <w:rPr>
          <w:rFonts w:ascii="Verdana" w:hAnsi="Verdana"/>
          <w:i/>
          <w:sz w:val="20"/>
          <w:szCs w:val="20"/>
          <w:lang w:val="es-CR"/>
        </w:rPr>
      </w:pPr>
    </w:p>
    <w:p w14:paraId="42084A31" w14:textId="77777777" w:rsidR="000C251D" w:rsidRPr="00366D91" w:rsidRDefault="000C251D" w:rsidP="000C251D">
      <w:pPr>
        <w:numPr>
          <w:ilvl w:val="0"/>
          <w:numId w:val="2"/>
        </w:numPr>
        <w:ind w:left="0" w:hanging="11"/>
        <w:contextualSpacing/>
        <w:jc w:val="both"/>
        <w:rPr>
          <w:rFonts w:ascii="Verdana" w:hAnsi="Verdana"/>
          <w:color w:val="000000"/>
          <w:sz w:val="20"/>
          <w:szCs w:val="20"/>
          <w:lang w:val="es-ES"/>
        </w:rPr>
      </w:pPr>
      <w:r w:rsidRPr="00A91B78">
        <w:rPr>
          <w:rFonts w:ascii="Verdana" w:hAnsi="Verdana"/>
          <w:sz w:val="20"/>
          <w:szCs w:val="20"/>
          <w:lang w:val="es-CR"/>
        </w:rPr>
        <w:t xml:space="preserve">El Estado cuenta con el plazo total de tres años, </w:t>
      </w:r>
      <w:r w:rsidRPr="00A91B78">
        <w:rPr>
          <w:rFonts w:ascii="Verdana" w:hAnsi="Verdana"/>
          <w:snapToGrid w:val="0"/>
          <w:sz w:val="20"/>
          <w:szCs w:val="20"/>
          <w:lang w:val="es-CR"/>
        </w:rPr>
        <w:t>contados a partir de la notificación de la Sentencia,</w:t>
      </w:r>
      <w:r w:rsidRPr="00A91B78">
        <w:rPr>
          <w:rFonts w:ascii="Verdana" w:hAnsi="Verdana"/>
          <w:sz w:val="20"/>
          <w:szCs w:val="20"/>
          <w:lang w:val="es-CR"/>
        </w:rPr>
        <w:t xml:space="preserve"> para hacer entrega a los </w:t>
      </w:r>
      <w:r w:rsidR="00382F4D">
        <w:rPr>
          <w:rFonts w:ascii="Verdana" w:hAnsi="Verdana"/>
          <w:sz w:val="20"/>
          <w:szCs w:val="20"/>
          <w:lang w:val="es-CR"/>
        </w:rPr>
        <w:t>Pueblos Kaliña y Lokono</w:t>
      </w:r>
      <w:r w:rsidRPr="00A91B78">
        <w:rPr>
          <w:rFonts w:ascii="Verdana" w:hAnsi="Verdana"/>
          <w:sz w:val="20"/>
          <w:szCs w:val="20"/>
          <w:lang w:val="es-CR"/>
        </w:rPr>
        <w:t xml:space="preserve"> de los títulos que les correspondan, </w:t>
      </w:r>
      <w:r w:rsidRPr="00CB6CFC">
        <w:rPr>
          <w:rFonts w:ascii="Verdana" w:hAnsi="Verdana"/>
          <w:sz w:val="20"/>
          <w:lang w:val="es-CR"/>
        </w:rPr>
        <w:t>los cuales deberán estar debidamente saneados</w:t>
      </w:r>
      <w:r w:rsidRPr="008C0FDC">
        <w:rPr>
          <w:rFonts w:ascii="Verdana" w:hAnsi="Verdana"/>
          <w:sz w:val="20"/>
          <w:szCs w:val="20"/>
          <w:lang w:val="es-CR"/>
        </w:rPr>
        <w:t>,</w:t>
      </w:r>
      <w:r w:rsidRPr="00A91B78">
        <w:rPr>
          <w:rFonts w:ascii="Verdana" w:hAnsi="Verdana"/>
          <w:sz w:val="20"/>
          <w:szCs w:val="20"/>
          <w:lang w:val="es-CR"/>
        </w:rPr>
        <w:t xml:space="preserve"> a fin de garantizar el uso y goce efectivo de su propiedad. </w:t>
      </w:r>
      <w:r>
        <w:rPr>
          <w:rFonts w:ascii="Verdana" w:hAnsi="Verdana"/>
          <w:sz w:val="20"/>
          <w:szCs w:val="20"/>
          <w:lang w:val="es-CR"/>
        </w:rPr>
        <w:t xml:space="preserve"> </w:t>
      </w:r>
    </w:p>
    <w:p w14:paraId="531308C6" w14:textId="77777777" w:rsidR="000C251D" w:rsidRPr="00A91B78" w:rsidRDefault="000C251D" w:rsidP="000C251D">
      <w:pPr>
        <w:jc w:val="both"/>
        <w:rPr>
          <w:rFonts w:ascii="Verdana" w:hAnsi="Verdana"/>
          <w:sz w:val="20"/>
          <w:szCs w:val="20"/>
          <w:lang w:val="es-ES"/>
        </w:rPr>
      </w:pPr>
    </w:p>
    <w:p w14:paraId="1C447F01" w14:textId="77777777" w:rsidR="000C251D" w:rsidRDefault="000C251D" w:rsidP="000C251D">
      <w:pPr>
        <w:numPr>
          <w:ilvl w:val="0"/>
          <w:numId w:val="2"/>
        </w:numPr>
        <w:ind w:left="0" w:hanging="11"/>
        <w:contextualSpacing/>
        <w:jc w:val="both"/>
        <w:rPr>
          <w:rFonts w:ascii="Verdana" w:hAnsi="Verdana"/>
          <w:sz w:val="20"/>
          <w:szCs w:val="20"/>
          <w:lang w:val="es-CR"/>
        </w:rPr>
      </w:pPr>
      <w:r w:rsidRPr="00A91B78">
        <w:rPr>
          <w:rFonts w:ascii="Verdana" w:hAnsi="Verdana"/>
          <w:sz w:val="20"/>
          <w:szCs w:val="20"/>
          <w:lang w:val="es-CR"/>
        </w:rPr>
        <w:t xml:space="preserve">El Estado deberá, dentro del plazo de tres meses a partir de la notificación de la </w:t>
      </w:r>
      <w:r w:rsidR="00752443">
        <w:rPr>
          <w:rFonts w:ascii="Verdana" w:hAnsi="Verdana"/>
          <w:sz w:val="20"/>
          <w:szCs w:val="20"/>
          <w:lang w:val="es-CR"/>
        </w:rPr>
        <w:t xml:space="preserve">presente </w:t>
      </w:r>
      <w:r w:rsidRPr="00A91B78">
        <w:rPr>
          <w:rFonts w:ascii="Verdana" w:hAnsi="Verdana"/>
          <w:sz w:val="20"/>
          <w:szCs w:val="20"/>
          <w:lang w:val="es-CR"/>
        </w:rPr>
        <w:t>Sentencia, poner en marcha los mecanismos necesarios de coordinación entre instituciones que tengan incidencia en la toma de decisiones y cuenten con competencia en la materia, con el fin de velar por la efectividad de las medidas antes dispuestas</w:t>
      </w:r>
      <w:r w:rsidRPr="00A91B78">
        <w:rPr>
          <w:rStyle w:val="FootnoteReference"/>
          <w:szCs w:val="20"/>
        </w:rPr>
        <w:footnoteReference w:id="326"/>
      </w:r>
      <w:r w:rsidRPr="00A91B78">
        <w:rPr>
          <w:rFonts w:ascii="Verdana" w:hAnsi="Verdana"/>
          <w:sz w:val="20"/>
          <w:szCs w:val="20"/>
          <w:lang w:val="es-CR"/>
        </w:rPr>
        <w:t>.</w:t>
      </w:r>
    </w:p>
    <w:p w14:paraId="6339966D" w14:textId="77777777" w:rsidR="002159F0" w:rsidRDefault="002159F0" w:rsidP="004B0145">
      <w:pPr>
        <w:pStyle w:val="ListParagraph"/>
        <w:rPr>
          <w:rFonts w:ascii="Verdana" w:hAnsi="Verdana"/>
          <w:sz w:val="20"/>
          <w:szCs w:val="20"/>
          <w:lang w:val="es-CR"/>
        </w:rPr>
      </w:pPr>
    </w:p>
    <w:p w14:paraId="5ED75067" w14:textId="1EC47618" w:rsidR="00A91B78" w:rsidRPr="00CB6CFC" w:rsidRDefault="00A91B78" w:rsidP="00366D91">
      <w:pPr>
        <w:pStyle w:val="ListParagraph"/>
        <w:numPr>
          <w:ilvl w:val="0"/>
          <w:numId w:val="45"/>
        </w:numPr>
        <w:jc w:val="both"/>
        <w:rPr>
          <w:rFonts w:ascii="Verdana" w:hAnsi="Verdana"/>
          <w:i/>
          <w:sz w:val="20"/>
          <w:lang w:val="es-ES"/>
        </w:rPr>
      </w:pPr>
      <w:r w:rsidRPr="00CB6CFC">
        <w:rPr>
          <w:rFonts w:ascii="Verdana" w:hAnsi="Verdana"/>
          <w:i/>
          <w:sz w:val="20"/>
          <w:lang w:val="es-ES"/>
        </w:rPr>
        <w:t xml:space="preserve">Respecto de las </w:t>
      </w:r>
      <w:r w:rsidR="00BF58DC">
        <w:rPr>
          <w:rFonts w:ascii="Verdana" w:hAnsi="Verdana"/>
          <w:i/>
          <w:sz w:val="20"/>
          <w:lang w:val="es-ES"/>
        </w:rPr>
        <w:t xml:space="preserve">restricciones </w:t>
      </w:r>
      <w:r w:rsidRPr="00CB6CFC">
        <w:rPr>
          <w:rFonts w:ascii="Verdana" w:hAnsi="Verdana"/>
          <w:i/>
          <w:sz w:val="20"/>
          <w:lang w:val="es-ES"/>
        </w:rPr>
        <w:t>en las reservas</w:t>
      </w:r>
      <w:r w:rsidR="002D4764">
        <w:rPr>
          <w:rFonts w:ascii="Verdana" w:hAnsi="Verdana"/>
          <w:i/>
          <w:sz w:val="20"/>
          <w:lang w:val="es-ES"/>
        </w:rPr>
        <w:t xml:space="preserve"> naturales</w:t>
      </w:r>
    </w:p>
    <w:p w14:paraId="05345717" w14:textId="77777777" w:rsidR="00A91B78" w:rsidRPr="00323B7B" w:rsidRDefault="00A91B78" w:rsidP="00A91B78">
      <w:pPr>
        <w:jc w:val="both"/>
        <w:rPr>
          <w:rFonts w:ascii="Verdana" w:hAnsi="Verdana"/>
          <w:i/>
          <w:sz w:val="20"/>
        </w:rPr>
      </w:pPr>
    </w:p>
    <w:p w14:paraId="43FDAE66" w14:textId="77777777" w:rsidR="000C251D" w:rsidRPr="00323B7B" w:rsidRDefault="000C251D" w:rsidP="000C251D">
      <w:pPr>
        <w:numPr>
          <w:ilvl w:val="0"/>
          <w:numId w:val="2"/>
        </w:numPr>
        <w:ind w:left="0" w:hanging="11"/>
        <w:contextualSpacing/>
        <w:jc w:val="both"/>
        <w:rPr>
          <w:rFonts w:ascii="Verdana" w:hAnsi="Verdana"/>
          <w:sz w:val="20"/>
          <w:lang w:val="es-CR"/>
        </w:rPr>
      </w:pPr>
      <w:r w:rsidRPr="00F568EB">
        <w:rPr>
          <w:rFonts w:ascii="Verdana" w:hAnsi="Verdana"/>
          <w:sz w:val="20"/>
          <w:lang w:val="es-CR"/>
        </w:rPr>
        <w:t>En rela</w:t>
      </w:r>
      <w:r w:rsidRPr="002E4040">
        <w:rPr>
          <w:rFonts w:ascii="Verdana" w:hAnsi="Verdana"/>
          <w:sz w:val="20"/>
          <w:lang w:val="es-CR"/>
        </w:rPr>
        <w:t>ción con las reservas de Galibi y Wane Kreek, el Estado deberá adoptar las</w:t>
      </w:r>
      <w:r w:rsidRPr="00CD3C46">
        <w:rPr>
          <w:rFonts w:ascii="Verdana" w:hAnsi="Verdana"/>
          <w:sz w:val="20"/>
          <w:lang w:val="es-ES"/>
        </w:rPr>
        <w:t xml:space="preserve"> medidas suficientes y necesarias, para que mediante </w:t>
      </w:r>
      <w:r w:rsidR="00CB6CFC" w:rsidRPr="00190AD3">
        <w:rPr>
          <w:rFonts w:ascii="Verdana" w:hAnsi="Verdana"/>
          <w:sz w:val="20"/>
          <w:lang w:val="es-ES"/>
        </w:rPr>
        <w:t>mecanismos</w:t>
      </w:r>
      <w:r w:rsidRPr="00190AD3">
        <w:rPr>
          <w:rFonts w:ascii="Verdana" w:hAnsi="Verdana"/>
          <w:sz w:val="20"/>
          <w:lang w:val="es-ES"/>
        </w:rPr>
        <w:t xml:space="preserve"> </w:t>
      </w:r>
      <w:r w:rsidR="009D4E53" w:rsidRPr="00190AD3">
        <w:rPr>
          <w:rFonts w:ascii="Verdana" w:hAnsi="Verdana"/>
          <w:sz w:val="20"/>
          <w:lang w:val="es-ES"/>
        </w:rPr>
        <w:t>adecuados</w:t>
      </w:r>
      <w:r w:rsidR="00752443">
        <w:rPr>
          <w:rFonts w:ascii="Verdana" w:hAnsi="Verdana"/>
          <w:sz w:val="20"/>
          <w:lang w:val="es-ES"/>
        </w:rPr>
        <w:t>,</w:t>
      </w:r>
      <w:r w:rsidR="00323B7B" w:rsidRPr="00190AD3">
        <w:rPr>
          <w:rFonts w:ascii="Verdana" w:hAnsi="Verdana"/>
          <w:sz w:val="20"/>
          <w:lang w:val="es-ES"/>
        </w:rPr>
        <w:t xml:space="preserve"> se garantice</w:t>
      </w:r>
      <w:r w:rsidR="00CB6CFC" w:rsidRPr="00190AD3">
        <w:rPr>
          <w:rFonts w:ascii="Verdana" w:hAnsi="Verdana"/>
          <w:sz w:val="20"/>
          <w:lang w:val="es-ES"/>
        </w:rPr>
        <w:t xml:space="preserve"> el acceso, uso y participación efectiva </w:t>
      </w:r>
      <w:r w:rsidRPr="00CB6CFC">
        <w:rPr>
          <w:rFonts w:ascii="Verdana" w:hAnsi="Verdana"/>
          <w:sz w:val="20"/>
          <w:lang w:val="es-ES"/>
        </w:rPr>
        <w:t xml:space="preserve">para los </w:t>
      </w:r>
      <w:r w:rsidR="00382F4D" w:rsidRPr="00CB6CFC">
        <w:rPr>
          <w:rFonts w:ascii="Verdana" w:hAnsi="Verdana"/>
          <w:sz w:val="20"/>
          <w:lang w:val="es-ES"/>
        </w:rPr>
        <w:t>Pueblos Kaliña y Lokono</w:t>
      </w:r>
      <w:r w:rsidR="009C7C0A">
        <w:rPr>
          <w:rFonts w:ascii="Verdana" w:hAnsi="Verdana"/>
          <w:sz w:val="20"/>
          <w:lang w:val="es-ES"/>
        </w:rPr>
        <w:t xml:space="preserve"> </w:t>
      </w:r>
      <w:r w:rsidR="009C7C0A" w:rsidRPr="00190AD3">
        <w:rPr>
          <w:rFonts w:ascii="Verdana" w:hAnsi="Verdana"/>
          <w:sz w:val="20"/>
          <w:lang w:val="es-ES"/>
        </w:rPr>
        <w:t xml:space="preserve">en las </w:t>
      </w:r>
      <w:r w:rsidR="00752443">
        <w:rPr>
          <w:rFonts w:ascii="Verdana" w:hAnsi="Verdana"/>
          <w:sz w:val="20"/>
          <w:lang w:val="es-ES"/>
        </w:rPr>
        <w:t>mismas</w:t>
      </w:r>
      <w:r w:rsidRPr="00190AD3">
        <w:rPr>
          <w:rFonts w:ascii="Verdana" w:hAnsi="Verdana"/>
          <w:sz w:val="20"/>
          <w:lang w:val="es-ES"/>
        </w:rPr>
        <w:t>,</w:t>
      </w:r>
      <w:r w:rsidR="002079C8" w:rsidRPr="00190AD3">
        <w:rPr>
          <w:rFonts w:ascii="Verdana" w:hAnsi="Verdana"/>
          <w:sz w:val="20"/>
          <w:lang w:val="es-ES"/>
        </w:rPr>
        <w:t xml:space="preserve"> </w:t>
      </w:r>
      <w:r w:rsidRPr="00CB6CFC">
        <w:rPr>
          <w:rFonts w:ascii="Verdana" w:hAnsi="Verdana"/>
          <w:sz w:val="20"/>
          <w:lang w:val="es-ES"/>
        </w:rPr>
        <w:t xml:space="preserve">a fin de hacer compatible la protección </w:t>
      </w:r>
      <w:r w:rsidR="00323B7B" w:rsidRPr="00190AD3">
        <w:rPr>
          <w:rFonts w:ascii="Verdana" w:hAnsi="Verdana"/>
          <w:sz w:val="20"/>
          <w:lang w:val="es-ES"/>
        </w:rPr>
        <w:t>del medio ambiente</w:t>
      </w:r>
      <w:r w:rsidRPr="00CB6CFC">
        <w:rPr>
          <w:rFonts w:ascii="Verdana" w:hAnsi="Verdana"/>
          <w:sz w:val="20"/>
          <w:lang w:val="es-ES"/>
        </w:rPr>
        <w:t xml:space="preserve"> con los derechos de los pueblos indígenas, de conformidad con el párrafo </w:t>
      </w:r>
      <w:r w:rsidR="000901EA">
        <w:rPr>
          <w:rFonts w:ascii="Verdana" w:hAnsi="Verdana"/>
          <w:sz w:val="20"/>
          <w:lang w:val="es-ES"/>
        </w:rPr>
        <w:t>1</w:t>
      </w:r>
      <w:r w:rsidR="00761A5E">
        <w:rPr>
          <w:rFonts w:ascii="Verdana" w:hAnsi="Verdana"/>
          <w:sz w:val="20"/>
          <w:lang w:val="es-ES"/>
        </w:rPr>
        <w:t>8</w:t>
      </w:r>
      <w:r w:rsidR="000901EA">
        <w:rPr>
          <w:rFonts w:ascii="Verdana" w:hAnsi="Verdana"/>
          <w:sz w:val="20"/>
          <w:lang w:val="es-ES"/>
        </w:rPr>
        <w:t xml:space="preserve">1 </w:t>
      </w:r>
      <w:r w:rsidRPr="00CB6CFC">
        <w:rPr>
          <w:rFonts w:ascii="Verdana" w:hAnsi="Verdana"/>
          <w:sz w:val="20"/>
          <w:lang w:val="es-ES"/>
        </w:rPr>
        <w:t xml:space="preserve">de la Sentencia, de manera que </w:t>
      </w:r>
      <w:r w:rsidRPr="00CB6CFC">
        <w:rPr>
          <w:rFonts w:ascii="Verdana" w:hAnsi="Verdana"/>
          <w:sz w:val="20"/>
          <w:lang w:val="es-CR"/>
        </w:rPr>
        <w:t xml:space="preserve">el mantenimiento de las reservas no constituya un obstáculo desmedido para </w:t>
      </w:r>
      <w:r w:rsidR="00DE6274" w:rsidRPr="00CB6CFC">
        <w:rPr>
          <w:rFonts w:ascii="Verdana" w:hAnsi="Verdana"/>
          <w:sz w:val="20"/>
          <w:lang w:val="es-CR"/>
        </w:rPr>
        <w:t xml:space="preserve">sus </w:t>
      </w:r>
      <w:r w:rsidRPr="00CB6CFC">
        <w:rPr>
          <w:rFonts w:ascii="Verdana" w:hAnsi="Verdana"/>
          <w:sz w:val="20"/>
          <w:lang w:val="es-CR"/>
        </w:rPr>
        <w:t>derechos</w:t>
      </w:r>
      <w:r w:rsidRPr="00CB6CFC">
        <w:rPr>
          <w:rStyle w:val="FootnoteReference"/>
          <w:lang w:val="es-CR"/>
        </w:rPr>
        <w:footnoteReference w:id="327"/>
      </w:r>
      <w:r w:rsidR="00323B7B">
        <w:rPr>
          <w:rFonts w:ascii="Verdana" w:hAnsi="Verdana"/>
          <w:sz w:val="20"/>
          <w:lang w:val="es-CR"/>
        </w:rPr>
        <w:t xml:space="preserve">, por lo que </w:t>
      </w:r>
      <w:r w:rsidRPr="00CB6CFC">
        <w:rPr>
          <w:rFonts w:ascii="Verdana" w:hAnsi="Verdana"/>
          <w:sz w:val="20"/>
          <w:lang w:val="es-CR"/>
        </w:rPr>
        <w:t xml:space="preserve">cualquier restricción </w:t>
      </w:r>
      <w:r w:rsidR="00DE6274" w:rsidRPr="00CB6CFC">
        <w:rPr>
          <w:rFonts w:ascii="Verdana" w:hAnsi="Verdana"/>
          <w:sz w:val="20"/>
          <w:lang w:val="es-CR"/>
        </w:rPr>
        <w:t xml:space="preserve">a </w:t>
      </w:r>
      <w:r w:rsidR="00323B7B">
        <w:rPr>
          <w:rFonts w:ascii="Verdana" w:hAnsi="Verdana"/>
          <w:sz w:val="20"/>
          <w:lang w:val="es-CR"/>
        </w:rPr>
        <w:t xml:space="preserve">los mismos </w:t>
      </w:r>
      <w:r w:rsidRPr="00CB6CFC">
        <w:rPr>
          <w:rFonts w:ascii="Verdana" w:hAnsi="Verdana"/>
          <w:sz w:val="20"/>
          <w:lang w:val="es-CR"/>
        </w:rPr>
        <w:t>deberá cumplir con los requisitos de legalidad, necesidad, proporcionalidad y el logro de un objetivo legítimo (</w:t>
      </w:r>
      <w:r w:rsidR="00366D91" w:rsidRPr="00323B7B">
        <w:rPr>
          <w:rFonts w:ascii="Verdana" w:hAnsi="Verdana"/>
          <w:i/>
          <w:sz w:val="20"/>
          <w:lang w:val="es-CR"/>
        </w:rPr>
        <w:t>supra</w:t>
      </w:r>
      <w:r w:rsidRPr="00323B7B">
        <w:rPr>
          <w:rFonts w:ascii="Verdana" w:hAnsi="Verdana"/>
          <w:sz w:val="20"/>
          <w:lang w:val="es-CR"/>
        </w:rPr>
        <w:t xml:space="preserve"> párr. </w:t>
      </w:r>
      <w:r w:rsidR="00D24B97">
        <w:rPr>
          <w:rFonts w:ascii="Verdana" w:hAnsi="Verdana"/>
          <w:sz w:val="20"/>
          <w:lang w:val="es-CR"/>
        </w:rPr>
        <w:t>155</w:t>
      </w:r>
      <w:r w:rsidRPr="00323B7B">
        <w:rPr>
          <w:rFonts w:ascii="Verdana" w:hAnsi="Verdana"/>
          <w:sz w:val="20"/>
          <w:lang w:val="es-CR"/>
        </w:rPr>
        <w:t>).</w:t>
      </w:r>
    </w:p>
    <w:p w14:paraId="76185CDD" w14:textId="77777777" w:rsidR="00A91B78" w:rsidRPr="00A91B78" w:rsidRDefault="00A91B78" w:rsidP="00A91B78">
      <w:pPr>
        <w:jc w:val="both"/>
        <w:rPr>
          <w:rFonts w:ascii="Verdana" w:hAnsi="Verdana"/>
          <w:sz w:val="20"/>
          <w:szCs w:val="20"/>
          <w:lang w:val="es-CR"/>
        </w:rPr>
      </w:pPr>
    </w:p>
    <w:p w14:paraId="1FAF7403" w14:textId="726DDD3E" w:rsidR="00A91B78" w:rsidRPr="0029611B" w:rsidRDefault="00A91B78" w:rsidP="006B3EAF">
      <w:pPr>
        <w:pStyle w:val="ListParagraph"/>
        <w:numPr>
          <w:ilvl w:val="0"/>
          <w:numId w:val="45"/>
        </w:numPr>
        <w:jc w:val="both"/>
        <w:rPr>
          <w:rFonts w:ascii="Verdana" w:hAnsi="Verdana"/>
          <w:i/>
          <w:sz w:val="20"/>
          <w:szCs w:val="20"/>
        </w:rPr>
      </w:pPr>
      <w:r w:rsidRPr="0029611B">
        <w:rPr>
          <w:rFonts w:ascii="Verdana" w:hAnsi="Verdana" w:cs="Arial"/>
          <w:i/>
          <w:sz w:val="20"/>
          <w:szCs w:val="20"/>
          <w:lang w:val="es-ES"/>
        </w:rPr>
        <w:t xml:space="preserve">Respecto de las concesiones dentro de las reservas naturales en el territorio </w:t>
      </w:r>
      <w:r w:rsidR="00B4017E">
        <w:rPr>
          <w:rFonts w:ascii="Verdana" w:hAnsi="Verdana" w:cs="Arial"/>
          <w:i/>
          <w:sz w:val="20"/>
          <w:szCs w:val="20"/>
          <w:lang w:val="es-ES"/>
        </w:rPr>
        <w:t>tradicional</w:t>
      </w:r>
    </w:p>
    <w:p w14:paraId="290255F5" w14:textId="77777777" w:rsidR="006A4579" w:rsidRPr="0029611B" w:rsidRDefault="006A4579" w:rsidP="0029611B">
      <w:pPr>
        <w:ind w:left="360"/>
        <w:jc w:val="both"/>
        <w:rPr>
          <w:rFonts w:ascii="Verdana" w:hAnsi="Verdana"/>
          <w:i/>
          <w:sz w:val="20"/>
          <w:szCs w:val="20"/>
        </w:rPr>
      </w:pPr>
    </w:p>
    <w:p w14:paraId="59A85AB0" w14:textId="733E6FCF" w:rsidR="00A91B78" w:rsidRDefault="00A91B78" w:rsidP="00A91B78">
      <w:pPr>
        <w:numPr>
          <w:ilvl w:val="0"/>
          <w:numId w:val="2"/>
        </w:numPr>
        <w:ind w:left="0" w:hanging="11"/>
        <w:contextualSpacing/>
        <w:jc w:val="both"/>
        <w:rPr>
          <w:rFonts w:ascii="Verdana" w:hAnsi="Verdana"/>
          <w:i/>
          <w:sz w:val="20"/>
          <w:lang w:val="es-CR"/>
        </w:rPr>
      </w:pPr>
      <w:r w:rsidRPr="0029611B">
        <w:rPr>
          <w:rFonts w:ascii="Verdana" w:eastAsia="Times New Roman" w:hAnsi="Verdana"/>
          <w:color w:val="000000"/>
          <w:sz w:val="20"/>
          <w:lang w:val="es-CR" w:eastAsia="es-CR"/>
        </w:rPr>
        <w:t>Dado que las actividades de la concesión minera cesaron en 200</w:t>
      </w:r>
      <w:r w:rsidR="009C7C0A" w:rsidRPr="0029611B">
        <w:rPr>
          <w:rFonts w:ascii="Verdana" w:eastAsia="Times New Roman" w:hAnsi="Verdana"/>
          <w:color w:val="000000"/>
          <w:sz w:val="20"/>
          <w:lang w:val="es-CR" w:eastAsia="es-CR"/>
        </w:rPr>
        <w:t>9</w:t>
      </w:r>
      <w:r w:rsidRPr="0029611B">
        <w:rPr>
          <w:rStyle w:val="FootnoteReference"/>
          <w:rFonts w:eastAsia="Times New Roman"/>
          <w:color w:val="000000"/>
          <w:lang w:val="es-CR" w:eastAsia="es-CR"/>
        </w:rPr>
        <w:footnoteReference w:id="328"/>
      </w:r>
      <w:r w:rsidRPr="0029611B">
        <w:rPr>
          <w:rFonts w:ascii="Verdana" w:eastAsia="Times New Roman" w:hAnsi="Verdana"/>
          <w:color w:val="000000"/>
          <w:sz w:val="20"/>
          <w:lang w:val="es-CR" w:eastAsia="es-CR"/>
        </w:rPr>
        <w:t>, la Corte estima que no es necesario adoptar la</w:t>
      </w:r>
      <w:r w:rsidR="000C251D" w:rsidRPr="0029611B">
        <w:rPr>
          <w:rFonts w:ascii="Verdana" w:eastAsia="Times New Roman" w:hAnsi="Verdana"/>
          <w:color w:val="000000"/>
          <w:sz w:val="20"/>
          <w:lang w:val="es-CR" w:eastAsia="es-CR"/>
        </w:rPr>
        <w:t>s</w:t>
      </w:r>
      <w:r w:rsidRPr="0029611B">
        <w:rPr>
          <w:rFonts w:ascii="Verdana" w:eastAsia="Times New Roman" w:hAnsi="Verdana"/>
          <w:color w:val="000000"/>
          <w:sz w:val="20"/>
          <w:lang w:val="es-CR" w:eastAsia="es-CR"/>
        </w:rPr>
        <w:t xml:space="preserve"> medidas relativas a la revisión y revocación de la concesión minera solicitadas por los representantes. Sin embargo, </w:t>
      </w:r>
      <w:r w:rsidR="000C251D" w:rsidRPr="0029611B">
        <w:rPr>
          <w:rFonts w:ascii="Verdana" w:eastAsia="Times New Roman" w:hAnsi="Verdana"/>
          <w:color w:val="000000"/>
          <w:sz w:val="20"/>
          <w:lang w:val="es-CR" w:eastAsia="es-CR"/>
        </w:rPr>
        <w:t xml:space="preserve">siendo </w:t>
      </w:r>
      <w:r w:rsidRPr="0029611B">
        <w:rPr>
          <w:rFonts w:ascii="Verdana" w:eastAsia="Times New Roman" w:hAnsi="Verdana"/>
          <w:color w:val="000000"/>
          <w:sz w:val="20"/>
          <w:lang w:val="es-CR" w:eastAsia="es-CR"/>
        </w:rPr>
        <w:t>que la concesión finaliza hasta</w:t>
      </w:r>
      <w:r w:rsidR="000C251D" w:rsidRPr="0029611B">
        <w:rPr>
          <w:rFonts w:ascii="Verdana" w:eastAsia="Times New Roman" w:hAnsi="Verdana"/>
          <w:color w:val="000000"/>
          <w:sz w:val="20"/>
          <w:lang w:val="es-CR" w:eastAsia="es-CR"/>
        </w:rPr>
        <w:t xml:space="preserve"> el año</w:t>
      </w:r>
      <w:r w:rsidRPr="0029611B">
        <w:rPr>
          <w:rFonts w:ascii="Verdana" w:eastAsia="Times New Roman" w:hAnsi="Verdana"/>
          <w:color w:val="000000"/>
          <w:sz w:val="20"/>
          <w:lang w:val="es-CR" w:eastAsia="es-CR"/>
        </w:rPr>
        <w:t xml:space="preserve"> </w:t>
      </w:r>
      <w:r w:rsidR="007A76EB" w:rsidRPr="00190AD3">
        <w:rPr>
          <w:rFonts w:ascii="Verdana" w:eastAsia="Times New Roman" w:hAnsi="Verdana"/>
          <w:color w:val="000000"/>
          <w:sz w:val="20"/>
          <w:lang w:val="es-CR" w:eastAsia="es-CR"/>
        </w:rPr>
        <w:t>2033</w:t>
      </w:r>
      <w:r w:rsidR="007A76EB" w:rsidRPr="0029611B">
        <w:rPr>
          <w:rFonts w:ascii="Verdana" w:eastAsia="Times New Roman" w:hAnsi="Verdana"/>
          <w:color w:val="000000"/>
          <w:sz w:val="20"/>
          <w:lang w:val="es-CR" w:eastAsia="es-CR"/>
        </w:rPr>
        <w:t xml:space="preserve"> </w:t>
      </w:r>
      <w:r w:rsidRPr="0029611B">
        <w:rPr>
          <w:rFonts w:ascii="Verdana" w:eastAsia="Times New Roman" w:hAnsi="Verdana"/>
          <w:color w:val="000000"/>
          <w:sz w:val="20"/>
          <w:lang w:val="es-CR" w:eastAsia="es-CR"/>
        </w:rPr>
        <w:t>la Corte advierte</w:t>
      </w:r>
      <w:r w:rsidRPr="0029611B">
        <w:rPr>
          <w:rFonts w:ascii="Verdana" w:hAnsi="Verdana"/>
          <w:sz w:val="20"/>
          <w:lang w:val="es-CR"/>
        </w:rPr>
        <w:t xml:space="preserve"> que, en todo caso, el Estado deberá </w:t>
      </w:r>
      <w:r w:rsidR="00077064">
        <w:rPr>
          <w:rFonts w:ascii="Verdana" w:hAnsi="Verdana"/>
          <w:sz w:val="20"/>
          <w:lang w:val="es-CR"/>
        </w:rPr>
        <w:t>adoptar las medidas necesarias para que no se lleven a cabo actividades que puedan afectar el territorio tradicional, en particular en la Reserva de Wane Kreek, mientras no se garantice la participación efectiva</w:t>
      </w:r>
      <w:r w:rsidR="00B4017E">
        <w:rPr>
          <w:rFonts w:ascii="Verdana" w:hAnsi="Verdana"/>
          <w:sz w:val="20"/>
          <w:lang w:val="es-CR"/>
        </w:rPr>
        <w:t>, a través de un proceso de consulta</w:t>
      </w:r>
      <w:r w:rsidR="00077064">
        <w:rPr>
          <w:rFonts w:ascii="Verdana" w:hAnsi="Verdana"/>
          <w:sz w:val="20"/>
          <w:lang w:val="es-CR"/>
        </w:rPr>
        <w:t xml:space="preserve"> </w:t>
      </w:r>
      <w:r w:rsidR="00557E59">
        <w:rPr>
          <w:rFonts w:ascii="Verdana" w:hAnsi="Verdana"/>
          <w:sz w:val="20"/>
          <w:lang w:val="es-CR"/>
        </w:rPr>
        <w:t xml:space="preserve">de </w:t>
      </w:r>
      <w:r w:rsidR="00077064">
        <w:rPr>
          <w:rFonts w:ascii="Verdana" w:hAnsi="Verdana"/>
          <w:sz w:val="20"/>
          <w:lang w:val="es-CR"/>
        </w:rPr>
        <w:t>los Pueblos Kaliña y Lokono</w:t>
      </w:r>
      <w:r w:rsidR="00557E59">
        <w:rPr>
          <w:rFonts w:ascii="Verdana" w:hAnsi="Verdana"/>
          <w:sz w:val="20"/>
          <w:lang w:val="es-CR"/>
        </w:rPr>
        <w:t>, en los términos de</w:t>
      </w:r>
      <w:r w:rsidR="00B4017E">
        <w:rPr>
          <w:rFonts w:ascii="Verdana" w:hAnsi="Verdana"/>
          <w:sz w:val="20"/>
          <w:lang w:val="es-CR"/>
        </w:rPr>
        <w:t xml:space="preserve"> los</w:t>
      </w:r>
      <w:r w:rsidR="00557E59">
        <w:rPr>
          <w:rFonts w:ascii="Verdana" w:hAnsi="Verdana"/>
          <w:sz w:val="20"/>
          <w:lang w:val="es-CR"/>
        </w:rPr>
        <w:t xml:space="preserve"> párrafo</w:t>
      </w:r>
      <w:r w:rsidR="00B4017E">
        <w:rPr>
          <w:rFonts w:ascii="Verdana" w:hAnsi="Verdana"/>
          <w:sz w:val="20"/>
          <w:lang w:val="es-CR"/>
        </w:rPr>
        <w:t>s</w:t>
      </w:r>
      <w:r w:rsidR="00557E59">
        <w:rPr>
          <w:rFonts w:ascii="Verdana" w:hAnsi="Verdana"/>
          <w:sz w:val="20"/>
          <w:lang w:val="es-CR"/>
        </w:rPr>
        <w:t xml:space="preserve"> </w:t>
      </w:r>
      <w:r w:rsidR="00B4017E">
        <w:rPr>
          <w:rFonts w:ascii="Verdana" w:hAnsi="Verdana"/>
          <w:sz w:val="20"/>
          <w:lang w:val="es-CR"/>
        </w:rPr>
        <w:t xml:space="preserve">206, </w:t>
      </w:r>
      <w:r w:rsidR="00E95007">
        <w:rPr>
          <w:rFonts w:ascii="Verdana" w:hAnsi="Verdana"/>
          <w:sz w:val="20"/>
          <w:lang w:val="es-CR"/>
        </w:rPr>
        <w:t>207</w:t>
      </w:r>
      <w:r w:rsidR="00B4017E">
        <w:rPr>
          <w:rFonts w:ascii="Verdana" w:hAnsi="Verdana"/>
          <w:sz w:val="20"/>
          <w:lang w:val="es-CR"/>
        </w:rPr>
        <w:t>, y 212.</w:t>
      </w:r>
      <w:r w:rsidR="00E95007">
        <w:rPr>
          <w:rFonts w:ascii="Verdana" w:hAnsi="Verdana"/>
          <w:sz w:val="20"/>
          <w:lang w:val="es-CR"/>
        </w:rPr>
        <w:t xml:space="preserve"> </w:t>
      </w:r>
    </w:p>
    <w:p w14:paraId="2AAC051B" w14:textId="77777777" w:rsidR="00A91B78" w:rsidRDefault="00A91B78" w:rsidP="00A91B78">
      <w:pPr>
        <w:jc w:val="both"/>
        <w:rPr>
          <w:rFonts w:ascii="Verdana" w:hAnsi="Verdana"/>
          <w:i/>
          <w:sz w:val="20"/>
          <w:szCs w:val="20"/>
          <w:lang w:val="es-CR"/>
        </w:rPr>
      </w:pPr>
    </w:p>
    <w:p w14:paraId="63FB6211" w14:textId="77777777" w:rsidR="0023478B" w:rsidRDefault="0023478B" w:rsidP="00A91B78">
      <w:pPr>
        <w:jc w:val="both"/>
        <w:rPr>
          <w:rFonts w:ascii="Verdana" w:hAnsi="Verdana"/>
          <w:i/>
          <w:sz w:val="20"/>
          <w:szCs w:val="20"/>
          <w:lang w:val="es-CR"/>
        </w:rPr>
      </w:pPr>
    </w:p>
    <w:p w14:paraId="3DEE11C6" w14:textId="77777777" w:rsidR="0023478B" w:rsidRPr="00A91B78" w:rsidRDefault="0023478B" w:rsidP="00A91B78">
      <w:pPr>
        <w:jc w:val="both"/>
        <w:rPr>
          <w:rFonts w:ascii="Verdana" w:hAnsi="Verdana"/>
          <w:i/>
          <w:sz w:val="20"/>
          <w:szCs w:val="20"/>
          <w:lang w:val="es-CR"/>
        </w:rPr>
      </w:pPr>
    </w:p>
    <w:p w14:paraId="244C9741" w14:textId="77777777" w:rsidR="00A91B78" w:rsidRPr="00A91B78" w:rsidRDefault="000C251D" w:rsidP="00A91B78">
      <w:pPr>
        <w:pStyle w:val="Heading2"/>
        <w:numPr>
          <w:ilvl w:val="0"/>
          <w:numId w:val="42"/>
        </w:numPr>
        <w:spacing w:before="0"/>
        <w:jc w:val="both"/>
        <w:rPr>
          <w:rFonts w:ascii="Verdana" w:hAnsi="Verdana"/>
          <w:bCs w:val="0"/>
          <w:i/>
          <w:color w:val="auto"/>
          <w:sz w:val="20"/>
          <w:szCs w:val="20"/>
        </w:rPr>
      </w:pPr>
      <w:bookmarkStart w:id="95" w:name="_Toc441666202"/>
      <w:r>
        <w:rPr>
          <w:rFonts w:ascii="Verdana" w:hAnsi="Verdana"/>
          <w:bCs w:val="0"/>
          <w:i/>
          <w:color w:val="auto"/>
          <w:sz w:val="20"/>
          <w:szCs w:val="20"/>
        </w:rPr>
        <w:lastRenderedPageBreak/>
        <w:t>R</w:t>
      </w:r>
      <w:r w:rsidR="00A91B78" w:rsidRPr="00A91B78">
        <w:rPr>
          <w:rFonts w:ascii="Verdana" w:hAnsi="Verdana"/>
          <w:bCs w:val="0"/>
          <w:i/>
          <w:color w:val="auto"/>
          <w:sz w:val="20"/>
          <w:szCs w:val="20"/>
        </w:rPr>
        <w:t>ehabilitación de</w:t>
      </w:r>
      <w:r w:rsidR="00EC22F5">
        <w:rPr>
          <w:rFonts w:ascii="Verdana" w:hAnsi="Verdana"/>
          <w:bCs w:val="0"/>
          <w:i/>
          <w:color w:val="auto"/>
          <w:sz w:val="20"/>
          <w:szCs w:val="20"/>
        </w:rPr>
        <w:t>l territorio</w:t>
      </w:r>
      <w:bookmarkEnd w:id="95"/>
    </w:p>
    <w:p w14:paraId="2953662A" w14:textId="77777777" w:rsidR="00A91B78" w:rsidRPr="00A91B78" w:rsidRDefault="00A91B78" w:rsidP="00A91B78">
      <w:pPr>
        <w:jc w:val="both"/>
        <w:rPr>
          <w:rFonts w:ascii="Verdana" w:hAnsi="Verdana"/>
          <w:sz w:val="20"/>
          <w:szCs w:val="20"/>
          <w:lang w:val="es-PE"/>
        </w:rPr>
      </w:pPr>
    </w:p>
    <w:p w14:paraId="7F833305" w14:textId="63B7084B" w:rsidR="00A91B78" w:rsidRPr="00A91B78" w:rsidRDefault="00A91B78" w:rsidP="00A91B78">
      <w:pPr>
        <w:numPr>
          <w:ilvl w:val="0"/>
          <w:numId w:val="2"/>
        </w:numPr>
        <w:ind w:left="0" w:hanging="11"/>
        <w:contextualSpacing/>
        <w:jc w:val="both"/>
        <w:rPr>
          <w:rFonts w:ascii="Verdana" w:hAnsi="Verdana"/>
          <w:sz w:val="20"/>
          <w:lang w:val="es-ES"/>
        </w:rPr>
      </w:pPr>
      <w:r w:rsidRPr="007E20F9">
        <w:rPr>
          <w:rFonts w:ascii="Verdana" w:hAnsi="Verdana" w:cs="Arial"/>
          <w:sz w:val="20"/>
          <w:szCs w:val="20"/>
          <w:lang w:val="es-ES"/>
        </w:rPr>
        <w:t xml:space="preserve">La </w:t>
      </w:r>
      <w:r w:rsidRPr="007E20F9">
        <w:rPr>
          <w:rFonts w:ascii="Verdana" w:hAnsi="Verdana" w:cs="Arial"/>
          <w:b/>
          <w:i/>
          <w:sz w:val="20"/>
          <w:szCs w:val="20"/>
          <w:lang w:val="es-ES"/>
        </w:rPr>
        <w:t>Comisión</w:t>
      </w:r>
      <w:r w:rsidRPr="007E20F9">
        <w:rPr>
          <w:rFonts w:ascii="Verdana" w:hAnsi="Verdana" w:cs="Arial"/>
          <w:sz w:val="20"/>
          <w:szCs w:val="20"/>
          <w:lang w:val="es-ES"/>
        </w:rPr>
        <w:t xml:space="preserve"> solicitó que se adopten medidas para rehabilitar el área afectada por las actividades mineras en la reserva de </w:t>
      </w:r>
      <w:r w:rsidR="00264D1A" w:rsidRPr="007E20F9">
        <w:rPr>
          <w:rFonts w:ascii="Verdana" w:hAnsi="Verdana" w:cs="Arial"/>
          <w:sz w:val="20"/>
          <w:szCs w:val="20"/>
          <w:lang w:val="es-ES"/>
        </w:rPr>
        <w:t>Wane Kreek</w:t>
      </w:r>
      <w:r w:rsidRPr="007E20F9">
        <w:rPr>
          <w:rFonts w:ascii="Verdana" w:hAnsi="Verdana" w:cs="Arial"/>
          <w:sz w:val="20"/>
          <w:szCs w:val="20"/>
          <w:lang w:val="es-ES"/>
        </w:rPr>
        <w:t xml:space="preserve">, con la aprobación de los </w:t>
      </w:r>
      <w:r w:rsidR="007F642B" w:rsidRPr="007E20F9">
        <w:rPr>
          <w:rFonts w:ascii="Verdana" w:hAnsi="Verdana" w:cs="Arial"/>
          <w:sz w:val="20"/>
          <w:szCs w:val="20"/>
          <w:lang w:val="es-ES"/>
        </w:rPr>
        <w:t>P</w:t>
      </w:r>
      <w:r w:rsidRPr="007E20F9">
        <w:rPr>
          <w:rFonts w:ascii="Verdana" w:hAnsi="Verdana" w:cs="Arial"/>
          <w:sz w:val="20"/>
          <w:szCs w:val="20"/>
          <w:lang w:val="es-ES"/>
        </w:rPr>
        <w:t>ueblos Kaliña y Lokono. También solicitó la realización de  un estudio independiente sobre el impacto actual en el suelo, bosques y ríos, así como un plan de rehabilitación</w:t>
      </w:r>
      <w:r w:rsidR="008A4ABB" w:rsidRPr="007E20F9">
        <w:rPr>
          <w:rFonts w:ascii="Verdana" w:hAnsi="Verdana" w:cs="Arial"/>
          <w:sz w:val="20"/>
          <w:szCs w:val="20"/>
          <w:lang w:val="es-ES"/>
        </w:rPr>
        <w:t>. Para ello</w:t>
      </w:r>
      <w:r w:rsidRPr="00E95007">
        <w:rPr>
          <w:rFonts w:ascii="Verdana" w:hAnsi="Verdana"/>
          <w:sz w:val="20"/>
          <w:szCs w:val="20"/>
          <w:lang w:val="es-ES"/>
        </w:rPr>
        <w:t xml:space="preserve"> se deber</w:t>
      </w:r>
      <w:r w:rsidR="0016353F" w:rsidRPr="00E95007">
        <w:rPr>
          <w:rFonts w:ascii="Verdana" w:hAnsi="Verdana"/>
          <w:sz w:val="20"/>
          <w:szCs w:val="20"/>
          <w:lang w:val="es-ES"/>
        </w:rPr>
        <w:t>á</w:t>
      </w:r>
      <w:r w:rsidRPr="00E95007">
        <w:rPr>
          <w:rFonts w:ascii="Verdana" w:hAnsi="Verdana"/>
          <w:sz w:val="20"/>
          <w:szCs w:val="20"/>
          <w:lang w:val="es-ES"/>
        </w:rPr>
        <w:t xml:space="preserve"> consultar a los </w:t>
      </w:r>
      <w:r w:rsidR="0016353F" w:rsidRPr="00E95007">
        <w:rPr>
          <w:rFonts w:ascii="Verdana" w:hAnsi="Verdana"/>
          <w:sz w:val="20"/>
          <w:szCs w:val="20"/>
          <w:lang w:val="es-ES"/>
        </w:rPr>
        <w:t>p</w:t>
      </w:r>
      <w:r w:rsidRPr="00E95007">
        <w:rPr>
          <w:rFonts w:ascii="Verdana" w:hAnsi="Verdana"/>
          <w:sz w:val="20"/>
          <w:szCs w:val="20"/>
          <w:lang w:val="es-ES"/>
        </w:rPr>
        <w:t>ueblos con el fin de lograr dicho objetivo</w:t>
      </w:r>
      <w:r w:rsidRPr="004B0145">
        <w:rPr>
          <w:rFonts w:ascii="Verdana" w:hAnsi="Verdana"/>
          <w:sz w:val="20"/>
          <w:lang w:val="es-ES"/>
        </w:rPr>
        <w:t>.</w:t>
      </w:r>
    </w:p>
    <w:p w14:paraId="674937E2" w14:textId="77777777" w:rsidR="00A91B78" w:rsidRPr="00A91B78" w:rsidRDefault="00A91B78" w:rsidP="00A91B78">
      <w:pPr>
        <w:jc w:val="both"/>
        <w:rPr>
          <w:rFonts w:ascii="Verdana" w:hAnsi="Verdana" w:cs="Arial"/>
          <w:color w:val="222222"/>
          <w:sz w:val="20"/>
          <w:szCs w:val="20"/>
          <w:lang w:val="es-ES"/>
        </w:rPr>
      </w:pPr>
    </w:p>
    <w:p w14:paraId="7EF1B6AF" w14:textId="11926DE8" w:rsidR="00C919DC" w:rsidRPr="00230709" w:rsidRDefault="00A91B78" w:rsidP="00230709">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ES"/>
        </w:rPr>
        <w:t>L</w:t>
      </w:r>
      <w:r w:rsidRPr="00A91B78">
        <w:rPr>
          <w:rFonts w:ascii="Verdana" w:hAnsi="Verdana"/>
          <w:sz w:val="20"/>
          <w:szCs w:val="20"/>
          <w:lang w:val="es-MX"/>
        </w:rPr>
        <w:t xml:space="preserve">os </w:t>
      </w:r>
      <w:r w:rsidRPr="00A91B78">
        <w:rPr>
          <w:rFonts w:ascii="Verdana" w:hAnsi="Verdana"/>
          <w:b/>
          <w:i/>
          <w:sz w:val="20"/>
          <w:szCs w:val="20"/>
          <w:lang w:val="es-MX"/>
        </w:rPr>
        <w:t>representantes</w:t>
      </w:r>
      <w:r w:rsidRPr="00A91B78">
        <w:rPr>
          <w:rFonts w:ascii="Verdana" w:hAnsi="Verdana"/>
          <w:sz w:val="20"/>
          <w:szCs w:val="20"/>
          <w:lang w:val="es-MX"/>
        </w:rPr>
        <w:t xml:space="preserve"> requirieron: i) la rehabilitación </w:t>
      </w:r>
      <w:r w:rsidR="00603A69">
        <w:rPr>
          <w:rFonts w:ascii="Verdana" w:hAnsi="Verdana"/>
          <w:sz w:val="20"/>
          <w:szCs w:val="20"/>
          <w:lang w:val="es-MX"/>
        </w:rPr>
        <w:t xml:space="preserve"> y restauración </w:t>
      </w:r>
      <w:r w:rsidRPr="00A91B78">
        <w:rPr>
          <w:rFonts w:ascii="Verdana" w:hAnsi="Verdana"/>
          <w:sz w:val="20"/>
          <w:szCs w:val="20"/>
          <w:lang w:val="es-MX"/>
        </w:rPr>
        <w:t xml:space="preserve">de la tierras que están en manos de terceros, y de las que </w:t>
      </w:r>
      <w:r w:rsidR="00603A69">
        <w:rPr>
          <w:rFonts w:ascii="Verdana" w:hAnsi="Verdana"/>
          <w:sz w:val="20"/>
          <w:szCs w:val="20"/>
          <w:lang w:val="es-MX"/>
        </w:rPr>
        <w:t>se encuentran dentro</w:t>
      </w:r>
      <w:r w:rsidRPr="00A91B78">
        <w:rPr>
          <w:rFonts w:ascii="Verdana" w:hAnsi="Verdana"/>
          <w:sz w:val="20"/>
          <w:szCs w:val="20"/>
          <w:lang w:val="es-MX"/>
        </w:rPr>
        <w:t xml:space="preserve"> de las tres áreas protegidas creadas </w:t>
      </w:r>
      <w:r w:rsidR="00603A69">
        <w:rPr>
          <w:rFonts w:ascii="Verdana" w:hAnsi="Verdana"/>
          <w:sz w:val="20"/>
          <w:szCs w:val="20"/>
          <w:lang w:val="es-MX"/>
        </w:rPr>
        <w:t>en</w:t>
      </w:r>
      <w:r w:rsidRPr="00A91B78">
        <w:rPr>
          <w:rFonts w:ascii="Verdana" w:hAnsi="Verdana"/>
          <w:sz w:val="20"/>
          <w:szCs w:val="20"/>
          <w:lang w:val="es-MX"/>
        </w:rPr>
        <w:t xml:space="preserve"> el territorio de los </w:t>
      </w:r>
      <w:r w:rsidR="007F642B">
        <w:rPr>
          <w:rFonts w:ascii="Verdana" w:hAnsi="Verdana"/>
          <w:sz w:val="20"/>
          <w:szCs w:val="20"/>
          <w:lang w:val="es-MX"/>
        </w:rPr>
        <w:t>P</w:t>
      </w:r>
      <w:r w:rsidRPr="00A91B78">
        <w:rPr>
          <w:rFonts w:ascii="Verdana" w:hAnsi="Verdana"/>
          <w:sz w:val="20"/>
          <w:szCs w:val="20"/>
          <w:lang w:val="es-MX"/>
        </w:rPr>
        <w:t>ueblos Kaliña y Lokono, y ii) la efectiva descontaminación del medio ambiente y rehabilitación de las tierras degradad</w:t>
      </w:r>
      <w:r w:rsidR="00603A69">
        <w:rPr>
          <w:rFonts w:ascii="Verdana" w:hAnsi="Verdana"/>
          <w:sz w:val="20"/>
          <w:szCs w:val="20"/>
          <w:lang w:val="es-MX"/>
        </w:rPr>
        <w:t>a</w:t>
      </w:r>
      <w:r w:rsidRPr="00A91B78">
        <w:rPr>
          <w:rFonts w:ascii="Verdana" w:hAnsi="Verdana"/>
          <w:sz w:val="20"/>
          <w:szCs w:val="20"/>
          <w:lang w:val="es-MX"/>
        </w:rPr>
        <w:t xml:space="preserve">s por la minería en el territorio de </w:t>
      </w:r>
      <w:r w:rsidR="00603A69">
        <w:rPr>
          <w:rFonts w:ascii="Verdana" w:hAnsi="Verdana"/>
          <w:sz w:val="20"/>
          <w:szCs w:val="20"/>
          <w:lang w:val="es-MX"/>
        </w:rPr>
        <w:t>dichos p</w:t>
      </w:r>
      <w:r w:rsidR="00382F4D">
        <w:rPr>
          <w:rFonts w:ascii="Verdana" w:hAnsi="Verdana"/>
          <w:sz w:val="20"/>
          <w:szCs w:val="20"/>
          <w:lang w:val="es-MX"/>
        </w:rPr>
        <w:t>ueblos</w:t>
      </w:r>
      <w:r w:rsidRPr="00A91B78">
        <w:rPr>
          <w:rFonts w:ascii="Verdana" w:hAnsi="Verdana"/>
          <w:sz w:val="20"/>
          <w:szCs w:val="20"/>
          <w:lang w:val="es-MX"/>
        </w:rPr>
        <w:t xml:space="preserve">. Aunado a lo anterior, en sus observaciones finales, los representantes destacaron que los daños causados por la actividad minera </w:t>
      </w:r>
      <w:r w:rsidR="00603A69">
        <w:rPr>
          <w:rFonts w:ascii="Verdana" w:hAnsi="Verdana"/>
          <w:sz w:val="20"/>
          <w:szCs w:val="20"/>
          <w:lang w:val="es-MX"/>
        </w:rPr>
        <w:t>eran</w:t>
      </w:r>
      <w:r w:rsidRPr="00A91B78">
        <w:rPr>
          <w:rFonts w:ascii="Verdana" w:hAnsi="Verdana"/>
          <w:sz w:val="20"/>
          <w:szCs w:val="20"/>
          <w:lang w:val="es-MX"/>
        </w:rPr>
        <w:t xml:space="preserve"> considerables y que los esfuerzos que se han realizado para la rehabilitación del territorio no han sido efectivos.</w:t>
      </w:r>
      <w:r w:rsidR="00230709">
        <w:rPr>
          <w:rFonts w:ascii="Verdana" w:hAnsi="Verdana"/>
          <w:sz w:val="20"/>
          <w:szCs w:val="20"/>
          <w:lang w:val="es-MX"/>
        </w:rPr>
        <w:t xml:space="preserve"> </w:t>
      </w:r>
      <w:r w:rsidR="008A4ABB" w:rsidRPr="00230709">
        <w:rPr>
          <w:rFonts w:ascii="Verdana" w:hAnsi="Verdana"/>
          <w:sz w:val="20"/>
          <w:szCs w:val="20"/>
          <w:lang w:val="es-MX"/>
        </w:rPr>
        <w:t xml:space="preserve">El </w:t>
      </w:r>
      <w:r w:rsidR="008A4ABB" w:rsidRPr="00230709">
        <w:rPr>
          <w:rFonts w:ascii="Verdana" w:hAnsi="Verdana"/>
          <w:b/>
          <w:i/>
          <w:sz w:val="20"/>
          <w:szCs w:val="20"/>
          <w:lang w:val="es-MX"/>
        </w:rPr>
        <w:t>Estado</w:t>
      </w:r>
      <w:r w:rsidR="008A4ABB" w:rsidRPr="00230709">
        <w:rPr>
          <w:rFonts w:ascii="Verdana" w:hAnsi="Verdana"/>
          <w:i/>
          <w:sz w:val="20"/>
          <w:szCs w:val="20"/>
          <w:lang w:val="es-MX"/>
        </w:rPr>
        <w:t xml:space="preserve"> </w:t>
      </w:r>
      <w:r w:rsidR="008A4ABB" w:rsidRPr="00230709">
        <w:rPr>
          <w:rFonts w:ascii="Verdana" w:hAnsi="Verdana"/>
          <w:sz w:val="20"/>
          <w:szCs w:val="20"/>
          <w:lang w:val="es-MX"/>
        </w:rPr>
        <w:t xml:space="preserve">no </w:t>
      </w:r>
      <w:r w:rsidR="00230709" w:rsidRPr="00230709">
        <w:rPr>
          <w:rFonts w:ascii="Verdana" w:hAnsi="Verdana"/>
          <w:sz w:val="20"/>
          <w:szCs w:val="20"/>
          <w:lang w:val="es-MX"/>
        </w:rPr>
        <w:t xml:space="preserve">formuló alegatos expresos al respecto, </w:t>
      </w:r>
      <w:r w:rsidR="008A4ABB" w:rsidRPr="00230709">
        <w:rPr>
          <w:rFonts w:ascii="Verdana" w:hAnsi="Verdana"/>
          <w:sz w:val="20"/>
          <w:szCs w:val="20"/>
          <w:lang w:val="es-MX"/>
        </w:rPr>
        <w:t>sin embargo</w:t>
      </w:r>
      <w:r w:rsidR="00230709" w:rsidRPr="00230709">
        <w:rPr>
          <w:rFonts w:ascii="Verdana" w:hAnsi="Verdana"/>
          <w:sz w:val="20"/>
          <w:szCs w:val="20"/>
          <w:lang w:val="es-MX"/>
        </w:rPr>
        <w:t>, con posterioridad a</w:t>
      </w:r>
      <w:r w:rsidR="008A4ABB" w:rsidRPr="00230709">
        <w:rPr>
          <w:rFonts w:ascii="Verdana" w:hAnsi="Verdana"/>
          <w:sz w:val="20"/>
          <w:szCs w:val="20"/>
          <w:lang w:val="es-MX"/>
        </w:rPr>
        <w:t xml:space="preserve"> la diligencia </w:t>
      </w:r>
      <w:r w:rsidR="008A4ABB" w:rsidRPr="00230709">
        <w:rPr>
          <w:rFonts w:ascii="Verdana" w:hAnsi="Verdana"/>
          <w:i/>
          <w:sz w:val="20"/>
          <w:szCs w:val="20"/>
          <w:lang w:val="es-MX"/>
        </w:rPr>
        <w:t>in situ</w:t>
      </w:r>
      <w:r w:rsidR="008A4ABB" w:rsidRPr="00230709">
        <w:rPr>
          <w:rFonts w:ascii="Verdana" w:hAnsi="Verdana"/>
          <w:sz w:val="20"/>
          <w:szCs w:val="20"/>
          <w:lang w:val="es-MX"/>
        </w:rPr>
        <w:t xml:space="preserve">, el Estado remitió un </w:t>
      </w:r>
      <w:r w:rsidR="008A4ABB" w:rsidRPr="00230709">
        <w:rPr>
          <w:rFonts w:ascii="Verdana" w:hAnsi="Verdana"/>
          <w:sz w:val="20"/>
          <w:szCs w:val="20"/>
        </w:rPr>
        <w:t>Memorándum de 27 de agosto de 2015 del Director del Instituto de Bauxita de Surinam</w:t>
      </w:r>
      <w:r w:rsidR="008A4ABB" w:rsidRPr="002159F0">
        <w:rPr>
          <w:rFonts w:ascii="Verdana" w:hAnsi="Verdana"/>
          <w:sz w:val="20"/>
          <w:szCs w:val="20"/>
        </w:rPr>
        <w:t xml:space="preserve">, </w:t>
      </w:r>
      <w:r w:rsidR="008A4ABB" w:rsidRPr="00230709">
        <w:rPr>
          <w:rFonts w:ascii="Verdana" w:hAnsi="Verdana"/>
          <w:sz w:val="20"/>
          <w:szCs w:val="20"/>
        </w:rPr>
        <w:t xml:space="preserve">en el que se señaló que se han realizado diversas acciones para rehabilitar los territorios que fueron </w:t>
      </w:r>
      <w:r w:rsidR="00230709" w:rsidRPr="00230709">
        <w:rPr>
          <w:rFonts w:ascii="Verdana" w:hAnsi="Verdana"/>
          <w:sz w:val="20"/>
          <w:szCs w:val="20"/>
        </w:rPr>
        <w:t>dañados por la actividad minera, sin aportar mayor prueba al respeto.</w:t>
      </w:r>
      <w:r w:rsidR="008A4ABB" w:rsidRPr="00230709">
        <w:rPr>
          <w:rFonts w:ascii="Verdana" w:hAnsi="Verdana"/>
          <w:sz w:val="20"/>
          <w:szCs w:val="20"/>
        </w:rPr>
        <w:t xml:space="preserve"> </w:t>
      </w:r>
    </w:p>
    <w:p w14:paraId="19FA52C2" w14:textId="77777777" w:rsidR="009B781F" w:rsidRDefault="009B781F" w:rsidP="007E20F9">
      <w:pPr>
        <w:pStyle w:val="ListParagraph"/>
        <w:rPr>
          <w:rFonts w:ascii="Verdana" w:hAnsi="Verdana"/>
          <w:sz w:val="20"/>
          <w:szCs w:val="20"/>
          <w:lang w:val="es-MX"/>
        </w:rPr>
      </w:pPr>
    </w:p>
    <w:p w14:paraId="4A8CB8D8" w14:textId="398F0B83" w:rsidR="002159F0"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En vista de que el Estado fue encontrado responsable por la violación del artículo 21 de la Convención</w:t>
      </w:r>
      <w:r w:rsidR="00761A5E">
        <w:rPr>
          <w:rFonts w:ascii="Verdana" w:hAnsi="Verdana"/>
          <w:sz w:val="20"/>
          <w:szCs w:val="20"/>
          <w:lang w:val="es-MX"/>
        </w:rPr>
        <w:t xml:space="preserve">, </w:t>
      </w:r>
      <w:r w:rsidRPr="00A91B78">
        <w:rPr>
          <w:rFonts w:ascii="Verdana" w:hAnsi="Verdana"/>
          <w:sz w:val="20"/>
          <w:szCs w:val="20"/>
          <w:lang w:val="es-MX"/>
        </w:rPr>
        <w:t xml:space="preserve">debido a los daños ocasionados al medio ambiente y </w:t>
      </w:r>
      <w:r w:rsidR="00B4017E">
        <w:rPr>
          <w:rFonts w:ascii="Verdana" w:hAnsi="Verdana"/>
          <w:sz w:val="20"/>
          <w:szCs w:val="20"/>
          <w:lang w:val="es-MX"/>
        </w:rPr>
        <w:t xml:space="preserve">a los territorios </w:t>
      </w:r>
      <w:r w:rsidRPr="00A91B78">
        <w:rPr>
          <w:rFonts w:ascii="Verdana" w:hAnsi="Verdana"/>
          <w:sz w:val="20"/>
          <w:szCs w:val="20"/>
          <w:lang w:val="es-MX"/>
        </w:rPr>
        <w:t xml:space="preserve">de los Pueblos Kaliña y Lokono por la actividad minera de extracción de </w:t>
      </w:r>
      <w:r w:rsidR="00093AF9" w:rsidRPr="00A91B78">
        <w:rPr>
          <w:rFonts w:ascii="Verdana" w:hAnsi="Verdana"/>
          <w:sz w:val="20"/>
          <w:szCs w:val="20"/>
          <w:lang w:val="es-MX"/>
        </w:rPr>
        <w:t>bauxita</w:t>
      </w:r>
      <w:r w:rsidRPr="00A91B78">
        <w:rPr>
          <w:rFonts w:ascii="Verdana" w:hAnsi="Verdana"/>
          <w:sz w:val="20"/>
          <w:szCs w:val="20"/>
          <w:lang w:val="es-MX"/>
        </w:rPr>
        <w:t xml:space="preserve"> en la Reserva de Wane Kreek</w:t>
      </w:r>
      <w:r w:rsidR="00761A5E">
        <w:rPr>
          <w:rFonts w:ascii="Verdana" w:hAnsi="Verdana"/>
          <w:sz w:val="20"/>
          <w:szCs w:val="20"/>
          <w:lang w:val="es-MX"/>
        </w:rPr>
        <w:t xml:space="preserve"> </w:t>
      </w:r>
      <w:r w:rsidR="00761A5E" w:rsidRPr="00A91B78">
        <w:rPr>
          <w:rFonts w:ascii="Verdana" w:hAnsi="Verdana"/>
          <w:sz w:val="20"/>
          <w:szCs w:val="20"/>
          <w:lang w:val="es-MX"/>
        </w:rPr>
        <w:t>(</w:t>
      </w:r>
      <w:r w:rsidR="00761A5E" w:rsidRPr="00366D91">
        <w:rPr>
          <w:rFonts w:ascii="Verdana" w:hAnsi="Verdana"/>
          <w:i/>
          <w:sz w:val="20"/>
          <w:szCs w:val="20"/>
          <w:lang w:val="es-MX"/>
        </w:rPr>
        <w:t>supra</w:t>
      </w:r>
      <w:r w:rsidR="00761A5E" w:rsidRPr="00A91B78">
        <w:rPr>
          <w:rFonts w:ascii="Verdana" w:hAnsi="Verdana"/>
          <w:sz w:val="20"/>
          <w:szCs w:val="20"/>
          <w:lang w:val="es-MX"/>
        </w:rPr>
        <w:t xml:space="preserve"> pár</w:t>
      </w:r>
      <w:r w:rsidR="00761A5E">
        <w:rPr>
          <w:rFonts w:ascii="Verdana" w:hAnsi="Verdana"/>
          <w:sz w:val="20"/>
          <w:szCs w:val="20"/>
          <w:lang w:val="es-MX"/>
        </w:rPr>
        <w:t>r</w:t>
      </w:r>
      <w:r w:rsidR="00761A5E" w:rsidRPr="00A91B78">
        <w:rPr>
          <w:rFonts w:ascii="Verdana" w:hAnsi="Verdana"/>
          <w:sz w:val="20"/>
          <w:szCs w:val="20"/>
          <w:lang w:val="es-MX"/>
        </w:rPr>
        <w:t xml:space="preserve">. </w:t>
      </w:r>
      <w:r w:rsidR="00761A5E">
        <w:rPr>
          <w:rFonts w:ascii="Verdana" w:hAnsi="Verdana"/>
          <w:sz w:val="20"/>
          <w:szCs w:val="20"/>
          <w:lang w:val="es-MX"/>
        </w:rPr>
        <w:t>230</w:t>
      </w:r>
      <w:r w:rsidR="00761A5E" w:rsidRPr="00A91B78">
        <w:rPr>
          <w:rFonts w:ascii="Verdana" w:hAnsi="Verdana"/>
          <w:sz w:val="20"/>
          <w:szCs w:val="20"/>
          <w:lang w:val="es-MX"/>
        </w:rPr>
        <w:t>)</w:t>
      </w:r>
      <w:r w:rsidRPr="00A91B78">
        <w:rPr>
          <w:rFonts w:ascii="Verdana" w:hAnsi="Verdana"/>
          <w:sz w:val="20"/>
          <w:szCs w:val="20"/>
          <w:lang w:val="es-MX"/>
        </w:rPr>
        <w:t>, y siendo que los trabajos de rehabilitación por parte de la empresa aún no han sido efectivos ni suficientes, la Corte dispone que el Estado deberá:</w:t>
      </w:r>
    </w:p>
    <w:p w14:paraId="1EB5A7DD" w14:textId="77777777" w:rsidR="002159F0" w:rsidRDefault="002159F0" w:rsidP="004B0145">
      <w:pPr>
        <w:pStyle w:val="ListParagraph"/>
        <w:rPr>
          <w:rFonts w:ascii="Verdana" w:hAnsi="Verdana"/>
          <w:sz w:val="20"/>
          <w:szCs w:val="20"/>
          <w:lang w:val="es-MX"/>
        </w:rPr>
      </w:pPr>
    </w:p>
    <w:p w14:paraId="3345A7A1" w14:textId="3FB97D34" w:rsidR="00A91B78" w:rsidRPr="00A91B78" w:rsidRDefault="00A91B78" w:rsidP="004B0145">
      <w:pPr>
        <w:contextualSpacing/>
        <w:jc w:val="both"/>
        <w:rPr>
          <w:rFonts w:ascii="Verdana" w:hAnsi="Verdana"/>
          <w:sz w:val="20"/>
          <w:szCs w:val="20"/>
          <w:lang w:val="es-MX"/>
        </w:rPr>
      </w:pPr>
    </w:p>
    <w:p w14:paraId="3CB06CE7" w14:textId="77777777" w:rsidR="00A144BB" w:rsidRPr="009E77BD" w:rsidRDefault="000C251D" w:rsidP="000C251D">
      <w:pPr>
        <w:pStyle w:val="ListParagraph"/>
        <w:numPr>
          <w:ilvl w:val="0"/>
          <w:numId w:val="46"/>
        </w:numPr>
        <w:jc w:val="both"/>
        <w:rPr>
          <w:rFonts w:ascii="Verdana" w:hAnsi="Verdana"/>
          <w:sz w:val="20"/>
          <w:szCs w:val="20"/>
          <w:lang w:val="es-MX"/>
        </w:rPr>
      </w:pPr>
      <w:r w:rsidRPr="00A26293">
        <w:rPr>
          <w:rFonts w:ascii="Verdana" w:hAnsi="Verdana"/>
          <w:sz w:val="20"/>
          <w:szCs w:val="20"/>
          <w:lang w:val="es-PE"/>
        </w:rPr>
        <w:t>implementar las acciones suficientes y necesarias, a fin de rehabilitar la zona a</w:t>
      </w:r>
      <w:r w:rsidRPr="001C53C2">
        <w:rPr>
          <w:rFonts w:ascii="Verdana" w:hAnsi="Verdana"/>
          <w:sz w:val="20"/>
          <w:szCs w:val="20"/>
          <w:lang w:val="es-PE"/>
        </w:rPr>
        <w:t>fectada</w:t>
      </w:r>
      <w:r w:rsidRPr="00A26293">
        <w:rPr>
          <w:rFonts w:ascii="Verdana" w:hAnsi="Verdana"/>
          <w:sz w:val="20"/>
          <w:szCs w:val="20"/>
          <w:lang w:val="es-PE"/>
        </w:rPr>
        <w:t xml:space="preserve">. Para ello, </w:t>
      </w:r>
      <w:r w:rsidRPr="009C3DCF">
        <w:rPr>
          <w:rFonts w:ascii="Verdana" w:hAnsi="Verdana"/>
          <w:sz w:val="20"/>
          <w:szCs w:val="20"/>
          <w:lang w:val="es-PE"/>
        </w:rPr>
        <w:t>es preciso</w:t>
      </w:r>
      <w:r w:rsidRPr="00A26293">
        <w:rPr>
          <w:rFonts w:ascii="Verdana" w:hAnsi="Verdana"/>
          <w:sz w:val="20"/>
          <w:szCs w:val="20"/>
          <w:lang w:val="es-PE"/>
        </w:rPr>
        <w:t xml:space="preserve"> elaborar un plan de acción de rehabilitación efectiva de la zona</w:t>
      </w:r>
      <w:r w:rsidR="000E7243">
        <w:rPr>
          <w:rFonts w:ascii="Verdana" w:hAnsi="Verdana"/>
          <w:sz w:val="20"/>
          <w:szCs w:val="20"/>
          <w:lang w:val="es-PE"/>
        </w:rPr>
        <w:t>,</w:t>
      </w:r>
      <w:r w:rsidRPr="00A26293">
        <w:rPr>
          <w:rFonts w:ascii="Verdana" w:hAnsi="Verdana"/>
          <w:sz w:val="20"/>
          <w:szCs w:val="20"/>
          <w:lang w:val="es-PE"/>
        </w:rPr>
        <w:t xml:space="preserve"> de manera conjunta con la empresa que ha estado a cargo de dicha rehabilitación, </w:t>
      </w:r>
      <w:r w:rsidRPr="009C7C0A">
        <w:rPr>
          <w:rFonts w:ascii="Verdana" w:hAnsi="Verdana"/>
          <w:sz w:val="20"/>
          <w:lang w:val="es-PE"/>
        </w:rPr>
        <w:t xml:space="preserve">y con la participación de una representación de los </w:t>
      </w:r>
      <w:r w:rsidR="00382F4D" w:rsidRPr="009C7C0A">
        <w:rPr>
          <w:rFonts w:ascii="Verdana" w:hAnsi="Verdana"/>
          <w:sz w:val="20"/>
          <w:lang w:val="es-PE"/>
        </w:rPr>
        <w:t>Pueblos Kaliña y Lokono</w:t>
      </w:r>
      <w:r w:rsidRPr="00A91B78">
        <w:rPr>
          <w:rStyle w:val="FootnoteReference"/>
          <w:szCs w:val="20"/>
          <w:lang w:val="es-PE"/>
        </w:rPr>
        <w:footnoteReference w:id="329"/>
      </w:r>
      <w:r w:rsidRPr="009C3DCF">
        <w:rPr>
          <w:rFonts w:ascii="Verdana" w:hAnsi="Verdana"/>
          <w:sz w:val="20"/>
          <w:szCs w:val="20"/>
          <w:lang w:val="es-PE"/>
        </w:rPr>
        <w:t xml:space="preserve">. </w:t>
      </w:r>
      <w:r>
        <w:rPr>
          <w:rFonts w:ascii="Verdana" w:hAnsi="Verdana"/>
          <w:sz w:val="20"/>
          <w:szCs w:val="20"/>
          <w:lang w:val="es-PE"/>
        </w:rPr>
        <w:t>Dicho plan deberá incluir</w:t>
      </w:r>
      <w:r w:rsidR="000E7243">
        <w:rPr>
          <w:rFonts w:ascii="Verdana" w:hAnsi="Verdana"/>
          <w:sz w:val="20"/>
          <w:szCs w:val="20"/>
          <w:lang w:val="es-PE"/>
        </w:rPr>
        <w:t>:</w:t>
      </w:r>
      <w:r>
        <w:rPr>
          <w:rFonts w:ascii="Verdana" w:hAnsi="Verdana"/>
          <w:sz w:val="20"/>
          <w:szCs w:val="20"/>
          <w:lang w:val="es-PE"/>
        </w:rPr>
        <w:t xml:space="preserve"> </w:t>
      </w:r>
      <w:r w:rsidR="00A144BB">
        <w:rPr>
          <w:rFonts w:ascii="Verdana" w:hAnsi="Verdana"/>
          <w:sz w:val="20"/>
          <w:szCs w:val="20"/>
          <w:lang w:val="es-PE"/>
        </w:rPr>
        <w:t>i</w:t>
      </w:r>
      <w:r>
        <w:rPr>
          <w:rFonts w:ascii="Verdana" w:hAnsi="Verdana"/>
          <w:sz w:val="20"/>
          <w:szCs w:val="20"/>
          <w:lang w:val="es-PE"/>
        </w:rPr>
        <w:t xml:space="preserve">) una </w:t>
      </w:r>
      <w:r w:rsidRPr="00A26293">
        <w:rPr>
          <w:rFonts w:ascii="Verdana" w:hAnsi="Verdana"/>
          <w:sz w:val="20"/>
          <w:szCs w:val="20"/>
          <w:lang w:val="es-MX"/>
        </w:rPr>
        <w:t>evaluación integral actualizada de la zona afectada, mediante un estudio a cargo de expertos independientes en la materia</w:t>
      </w:r>
      <w:r>
        <w:rPr>
          <w:rFonts w:ascii="Verdana" w:hAnsi="Verdana"/>
          <w:sz w:val="20"/>
          <w:szCs w:val="20"/>
          <w:lang w:val="es-MX"/>
        </w:rPr>
        <w:t xml:space="preserve">; </w:t>
      </w:r>
      <w:r w:rsidR="00A144BB">
        <w:rPr>
          <w:rFonts w:ascii="Verdana" w:hAnsi="Verdana"/>
          <w:sz w:val="20"/>
          <w:szCs w:val="20"/>
          <w:lang w:val="es-MX"/>
        </w:rPr>
        <w:t>ii</w:t>
      </w:r>
      <w:r>
        <w:rPr>
          <w:rFonts w:ascii="Verdana" w:hAnsi="Verdana"/>
          <w:sz w:val="20"/>
          <w:szCs w:val="20"/>
          <w:lang w:val="es-MX"/>
        </w:rPr>
        <w:t xml:space="preserve">) un cronograma de trabajo; </w:t>
      </w:r>
      <w:r w:rsidR="00A144BB">
        <w:rPr>
          <w:rFonts w:ascii="Verdana" w:hAnsi="Verdana"/>
          <w:sz w:val="20"/>
          <w:szCs w:val="20"/>
          <w:lang w:val="es-MX"/>
        </w:rPr>
        <w:t>iii</w:t>
      </w:r>
      <w:r>
        <w:rPr>
          <w:rFonts w:ascii="Verdana" w:hAnsi="Verdana"/>
          <w:sz w:val="20"/>
          <w:szCs w:val="20"/>
          <w:lang w:val="es-MX"/>
        </w:rPr>
        <w:t xml:space="preserve">) </w:t>
      </w:r>
      <w:r w:rsidRPr="00A91B78">
        <w:rPr>
          <w:rFonts w:ascii="Verdana" w:hAnsi="Verdana"/>
          <w:sz w:val="20"/>
          <w:szCs w:val="20"/>
          <w:lang w:val="es-ES"/>
        </w:rPr>
        <w:t xml:space="preserve">las medidas necesarias para </w:t>
      </w:r>
      <w:r>
        <w:rPr>
          <w:rFonts w:ascii="Verdana" w:hAnsi="Verdana"/>
          <w:sz w:val="20"/>
          <w:szCs w:val="20"/>
          <w:lang w:val="es-ES"/>
        </w:rPr>
        <w:t xml:space="preserve">remover </w:t>
      </w:r>
      <w:r w:rsidRPr="00A91B78">
        <w:rPr>
          <w:rFonts w:ascii="Verdana" w:hAnsi="Verdana"/>
          <w:sz w:val="20"/>
          <w:szCs w:val="20"/>
          <w:lang w:val="es-ES"/>
        </w:rPr>
        <w:t>cualquier</w:t>
      </w:r>
      <w:r>
        <w:rPr>
          <w:rFonts w:ascii="Verdana" w:hAnsi="Verdana"/>
          <w:sz w:val="20"/>
          <w:szCs w:val="20"/>
          <w:lang w:val="es-ES"/>
        </w:rPr>
        <w:t xml:space="preserve"> afectación derivada</w:t>
      </w:r>
      <w:r w:rsidRPr="00A91B78">
        <w:rPr>
          <w:rFonts w:ascii="Verdana" w:hAnsi="Verdana"/>
          <w:sz w:val="20"/>
          <w:szCs w:val="20"/>
          <w:lang w:val="es-ES"/>
        </w:rPr>
        <w:t xml:space="preserve"> de las actividades </w:t>
      </w:r>
      <w:r>
        <w:rPr>
          <w:rFonts w:ascii="Verdana" w:hAnsi="Verdana"/>
          <w:sz w:val="20"/>
          <w:szCs w:val="20"/>
          <w:lang w:val="es-ES"/>
        </w:rPr>
        <w:t xml:space="preserve">mineras, y </w:t>
      </w:r>
      <w:r w:rsidR="00A144BB">
        <w:rPr>
          <w:rFonts w:ascii="Verdana" w:hAnsi="Verdana"/>
          <w:sz w:val="20"/>
          <w:szCs w:val="20"/>
          <w:lang w:val="es-ES"/>
        </w:rPr>
        <w:t>iv</w:t>
      </w:r>
      <w:r>
        <w:rPr>
          <w:rFonts w:ascii="Verdana" w:hAnsi="Verdana"/>
          <w:sz w:val="20"/>
          <w:szCs w:val="20"/>
          <w:lang w:val="es-ES"/>
        </w:rPr>
        <w:t>)</w:t>
      </w:r>
      <w:r w:rsidRPr="00A91B78">
        <w:rPr>
          <w:rFonts w:ascii="Verdana" w:hAnsi="Verdana"/>
          <w:sz w:val="20"/>
          <w:szCs w:val="20"/>
          <w:lang w:val="es-ES"/>
        </w:rPr>
        <w:t xml:space="preserve"> </w:t>
      </w:r>
      <w:r>
        <w:rPr>
          <w:rFonts w:ascii="Verdana" w:hAnsi="Verdana"/>
          <w:sz w:val="20"/>
          <w:szCs w:val="20"/>
          <w:lang w:val="es-ES"/>
        </w:rPr>
        <w:t xml:space="preserve">las medidas </w:t>
      </w:r>
      <w:r w:rsidRPr="00A91B78">
        <w:rPr>
          <w:rFonts w:ascii="Verdana" w:hAnsi="Verdana"/>
          <w:sz w:val="20"/>
          <w:szCs w:val="20"/>
          <w:lang w:val="es-ES"/>
        </w:rPr>
        <w:t xml:space="preserve">para reforestar las áreas que aún están afectadas por tales actividades, </w:t>
      </w:r>
      <w:r w:rsidRPr="009C7C0A">
        <w:rPr>
          <w:rFonts w:ascii="Verdana" w:hAnsi="Verdana"/>
          <w:sz w:val="20"/>
          <w:lang w:val="es-ES"/>
        </w:rPr>
        <w:t xml:space="preserve">todo ello </w:t>
      </w:r>
      <w:r w:rsidR="009C7C0A" w:rsidRPr="0029611B">
        <w:rPr>
          <w:rFonts w:ascii="Verdana" w:hAnsi="Verdana"/>
          <w:sz w:val="20"/>
          <w:lang w:val="es-ES"/>
        </w:rPr>
        <w:t>tomando en cuenta el parecer</w:t>
      </w:r>
      <w:r w:rsidR="009C7C0A" w:rsidRPr="002079C8">
        <w:rPr>
          <w:rFonts w:ascii="Verdana" w:hAnsi="Verdana"/>
          <w:sz w:val="20"/>
          <w:lang w:val="es-ES"/>
        </w:rPr>
        <w:t xml:space="preserve"> </w:t>
      </w:r>
      <w:r w:rsidRPr="009C7C0A">
        <w:rPr>
          <w:rFonts w:ascii="Verdana" w:hAnsi="Verdana"/>
          <w:sz w:val="20"/>
          <w:lang w:val="es-ES"/>
        </w:rPr>
        <w:t>de los Pueblos</w:t>
      </w:r>
      <w:r w:rsidR="00A144BB" w:rsidRPr="009C7C0A">
        <w:rPr>
          <w:rFonts w:ascii="Verdana" w:hAnsi="Verdana"/>
          <w:sz w:val="20"/>
          <w:lang w:val="es-ES"/>
        </w:rPr>
        <w:t xml:space="preserve"> afectados</w:t>
      </w:r>
      <w:r w:rsidRPr="00A91B78">
        <w:rPr>
          <w:rStyle w:val="FootnoteReference"/>
          <w:szCs w:val="20"/>
          <w:lang w:val="es-ES"/>
        </w:rPr>
        <w:footnoteReference w:id="330"/>
      </w:r>
      <w:r w:rsidR="001566AF">
        <w:rPr>
          <w:rFonts w:ascii="Verdana" w:hAnsi="Verdana"/>
          <w:sz w:val="20"/>
          <w:szCs w:val="20"/>
          <w:lang w:val="es-ES"/>
        </w:rPr>
        <w:t>, y</w:t>
      </w:r>
    </w:p>
    <w:p w14:paraId="574EAB70" w14:textId="77777777" w:rsidR="00A144BB" w:rsidRPr="009E77BD" w:rsidRDefault="00A144BB" w:rsidP="009E77BD">
      <w:pPr>
        <w:pStyle w:val="ListParagraph"/>
        <w:ind w:left="927"/>
        <w:jc w:val="both"/>
        <w:rPr>
          <w:rFonts w:ascii="Verdana" w:hAnsi="Verdana"/>
          <w:sz w:val="20"/>
          <w:szCs w:val="20"/>
          <w:lang w:val="es-MX"/>
        </w:rPr>
      </w:pPr>
    </w:p>
    <w:p w14:paraId="0013D982" w14:textId="77777777" w:rsidR="000C251D" w:rsidRPr="00A26293" w:rsidRDefault="000C251D" w:rsidP="000C251D">
      <w:pPr>
        <w:pStyle w:val="ListParagraph"/>
        <w:numPr>
          <w:ilvl w:val="0"/>
          <w:numId w:val="46"/>
        </w:numPr>
        <w:jc w:val="both"/>
        <w:rPr>
          <w:rFonts w:ascii="Verdana" w:hAnsi="Verdana"/>
          <w:sz w:val="20"/>
          <w:szCs w:val="20"/>
          <w:lang w:val="es-MX"/>
        </w:rPr>
      </w:pPr>
      <w:r w:rsidRPr="00A26293">
        <w:rPr>
          <w:rFonts w:ascii="Verdana" w:hAnsi="Verdana"/>
          <w:sz w:val="20"/>
          <w:szCs w:val="20"/>
          <w:lang w:val="es-PE"/>
        </w:rPr>
        <w:t xml:space="preserve">establecer los mecanismos de fiscalización y supervisión necesarios para la ejecución de la rehabilitación que lleva a cabo la </w:t>
      </w:r>
      <w:r w:rsidR="00084BD1">
        <w:rPr>
          <w:rFonts w:ascii="Verdana" w:hAnsi="Verdana"/>
          <w:sz w:val="20"/>
          <w:szCs w:val="20"/>
          <w:lang w:val="es-PE"/>
        </w:rPr>
        <w:t xml:space="preserve">empresa. </w:t>
      </w:r>
      <w:r w:rsidRPr="00A26293">
        <w:rPr>
          <w:rFonts w:ascii="Verdana" w:hAnsi="Verdana"/>
          <w:sz w:val="20"/>
          <w:szCs w:val="20"/>
          <w:lang w:val="es-PE"/>
        </w:rPr>
        <w:t xml:space="preserve">Para ello, el Estado deberá nombrar a un experto en la materia a efectos del cumplimiento total de la rehabilitación de la zona. </w:t>
      </w:r>
    </w:p>
    <w:p w14:paraId="148C0055" w14:textId="77777777" w:rsidR="00A91B78" w:rsidRPr="00A91B78" w:rsidRDefault="00A91B78" w:rsidP="00A91B78">
      <w:pPr>
        <w:ind w:left="567"/>
        <w:jc w:val="both"/>
        <w:rPr>
          <w:rFonts w:ascii="Verdana" w:hAnsi="Verdana"/>
          <w:sz w:val="20"/>
          <w:szCs w:val="20"/>
          <w:lang w:val="es-PE"/>
        </w:rPr>
      </w:pPr>
    </w:p>
    <w:p w14:paraId="59F587E2" w14:textId="77777777" w:rsidR="00A91B78" w:rsidRPr="00A91B78" w:rsidRDefault="00A91B78" w:rsidP="00A91B78">
      <w:pPr>
        <w:numPr>
          <w:ilvl w:val="0"/>
          <w:numId w:val="2"/>
        </w:numPr>
        <w:ind w:left="0" w:hanging="11"/>
        <w:contextualSpacing/>
        <w:jc w:val="both"/>
        <w:rPr>
          <w:rFonts w:ascii="Verdana" w:hAnsi="Verdana"/>
          <w:sz w:val="20"/>
          <w:szCs w:val="20"/>
        </w:rPr>
      </w:pPr>
      <w:r w:rsidRPr="00A91B78">
        <w:rPr>
          <w:rFonts w:ascii="Verdana" w:hAnsi="Verdana"/>
          <w:sz w:val="20"/>
          <w:szCs w:val="20"/>
        </w:rPr>
        <w:t xml:space="preserve">El cumplimiento de esta medida de reparación es obligación del Estado, el cual debe completarla en un plazo no mayor de tres años. </w:t>
      </w:r>
      <w:r w:rsidR="00A144BB">
        <w:rPr>
          <w:rFonts w:ascii="Verdana" w:hAnsi="Verdana"/>
          <w:sz w:val="20"/>
          <w:szCs w:val="20"/>
        </w:rPr>
        <w:t>En dicho periodo, e</w:t>
      </w:r>
      <w:r w:rsidRPr="00A91B78">
        <w:rPr>
          <w:rFonts w:ascii="Verdana" w:hAnsi="Verdana"/>
          <w:sz w:val="20"/>
          <w:szCs w:val="20"/>
        </w:rPr>
        <w:t xml:space="preserve">l Estado deberán informar </w:t>
      </w:r>
      <w:r w:rsidR="00A144BB">
        <w:rPr>
          <w:rFonts w:ascii="Verdana" w:hAnsi="Verdana"/>
          <w:sz w:val="20"/>
          <w:szCs w:val="20"/>
        </w:rPr>
        <w:t xml:space="preserve">anualmente </w:t>
      </w:r>
      <w:r w:rsidRPr="00A91B78">
        <w:rPr>
          <w:rFonts w:ascii="Verdana" w:hAnsi="Verdana"/>
          <w:sz w:val="20"/>
          <w:szCs w:val="20"/>
        </w:rPr>
        <w:t>las medidas adoptadas para el cumplimiento del plan de trabajo, con posterioridad a la adopción del mismo</w:t>
      </w:r>
      <w:r w:rsidRPr="00A91B78">
        <w:rPr>
          <w:rStyle w:val="FootnoteReference"/>
          <w:szCs w:val="20"/>
        </w:rPr>
        <w:footnoteReference w:id="331"/>
      </w:r>
      <w:r w:rsidRPr="00A91B78">
        <w:rPr>
          <w:rFonts w:ascii="Verdana" w:hAnsi="Verdana"/>
          <w:sz w:val="20"/>
          <w:szCs w:val="20"/>
        </w:rPr>
        <w:t>.</w:t>
      </w:r>
    </w:p>
    <w:p w14:paraId="3B6AC9C7" w14:textId="77777777" w:rsidR="00A91B78" w:rsidRPr="00A91B78" w:rsidRDefault="00A91B78">
      <w:pPr>
        <w:pStyle w:val="PrrafodeSentencia"/>
      </w:pPr>
    </w:p>
    <w:p w14:paraId="0ACBB568"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96" w:name="_Toc441666203"/>
      <w:r w:rsidRPr="00A91B78">
        <w:rPr>
          <w:rFonts w:ascii="Verdana" w:hAnsi="Verdana"/>
          <w:bCs w:val="0"/>
          <w:i/>
          <w:color w:val="auto"/>
          <w:sz w:val="20"/>
          <w:szCs w:val="20"/>
        </w:rPr>
        <w:t>Creación de un fondo de desarrollo comunitario</w:t>
      </w:r>
      <w:bookmarkEnd w:id="96"/>
    </w:p>
    <w:p w14:paraId="43FB0FA7" w14:textId="77777777" w:rsidR="00A91B78" w:rsidRPr="00A91B78" w:rsidRDefault="00A91B78" w:rsidP="00A91B78">
      <w:pPr>
        <w:tabs>
          <w:tab w:val="left" w:pos="1100"/>
          <w:tab w:val="right" w:leader="dot" w:pos="9350"/>
        </w:tabs>
        <w:ind w:left="360"/>
        <w:jc w:val="both"/>
        <w:rPr>
          <w:rFonts w:ascii="Verdana" w:eastAsia="Times New Roman" w:hAnsi="Verdana"/>
          <w:b/>
          <w:noProof/>
          <w:sz w:val="20"/>
          <w:szCs w:val="20"/>
          <w:lang w:val="es-MX"/>
        </w:rPr>
      </w:pPr>
    </w:p>
    <w:p w14:paraId="11944E57" w14:textId="2D86C061"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Los </w:t>
      </w:r>
      <w:r w:rsidRPr="00A91B78">
        <w:rPr>
          <w:rFonts w:ascii="Verdana" w:hAnsi="Verdana"/>
          <w:b/>
          <w:i/>
          <w:sz w:val="20"/>
          <w:szCs w:val="20"/>
          <w:lang w:val="es-MX"/>
        </w:rPr>
        <w:t>representantes</w:t>
      </w:r>
      <w:r w:rsidRPr="00A91B78">
        <w:rPr>
          <w:rFonts w:ascii="Verdana" w:hAnsi="Verdana"/>
          <w:sz w:val="20"/>
          <w:szCs w:val="20"/>
          <w:lang w:val="es-MX"/>
        </w:rPr>
        <w:t xml:space="preserve"> solicitaron a la Corte que ordene al Estado crear un fondo de desarrollo como consecuencia de los daños materiales e inmateriales causados por las violaciones a los derechos de los </w:t>
      </w:r>
      <w:r w:rsidR="0016353F">
        <w:rPr>
          <w:rFonts w:ascii="Verdana" w:hAnsi="Verdana"/>
          <w:sz w:val="20"/>
          <w:szCs w:val="20"/>
          <w:lang w:val="es-MX"/>
        </w:rPr>
        <w:t>P</w:t>
      </w:r>
      <w:r w:rsidRPr="00A91B78">
        <w:rPr>
          <w:rFonts w:ascii="Verdana" w:hAnsi="Verdana"/>
          <w:sz w:val="20"/>
          <w:szCs w:val="20"/>
          <w:lang w:val="es-MX"/>
        </w:rPr>
        <w:t>ueblos Kaliña y Lokono. Al respecto, los representantes</w:t>
      </w:r>
      <w:r w:rsidRPr="00A91B78">
        <w:rPr>
          <w:rFonts w:ascii="Verdana" w:hAnsi="Verdana"/>
          <w:b/>
          <w:i/>
          <w:sz w:val="20"/>
          <w:szCs w:val="20"/>
          <w:lang w:val="es-MX"/>
        </w:rPr>
        <w:t xml:space="preserve"> </w:t>
      </w:r>
      <w:r w:rsidRPr="00A91B78">
        <w:rPr>
          <w:rFonts w:ascii="Verdana" w:hAnsi="Verdana"/>
          <w:sz w:val="20"/>
          <w:szCs w:val="20"/>
          <w:lang w:val="es-MX"/>
        </w:rPr>
        <w:t xml:space="preserve">argumentaron que este fondo de desarrollo comunitario no debe ser creado en los términos establecidos en los casos de la </w:t>
      </w:r>
      <w:r w:rsidRPr="00A91B78">
        <w:rPr>
          <w:rFonts w:ascii="Verdana" w:hAnsi="Verdana"/>
          <w:i/>
          <w:sz w:val="20"/>
          <w:szCs w:val="20"/>
          <w:lang w:val="es-MX"/>
        </w:rPr>
        <w:t>Comunidad Moiwana</w:t>
      </w:r>
      <w:r w:rsidRPr="00A91B78">
        <w:rPr>
          <w:rFonts w:ascii="Verdana" w:hAnsi="Verdana"/>
          <w:sz w:val="20"/>
          <w:szCs w:val="20"/>
          <w:vertAlign w:val="superscript"/>
          <w:lang w:val="es-MX"/>
        </w:rPr>
        <w:footnoteReference w:id="332"/>
      </w:r>
      <w:r w:rsidRPr="00A91B78">
        <w:rPr>
          <w:rFonts w:ascii="Verdana" w:hAnsi="Verdana"/>
          <w:sz w:val="20"/>
          <w:szCs w:val="20"/>
          <w:lang w:val="es-MX"/>
        </w:rPr>
        <w:t xml:space="preserve"> y del </w:t>
      </w:r>
      <w:r w:rsidRPr="00A91B78">
        <w:rPr>
          <w:rFonts w:ascii="Verdana" w:hAnsi="Verdana"/>
          <w:i/>
          <w:sz w:val="20"/>
          <w:szCs w:val="20"/>
          <w:lang w:val="es-MX"/>
        </w:rPr>
        <w:t>Pueblo Saramaka</w:t>
      </w:r>
      <w:r w:rsidRPr="00A91B78">
        <w:rPr>
          <w:rFonts w:ascii="Verdana" w:hAnsi="Verdana"/>
          <w:sz w:val="20"/>
          <w:szCs w:val="20"/>
          <w:vertAlign w:val="superscript"/>
          <w:lang w:val="es-MX"/>
        </w:rPr>
        <w:footnoteReference w:id="333"/>
      </w:r>
      <w:r w:rsidRPr="00A91B78">
        <w:rPr>
          <w:rFonts w:ascii="Verdana" w:hAnsi="Verdana"/>
          <w:sz w:val="20"/>
          <w:szCs w:val="20"/>
          <w:lang w:val="es-MX"/>
        </w:rPr>
        <w:t xml:space="preserve">, ambos contra </w:t>
      </w:r>
      <w:r w:rsidR="00563E11">
        <w:rPr>
          <w:rFonts w:ascii="Verdana" w:hAnsi="Verdana"/>
          <w:sz w:val="20"/>
          <w:szCs w:val="20"/>
          <w:lang w:val="es-MX"/>
        </w:rPr>
        <w:t>Surinam</w:t>
      </w:r>
      <w:r w:rsidRPr="00A91B78">
        <w:rPr>
          <w:rFonts w:ascii="Verdana" w:hAnsi="Verdana"/>
          <w:sz w:val="20"/>
          <w:szCs w:val="20"/>
          <w:lang w:val="es-MX"/>
        </w:rPr>
        <w:t>, pues, a su juicio, estos no han funcionado adecuadamente. En este sentido, los representantes solicitaron que se ordene al Estado transferir cualquier indemnización concedida a una entidad elegida libremente por las víctimas, que sea controlada y administrada</w:t>
      </w:r>
      <w:r w:rsidR="0016353F">
        <w:rPr>
          <w:rFonts w:ascii="Verdana" w:hAnsi="Verdana"/>
          <w:sz w:val="20"/>
          <w:szCs w:val="20"/>
          <w:lang w:val="es-MX"/>
        </w:rPr>
        <w:t xml:space="preserve"> </w:t>
      </w:r>
      <w:r w:rsidR="0016353F" w:rsidRPr="00A91B78">
        <w:rPr>
          <w:rFonts w:ascii="Verdana" w:hAnsi="Verdana"/>
          <w:sz w:val="20"/>
          <w:szCs w:val="20"/>
          <w:lang w:val="es-MX"/>
        </w:rPr>
        <w:t>autónomamente</w:t>
      </w:r>
      <w:r w:rsidRPr="00A91B78">
        <w:rPr>
          <w:rFonts w:ascii="Verdana" w:hAnsi="Verdana"/>
          <w:sz w:val="20"/>
          <w:szCs w:val="20"/>
          <w:lang w:val="es-MX"/>
        </w:rPr>
        <w:t xml:space="preserve"> por las propias víctimas, y que se puedan utilizar los fondos a su discreción para invertir, por ejemplo, en la salud, la educación, gestión de recursos y otros proyectos en su territorio. Aunado a lo anterior, los representantes destacaron que los Pueblos Kaliña y Lokono tienen plena capacidad para administrar el fondo, pues llevan décadas administrando fondos a través de sus instituciones tradicionales y organizaciones representativas. Por ello, manifestaron que no desean que el Estado se encuentre involucrado en la toma de decisiones o administración del fondo </w:t>
      </w:r>
      <w:r w:rsidR="0016353F">
        <w:rPr>
          <w:rFonts w:ascii="Verdana" w:hAnsi="Verdana"/>
          <w:sz w:val="20"/>
          <w:szCs w:val="20"/>
          <w:lang w:val="es-MX"/>
        </w:rPr>
        <w:t>en cuestión</w:t>
      </w:r>
      <w:r w:rsidRPr="00A91B78">
        <w:rPr>
          <w:rFonts w:ascii="Verdana" w:hAnsi="Verdana"/>
          <w:sz w:val="20"/>
          <w:szCs w:val="20"/>
          <w:lang w:val="es-MX"/>
        </w:rPr>
        <w:t xml:space="preserve">. </w:t>
      </w:r>
    </w:p>
    <w:p w14:paraId="018E1CD3" w14:textId="77777777" w:rsidR="00A91B78" w:rsidRPr="00A91B78" w:rsidRDefault="00A91B78" w:rsidP="00A91B78">
      <w:pPr>
        <w:jc w:val="both"/>
        <w:rPr>
          <w:rFonts w:ascii="Verdana" w:hAnsi="Verdana"/>
          <w:sz w:val="20"/>
          <w:szCs w:val="20"/>
          <w:lang w:val="es-MX"/>
        </w:rPr>
      </w:pPr>
    </w:p>
    <w:p w14:paraId="43F48D7D" w14:textId="2E5EF9FA"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Por su parte, el </w:t>
      </w:r>
      <w:r w:rsidRPr="00A91B78">
        <w:rPr>
          <w:rFonts w:ascii="Verdana" w:hAnsi="Verdana"/>
          <w:b/>
          <w:i/>
          <w:sz w:val="20"/>
          <w:szCs w:val="20"/>
          <w:lang w:val="es-MX"/>
        </w:rPr>
        <w:t xml:space="preserve">Estado, </w:t>
      </w:r>
      <w:r w:rsidRPr="00A91B78">
        <w:rPr>
          <w:rFonts w:ascii="Verdana" w:hAnsi="Verdana"/>
          <w:sz w:val="20"/>
          <w:szCs w:val="20"/>
          <w:lang w:val="es-MX"/>
        </w:rPr>
        <w:t>en sus alegatos finales escritos cuestionó la necesidad e importancia de crear cualquier tipo de fondo de desarrollo para pueblos indígenas, ya que la política del gobierno es desarrollar</w:t>
      </w:r>
      <w:r w:rsidR="0016353F">
        <w:rPr>
          <w:rFonts w:ascii="Verdana" w:hAnsi="Verdana"/>
          <w:sz w:val="20"/>
          <w:szCs w:val="20"/>
          <w:lang w:val="es-MX"/>
        </w:rPr>
        <w:t xml:space="preserve"> al país</w:t>
      </w:r>
      <w:r w:rsidRPr="00A91B78">
        <w:rPr>
          <w:rFonts w:ascii="Verdana" w:hAnsi="Verdana"/>
          <w:sz w:val="20"/>
          <w:szCs w:val="20"/>
          <w:lang w:val="es-MX"/>
        </w:rPr>
        <w:t xml:space="preserve"> de forma equitativa</w:t>
      </w:r>
      <w:r w:rsidR="0016353F">
        <w:rPr>
          <w:rFonts w:ascii="Verdana" w:hAnsi="Verdana"/>
          <w:sz w:val="20"/>
          <w:szCs w:val="20"/>
          <w:lang w:val="es-MX"/>
        </w:rPr>
        <w:t xml:space="preserve"> con el fin de</w:t>
      </w:r>
      <w:r w:rsidRPr="00A91B78">
        <w:rPr>
          <w:rFonts w:ascii="Verdana" w:hAnsi="Verdana"/>
          <w:sz w:val="20"/>
          <w:szCs w:val="20"/>
          <w:lang w:val="es-MX"/>
        </w:rPr>
        <w:t xml:space="preserve"> mejorar la calidad de vida de todos los </w:t>
      </w:r>
      <w:r w:rsidR="0016353F">
        <w:rPr>
          <w:rFonts w:ascii="Verdana" w:hAnsi="Verdana"/>
          <w:sz w:val="20"/>
          <w:szCs w:val="20"/>
          <w:lang w:val="es-MX"/>
        </w:rPr>
        <w:t>s</w:t>
      </w:r>
      <w:r w:rsidR="00093AF9">
        <w:rPr>
          <w:rFonts w:ascii="Verdana" w:hAnsi="Verdana"/>
          <w:sz w:val="20"/>
          <w:szCs w:val="20"/>
          <w:lang w:val="es-MX"/>
        </w:rPr>
        <w:t>urinam</w:t>
      </w:r>
      <w:r w:rsidR="00093AF9" w:rsidRPr="00A91B78">
        <w:rPr>
          <w:rFonts w:ascii="Verdana" w:hAnsi="Verdana"/>
          <w:sz w:val="20"/>
          <w:szCs w:val="20"/>
          <w:lang w:val="es-MX"/>
        </w:rPr>
        <w:t>eses</w:t>
      </w:r>
      <w:r w:rsidRPr="00A91B78">
        <w:rPr>
          <w:rFonts w:ascii="Verdana" w:hAnsi="Verdana"/>
          <w:sz w:val="20"/>
          <w:szCs w:val="20"/>
          <w:lang w:val="es-MX"/>
        </w:rPr>
        <w:t xml:space="preserve">, incluyendo los pueblos indígenas y </w:t>
      </w:r>
      <w:r w:rsidR="006D4D2C">
        <w:rPr>
          <w:rFonts w:ascii="Verdana" w:hAnsi="Verdana"/>
          <w:sz w:val="20"/>
          <w:szCs w:val="20"/>
          <w:lang w:val="es-MX"/>
        </w:rPr>
        <w:t>maroon</w:t>
      </w:r>
      <w:r w:rsidRPr="00A91B78">
        <w:rPr>
          <w:rFonts w:ascii="Verdana" w:hAnsi="Verdana"/>
          <w:sz w:val="20"/>
          <w:szCs w:val="20"/>
          <w:lang w:val="es-MX"/>
        </w:rPr>
        <w:t xml:space="preserve">s. Sin perjuicio de lo anterior, el Estado afirmó que en caso de que la Corte decida establecer un fondo de desarrollo, la participación estatal en </w:t>
      </w:r>
      <w:r w:rsidR="006C672B">
        <w:rPr>
          <w:rFonts w:ascii="Verdana" w:hAnsi="Verdana"/>
          <w:sz w:val="20"/>
          <w:szCs w:val="20"/>
          <w:lang w:val="es-MX"/>
        </w:rPr>
        <w:t>e</w:t>
      </w:r>
      <w:r w:rsidRPr="00A91B78">
        <w:rPr>
          <w:rFonts w:ascii="Verdana" w:hAnsi="Verdana"/>
          <w:sz w:val="20"/>
          <w:szCs w:val="20"/>
          <w:lang w:val="es-MX"/>
        </w:rPr>
        <w:t xml:space="preserve">ste es fundamental, con la finalidad de asegurar que los fondos no se utilicen de forma inadecuada. Asimismo, </w:t>
      </w:r>
      <w:r w:rsidRPr="00A91B78">
        <w:rPr>
          <w:rFonts w:ascii="Verdana" w:hAnsi="Verdana"/>
          <w:sz w:val="20"/>
          <w:szCs w:val="20"/>
          <w:lang w:val="es-CR"/>
        </w:rPr>
        <w:t xml:space="preserve">expresó que su participación en los fondos de desarrollo de </w:t>
      </w:r>
      <w:r w:rsidR="00B4017E">
        <w:rPr>
          <w:rFonts w:ascii="Verdana" w:hAnsi="Verdana"/>
          <w:sz w:val="20"/>
          <w:szCs w:val="20"/>
          <w:lang w:val="es-CR"/>
        </w:rPr>
        <w:t xml:space="preserve">los casos de los </w:t>
      </w:r>
      <w:r w:rsidR="00B4017E" w:rsidRPr="004B0145">
        <w:rPr>
          <w:rFonts w:ascii="Verdana" w:hAnsi="Verdana"/>
          <w:i/>
          <w:sz w:val="20"/>
          <w:szCs w:val="20"/>
          <w:lang w:val="es-CR"/>
        </w:rPr>
        <w:t xml:space="preserve">Pueblos </w:t>
      </w:r>
      <w:r w:rsidRPr="004B0145">
        <w:rPr>
          <w:rFonts w:ascii="Verdana" w:hAnsi="Verdana"/>
          <w:i/>
          <w:sz w:val="20"/>
          <w:szCs w:val="20"/>
          <w:lang w:val="es-CR"/>
        </w:rPr>
        <w:t xml:space="preserve">Moiwana </w:t>
      </w:r>
      <w:r w:rsidRPr="00A91B78">
        <w:rPr>
          <w:rFonts w:ascii="Verdana" w:hAnsi="Verdana"/>
          <w:sz w:val="20"/>
          <w:szCs w:val="20"/>
          <w:lang w:val="es-CR"/>
        </w:rPr>
        <w:t xml:space="preserve">y </w:t>
      </w:r>
      <w:r w:rsidRPr="004B0145">
        <w:rPr>
          <w:rFonts w:ascii="Verdana" w:hAnsi="Verdana"/>
          <w:i/>
          <w:sz w:val="20"/>
          <w:szCs w:val="20"/>
          <w:lang w:val="es-CR"/>
        </w:rPr>
        <w:t>Saramaka</w:t>
      </w:r>
      <w:r w:rsidRPr="00A91B78">
        <w:rPr>
          <w:rFonts w:ascii="Verdana" w:hAnsi="Verdana"/>
          <w:sz w:val="20"/>
          <w:szCs w:val="20"/>
          <w:lang w:val="es-CR"/>
        </w:rPr>
        <w:t xml:space="preserve"> no fue un obstáculo para la distribución de los capitales.</w:t>
      </w:r>
    </w:p>
    <w:p w14:paraId="17E4CF27" w14:textId="77777777" w:rsidR="00A91B78" w:rsidRPr="00A91B78" w:rsidRDefault="00A91B78" w:rsidP="00A91B78">
      <w:pPr>
        <w:jc w:val="both"/>
        <w:rPr>
          <w:rFonts w:ascii="Verdana" w:hAnsi="Verdana"/>
          <w:sz w:val="20"/>
          <w:szCs w:val="20"/>
          <w:lang w:val="es-MX"/>
        </w:rPr>
      </w:pPr>
    </w:p>
    <w:p w14:paraId="3FEBC8D6" w14:textId="6132D96E"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La </w:t>
      </w:r>
      <w:r w:rsidRPr="00A91B78">
        <w:rPr>
          <w:rFonts w:ascii="Verdana" w:hAnsi="Verdana"/>
          <w:b/>
          <w:i/>
          <w:sz w:val="20"/>
          <w:szCs w:val="20"/>
          <w:lang w:val="es-MX"/>
        </w:rPr>
        <w:t>Comisión</w:t>
      </w:r>
      <w:r w:rsidRPr="00A91B78">
        <w:rPr>
          <w:rFonts w:ascii="Verdana" w:hAnsi="Verdana"/>
          <w:sz w:val="20"/>
          <w:szCs w:val="20"/>
          <w:lang w:val="es-MX"/>
        </w:rPr>
        <w:t xml:space="preserve"> no se pronunció </w:t>
      </w:r>
      <w:r w:rsidR="009255F2">
        <w:rPr>
          <w:rFonts w:ascii="Verdana" w:hAnsi="Verdana"/>
          <w:sz w:val="20"/>
          <w:szCs w:val="20"/>
          <w:lang w:val="es-MX"/>
        </w:rPr>
        <w:t xml:space="preserve">expresamente </w:t>
      </w:r>
      <w:r w:rsidRPr="00A91B78">
        <w:rPr>
          <w:rFonts w:ascii="Verdana" w:hAnsi="Verdana"/>
          <w:sz w:val="20"/>
          <w:szCs w:val="20"/>
          <w:lang w:val="es-MX"/>
        </w:rPr>
        <w:t>al respecto</w:t>
      </w:r>
      <w:r w:rsidR="009255F2">
        <w:rPr>
          <w:rFonts w:ascii="Verdana" w:hAnsi="Verdana"/>
          <w:sz w:val="20"/>
          <w:szCs w:val="20"/>
          <w:lang w:val="es-MX"/>
        </w:rPr>
        <w:t xml:space="preserve">, aunque </w:t>
      </w:r>
      <w:r w:rsidR="001566AF">
        <w:rPr>
          <w:rFonts w:ascii="Verdana" w:hAnsi="Verdana"/>
          <w:sz w:val="20"/>
          <w:szCs w:val="20"/>
          <w:lang w:val="es-MX"/>
        </w:rPr>
        <w:t xml:space="preserve">solicitó </w:t>
      </w:r>
      <w:r w:rsidR="009255F2">
        <w:rPr>
          <w:rFonts w:ascii="Verdana" w:hAnsi="Verdana"/>
          <w:sz w:val="20"/>
          <w:szCs w:val="20"/>
          <w:lang w:val="es-MX"/>
        </w:rPr>
        <w:t xml:space="preserve">que se </w:t>
      </w:r>
      <w:r w:rsidR="001566AF">
        <w:rPr>
          <w:rFonts w:ascii="Verdana" w:hAnsi="Verdana"/>
          <w:sz w:val="20"/>
          <w:szCs w:val="20"/>
          <w:lang w:val="es-MX"/>
        </w:rPr>
        <w:t xml:space="preserve">reparen, </w:t>
      </w:r>
      <w:r w:rsidR="009255F2">
        <w:rPr>
          <w:rFonts w:ascii="Verdana" w:hAnsi="Verdana"/>
          <w:sz w:val="20"/>
          <w:szCs w:val="20"/>
          <w:lang w:val="es-MX"/>
        </w:rPr>
        <w:t>de manera individual y colectiva</w:t>
      </w:r>
      <w:r w:rsidR="001566AF">
        <w:rPr>
          <w:rFonts w:ascii="Verdana" w:hAnsi="Verdana"/>
          <w:sz w:val="20"/>
          <w:szCs w:val="20"/>
          <w:lang w:val="es-MX"/>
        </w:rPr>
        <w:t>,</w:t>
      </w:r>
      <w:r w:rsidR="009255F2">
        <w:rPr>
          <w:rFonts w:ascii="Verdana" w:hAnsi="Verdana"/>
          <w:sz w:val="20"/>
          <w:szCs w:val="20"/>
          <w:lang w:val="es-MX"/>
        </w:rPr>
        <w:t xml:space="preserve"> a los </w:t>
      </w:r>
      <w:r w:rsidR="009255F2" w:rsidRPr="00415A21">
        <w:rPr>
          <w:rFonts w:ascii="Verdana" w:hAnsi="Verdana"/>
          <w:sz w:val="20"/>
          <w:szCs w:val="20"/>
          <w:lang w:val="es-MX"/>
        </w:rPr>
        <w:t>Pueblos Kaliña y Lokono</w:t>
      </w:r>
      <w:r w:rsidR="009255F2">
        <w:rPr>
          <w:rFonts w:ascii="Verdana" w:hAnsi="Verdana"/>
          <w:sz w:val="20"/>
          <w:szCs w:val="20"/>
          <w:lang w:val="es-MX"/>
        </w:rPr>
        <w:t>, por las diversas violaciones a sus derechos reclamadas en el presente caso</w:t>
      </w:r>
      <w:r w:rsidR="00230709">
        <w:rPr>
          <w:rFonts w:ascii="Verdana" w:hAnsi="Verdana"/>
          <w:sz w:val="20"/>
          <w:szCs w:val="20"/>
          <w:lang w:val="es-MX"/>
        </w:rPr>
        <w:t>.</w:t>
      </w:r>
      <w:r w:rsidR="008A4ABB" w:rsidRPr="007E20F9">
        <w:rPr>
          <w:rFonts w:ascii="Verdana" w:hAnsi="Verdana"/>
          <w:b/>
          <w:sz w:val="20"/>
          <w:szCs w:val="20"/>
          <w:lang w:val="es-MX"/>
        </w:rPr>
        <w:t xml:space="preserve"> </w:t>
      </w:r>
    </w:p>
    <w:p w14:paraId="53848006" w14:textId="77777777" w:rsidR="00A91B78" w:rsidRPr="00A91B78" w:rsidRDefault="00A91B78" w:rsidP="00A91B78">
      <w:pPr>
        <w:jc w:val="both"/>
        <w:rPr>
          <w:rFonts w:ascii="Verdana" w:hAnsi="Verdana"/>
          <w:sz w:val="20"/>
          <w:szCs w:val="20"/>
          <w:lang w:val="es-MX"/>
        </w:rPr>
      </w:pPr>
    </w:p>
    <w:p w14:paraId="1D304E8F" w14:textId="7E83ED15"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En vista de que el Estado fue encontrado internacionalmente responsable por la violación de los artículos </w:t>
      </w:r>
      <w:r w:rsidR="000C251D">
        <w:rPr>
          <w:rFonts w:ascii="Verdana" w:hAnsi="Verdana"/>
          <w:sz w:val="20"/>
          <w:szCs w:val="20"/>
          <w:lang w:val="es-MX"/>
        </w:rPr>
        <w:t xml:space="preserve">1.1, </w:t>
      </w:r>
      <w:r w:rsidRPr="00A91B78">
        <w:rPr>
          <w:rFonts w:ascii="Verdana" w:hAnsi="Verdana"/>
          <w:sz w:val="20"/>
          <w:szCs w:val="20"/>
          <w:lang w:val="es-MX"/>
        </w:rPr>
        <w:t>2, 3, 21</w:t>
      </w:r>
      <w:r w:rsidR="00D83C12" w:rsidRPr="00190AD3">
        <w:rPr>
          <w:rFonts w:ascii="Verdana" w:hAnsi="Verdana"/>
          <w:sz w:val="20"/>
          <w:lang w:val="es-MX"/>
        </w:rPr>
        <w:t>, 23</w:t>
      </w:r>
      <w:r w:rsidRPr="00077064">
        <w:rPr>
          <w:rFonts w:ascii="Verdana" w:hAnsi="Verdana"/>
          <w:sz w:val="20"/>
          <w:szCs w:val="20"/>
          <w:lang w:val="es-MX"/>
        </w:rPr>
        <w:t xml:space="preserve"> y 25 de la Convención, </w:t>
      </w:r>
      <w:r w:rsidR="000C251D" w:rsidRPr="00077064">
        <w:rPr>
          <w:rFonts w:ascii="Verdana" w:hAnsi="Verdana"/>
          <w:sz w:val="20"/>
          <w:szCs w:val="20"/>
          <w:lang w:val="es-MX"/>
        </w:rPr>
        <w:t xml:space="preserve">lo cual </w:t>
      </w:r>
      <w:r w:rsidRPr="00077064">
        <w:rPr>
          <w:rFonts w:ascii="Verdana" w:hAnsi="Verdana"/>
          <w:sz w:val="20"/>
          <w:szCs w:val="20"/>
          <w:lang w:val="es-CR"/>
        </w:rPr>
        <w:t>acarre</w:t>
      </w:r>
      <w:r w:rsidR="000C251D" w:rsidRPr="00077064">
        <w:rPr>
          <w:rFonts w:ascii="Verdana" w:hAnsi="Verdana"/>
          <w:sz w:val="20"/>
          <w:szCs w:val="20"/>
          <w:lang w:val="es-CR"/>
        </w:rPr>
        <w:t>ó</w:t>
      </w:r>
      <w:r w:rsidRPr="00077064">
        <w:rPr>
          <w:rFonts w:ascii="Verdana" w:hAnsi="Verdana"/>
          <w:sz w:val="20"/>
          <w:szCs w:val="20"/>
          <w:lang w:val="es-CR"/>
        </w:rPr>
        <w:t xml:space="preserve"> el menoscabo de valores muy representativos para los miembros de </w:t>
      </w:r>
      <w:r w:rsidR="006C672B">
        <w:rPr>
          <w:rFonts w:ascii="Verdana" w:hAnsi="Verdana"/>
          <w:sz w:val="20"/>
          <w:szCs w:val="20"/>
          <w:lang w:val="es-CR"/>
        </w:rPr>
        <w:t>los</w:t>
      </w:r>
      <w:r w:rsidRPr="00A91B78">
        <w:rPr>
          <w:rFonts w:ascii="Verdana" w:hAnsi="Verdana"/>
          <w:sz w:val="20"/>
          <w:szCs w:val="20"/>
          <w:lang w:val="es-CR"/>
        </w:rPr>
        <w:t xml:space="preserve"> </w:t>
      </w:r>
      <w:r w:rsidR="006C672B" w:rsidRPr="00415A21">
        <w:rPr>
          <w:rFonts w:ascii="Verdana" w:hAnsi="Verdana"/>
          <w:sz w:val="20"/>
          <w:szCs w:val="20"/>
          <w:lang w:val="es-CR"/>
        </w:rPr>
        <w:t>P</w:t>
      </w:r>
      <w:r w:rsidRPr="00415A21">
        <w:rPr>
          <w:rFonts w:ascii="Verdana" w:hAnsi="Verdana"/>
          <w:sz w:val="20"/>
          <w:szCs w:val="20"/>
          <w:lang w:val="es-CR"/>
        </w:rPr>
        <w:t>ueblos</w:t>
      </w:r>
      <w:r w:rsidR="006C672B" w:rsidRPr="00415A21">
        <w:rPr>
          <w:rFonts w:ascii="Verdana" w:hAnsi="Verdana"/>
          <w:sz w:val="20"/>
          <w:szCs w:val="20"/>
          <w:lang w:val="es-CR"/>
        </w:rPr>
        <w:t xml:space="preserve"> Kaliña y Lokono</w:t>
      </w:r>
      <w:r w:rsidRPr="00A91B78">
        <w:rPr>
          <w:rFonts w:ascii="Verdana" w:hAnsi="Verdana"/>
          <w:sz w:val="20"/>
          <w:szCs w:val="20"/>
          <w:lang w:val="es-CR"/>
        </w:rPr>
        <w:t xml:space="preserve">, </w:t>
      </w:r>
      <w:r w:rsidR="00B4017E">
        <w:rPr>
          <w:rFonts w:ascii="Verdana" w:hAnsi="Verdana"/>
          <w:sz w:val="20"/>
          <w:szCs w:val="20"/>
          <w:lang w:val="es-CR"/>
        </w:rPr>
        <w:t xml:space="preserve">mismos que </w:t>
      </w:r>
      <w:r w:rsidR="000C251D">
        <w:rPr>
          <w:rFonts w:ascii="Verdana" w:hAnsi="Verdana"/>
          <w:sz w:val="20"/>
          <w:szCs w:val="20"/>
          <w:lang w:val="es-CR"/>
        </w:rPr>
        <w:t xml:space="preserve">impactan en su </w:t>
      </w:r>
      <w:r w:rsidRPr="00A91B78">
        <w:rPr>
          <w:rFonts w:ascii="Verdana" w:hAnsi="Verdana"/>
          <w:sz w:val="20"/>
          <w:szCs w:val="20"/>
          <w:lang w:val="es-CR"/>
        </w:rPr>
        <w:t xml:space="preserve">identidad cultural y en el patrimonio cultural a transmitirse a las futuras generaciones, </w:t>
      </w:r>
      <w:r w:rsidR="006C672B">
        <w:rPr>
          <w:rFonts w:ascii="Verdana" w:hAnsi="Verdana"/>
          <w:sz w:val="20"/>
          <w:szCs w:val="20"/>
          <w:lang w:val="es-CR"/>
        </w:rPr>
        <w:t>la Corte estima apropiado</w:t>
      </w:r>
      <w:r w:rsidR="000C251D">
        <w:rPr>
          <w:rFonts w:ascii="Verdana" w:hAnsi="Verdana"/>
          <w:sz w:val="20"/>
          <w:szCs w:val="20"/>
          <w:lang w:val="es-CR"/>
        </w:rPr>
        <w:t xml:space="preserve">, </w:t>
      </w:r>
      <w:r w:rsidRPr="00A91B78">
        <w:rPr>
          <w:rFonts w:ascii="Verdana" w:hAnsi="Verdana"/>
          <w:sz w:val="20"/>
          <w:szCs w:val="20"/>
          <w:lang w:val="es-MX"/>
        </w:rPr>
        <w:t>como lo ha hecho en casos anteriores</w:t>
      </w:r>
      <w:r w:rsidRPr="00A91B78">
        <w:rPr>
          <w:rFonts w:ascii="Verdana" w:hAnsi="Verdana"/>
          <w:sz w:val="20"/>
          <w:szCs w:val="20"/>
          <w:vertAlign w:val="superscript"/>
          <w:lang w:val="es-MX"/>
        </w:rPr>
        <w:footnoteReference w:id="334"/>
      </w:r>
      <w:r w:rsidRPr="00A91B78">
        <w:rPr>
          <w:rFonts w:ascii="Verdana" w:hAnsi="Verdana"/>
          <w:sz w:val="20"/>
          <w:szCs w:val="20"/>
          <w:lang w:val="es-MX"/>
        </w:rPr>
        <w:t xml:space="preserve">, establecer la creación de un fondo de desarrollo comunitario como compensación por el daño material e inmaterial que los miembros de dichos pueblos han sufrido. En este sentido, dicho fondo es adicional a cualquier otro beneficio presente o futuro que corresponda a los </w:t>
      </w:r>
      <w:r w:rsidR="00382F4D">
        <w:rPr>
          <w:rFonts w:ascii="Verdana" w:hAnsi="Verdana"/>
          <w:sz w:val="20"/>
          <w:szCs w:val="20"/>
          <w:lang w:val="es-MX"/>
        </w:rPr>
        <w:t>Pueblos Kaliña y Lokono</w:t>
      </w:r>
      <w:r w:rsidRPr="00A91B78">
        <w:rPr>
          <w:rFonts w:ascii="Verdana" w:hAnsi="Verdana"/>
          <w:sz w:val="20"/>
          <w:szCs w:val="20"/>
          <w:lang w:val="es-MX"/>
        </w:rPr>
        <w:t xml:space="preserve"> con motivo de los deberes generales de desarrollo del Estado</w:t>
      </w:r>
      <w:r w:rsidR="00AE264D">
        <w:rPr>
          <w:rStyle w:val="FootnoteReference"/>
          <w:szCs w:val="20"/>
          <w:lang w:val="es-MX"/>
        </w:rPr>
        <w:footnoteReference w:id="335"/>
      </w:r>
      <w:r w:rsidRPr="00A91B78">
        <w:rPr>
          <w:rFonts w:ascii="Verdana" w:hAnsi="Verdana"/>
          <w:sz w:val="20"/>
          <w:szCs w:val="20"/>
          <w:lang w:val="es-MX"/>
        </w:rPr>
        <w:t xml:space="preserve">. </w:t>
      </w:r>
    </w:p>
    <w:p w14:paraId="61427866" w14:textId="77777777" w:rsidR="00A91B78" w:rsidRPr="00A91B78" w:rsidRDefault="00A91B78" w:rsidP="00A91B78">
      <w:pPr>
        <w:jc w:val="both"/>
        <w:rPr>
          <w:rFonts w:ascii="Verdana" w:hAnsi="Verdana"/>
          <w:sz w:val="20"/>
          <w:szCs w:val="20"/>
          <w:lang w:val="es-MX"/>
        </w:rPr>
      </w:pPr>
    </w:p>
    <w:p w14:paraId="4E11C096" w14:textId="77777777" w:rsid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Tomando en consideración que los pueblos indígenas tienen derecho a la conservación y protección de su medio ambiente y de la capacidad productiva de sus territorios y recursos </w:t>
      </w:r>
      <w:r w:rsidRPr="00A91B78">
        <w:rPr>
          <w:rFonts w:ascii="Verdana" w:hAnsi="Verdana"/>
          <w:sz w:val="20"/>
          <w:szCs w:val="20"/>
          <w:lang w:val="es-MX"/>
        </w:rPr>
        <w:lastRenderedPageBreak/>
        <w:t>naturales</w:t>
      </w:r>
      <w:r w:rsidRPr="00A91B78">
        <w:rPr>
          <w:rFonts w:ascii="Verdana" w:hAnsi="Verdana"/>
          <w:sz w:val="20"/>
          <w:szCs w:val="20"/>
          <w:vertAlign w:val="superscript"/>
          <w:lang w:val="es-MX"/>
        </w:rPr>
        <w:footnoteReference w:id="336"/>
      </w:r>
      <w:r w:rsidRPr="00A91B78">
        <w:rPr>
          <w:rFonts w:ascii="Verdana" w:hAnsi="Verdana"/>
          <w:sz w:val="20"/>
          <w:szCs w:val="20"/>
          <w:lang w:val="es-MX"/>
        </w:rPr>
        <w:t xml:space="preserve">, así como lo indicado por los representantes sobre los proyectos de inversión solicitados, la Corte estima que el fondo de desarrollo comunitario </w:t>
      </w:r>
      <w:r w:rsidR="006C672B">
        <w:rPr>
          <w:rFonts w:ascii="Verdana" w:hAnsi="Verdana"/>
          <w:sz w:val="20"/>
          <w:szCs w:val="20"/>
          <w:lang w:val="es-MX"/>
        </w:rPr>
        <w:t>deberá ser</w:t>
      </w:r>
      <w:r w:rsidRPr="00A91B78">
        <w:rPr>
          <w:rFonts w:ascii="Verdana" w:hAnsi="Verdana"/>
          <w:sz w:val="20"/>
          <w:szCs w:val="20"/>
          <w:lang w:val="es-MX"/>
        </w:rPr>
        <w:t xml:space="preserve"> destinado </w:t>
      </w:r>
      <w:r w:rsidR="006C672B">
        <w:rPr>
          <w:rFonts w:ascii="Verdana" w:hAnsi="Verdana"/>
          <w:sz w:val="20"/>
          <w:szCs w:val="20"/>
          <w:lang w:val="es-MX"/>
        </w:rPr>
        <w:t>a</w:t>
      </w:r>
      <w:r w:rsidRPr="00A91B78">
        <w:rPr>
          <w:rFonts w:ascii="Verdana" w:hAnsi="Verdana"/>
          <w:sz w:val="20"/>
          <w:szCs w:val="20"/>
          <w:lang w:val="es-MX"/>
        </w:rPr>
        <w:t xml:space="preserve"> desarrollar proyectos de salud, educación, seguridad alimentaria, gestión de recursos y otros que los </w:t>
      </w:r>
      <w:r w:rsidR="00382F4D">
        <w:rPr>
          <w:rFonts w:ascii="Verdana" w:hAnsi="Verdana"/>
          <w:sz w:val="20"/>
          <w:szCs w:val="20"/>
          <w:lang w:val="es-MX"/>
        </w:rPr>
        <w:t>Pueblos Kaliña y Lokono</w:t>
      </w:r>
      <w:r w:rsidRPr="00A91B78">
        <w:rPr>
          <w:rFonts w:ascii="Verdana" w:hAnsi="Verdana"/>
          <w:sz w:val="20"/>
          <w:szCs w:val="20"/>
          <w:lang w:val="es-MX"/>
        </w:rPr>
        <w:t xml:space="preserve"> consideren pertinentes para su desarrollo. </w:t>
      </w:r>
    </w:p>
    <w:p w14:paraId="1A162B0A" w14:textId="77777777" w:rsidR="00205771" w:rsidRPr="00A91B78" w:rsidRDefault="00205771" w:rsidP="00205771">
      <w:pPr>
        <w:contextualSpacing/>
        <w:jc w:val="both"/>
        <w:rPr>
          <w:rFonts w:ascii="Verdana" w:hAnsi="Verdana"/>
          <w:sz w:val="20"/>
          <w:szCs w:val="20"/>
          <w:lang w:val="es-MX"/>
        </w:rPr>
      </w:pPr>
    </w:p>
    <w:p w14:paraId="5F7DCB5D" w14:textId="0ED9B850"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El Estado deberá adoptar todas las medidas administrativas, legislativas, financieras y de recursos humanos necesari</w:t>
      </w:r>
      <w:r w:rsidR="006C672B">
        <w:rPr>
          <w:rFonts w:ascii="Verdana" w:hAnsi="Verdana"/>
          <w:sz w:val="20"/>
          <w:szCs w:val="20"/>
          <w:lang w:val="es-MX"/>
        </w:rPr>
        <w:t>a</w:t>
      </w:r>
      <w:r w:rsidRPr="00A91B78">
        <w:rPr>
          <w:rFonts w:ascii="Verdana" w:hAnsi="Verdana"/>
          <w:sz w:val="20"/>
          <w:szCs w:val="20"/>
          <w:lang w:val="es-MX"/>
        </w:rPr>
        <w:t xml:space="preserve">s para la </w:t>
      </w:r>
      <w:r w:rsidR="000361E2">
        <w:rPr>
          <w:rFonts w:ascii="Verdana" w:hAnsi="Verdana"/>
          <w:sz w:val="20"/>
          <w:szCs w:val="20"/>
          <w:lang w:val="es-MX"/>
        </w:rPr>
        <w:t xml:space="preserve">constitución e </w:t>
      </w:r>
      <w:r w:rsidRPr="00A91B78">
        <w:rPr>
          <w:rFonts w:ascii="Verdana" w:hAnsi="Verdana"/>
          <w:sz w:val="20"/>
          <w:szCs w:val="20"/>
          <w:lang w:val="es-MX"/>
        </w:rPr>
        <w:t xml:space="preserve">implementación de este fondo, para lo cual, en el plazo de tres meses a partir de la notificación de la </w:t>
      </w:r>
      <w:r w:rsidR="006C672B">
        <w:rPr>
          <w:rFonts w:ascii="Verdana" w:hAnsi="Verdana"/>
          <w:sz w:val="20"/>
          <w:szCs w:val="20"/>
          <w:lang w:val="es-MX"/>
        </w:rPr>
        <w:t>presente</w:t>
      </w:r>
      <w:r w:rsidRPr="00A91B78">
        <w:rPr>
          <w:rFonts w:ascii="Verdana" w:hAnsi="Verdana"/>
          <w:sz w:val="20"/>
          <w:szCs w:val="20"/>
          <w:lang w:val="es-MX"/>
        </w:rPr>
        <w:t xml:space="preserve"> Sentencia, deberá nombrar </w:t>
      </w:r>
      <w:r w:rsidR="00B4017E">
        <w:rPr>
          <w:rFonts w:ascii="Verdana" w:hAnsi="Verdana"/>
          <w:sz w:val="20"/>
          <w:szCs w:val="20"/>
          <w:lang w:val="es-MX"/>
        </w:rPr>
        <w:t xml:space="preserve">a </w:t>
      </w:r>
      <w:r w:rsidRPr="00A91B78">
        <w:rPr>
          <w:rFonts w:ascii="Verdana" w:hAnsi="Verdana"/>
          <w:sz w:val="20"/>
          <w:szCs w:val="20"/>
          <w:lang w:val="es-MX"/>
        </w:rPr>
        <w:t xml:space="preserve">una autoridad con competencia en la materia, a cargo de la administración del mismo. Por su parte, los </w:t>
      </w:r>
      <w:r w:rsidR="00382F4D">
        <w:rPr>
          <w:rFonts w:ascii="Verdana" w:hAnsi="Verdana"/>
          <w:sz w:val="20"/>
          <w:szCs w:val="20"/>
          <w:lang w:val="es-MX"/>
        </w:rPr>
        <w:t>Pueblos Kaliña y Lokono</w:t>
      </w:r>
      <w:r w:rsidRPr="00A91B78">
        <w:rPr>
          <w:rFonts w:ascii="Verdana" w:hAnsi="Verdana"/>
          <w:sz w:val="20"/>
          <w:szCs w:val="20"/>
          <w:lang w:val="es-MX"/>
        </w:rPr>
        <w:t xml:space="preserve"> deberá</w:t>
      </w:r>
      <w:r w:rsidR="000361E2">
        <w:rPr>
          <w:rFonts w:ascii="Verdana" w:hAnsi="Verdana"/>
          <w:sz w:val="20"/>
          <w:szCs w:val="20"/>
          <w:lang w:val="es-MX"/>
        </w:rPr>
        <w:t>n</w:t>
      </w:r>
      <w:r w:rsidRPr="00A91B78">
        <w:rPr>
          <w:rFonts w:ascii="Verdana" w:hAnsi="Verdana"/>
          <w:sz w:val="20"/>
          <w:szCs w:val="20"/>
          <w:lang w:val="es-MX"/>
        </w:rPr>
        <w:t xml:space="preserve"> elegir una representación para la interlocución con el Estado, a fin de que la implementación del fondo se realice conforme lo dispongan dichos pueblos</w:t>
      </w:r>
      <w:r w:rsidR="00AE264D">
        <w:rPr>
          <w:rStyle w:val="FootnoteReference"/>
          <w:szCs w:val="20"/>
          <w:lang w:val="es-MX"/>
        </w:rPr>
        <w:footnoteReference w:id="337"/>
      </w:r>
      <w:r w:rsidRPr="00A91B78">
        <w:rPr>
          <w:rFonts w:ascii="Verdana" w:hAnsi="Verdana"/>
          <w:sz w:val="20"/>
          <w:szCs w:val="20"/>
          <w:lang w:val="es-MX"/>
        </w:rPr>
        <w:t xml:space="preserve">. </w:t>
      </w:r>
    </w:p>
    <w:p w14:paraId="77EF997B" w14:textId="77777777" w:rsidR="00A91B78" w:rsidRPr="00A91B78" w:rsidRDefault="00A91B78" w:rsidP="00A91B78">
      <w:pPr>
        <w:jc w:val="both"/>
        <w:rPr>
          <w:rFonts w:ascii="Verdana" w:hAnsi="Verdana"/>
          <w:sz w:val="20"/>
          <w:szCs w:val="20"/>
          <w:lang w:val="es-MX"/>
        </w:rPr>
      </w:pPr>
    </w:p>
    <w:p w14:paraId="3DDFF6B3" w14:textId="77777777"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Para dicho fondo, el Estado deberá destinar la cantidad de US$ </w:t>
      </w:r>
      <w:r w:rsidRPr="00190AD3">
        <w:rPr>
          <w:rFonts w:ascii="Verdana" w:hAnsi="Verdana"/>
          <w:sz w:val="20"/>
          <w:lang w:val="es-MX"/>
        </w:rPr>
        <w:t>1,</w:t>
      </w:r>
      <w:r w:rsidR="001D25DC" w:rsidRPr="00190AD3">
        <w:rPr>
          <w:rFonts w:ascii="Verdana" w:hAnsi="Verdana"/>
          <w:sz w:val="20"/>
          <w:lang w:val="es-MX"/>
        </w:rPr>
        <w:t>0</w:t>
      </w:r>
      <w:r w:rsidRPr="00190AD3">
        <w:rPr>
          <w:rFonts w:ascii="Verdana" w:hAnsi="Verdana"/>
          <w:sz w:val="20"/>
          <w:lang w:val="es-MX"/>
        </w:rPr>
        <w:t>00,000.00</w:t>
      </w:r>
      <w:r w:rsidRPr="00A91B78">
        <w:rPr>
          <w:rFonts w:ascii="Verdana" w:hAnsi="Verdana"/>
          <w:sz w:val="20"/>
          <w:szCs w:val="20"/>
          <w:lang w:val="es-MX"/>
        </w:rPr>
        <w:t xml:space="preserve"> (un millón </w:t>
      </w:r>
      <w:r w:rsidR="001D25DC">
        <w:rPr>
          <w:rFonts w:ascii="Verdana" w:hAnsi="Verdana"/>
          <w:sz w:val="20"/>
          <w:szCs w:val="20"/>
          <w:lang w:val="es-MX"/>
        </w:rPr>
        <w:t xml:space="preserve">de </w:t>
      </w:r>
      <w:r w:rsidRPr="00A91B78">
        <w:rPr>
          <w:rFonts w:ascii="Verdana" w:hAnsi="Verdana"/>
          <w:sz w:val="20"/>
          <w:szCs w:val="20"/>
          <w:lang w:val="es-MX"/>
        </w:rPr>
        <w:t xml:space="preserve">dólares de los Estados Unidos de América), la cual será invertida </w:t>
      </w:r>
      <w:r w:rsidR="00AE264D">
        <w:rPr>
          <w:rFonts w:ascii="Verdana" w:hAnsi="Verdana"/>
          <w:sz w:val="20"/>
          <w:szCs w:val="20"/>
          <w:lang w:val="es-MX"/>
        </w:rPr>
        <w:t xml:space="preserve">e implementada </w:t>
      </w:r>
      <w:r w:rsidRPr="00A91B78">
        <w:rPr>
          <w:rFonts w:ascii="Verdana" w:hAnsi="Verdana"/>
          <w:sz w:val="20"/>
          <w:szCs w:val="20"/>
          <w:lang w:val="es-MX"/>
        </w:rPr>
        <w:t>de acuerdo con los objetivos propuestos, en el periodo no mayor a tres años a partir de la notificación de la presente Sentencia.</w:t>
      </w:r>
    </w:p>
    <w:p w14:paraId="540803F9" w14:textId="77777777" w:rsidR="00A91B78" w:rsidRPr="00A91B78" w:rsidRDefault="00A91B78" w:rsidP="00A91B78">
      <w:pPr>
        <w:jc w:val="both"/>
        <w:rPr>
          <w:rFonts w:ascii="Verdana" w:hAnsi="Verdana"/>
          <w:sz w:val="20"/>
          <w:szCs w:val="20"/>
          <w:lang w:val="es-MX"/>
        </w:rPr>
      </w:pPr>
      <w:r w:rsidRPr="00A91B78">
        <w:rPr>
          <w:rFonts w:ascii="Verdana" w:hAnsi="Verdana"/>
          <w:sz w:val="20"/>
          <w:szCs w:val="20"/>
          <w:lang w:val="es-MX"/>
        </w:rPr>
        <w:t xml:space="preserve"> </w:t>
      </w:r>
    </w:p>
    <w:p w14:paraId="528D4438" w14:textId="77777777"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Finalmente, la Corte establece que las partes deberán remitir al Tribunal un informe anual durante el periodo de ejecución, en el cual se detallen los proyectos en los cuales se invertirá el monto destinado al Fondo.</w:t>
      </w:r>
    </w:p>
    <w:p w14:paraId="107EED3E" w14:textId="77777777" w:rsidR="00A91B78" w:rsidRPr="00A91B78" w:rsidRDefault="00A91B78" w:rsidP="00A91B78">
      <w:pPr>
        <w:jc w:val="both"/>
        <w:rPr>
          <w:rFonts w:ascii="Verdana" w:hAnsi="Verdana"/>
          <w:sz w:val="20"/>
          <w:szCs w:val="20"/>
          <w:lang w:val="es-CR"/>
        </w:rPr>
      </w:pPr>
    </w:p>
    <w:p w14:paraId="70600F47"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97" w:name="_Toc430787901"/>
      <w:bookmarkStart w:id="98" w:name="_Toc441666204"/>
      <w:r w:rsidRPr="00A91B78">
        <w:rPr>
          <w:rFonts w:ascii="Verdana" w:hAnsi="Verdana"/>
          <w:bCs w:val="0"/>
          <w:i/>
          <w:color w:val="auto"/>
          <w:sz w:val="20"/>
          <w:szCs w:val="20"/>
        </w:rPr>
        <w:t>Garantías de no repetición</w:t>
      </w:r>
      <w:bookmarkEnd w:id="97"/>
      <w:bookmarkEnd w:id="98"/>
    </w:p>
    <w:p w14:paraId="303719FE" w14:textId="77777777" w:rsidR="00A91B78" w:rsidRPr="00A91B78" w:rsidRDefault="00A91B78" w:rsidP="00A91B78">
      <w:pPr>
        <w:jc w:val="both"/>
        <w:rPr>
          <w:rFonts w:ascii="Verdana" w:hAnsi="Verdana"/>
          <w:snapToGrid w:val="0"/>
          <w:sz w:val="20"/>
          <w:szCs w:val="20"/>
          <w:lang w:val="es-CR"/>
        </w:rPr>
      </w:pPr>
    </w:p>
    <w:p w14:paraId="4CED0136" w14:textId="77777777" w:rsidR="00A91B78" w:rsidRP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 xml:space="preserve">En casos como el presente, en el que se </w:t>
      </w:r>
      <w:r w:rsidR="00752D51" w:rsidRPr="00A91B78">
        <w:rPr>
          <w:rFonts w:ascii="Verdana" w:hAnsi="Verdana"/>
          <w:sz w:val="20"/>
          <w:szCs w:val="20"/>
          <w:lang w:val="es-ES"/>
        </w:rPr>
        <w:t>configura</w:t>
      </w:r>
      <w:r w:rsidR="00752D51">
        <w:rPr>
          <w:rFonts w:ascii="Verdana" w:hAnsi="Verdana"/>
          <w:sz w:val="20"/>
          <w:szCs w:val="20"/>
          <w:lang w:val="es-ES"/>
        </w:rPr>
        <w:t>n</w:t>
      </w:r>
      <w:r w:rsidR="00752D51" w:rsidRPr="00A91B78">
        <w:rPr>
          <w:rFonts w:ascii="Verdana" w:hAnsi="Verdana"/>
          <w:sz w:val="20"/>
          <w:szCs w:val="20"/>
          <w:lang w:val="es-ES"/>
        </w:rPr>
        <w:t xml:space="preserve"> violaciones </w:t>
      </w:r>
      <w:r w:rsidR="00752D51">
        <w:rPr>
          <w:rFonts w:ascii="Verdana" w:hAnsi="Verdana"/>
          <w:sz w:val="20"/>
          <w:szCs w:val="20"/>
          <w:lang w:val="es-ES"/>
        </w:rPr>
        <w:t xml:space="preserve">reiteradas </w:t>
      </w:r>
      <w:r w:rsidRPr="00A91B78">
        <w:rPr>
          <w:rFonts w:ascii="Verdana" w:hAnsi="Verdana"/>
          <w:sz w:val="20"/>
          <w:szCs w:val="20"/>
          <w:lang w:val="es-ES"/>
        </w:rPr>
        <w:t xml:space="preserve">de los derechos humanos de los </w:t>
      </w:r>
      <w:r w:rsidR="00031333">
        <w:rPr>
          <w:rFonts w:ascii="Verdana" w:hAnsi="Verdana"/>
          <w:sz w:val="20"/>
          <w:szCs w:val="20"/>
          <w:lang w:val="es-ES"/>
        </w:rPr>
        <w:t>pueblos indígenas y tribales</w:t>
      </w:r>
      <w:r w:rsidRPr="00A91B78">
        <w:rPr>
          <w:rFonts w:ascii="Verdana" w:hAnsi="Verdana"/>
          <w:sz w:val="20"/>
          <w:szCs w:val="20"/>
          <w:lang w:val="es-ES"/>
        </w:rPr>
        <w:t>, las garantías de no repetición adquieren una mayor relevancia como medida de reparación, a fin de que hechos similares no se vuelvan a repetir y contribuyan a la prevención</w:t>
      </w:r>
      <w:r w:rsidRPr="00A91B78">
        <w:rPr>
          <w:rStyle w:val="FootnoteReference"/>
          <w:rFonts w:eastAsia="MS Gothic"/>
          <w:szCs w:val="20"/>
          <w:lang w:val="es-ES"/>
        </w:rPr>
        <w:footnoteReference w:id="338"/>
      </w:r>
      <w:r w:rsidRPr="00A91B78">
        <w:rPr>
          <w:rFonts w:ascii="Verdana" w:hAnsi="Verdana"/>
          <w:sz w:val="20"/>
          <w:szCs w:val="20"/>
          <w:lang w:val="es-ES"/>
        </w:rPr>
        <w:t xml:space="preserve">. En este sentido, </w:t>
      </w:r>
      <w:r w:rsidRPr="00A91B78">
        <w:rPr>
          <w:rFonts w:ascii="Verdana" w:hAnsi="Verdana" w:cs="Arial"/>
          <w:sz w:val="20"/>
          <w:szCs w:val="20"/>
          <w:lang w:val="es-ES"/>
        </w:rPr>
        <w:t>l</w:t>
      </w:r>
      <w:r w:rsidRPr="00A91B78">
        <w:rPr>
          <w:rFonts w:ascii="Verdana" w:hAnsi="Verdana"/>
          <w:sz w:val="20"/>
          <w:szCs w:val="20"/>
          <w:lang w:val="es-ES"/>
        </w:rPr>
        <w:t>a Corte recuerda que el Estado debe</w:t>
      </w:r>
      <w:r w:rsidR="007742CA">
        <w:rPr>
          <w:rFonts w:ascii="Verdana" w:hAnsi="Verdana"/>
          <w:sz w:val="20"/>
          <w:szCs w:val="20"/>
          <w:lang w:val="es-ES"/>
        </w:rPr>
        <w:t xml:space="preserve"> </w:t>
      </w:r>
      <w:r w:rsidRPr="00A91B78">
        <w:rPr>
          <w:rFonts w:ascii="Verdana" w:hAnsi="Verdana"/>
          <w:sz w:val="20"/>
          <w:szCs w:val="20"/>
          <w:lang w:val="es-ES"/>
        </w:rPr>
        <w:t>adoptar todas las medidas legales, administrativas y de otra índole que sean necesarias para hacer efectivo el ejercicio de los derechos</w:t>
      </w:r>
      <w:r w:rsidRPr="00A91B78">
        <w:rPr>
          <w:rStyle w:val="FootnoteReference"/>
          <w:rFonts w:eastAsia="MS Gothic"/>
          <w:szCs w:val="20"/>
          <w:lang w:val="es-ES"/>
        </w:rPr>
        <w:footnoteReference w:id="339"/>
      </w:r>
      <w:r w:rsidRPr="00A91B78">
        <w:rPr>
          <w:rFonts w:ascii="Verdana" w:hAnsi="Verdana"/>
          <w:sz w:val="20"/>
          <w:szCs w:val="20"/>
          <w:lang w:val="es-ES"/>
        </w:rPr>
        <w:t xml:space="preserve"> de los pueblos indígenas </w:t>
      </w:r>
      <w:r w:rsidR="007742CA">
        <w:rPr>
          <w:rFonts w:ascii="Verdana" w:hAnsi="Verdana"/>
          <w:sz w:val="20"/>
          <w:szCs w:val="20"/>
          <w:lang w:val="es-ES"/>
        </w:rPr>
        <w:t>y</w:t>
      </w:r>
      <w:r w:rsidRPr="00A91B78">
        <w:rPr>
          <w:rFonts w:ascii="Verdana" w:hAnsi="Verdana"/>
          <w:sz w:val="20"/>
          <w:szCs w:val="20"/>
          <w:lang w:val="es-ES"/>
        </w:rPr>
        <w:t xml:space="preserve"> tribales, de conformidad con las obligaciones de respeto y garantía</w:t>
      </w:r>
      <w:r w:rsidR="007742CA">
        <w:rPr>
          <w:rFonts w:ascii="Verdana" w:hAnsi="Verdana"/>
          <w:sz w:val="20"/>
          <w:szCs w:val="20"/>
          <w:lang w:val="es-ES"/>
        </w:rPr>
        <w:t>,</w:t>
      </w:r>
      <w:r w:rsidRPr="00A91B78">
        <w:rPr>
          <w:rFonts w:ascii="Verdana" w:hAnsi="Verdana"/>
          <w:sz w:val="20"/>
          <w:szCs w:val="20"/>
          <w:lang w:val="es-ES"/>
        </w:rPr>
        <w:t xml:space="preserve"> dispuestas en los artículos 1.1 y 2 de la Convención. </w:t>
      </w:r>
    </w:p>
    <w:p w14:paraId="3B544996" w14:textId="77777777" w:rsidR="00A91B78" w:rsidRPr="00A91B78" w:rsidRDefault="00A91B78" w:rsidP="00A91B78">
      <w:pPr>
        <w:pStyle w:val="ListParagraph"/>
        <w:ind w:left="0"/>
        <w:jc w:val="both"/>
        <w:rPr>
          <w:rFonts w:ascii="Verdana" w:hAnsi="Verdana"/>
          <w:b/>
          <w:sz w:val="20"/>
          <w:szCs w:val="20"/>
          <w:lang w:val="es-ES"/>
        </w:rPr>
      </w:pPr>
    </w:p>
    <w:p w14:paraId="2B97D895" w14:textId="77777777" w:rsidR="006465E1" w:rsidRPr="00A91B78" w:rsidRDefault="006465E1" w:rsidP="009E77BD">
      <w:pPr>
        <w:pStyle w:val="Heading3"/>
        <w:spacing w:before="0"/>
        <w:ind w:left="360"/>
        <w:jc w:val="both"/>
        <w:rPr>
          <w:rFonts w:ascii="Verdana" w:hAnsi="Verdana"/>
          <w:i/>
          <w:color w:val="auto"/>
          <w:sz w:val="20"/>
          <w:szCs w:val="20"/>
          <w:lang w:val="es-CR"/>
        </w:rPr>
      </w:pPr>
      <w:bookmarkStart w:id="99" w:name="_Toc441666205"/>
      <w:r>
        <w:rPr>
          <w:rFonts w:ascii="Verdana" w:hAnsi="Verdana"/>
          <w:i/>
          <w:color w:val="auto"/>
          <w:sz w:val="20"/>
          <w:szCs w:val="20"/>
          <w:lang w:val="es-ES"/>
        </w:rPr>
        <w:t>E</w:t>
      </w:r>
      <w:r w:rsidR="00A91B78" w:rsidRPr="00A91B78">
        <w:rPr>
          <w:rFonts w:ascii="Verdana" w:hAnsi="Verdana"/>
          <w:i/>
          <w:color w:val="auto"/>
          <w:sz w:val="20"/>
          <w:szCs w:val="20"/>
          <w:lang w:val="es-ES"/>
        </w:rPr>
        <w:t xml:space="preserve">.1  </w:t>
      </w:r>
      <w:r w:rsidR="007E0A8B">
        <w:rPr>
          <w:rFonts w:ascii="Verdana" w:hAnsi="Verdana"/>
          <w:i/>
          <w:color w:val="auto"/>
          <w:sz w:val="20"/>
          <w:szCs w:val="20"/>
          <w:lang w:val="es-CR"/>
        </w:rPr>
        <w:t>Medidas para el</w:t>
      </w:r>
      <w:r w:rsidR="007E0A8B" w:rsidRPr="00A91B78">
        <w:rPr>
          <w:rFonts w:ascii="Verdana" w:hAnsi="Verdana"/>
          <w:i/>
          <w:color w:val="auto"/>
          <w:sz w:val="20"/>
          <w:szCs w:val="20"/>
          <w:lang w:val="es-CR"/>
        </w:rPr>
        <w:t xml:space="preserve"> reconocimiento de</w:t>
      </w:r>
      <w:r w:rsidR="007E0A8B">
        <w:rPr>
          <w:rFonts w:ascii="Verdana" w:hAnsi="Verdana"/>
          <w:i/>
          <w:color w:val="auto"/>
          <w:sz w:val="20"/>
          <w:szCs w:val="20"/>
          <w:lang w:val="es-CR"/>
        </w:rPr>
        <w:t xml:space="preserve"> la personalidad jurídica, garantías </w:t>
      </w:r>
      <w:r w:rsidR="004E5140">
        <w:rPr>
          <w:rFonts w:ascii="Verdana" w:hAnsi="Verdana"/>
          <w:i/>
          <w:color w:val="auto"/>
          <w:sz w:val="20"/>
          <w:szCs w:val="20"/>
          <w:lang w:val="es-CR"/>
        </w:rPr>
        <w:t>a</w:t>
      </w:r>
      <w:r w:rsidR="007E0A8B">
        <w:rPr>
          <w:rFonts w:ascii="Verdana" w:hAnsi="Verdana"/>
          <w:i/>
          <w:color w:val="auto"/>
          <w:sz w:val="20"/>
          <w:szCs w:val="20"/>
          <w:lang w:val="es-CR"/>
        </w:rPr>
        <w:t xml:space="preserve"> la propiedad colectiva, </w:t>
      </w:r>
      <w:r w:rsidR="002079C8">
        <w:rPr>
          <w:rFonts w:ascii="Verdana" w:hAnsi="Verdana"/>
          <w:i/>
          <w:color w:val="auto"/>
          <w:sz w:val="20"/>
          <w:szCs w:val="20"/>
          <w:lang w:val="es-CR"/>
        </w:rPr>
        <w:t xml:space="preserve">participación </w:t>
      </w:r>
      <w:r w:rsidR="007E0A8B">
        <w:rPr>
          <w:rFonts w:ascii="Verdana" w:hAnsi="Verdana"/>
          <w:i/>
          <w:color w:val="auto"/>
          <w:sz w:val="20"/>
          <w:szCs w:val="20"/>
          <w:lang w:val="es-CR"/>
        </w:rPr>
        <w:t>y acceso a la justicia</w:t>
      </w:r>
      <w:bookmarkEnd w:id="99"/>
    </w:p>
    <w:p w14:paraId="7B5CA4D7" w14:textId="77777777" w:rsidR="006465E1" w:rsidRPr="008C0FDC" w:rsidRDefault="006465E1" w:rsidP="006465E1">
      <w:pPr>
        <w:jc w:val="both"/>
        <w:rPr>
          <w:rFonts w:ascii="Verdana" w:hAnsi="Verdana"/>
          <w:sz w:val="20"/>
          <w:szCs w:val="20"/>
          <w:lang w:val="es-MX"/>
        </w:rPr>
      </w:pPr>
    </w:p>
    <w:p w14:paraId="2C2CCEB5" w14:textId="1ECAD131" w:rsidR="006465E1" w:rsidRPr="00BC47E7" w:rsidRDefault="004D41B7" w:rsidP="008A455A">
      <w:pPr>
        <w:numPr>
          <w:ilvl w:val="0"/>
          <w:numId w:val="2"/>
        </w:numPr>
        <w:ind w:left="0" w:hanging="11"/>
        <w:contextualSpacing/>
        <w:jc w:val="both"/>
        <w:rPr>
          <w:rFonts w:ascii="Verdana" w:hAnsi="Verdana"/>
          <w:sz w:val="20"/>
          <w:szCs w:val="20"/>
          <w:lang w:val="es-ES"/>
        </w:rPr>
      </w:pPr>
      <w:r w:rsidRPr="009C7C0A">
        <w:rPr>
          <w:rFonts w:ascii="Verdana" w:hAnsi="Verdana"/>
          <w:sz w:val="20"/>
          <w:lang w:val="es-ES"/>
        </w:rPr>
        <w:t xml:space="preserve">Adicionalmente a lo solicitado </w:t>
      </w:r>
      <w:r w:rsidR="004E5140">
        <w:rPr>
          <w:rFonts w:ascii="Verdana" w:hAnsi="Verdana"/>
          <w:sz w:val="20"/>
          <w:lang w:val="es-ES"/>
        </w:rPr>
        <w:t>en</w:t>
      </w:r>
      <w:r w:rsidR="003D6FD6" w:rsidRPr="009C7C0A">
        <w:rPr>
          <w:rFonts w:ascii="Verdana" w:hAnsi="Verdana"/>
          <w:sz w:val="20"/>
          <w:lang w:val="es-ES"/>
        </w:rPr>
        <w:t xml:space="preserve"> favor de</w:t>
      </w:r>
      <w:r w:rsidRPr="00F568EB">
        <w:rPr>
          <w:rFonts w:ascii="Verdana" w:hAnsi="Verdana"/>
          <w:sz w:val="20"/>
          <w:lang w:val="es-ES"/>
        </w:rPr>
        <w:t xml:space="preserve"> los Pueblos Kaliña y Lokono (</w:t>
      </w:r>
      <w:r w:rsidRPr="007E20F9">
        <w:rPr>
          <w:rFonts w:ascii="Verdana" w:hAnsi="Verdana"/>
          <w:i/>
          <w:sz w:val="20"/>
          <w:lang w:val="es-ES"/>
        </w:rPr>
        <w:t>supra</w:t>
      </w:r>
      <w:r w:rsidRPr="00F568EB">
        <w:rPr>
          <w:rFonts w:ascii="Verdana" w:hAnsi="Verdana"/>
          <w:sz w:val="20"/>
          <w:lang w:val="es-ES"/>
        </w:rPr>
        <w:t xml:space="preserve"> párr</w:t>
      </w:r>
      <w:r w:rsidR="00790F7E">
        <w:rPr>
          <w:rFonts w:ascii="Verdana" w:hAnsi="Verdana"/>
          <w:sz w:val="20"/>
          <w:lang w:val="es-ES"/>
        </w:rPr>
        <w:t>s</w:t>
      </w:r>
      <w:r w:rsidRPr="00F568EB">
        <w:rPr>
          <w:rFonts w:ascii="Verdana" w:hAnsi="Verdana"/>
          <w:sz w:val="20"/>
          <w:lang w:val="es-ES"/>
        </w:rPr>
        <w:t xml:space="preserve">. </w:t>
      </w:r>
      <w:r w:rsidR="00E95007">
        <w:rPr>
          <w:rFonts w:ascii="Verdana" w:hAnsi="Verdana"/>
          <w:sz w:val="20"/>
          <w:lang w:val="es-ES"/>
        </w:rPr>
        <w:t>274</w:t>
      </w:r>
      <w:r w:rsidR="00790F7E">
        <w:rPr>
          <w:rFonts w:ascii="Verdana" w:hAnsi="Verdana"/>
          <w:sz w:val="20"/>
          <w:lang w:val="es-ES"/>
        </w:rPr>
        <w:t xml:space="preserve"> y 275</w:t>
      </w:r>
      <w:r w:rsidR="00E95007" w:rsidRPr="00F568EB">
        <w:rPr>
          <w:rFonts w:ascii="Verdana" w:hAnsi="Verdana"/>
          <w:sz w:val="20"/>
          <w:lang w:val="es-ES"/>
        </w:rPr>
        <w:t>),</w:t>
      </w:r>
      <w:r w:rsidR="00E95007" w:rsidRPr="00190AD3">
        <w:rPr>
          <w:rFonts w:ascii="Verdana" w:hAnsi="Verdana"/>
          <w:sz w:val="20"/>
          <w:lang w:val="es-ES"/>
        </w:rPr>
        <w:t xml:space="preserve"> </w:t>
      </w:r>
      <w:r w:rsidR="00077064" w:rsidRPr="00190AD3">
        <w:rPr>
          <w:rFonts w:ascii="Verdana" w:hAnsi="Verdana"/>
          <w:sz w:val="20"/>
          <w:szCs w:val="20"/>
          <w:lang w:val="es-ES"/>
        </w:rPr>
        <w:t>l</w:t>
      </w:r>
      <w:r w:rsidR="006465E1" w:rsidRPr="00190AD3">
        <w:rPr>
          <w:rFonts w:ascii="Verdana" w:hAnsi="Verdana"/>
          <w:sz w:val="20"/>
          <w:lang w:val="es-ES"/>
        </w:rPr>
        <w:t>a</w:t>
      </w:r>
      <w:r w:rsidR="006465E1" w:rsidRPr="00BC47E7">
        <w:rPr>
          <w:rFonts w:ascii="Verdana" w:hAnsi="Verdana"/>
          <w:sz w:val="20"/>
          <w:szCs w:val="20"/>
          <w:lang w:val="es-ES"/>
        </w:rPr>
        <w:t xml:space="preserve"> </w:t>
      </w:r>
      <w:r w:rsidR="006465E1" w:rsidRPr="00BC47E7">
        <w:rPr>
          <w:rFonts w:ascii="Verdana" w:hAnsi="Verdana"/>
          <w:b/>
          <w:i/>
          <w:sz w:val="20"/>
          <w:szCs w:val="20"/>
          <w:lang w:val="es-ES"/>
        </w:rPr>
        <w:t>Comisión</w:t>
      </w:r>
      <w:r w:rsidR="006465E1" w:rsidRPr="00BC47E7">
        <w:rPr>
          <w:rFonts w:ascii="Verdana" w:hAnsi="Verdana"/>
          <w:sz w:val="20"/>
          <w:szCs w:val="20"/>
          <w:lang w:val="es-ES"/>
        </w:rPr>
        <w:t xml:space="preserve"> </w:t>
      </w:r>
      <w:r w:rsidR="004E5140">
        <w:rPr>
          <w:rFonts w:ascii="Verdana" w:hAnsi="Verdana"/>
          <w:sz w:val="20"/>
          <w:szCs w:val="20"/>
          <w:lang w:val="es-ES"/>
        </w:rPr>
        <w:t>también pidió</w:t>
      </w:r>
      <w:r w:rsidR="006465E1" w:rsidRPr="00BC47E7">
        <w:rPr>
          <w:rFonts w:ascii="Verdana" w:hAnsi="Verdana"/>
          <w:sz w:val="20"/>
          <w:szCs w:val="20"/>
          <w:lang w:val="es-ES"/>
        </w:rPr>
        <w:t xml:space="preserve"> </w:t>
      </w:r>
      <w:r w:rsidR="008A455A" w:rsidRPr="00BC47E7">
        <w:rPr>
          <w:rFonts w:ascii="Verdana" w:hAnsi="Verdana" w:cs="Arial"/>
          <w:color w:val="222222"/>
          <w:sz w:val="20"/>
          <w:szCs w:val="20"/>
          <w:lang w:val="es-ES"/>
        </w:rPr>
        <w:t>que la Corte ordene al Estado la adopción de medidas legislativas, administrativas y de otra índole necesarias para</w:t>
      </w:r>
      <w:r w:rsidR="00123C6C" w:rsidRPr="00BC47E7">
        <w:rPr>
          <w:rFonts w:ascii="Verdana" w:hAnsi="Verdana" w:cs="Arial"/>
          <w:color w:val="222222"/>
          <w:sz w:val="20"/>
          <w:szCs w:val="20"/>
          <w:lang w:val="es-ES"/>
        </w:rPr>
        <w:t xml:space="preserve"> reconocer a los pueblos </w:t>
      </w:r>
      <w:r w:rsidR="00123C6C" w:rsidRPr="00B17B8E">
        <w:rPr>
          <w:rFonts w:ascii="Verdana" w:hAnsi="Verdana" w:cs="Arial"/>
          <w:color w:val="222222"/>
          <w:sz w:val="20"/>
          <w:szCs w:val="20"/>
          <w:lang w:val="es-ES"/>
        </w:rPr>
        <w:t>indígenas</w:t>
      </w:r>
      <w:r w:rsidR="008A455A" w:rsidRPr="00B17B8E">
        <w:rPr>
          <w:rFonts w:ascii="Verdana" w:hAnsi="Verdana" w:cs="Arial"/>
          <w:color w:val="222222"/>
          <w:sz w:val="20"/>
          <w:szCs w:val="20"/>
          <w:lang w:val="es-ES"/>
        </w:rPr>
        <w:t>:</w:t>
      </w:r>
      <w:r w:rsidR="008A455A" w:rsidRPr="00BC47E7">
        <w:rPr>
          <w:rFonts w:ascii="Verdana" w:hAnsi="Verdana" w:cs="Arial"/>
          <w:color w:val="222222"/>
          <w:sz w:val="20"/>
          <w:szCs w:val="20"/>
          <w:lang w:val="es-ES"/>
        </w:rPr>
        <w:t xml:space="preserve"> a</w:t>
      </w:r>
      <w:r w:rsidR="008A455A" w:rsidRPr="00B17B8E">
        <w:rPr>
          <w:rFonts w:ascii="Verdana" w:hAnsi="Verdana" w:cs="Arial"/>
          <w:color w:val="222222"/>
          <w:sz w:val="20"/>
          <w:szCs w:val="20"/>
          <w:lang w:val="es-ES"/>
        </w:rPr>
        <w:t>)</w:t>
      </w:r>
      <w:r w:rsidR="008A455A" w:rsidRPr="00B17B8E">
        <w:rPr>
          <w:rFonts w:ascii="Verdana" w:hAnsi="Verdana"/>
          <w:sz w:val="20"/>
          <w:szCs w:val="20"/>
          <w:lang w:val="es-ES"/>
        </w:rPr>
        <w:t xml:space="preserve"> </w:t>
      </w:r>
      <w:r w:rsidR="00123C6C" w:rsidRPr="00B17B8E">
        <w:rPr>
          <w:rFonts w:ascii="Verdana" w:hAnsi="Verdana"/>
          <w:sz w:val="20"/>
          <w:szCs w:val="20"/>
          <w:lang w:val="es-ES"/>
        </w:rPr>
        <w:t xml:space="preserve">la personalidad jurídica; b) el derecho a </w:t>
      </w:r>
      <w:r w:rsidR="008A455A" w:rsidRPr="00B17B8E">
        <w:rPr>
          <w:rFonts w:ascii="Verdana" w:hAnsi="Verdana" w:cs="Arial"/>
          <w:color w:val="222222"/>
          <w:sz w:val="20"/>
          <w:szCs w:val="20"/>
          <w:lang w:val="es-ES"/>
        </w:rPr>
        <w:t>la propiedad</w:t>
      </w:r>
      <w:r w:rsidR="00F40AD9" w:rsidRPr="00B17B8E">
        <w:rPr>
          <w:rFonts w:ascii="Verdana" w:hAnsi="Verdana" w:cs="Arial"/>
          <w:color w:val="222222"/>
          <w:sz w:val="20"/>
          <w:szCs w:val="20"/>
          <w:lang w:val="es-ES"/>
        </w:rPr>
        <w:t xml:space="preserve"> </w:t>
      </w:r>
      <w:r w:rsidR="00123C6C" w:rsidRPr="00B17B8E">
        <w:rPr>
          <w:rFonts w:ascii="Verdana" w:hAnsi="Verdana" w:cs="Arial"/>
          <w:color w:val="222222"/>
          <w:sz w:val="20"/>
          <w:szCs w:val="20"/>
          <w:lang w:val="es-ES"/>
        </w:rPr>
        <w:t xml:space="preserve">colectiva; </w:t>
      </w:r>
      <w:r w:rsidR="008A455A" w:rsidRPr="00B17B8E">
        <w:rPr>
          <w:rFonts w:ascii="Verdana" w:hAnsi="Verdana"/>
          <w:sz w:val="20"/>
          <w:szCs w:val="20"/>
          <w:lang w:val="es-ES"/>
        </w:rPr>
        <w:t xml:space="preserve">c) </w:t>
      </w:r>
      <w:r w:rsidR="00123C6C" w:rsidRPr="00B17B8E">
        <w:rPr>
          <w:rFonts w:ascii="Verdana" w:hAnsi="Verdana"/>
          <w:sz w:val="20"/>
          <w:szCs w:val="20"/>
          <w:lang w:val="es-ES"/>
        </w:rPr>
        <w:t>el derecho</w:t>
      </w:r>
      <w:r w:rsidR="00123C6C" w:rsidRPr="00B17B8E">
        <w:rPr>
          <w:rFonts w:ascii="Verdana" w:hAnsi="Verdana"/>
          <w:b/>
          <w:sz w:val="20"/>
          <w:szCs w:val="20"/>
          <w:lang w:val="es-ES"/>
        </w:rPr>
        <w:t xml:space="preserve"> </w:t>
      </w:r>
      <w:r w:rsidR="00123C6C" w:rsidRPr="00B17B8E">
        <w:rPr>
          <w:rFonts w:ascii="Verdana" w:hAnsi="Verdana"/>
          <w:sz w:val="20"/>
          <w:szCs w:val="20"/>
          <w:lang w:val="es-ES"/>
        </w:rPr>
        <w:t>a</w:t>
      </w:r>
      <w:r w:rsidR="00123C6C" w:rsidRPr="00B17B8E">
        <w:rPr>
          <w:rFonts w:ascii="Verdana" w:hAnsi="Verdana"/>
          <w:b/>
          <w:sz w:val="20"/>
          <w:szCs w:val="20"/>
          <w:lang w:val="es-ES"/>
        </w:rPr>
        <w:t xml:space="preserve"> </w:t>
      </w:r>
      <w:r w:rsidR="00123C6C" w:rsidRPr="00B17B8E">
        <w:rPr>
          <w:rFonts w:ascii="Verdana" w:hAnsi="Verdana"/>
          <w:sz w:val="20"/>
          <w:szCs w:val="20"/>
          <w:lang w:val="es-ES"/>
        </w:rPr>
        <w:t>la consulta respecto de cualquier proyecto de desarrollo, inversión o de conservación</w:t>
      </w:r>
      <w:r w:rsidR="00BC47E7" w:rsidRPr="00B17B8E">
        <w:rPr>
          <w:rFonts w:ascii="Verdana" w:hAnsi="Verdana"/>
          <w:sz w:val="20"/>
          <w:szCs w:val="20"/>
          <w:lang w:val="es-ES"/>
        </w:rPr>
        <w:t xml:space="preserve">, y </w:t>
      </w:r>
      <w:r w:rsidR="00123C6C" w:rsidRPr="00B17B8E">
        <w:rPr>
          <w:rFonts w:ascii="Verdana" w:hAnsi="Verdana"/>
          <w:sz w:val="20"/>
          <w:szCs w:val="20"/>
          <w:lang w:val="es-ES"/>
        </w:rPr>
        <w:t xml:space="preserve">d) el </w:t>
      </w:r>
      <w:r w:rsidR="00123C6C" w:rsidRPr="00B17B8E">
        <w:rPr>
          <w:rFonts w:ascii="Verdana" w:hAnsi="Verdana"/>
          <w:sz w:val="20"/>
          <w:szCs w:val="20"/>
          <w:lang w:val="es-ES"/>
        </w:rPr>
        <w:lastRenderedPageBreak/>
        <w:t>derecho a la protección judicial para defender sus derechos e</w:t>
      </w:r>
      <w:r w:rsidR="00B24291" w:rsidRPr="00B17B8E">
        <w:rPr>
          <w:rFonts w:ascii="Verdana" w:hAnsi="Verdana"/>
          <w:sz w:val="20"/>
          <w:szCs w:val="20"/>
          <w:lang w:val="es-ES"/>
        </w:rPr>
        <w:t>n sus territorios tradicionales</w:t>
      </w:r>
      <w:r w:rsidR="00BC47E7" w:rsidRPr="004B0145">
        <w:rPr>
          <w:rFonts w:ascii="Verdana" w:hAnsi="Verdana"/>
          <w:sz w:val="20"/>
          <w:szCs w:val="20"/>
          <w:lang w:val="es-ES"/>
        </w:rPr>
        <w:t>.</w:t>
      </w:r>
      <w:r w:rsidR="00BC47E7" w:rsidRPr="00BC47E7">
        <w:rPr>
          <w:rFonts w:ascii="Verdana" w:hAnsi="Verdana"/>
          <w:b/>
          <w:sz w:val="20"/>
          <w:szCs w:val="20"/>
          <w:lang w:val="es-ES"/>
        </w:rPr>
        <w:t xml:space="preserve"> </w:t>
      </w:r>
      <w:r w:rsidR="008A455A" w:rsidRPr="00B17B8E">
        <w:rPr>
          <w:rFonts w:ascii="Verdana" w:hAnsi="Verdana"/>
          <w:sz w:val="20"/>
          <w:szCs w:val="20"/>
          <w:lang w:val="es-ES"/>
        </w:rPr>
        <w:t xml:space="preserve">Por otra parte, la Comisión consideró que el Estado debía </w:t>
      </w:r>
      <w:r w:rsidRPr="00B17B8E">
        <w:rPr>
          <w:rFonts w:ascii="Verdana" w:hAnsi="Verdana"/>
          <w:sz w:val="20"/>
          <w:szCs w:val="20"/>
          <w:lang w:val="es-ES"/>
        </w:rPr>
        <w:t xml:space="preserve">eliminar </w:t>
      </w:r>
      <w:r w:rsidRPr="00B17B8E">
        <w:rPr>
          <w:rFonts w:ascii="Verdana" w:hAnsi="Verdana" w:cs="Arial"/>
          <w:color w:val="222222"/>
          <w:sz w:val="20"/>
          <w:szCs w:val="20"/>
          <w:lang w:val="es-ES"/>
        </w:rPr>
        <w:t xml:space="preserve">normas que impidieran la protección del derecho la propiedad </w:t>
      </w:r>
      <w:r w:rsidRPr="00A2656B">
        <w:rPr>
          <w:rFonts w:ascii="Verdana" w:hAnsi="Verdana" w:cs="Arial"/>
          <w:color w:val="222222"/>
          <w:sz w:val="20"/>
          <w:szCs w:val="20"/>
          <w:lang w:val="es-ES"/>
        </w:rPr>
        <w:t>y</w:t>
      </w:r>
      <w:r w:rsidRPr="00A2656B">
        <w:rPr>
          <w:rFonts w:ascii="Verdana" w:hAnsi="Verdana"/>
          <w:sz w:val="20"/>
          <w:szCs w:val="20"/>
          <w:lang w:val="es-ES"/>
        </w:rPr>
        <w:t xml:space="preserve"> </w:t>
      </w:r>
      <w:r w:rsidR="008A455A" w:rsidRPr="005D5E30">
        <w:rPr>
          <w:rFonts w:ascii="Verdana" w:hAnsi="Verdana"/>
          <w:sz w:val="20"/>
          <w:szCs w:val="20"/>
          <w:lang w:val="es-ES"/>
        </w:rPr>
        <w:t>revisar el marco legal existente con el fin de modificar las normas que sean contrarias con los derechos de los pu</w:t>
      </w:r>
      <w:r w:rsidR="008A455A" w:rsidRPr="00BC47E7">
        <w:rPr>
          <w:rFonts w:ascii="Verdana" w:hAnsi="Verdana"/>
          <w:sz w:val="20"/>
          <w:szCs w:val="20"/>
          <w:lang w:val="es-ES"/>
        </w:rPr>
        <w:t>eblos analizados en el presente caso</w:t>
      </w:r>
      <w:r w:rsidR="00123C6C" w:rsidRPr="00BC47E7">
        <w:rPr>
          <w:rFonts w:ascii="Verdana" w:hAnsi="Verdana"/>
          <w:sz w:val="20"/>
          <w:szCs w:val="20"/>
          <w:lang w:val="es-ES"/>
        </w:rPr>
        <w:t>.</w:t>
      </w:r>
      <w:r w:rsidR="008A455A" w:rsidRPr="00BC47E7">
        <w:rPr>
          <w:rFonts w:ascii="Verdana" w:hAnsi="Verdana"/>
          <w:sz w:val="20"/>
          <w:szCs w:val="20"/>
          <w:lang w:val="es-ES"/>
        </w:rPr>
        <w:t xml:space="preserve"> </w:t>
      </w:r>
    </w:p>
    <w:p w14:paraId="4E02C04F" w14:textId="77777777" w:rsidR="004D41B7" w:rsidRPr="008C0FDC" w:rsidRDefault="004D41B7" w:rsidP="004D41B7">
      <w:pPr>
        <w:contextualSpacing/>
        <w:jc w:val="both"/>
        <w:rPr>
          <w:rFonts w:ascii="Verdana" w:hAnsi="Verdana"/>
          <w:sz w:val="20"/>
          <w:szCs w:val="20"/>
          <w:lang w:val="es-ES"/>
        </w:rPr>
      </w:pPr>
    </w:p>
    <w:p w14:paraId="5A986646" w14:textId="5B67E0F2" w:rsidR="00CB6F1E" w:rsidRPr="004D41B7" w:rsidRDefault="005D4886" w:rsidP="00E477FD">
      <w:pPr>
        <w:numPr>
          <w:ilvl w:val="0"/>
          <w:numId w:val="2"/>
        </w:numPr>
        <w:ind w:left="0" w:hanging="11"/>
        <w:contextualSpacing/>
        <w:jc w:val="both"/>
        <w:rPr>
          <w:rFonts w:ascii="Verdana" w:hAnsi="Verdana"/>
          <w:color w:val="222222"/>
          <w:sz w:val="20"/>
          <w:lang w:val="es-ES"/>
        </w:rPr>
      </w:pPr>
      <w:r w:rsidRPr="009C7C0A">
        <w:rPr>
          <w:rFonts w:ascii="Verdana" w:hAnsi="Verdana"/>
          <w:sz w:val="20"/>
          <w:lang w:val="es-ES"/>
        </w:rPr>
        <w:t xml:space="preserve">Adicionalmente a lo solicitado </w:t>
      </w:r>
      <w:r w:rsidR="004E5140">
        <w:rPr>
          <w:rFonts w:ascii="Verdana" w:hAnsi="Verdana"/>
          <w:sz w:val="20"/>
          <w:lang w:val="es-ES"/>
        </w:rPr>
        <w:t>en</w:t>
      </w:r>
      <w:r w:rsidR="00906685" w:rsidRPr="00F568EB">
        <w:rPr>
          <w:rFonts w:ascii="Verdana" w:hAnsi="Verdana"/>
          <w:sz w:val="20"/>
          <w:lang w:val="es-ES"/>
        </w:rPr>
        <w:t xml:space="preserve"> favor de los Pueblos Kaliña y Lokono (</w:t>
      </w:r>
      <w:r w:rsidR="00906685" w:rsidRPr="007E20F9">
        <w:rPr>
          <w:rFonts w:ascii="Verdana" w:hAnsi="Verdana"/>
          <w:i/>
          <w:sz w:val="20"/>
          <w:lang w:val="es-ES"/>
        </w:rPr>
        <w:t>supra</w:t>
      </w:r>
      <w:r w:rsidR="00906685" w:rsidRPr="00F568EB">
        <w:rPr>
          <w:rFonts w:ascii="Verdana" w:hAnsi="Verdana"/>
          <w:sz w:val="20"/>
          <w:lang w:val="es-ES"/>
        </w:rPr>
        <w:t xml:space="preserve"> párr. </w:t>
      </w:r>
      <w:r w:rsidR="004E5140">
        <w:rPr>
          <w:rFonts w:ascii="Verdana" w:hAnsi="Verdana"/>
          <w:sz w:val="20"/>
          <w:lang w:val="es-ES"/>
        </w:rPr>
        <w:t>276</w:t>
      </w:r>
      <w:r w:rsidR="00906685" w:rsidRPr="00F568EB">
        <w:rPr>
          <w:rFonts w:ascii="Verdana" w:hAnsi="Verdana"/>
          <w:sz w:val="20"/>
          <w:lang w:val="es-ES"/>
        </w:rPr>
        <w:t>),</w:t>
      </w:r>
      <w:r w:rsidR="00906685" w:rsidRPr="004D41B7">
        <w:rPr>
          <w:rFonts w:ascii="Verdana" w:hAnsi="Verdana"/>
          <w:sz w:val="20"/>
          <w:szCs w:val="20"/>
          <w:lang w:val="es-ES"/>
        </w:rPr>
        <w:t xml:space="preserve"> </w:t>
      </w:r>
      <w:r w:rsidR="00077064">
        <w:rPr>
          <w:rFonts w:ascii="Verdana" w:hAnsi="Verdana"/>
          <w:sz w:val="20"/>
          <w:szCs w:val="20"/>
          <w:lang w:val="es-ES"/>
        </w:rPr>
        <w:t>l</w:t>
      </w:r>
      <w:r w:rsidR="006465E1" w:rsidRPr="004D41B7">
        <w:rPr>
          <w:rFonts w:ascii="Verdana" w:hAnsi="Verdana"/>
          <w:sz w:val="20"/>
          <w:szCs w:val="20"/>
          <w:lang w:val="es-ES"/>
        </w:rPr>
        <w:t xml:space="preserve">os </w:t>
      </w:r>
      <w:r w:rsidR="006465E1" w:rsidRPr="004D41B7">
        <w:rPr>
          <w:rFonts w:ascii="Verdana" w:hAnsi="Verdana"/>
          <w:b/>
          <w:i/>
          <w:sz w:val="20"/>
          <w:szCs w:val="20"/>
          <w:lang w:val="es-ES"/>
        </w:rPr>
        <w:t>representantes</w:t>
      </w:r>
      <w:r w:rsidR="006465E1" w:rsidRPr="004D41B7">
        <w:rPr>
          <w:rFonts w:ascii="Verdana" w:hAnsi="Verdana"/>
          <w:sz w:val="20"/>
          <w:szCs w:val="20"/>
          <w:lang w:val="es-ES"/>
        </w:rPr>
        <w:t xml:space="preserve"> </w:t>
      </w:r>
      <w:r w:rsidR="004E5140">
        <w:rPr>
          <w:rFonts w:ascii="Verdana" w:hAnsi="Verdana"/>
          <w:sz w:val="20"/>
          <w:szCs w:val="20"/>
          <w:lang w:val="es-ES"/>
        </w:rPr>
        <w:t>pidieron</w:t>
      </w:r>
      <w:r w:rsidR="00F40AD9" w:rsidRPr="004D41B7">
        <w:rPr>
          <w:rFonts w:ascii="Verdana" w:hAnsi="Verdana"/>
          <w:sz w:val="20"/>
          <w:szCs w:val="20"/>
          <w:lang w:val="es-ES"/>
        </w:rPr>
        <w:t xml:space="preserve"> </w:t>
      </w:r>
      <w:r w:rsidR="00F40AD9" w:rsidRPr="004D41B7">
        <w:rPr>
          <w:rFonts w:ascii="Verdana" w:hAnsi="Verdana" w:cs="Arial"/>
          <w:color w:val="222222"/>
          <w:sz w:val="20"/>
          <w:szCs w:val="20"/>
          <w:lang w:val="es-ES"/>
        </w:rPr>
        <w:t xml:space="preserve">que la Corte ordene al Estado la adopción de todas </w:t>
      </w:r>
      <w:r w:rsidR="00BC47E7">
        <w:rPr>
          <w:rFonts w:ascii="Verdana" w:hAnsi="Verdana" w:cs="Arial"/>
          <w:color w:val="222222"/>
          <w:sz w:val="20"/>
          <w:szCs w:val="20"/>
          <w:lang w:val="es-ES"/>
        </w:rPr>
        <w:t xml:space="preserve">las </w:t>
      </w:r>
      <w:r w:rsidR="00F40AD9" w:rsidRPr="00BC47E7">
        <w:rPr>
          <w:rFonts w:ascii="Verdana" w:hAnsi="Verdana" w:cs="Arial"/>
          <w:color w:val="222222"/>
          <w:sz w:val="20"/>
          <w:szCs w:val="20"/>
          <w:lang w:val="es-ES"/>
        </w:rPr>
        <w:t xml:space="preserve">medidas legislativas, administrativas y de </w:t>
      </w:r>
      <w:r w:rsidR="00DF7AA9" w:rsidRPr="00BC47E7">
        <w:rPr>
          <w:rFonts w:ascii="Verdana" w:hAnsi="Verdana" w:cs="Arial"/>
          <w:color w:val="222222"/>
          <w:sz w:val="20"/>
          <w:szCs w:val="20"/>
          <w:lang w:val="es-ES"/>
        </w:rPr>
        <w:t xml:space="preserve">otra índole necesarias para reconocer y </w:t>
      </w:r>
      <w:r w:rsidR="00CB6F1E" w:rsidRPr="00A2656B">
        <w:rPr>
          <w:rFonts w:ascii="Verdana" w:hAnsi="Verdana"/>
          <w:sz w:val="20"/>
          <w:szCs w:val="20"/>
          <w:lang w:val="es-MX"/>
        </w:rPr>
        <w:t xml:space="preserve">garantizar </w:t>
      </w:r>
      <w:r w:rsidR="006465E1" w:rsidRPr="00A2656B">
        <w:rPr>
          <w:rFonts w:ascii="Verdana" w:hAnsi="Verdana"/>
          <w:sz w:val="20"/>
          <w:szCs w:val="20"/>
          <w:lang w:val="es-MX"/>
        </w:rPr>
        <w:t xml:space="preserve">el acceso colectivo a la justicia (capacidad legal) </w:t>
      </w:r>
      <w:r w:rsidR="00DF7AA9" w:rsidRPr="005D5E30">
        <w:rPr>
          <w:rFonts w:ascii="Verdana" w:hAnsi="Verdana"/>
          <w:sz w:val="20"/>
          <w:szCs w:val="20"/>
          <w:lang w:val="es-MX"/>
        </w:rPr>
        <w:t xml:space="preserve">y </w:t>
      </w:r>
      <w:r w:rsidR="006465E1" w:rsidRPr="00BC47E7">
        <w:rPr>
          <w:rFonts w:ascii="Verdana" w:hAnsi="Verdana"/>
          <w:sz w:val="20"/>
          <w:szCs w:val="20"/>
          <w:lang w:val="es-MX"/>
        </w:rPr>
        <w:t>el derecho a recursos judiciales efectivos</w:t>
      </w:r>
      <w:r w:rsidR="00DF7AA9" w:rsidRPr="00BC47E7">
        <w:rPr>
          <w:rFonts w:ascii="Verdana" w:hAnsi="Verdana"/>
          <w:sz w:val="20"/>
          <w:szCs w:val="20"/>
          <w:lang w:val="es-MX"/>
        </w:rPr>
        <w:t xml:space="preserve"> </w:t>
      </w:r>
      <w:r w:rsidR="004E5140">
        <w:rPr>
          <w:rFonts w:ascii="Verdana" w:hAnsi="Verdana"/>
          <w:sz w:val="20"/>
          <w:szCs w:val="20"/>
          <w:lang w:val="es-MX"/>
        </w:rPr>
        <w:t>a los pueblos indígenas</w:t>
      </w:r>
      <w:r w:rsidR="00DF7AA9" w:rsidRPr="00BC47E7">
        <w:rPr>
          <w:rFonts w:ascii="Verdana" w:hAnsi="Verdana"/>
          <w:sz w:val="20"/>
          <w:szCs w:val="20"/>
          <w:lang w:val="es-MX"/>
        </w:rPr>
        <w:t xml:space="preserve">. </w:t>
      </w:r>
      <w:r w:rsidR="006465E1" w:rsidRPr="00BC47E7">
        <w:rPr>
          <w:rFonts w:ascii="Verdana" w:hAnsi="Verdana"/>
          <w:sz w:val="20"/>
          <w:szCs w:val="20"/>
          <w:lang w:val="es-MX"/>
        </w:rPr>
        <w:t xml:space="preserve">Por otra parte, </w:t>
      </w:r>
      <w:r w:rsidR="006465E1" w:rsidRPr="00BC47E7">
        <w:rPr>
          <w:rFonts w:ascii="Verdana" w:hAnsi="Verdana"/>
          <w:sz w:val="20"/>
          <w:szCs w:val="20"/>
          <w:lang w:val="es-ES"/>
        </w:rPr>
        <w:t>los representantes requirieron</w:t>
      </w:r>
      <w:r w:rsidR="006465E1" w:rsidRPr="00BC47E7">
        <w:rPr>
          <w:rFonts w:ascii="Verdana" w:hAnsi="Verdana"/>
          <w:sz w:val="20"/>
          <w:szCs w:val="20"/>
          <w:lang w:val="es-MX"/>
        </w:rPr>
        <w:t xml:space="preserve"> la revisión,</w:t>
      </w:r>
      <w:r w:rsidR="006465E1" w:rsidRPr="004D41B7">
        <w:rPr>
          <w:rFonts w:ascii="Verdana" w:hAnsi="Verdana"/>
          <w:sz w:val="20"/>
          <w:szCs w:val="20"/>
          <w:lang w:val="es-MX"/>
        </w:rPr>
        <w:t xml:space="preserve"> aprobación o modificación de la legislación relacionada con las áreas protegidas, la minería, la tala, la caza y los bosques, para garantizar la coherencia con los derechos de las víctimas</w:t>
      </w:r>
      <w:r w:rsidR="00006488">
        <w:rPr>
          <w:rFonts w:ascii="Verdana" w:hAnsi="Verdana"/>
          <w:sz w:val="20"/>
          <w:szCs w:val="20"/>
          <w:lang w:val="es-MX"/>
        </w:rPr>
        <w:t>.</w:t>
      </w:r>
      <w:r w:rsidR="006465E1" w:rsidRPr="004D41B7">
        <w:rPr>
          <w:rFonts w:ascii="Verdana" w:hAnsi="Verdana"/>
          <w:sz w:val="20"/>
          <w:szCs w:val="20"/>
          <w:lang w:val="es-MX"/>
        </w:rPr>
        <w:t xml:space="preserve"> </w:t>
      </w:r>
    </w:p>
    <w:p w14:paraId="23986186" w14:textId="77777777" w:rsidR="00DF7AA9" w:rsidRPr="00E477FD" w:rsidRDefault="00DF7AA9" w:rsidP="00DF7AA9">
      <w:pPr>
        <w:contextualSpacing/>
        <w:jc w:val="both"/>
        <w:rPr>
          <w:rFonts w:ascii="Verdana" w:hAnsi="Verdana"/>
          <w:color w:val="222222"/>
          <w:sz w:val="20"/>
          <w:lang w:val="es-ES"/>
        </w:rPr>
      </w:pPr>
    </w:p>
    <w:p w14:paraId="27E22035" w14:textId="49DE5299" w:rsidR="000E1E3F" w:rsidRPr="00166C9C" w:rsidRDefault="000E1E3F" w:rsidP="000E1E3F">
      <w:pPr>
        <w:numPr>
          <w:ilvl w:val="0"/>
          <w:numId w:val="2"/>
        </w:numPr>
        <w:ind w:left="0" w:hanging="11"/>
        <w:contextualSpacing/>
        <w:jc w:val="both"/>
        <w:rPr>
          <w:rFonts w:ascii="Verdana" w:hAnsi="Verdana"/>
          <w:sz w:val="20"/>
          <w:lang w:val="es-ES"/>
        </w:rPr>
      </w:pPr>
      <w:r w:rsidRPr="00166C9C">
        <w:rPr>
          <w:rFonts w:ascii="Verdana" w:hAnsi="Verdana"/>
          <w:sz w:val="20"/>
          <w:lang w:val="es-ES"/>
        </w:rPr>
        <w:t xml:space="preserve">El </w:t>
      </w:r>
      <w:r w:rsidRPr="00BA4C80">
        <w:rPr>
          <w:rFonts w:ascii="Verdana" w:hAnsi="Verdana"/>
          <w:b/>
          <w:i/>
          <w:sz w:val="20"/>
          <w:lang w:val="es-ES"/>
        </w:rPr>
        <w:t>Estado</w:t>
      </w:r>
      <w:r w:rsidRPr="00BA4C80">
        <w:rPr>
          <w:rFonts w:ascii="Verdana" w:hAnsi="Verdana"/>
          <w:sz w:val="20"/>
          <w:lang w:val="es-ES"/>
        </w:rPr>
        <w:t xml:space="preserve"> expresó que</w:t>
      </w:r>
      <w:r w:rsidR="001B0124" w:rsidRPr="00E477FD">
        <w:rPr>
          <w:rFonts w:ascii="Verdana" w:hAnsi="Verdana"/>
          <w:sz w:val="20"/>
          <w:szCs w:val="20"/>
          <w:lang w:val="es-ES"/>
        </w:rPr>
        <w:t xml:space="preserve">: a) la normativa surinamesa no se </w:t>
      </w:r>
      <w:r w:rsidR="004E5140" w:rsidRPr="00E477FD">
        <w:rPr>
          <w:rFonts w:ascii="Verdana" w:hAnsi="Verdana"/>
          <w:sz w:val="20"/>
          <w:szCs w:val="20"/>
          <w:lang w:val="es-ES"/>
        </w:rPr>
        <w:t>enc</w:t>
      </w:r>
      <w:r w:rsidR="004E5140">
        <w:rPr>
          <w:rFonts w:ascii="Verdana" w:hAnsi="Verdana"/>
          <w:sz w:val="20"/>
          <w:szCs w:val="20"/>
          <w:lang w:val="es-ES"/>
        </w:rPr>
        <w:t>ontraba</w:t>
      </w:r>
      <w:r w:rsidR="004E5140" w:rsidRPr="00E477FD">
        <w:rPr>
          <w:rFonts w:ascii="Verdana" w:hAnsi="Verdana"/>
          <w:sz w:val="20"/>
          <w:szCs w:val="20"/>
          <w:lang w:val="es-ES"/>
        </w:rPr>
        <w:t xml:space="preserve"> </w:t>
      </w:r>
      <w:r w:rsidR="001B0124" w:rsidRPr="00E477FD">
        <w:rPr>
          <w:rFonts w:ascii="Verdana" w:hAnsi="Verdana"/>
          <w:sz w:val="20"/>
          <w:szCs w:val="20"/>
          <w:lang w:val="es-ES"/>
        </w:rPr>
        <w:t>familiarizada con el concepto de atribuir personalidad jurídica a grupos étnicos colectivos</w:t>
      </w:r>
      <w:r w:rsidR="00B8765F" w:rsidRPr="00E477FD">
        <w:rPr>
          <w:rFonts w:ascii="Verdana" w:hAnsi="Verdana"/>
          <w:sz w:val="20"/>
          <w:szCs w:val="20"/>
          <w:lang w:val="es-ES"/>
        </w:rPr>
        <w:t>, por lo que no p</w:t>
      </w:r>
      <w:r w:rsidR="004E5140">
        <w:rPr>
          <w:rFonts w:ascii="Verdana" w:hAnsi="Verdana"/>
          <w:sz w:val="20"/>
          <w:szCs w:val="20"/>
          <w:lang w:val="es-ES"/>
        </w:rPr>
        <w:t>odría</w:t>
      </w:r>
      <w:r w:rsidR="00B8765F" w:rsidRPr="00E477FD">
        <w:rPr>
          <w:rFonts w:ascii="Verdana" w:hAnsi="Verdana"/>
          <w:sz w:val="20"/>
          <w:szCs w:val="20"/>
          <w:lang w:val="es-ES"/>
        </w:rPr>
        <w:t xml:space="preserve"> atribuírseles al no estar regulada en el Código Civil. A pesar de ello, indicó que en el marco del estudio del impacto de dicho reconocimiento en el sistema legal surinamés, el Estado est</w:t>
      </w:r>
      <w:r w:rsidR="004E5140">
        <w:rPr>
          <w:rFonts w:ascii="Verdana" w:hAnsi="Verdana"/>
          <w:sz w:val="20"/>
          <w:szCs w:val="20"/>
          <w:lang w:val="es-ES"/>
        </w:rPr>
        <w:t>aba</w:t>
      </w:r>
      <w:r w:rsidR="00B8765F" w:rsidRPr="00E477FD">
        <w:rPr>
          <w:rFonts w:ascii="Verdana" w:hAnsi="Verdana"/>
          <w:sz w:val="20"/>
          <w:szCs w:val="20"/>
          <w:lang w:val="es-ES"/>
        </w:rPr>
        <w:t xml:space="preserve"> en el proceso de creación de </w:t>
      </w:r>
      <w:r w:rsidR="007F4E4C">
        <w:rPr>
          <w:rFonts w:ascii="Verdana" w:hAnsi="Verdana"/>
          <w:sz w:val="20"/>
          <w:szCs w:val="20"/>
          <w:lang w:val="es-ES"/>
        </w:rPr>
        <w:t xml:space="preserve">la </w:t>
      </w:r>
      <w:r w:rsidR="00B8765F" w:rsidRPr="00E477FD">
        <w:rPr>
          <w:rFonts w:ascii="Verdana" w:hAnsi="Verdana"/>
          <w:sz w:val="20"/>
          <w:szCs w:val="20"/>
          <w:lang w:val="es-ES"/>
        </w:rPr>
        <w:t>ley de autoridades tradicionales, lo cual consistiría en una solución al problema del reconocimiento de la personalidad jurídica</w:t>
      </w:r>
      <w:r w:rsidR="00166C9C" w:rsidRPr="00E477FD">
        <w:rPr>
          <w:rFonts w:ascii="Verdana" w:hAnsi="Verdana"/>
          <w:sz w:val="20"/>
          <w:szCs w:val="20"/>
          <w:lang w:val="es-ES"/>
        </w:rPr>
        <w:t xml:space="preserve">; b) el </w:t>
      </w:r>
      <w:r w:rsidR="00BA4C80">
        <w:rPr>
          <w:rFonts w:ascii="Verdana" w:hAnsi="Verdana"/>
          <w:sz w:val="20"/>
          <w:szCs w:val="20"/>
          <w:lang w:val="es-ES"/>
        </w:rPr>
        <w:t xml:space="preserve">reclamo sobre tierras y el </w:t>
      </w:r>
      <w:r w:rsidR="00166C9C" w:rsidRPr="00E477FD">
        <w:rPr>
          <w:rFonts w:ascii="Verdana" w:hAnsi="Verdana"/>
          <w:sz w:val="20"/>
          <w:szCs w:val="20"/>
          <w:lang w:val="es-ES"/>
        </w:rPr>
        <w:t xml:space="preserve">control sobre </w:t>
      </w:r>
      <w:r w:rsidR="00BA4C80">
        <w:rPr>
          <w:rFonts w:ascii="Verdana" w:hAnsi="Verdana"/>
          <w:sz w:val="20"/>
          <w:szCs w:val="20"/>
          <w:lang w:val="es-ES"/>
        </w:rPr>
        <w:t xml:space="preserve">estas </w:t>
      </w:r>
      <w:r w:rsidR="00166C9C" w:rsidRPr="00E477FD">
        <w:rPr>
          <w:rFonts w:ascii="Verdana" w:hAnsi="Verdana"/>
          <w:sz w:val="20"/>
          <w:szCs w:val="20"/>
          <w:lang w:val="es-ES"/>
        </w:rPr>
        <w:t>y los recursos naturales no p</w:t>
      </w:r>
      <w:r w:rsidR="00FF1B4B">
        <w:rPr>
          <w:rFonts w:ascii="Verdana" w:hAnsi="Verdana"/>
          <w:sz w:val="20"/>
          <w:szCs w:val="20"/>
          <w:lang w:val="es-ES"/>
        </w:rPr>
        <w:t>odría</w:t>
      </w:r>
      <w:r w:rsidR="00166C9C" w:rsidRPr="00E477FD">
        <w:rPr>
          <w:rFonts w:ascii="Verdana" w:hAnsi="Verdana"/>
          <w:sz w:val="20"/>
          <w:szCs w:val="20"/>
          <w:lang w:val="es-ES"/>
        </w:rPr>
        <w:t xml:space="preserve"> ser entregado a todos los pueblos indígenas y tribales </w:t>
      </w:r>
      <w:r w:rsidR="00FF1B4B">
        <w:rPr>
          <w:rFonts w:ascii="Verdana" w:hAnsi="Verdana"/>
          <w:sz w:val="20"/>
          <w:szCs w:val="20"/>
          <w:lang w:val="es-ES"/>
        </w:rPr>
        <w:t>de</w:t>
      </w:r>
      <w:r w:rsidR="00166C9C" w:rsidRPr="00E477FD">
        <w:rPr>
          <w:rFonts w:ascii="Verdana" w:hAnsi="Verdana"/>
          <w:sz w:val="20"/>
          <w:szCs w:val="20"/>
          <w:lang w:val="es-ES"/>
        </w:rPr>
        <w:t xml:space="preserve"> Surinam, de lo contrario, esto generaría un impacto altamente negativo en la economía del país;</w:t>
      </w:r>
      <w:r w:rsidR="00166C9C" w:rsidRPr="00E477FD">
        <w:rPr>
          <w:rFonts w:ascii="Verdana" w:hAnsi="Verdana"/>
          <w:b/>
          <w:sz w:val="20"/>
          <w:szCs w:val="20"/>
          <w:lang w:val="es-ES"/>
        </w:rPr>
        <w:t xml:space="preserve"> </w:t>
      </w:r>
      <w:r w:rsidR="00166C9C" w:rsidRPr="00E477FD">
        <w:rPr>
          <w:rFonts w:ascii="Verdana" w:hAnsi="Verdana"/>
          <w:sz w:val="20"/>
          <w:szCs w:val="20"/>
          <w:lang w:val="es-ES"/>
        </w:rPr>
        <w:t xml:space="preserve">c) </w:t>
      </w:r>
      <w:r w:rsidRPr="00BA4C80">
        <w:rPr>
          <w:rFonts w:ascii="Verdana" w:hAnsi="Verdana"/>
          <w:sz w:val="20"/>
          <w:lang w:val="es-ES"/>
        </w:rPr>
        <w:t xml:space="preserve">conforme a la legislación en Surinam, los derechos y los intereses de los indígenas y </w:t>
      </w:r>
      <w:r w:rsidR="006D4D2C">
        <w:rPr>
          <w:rFonts w:ascii="Verdana" w:hAnsi="Verdana"/>
          <w:sz w:val="20"/>
          <w:lang w:val="es-ES"/>
        </w:rPr>
        <w:t>maroon</w:t>
      </w:r>
      <w:r w:rsidRPr="00BA4C80">
        <w:rPr>
          <w:rFonts w:ascii="Verdana" w:hAnsi="Verdana"/>
          <w:sz w:val="20"/>
          <w:lang w:val="es-ES"/>
        </w:rPr>
        <w:t xml:space="preserve">s </w:t>
      </w:r>
      <w:r w:rsidR="00FF1B4B">
        <w:rPr>
          <w:rFonts w:ascii="Verdana" w:hAnsi="Verdana"/>
          <w:sz w:val="20"/>
          <w:lang w:val="es-ES"/>
        </w:rPr>
        <w:t>eran</w:t>
      </w:r>
      <w:r w:rsidRPr="00BA4C80">
        <w:rPr>
          <w:rFonts w:ascii="Verdana" w:hAnsi="Verdana"/>
          <w:sz w:val="20"/>
          <w:lang w:val="es-ES"/>
        </w:rPr>
        <w:t xml:space="preserve"> tomados en consideración al momento </w:t>
      </w:r>
      <w:r w:rsidR="007F4E4C">
        <w:rPr>
          <w:rFonts w:ascii="Verdana" w:hAnsi="Verdana"/>
          <w:sz w:val="20"/>
          <w:lang w:val="es-ES"/>
        </w:rPr>
        <w:t xml:space="preserve">en </w:t>
      </w:r>
      <w:r w:rsidRPr="00BA4C80">
        <w:rPr>
          <w:rFonts w:ascii="Verdana" w:hAnsi="Verdana"/>
          <w:sz w:val="20"/>
          <w:lang w:val="es-ES"/>
        </w:rPr>
        <w:t>que el Estado decid</w:t>
      </w:r>
      <w:r w:rsidR="00FF1B4B">
        <w:rPr>
          <w:rFonts w:ascii="Verdana" w:hAnsi="Verdana"/>
          <w:sz w:val="20"/>
          <w:lang w:val="es-ES"/>
        </w:rPr>
        <w:t>ía</w:t>
      </w:r>
      <w:r w:rsidRPr="00BA4C80">
        <w:rPr>
          <w:rFonts w:ascii="Verdana" w:hAnsi="Verdana"/>
          <w:sz w:val="20"/>
          <w:lang w:val="es-ES"/>
        </w:rPr>
        <w:t xml:space="preserve"> sobre el otorgamiento de una concesión, para lo cual hizo referencia al artícul</w:t>
      </w:r>
      <w:r w:rsidR="008B5275">
        <w:rPr>
          <w:rFonts w:ascii="Verdana" w:hAnsi="Verdana"/>
          <w:sz w:val="20"/>
          <w:lang w:val="es-ES"/>
        </w:rPr>
        <w:t>o 41 de la Ley de Gestión Forestal</w:t>
      </w:r>
      <w:r w:rsidRPr="00BA4C80">
        <w:rPr>
          <w:rFonts w:ascii="Verdana" w:hAnsi="Verdana"/>
          <w:sz w:val="20"/>
          <w:lang w:val="es-ES"/>
        </w:rPr>
        <w:t xml:space="preserve"> y al a</w:t>
      </w:r>
      <w:r w:rsidR="008B5275">
        <w:rPr>
          <w:rFonts w:ascii="Verdana" w:hAnsi="Verdana"/>
          <w:sz w:val="20"/>
          <w:lang w:val="es-ES"/>
        </w:rPr>
        <w:t>rtículo 25.1 del Decreto de Minería</w:t>
      </w:r>
      <w:r w:rsidRPr="00BA4C80">
        <w:rPr>
          <w:rFonts w:ascii="Verdana" w:hAnsi="Verdana"/>
          <w:sz w:val="20"/>
          <w:lang w:val="es-ES"/>
        </w:rPr>
        <w:t xml:space="preserve"> (</w:t>
      </w:r>
      <w:r w:rsidRPr="00BA4C80">
        <w:rPr>
          <w:rFonts w:ascii="Verdana" w:hAnsi="Verdana"/>
          <w:i/>
          <w:sz w:val="20"/>
          <w:lang w:val="es-ES"/>
        </w:rPr>
        <w:t>supra</w:t>
      </w:r>
      <w:r w:rsidRPr="00BA4C80">
        <w:rPr>
          <w:rFonts w:ascii="Verdana" w:hAnsi="Verdana"/>
          <w:sz w:val="20"/>
          <w:lang w:val="es-ES"/>
        </w:rPr>
        <w:t xml:space="preserve"> párr</w:t>
      </w:r>
      <w:r w:rsidR="00CB4310">
        <w:rPr>
          <w:rFonts w:ascii="Verdana" w:hAnsi="Verdana"/>
          <w:sz w:val="20"/>
          <w:lang w:val="es-ES"/>
        </w:rPr>
        <w:t>.</w:t>
      </w:r>
      <w:r w:rsidRPr="00BA4C80">
        <w:rPr>
          <w:rFonts w:ascii="Verdana" w:hAnsi="Verdana"/>
          <w:sz w:val="20"/>
          <w:lang w:val="es-ES"/>
        </w:rPr>
        <w:t xml:space="preserve"> </w:t>
      </w:r>
      <w:r w:rsidR="00FF1B4B">
        <w:rPr>
          <w:rFonts w:ascii="Verdana" w:hAnsi="Verdana"/>
          <w:sz w:val="20"/>
          <w:szCs w:val="20"/>
          <w:lang w:val="es-ES"/>
        </w:rPr>
        <w:t>209</w:t>
      </w:r>
      <w:r w:rsidRPr="00BA4C80">
        <w:rPr>
          <w:rFonts w:ascii="Verdana" w:hAnsi="Verdana"/>
          <w:sz w:val="20"/>
          <w:szCs w:val="20"/>
          <w:lang w:val="es-ES"/>
        </w:rPr>
        <w:t>)</w:t>
      </w:r>
      <w:r w:rsidR="00166C9C" w:rsidRPr="00E477FD">
        <w:rPr>
          <w:rFonts w:ascii="Verdana" w:hAnsi="Verdana"/>
          <w:sz w:val="20"/>
          <w:szCs w:val="20"/>
          <w:lang w:val="es-ES"/>
        </w:rPr>
        <w:t>, y d)</w:t>
      </w:r>
      <w:r w:rsidRPr="00BA4C80">
        <w:rPr>
          <w:rFonts w:ascii="Verdana" w:hAnsi="Verdana"/>
          <w:sz w:val="20"/>
          <w:lang w:val="es-ES"/>
        </w:rPr>
        <w:t xml:space="preserve"> desde el 27 de septiembre de 2013 se estaban tomando diversas medidas para adoptar un protocolo de </w:t>
      </w:r>
      <w:r w:rsidR="008B5275">
        <w:rPr>
          <w:rFonts w:ascii="Verdana" w:hAnsi="Verdana"/>
          <w:sz w:val="20"/>
          <w:lang w:val="es-ES"/>
        </w:rPr>
        <w:t>“</w:t>
      </w:r>
      <w:r w:rsidRPr="00BA4C80">
        <w:rPr>
          <w:rFonts w:ascii="Verdana" w:hAnsi="Verdana"/>
          <w:sz w:val="20"/>
          <w:lang w:val="es-ES"/>
        </w:rPr>
        <w:t>consulta previa, libre e informada</w:t>
      </w:r>
      <w:r w:rsidR="008B5275">
        <w:rPr>
          <w:rFonts w:ascii="Verdana" w:hAnsi="Verdana"/>
          <w:sz w:val="20"/>
          <w:lang w:val="es-ES"/>
        </w:rPr>
        <w:t xml:space="preserve">” </w:t>
      </w:r>
      <w:r w:rsidR="008B5275" w:rsidRPr="008B5275">
        <w:rPr>
          <w:rFonts w:ascii="Verdana" w:hAnsi="Verdana"/>
          <w:sz w:val="20"/>
          <w:lang w:val="es-ES"/>
        </w:rPr>
        <w:t>(</w:t>
      </w:r>
      <w:r w:rsidRPr="00336969">
        <w:rPr>
          <w:rFonts w:ascii="Verdana" w:hAnsi="Verdana"/>
          <w:i/>
          <w:sz w:val="20"/>
          <w:lang w:val="es-ES"/>
        </w:rPr>
        <w:t xml:space="preserve">Free Prior </w:t>
      </w:r>
      <w:r w:rsidR="00FF1B4B" w:rsidRPr="00336969">
        <w:rPr>
          <w:rFonts w:ascii="Verdana" w:hAnsi="Verdana"/>
          <w:i/>
          <w:sz w:val="20"/>
          <w:lang w:val="es-ES"/>
        </w:rPr>
        <w:t xml:space="preserve">and </w:t>
      </w:r>
      <w:r w:rsidRPr="00336969">
        <w:rPr>
          <w:rFonts w:ascii="Verdana" w:hAnsi="Verdana"/>
          <w:i/>
          <w:sz w:val="20"/>
          <w:lang w:val="es-ES"/>
        </w:rPr>
        <w:t>Informed Consent Communication Protocol</w:t>
      </w:r>
      <w:r w:rsidR="008B5275" w:rsidRPr="008B5275">
        <w:rPr>
          <w:rFonts w:ascii="Verdana" w:hAnsi="Verdana"/>
          <w:sz w:val="20"/>
          <w:lang w:val="es-ES"/>
        </w:rPr>
        <w:t>)</w:t>
      </w:r>
      <w:r w:rsidRPr="007B4EF2">
        <w:rPr>
          <w:rFonts w:ascii="Verdana" w:hAnsi="Verdana"/>
          <w:sz w:val="20"/>
          <w:lang w:val="es-ES"/>
        </w:rPr>
        <w:t>,</w:t>
      </w:r>
      <w:r w:rsidRPr="00166C9C">
        <w:rPr>
          <w:rFonts w:ascii="Verdana" w:hAnsi="Verdana"/>
          <w:sz w:val="20"/>
          <w:lang w:val="es-ES"/>
        </w:rPr>
        <w:t xml:space="preserve"> pero que estas han sufrido retrasos en su aplicación por factores atribuibles tanto al Estado como a las comunidades indígenas (</w:t>
      </w:r>
      <w:r w:rsidRPr="00166C9C">
        <w:rPr>
          <w:rFonts w:ascii="Verdana" w:hAnsi="Verdana"/>
          <w:i/>
          <w:sz w:val="20"/>
          <w:lang w:val="es-ES"/>
        </w:rPr>
        <w:t>supra</w:t>
      </w:r>
      <w:r w:rsidRPr="00166C9C">
        <w:rPr>
          <w:rFonts w:ascii="Verdana" w:hAnsi="Verdana"/>
          <w:sz w:val="20"/>
          <w:lang w:val="es-ES"/>
        </w:rPr>
        <w:t xml:space="preserve"> párr</w:t>
      </w:r>
      <w:r w:rsidR="00CB4310">
        <w:rPr>
          <w:rFonts w:ascii="Verdana" w:hAnsi="Verdana"/>
          <w:sz w:val="20"/>
          <w:lang w:val="es-ES"/>
        </w:rPr>
        <w:t>.</w:t>
      </w:r>
      <w:r w:rsidRPr="00166C9C">
        <w:rPr>
          <w:rFonts w:ascii="Verdana" w:hAnsi="Verdana"/>
          <w:sz w:val="20"/>
          <w:lang w:val="es-ES"/>
        </w:rPr>
        <w:t xml:space="preserve"> </w:t>
      </w:r>
      <w:r w:rsidR="00FF1B4B">
        <w:rPr>
          <w:rFonts w:ascii="Verdana" w:hAnsi="Verdana"/>
          <w:sz w:val="20"/>
          <w:lang w:val="es-ES"/>
        </w:rPr>
        <w:t>210</w:t>
      </w:r>
      <w:r w:rsidRPr="00166C9C">
        <w:rPr>
          <w:rFonts w:ascii="Verdana" w:hAnsi="Verdana"/>
          <w:sz w:val="20"/>
          <w:lang w:val="es-ES"/>
        </w:rPr>
        <w:t>). A pesar de ello, manifestó su voluntad de seguir trabajando en mejorar las consultas con los indígenas.</w:t>
      </w:r>
    </w:p>
    <w:p w14:paraId="28FA5285" w14:textId="77777777" w:rsidR="006465E1" w:rsidRPr="009E77BD" w:rsidRDefault="006465E1" w:rsidP="006465E1">
      <w:pPr>
        <w:contextualSpacing/>
        <w:jc w:val="both"/>
        <w:rPr>
          <w:rFonts w:ascii="Verdana" w:hAnsi="Verdana"/>
          <w:sz w:val="20"/>
          <w:szCs w:val="20"/>
          <w:lang w:val="es-ES"/>
        </w:rPr>
      </w:pPr>
    </w:p>
    <w:p w14:paraId="263C73D0" w14:textId="77777777" w:rsidR="006465E1" w:rsidRPr="008C0FDC" w:rsidRDefault="00DB613E" w:rsidP="006465E1">
      <w:pPr>
        <w:numPr>
          <w:ilvl w:val="0"/>
          <w:numId w:val="2"/>
        </w:numPr>
        <w:ind w:left="0" w:hanging="11"/>
        <w:contextualSpacing/>
        <w:jc w:val="both"/>
        <w:rPr>
          <w:rFonts w:ascii="Verdana" w:hAnsi="Verdana"/>
          <w:sz w:val="20"/>
          <w:szCs w:val="20"/>
          <w:lang w:val="es-MX"/>
        </w:rPr>
      </w:pPr>
      <w:r w:rsidRPr="008C0FDC">
        <w:rPr>
          <w:rFonts w:ascii="Verdana" w:hAnsi="Verdana"/>
          <w:sz w:val="20"/>
          <w:szCs w:val="20"/>
          <w:lang w:val="es-MX"/>
        </w:rPr>
        <w:t>L</w:t>
      </w:r>
      <w:r w:rsidR="006465E1" w:rsidRPr="008C0FDC">
        <w:rPr>
          <w:rFonts w:ascii="Verdana" w:hAnsi="Verdana"/>
          <w:sz w:val="20"/>
          <w:szCs w:val="20"/>
          <w:lang w:val="es-MX"/>
        </w:rPr>
        <w:t xml:space="preserve">a Corte </w:t>
      </w:r>
      <w:r w:rsidR="006465E1" w:rsidRPr="008C0FDC">
        <w:rPr>
          <w:rFonts w:ascii="Verdana" w:hAnsi="Verdana"/>
          <w:sz w:val="20"/>
          <w:szCs w:val="20"/>
        </w:rPr>
        <w:t xml:space="preserve">encontró al Estado responsable por la violación de los derechos establecidos en los artículos </w:t>
      </w:r>
      <w:r w:rsidR="00962EC7" w:rsidRPr="008C0FDC">
        <w:rPr>
          <w:rFonts w:ascii="Verdana" w:hAnsi="Verdana"/>
          <w:sz w:val="20"/>
          <w:szCs w:val="20"/>
        </w:rPr>
        <w:t xml:space="preserve">3, </w:t>
      </w:r>
      <w:r w:rsidR="006465E1" w:rsidRPr="008C0FDC">
        <w:rPr>
          <w:rFonts w:ascii="Verdana" w:hAnsi="Verdana"/>
          <w:sz w:val="20"/>
          <w:szCs w:val="20"/>
        </w:rPr>
        <w:t>21</w:t>
      </w:r>
      <w:r w:rsidR="001D25DC" w:rsidRPr="00190AD3">
        <w:rPr>
          <w:rFonts w:ascii="Verdana" w:hAnsi="Verdana"/>
          <w:sz w:val="20"/>
        </w:rPr>
        <w:t>, 23</w:t>
      </w:r>
      <w:r w:rsidR="006465E1" w:rsidRPr="008C0FDC">
        <w:rPr>
          <w:rFonts w:ascii="Verdana" w:hAnsi="Verdana"/>
          <w:sz w:val="20"/>
          <w:szCs w:val="20"/>
        </w:rPr>
        <w:t xml:space="preserve"> y 25, en relación con </w:t>
      </w:r>
      <w:r w:rsidR="007E0A8B" w:rsidRPr="008C0FDC">
        <w:rPr>
          <w:rFonts w:ascii="Verdana" w:hAnsi="Verdana"/>
          <w:sz w:val="20"/>
          <w:szCs w:val="20"/>
        </w:rPr>
        <w:t xml:space="preserve">los artículos </w:t>
      </w:r>
      <w:r w:rsidR="00F617C9" w:rsidRPr="008C0FDC">
        <w:rPr>
          <w:rFonts w:ascii="Verdana" w:hAnsi="Verdana"/>
          <w:sz w:val="20"/>
          <w:szCs w:val="20"/>
        </w:rPr>
        <w:t xml:space="preserve">1.1, </w:t>
      </w:r>
      <w:r w:rsidR="006465E1" w:rsidRPr="008C0FDC">
        <w:rPr>
          <w:rFonts w:ascii="Verdana" w:hAnsi="Verdana"/>
          <w:sz w:val="20"/>
          <w:szCs w:val="20"/>
        </w:rPr>
        <w:t xml:space="preserve">2 </w:t>
      </w:r>
      <w:r w:rsidR="00F617C9" w:rsidRPr="008C0FDC">
        <w:rPr>
          <w:rFonts w:ascii="Verdana" w:hAnsi="Verdana"/>
          <w:sz w:val="20"/>
          <w:szCs w:val="20"/>
        </w:rPr>
        <w:t xml:space="preserve">y 13 </w:t>
      </w:r>
      <w:r w:rsidR="006465E1" w:rsidRPr="008C0FDC">
        <w:rPr>
          <w:rFonts w:ascii="Verdana" w:hAnsi="Verdana"/>
          <w:sz w:val="20"/>
          <w:szCs w:val="20"/>
        </w:rPr>
        <w:t xml:space="preserve">de la Convención, en virtud de: </w:t>
      </w:r>
      <w:r w:rsidR="00962EC7" w:rsidRPr="008C0FDC">
        <w:rPr>
          <w:rFonts w:ascii="Verdana" w:hAnsi="Verdana"/>
          <w:sz w:val="20"/>
          <w:szCs w:val="20"/>
        </w:rPr>
        <w:t xml:space="preserve">a) </w:t>
      </w:r>
      <w:r w:rsidR="00962EC7" w:rsidRPr="008C0FDC">
        <w:rPr>
          <w:rFonts w:ascii="Verdana" w:hAnsi="Verdana"/>
          <w:sz w:val="20"/>
          <w:szCs w:val="20"/>
          <w:lang w:val="es-MX"/>
        </w:rPr>
        <w:t>que su ordenamiento jurídico interno no reconoce la personalidad jurídica colectiva;</w:t>
      </w:r>
      <w:r w:rsidR="00962EC7" w:rsidRPr="008C0FDC">
        <w:rPr>
          <w:rFonts w:ascii="Verdana" w:hAnsi="Verdana"/>
          <w:sz w:val="20"/>
          <w:szCs w:val="20"/>
        </w:rPr>
        <w:t xml:space="preserve"> b</w:t>
      </w:r>
      <w:r w:rsidR="006465E1" w:rsidRPr="008C0FDC">
        <w:rPr>
          <w:rFonts w:ascii="Verdana" w:hAnsi="Verdana"/>
          <w:sz w:val="20"/>
          <w:szCs w:val="20"/>
        </w:rPr>
        <w:t xml:space="preserve">) </w:t>
      </w:r>
      <w:r w:rsidR="00962EC7" w:rsidRPr="008C0FDC">
        <w:rPr>
          <w:rFonts w:ascii="Verdana" w:hAnsi="Verdana"/>
          <w:sz w:val="20"/>
          <w:szCs w:val="20"/>
        </w:rPr>
        <w:t xml:space="preserve">la </w:t>
      </w:r>
      <w:r w:rsidR="006465E1" w:rsidRPr="008C0FDC">
        <w:rPr>
          <w:rFonts w:ascii="Verdana" w:hAnsi="Verdana"/>
          <w:sz w:val="20"/>
          <w:szCs w:val="20"/>
        </w:rPr>
        <w:t xml:space="preserve">falta de reconocimiento de la propiedad colectiva; </w:t>
      </w:r>
      <w:r w:rsidR="00962EC7" w:rsidRPr="008C0FDC">
        <w:rPr>
          <w:rFonts w:ascii="Verdana" w:hAnsi="Verdana"/>
          <w:sz w:val="20"/>
          <w:szCs w:val="20"/>
        </w:rPr>
        <w:t>c</w:t>
      </w:r>
      <w:r w:rsidR="006465E1" w:rsidRPr="008C0FDC">
        <w:rPr>
          <w:rFonts w:ascii="Verdana" w:hAnsi="Verdana"/>
          <w:sz w:val="20"/>
          <w:szCs w:val="20"/>
        </w:rPr>
        <w:t xml:space="preserve">) </w:t>
      </w:r>
      <w:r w:rsidR="00962EC7" w:rsidRPr="008C0FDC">
        <w:rPr>
          <w:rFonts w:ascii="Verdana" w:hAnsi="Verdana"/>
          <w:sz w:val="20"/>
          <w:szCs w:val="20"/>
        </w:rPr>
        <w:t xml:space="preserve">la </w:t>
      </w:r>
      <w:r w:rsidR="006465E1" w:rsidRPr="008C0FDC">
        <w:rPr>
          <w:rFonts w:ascii="Verdana" w:hAnsi="Verdana"/>
          <w:sz w:val="20"/>
          <w:szCs w:val="20"/>
        </w:rPr>
        <w:t xml:space="preserve">ausencia de </w:t>
      </w:r>
      <w:r w:rsidR="007E0A8B" w:rsidRPr="008C0FDC">
        <w:rPr>
          <w:rFonts w:ascii="Verdana" w:hAnsi="Verdana"/>
          <w:sz w:val="20"/>
          <w:szCs w:val="20"/>
        </w:rPr>
        <w:t xml:space="preserve">mecanismos para la </w:t>
      </w:r>
      <w:r w:rsidR="006465E1" w:rsidRPr="008C0FDC">
        <w:rPr>
          <w:rFonts w:ascii="Verdana" w:hAnsi="Verdana"/>
          <w:sz w:val="20"/>
          <w:szCs w:val="20"/>
        </w:rPr>
        <w:t>delimitación, demarcación y titulación de ter</w:t>
      </w:r>
      <w:r w:rsidR="007E0A8B" w:rsidRPr="008C0FDC">
        <w:rPr>
          <w:rFonts w:ascii="Verdana" w:hAnsi="Verdana"/>
          <w:sz w:val="20"/>
          <w:szCs w:val="20"/>
        </w:rPr>
        <w:t>ritorios</w:t>
      </w:r>
      <w:r w:rsidR="006465E1" w:rsidRPr="008C0FDC">
        <w:rPr>
          <w:rFonts w:ascii="Verdana" w:hAnsi="Verdana"/>
          <w:sz w:val="20"/>
          <w:szCs w:val="20"/>
        </w:rPr>
        <w:t>;</w:t>
      </w:r>
      <w:r w:rsidR="007E0A8B" w:rsidRPr="008C0FDC">
        <w:rPr>
          <w:rFonts w:ascii="Verdana" w:hAnsi="Verdana"/>
          <w:sz w:val="20"/>
          <w:szCs w:val="20"/>
        </w:rPr>
        <w:t xml:space="preserve"> </w:t>
      </w:r>
      <w:r w:rsidR="007E0A8B" w:rsidRPr="0029611B">
        <w:rPr>
          <w:rFonts w:ascii="Verdana" w:hAnsi="Verdana"/>
          <w:sz w:val="20"/>
        </w:rPr>
        <w:t>d</w:t>
      </w:r>
      <w:r w:rsidR="006465E1" w:rsidRPr="0029611B">
        <w:rPr>
          <w:rFonts w:ascii="Verdana" w:hAnsi="Verdana"/>
          <w:sz w:val="20"/>
        </w:rPr>
        <w:t xml:space="preserve">) </w:t>
      </w:r>
      <w:r w:rsidR="000E1E3F" w:rsidRPr="0029611B">
        <w:rPr>
          <w:rFonts w:ascii="Verdana" w:hAnsi="Verdana"/>
          <w:sz w:val="20"/>
        </w:rPr>
        <w:t xml:space="preserve">la falta de mecanismos que garanticen la </w:t>
      </w:r>
      <w:r w:rsidR="001D25DC" w:rsidRPr="00190AD3">
        <w:rPr>
          <w:rFonts w:ascii="Verdana" w:hAnsi="Verdana"/>
          <w:sz w:val="20"/>
        </w:rPr>
        <w:t>participación efectiva</w:t>
      </w:r>
      <w:r w:rsidR="00557E59">
        <w:rPr>
          <w:rFonts w:ascii="Verdana" w:hAnsi="Verdana"/>
          <w:sz w:val="20"/>
        </w:rPr>
        <w:t>,</w:t>
      </w:r>
      <w:r w:rsidR="00077064">
        <w:rPr>
          <w:rFonts w:ascii="Verdana" w:hAnsi="Verdana"/>
          <w:sz w:val="20"/>
        </w:rPr>
        <w:t xml:space="preserve"> </w:t>
      </w:r>
      <w:r w:rsidR="00077064">
        <w:rPr>
          <w:rFonts w:ascii="Verdana" w:hAnsi="Verdana"/>
          <w:sz w:val="20"/>
          <w:szCs w:val="20"/>
          <w:lang w:val="es-CR"/>
        </w:rPr>
        <w:t>a través de un proceso de consulta</w:t>
      </w:r>
      <w:r w:rsidR="00790F7E">
        <w:rPr>
          <w:rFonts w:ascii="Verdana" w:hAnsi="Verdana"/>
          <w:sz w:val="20"/>
        </w:rPr>
        <w:t>, y</w:t>
      </w:r>
      <w:r w:rsidR="000E1E3F" w:rsidRPr="008C0FDC">
        <w:rPr>
          <w:rFonts w:ascii="Verdana" w:hAnsi="Verdana"/>
          <w:sz w:val="20"/>
          <w:szCs w:val="20"/>
        </w:rPr>
        <w:t xml:space="preserve"> </w:t>
      </w:r>
      <w:r w:rsidR="007E0A8B" w:rsidRPr="008C0FDC">
        <w:rPr>
          <w:rFonts w:ascii="Verdana" w:hAnsi="Verdana"/>
          <w:sz w:val="20"/>
          <w:szCs w:val="20"/>
        </w:rPr>
        <w:t>e</w:t>
      </w:r>
      <w:r w:rsidR="000E1E3F" w:rsidRPr="008C0FDC">
        <w:rPr>
          <w:rFonts w:ascii="Verdana" w:hAnsi="Verdana"/>
          <w:sz w:val="20"/>
          <w:szCs w:val="20"/>
        </w:rPr>
        <w:t xml:space="preserve">) </w:t>
      </w:r>
      <w:r w:rsidR="00962EC7" w:rsidRPr="008C0FDC">
        <w:rPr>
          <w:rFonts w:ascii="Verdana" w:hAnsi="Verdana"/>
          <w:sz w:val="20"/>
          <w:szCs w:val="20"/>
        </w:rPr>
        <w:t xml:space="preserve">la </w:t>
      </w:r>
      <w:r w:rsidR="006465E1" w:rsidRPr="008C0FDC">
        <w:rPr>
          <w:rFonts w:ascii="Verdana" w:hAnsi="Verdana"/>
          <w:sz w:val="20"/>
          <w:szCs w:val="20"/>
        </w:rPr>
        <w:t xml:space="preserve">ausencia de recursos </w:t>
      </w:r>
      <w:r w:rsidR="00906685" w:rsidRPr="008C0FDC">
        <w:rPr>
          <w:rFonts w:ascii="Verdana" w:hAnsi="Verdana"/>
          <w:sz w:val="20"/>
          <w:szCs w:val="20"/>
        </w:rPr>
        <w:t xml:space="preserve">adecuados </w:t>
      </w:r>
      <w:r w:rsidR="006465E1" w:rsidRPr="008C0FDC">
        <w:rPr>
          <w:rFonts w:ascii="Verdana" w:hAnsi="Verdana"/>
          <w:sz w:val="20"/>
          <w:szCs w:val="20"/>
        </w:rPr>
        <w:t xml:space="preserve">y efectivos para </w:t>
      </w:r>
      <w:r w:rsidR="007E0A8B" w:rsidRPr="008C0FDC">
        <w:rPr>
          <w:rFonts w:ascii="Verdana" w:hAnsi="Verdana"/>
          <w:sz w:val="20"/>
          <w:szCs w:val="20"/>
        </w:rPr>
        <w:t xml:space="preserve">garantizar el acceso a la justicia colectiva </w:t>
      </w:r>
      <w:r w:rsidR="00906685" w:rsidRPr="008C0FDC">
        <w:rPr>
          <w:rFonts w:ascii="Verdana" w:hAnsi="Verdana"/>
          <w:sz w:val="20"/>
          <w:szCs w:val="20"/>
        </w:rPr>
        <w:t xml:space="preserve">de los pueblos indígenas y tribales </w:t>
      </w:r>
      <w:r w:rsidR="006465E1" w:rsidRPr="008C0FDC">
        <w:rPr>
          <w:rFonts w:ascii="Verdana" w:hAnsi="Verdana"/>
          <w:spacing w:val="-2"/>
          <w:sz w:val="20"/>
          <w:szCs w:val="20"/>
          <w:lang w:val="es-CR"/>
        </w:rPr>
        <w:t>(</w:t>
      </w:r>
      <w:r w:rsidR="00366D91" w:rsidRPr="008C0FDC">
        <w:rPr>
          <w:rFonts w:ascii="Verdana" w:hAnsi="Verdana"/>
          <w:i/>
          <w:spacing w:val="-2"/>
          <w:sz w:val="20"/>
          <w:szCs w:val="20"/>
          <w:lang w:val="es-CR"/>
        </w:rPr>
        <w:t>supra</w:t>
      </w:r>
      <w:r w:rsidR="006465E1" w:rsidRPr="008C0FDC">
        <w:rPr>
          <w:rFonts w:ascii="Verdana" w:hAnsi="Verdana"/>
          <w:spacing w:val="-2"/>
          <w:sz w:val="20"/>
          <w:szCs w:val="20"/>
          <w:lang w:val="es-CR"/>
        </w:rPr>
        <w:t xml:space="preserve"> párrs. </w:t>
      </w:r>
      <w:r w:rsidR="00FF1B4B">
        <w:rPr>
          <w:rFonts w:ascii="Verdana" w:hAnsi="Verdana"/>
          <w:spacing w:val="-2"/>
          <w:sz w:val="20"/>
          <w:szCs w:val="20"/>
          <w:lang w:val="es-CR"/>
        </w:rPr>
        <w:t xml:space="preserve">114, </w:t>
      </w:r>
      <w:r w:rsidR="00CB4310">
        <w:rPr>
          <w:rFonts w:ascii="Verdana" w:hAnsi="Verdana"/>
          <w:spacing w:val="-2"/>
          <w:sz w:val="20"/>
          <w:szCs w:val="20"/>
          <w:lang w:val="es-CR"/>
        </w:rPr>
        <w:t xml:space="preserve">142, 160, </w:t>
      </w:r>
      <w:r w:rsidR="00FF1B4B">
        <w:rPr>
          <w:rFonts w:ascii="Verdana" w:hAnsi="Verdana"/>
          <w:spacing w:val="-2"/>
          <w:sz w:val="20"/>
          <w:szCs w:val="20"/>
          <w:lang w:val="es-CR"/>
        </w:rPr>
        <w:t xml:space="preserve">230 </w:t>
      </w:r>
      <w:r w:rsidR="00CB4310">
        <w:rPr>
          <w:rFonts w:ascii="Verdana" w:hAnsi="Verdana"/>
          <w:spacing w:val="-2"/>
          <w:sz w:val="20"/>
          <w:szCs w:val="20"/>
          <w:lang w:val="es-CR"/>
        </w:rPr>
        <w:t xml:space="preserve">y </w:t>
      </w:r>
      <w:r w:rsidR="00FF1B4B">
        <w:rPr>
          <w:rFonts w:ascii="Verdana" w:hAnsi="Verdana"/>
          <w:spacing w:val="-2"/>
          <w:sz w:val="20"/>
          <w:szCs w:val="20"/>
          <w:lang w:val="es-CR"/>
        </w:rPr>
        <w:t>268</w:t>
      </w:r>
      <w:r w:rsidR="006465E1" w:rsidRPr="008C0FDC">
        <w:rPr>
          <w:rFonts w:ascii="Verdana" w:hAnsi="Verdana"/>
          <w:spacing w:val="-2"/>
          <w:sz w:val="20"/>
          <w:szCs w:val="20"/>
          <w:lang w:val="es-CR"/>
        </w:rPr>
        <w:t>)</w:t>
      </w:r>
      <w:r w:rsidR="006465E1" w:rsidRPr="008C0FDC">
        <w:rPr>
          <w:rFonts w:ascii="Verdana" w:hAnsi="Verdana"/>
          <w:sz w:val="20"/>
          <w:szCs w:val="20"/>
          <w:lang w:val="es-MX"/>
        </w:rPr>
        <w:t>.</w:t>
      </w:r>
    </w:p>
    <w:p w14:paraId="7833AE94" w14:textId="77777777" w:rsidR="006465E1" w:rsidRDefault="006465E1" w:rsidP="006465E1">
      <w:pPr>
        <w:contextualSpacing/>
        <w:jc w:val="both"/>
        <w:rPr>
          <w:rFonts w:ascii="Verdana" w:hAnsi="Verdana"/>
          <w:sz w:val="20"/>
          <w:szCs w:val="20"/>
          <w:lang w:val="es-MX"/>
        </w:rPr>
      </w:pPr>
    </w:p>
    <w:p w14:paraId="71BD508F" w14:textId="77777777" w:rsidR="006465E1" w:rsidRDefault="006465E1" w:rsidP="006465E1">
      <w:pPr>
        <w:numPr>
          <w:ilvl w:val="0"/>
          <w:numId w:val="2"/>
        </w:numPr>
        <w:ind w:left="0" w:hanging="11"/>
        <w:contextualSpacing/>
        <w:jc w:val="both"/>
        <w:rPr>
          <w:rFonts w:ascii="Verdana" w:hAnsi="Verdana"/>
          <w:sz w:val="20"/>
          <w:szCs w:val="20"/>
          <w:lang w:val="es-CR"/>
        </w:rPr>
      </w:pPr>
      <w:r w:rsidRPr="00A400DC">
        <w:rPr>
          <w:rFonts w:ascii="Verdana" w:hAnsi="Verdana"/>
          <w:sz w:val="20"/>
          <w:szCs w:val="20"/>
          <w:lang w:val="es-CR"/>
        </w:rPr>
        <w:t>En razón de lo anterior, teniendo en cuenta las obligaciones derivadas del artículo 2 de la Convención, la Corte dispone que</w:t>
      </w:r>
      <w:r w:rsidR="004C1178">
        <w:rPr>
          <w:rFonts w:ascii="Verdana" w:hAnsi="Verdana"/>
          <w:sz w:val="20"/>
          <w:szCs w:val="20"/>
          <w:lang w:val="es-CR"/>
        </w:rPr>
        <w:t xml:space="preserve"> </w:t>
      </w:r>
      <w:r w:rsidRPr="00A400DC">
        <w:rPr>
          <w:rFonts w:ascii="Verdana" w:hAnsi="Verdana"/>
          <w:sz w:val="20"/>
          <w:szCs w:val="20"/>
          <w:lang w:val="es-CR"/>
        </w:rPr>
        <w:t>el Estado deberá</w:t>
      </w:r>
      <w:r w:rsidR="00906685">
        <w:rPr>
          <w:rFonts w:ascii="Verdana" w:hAnsi="Verdana"/>
          <w:sz w:val="20"/>
          <w:szCs w:val="20"/>
          <w:lang w:val="es-CR"/>
        </w:rPr>
        <w:t xml:space="preserve"> </w:t>
      </w:r>
      <w:r w:rsidR="00906685" w:rsidRPr="00190AD3">
        <w:rPr>
          <w:rFonts w:ascii="Verdana" w:hAnsi="Verdana"/>
          <w:sz w:val="20"/>
          <w:lang w:val="es-CR"/>
        </w:rPr>
        <w:t>adoptar todas las medidas legislativas, administrativas y de cualquier otra índole necesarias para</w:t>
      </w:r>
      <w:r w:rsidRPr="00A400DC">
        <w:rPr>
          <w:rFonts w:ascii="Verdana" w:hAnsi="Verdana"/>
          <w:sz w:val="20"/>
          <w:szCs w:val="20"/>
          <w:lang w:val="es-CR"/>
        </w:rPr>
        <w:t>:</w:t>
      </w:r>
    </w:p>
    <w:p w14:paraId="06C87444" w14:textId="77777777" w:rsidR="006465E1" w:rsidRPr="00A91B78" w:rsidRDefault="006465E1" w:rsidP="00366D91">
      <w:pPr>
        <w:contextualSpacing/>
        <w:jc w:val="both"/>
        <w:rPr>
          <w:rFonts w:ascii="Verdana" w:hAnsi="Verdana"/>
          <w:sz w:val="20"/>
          <w:szCs w:val="20"/>
          <w:lang w:val="es-CR"/>
        </w:rPr>
      </w:pPr>
    </w:p>
    <w:p w14:paraId="532100FC" w14:textId="77777777" w:rsidR="006465E1" w:rsidRPr="00864F9B" w:rsidRDefault="006465E1" w:rsidP="006465E1">
      <w:pPr>
        <w:numPr>
          <w:ilvl w:val="0"/>
          <w:numId w:val="39"/>
        </w:numPr>
        <w:contextualSpacing/>
        <w:jc w:val="both"/>
        <w:rPr>
          <w:rFonts w:ascii="Verdana" w:hAnsi="Verdana"/>
          <w:sz w:val="20"/>
          <w:szCs w:val="20"/>
          <w:lang w:val="es-MX"/>
        </w:rPr>
      </w:pPr>
      <w:r w:rsidRPr="00864F9B">
        <w:rPr>
          <w:rFonts w:ascii="Verdana" w:hAnsi="Verdana"/>
          <w:sz w:val="20"/>
          <w:szCs w:val="20"/>
          <w:lang w:val="es-MX"/>
        </w:rPr>
        <w:t xml:space="preserve">otorgar a los pueblos indígenas y tribales en </w:t>
      </w:r>
      <w:r w:rsidR="00563E11" w:rsidRPr="00864F9B">
        <w:rPr>
          <w:rFonts w:ascii="Verdana" w:hAnsi="Verdana"/>
          <w:sz w:val="20"/>
          <w:szCs w:val="20"/>
          <w:lang w:val="es-MX"/>
        </w:rPr>
        <w:t>Surinam</w:t>
      </w:r>
      <w:r w:rsidRPr="00864F9B" w:rsidDel="00701C09">
        <w:rPr>
          <w:rFonts w:ascii="Verdana" w:hAnsi="Verdana"/>
          <w:sz w:val="20"/>
          <w:szCs w:val="20"/>
          <w:lang w:val="es-MX"/>
        </w:rPr>
        <w:t xml:space="preserve"> </w:t>
      </w:r>
      <w:r w:rsidRPr="00864F9B">
        <w:rPr>
          <w:rFonts w:ascii="Verdana" w:hAnsi="Verdana"/>
          <w:sz w:val="20"/>
          <w:szCs w:val="20"/>
          <w:lang w:val="es-MX"/>
        </w:rPr>
        <w:t xml:space="preserve">el reconocimiento legal de la personalidad jurídica colectiva, con el propósito de garantizarles el ejercicio y </w:t>
      </w:r>
      <w:r w:rsidR="00FF1B4B">
        <w:rPr>
          <w:rFonts w:ascii="Verdana" w:hAnsi="Verdana"/>
          <w:sz w:val="20"/>
          <w:szCs w:val="20"/>
          <w:lang w:val="es-MX"/>
        </w:rPr>
        <w:t xml:space="preserve">pleno </w:t>
      </w:r>
      <w:r w:rsidRPr="00864F9B">
        <w:rPr>
          <w:rFonts w:ascii="Verdana" w:hAnsi="Verdana"/>
          <w:sz w:val="20"/>
          <w:szCs w:val="20"/>
          <w:lang w:val="es-MX"/>
        </w:rPr>
        <w:t xml:space="preserve">goce de su derecho a la propiedad, de conformidad con sus costumbres y tradiciones, de acuerdo a lo establecido en los párrafos </w:t>
      </w:r>
      <w:r w:rsidR="00D24B97">
        <w:rPr>
          <w:rFonts w:ascii="Verdana" w:hAnsi="Verdana"/>
          <w:sz w:val="20"/>
          <w:szCs w:val="20"/>
          <w:lang w:val="es-MX"/>
        </w:rPr>
        <w:t>10</w:t>
      </w:r>
      <w:r w:rsidR="009E6C07">
        <w:rPr>
          <w:rFonts w:ascii="Verdana" w:hAnsi="Verdana"/>
          <w:sz w:val="20"/>
          <w:szCs w:val="20"/>
          <w:lang w:val="es-MX"/>
        </w:rPr>
        <w:t>5</w:t>
      </w:r>
      <w:r w:rsidR="00D24B97">
        <w:rPr>
          <w:rFonts w:ascii="Verdana" w:hAnsi="Verdana"/>
          <w:sz w:val="20"/>
          <w:szCs w:val="20"/>
          <w:lang w:val="es-MX"/>
        </w:rPr>
        <w:t xml:space="preserve"> </w:t>
      </w:r>
      <w:r w:rsidR="00CB4310">
        <w:rPr>
          <w:rFonts w:ascii="Verdana" w:hAnsi="Verdana"/>
          <w:sz w:val="20"/>
          <w:szCs w:val="20"/>
          <w:lang w:val="es-MX"/>
        </w:rPr>
        <w:t>a</w:t>
      </w:r>
      <w:r w:rsidR="00D24B97">
        <w:rPr>
          <w:rFonts w:ascii="Verdana" w:hAnsi="Verdana"/>
          <w:sz w:val="20"/>
          <w:szCs w:val="20"/>
          <w:lang w:val="es-MX"/>
        </w:rPr>
        <w:t xml:space="preserve"> 114</w:t>
      </w:r>
      <w:r w:rsidRPr="00864F9B">
        <w:rPr>
          <w:rFonts w:ascii="Verdana" w:hAnsi="Verdana"/>
          <w:sz w:val="20"/>
          <w:szCs w:val="20"/>
          <w:lang w:val="es-MX"/>
        </w:rPr>
        <w:t xml:space="preserve">. El Estado deberá cumplir con esta medida de reparación dentro de un plazo </w:t>
      </w:r>
      <w:r w:rsidR="004C1178" w:rsidRPr="00190AD3">
        <w:rPr>
          <w:rFonts w:ascii="Verdana" w:hAnsi="Verdana"/>
          <w:sz w:val="20"/>
          <w:lang w:val="es-MX"/>
        </w:rPr>
        <w:t>no mayor a</w:t>
      </w:r>
      <w:r w:rsidR="00DC3BE4" w:rsidRPr="00190AD3">
        <w:rPr>
          <w:rFonts w:ascii="Verdana" w:hAnsi="Verdana"/>
          <w:sz w:val="20"/>
          <w:lang w:val="es-MX"/>
        </w:rPr>
        <w:t xml:space="preserve"> </w:t>
      </w:r>
      <w:r w:rsidR="004C1178" w:rsidRPr="00190AD3">
        <w:rPr>
          <w:rFonts w:ascii="Verdana" w:hAnsi="Verdana"/>
          <w:sz w:val="20"/>
          <w:lang w:val="es-MX"/>
        </w:rPr>
        <w:t>dos</w:t>
      </w:r>
      <w:r w:rsidR="00DC3BE4" w:rsidRPr="00190AD3">
        <w:rPr>
          <w:rFonts w:ascii="Verdana" w:hAnsi="Verdana"/>
          <w:sz w:val="20"/>
          <w:lang w:val="es-MX"/>
        </w:rPr>
        <w:t xml:space="preserve"> año</w:t>
      </w:r>
      <w:r w:rsidR="004C1178" w:rsidRPr="00190AD3">
        <w:rPr>
          <w:rFonts w:ascii="Verdana" w:hAnsi="Verdana"/>
          <w:sz w:val="20"/>
          <w:lang w:val="es-MX"/>
        </w:rPr>
        <w:t>s</w:t>
      </w:r>
      <w:r w:rsidRPr="00190AD3">
        <w:rPr>
          <w:rFonts w:ascii="Verdana" w:hAnsi="Verdana"/>
          <w:sz w:val="20"/>
          <w:lang w:val="es-MX"/>
        </w:rPr>
        <w:t>,</w:t>
      </w:r>
      <w:r w:rsidRPr="00864F9B">
        <w:rPr>
          <w:rFonts w:ascii="Verdana" w:hAnsi="Verdana"/>
          <w:sz w:val="20"/>
          <w:szCs w:val="20"/>
          <w:lang w:val="es-MX"/>
        </w:rPr>
        <w:t xml:space="preserve"> a partir de la notificación de la presente Sentencia;</w:t>
      </w:r>
    </w:p>
    <w:p w14:paraId="342FAACD" w14:textId="77777777" w:rsidR="006465E1" w:rsidRDefault="006465E1" w:rsidP="006465E1">
      <w:pPr>
        <w:ind w:left="720"/>
        <w:jc w:val="both"/>
        <w:rPr>
          <w:rFonts w:ascii="Verdana" w:hAnsi="Verdana"/>
          <w:sz w:val="20"/>
          <w:szCs w:val="20"/>
          <w:lang w:val="es-CR"/>
        </w:rPr>
      </w:pPr>
    </w:p>
    <w:p w14:paraId="23B8397D" w14:textId="77777777" w:rsidR="006465E1" w:rsidRPr="00A91B78" w:rsidRDefault="006465E1" w:rsidP="006465E1">
      <w:pPr>
        <w:numPr>
          <w:ilvl w:val="0"/>
          <w:numId w:val="39"/>
        </w:numPr>
        <w:jc w:val="both"/>
        <w:rPr>
          <w:rFonts w:ascii="Verdana" w:hAnsi="Verdana"/>
          <w:sz w:val="20"/>
          <w:szCs w:val="20"/>
          <w:lang w:val="es-CR"/>
        </w:rPr>
      </w:pPr>
      <w:r w:rsidRPr="00A91B78">
        <w:rPr>
          <w:rFonts w:ascii="Verdana" w:hAnsi="Verdana"/>
          <w:sz w:val="20"/>
          <w:szCs w:val="20"/>
          <w:lang w:val="es-CR"/>
        </w:rPr>
        <w:t>crear un mecanismo efectivo de delimitación, demarcación y titulación de los territorios de los pueblos indígenas y tribales</w:t>
      </w:r>
      <w:r w:rsidR="00962EC7">
        <w:rPr>
          <w:rFonts w:ascii="Verdana" w:hAnsi="Verdana"/>
          <w:sz w:val="20"/>
          <w:szCs w:val="20"/>
          <w:lang w:val="es-CR"/>
        </w:rPr>
        <w:t xml:space="preserve"> en </w:t>
      </w:r>
      <w:r w:rsidR="00563E11">
        <w:rPr>
          <w:rFonts w:ascii="Verdana" w:hAnsi="Verdana"/>
          <w:sz w:val="20"/>
          <w:szCs w:val="20"/>
          <w:lang w:val="es-CR"/>
        </w:rPr>
        <w:t>Surinam</w:t>
      </w:r>
      <w:r w:rsidRPr="00A91B78">
        <w:rPr>
          <w:rFonts w:ascii="Verdana" w:hAnsi="Verdana"/>
          <w:sz w:val="20"/>
          <w:szCs w:val="20"/>
          <w:lang w:val="es-CR"/>
        </w:rPr>
        <w:t xml:space="preserve">. El Estado deberá adoptar estas medidas </w:t>
      </w:r>
      <w:r w:rsidR="001D25DC" w:rsidRPr="00190AD3">
        <w:rPr>
          <w:rFonts w:ascii="Verdana" w:hAnsi="Verdana"/>
          <w:sz w:val="20"/>
          <w:lang w:val="es-CR"/>
        </w:rPr>
        <w:lastRenderedPageBreak/>
        <w:t>con la participación efectiva</w:t>
      </w:r>
      <w:r w:rsidR="001D25DC">
        <w:rPr>
          <w:rFonts w:ascii="Verdana" w:hAnsi="Verdana"/>
          <w:sz w:val="20"/>
          <w:szCs w:val="20"/>
          <w:lang w:val="es-CR"/>
        </w:rPr>
        <w:t xml:space="preserve"> </w:t>
      </w:r>
      <w:r w:rsidR="00077064">
        <w:rPr>
          <w:rFonts w:ascii="Verdana" w:hAnsi="Verdana"/>
          <w:sz w:val="20"/>
          <w:szCs w:val="20"/>
          <w:lang w:val="es-CR"/>
        </w:rPr>
        <w:t xml:space="preserve">de </w:t>
      </w:r>
      <w:r w:rsidRPr="00A91B78">
        <w:rPr>
          <w:rFonts w:ascii="Verdana" w:hAnsi="Verdana"/>
          <w:sz w:val="20"/>
          <w:szCs w:val="20"/>
          <w:lang w:val="es-CR"/>
        </w:rPr>
        <w:t>dichos pueblos, de acuerdo con su derecho consuetudinario, valores, usos y costumbres</w:t>
      </w:r>
      <w:r w:rsidRPr="00A91B78">
        <w:rPr>
          <w:rStyle w:val="FootnoteReference"/>
          <w:szCs w:val="20"/>
          <w:lang w:val="es-CR"/>
        </w:rPr>
        <w:footnoteReference w:id="340"/>
      </w:r>
      <w:r w:rsidRPr="00A91B78">
        <w:rPr>
          <w:rFonts w:ascii="Verdana" w:hAnsi="Verdana"/>
          <w:sz w:val="20"/>
          <w:szCs w:val="20"/>
          <w:lang w:val="es-CR"/>
        </w:rPr>
        <w:t xml:space="preserve">, </w:t>
      </w:r>
      <w:r w:rsidR="00FF1B4B">
        <w:rPr>
          <w:rFonts w:ascii="Verdana" w:hAnsi="Verdana"/>
          <w:sz w:val="20"/>
          <w:szCs w:val="20"/>
          <w:lang w:val="es-CR"/>
        </w:rPr>
        <w:t>así como</w:t>
      </w:r>
      <w:r w:rsidRPr="00A91B78">
        <w:rPr>
          <w:rFonts w:ascii="Verdana" w:hAnsi="Verdana"/>
          <w:sz w:val="20"/>
          <w:szCs w:val="20"/>
          <w:lang w:val="es-CR"/>
        </w:rPr>
        <w:t xml:space="preserve"> a la luz de los estándares fijados en la presente Sentencia</w:t>
      </w:r>
      <w:r w:rsidR="00A611F5">
        <w:rPr>
          <w:rFonts w:ascii="Verdana" w:hAnsi="Verdana"/>
          <w:sz w:val="20"/>
          <w:szCs w:val="20"/>
          <w:lang w:val="es-CR"/>
        </w:rPr>
        <w:t xml:space="preserve"> (</w:t>
      </w:r>
      <w:r w:rsidR="00A611F5" w:rsidRPr="00CF360B">
        <w:rPr>
          <w:rFonts w:ascii="Verdana" w:hAnsi="Verdana"/>
          <w:i/>
          <w:sz w:val="20"/>
          <w:szCs w:val="20"/>
          <w:lang w:val="es-CR"/>
        </w:rPr>
        <w:t>supra</w:t>
      </w:r>
      <w:r w:rsidR="00A611F5">
        <w:rPr>
          <w:rFonts w:ascii="Verdana" w:hAnsi="Verdana"/>
          <w:sz w:val="20"/>
          <w:szCs w:val="20"/>
          <w:lang w:val="es-CR"/>
        </w:rPr>
        <w:t xml:space="preserve"> párrs. 129 a 142)</w:t>
      </w:r>
      <w:r>
        <w:rPr>
          <w:rFonts w:ascii="Verdana" w:hAnsi="Verdana"/>
          <w:sz w:val="20"/>
          <w:szCs w:val="20"/>
          <w:lang w:val="es-CR"/>
        </w:rPr>
        <w:t xml:space="preserve">, </w:t>
      </w:r>
      <w:r w:rsidRPr="00190AD3">
        <w:rPr>
          <w:rFonts w:ascii="Verdana" w:hAnsi="Verdana"/>
          <w:sz w:val="20"/>
          <w:lang w:val="es-CR"/>
        </w:rPr>
        <w:t xml:space="preserve">dentro de un plazo no mayor a </w:t>
      </w:r>
      <w:r w:rsidR="004C1178" w:rsidRPr="00190AD3">
        <w:rPr>
          <w:rFonts w:ascii="Verdana" w:hAnsi="Verdana"/>
          <w:sz w:val="20"/>
          <w:lang w:val="es-CR"/>
        </w:rPr>
        <w:t>tres</w:t>
      </w:r>
      <w:r w:rsidRPr="00190AD3">
        <w:rPr>
          <w:rFonts w:ascii="Verdana" w:hAnsi="Verdana"/>
          <w:sz w:val="20"/>
          <w:lang w:val="es-CR"/>
        </w:rPr>
        <w:t xml:space="preserve"> años de notificada la misma</w:t>
      </w:r>
      <w:r w:rsidR="005D516B">
        <w:rPr>
          <w:rFonts w:ascii="Verdana" w:hAnsi="Verdana"/>
          <w:sz w:val="20"/>
          <w:szCs w:val="20"/>
          <w:lang w:val="es-CR"/>
        </w:rPr>
        <w:t>;</w:t>
      </w:r>
    </w:p>
    <w:p w14:paraId="6D824108" w14:textId="77777777" w:rsidR="006465E1" w:rsidRPr="00A91B78" w:rsidRDefault="006465E1" w:rsidP="006465E1">
      <w:pPr>
        <w:ind w:left="720"/>
        <w:jc w:val="both"/>
        <w:rPr>
          <w:rFonts w:ascii="Verdana" w:hAnsi="Verdana"/>
          <w:sz w:val="20"/>
          <w:szCs w:val="20"/>
          <w:lang w:val="es-CR"/>
        </w:rPr>
      </w:pPr>
    </w:p>
    <w:p w14:paraId="3905BAD4" w14:textId="406F6791" w:rsidR="005D516B" w:rsidRDefault="006465E1" w:rsidP="006465E1">
      <w:pPr>
        <w:numPr>
          <w:ilvl w:val="0"/>
          <w:numId w:val="39"/>
        </w:numPr>
        <w:jc w:val="both"/>
        <w:rPr>
          <w:rFonts w:ascii="Verdana" w:hAnsi="Verdana"/>
          <w:sz w:val="20"/>
          <w:szCs w:val="20"/>
          <w:lang w:val="es-CR"/>
        </w:rPr>
      </w:pPr>
      <w:r w:rsidRPr="00701C09">
        <w:rPr>
          <w:rFonts w:ascii="Verdana" w:hAnsi="Verdana"/>
          <w:sz w:val="20"/>
          <w:szCs w:val="20"/>
          <w:lang w:val="es-CR"/>
        </w:rPr>
        <w:t xml:space="preserve">adecuar sus recursos internos con el fin de </w:t>
      </w:r>
      <w:r>
        <w:rPr>
          <w:rFonts w:ascii="Verdana" w:hAnsi="Verdana"/>
          <w:sz w:val="20"/>
          <w:szCs w:val="20"/>
          <w:lang w:val="es-CR"/>
        </w:rPr>
        <w:t xml:space="preserve">garantizar </w:t>
      </w:r>
      <w:r w:rsidRPr="00701C09">
        <w:rPr>
          <w:rFonts w:ascii="Verdana" w:hAnsi="Verdana"/>
          <w:sz w:val="20"/>
          <w:szCs w:val="20"/>
          <w:lang w:val="es-CR"/>
        </w:rPr>
        <w:t>de manera</w:t>
      </w:r>
      <w:r w:rsidRPr="00AF527C">
        <w:rPr>
          <w:rFonts w:ascii="Verdana" w:hAnsi="Verdana"/>
          <w:sz w:val="20"/>
          <w:szCs w:val="20"/>
          <w:lang w:val="es-CR"/>
        </w:rPr>
        <w:t xml:space="preserve"> efectiva </w:t>
      </w:r>
      <w:r>
        <w:rPr>
          <w:rFonts w:ascii="Verdana" w:hAnsi="Verdana"/>
          <w:sz w:val="20"/>
          <w:szCs w:val="20"/>
          <w:lang w:val="es-CR"/>
        </w:rPr>
        <w:t>el acceso a la justicia de los pueblos indígenas y tribales de manera colectiva</w:t>
      </w:r>
      <w:r w:rsidR="0024200E">
        <w:rPr>
          <w:rFonts w:ascii="Verdana" w:hAnsi="Verdana"/>
          <w:sz w:val="20"/>
          <w:szCs w:val="20"/>
          <w:lang w:val="es-CR"/>
        </w:rPr>
        <w:t>, así como garantizar el acceso a la información necesaria para el ejercicio de tal derecho.</w:t>
      </w:r>
      <w:r w:rsidR="005D516B">
        <w:rPr>
          <w:rFonts w:ascii="Verdana" w:hAnsi="Verdana"/>
          <w:sz w:val="20"/>
          <w:szCs w:val="20"/>
          <w:lang w:val="es-CR"/>
        </w:rPr>
        <w:t xml:space="preserve"> </w:t>
      </w:r>
      <w:r w:rsidRPr="00AF527C">
        <w:rPr>
          <w:rFonts w:ascii="Verdana" w:hAnsi="Verdana"/>
          <w:sz w:val="20"/>
          <w:szCs w:val="20"/>
          <w:lang w:val="es-CR"/>
        </w:rPr>
        <w:t xml:space="preserve">Para ello el Estado deberá interpretar </w:t>
      </w:r>
      <w:r w:rsidR="00962EC7">
        <w:rPr>
          <w:rFonts w:ascii="Verdana" w:hAnsi="Verdana"/>
          <w:sz w:val="20"/>
          <w:szCs w:val="20"/>
          <w:lang w:val="es-CR"/>
        </w:rPr>
        <w:t xml:space="preserve">y </w:t>
      </w:r>
      <w:r w:rsidR="00962EC7" w:rsidRPr="00AF527C">
        <w:rPr>
          <w:rFonts w:ascii="Verdana" w:hAnsi="Verdana"/>
          <w:sz w:val="20"/>
          <w:szCs w:val="20"/>
          <w:lang w:val="es-CR"/>
        </w:rPr>
        <w:t xml:space="preserve">aplicar </w:t>
      </w:r>
      <w:r w:rsidRPr="00AF527C">
        <w:rPr>
          <w:rFonts w:ascii="Verdana" w:hAnsi="Verdana"/>
          <w:sz w:val="20"/>
          <w:szCs w:val="20"/>
          <w:lang w:val="es-CR"/>
        </w:rPr>
        <w:t xml:space="preserve">dichos recursos tomando en cuenta los estándares en materia indígena mencionados en el párrafo </w:t>
      </w:r>
      <w:r w:rsidR="00D24B97">
        <w:rPr>
          <w:rFonts w:ascii="Verdana" w:hAnsi="Verdana"/>
          <w:sz w:val="20"/>
          <w:szCs w:val="20"/>
          <w:lang w:val="es-CR"/>
        </w:rPr>
        <w:t>2</w:t>
      </w:r>
      <w:r w:rsidR="00CB4310">
        <w:rPr>
          <w:rFonts w:ascii="Verdana" w:hAnsi="Verdana"/>
          <w:sz w:val="20"/>
          <w:szCs w:val="20"/>
          <w:lang w:val="es-CR"/>
        </w:rPr>
        <w:t>51</w:t>
      </w:r>
      <w:r w:rsidR="007F4E4C">
        <w:rPr>
          <w:rFonts w:ascii="Verdana" w:hAnsi="Verdana"/>
          <w:sz w:val="20"/>
          <w:szCs w:val="20"/>
          <w:lang w:val="es-CR"/>
        </w:rPr>
        <w:t xml:space="preserve"> de este Fallo</w:t>
      </w:r>
      <w:r w:rsidRPr="00AF527C">
        <w:rPr>
          <w:rFonts w:ascii="Verdana" w:hAnsi="Verdana"/>
          <w:sz w:val="20"/>
          <w:szCs w:val="20"/>
          <w:lang w:val="es-CR"/>
        </w:rPr>
        <w:t xml:space="preserve">, dentro de un plazo no mayor a </w:t>
      </w:r>
      <w:r w:rsidR="008E27E2">
        <w:rPr>
          <w:rFonts w:ascii="Verdana" w:hAnsi="Verdana"/>
          <w:sz w:val="20"/>
          <w:szCs w:val="20"/>
          <w:lang w:val="es-CR"/>
        </w:rPr>
        <w:t>dos</w:t>
      </w:r>
      <w:r w:rsidRPr="00AF527C">
        <w:rPr>
          <w:rFonts w:ascii="Verdana" w:hAnsi="Verdana"/>
          <w:sz w:val="20"/>
          <w:szCs w:val="20"/>
          <w:lang w:val="es-CR"/>
        </w:rPr>
        <w:t xml:space="preserve"> años </w:t>
      </w:r>
      <w:r w:rsidRPr="00AF527C">
        <w:rPr>
          <w:rFonts w:ascii="Verdana" w:hAnsi="Verdana"/>
          <w:sz w:val="20"/>
          <w:szCs w:val="20"/>
          <w:lang w:val="es-MX"/>
        </w:rPr>
        <w:t>a partir de la notificación de la presente Sentencia</w:t>
      </w:r>
      <w:r w:rsidR="005D516B">
        <w:rPr>
          <w:rFonts w:ascii="Verdana" w:hAnsi="Verdana"/>
          <w:sz w:val="20"/>
          <w:szCs w:val="20"/>
          <w:lang w:val="es-CR"/>
        </w:rPr>
        <w:t>, y</w:t>
      </w:r>
    </w:p>
    <w:p w14:paraId="2BDD38A6" w14:textId="77777777" w:rsidR="005D516B" w:rsidRPr="008C0FDC" w:rsidRDefault="005D516B" w:rsidP="009E77BD">
      <w:pPr>
        <w:pStyle w:val="ListParagraph"/>
        <w:rPr>
          <w:rFonts w:ascii="Verdana" w:hAnsi="Verdana"/>
          <w:sz w:val="20"/>
          <w:szCs w:val="20"/>
          <w:lang w:val="es-CR"/>
        </w:rPr>
      </w:pPr>
    </w:p>
    <w:p w14:paraId="60D305C7" w14:textId="77777777" w:rsidR="006465E1" w:rsidRPr="0029611B" w:rsidRDefault="005D516B" w:rsidP="006465E1">
      <w:pPr>
        <w:numPr>
          <w:ilvl w:val="0"/>
          <w:numId w:val="39"/>
        </w:numPr>
        <w:jc w:val="both"/>
        <w:rPr>
          <w:rFonts w:ascii="Verdana" w:hAnsi="Verdana"/>
          <w:sz w:val="20"/>
          <w:szCs w:val="20"/>
          <w:lang w:val="es-CR"/>
        </w:rPr>
      </w:pPr>
      <w:r w:rsidRPr="0029611B">
        <w:rPr>
          <w:rFonts w:ascii="Verdana" w:hAnsi="Verdana"/>
          <w:sz w:val="20"/>
          <w:szCs w:val="20"/>
          <w:lang w:val="es-CR"/>
        </w:rPr>
        <w:t xml:space="preserve">garantizar: </w:t>
      </w:r>
      <w:r w:rsidRPr="0029611B">
        <w:rPr>
          <w:rFonts w:ascii="Verdana" w:hAnsi="Verdana"/>
          <w:sz w:val="20"/>
          <w:lang w:val="es-CR"/>
        </w:rPr>
        <w:t xml:space="preserve">i) la </w:t>
      </w:r>
      <w:r w:rsidR="00B60F5B" w:rsidRPr="00190AD3">
        <w:rPr>
          <w:rFonts w:ascii="Verdana" w:hAnsi="Verdana"/>
          <w:sz w:val="20"/>
          <w:lang w:val="es-CR"/>
        </w:rPr>
        <w:t>participación efectiva</w:t>
      </w:r>
      <w:r w:rsidR="00557E59">
        <w:rPr>
          <w:rFonts w:ascii="Verdana" w:hAnsi="Verdana"/>
          <w:sz w:val="20"/>
          <w:lang w:val="es-CR"/>
        </w:rPr>
        <w:t>,</w:t>
      </w:r>
      <w:r w:rsidRPr="0029611B">
        <w:rPr>
          <w:rFonts w:ascii="Verdana" w:hAnsi="Verdana"/>
          <w:sz w:val="20"/>
          <w:lang w:val="es-CR"/>
        </w:rPr>
        <w:t xml:space="preserve"> </w:t>
      </w:r>
      <w:r w:rsidR="00077064">
        <w:rPr>
          <w:rFonts w:ascii="Verdana" w:hAnsi="Verdana"/>
          <w:sz w:val="20"/>
          <w:lang w:val="es-CR"/>
        </w:rPr>
        <w:t>a través de un proceso de consulta a</w:t>
      </w:r>
      <w:r w:rsidRPr="0029611B">
        <w:rPr>
          <w:rFonts w:ascii="Verdana" w:hAnsi="Verdana"/>
          <w:sz w:val="20"/>
          <w:lang w:val="es-CR"/>
        </w:rPr>
        <w:t xml:space="preserve"> los pueblos indígenas y tribales de Surinam, según sus tradiciones y costumbres, respecto de cualquier proyecto, inversión, reserva natural, o actividad que puedan afectar su territorio; ii)</w:t>
      </w:r>
      <w:r w:rsidRPr="0029611B">
        <w:rPr>
          <w:rFonts w:ascii="Verdana" w:hAnsi="Verdana"/>
          <w:sz w:val="20"/>
          <w:szCs w:val="20"/>
          <w:lang w:val="es-CR"/>
        </w:rPr>
        <w:t xml:space="preserve"> la realización de estudios de impacto ambiental y social mediante entidades técnicamente capacitadas e independientes, previo al otorgamiento de cualquier proyecto de desarrollo o inversión dentro del territorio tradicional de los </w:t>
      </w:r>
      <w:r w:rsidR="00031333">
        <w:rPr>
          <w:rFonts w:ascii="Verdana" w:hAnsi="Verdana"/>
          <w:sz w:val="20"/>
          <w:szCs w:val="20"/>
          <w:lang w:val="es-CR"/>
        </w:rPr>
        <w:t>pueblos indígenas y tribales</w:t>
      </w:r>
      <w:r w:rsidRPr="0029611B">
        <w:rPr>
          <w:rFonts w:ascii="Verdana" w:hAnsi="Verdana"/>
          <w:sz w:val="20"/>
          <w:szCs w:val="20"/>
          <w:lang w:val="es-CR"/>
        </w:rPr>
        <w:t xml:space="preserve">, </w:t>
      </w:r>
      <w:r w:rsidRPr="0029611B">
        <w:rPr>
          <w:rFonts w:ascii="Verdana" w:hAnsi="Verdana"/>
          <w:sz w:val="20"/>
          <w:lang w:val="es-CR"/>
        </w:rPr>
        <w:t>y iii) la repartición de beneficios derivados de esos proyectos con los pueblos indígenas y tribales, de ser el caso</w:t>
      </w:r>
      <w:r w:rsidR="00790F7E">
        <w:rPr>
          <w:rFonts w:ascii="Verdana" w:hAnsi="Verdana"/>
          <w:sz w:val="20"/>
          <w:lang w:val="es-CR"/>
        </w:rPr>
        <w:t xml:space="preserve"> </w:t>
      </w:r>
      <w:r w:rsidR="00790F7E" w:rsidRPr="0029611B">
        <w:rPr>
          <w:rFonts w:ascii="Verdana" w:hAnsi="Verdana"/>
          <w:sz w:val="20"/>
          <w:lang w:val="es-CR"/>
        </w:rPr>
        <w:t>(</w:t>
      </w:r>
      <w:r w:rsidR="00790F7E" w:rsidRPr="0029611B">
        <w:rPr>
          <w:rFonts w:ascii="Verdana" w:hAnsi="Verdana"/>
          <w:i/>
          <w:sz w:val="20"/>
          <w:lang w:val="es-CR"/>
        </w:rPr>
        <w:t>supra</w:t>
      </w:r>
      <w:r w:rsidR="00790F7E" w:rsidRPr="0029611B">
        <w:rPr>
          <w:rFonts w:ascii="Verdana" w:hAnsi="Verdana"/>
          <w:sz w:val="20"/>
          <w:lang w:val="es-CR"/>
        </w:rPr>
        <w:t xml:space="preserve"> párr.</w:t>
      </w:r>
      <w:r w:rsidR="00790F7E">
        <w:rPr>
          <w:rFonts w:ascii="Verdana" w:hAnsi="Verdana"/>
          <w:sz w:val="20"/>
          <w:lang w:val="es-CR"/>
        </w:rPr>
        <w:t xml:space="preserve"> 201</w:t>
      </w:r>
      <w:r w:rsidR="00790F7E" w:rsidRPr="0029611B">
        <w:rPr>
          <w:rFonts w:ascii="Verdana" w:hAnsi="Verdana"/>
          <w:sz w:val="20"/>
          <w:lang w:val="es-CR"/>
        </w:rPr>
        <w:t>)</w:t>
      </w:r>
      <w:r w:rsidRPr="0029611B">
        <w:rPr>
          <w:rFonts w:ascii="Verdana" w:hAnsi="Verdana"/>
          <w:sz w:val="20"/>
          <w:lang w:val="es-CR"/>
        </w:rPr>
        <w:t xml:space="preserve">. Todo ello, de conformidad con los estándares señalados en </w:t>
      </w:r>
      <w:r w:rsidR="00562C1A">
        <w:rPr>
          <w:rFonts w:ascii="Verdana" w:hAnsi="Verdana"/>
          <w:sz w:val="20"/>
          <w:lang w:val="es-CR"/>
        </w:rPr>
        <w:t>este Fallo</w:t>
      </w:r>
      <w:r w:rsidRPr="0029611B">
        <w:rPr>
          <w:rStyle w:val="FootnoteReference"/>
          <w:szCs w:val="20"/>
          <w:lang w:val="es-CR"/>
        </w:rPr>
        <w:footnoteReference w:id="341"/>
      </w:r>
      <w:r w:rsidR="00790F7E">
        <w:rPr>
          <w:rFonts w:ascii="Verdana" w:hAnsi="Verdana"/>
          <w:sz w:val="20"/>
          <w:lang w:val="es-CR"/>
        </w:rPr>
        <w:t xml:space="preserve"> (</w:t>
      </w:r>
      <w:r w:rsidR="00790F7E" w:rsidRPr="00CF360B">
        <w:rPr>
          <w:rFonts w:ascii="Verdana" w:hAnsi="Verdana"/>
          <w:i/>
          <w:sz w:val="20"/>
          <w:lang w:val="es-CR"/>
        </w:rPr>
        <w:t>supra</w:t>
      </w:r>
      <w:r w:rsidR="00790F7E">
        <w:rPr>
          <w:rFonts w:ascii="Verdana" w:hAnsi="Verdana"/>
          <w:sz w:val="20"/>
          <w:lang w:val="es-CR"/>
        </w:rPr>
        <w:t xml:space="preserve"> párrs.</w:t>
      </w:r>
      <w:r w:rsidR="00A611F5">
        <w:rPr>
          <w:rFonts w:ascii="Verdana" w:hAnsi="Verdana"/>
          <w:sz w:val="20"/>
          <w:lang w:val="es-CR"/>
        </w:rPr>
        <w:t xml:space="preserve"> 201 a 229)</w:t>
      </w:r>
      <w:r w:rsidR="004C1178">
        <w:rPr>
          <w:rFonts w:ascii="Verdana" w:hAnsi="Verdana"/>
          <w:sz w:val="20"/>
          <w:szCs w:val="20"/>
          <w:lang w:val="es-CR"/>
        </w:rPr>
        <w:t xml:space="preserve"> y </w:t>
      </w:r>
      <w:r w:rsidR="004C1178" w:rsidRPr="00190AD3">
        <w:rPr>
          <w:rFonts w:ascii="Verdana" w:hAnsi="Verdana"/>
          <w:sz w:val="20"/>
          <w:lang w:val="es-MX"/>
        </w:rPr>
        <w:t>dentro de un plazo no mayor a dos años, a partir de la notificación de la presente Sentencia</w:t>
      </w:r>
      <w:r w:rsidR="00077064" w:rsidRPr="00190AD3">
        <w:rPr>
          <w:rFonts w:ascii="Verdana" w:hAnsi="Verdana"/>
          <w:sz w:val="20"/>
          <w:szCs w:val="20"/>
          <w:lang w:val="es-MX"/>
        </w:rPr>
        <w:t>.</w:t>
      </w:r>
    </w:p>
    <w:p w14:paraId="1A919C74" w14:textId="77777777" w:rsidR="006465E1" w:rsidRPr="00A91B78" w:rsidRDefault="006465E1" w:rsidP="006465E1">
      <w:pPr>
        <w:jc w:val="both"/>
        <w:rPr>
          <w:rFonts w:ascii="Verdana" w:hAnsi="Verdana"/>
          <w:sz w:val="20"/>
          <w:szCs w:val="20"/>
          <w:lang w:val="es-CR"/>
        </w:rPr>
      </w:pPr>
    </w:p>
    <w:p w14:paraId="5F2BDCF7" w14:textId="18373CF8" w:rsidR="006465E1" w:rsidRPr="002C323A" w:rsidRDefault="006465E1" w:rsidP="006465E1">
      <w:pPr>
        <w:numPr>
          <w:ilvl w:val="0"/>
          <w:numId w:val="2"/>
        </w:numPr>
        <w:ind w:left="0" w:hanging="11"/>
        <w:contextualSpacing/>
        <w:jc w:val="both"/>
        <w:rPr>
          <w:rFonts w:ascii="Verdana" w:hAnsi="Verdana"/>
          <w:sz w:val="20"/>
          <w:szCs w:val="20"/>
          <w:lang w:val="es-MX"/>
        </w:rPr>
      </w:pPr>
      <w:r w:rsidRPr="002C323A">
        <w:rPr>
          <w:rFonts w:ascii="Verdana" w:hAnsi="Verdana"/>
          <w:sz w:val="20"/>
          <w:szCs w:val="20"/>
          <w:lang w:val="es-MX"/>
        </w:rPr>
        <w:t>Por otra parte, la Comisión y los representantes solicitaron de manera genérica, la revisión y modificación de la normativa interna en materia de minería, tala, caza, o toda aquella que fuera contraria a los derechos de los pueblos indígenas, sin especificar claramente la normativa o el articulado de la misma, o de qué manera esta sería contraria a dichos derechos</w:t>
      </w:r>
      <w:r w:rsidRPr="00415A21">
        <w:rPr>
          <w:rFonts w:ascii="Verdana" w:hAnsi="Verdana"/>
          <w:sz w:val="20"/>
          <w:szCs w:val="20"/>
          <w:lang w:val="es-MX"/>
        </w:rPr>
        <w:t xml:space="preserve">. </w:t>
      </w:r>
      <w:r w:rsidR="00F617C9" w:rsidRPr="00415A21">
        <w:rPr>
          <w:rFonts w:ascii="Verdana" w:hAnsi="Verdana"/>
          <w:sz w:val="20"/>
          <w:szCs w:val="20"/>
          <w:lang w:val="es-MX"/>
        </w:rPr>
        <w:t>En vista de ello</w:t>
      </w:r>
      <w:r w:rsidRPr="00415A21">
        <w:rPr>
          <w:rFonts w:ascii="Verdana" w:hAnsi="Verdana"/>
          <w:sz w:val="20"/>
          <w:lang w:val="es-MX"/>
        </w:rPr>
        <w:t xml:space="preserve">, </w:t>
      </w:r>
      <w:r w:rsidR="00F617C9" w:rsidRPr="00415A21">
        <w:rPr>
          <w:rFonts w:ascii="Verdana" w:hAnsi="Verdana"/>
          <w:sz w:val="20"/>
          <w:lang w:val="es-MX"/>
        </w:rPr>
        <w:t xml:space="preserve">y siendo que </w:t>
      </w:r>
      <w:r w:rsidR="008A4ABB" w:rsidRPr="00415A21">
        <w:rPr>
          <w:rFonts w:ascii="Verdana" w:hAnsi="Verdana"/>
          <w:sz w:val="20"/>
          <w:lang w:val="es-MX"/>
        </w:rPr>
        <w:t>no</w:t>
      </w:r>
      <w:r w:rsidR="00F617C9" w:rsidRPr="00415A21">
        <w:rPr>
          <w:rFonts w:ascii="Verdana" w:hAnsi="Verdana"/>
          <w:sz w:val="20"/>
          <w:lang w:val="es-MX"/>
        </w:rPr>
        <w:t xml:space="preserve"> se </w:t>
      </w:r>
      <w:r w:rsidR="007F4E4C" w:rsidRPr="00415A21">
        <w:rPr>
          <w:rFonts w:ascii="Verdana" w:hAnsi="Verdana"/>
          <w:sz w:val="20"/>
          <w:lang w:val="es-MX"/>
        </w:rPr>
        <w:t xml:space="preserve">verificó una violación </w:t>
      </w:r>
      <w:r w:rsidR="007021B4" w:rsidRPr="00415A21">
        <w:rPr>
          <w:rFonts w:ascii="Verdana" w:hAnsi="Verdana"/>
          <w:sz w:val="20"/>
          <w:lang w:val="es-MX"/>
        </w:rPr>
        <w:t>particular</w:t>
      </w:r>
      <w:r w:rsidR="007F4E4C" w:rsidRPr="00415A21">
        <w:rPr>
          <w:rFonts w:ascii="Verdana" w:hAnsi="Verdana"/>
          <w:sz w:val="20"/>
          <w:lang w:val="es-MX"/>
        </w:rPr>
        <w:t xml:space="preserve"> </w:t>
      </w:r>
      <w:r w:rsidR="00F617C9" w:rsidRPr="00415A21">
        <w:rPr>
          <w:rFonts w:ascii="Verdana" w:hAnsi="Verdana"/>
          <w:sz w:val="20"/>
          <w:lang w:val="es-MX"/>
        </w:rPr>
        <w:t xml:space="preserve">en </w:t>
      </w:r>
      <w:r w:rsidR="00562C1A" w:rsidRPr="00415A21">
        <w:rPr>
          <w:rFonts w:ascii="Verdana" w:hAnsi="Verdana"/>
          <w:sz w:val="20"/>
          <w:lang w:val="es-MX"/>
        </w:rPr>
        <w:t>la parte</w:t>
      </w:r>
      <w:r w:rsidR="00562C1A">
        <w:rPr>
          <w:rFonts w:ascii="Verdana" w:hAnsi="Verdana"/>
          <w:sz w:val="20"/>
          <w:lang w:val="es-MX"/>
        </w:rPr>
        <w:t xml:space="preserve"> de</w:t>
      </w:r>
      <w:r w:rsidR="00F617C9" w:rsidRPr="002C323A">
        <w:rPr>
          <w:rFonts w:ascii="Verdana" w:hAnsi="Verdana"/>
          <w:sz w:val="20"/>
          <w:lang w:val="es-MX"/>
        </w:rPr>
        <w:t xml:space="preserve"> fondo </w:t>
      </w:r>
      <w:r w:rsidRPr="002C323A">
        <w:rPr>
          <w:rFonts w:ascii="Verdana" w:hAnsi="Verdana"/>
          <w:sz w:val="20"/>
          <w:lang w:val="es-MX"/>
        </w:rPr>
        <w:t>de la presente Sentencia,</w:t>
      </w:r>
      <w:r w:rsidR="00F617C9" w:rsidRPr="002C323A">
        <w:rPr>
          <w:rFonts w:ascii="Verdana" w:hAnsi="Verdana"/>
          <w:sz w:val="20"/>
          <w:lang w:val="es-MX"/>
        </w:rPr>
        <w:t xml:space="preserve"> dichas solicitudes</w:t>
      </w:r>
      <w:r w:rsidRPr="002C323A">
        <w:rPr>
          <w:rFonts w:ascii="Verdana" w:hAnsi="Verdana"/>
          <w:sz w:val="20"/>
          <w:lang w:val="es-MX"/>
        </w:rPr>
        <w:t xml:space="preserve"> </w:t>
      </w:r>
      <w:r w:rsidR="00F617C9" w:rsidRPr="002C323A">
        <w:rPr>
          <w:rFonts w:ascii="Verdana" w:hAnsi="Verdana"/>
          <w:sz w:val="20"/>
          <w:lang w:val="es-MX"/>
        </w:rPr>
        <w:t>carece</w:t>
      </w:r>
      <w:r w:rsidR="008B5275">
        <w:rPr>
          <w:rFonts w:ascii="Verdana" w:hAnsi="Verdana"/>
          <w:sz w:val="20"/>
          <w:lang w:val="es-MX"/>
        </w:rPr>
        <w:t>n</w:t>
      </w:r>
      <w:r w:rsidR="00F617C9" w:rsidRPr="002C323A">
        <w:rPr>
          <w:rFonts w:ascii="Verdana" w:hAnsi="Verdana"/>
          <w:sz w:val="20"/>
          <w:lang w:val="es-MX"/>
        </w:rPr>
        <w:t xml:space="preserve"> de nexo de causalidad, por lo que</w:t>
      </w:r>
      <w:r w:rsidR="005D516B" w:rsidRPr="002C323A">
        <w:rPr>
          <w:rFonts w:ascii="Verdana" w:hAnsi="Verdana"/>
          <w:sz w:val="20"/>
          <w:lang w:val="es-MX"/>
        </w:rPr>
        <w:t xml:space="preserve"> </w:t>
      </w:r>
      <w:r w:rsidRPr="002C323A">
        <w:rPr>
          <w:rFonts w:ascii="Verdana" w:hAnsi="Verdana"/>
          <w:sz w:val="20"/>
          <w:lang w:val="es-MX"/>
        </w:rPr>
        <w:t>no corresponde adoptar una medida de reparación</w:t>
      </w:r>
      <w:r w:rsidRPr="002C323A">
        <w:rPr>
          <w:rFonts w:ascii="Verdana" w:hAnsi="Verdana"/>
          <w:sz w:val="20"/>
          <w:szCs w:val="20"/>
          <w:lang w:val="es-MX"/>
        </w:rPr>
        <w:t>.</w:t>
      </w:r>
    </w:p>
    <w:p w14:paraId="30C8CCDE" w14:textId="77777777" w:rsidR="00A91B78" w:rsidRPr="00A91B78" w:rsidRDefault="00A91B78" w:rsidP="00A91B78">
      <w:pPr>
        <w:jc w:val="both"/>
        <w:rPr>
          <w:rFonts w:ascii="Verdana" w:hAnsi="Verdana"/>
          <w:sz w:val="20"/>
          <w:szCs w:val="20"/>
          <w:lang w:val="es-CR"/>
        </w:rPr>
      </w:pPr>
    </w:p>
    <w:p w14:paraId="22683206" w14:textId="77777777" w:rsidR="00A91B78" w:rsidRPr="00A91B78" w:rsidRDefault="00DE7693" w:rsidP="00A91B78">
      <w:pPr>
        <w:pStyle w:val="Heading3"/>
        <w:spacing w:before="0"/>
        <w:ind w:left="360"/>
        <w:jc w:val="both"/>
        <w:rPr>
          <w:rFonts w:ascii="Verdana" w:hAnsi="Verdana"/>
          <w:i/>
          <w:color w:val="auto"/>
          <w:sz w:val="20"/>
          <w:szCs w:val="20"/>
          <w:lang w:val="es-ES"/>
        </w:rPr>
      </w:pPr>
      <w:bookmarkStart w:id="100" w:name="_Toc441666206"/>
      <w:r>
        <w:rPr>
          <w:rFonts w:ascii="Verdana" w:hAnsi="Verdana"/>
          <w:i/>
          <w:color w:val="auto"/>
          <w:sz w:val="20"/>
          <w:szCs w:val="20"/>
          <w:lang w:val="es-ES"/>
        </w:rPr>
        <w:t>E</w:t>
      </w:r>
      <w:r w:rsidR="00A91B78">
        <w:rPr>
          <w:rFonts w:ascii="Verdana" w:hAnsi="Verdana"/>
          <w:i/>
          <w:color w:val="auto"/>
          <w:sz w:val="20"/>
          <w:szCs w:val="20"/>
          <w:lang w:val="es-ES"/>
        </w:rPr>
        <w:t>.2</w:t>
      </w:r>
      <w:r w:rsidR="00A91B78" w:rsidRPr="00A91B78">
        <w:rPr>
          <w:rFonts w:ascii="Verdana" w:hAnsi="Verdana"/>
          <w:i/>
          <w:color w:val="auto"/>
          <w:sz w:val="20"/>
          <w:szCs w:val="20"/>
          <w:lang w:val="es-ES"/>
        </w:rPr>
        <w:t xml:space="preserve"> Medidas de capacitación</w:t>
      </w:r>
      <w:bookmarkEnd w:id="100"/>
    </w:p>
    <w:p w14:paraId="1253CDB3" w14:textId="77777777" w:rsidR="00A91B78" w:rsidRPr="00A91B78" w:rsidRDefault="00A91B78" w:rsidP="00A91B78">
      <w:pPr>
        <w:jc w:val="both"/>
        <w:rPr>
          <w:rFonts w:ascii="Verdana" w:hAnsi="Verdana"/>
          <w:sz w:val="20"/>
          <w:szCs w:val="20"/>
          <w:lang w:val="es-MX"/>
        </w:rPr>
      </w:pPr>
    </w:p>
    <w:p w14:paraId="34070460" w14:textId="4C1D98FD"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ES"/>
        </w:rPr>
        <w:t xml:space="preserve">Los </w:t>
      </w:r>
      <w:r w:rsidRPr="00A91B78">
        <w:rPr>
          <w:rFonts w:ascii="Verdana" w:hAnsi="Verdana"/>
          <w:b/>
          <w:i/>
          <w:sz w:val="20"/>
          <w:szCs w:val="20"/>
          <w:lang w:val="es-ES"/>
        </w:rPr>
        <w:t>representantes</w:t>
      </w:r>
      <w:r w:rsidRPr="00A91B78">
        <w:rPr>
          <w:rFonts w:ascii="Verdana" w:hAnsi="Verdana"/>
          <w:b/>
          <w:sz w:val="20"/>
          <w:szCs w:val="20"/>
          <w:lang w:val="es-ES"/>
        </w:rPr>
        <w:t xml:space="preserve"> </w:t>
      </w:r>
      <w:r w:rsidRPr="00A91B78">
        <w:rPr>
          <w:rFonts w:ascii="Verdana" w:hAnsi="Verdana"/>
          <w:sz w:val="20"/>
          <w:szCs w:val="20"/>
          <w:lang w:val="es-ES"/>
        </w:rPr>
        <w:t>requirieron la implementación</w:t>
      </w:r>
      <w:r w:rsidRPr="00A91B78">
        <w:rPr>
          <w:rFonts w:ascii="Verdana" w:hAnsi="Verdana"/>
          <w:sz w:val="20"/>
          <w:szCs w:val="20"/>
          <w:lang w:val="es-MX"/>
        </w:rPr>
        <w:t xml:space="preserve"> de programas o cursos de capacitación obligatorios que incluyan módulos sobre las normas nacionales e internacionales de derechos humanos relativos a los pueblos indígenas</w:t>
      </w:r>
      <w:r w:rsidRPr="00A91B78">
        <w:rPr>
          <w:rFonts w:ascii="Verdana" w:hAnsi="Verdana"/>
          <w:b/>
          <w:sz w:val="20"/>
          <w:szCs w:val="20"/>
          <w:lang w:val="es-MX"/>
        </w:rPr>
        <w:t xml:space="preserve"> </w:t>
      </w:r>
      <w:r w:rsidRPr="00A91B78">
        <w:rPr>
          <w:rFonts w:ascii="Verdana" w:hAnsi="Verdana"/>
          <w:sz w:val="20"/>
          <w:szCs w:val="20"/>
          <w:lang w:val="es-MX"/>
        </w:rPr>
        <w:t xml:space="preserve">y tribales, que estén destinados a los funcionarios encargados de hacer cumplir la ley, funcionarios civiles y otros cuyas funciones impliquen relaciones con dichos pueblos, en todos los niveles jerárquicos. Todo ello en un plazo razonable y con base en las correspondientes disposiciones presupuestarias. Asimismo, señalaron que esta medida debía garantizar la participación efectiva y el consentimiento libre, previo e informado de los </w:t>
      </w:r>
      <w:r w:rsidR="00382F4D">
        <w:rPr>
          <w:rFonts w:ascii="Verdana" w:hAnsi="Verdana"/>
          <w:sz w:val="20"/>
          <w:szCs w:val="20"/>
          <w:lang w:val="es-MX"/>
        </w:rPr>
        <w:t>Pueblos Kaliña y Lokono</w:t>
      </w:r>
      <w:r w:rsidRPr="00A91B78">
        <w:rPr>
          <w:rFonts w:ascii="Verdana" w:hAnsi="Verdana"/>
          <w:sz w:val="20"/>
          <w:szCs w:val="20"/>
          <w:lang w:val="es-MX"/>
        </w:rPr>
        <w:t>, expresada a través de sus representantes libremente elegidos.</w:t>
      </w:r>
    </w:p>
    <w:p w14:paraId="0C3FA122" w14:textId="77777777" w:rsidR="00A91B78" w:rsidRPr="00A91B78" w:rsidRDefault="00A91B78" w:rsidP="00A91B78">
      <w:pPr>
        <w:jc w:val="both"/>
        <w:rPr>
          <w:rFonts w:ascii="Verdana" w:hAnsi="Verdana"/>
          <w:sz w:val="20"/>
          <w:szCs w:val="20"/>
          <w:lang w:val="es-ES"/>
        </w:rPr>
      </w:pPr>
    </w:p>
    <w:p w14:paraId="0015490E" w14:textId="77777777" w:rsidR="00A91B78" w:rsidRP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 xml:space="preserve">Ni la </w:t>
      </w:r>
      <w:r w:rsidRPr="00A91B78">
        <w:rPr>
          <w:rFonts w:ascii="Verdana" w:hAnsi="Verdana"/>
          <w:b/>
          <w:i/>
          <w:sz w:val="20"/>
          <w:szCs w:val="20"/>
          <w:lang w:val="es-ES"/>
        </w:rPr>
        <w:t>Comisión</w:t>
      </w:r>
      <w:r w:rsidRPr="00A91B78">
        <w:rPr>
          <w:rFonts w:ascii="Verdana" w:hAnsi="Verdana"/>
          <w:sz w:val="20"/>
          <w:szCs w:val="20"/>
          <w:lang w:val="es-ES"/>
        </w:rPr>
        <w:t xml:space="preserve"> ni el </w:t>
      </w:r>
      <w:r w:rsidRPr="00A91B78">
        <w:rPr>
          <w:rFonts w:ascii="Verdana" w:hAnsi="Verdana"/>
          <w:b/>
          <w:i/>
          <w:sz w:val="20"/>
          <w:szCs w:val="20"/>
          <w:lang w:val="es-ES"/>
        </w:rPr>
        <w:t>Estado</w:t>
      </w:r>
      <w:r w:rsidRPr="00A91B78">
        <w:rPr>
          <w:rFonts w:ascii="Verdana" w:hAnsi="Verdana"/>
          <w:sz w:val="20"/>
          <w:szCs w:val="20"/>
          <w:lang w:val="es-ES"/>
        </w:rPr>
        <w:t xml:space="preserve"> se pronunciaron al respecto. </w:t>
      </w:r>
    </w:p>
    <w:p w14:paraId="4BA05E4D" w14:textId="77777777" w:rsidR="00A91B78" w:rsidRPr="00A91B78" w:rsidRDefault="00A91B78" w:rsidP="00A91B78">
      <w:pPr>
        <w:jc w:val="both"/>
        <w:rPr>
          <w:rFonts w:ascii="Verdana" w:hAnsi="Verdana"/>
          <w:sz w:val="20"/>
          <w:szCs w:val="20"/>
          <w:lang w:val="es-ES"/>
        </w:rPr>
      </w:pPr>
    </w:p>
    <w:p w14:paraId="624E7D00" w14:textId="77777777" w:rsidR="00A91B78" w:rsidRPr="0062363A" w:rsidRDefault="00A91B78" w:rsidP="00366D91">
      <w:pPr>
        <w:numPr>
          <w:ilvl w:val="0"/>
          <w:numId w:val="2"/>
        </w:numPr>
        <w:ind w:left="0" w:hanging="11"/>
        <w:contextualSpacing/>
        <w:jc w:val="both"/>
        <w:rPr>
          <w:rFonts w:ascii="Verdana" w:hAnsi="Verdana"/>
          <w:sz w:val="20"/>
          <w:szCs w:val="20"/>
          <w:lang w:val="es-ES"/>
        </w:rPr>
      </w:pPr>
      <w:r w:rsidRPr="0062363A">
        <w:rPr>
          <w:rFonts w:ascii="Verdana" w:hAnsi="Verdana"/>
          <w:sz w:val="20"/>
          <w:szCs w:val="20"/>
          <w:lang w:val="es-ES"/>
        </w:rPr>
        <w:t xml:space="preserve">En </w:t>
      </w:r>
      <w:r w:rsidR="0062363A" w:rsidRPr="0062363A">
        <w:rPr>
          <w:rFonts w:ascii="Verdana" w:hAnsi="Verdana"/>
          <w:sz w:val="20"/>
          <w:szCs w:val="20"/>
          <w:lang w:val="es-ES"/>
        </w:rPr>
        <w:t xml:space="preserve">vista de las violaciones acreditadas, </w:t>
      </w:r>
      <w:r w:rsidRPr="0062363A">
        <w:rPr>
          <w:rFonts w:ascii="Verdana" w:hAnsi="Verdana"/>
          <w:sz w:val="20"/>
          <w:szCs w:val="20"/>
          <w:lang w:val="es-ES"/>
        </w:rPr>
        <w:t xml:space="preserve">el Tribunal dispone que el Estado deberá implementar, en un plazo razonable y con la respectiva disposición presupuestaria, programas </w:t>
      </w:r>
      <w:r w:rsidRPr="0062363A">
        <w:rPr>
          <w:rFonts w:ascii="Verdana" w:hAnsi="Verdana"/>
          <w:sz w:val="20"/>
          <w:szCs w:val="20"/>
          <w:lang w:val="es-ES"/>
        </w:rPr>
        <w:lastRenderedPageBreak/>
        <w:t xml:space="preserve">o </w:t>
      </w:r>
      <w:r w:rsidR="00DE7693" w:rsidRPr="0062363A">
        <w:rPr>
          <w:rFonts w:ascii="Verdana" w:hAnsi="Verdana"/>
          <w:sz w:val="20"/>
          <w:szCs w:val="20"/>
          <w:lang w:val="es-ES"/>
        </w:rPr>
        <w:t>cursos obligatorios permanentes que contemplen módulos sobre los estándares nacionales e internacionales en materias relacionadas con los derechos humanos de los pueblos indígenas y tribales, en particular, con el respeto, protección y garantía del derecho a la propiedad colectiva</w:t>
      </w:r>
      <w:r w:rsidR="0062363A">
        <w:rPr>
          <w:rFonts w:ascii="Verdana" w:hAnsi="Verdana"/>
          <w:sz w:val="20"/>
          <w:szCs w:val="20"/>
          <w:lang w:val="es-ES"/>
        </w:rPr>
        <w:t>.</w:t>
      </w:r>
      <w:r w:rsidR="00DE7693" w:rsidRPr="0062363A">
        <w:rPr>
          <w:rFonts w:ascii="Verdana" w:hAnsi="Verdana"/>
          <w:sz w:val="20"/>
          <w:szCs w:val="20"/>
          <w:lang w:val="es-ES"/>
        </w:rPr>
        <w:t xml:space="preserve"> </w:t>
      </w:r>
      <w:r w:rsidR="0062363A">
        <w:rPr>
          <w:rFonts w:ascii="Verdana" w:hAnsi="Verdana"/>
          <w:sz w:val="20"/>
          <w:szCs w:val="20"/>
          <w:lang w:val="es-ES"/>
        </w:rPr>
        <w:t xml:space="preserve">Estos cursos deberán </w:t>
      </w:r>
      <w:r w:rsidR="00DE7693" w:rsidRPr="0062363A">
        <w:rPr>
          <w:rFonts w:ascii="Verdana" w:hAnsi="Verdana"/>
          <w:sz w:val="20"/>
          <w:szCs w:val="20"/>
          <w:lang w:val="es-ES"/>
        </w:rPr>
        <w:t>dirigi</w:t>
      </w:r>
      <w:r w:rsidR="0062363A">
        <w:rPr>
          <w:rFonts w:ascii="Verdana" w:hAnsi="Verdana"/>
          <w:sz w:val="20"/>
          <w:szCs w:val="20"/>
          <w:lang w:val="es-ES"/>
        </w:rPr>
        <w:t>rse</w:t>
      </w:r>
      <w:r w:rsidR="00DE7693" w:rsidRPr="0062363A">
        <w:rPr>
          <w:rFonts w:ascii="Verdana" w:hAnsi="Verdana"/>
          <w:sz w:val="20"/>
          <w:szCs w:val="20"/>
          <w:lang w:val="es-ES"/>
        </w:rPr>
        <w:t xml:space="preserve"> a autoridades encargadas de la administración de justicia</w:t>
      </w:r>
      <w:r w:rsidR="0062363A" w:rsidRPr="00366D91">
        <w:rPr>
          <w:rFonts w:ascii="Verdana" w:hAnsi="Verdana"/>
          <w:sz w:val="20"/>
          <w:szCs w:val="20"/>
          <w:lang w:val="es-ES"/>
        </w:rPr>
        <w:t xml:space="preserve"> y </w:t>
      </w:r>
      <w:r w:rsidR="0062363A">
        <w:rPr>
          <w:rFonts w:ascii="Verdana" w:hAnsi="Verdana"/>
          <w:sz w:val="20"/>
          <w:szCs w:val="20"/>
          <w:lang w:val="es-ES"/>
        </w:rPr>
        <w:t xml:space="preserve">a </w:t>
      </w:r>
      <w:r w:rsidR="0062363A" w:rsidRPr="00366D91">
        <w:rPr>
          <w:rFonts w:ascii="Verdana" w:hAnsi="Verdana"/>
          <w:sz w:val="20"/>
          <w:szCs w:val="20"/>
          <w:lang w:val="es-ES"/>
        </w:rPr>
        <w:t xml:space="preserve">aquellos otros cuyas funciones estén </w:t>
      </w:r>
      <w:r w:rsidR="00DE7693" w:rsidRPr="0062363A">
        <w:rPr>
          <w:rFonts w:ascii="Verdana" w:hAnsi="Verdana"/>
          <w:sz w:val="20"/>
          <w:szCs w:val="20"/>
          <w:lang w:val="es-ES"/>
        </w:rPr>
        <w:t xml:space="preserve">relacionadas con dicha temática, </w:t>
      </w:r>
      <w:r w:rsidRPr="0062363A">
        <w:rPr>
          <w:rFonts w:ascii="Verdana" w:hAnsi="Verdana"/>
          <w:sz w:val="20"/>
          <w:szCs w:val="20"/>
          <w:lang w:val="es-ES"/>
        </w:rPr>
        <w:t xml:space="preserve">como parte de la formación general y continua de los funcionarios en </w:t>
      </w:r>
      <w:r w:rsidR="00510754">
        <w:rPr>
          <w:rFonts w:ascii="Verdana" w:hAnsi="Verdana"/>
          <w:sz w:val="20"/>
          <w:szCs w:val="20"/>
          <w:lang w:val="es-ES"/>
        </w:rPr>
        <w:t>sus</w:t>
      </w:r>
      <w:r w:rsidRPr="0062363A">
        <w:rPr>
          <w:rFonts w:ascii="Verdana" w:hAnsi="Verdana"/>
          <w:sz w:val="20"/>
          <w:szCs w:val="20"/>
          <w:lang w:val="es-ES"/>
        </w:rPr>
        <w:t xml:space="preserve"> respectivas instituciones, en todos los niveles jerárquicos</w:t>
      </w:r>
      <w:r w:rsidR="00C271B5">
        <w:rPr>
          <w:rStyle w:val="FootnoteReference"/>
          <w:szCs w:val="20"/>
          <w:lang w:val="es-ES"/>
        </w:rPr>
        <w:footnoteReference w:id="342"/>
      </w:r>
      <w:r w:rsidRPr="0062363A">
        <w:rPr>
          <w:rFonts w:ascii="Verdana" w:hAnsi="Verdana"/>
          <w:sz w:val="20"/>
          <w:szCs w:val="20"/>
          <w:lang w:val="es-ES"/>
        </w:rPr>
        <w:t>.</w:t>
      </w:r>
    </w:p>
    <w:p w14:paraId="781E45FC" w14:textId="77777777" w:rsidR="00A91B78" w:rsidRPr="00A91B78" w:rsidRDefault="00A91B78" w:rsidP="00A91B78">
      <w:pPr>
        <w:jc w:val="both"/>
        <w:rPr>
          <w:rFonts w:ascii="Verdana" w:hAnsi="Verdana"/>
          <w:b/>
          <w:sz w:val="20"/>
          <w:szCs w:val="20"/>
          <w:lang w:val="es-ES"/>
        </w:rPr>
      </w:pPr>
    </w:p>
    <w:p w14:paraId="3C6FBE59"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101" w:name="_Toc441666207"/>
      <w:r w:rsidRPr="00A91B78">
        <w:rPr>
          <w:rFonts w:ascii="Verdana" w:hAnsi="Verdana"/>
          <w:bCs w:val="0"/>
          <w:i/>
          <w:color w:val="auto"/>
          <w:sz w:val="20"/>
          <w:szCs w:val="20"/>
        </w:rPr>
        <w:t>Satisfacción</w:t>
      </w:r>
      <w:bookmarkEnd w:id="101"/>
    </w:p>
    <w:p w14:paraId="25E62218" w14:textId="77777777" w:rsidR="00A91B78" w:rsidRPr="00A91B78" w:rsidRDefault="00A91B78" w:rsidP="00A91B78">
      <w:pPr>
        <w:pStyle w:val="Heading2"/>
        <w:spacing w:before="0"/>
        <w:jc w:val="both"/>
        <w:rPr>
          <w:rFonts w:ascii="Verdana" w:hAnsi="Verdana"/>
          <w:i/>
          <w:sz w:val="20"/>
          <w:szCs w:val="20"/>
          <w:lang w:val="es-CR"/>
        </w:rPr>
      </w:pPr>
    </w:p>
    <w:p w14:paraId="08B6AA52" w14:textId="77777777" w:rsidR="00A91B78" w:rsidRPr="00A91B78" w:rsidRDefault="00DE7693" w:rsidP="00A91B78">
      <w:pPr>
        <w:pStyle w:val="Heading3"/>
        <w:spacing w:before="0"/>
        <w:ind w:left="360"/>
        <w:jc w:val="both"/>
        <w:rPr>
          <w:rFonts w:ascii="Verdana" w:hAnsi="Verdana"/>
          <w:i/>
          <w:color w:val="auto"/>
          <w:sz w:val="20"/>
          <w:szCs w:val="20"/>
          <w:lang w:val="es-ES"/>
        </w:rPr>
      </w:pPr>
      <w:bookmarkStart w:id="102" w:name="_Toc441666208"/>
      <w:r>
        <w:rPr>
          <w:rFonts w:ascii="Verdana" w:hAnsi="Verdana"/>
          <w:i/>
          <w:color w:val="auto"/>
          <w:sz w:val="20"/>
          <w:szCs w:val="20"/>
          <w:lang w:val="es-ES"/>
        </w:rPr>
        <w:t>F</w:t>
      </w:r>
      <w:r w:rsidR="00A91B78" w:rsidRPr="00A91B78">
        <w:rPr>
          <w:rFonts w:ascii="Verdana" w:hAnsi="Verdana"/>
          <w:i/>
          <w:color w:val="auto"/>
          <w:sz w:val="20"/>
          <w:szCs w:val="20"/>
          <w:lang w:val="es-ES"/>
        </w:rPr>
        <w:t>.1 Publicación y radiodifusión de la Sentencia</w:t>
      </w:r>
      <w:bookmarkEnd w:id="102"/>
    </w:p>
    <w:p w14:paraId="62B0B6B9" w14:textId="77777777" w:rsidR="00A91B78" w:rsidRPr="00366D91" w:rsidRDefault="00A91B78" w:rsidP="00A91B78">
      <w:pPr>
        <w:pStyle w:val="Heading2"/>
        <w:spacing w:before="0"/>
        <w:jc w:val="both"/>
        <w:rPr>
          <w:rFonts w:ascii="Verdana" w:hAnsi="Verdana"/>
          <w:i/>
          <w:sz w:val="20"/>
          <w:szCs w:val="20"/>
          <w:lang w:val="es-ES"/>
        </w:rPr>
      </w:pPr>
    </w:p>
    <w:p w14:paraId="305EB41F" w14:textId="0AD29CFC"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ES"/>
        </w:rPr>
        <w:t xml:space="preserve">Los </w:t>
      </w:r>
      <w:r w:rsidRPr="00A91B78">
        <w:rPr>
          <w:rFonts w:ascii="Verdana" w:hAnsi="Verdana"/>
          <w:b/>
          <w:i/>
          <w:sz w:val="20"/>
          <w:szCs w:val="20"/>
          <w:lang w:val="es-ES"/>
        </w:rPr>
        <w:t>representantes</w:t>
      </w:r>
      <w:r w:rsidRPr="00A91B78">
        <w:rPr>
          <w:rFonts w:ascii="Verdana" w:hAnsi="Verdana"/>
          <w:b/>
          <w:sz w:val="20"/>
          <w:szCs w:val="20"/>
          <w:lang w:val="es-ES"/>
        </w:rPr>
        <w:t xml:space="preserve"> </w:t>
      </w:r>
      <w:r w:rsidRPr="00A91B78">
        <w:rPr>
          <w:rFonts w:ascii="Verdana" w:hAnsi="Verdana"/>
          <w:sz w:val="20"/>
          <w:szCs w:val="20"/>
          <w:lang w:val="es-ES"/>
        </w:rPr>
        <w:t>solicitaron</w:t>
      </w:r>
      <w:r w:rsidRPr="00A91B78">
        <w:rPr>
          <w:rFonts w:ascii="Verdana" w:hAnsi="Verdana"/>
          <w:sz w:val="20"/>
          <w:szCs w:val="20"/>
          <w:lang w:val="es-MX"/>
        </w:rPr>
        <w:t xml:space="preserve"> la traducción al holandés de la Sentencia por parte del Estado, así como su publicación en el Boletín Oficial del Estado y en un diario de circulación nacional.</w:t>
      </w:r>
    </w:p>
    <w:p w14:paraId="3C30C5BB" w14:textId="77777777" w:rsidR="00A91B78" w:rsidRPr="00A91B78" w:rsidRDefault="00A91B78" w:rsidP="00A91B78">
      <w:pPr>
        <w:jc w:val="both"/>
        <w:rPr>
          <w:rFonts w:ascii="Verdana" w:hAnsi="Verdana"/>
          <w:sz w:val="20"/>
          <w:szCs w:val="20"/>
          <w:lang w:val="es-MX"/>
        </w:rPr>
      </w:pPr>
    </w:p>
    <w:p w14:paraId="361E60D0" w14:textId="77777777" w:rsid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 xml:space="preserve">Ni la </w:t>
      </w:r>
      <w:r w:rsidRPr="00A91B78">
        <w:rPr>
          <w:rFonts w:ascii="Verdana" w:hAnsi="Verdana"/>
          <w:b/>
          <w:i/>
          <w:sz w:val="20"/>
          <w:szCs w:val="20"/>
          <w:lang w:val="es-ES"/>
        </w:rPr>
        <w:t>Comisión</w:t>
      </w:r>
      <w:r w:rsidRPr="00A91B78">
        <w:rPr>
          <w:rFonts w:ascii="Verdana" w:hAnsi="Verdana"/>
          <w:sz w:val="20"/>
          <w:szCs w:val="20"/>
          <w:lang w:val="es-ES"/>
        </w:rPr>
        <w:t xml:space="preserve"> ni el </w:t>
      </w:r>
      <w:r w:rsidRPr="00A91B78">
        <w:rPr>
          <w:rFonts w:ascii="Verdana" w:hAnsi="Verdana"/>
          <w:b/>
          <w:i/>
          <w:sz w:val="20"/>
          <w:szCs w:val="20"/>
          <w:lang w:val="es-ES"/>
        </w:rPr>
        <w:t>Estado</w:t>
      </w:r>
      <w:r w:rsidRPr="00A91B78">
        <w:rPr>
          <w:rFonts w:ascii="Verdana" w:hAnsi="Verdana"/>
          <w:sz w:val="20"/>
          <w:szCs w:val="20"/>
          <w:lang w:val="es-ES"/>
        </w:rPr>
        <w:t xml:space="preserve"> se pronunciaron al respecto.</w:t>
      </w:r>
    </w:p>
    <w:p w14:paraId="3E255F97" w14:textId="77777777" w:rsidR="007F4E4C" w:rsidRDefault="007F4E4C" w:rsidP="004B0145">
      <w:pPr>
        <w:contextualSpacing/>
        <w:jc w:val="both"/>
        <w:rPr>
          <w:rFonts w:ascii="Verdana" w:hAnsi="Verdana"/>
          <w:sz w:val="20"/>
          <w:szCs w:val="20"/>
          <w:lang w:val="es-ES"/>
        </w:rPr>
      </w:pPr>
    </w:p>
    <w:p w14:paraId="0E212BA0" w14:textId="77777777" w:rsidR="00A91B78" w:rsidRP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En vista de las violaciones declaradas en el presente Fallo, la Corte estima pertinente ordenar, como lo ha hecho en otros casos</w:t>
      </w:r>
      <w:r w:rsidRPr="00A91B78">
        <w:rPr>
          <w:rStyle w:val="FootnoteReference"/>
          <w:szCs w:val="20"/>
          <w:lang w:val="es-ES"/>
        </w:rPr>
        <w:footnoteReference w:id="343"/>
      </w:r>
      <w:r w:rsidRPr="00A91B78">
        <w:rPr>
          <w:rFonts w:ascii="Verdana" w:hAnsi="Verdana"/>
          <w:sz w:val="20"/>
          <w:szCs w:val="20"/>
          <w:lang w:val="es-ES"/>
        </w:rPr>
        <w:t>, que el Estado, en el plazo de seis meses, contado a partir de la notificación de la presente Sentencia, realice las siguientes publicaciones: a) el resumen oficial de la presente Sentencia elaborado por la Corte en inglés, el cual deberá ser traducido al holandés y al surinamés por parte del Estado</w:t>
      </w:r>
      <w:r w:rsidRPr="00A91B78">
        <w:rPr>
          <w:rStyle w:val="FootnoteReference"/>
          <w:szCs w:val="20"/>
          <w:lang w:val="es-ES"/>
        </w:rPr>
        <w:footnoteReference w:id="344"/>
      </w:r>
      <w:r w:rsidRPr="00A91B78">
        <w:rPr>
          <w:rFonts w:ascii="Verdana" w:hAnsi="Verdana"/>
          <w:sz w:val="20"/>
          <w:szCs w:val="20"/>
          <w:lang w:val="es-ES"/>
        </w:rPr>
        <w:t xml:space="preserve"> y publicado en los respectivos idiomas por una sola vez, en el Diario Oficial y en un diario de amplia circulación nacional en </w:t>
      </w:r>
      <w:r w:rsidR="00563E11">
        <w:rPr>
          <w:rFonts w:ascii="Verdana" w:hAnsi="Verdana"/>
          <w:sz w:val="20"/>
          <w:szCs w:val="20"/>
          <w:lang w:val="es-ES"/>
        </w:rPr>
        <w:t>Surinam</w:t>
      </w:r>
      <w:r w:rsidRPr="00A91B78">
        <w:rPr>
          <w:rFonts w:ascii="Verdana" w:hAnsi="Verdana"/>
          <w:sz w:val="20"/>
          <w:szCs w:val="20"/>
          <w:lang w:val="es-ES"/>
        </w:rPr>
        <w:t>, y b) la presente Sentencia en su integridad en idioma inglé</w:t>
      </w:r>
      <w:r w:rsidRPr="00E553B4">
        <w:rPr>
          <w:rFonts w:ascii="Verdana" w:hAnsi="Verdana"/>
          <w:sz w:val="20"/>
          <w:szCs w:val="20"/>
          <w:lang w:val="es-ES"/>
        </w:rPr>
        <w:t>s</w:t>
      </w:r>
      <w:r w:rsidR="00B60F5B" w:rsidRPr="00190AD3">
        <w:rPr>
          <w:rFonts w:ascii="Verdana" w:hAnsi="Verdana"/>
          <w:sz w:val="20"/>
          <w:szCs w:val="20"/>
          <w:lang w:val="es-ES"/>
        </w:rPr>
        <w:t>,</w:t>
      </w:r>
      <w:r w:rsidR="00B60F5B" w:rsidRPr="0029611B">
        <w:rPr>
          <w:rFonts w:ascii="Verdana" w:hAnsi="Verdana"/>
          <w:b/>
          <w:sz w:val="20"/>
          <w:szCs w:val="20"/>
          <w:lang w:val="es-ES"/>
        </w:rPr>
        <w:t xml:space="preserve"> </w:t>
      </w:r>
      <w:r w:rsidR="00B60F5B" w:rsidRPr="00190AD3">
        <w:rPr>
          <w:rFonts w:ascii="Verdana" w:hAnsi="Verdana"/>
          <w:sz w:val="20"/>
          <w:szCs w:val="20"/>
          <w:lang w:val="es-ES"/>
        </w:rPr>
        <w:t>así como el resumen oficial de la misma traducido al holandés,</w:t>
      </w:r>
      <w:r w:rsidRPr="00A91B78">
        <w:rPr>
          <w:rFonts w:ascii="Verdana" w:hAnsi="Verdana"/>
          <w:sz w:val="20"/>
          <w:szCs w:val="20"/>
          <w:lang w:val="es-ES"/>
        </w:rPr>
        <w:t xml:space="preserve"> disponible</w:t>
      </w:r>
      <w:r w:rsidR="00B60F5B">
        <w:rPr>
          <w:rFonts w:ascii="Verdana" w:hAnsi="Verdana"/>
          <w:sz w:val="20"/>
          <w:szCs w:val="20"/>
          <w:lang w:val="es-ES"/>
        </w:rPr>
        <w:t>s</w:t>
      </w:r>
      <w:r w:rsidRPr="00A91B78">
        <w:rPr>
          <w:rFonts w:ascii="Verdana" w:hAnsi="Verdana"/>
          <w:sz w:val="20"/>
          <w:szCs w:val="20"/>
          <w:lang w:val="es-ES"/>
        </w:rPr>
        <w:t xml:space="preserve"> por un periodo de</w:t>
      </w:r>
      <w:r w:rsidR="00831984">
        <w:rPr>
          <w:rFonts w:ascii="Verdana" w:hAnsi="Verdana"/>
          <w:sz w:val="20"/>
          <w:szCs w:val="20"/>
          <w:lang w:val="es-ES"/>
        </w:rPr>
        <w:t xml:space="preserve"> </w:t>
      </w:r>
      <w:r w:rsidR="00AC3CE5">
        <w:rPr>
          <w:rFonts w:ascii="Verdana" w:hAnsi="Verdana"/>
          <w:sz w:val="20"/>
          <w:szCs w:val="20"/>
          <w:lang w:val="es-ES"/>
        </w:rPr>
        <w:t>un año</w:t>
      </w:r>
      <w:r w:rsidRPr="00A91B78">
        <w:rPr>
          <w:rFonts w:ascii="Verdana" w:hAnsi="Verdana"/>
          <w:sz w:val="20"/>
          <w:szCs w:val="20"/>
          <w:lang w:val="es-ES"/>
        </w:rPr>
        <w:t xml:space="preserve">, en un sitio </w:t>
      </w:r>
      <w:r w:rsidRPr="00A91B78">
        <w:rPr>
          <w:rFonts w:ascii="Verdana" w:hAnsi="Verdana"/>
          <w:i/>
          <w:sz w:val="20"/>
          <w:szCs w:val="20"/>
          <w:lang w:val="es-ES"/>
        </w:rPr>
        <w:t>web</w:t>
      </w:r>
      <w:r w:rsidRPr="00A91B78">
        <w:rPr>
          <w:rFonts w:ascii="Verdana" w:hAnsi="Verdana"/>
          <w:sz w:val="20"/>
          <w:szCs w:val="20"/>
          <w:lang w:val="es-ES"/>
        </w:rPr>
        <w:t xml:space="preserve"> oficial del Estado.</w:t>
      </w:r>
    </w:p>
    <w:p w14:paraId="29936448" w14:textId="77777777" w:rsidR="00A91B78" w:rsidRPr="00A91B78" w:rsidRDefault="00A91B78" w:rsidP="00A91B78">
      <w:pPr>
        <w:jc w:val="both"/>
        <w:rPr>
          <w:rFonts w:ascii="Verdana" w:hAnsi="Verdana"/>
          <w:sz w:val="20"/>
          <w:szCs w:val="20"/>
          <w:lang w:val="es-ES"/>
        </w:rPr>
      </w:pPr>
    </w:p>
    <w:p w14:paraId="167AD8C1" w14:textId="6A18E69E" w:rsidR="00A91B78" w:rsidRP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Asimismo, la Corte considera apropiado, tal como lo ha dispuesto en otros casos</w:t>
      </w:r>
      <w:r w:rsidRPr="00A91B78">
        <w:rPr>
          <w:rStyle w:val="FootnoteReference"/>
          <w:szCs w:val="20"/>
          <w:lang w:val="es-ES"/>
        </w:rPr>
        <w:footnoteReference w:id="345"/>
      </w:r>
      <w:r w:rsidRPr="00A91B78">
        <w:rPr>
          <w:rFonts w:ascii="Verdana" w:hAnsi="Verdana"/>
          <w:sz w:val="20"/>
          <w:szCs w:val="20"/>
          <w:lang w:val="es-ES"/>
        </w:rPr>
        <w:t xml:space="preserve">, que el Estado dé publicidad, a través de una o más emisoras radiales de amplia cobertura en los </w:t>
      </w:r>
      <w:r w:rsidR="00382F4D">
        <w:rPr>
          <w:rFonts w:ascii="Verdana" w:hAnsi="Verdana"/>
          <w:sz w:val="20"/>
          <w:szCs w:val="20"/>
          <w:lang w:val="es-ES"/>
        </w:rPr>
        <w:t>Pueblos Kaliña y Lokono</w:t>
      </w:r>
      <w:r w:rsidRPr="00A91B78">
        <w:rPr>
          <w:rFonts w:ascii="Verdana" w:hAnsi="Verdana"/>
          <w:sz w:val="20"/>
          <w:szCs w:val="20"/>
          <w:lang w:val="es-ES"/>
        </w:rPr>
        <w:t xml:space="preserve">, al </w:t>
      </w:r>
      <w:r w:rsidR="00DE7693">
        <w:rPr>
          <w:rFonts w:ascii="Verdana" w:hAnsi="Verdana"/>
          <w:sz w:val="20"/>
          <w:szCs w:val="20"/>
          <w:lang w:val="es-ES"/>
        </w:rPr>
        <w:t>comunicado de prensa</w:t>
      </w:r>
      <w:r w:rsidRPr="00A91B78">
        <w:rPr>
          <w:rFonts w:ascii="Verdana" w:hAnsi="Verdana"/>
          <w:sz w:val="20"/>
          <w:szCs w:val="20"/>
          <w:lang w:val="es-ES"/>
        </w:rPr>
        <w:t xml:space="preserve"> oficial de la Sentencia, en holandés y</w:t>
      </w:r>
      <w:r w:rsidR="007F4E4C">
        <w:rPr>
          <w:rFonts w:ascii="Verdana" w:hAnsi="Verdana"/>
          <w:sz w:val="20"/>
          <w:szCs w:val="20"/>
          <w:lang w:val="es-ES"/>
        </w:rPr>
        <w:t>/o</w:t>
      </w:r>
      <w:r w:rsidRPr="00A91B78">
        <w:rPr>
          <w:rFonts w:ascii="Verdana" w:hAnsi="Verdana"/>
          <w:sz w:val="20"/>
          <w:szCs w:val="20"/>
          <w:lang w:val="es-ES"/>
        </w:rPr>
        <w:t xml:space="preserve"> en surinamés. La transmisión radial deberá efectuarse cada primer domingo del mes al menos en cuatro ocasiones. El Estado deberá comunicar previamente a los representantes, al menos con </w:t>
      </w:r>
      <w:r w:rsidR="00AC3CE5">
        <w:rPr>
          <w:rFonts w:ascii="Verdana" w:hAnsi="Verdana"/>
          <w:sz w:val="20"/>
          <w:szCs w:val="20"/>
          <w:lang w:val="es-ES"/>
        </w:rPr>
        <w:t>dos</w:t>
      </w:r>
      <w:r w:rsidRPr="00A91B78">
        <w:rPr>
          <w:rFonts w:ascii="Verdana" w:hAnsi="Verdana"/>
          <w:sz w:val="20"/>
          <w:szCs w:val="20"/>
          <w:lang w:val="es-ES"/>
        </w:rPr>
        <w:t xml:space="preserve"> semanas de anticipación, la fecha, horario y emisora en que efectuará tal difusión. El Estado deberá cumplir con esta medida en el plazo de seis meses a partir de la notificación de la presente Sentencia. </w:t>
      </w:r>
    </w:p>
    <w:p w14:paraId="01DA193E" w14:textId="77777777" w:rsidR="00A91B78" w:rsidRPr="00A91B78" w:rsidRDefault="00A91B78" w:rsidP="00A91B78">
      <w:pPr>
        <w:pStyle w:val="ListParagraph"/>
        <w:ind w:left="0"/>
        <w:rPr>
          <w:rFonts w:ascii="Verdana" w:hAnsi="Verdana"/>
          <w:b/>
          <w:sz w:val="20"/>
          <w:szCs w:val="20"/>
          <w:u w:val="single"/>
          <w:lang w:val="es-ES"/>
        </w:rPr>
      </w:pPr>
    </w:p>
    <w:p w14:paraId="27070AAF" w14:textId="77777777" w:rsidR="00A91B78" w:rsidRPr="00A91B78" w:rsidRDefault="00DE7693" w:rsidP="00A91B78">
      <w:pPr>
        <w:pStyle w:val="Heading3"/>
        <w:spacing w:before="0"/>
        <w:ind w:left="360"/>
        <w:jc w:val="both"/>
        <w:rPr>
          <w:rFonts w:ascii="Verdana" w:hAnsi="Verdana"/>
          <w:i/>
          <w:color w:val="auto"/>
          <w:sz w:val="20"/>
          <w:szCs w:val="20"/>
          <w:lang w:val="es-ES"/>
        </w:rPr>
      </w:pPr>
      <w:bookmarkStart w:id="103" w:name="_Toc441666209"/>
      <w:r>
        <w:rPr>
          <w:rFonts w:ascii="Verdana" w:hAnsi="Verdana"/>
          <w:i/>
          <w:color w:val="auto"/>
          <w:sz w:val="20"/>
          <w:szCs w:val="20"/>
          <w:lang w:val="es-ES"/>
        </w:rPr>
        <w:t>F</w:t>
      </w:r>
      <w:r w:rsidR="00A91B78" w:rsidRPr="00A91B78">
        <w:rPr>
          <w:rFonts w:ascii="Verdana" w:hAnsi="Verdana"/>
          <w:i/>
          <w:color w:val="auto"/>
          <w:sz w:val="20"/>
          <w:szCs w:val="20"/>
          <w:lang w:val="es-ES"/>
        </w:rPr>
        <w:t xml:space="preserve">.2 </w:t>
      </w:r>
      <w:r w:rsidR="00BF58DC">
        <w:rPr>
          <w:rFonts w:ascii="Verdana" w:hAnsi="Verdana"/>
          <w:i/>
          <w:color w:val="auto"/>
          <w:sz w:val="20"/>
          <w:szCs w:val="20"/>
          <w:lang w:val="es-ES"/>
        </w:rPr>
        <w:t xml:space="preserve">Otra medida solicitada: </w:t>
      </w:r>
      <w:r w:rsidR="00CB4310">
        <w:rPr>
          <w:rFonts w:ascii="Verdana" w:hAnsi="Verdana"/>
          <w:i/>
          <w:color w:val="auto"/>
          <w:sz w:val="20"/>
          <w:szCs w:val="20"/>
          <w:lang w:val="es-ES"/>
        </w:rPr>
        <w:t>a</w:t>
      </w:r>
      <w:r>
        <w:rPr>
          <w:rFonts w:ascii="Verdana" w:hAnsi="Verdana"/>
          <w:i/>
          <w:color w:val="auto"/>
          <w:sz w:val="20"/>
          <w:szCs w:val="20"/>
          <w:lang w:val="es-ES"/>
        </w:rPr>
        <w:t>cto público de r</w:t>
      </w:r>
      <w:r w:rsidR="00A91B78" w:rsidRPr="00A91B78">
        <w:rPr>
          <w:rFonts w:ascii="Verdana" w:hAnsi="Verdana"/>
          <w:i/>
          <w:color w:val="auto"/>
          <w:sz w:val="20"/>
          <w:szCs w:val="20"/>
          <w:lang w:val="es-ES"/>
        </w:rPr>
        <w:t>econocimiento de responsabilidad del Estado</w:t>
      </w:r>
      <w:bookmarkEnd w:id="103"/>
    </w:p>
    <w:p w14:paraId="5431A707" w14:textId="77777777" w:rsidR="00A91B78" w:rsidRPr="00A91B78" w:rsidRDefault="00A91B78" w:rsidP="00A91B78">
      <w:pPr>
        <w:jc w:val="both"/>
        <w:rPr>
          <w:rStyle w:val="Hyperlink"/>
          <w:rFonts w:ascii="Verdana" w:hAnsi="Verdana"/>
          <w:sz w:val="20"/>
          <w:szCs w:val="20"/>
          <w:lang w:val="es-ES"/>
        </w:rPr>
      </w:pPr>
    </w:p>
    <w:p w14:paraId="0FE1A504" w14:textId="372919ED"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ES"/>
        </w:rPr>
        <w:t xml:space="preserve">Los </w:t>
      </w:r>
      <w:r w:rsidRPr="00A91B78">
        <w:rPr>
          <w:rFonts w:ascii="Verdana" w:hAnsi="Verdana"/>
          <w:b/>
          <w:i/>
          <w:sz w:val="20"/>
          <w:szCs w:val="20"/>
          <w:lang w:val="es-ES"/>
        </w:rPr>
        <w:t>representantes</w:t>
      </w:r>
      <w:r w:rsidRPr="00A91B78">
        <w:rPr>
          <w:rFonts w:ascii="Verdana" w:hAnsi="Verdana"/>
          <w:b/>
          <w:sz w:val="20"/>
          <w:szCs w:val="20"/>
          <w:lang w:val="es-ES"/>
        </w:rPr>
        <w:t xml:space="preserve"> </w:t>
      </w:r>
      <w:r w:rsidRPr="00A91B78">
        <w:rPr>
          <w:rFonts w:ascii="Verdana" w:hAnsi="Verdana"/>
          <w:sz w:val="20"/>
          <w:szCs w:val="20"/>
          <w:lang w:val="es-ES"/>
        </w:rPr>
        <w:t xml:space="preserve">requirieron </w:t>
      </w:r>
      <w:r w:rsidRPr="00A91B78">
        <w:rPr>
          <w:rFonts w:ascii="Verdana" w:hAnsi="Verdana"/>
          <w:sz w:val="20"/>
          <w:szCs w:val="20"/>
          <w:lang w:val="es-MX"/>
        </w:rPr>
        <w:t xml:space="preserve">que el Estado pida, oficial y públicamente, disculpas por violaciones de los derechos de los </w:t>
      </w:r>
      <w:r w:rsidR="007F642B">
        <w:rPr>
          <w:rFonts w:ascii="Verdana" w:hAnsi="Verdana"/>
          <w:sz w:val="20"/>
          <w:szCs w:val="20"/>
          <w:lang w:val="es-MX"/>
        </w:rPr>
        <w:t>P</w:t>
      </w:r>
      <w:r w:rsidRPr="00A91B78">
        <w:rPr>
          <w:rFonts w:ascii="Verdana" w:hAnsi="Verdana"/>
          <w:sz w:val="20"/>
          <w:szCs w:val="20"/>
          <w:lang w:val="es-MX"/>
        </w:rPr>
        <w:t xml:space="preserve">ueblos Kaliña y Lokono y que se comprometa en público al aseguramiento de que tales derechos se respeten en el futuro. Esta disculpa deberá </w:t>
      </w:r>
      <w:r w:rsidRPr="00A91B78">
        <w:rPr>
          <w:rFonts w:ascii="Verdana" w:hAnsi="Verdana"/>
          <w:sz w:val="20"/>
          <w:szCs w:val="20"/>
          <w:lang w:val="es-MX"/>
        </w:rPr>
        <w:lastRenderedPageBreak/>
        <w:t xml:space="preserve">hacerse en una ceremonia formal, organizada y llevada a cabo con la participación plena y efectiva de los representantes libremente elegidos de los </w:t>
      </w:r>
      <w:r w:rsidR="007F642B">
        <w:rPr>
          <w:rFonts w:ascii="Verdana" w:hAnsi="Verdana"/>
          <w:sz w:val="20"/>
          <w:szCs w:val="20"/>
          <w:lang w:val="es-MX"/>
        </w:rPr>
        <w:t>P</w:t>
      </w:r>
      <w:r w:rsidRPr="00A91B78">
        <w:rPr>
          <w:rFonts w:ascii="Verdana" w:hAnsi="Verdana"/>
          <w:sz w:val="20"/>
          <w:szCs w:val="20"/>
          <w:lang w:val="es-MX"/>
        </w:rPr>
        <w:t>ueblos Kaliña y Lokono, al que se invitará a todos los miembros de las comunidades de las víctimas, así como la difusión de la misma en medios de comunicación.</w:t>
      </w:r>
    </w:p>
    <w:p w14:paraId="5E844C63" w14:textId="77777777" w:rsidR="00A91B78" w:rsidRPr="00A91B78" w:rsidRDefault="00A91B78" w:rsidP="00A91B78">
      <w:pPr>
        <w:jc w:val="both"/>
        <w:rPr>
          <w:rFonts w:ascii="Verdana" w:hAnsi="Verdana"/>
          <w:sz w:val="20"/>
          <w:szCs w:val="20"/>
          <w:lang w:val="es-MX"/>
        </w:rPr>
      </w:pPr>
    </w:p>
    <w:p w14:paraId="14736C2D" w14:textId="77777777" w:rsidR="00077064" w:rsidRP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 xml:space="preserve">Ni la </w:t>
      </w:r>
      <w:r w:rsidRPr="00A91B78">
        <w:rPr>
          <w:rFonts w:ascii="Verdana" w:hAnsi="Verdana"/>
          <w:b/>
          <w:i/>
          <w:sz w:val="20"/>
          <w:szCs w:val="20"/>
          <w:lang w:val="es-ES"/>
        </w:rPr>
        <w:t>Comisión</w:t>
      </w:r>
      <w:r w:rsidRPr="00A91B78">
        <w:rPr>
          <w:rFonts w:ascii="Verdana" w:hAnsi="Verdana"/>
          <w:sz w:val="20"/>
          <w:szCs w:val="20"/>
          <w:lang w:val="es-ES"/>
        </w:rPr>
        <w:t xml:space="preserve"> ni el </w:t>
      </w:r>
      <w:r w:rsidRPr="00A91B78">
        <w:rPr>
          <w:rFonts w:ascii="Verdana" w:hAnsi="Verdana"/>
          <w:b/>
          <w:i/>
          <w:sz w:val="20"/>
          <w:szCs w:val="20"/>
          <w:lang w:val="es-ES"/>
        </w:rPr>
        <w:t>Estado</w:t>
      </w:r>
      <w:r w:rsidRPr="00A91B78">
        <w:rPr>
          <w:rFonts w:ascii="Verdana" w:hAnsi="Verdana"/>
          <w:sz w:val="20"/>
          <w:szCs w:val="20"/>
          <w:lang w:val="es-ES"/>
        </w:rPr>
        <w:t xml:space="preserve"> se pronunciaron al respecto.</w:t>
      </w:r>
      <w:r w:rsidR="00077064">
        <w:rPr>
          <w:rFonts w:ascii="Verdana" w:hAnsi="Verdana"/>
          <w:sz w:val="20"/>
          <w:szCs w:val="20"/>
          <w:lang w:val="es-ES"/>
        </w:rPr>
        <w:t xml:space="preserve">  </w:t>
      </w:r>
    </w:p>
    <w:p w14:paraId="2B09B7A4" w14:textId="77777777" w:rsidR="00077064" w:rsidRPr="00077064" w:rsidRDefault="00077064" w:rsidP="00190AD3">
      <w:pPr>
        <w:contextualSpacing/>
        <w:jc w:val="both"/>
        <w:rPr>
          <w:rFonts w:ascii="Verdana" w:hAnsi="Verdana"/>
          <w:sz w:val="20"/>
          <w:szCs w:val="20"/>
          <w:lang w:val="es-MX"/>
        </w:rPr>
      </w:pPr>
    </w:p>
    <w:p w14:paraId="2ED6D862" w14:textId="77777777" w:rsidR="0062526A" w:rsidRPr="00880EAE" w:rsidRDefault="0062526A" w:rsidP="00190AD3">
      <w:pPr>
        <w:numPr>
          <w:ilvl w:val="0"/>
          <w:numId w:val="2"/>
        </w:numPr>
        <w:ind w:left="0" w:hanging="11"/>
        <w:contextualSpacing/>
        <w:jc w:val="both"/>
        <w:rPr>
          <w:lang w:val="es-ES"/>
        </w:rPr>
      </w:pPr>
      <w:r w:rsidRPr="00190AD3">
        <w:rPr>
          <w:rFonts w:ascii="Verdana" w:hAnsi="Verdana"/>
          <w:sz w:val="20"/>
          <w:lang w:val="es-ES"/>
        </w:rPr>
        <w:t xml:space="preserve">Asimismo, </w:t>
      </w:r>
      <w:r w:rsidRPr="00190AD3">
        <w:rPr>
          <w:rFonts w:ascii="Verdana" w:hAnsi="Verdana"/>
          <w:sz w:val="20"/>
        </w:rPr>
        <w:t xml:space="preserve">la Corte estima que la emisión de la presente Sentencia y las reparaciones ordenadas en la misma resultan </w:t>
      </w:r>
      <w:r w:rsidR="002079C8" w:rsidRPr="00190AD3">
        <w:rPr>
          <w:rFonts w:ascii="Verdana" w:hAnsi="Verdana"/>
          <w:sz w:val="20"/>
        </w:rPr>
        <w:t xml:space="preserve">medidas </w:t>
      </w:r>
      <w:r w:rsidRPr="00190AD3">
        <w:rPr>
          <w:rFonts w:ascii="Verdana" w:hAnsi="Verdana"/>
          <w:sz w:val="20"/>
        </w:rPr>
        <w:t>suficientes y adecuadas para el presente caso, y en virtud de ello</w:t>
      </w:r>
      <w:r w:rsidR="00E42C51">
        <w:rPr>
          <w:rFonts w:ascii="Verdana" w:hAnsi="Verdana"/>
          <w:sz w:val="20"/>
        </w:rPr>
        <w:t>,</w:t>
      </w:r>
      <w:r w:rsidRPr="00190AD3">
        <w:rPr>
          <w:rFonts w:ascii="Verdana" w:hAnsi="Verdana"/>
          <w:sz w:val="20"/>
        </w:rPr>
        <w:t xml:space="preserve"> no estima necesario ordenar la realización de un acto público de reconocimiento de responsabilidad.</w:t>
      </w:r>
    </w:p>
    <w:p w14:paraId="0337FE39" w14:textId="77777777" w:rsidR="0062526A" w:rsidRPr="00A91B78" w:rsidRDefault="0062526A" w:rsidP="00A91B78">
      <w:pPr>
        <w:jc w:val="both"/>
        <w:rPr>
          <w:rFonts w:ascii="Verdana" w:hAnsi="Verdana"/>
          <w:sz w:val="20"/>
          <w:szCs w:val="20"/>
          <w:lang w:val="es-MX"/>
        </w:rPr>
      </w:pPr>
    </w:p>
    <w:p w14:paraId="16208349"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104" w:name="_Toc430787904"/>
      <w:bookmarkStart w:id="105" w:name="_Toc441666210"/>
      <w:r w:rsidRPr="00A91B78">
        <w:rPr>
          <w:rFonts w:ascii="Verdana" w:hAnsi="Verdana"/>
          <w:bCs w:val="0"/>
          <w:i/>
          <w:color w:val="auto"/>
          <w:sz w:val="20"/>
          <w:szCs w:val="20"/>
        </w:rPr>
        <w:t>Costas y gastos</w:t>
      </w:r>
      <w:bookmarkEnd w:id="104"/>
      <w:bookmarkEnd w:id="105"/>
    </w:p>
    <w:p w14:paraId="7859524C" w14:textId="77777777" w:rsidR="00A91B78" w:rsidRPr="00A91B78" w:rsidRDefault="00A91B78" w:rsidP="00A91B78">
      <w:pPr>
        <w:jc w:val="both"/>
        <w:rPr>
          <w:rFonts w:ascii="Verdana" w:hAnsi="Verdana"/>
          <w:sz w:val="20"/>
          <w:szCs w:val="20"/>
          <w:lang w:val="es-MX"/>
        </w:rPr>
      </w:pPr>
    </w:p>
    <w:p w14:paraId="15B72918" w14:textId="0472079D" w:rsidR="002206AC" w:rsidRPr="002C323A" w:rsidRDefault="002206AC" w:rsidP="002206AC">
      <w:pPr>
        <w:numPr>
          <w:ilvl w:val="0"/>
          <w:numId w:val="2"/>
        </w:numPr>
        <w:ind w:left="0" w:hanging="11"/>
        <w:contextualSpacing/>
        <w:jc w:val="both"/>
        <w:rPr>
          <w:rFonts w:ascii="Verdana" w:hAnsi="Verdana"/>
          <w:sz w:val="20"/>
          <w:szCs w:val="20"/>
          <w:lang w:val="es-MX"/>
        </w:rPr>
      </w:pPr>
      <w:r w:rsidRPr="002206AC">
        <w:rPr>
          <w:rFonts w:ascii="Verdana" w:hAnsi="Verdana"/>
          <w:sz w:val="20"/>
          <w:szCs w:val="20"/>
          <w:lang w:val="es-MX"/>
        </w:rPr>
        <w:t xml:space="preserve">Los </w:t>
      </w:r>
      <w:r w:rsidRPr="002206AC">
        <w:rPr>
          <w:rFonts w:ascii="Verdana" w:hAnsi="Verdana"/>
          <w:b/>
          <w:bCs/>
          <w:i/>
          <w:iCs/>
          <w:sz w:val="20"/>
          <w:szCs w:val="20"/>
          <w:lang w:val="es-MX"/>
        </w:rPr>
        <w:t>representantes</w:t>
      </w:r>
      <w:r w:rsidRPr="002206AC">
        <w:rPr>
          <w:rFonts w:ascii="Verdana" w:hAnsi="Verdana"/>
          <w:sz w:val="20"/>
          <w:szCs w:val="20"/>
          <w:lang w:val="es-MX"/>
        </w:rPr>
        <w:t xml:space="preserve"> señalaron en su escrito de solicitudes y argumentos que el Estado debía resarcir las costas y gastos en que incurrieron los miembros de los pueblos en la </w:t>
      </w:r>
      <w:r w:rsidRPr="002206AC">
        <w:rPr>
          <w:rFonts w:ascii="Verdana" w:hAnsi="Verdana"/>
          <w:color w:val="000000"/>
          <w:sz w:val="20"/>
          <w:szCs w:val="20"/>
          <w:lang w:val="es-MX"/>
        </w:rPr>
        <w:t>tramitación</w:t>
      </w:r>
      <w:r w:rsidRPr="002206AC">
        <w:rPr>
          <w:rFonts w:ascii="Verdana" w:hAnsi="Verdana"/>
          <w:sz w:val="20"/>
          <w:szCs w:val="20"/>
          <w:lang w:val="es-MX"/>
        </w:rPr>
        <w:t xml:space="preserve"> del caso, ante la Comisión y la Corte, así como </w:t>
      </w:r>
      <w:r w:rsidR="00F80C79" w:rsidRPr="00190AD3">
        <w:rPr>
          <w:rFonts w:ascii="Verdana" w:hAnsi="Verdana"/>
          <w:sz w:val="20"/>
          <w:lang w:val="es-MX"/>
        </w:rPr>
        <w:t>en el ámbito</w:t>
      </w:r>
      <w:r w:rsidRPr="002206AC">
        <w:rPr>
          <w:rFonts w:ascii="Verdana" w:hAnsi="Verdana"/>
          <w:sz w:val="20"/>
          <w:szCs w:val="20"/>
          <w:lang w:val="es-MX"/>
        </w:rPr>
        <w:t xml:space="preserve"> doméstico. Para ello, indicaron que los costos de VIDS y KLIM ascendieron a US$ 179,970.94 (ciento setenta </w:t>
      </w:r>
      <w:r w:rsidR="00E42C51">
        <w:rPr>
          <w:rFonts w:ascii="Verdana" w:hAnsi="Verdana"/>
          <w:sz w:val="20"/>
          <w:szCs w:val="20"/>
          <w:lang w:val="es-MX"/>
        </w:rPr>
        <w:t>y nueve</w:t>
      </w:r>
      <w:r w:rsidRPr="002206AC">
        <w:rPr>
          <w:rFonts w:ascii="Verdana" w:hAnsi="Verdana"/>
          <w:sz w:val="20"/>
          <w:szCs w:val="20"/>
          <w:lang w:val="es-MX"/>
        </w:rPr>
        <w:t xml:space="preserve"> mil novecientos setenta </w:t>
      </w:r>
      <w:r w:rsidR="00E42C51">
        <w:rPr>
          <w:rFonts w:ascii="Verdana" w:hAnsi="Verdana"/>
          <w:sz w:val="20"/>
          <w:szCs w:val="20"/>
          <w:lang w:val="es-MX"/>
        </w:rPr>
        <w:t>dólares con</w:t>
      </w:r>
      <w:r w:rsidRPr="002206AC">
        <w:rPr>
          <w:rFonts w:ascii="Verdana" w:hAnsi="Verdana"/>
          <w:sz w:val="20"/>
          <w:szCs w:val="20"/>
          <w:lang w:val="es-MX"/>
        </w:rPr>
        <w:t xml:space="preserve"> noventa y cuatro centavos de los Estados Unidos de América), y que los gastos de</w:t>
      </w:r>
      <w:r w:rsidR="007F4E4C">
        <w:rPr>
          <w:rFonts w:ascii="Verdana" w:hAnsi="Verdana"/>
          <w:sz w:val="20"/>
          <w:szCs w:val="20"/>
          <w:lang w:val="es-MX"/>
        </w:rPr>
        <w:t>l</w:t>
      </w:r>
      <w:r w:rsidRPr="002206AC">
        <w:rPr>
          <w:rFonts w:ascii="Verdana" w:hAnsi="Verdana"/>
          <w:sz w:val="20"/>
          <w:szCs w:val="20"/>
          <w:lang w:val="es-MX"/>
        </w:rPr>
        <w:t xml:space="preserve"> </w:t>
      </w:r>
      <w:r w:rsidRPr="002206AC">
        <w:rPr>
          <w:rFonts w:ascii="Verdana" w:hAnsi="Verdana"/>
          <w:i/>
          <w:iCs/>
          <w:sz w:val="20"/>
          <w:szCs w:val="20"/>
          <w:lang w:val="es-MX"/>
        </w:rPr>
        <w:t xml:space="preserve">Forest Peoples Programme, </w:t>
      </w:r>
      <w:r w:rsidRPr="002206AC">
        <w:rPr>
          <w:rFonts w:ascii="Verdana" w:hAnsi="Verdana"/>
          <w:sz w:val="20"/>
          <w:szCs w:val="20"/>
          <w:lang w:val="es-MX"/>
        </w:rPr>
        <w:t>por los últimos quince años, eran de US$ 15,000.00 (quince mil dólares de los Estados Unidos de América)</w:t>
      </w:r>
      <w:r w:rsidRPr="004B0145">
        <w:rPr>
          <w:rFonts w:ascii="Verdana" w:hAnsi="Verdana"/>
          <w:bCs/>
          <w:sz w:val="20"/>
          <w:szCs w:val="20"/>
          <w:lang w:val="es-MX"/>
        </w:rPr>
        <w:t>.</w:t>
      </w:r>
      <w:r w:rsidRPr="002206AC">
        <w:rPr>
          <w:rFonts w:ascii="Verdana" w:hAnsi="Verdana"/>
          <w:b/>
          <w:bCs/>
          <w:sz w:val="20"/>
          <w:szCs w:val="20"/>
          <w:lang w:val="es-MX"/>
        </w:rPr>
        <w:t xml:space="preserve"> </w:t>
      </w:r>
      <w:r w:rsidRPr="002206AC">
        <w:rPr>
          <w:rFonts w:ascii="Verdana" w:hAnsi="Verdana"/>
          <w:sz w:val="20"/>
          <w:szCs w:val="20"/>
          <w:lang w:val="es-MX"/>
        </w:rPr>
        <w:t>Asimismo,</w:t>
      </w:r>
      <w:r w:rsidRPr="002206AC">
        <w:rPr>
          <w:rFonts w:ascii="Verdana" w:hAnsi="Verdana"/>
          <w:b/>
          <w:bCs/>
          <w:sz w:val="20"/>
          <w:szCs w:val="20"/>
          <w:lang w:val="es-MX"/>
        </w:rPr>
        <w:t xml:space="preserve"> </w:t>
      </w:r>
      <w:r w:rsidRPr="002206AC">
        <w:rPr>
          <w:rFonts w:ascii="Verdana" w:hAnsi="Verdana"/>
          <w:sz w:val="20"/>
          <w:szCs w:val="20"/>
          <w:lang w:val="es-MX"/>
        </w:rPr>
        <w:t xml:space="preserve">en las observaciones finales, los representantes también solicitaron el reembolso de los gastos en que incurrió </w:t>
      </w:r>
      <w:r w:rsidR="007F4E4C">
        <w:rPr>
          <w:rFonts w:ascii="Verdana" w:hAnsi="Verdana"/>
          <w:sz w:val="20"/>
          <w:szCs w:val="20"/>
          <w:lang w:val="es-MX"/>
        </w:rPr>
        <w:t xml:space="preserve">el </w:t>
      </w:r>
      <w:r w:rsidRPr="002206AC">
        <w:rPr>
          <w:rFonts w:ascii="Verdana" w:hAnsi="Verdana"/>
          <w:i/>
          <w:iCs/>
          <w:sz w:val="20"/>
          <w:szCs w:val="20"/>
          <w:lang w:val="es-MX"/>
        </w:rPr>
        <w:t>Forest Peoples Programme</w:t>
      </w:r>
      <w:r w:rsidRPr="002206AC">
        <w:rPr>
          <w:rFonts w:ascii="Verdana" w:hAnsi="Verdana"/>
          <w:sz w:val="20"/>
          <w:szCs w:val="20"/>
          <w:lang w:val="es-MX"/>
        </w:rPr>
        <w:t xml:space="preserve"> con motivo de la audiencia pública del presente </w:t>
      </w:r>
      <w:r w:rsidRPr="00F568EB">
        <w:rPr>
          <w:rFonts w:ascii="Verdana" w:hAnsi="Verdana"/>
          <w:sz w:val="20"/>
          <w:szCs w:val="20"/>
          <w:lang w:val="es-MX"/>
        </w:rPr>
        <w:t xml:space="preserve">caso, </w:t>
      </w:r>
      <w:r w:rsidR="00C51AA0" w:rsidRPr="002C323A">
        <w:rPr>
          <w:rFonts w:ascii="Verdana" w:hAnsi="Verdana"/>
          <w:sz w:val="20"/>
          <w:szCs w:val="20"/>
          <w:lang w:val="es-MX"/>
        </w:rPr>
        <w:t>ascendentes a la suma de US$ 13,294.25 (trece mil doscientos noventa y cuatro dólares con veinticinco centavos de los Estados Unidos de América)</w:t>
      </w:r>
      <w:r w:rsidRPr="002C323A">
        <w:rPr>
          <w:rFonts w:ascii="Verdana" w:hAnsi="Verdana"/>
          <w:bCs/>
          <w:sz w:val="20"/>
          <w:szCs w:val="20"/>
          <w:lang w:val="es-MX"/>
        </w:rPr>
        <w:t xml:space="preserve">. </w:t>
      </w:r>
      <w:r w:rsidRPr="002C323A">
        <w:rPr>
          <w:rFonts w:ascii="Verdana" w:hAnsi="Verdana"/>
          <w:sz w:val="20"/>
          <w:szCs w:val="20"/>
          <w:lang w:val="es-MX"/>
        </w:rPr>
        <w:t xml:space="preserve">Finalmente, los representantes solicitaron el pago de los gastos que se efectuaron con motivo de la diligencia </w:t>
      </w:r>
      <w:r w:rsidRPr="002C323A">
        <w:rPr>
          <w:rFonts w:ascii="Verdana" w:hAnsi="Verdana"/>
          <w:i/>
          <w:iCs/>
          <w:sz w:val="20"/>
          <w:szCs w:val="20"/>
          <w:lang w:val="es-MX"/>
        </w:rPr>
        <w:t xml:space="preserve">in </w:t>
      </w:r>
      <w:r w:rsidRPr="002C323A">
        <w:rPr>
          <w:rFonts w:ascii="Verdana" w:hAnsi="Verdana"/>
          <w:i/>
          <w:sz w:val="20"/>
          <w:szCs w:val="20"/>
          <w:lang w:val="es-MX"/>
        </w:rPr>
        <w:t>situ</w:t>
      </w:r>
      <w:r w:rsidRPr="002C323A">
        <w:rPr>
          <w:rFonts w:ascii="Verdana" w:hAnsi="Verdana"/>
          <w:sz w:val="20"/>
          <w:szCs w:val="20"/>
          <w:lang w:val="es-MX"/>
        </w:rPr>
        <w:t>, ascendentes a la suma de US$ 4,847.40 (cuatro mil ochocientos cuarenta y siete</w:t>
      </w:r>
      <w:r w:rsidR="00C51AA0" w:rsidRPr="002C323A">
        <w:rPr>
          <w:rFonts w:ascii="Verdana" w:hAnsi="Verdana"/>
          <w:sz w:val="20"/>
          <w:szCs w:val="20"/>
          <w:lang w:val="es-MX"/>
        </w:rPr>
        <w:t xml:space="preserve"> dólares</w:t>
      </w:r>
      <w:r w:rsidRPr="002C323A">
        <w:rPr>
          <w:rFonts w:ascii="Verdana" w:hAnsi="Verdana"/>
          <w:sz w:val="20"/>
          <w:szCs w:val="20"/>
          <w:lang w:val="es-MX"/>
        </w:rPr>
        <w:t xml:space="preserve"> y cuarenta centavos de los Estados Unidos de</w:t>
      </w:r>
      <w:r w:rsidRPr="00F568EB">
        <w:rPr>
          <w:rFonts w:ascii="Verdana" w:hAnsi="Verdana"/>
          <w:sz w:val="20"/>
          <w:szCs w:val="20"/>
          <w:lang w:val="es-MX"/>
        </w:rPr>
        <w:t xml:space="preserve"> </w:t>
      </w:r>
      <w:r w:rsidRPr="002C323A">
        <w:rPr>
          <w:rFonts w:ascii="Verdana" w:hAnsi="Verdana"/>
          <w:sz w:val="20"/>
          <w:szCs w:val="20"/>
          <w:lang w:val="es-MX"/>
        </w:rPr>
        <w:t>América</w:t>
      </w:r>
      <w:r w:rsidRPr="002C323A">
        <w:rPr>
          <w:rFonts w:ascii="Verdana" w:hAnsi="Verdana"/>
          <w:bCs/>
          <w:sz w:val="20"/>
          <w:szCs w:val="20"/>
          <w:lang w:val="es-MX"/>
        </w:rPr>
        <w:t>.</w:t>
      </w:r>
    </w:p>
    <w:p w14:paraId="2EB03E62" w14:textId="77777777" w:rsidR="00A91B78" w:rsidRPr="00A91B78" w:rsidRDefault="00A91B78" w:rsidP="00A91B78">
      <w:pPr>
        <w:jc w:val="both"/>
        <w:rPr>
          <w:rFonts w:ascii="Verdana" w:hAnsi="Verdana"/>
          <w:sz w:val="20"/>
          <w:szCs w:val="20"/>
          <w:lang w:val="es-MX"/>
        </w:rPr>
      </w:pPr>
    </w:p>
    <w:p w14:paraId="3A560613" w14:textId="77777777" w:rsidR="00A91B78" w:rsidRPr="00A91B78" w:rsidRDefault="00A91B78" w:rsidP="00A91B78">
      <w:pPr>
        <w:numPr>
          <w:ilvl w:val="0"/>
          <w:numId w:val="2"/>
        </w:numPr>
        <w:ind w:left="0" w:hanging="11"/>
        <w:contextualSpacing/>
        <w:jc w:val="both"/>
        <w:rPr>
          <w:rFonts w:ascii="Verdana" w:hAnsi="Verdana"/>
          <w:sz w:val="20"/>
          <w:szCs w:val="20"/>
          <w:lang w:val="es-ES"/>
        </w:rPr>
      </w:pPr>
      <w:r w:rsidRPr="00A91B78">
        <w:rPr>
          <w:rFonts w:ascii="Verdana" w:hAnsi="Verdana"/>
          <w:sz w:val="20"/>
          <w:szCs w:val="20"/>
          <w:lang w:val="es-ES"/>
        </w:rPr>
        <w:t xml:space="preserve">Ni la </w:t>
      </w:r>
      <w:r w:rsidRPr="00A91B78">
        <w:rPr>
          <w:rFonts w:ascii="Verdana" w:hAnsi="Verdana"/>
          <w:b/>
          <w:i/>
          <w:sz w:val="20"/>
          <w:szCs w:val="20"/>
          <w:lang w:val="es-ES"/>
        </w:rPr>
        <w:t>Comisión</w:t>
      </w:r>
      <w:r w:rsidRPr="00A91B78">
        <w:rPr>
          <w:rFonts w:ascii="Verdana" w:hAnsi="Verdana"/>
          <w:sz w:val="20"/>
          <w:szCs w:val="20"/>
          <w:lang w:val="es-ES"/>
        </w:rPr>
        <w:t xml:space="preserve"> ni el </w:t>
      </w:r>
      <w:r w:rsidRPr="00A91B78">
        <w:rPr>
          <w:rFonts w:ascii="Verdana" w:hAnsi="Verdana"/>
          <w:b/>
          <w:i/>
          <w:sz w:val="20"/>
          <w:szCs w:val="20"/>
          <w:lang w:val="es-ES"/>
        </w:rPr>
        <w:t>Estado</w:t>
      </w:r>
      <w:r w:rsidRPr="00A91B78">
        <w:rPr>
          <w:rFonts w:ascii="Verdana" w:hAnsi="Verdana"/>
          <w:sz w:val="20"/>
          <w:szCs w:val="20"/>
          <w:lang w:val="es-ES"/>
        </w:rPr>
        <w:t xml:space="preserve"> se pronunciaron al respecto.</w:t>
      </w:r>
    </w:p>
    <w:p w14:paraId="1133E3E4" w14:textId="77777777" w:rsidR="00A91B78" w:rsidRPr="00A91B78" w:rsidRDefault="00A91B78" w:rsidP="00A91B78">
      <w:pPr>
        <w:pStyle w:val="ListParagraph"/>
        <w:ind w:left="0"/>
        <w:rPr>
          <w:rFonts w:ascii="Verdana" w:hAnsi="Verdana"/>
          <w:sz w:val="20"/>
          <w:szCs w:val="20"/>
          <w:lang w:val="es-ES"/>
        </w:rPr>
      </w:pPr>
    </w:p>
    <w:p w14:paraId="0EBA6544" w14:textId="77777777"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La Corte reitera que, conforme a su jurisprudencia</w:t>
      </w:r>
      <w:r w:rsidRPr="00A91B78">
        <w:rPr>
          <w:rFonts w:ascii="Verdana" w:hAnsi="Verdana"/>
          <w:sz w:val="20"/>
          <w:szCs w:val="20"/>
          <w:vertAlign w:val="superscript"/>
        </w:rPr>
        <w:footnoteReference w:id="346"/>
      </w:r>
      <w:r w:rsidRPr="00A91B78">
        <w:rPr>
          <w:rFonts w:ascii="Verdana" w:hAnsi="Verdana"/>
          <w:sz w:val="20"/>
          <w:szCs w:val="20"/>
          <w:lang w:val="es-MX"/>
        </w:rPr>
        <w:t xml:space="preserve">, las costas y gastos hacen parte del concepto de reparación, toda vez que las actividades desplegadas por las víctimas con el fin de obtener justicia, tanto </w:t>
      </w:r>
      <w:r w:rsidR="00F80C79">
        <w:rPr>
          <w:rFonts w:ascii="Verdana" w:hAnsi="Verdana"/>
          <w:sz w:val="20"/>
          <w:szCs w:val="20"/>
          <w:lang w:val="es-MX"/>
        </w:rPr>
        <w:t>en el ámbito</w:t>
      </w:r>
      <w:r w:rsidRPr="00A91B78">
        <w:rPr>
          <w:rFonts w:ascii="Verdana" w:hAnsi="Verdana"/>
          <w:sz w:val="20"/>
          <w:szCs w:val="20"/>
          <w:lang w:val="es-MX"/>
        </w:rPr>
        <w:t xml:space="preserve"> nacional como internacional, implican erogaciones que deben ser compensadas cuando la responsabilidad internacional del Estado es declarada mediante una sentencia condenatoria. En cuanto al reembolso de gastos, corresponde a la Corte apreciar prudentemente su alcance, el cual comprende los gastos generados ante las autoridades de la jurisdicción interna, así como los generados en el curso del proceso ante el sistema interamericano, teniendo en cuenta las circunstancias del caso concreto y la naturaleza de la jurisdicción internacional de protección de los derechos humanos. Esta apreciación puede ser realizada con base en el principio de equidad y tomando en cuenta los gastos señalados por las partes, siempre que su </w:t>
      </w:r>
      <w:r w:rsidRPr="00A91B78">
        <w:rPr>
          <w:rFonts w:ascii="Verdana" w:hAnsi="Verdana"/>
          <w:i/>
          <w:sz w:val="20"/>
          <w:szCs w:val="20"/>
          <w:lang w:val="es-MX"/>
        </w:rPr>
        <w:t>quantum</w:t>
      </w:r>
      <w:r w:rsidRPr="00A91B78">
        <w:rPr>
          <w:rFonts w:ascii="Verdana" w:hAnsi="Verdana"/>
          <w:sz w:val="20"/>
          <w:szCs w:val="20"/>
          <w:lang w:val="es-MX"/>
        </w:rPr>
        <w:t xml:space="preserve"> sea razonable</w:t>
      </w:r>
      <w:r w:rsidRPr="00A91B78">
        <w:rPr>
          <w:rFonts w:ascii="Verdana" w:hAnsi="Verdana"/>
          <w:sz w:val="20"/>
          <w:szCs w:val="20"/>
          <w:vertAlign w:val="superscript"/>
        </w:rPr>
        <w:footnoteReference w:id="347"/>
      </w:r>
      <w:r w:rsidRPr="00A91B78">
        <w:rPr>
          <w:rFonts w:ascii="Verdana" w:hAnsi="Verdana"/>
          <w:sz w:val="20"/>
          <w:szCs w:val="20"/>
          <w:lang w:val="es-MX"/>
        </w:rPr>
        <w:t xml:space="preserve">. </w:t>
      </w:r>
    </w:p>
    <w:p w14:paraId="1FCBA777" w14:textId="77777777" w:rsidR="00A91B78" w:rsidRPr="00A91B78" w:rsidRDefault="00A91B78" w:rsidP="00A91B78">
      <w:pPr>
        <w:pStyle w:val="ListParagraph"/>
        <w:rPr>
          <w:rFonts w:ascii="Verdana" w:hAnsi="Verdana"/>
          <w:sz w:val="20"/>
          <w:szCs w:val="20"/>
        </w:rPr>
      </w:pPr>
    </w:p>
    <w:p w14:paraId="62E437D3" w14:textId="259ABAA6"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Asimismo, la Corte reitera que no es suficiente la remisión de documentos probatorios, sino que se requiere que las partes hagan una argumentación que relacione la prueba con el hecho que se considera representado, y que, al tratarse de alegados desembolsos económicos, </w:t>
      </w:r>
      <w:r w:rsidRPr="00A91B78">
        <w:rPr>
          <w:rFonts w:ascii="Verdana" w:hAnsi="Verdana"/>
          <w:sz w:val="20"/>
          <w:szCs w:val="20"/>
          <w:lang w:val="es-MX"/>
        </w:rPr>
        <w:lastRenderedPageBreak/>
        <w:t>se establezcan con claridad los rubros y la justificación de los mismos</w:t>
      </w:r>
      <w:r w:rsidRPr="00A91B78">
        <w:rPr>
          <w:rFonts w:ascii="Verdana" w:hAnsi="Verdana"/>
          <w:sz w:val="20"/>
          <w:szCs w:val="20"/>
          <w:vertAlign w:val="superscript"/>
        </w:rPr>
        <w:footnoteReference w:id="348"/>
      </w:r>
      <w:r w:rsidRPr="00A91B78">
        <w:rPr>
          <w:rFonts w:ascii="Verdana" w:hAnsi="Verdana"/>
          <w:sz w:val="20"/>
          <w:szCs w:val="20"/>
          <w:lang w:val="es-MX"/>
        </w:rPr>
        <w:t>. Por otro lado, el Tribunal ha señalado que “las pretensiones de las víctimas o sus representantes en materia de costas y gastos, y las pruebas que sustentan, deben presentarse a la Corte en el primer momento procesal que se les concede, esto es, en el escrito de solicitudes y argumentos, sin perjuicio de que tales pretensiones se actualicen en un momento posterior, conforme a las nuevas costas y gastos en que se haya incurrido con ocasión del procedimiento ante esta Corte</w:t>
      </w:r>
      <w:r w:rsidR="007F4E4C">
        <w:rPr>
          <w:rFonts w:ascii="Verdana" w:hAnsi="Verdana"/>
          <w:sz w:val="20"/>
          <w:szCs w:val="20"/>
          <w:lang w:val="es-MX"/>
        </w:rPr>
        <w:t>”</w:t>
      </w:r>
      <w:r w:rsidRPr="00A91B78">
        <w:rPr>
          <w:rFonts w:ascii="Verdana" w:hAnsi="Verdana"/>
          <w:sz w:val="20"/>
          <w:szCs w:val="20"/>
          <w:vertAlign w:val="superscript"/>
        </w:rPr>
        <w:footnoteReference w:id="349"/>
      </w:r>
      <w:r w:rsidRPr="00A91B78">
        <w:rPr>
          <w:rFonts w:ascii="Verdana" w:hAnsi="Verdana"/>
          <w:sz w:val="20"/>
          <w:szCs w:val="20"/>
          <w:lang w:val="es-MX"/>
        </w:rPr>
        <w:t>.</w:t>
      </w:r>
    </w:p>
    <w:p w14:paraId="683E9150" w14:textId="77777777" w:rsidR="00A91B78" w:rsidRPr="00A91B78" w:rsidRDefault="00A91B78" w:rsidP="00A91B78">
      <w:pPr>
        <w:jc w:val="both"/>
        <w:rPr>
          <w:rFonts w:ascii="Verdana" w:hAnsi="Verdana"/>
          <w:sz w:val="20"/>
          <w:szCs w:val="20"/>
          <w:lang w:val="es-MX"/>
        </w:rPr>
      </w:pPr>
    </w:p>
    <w:p w14:paraId="435986F9" w14:textId="5C70D952" w:rsidR="00002891" w:rsidRDefault="00924F00" w:rsidP="00190AD3">
      <w:pPr>
        <w:numPr>
          <w:ilvl w:val="0"/>
          <w:numId w:val="2"/>
        </w:numPr>
        <w:ind w:left="0" w:hanging="11"/>
        <w:contextualSpacing/>
        <w:jc w:val="both"/>
        <w:rPr>
          <w:rFonts w:ascii="Verdana" w:hAnsi="Verdana"/>
          <w:sz w:val="20"/>
          <w:szCs w:val="20"/>
          <w:lang w:val="es-MX"/>
        </w:rPr>
      </w:pPr>
      <w:r w:rsidRPr="002C323A">
        <w:rPr>
          <w:rFonts w:ascii="Verdana" w:hAnsi="Verdana"/>
          <w:sz w:val="20"/>
          <w:szCs w:val="20"/>
          <w:lang w:val="es-MX"/>
        </w:rPr>
        <w:t xml:space="preserve">Ahora bien, en cuanto a las costas y gastos de VIDS y KLIM, los representantes alegaron que las actividades realizadas se relacionaron con investigaciones sobre las tierras ancestrales de los Pueblos Kaliña y Lokono, el mapeo del área reclamada, reuniones de KLIM, reuniones con autoridades estatales, preparación de planes de manejo de tierras y recursos, visitas de expertos y autoridades </w:t>
      </w:r>
      <w:r w:rsidR="006D4D2C">
        <w:rPr>
          <w:rFonts w:ascii="Verdana" w:hAnsi="Verdana"/>
          <w:sz w:val="20"/>
          <w:szCs w:val="20"/>
          <w:lang w:val="es-MX"/>
        </w:rPr>
        <w:t>maroon</w:t>
      </w:r>
      <w:r w:rsidRPr="002C323A">
        <w:rPr>
          <w:rFonts w:ascii="Verdana" w:hAnsi="Verdana"/>
          <w:sz w:val="20"/>
          <w:szCs w:val="20"/>
          <w:lang w:val="es-MX"/>
        </w:rPr>
        <w:t xml:space="preserve">s, la contratación de dos trabajadores para KLIM, la renta de una oficina y la compra de los suministros de oficina respectivos. Sin embargo, la Corte constata que los comprobantes aportados no permiten demostrar que los montos indicados fueran efectivamente ejecutados, puesto que fueron emitidos por las propias organizaciones de VIDS y KLIM, en su mayoría sin un respaldo </w:t>
      </w:r>
      <w:r w:rsidR="00E42C51">
        <w:rPr>
          <w:rFonts w:ascii="Verdana" w:hAnsi="Verdana"/>
          <w:sz w:val="20"/>
          <w:szCs w:val="20"/>
          <w:lang w:val="es-MX"/>
        </w:rPr>
        <w:t>por</w:t>
      </w:r>
      <w:r w:rsidRPr="002C323A">
        <w:rPr>
          <w:rFonts w:ascii="Verdana" w:hAnsi="Verdana"/>
          <w:sz w:val="20"/>
          <w:szCs w:val="20"/>
          <w:lang w:val="es-MX"/>
        </w:rPr>
        <w:t xml:space="preserve"> parte de la persona o entidad que recibió el alegado pago. Asimismo, las justificaciones señaladas en dichos comprobantes no establecen con claridad la relación que el presunto gasto guarda con el trámite del proceso</w:t>
      </w:r>
      <w:r w:rsidRPr="00002891">
        <w:rPr>
          <w:rFonts w:ascii="Verdana" w:hAnsi="Verdana"/>
          <w:sz w:val="20"/>
          <w:szCs w:val="20"/>
          <w:lang w:val="es-MX"/>
        </w:rPr>
        <w:t xml:space="preserve">, </w:t>
      </w:r>
      <w:r w:rsidR="007F4E4C">
        <w:rPr>
          <w:rFonts w:ascii="Verdana" w:hAnsi="Verdana"/>
          <w:sz w:val="20"/>
          <w:szCs w:val="20"/>
          <w:lang w:val="es-MX"/>
        </w:rPr>
        <w:t xml:space="preserve">ya sea </w:t>
      </w:r>
      <w:r w:rsidR="00F80C79" w:rsidRPr="00190AD3">
        <w:rPr>
          <w:rFonts w:ascii="Verdana" w:hAnsi="Verdana"/>
          <w:sz w:val="20"/>
          <w:lang w:val="es-MX"/>
        </w:rPr>
        <w:t>en el ámbito</w:t>
      </w:r>
      <w:r w:rsidRPr="002C323A">
        <w:rPr>
          <w:rFonts w:ascii="Verdana" w:hAnsi="Verdana"/>
          <w:sz w:val="20"/>
          <w:szCs w:val="20"/>
          <w:lang w:val="es-MX"/>
        </w:rPr>
        <w:t xml:space="preserve"> interno o internacional. </w:t>
      </w:r>
      <w:r w:rsidR="0062724A" w:rsidRPr="002C323A">
        <w:rPr>
          <w:rFonts w:ascii="Verdana" w:hAnsi="Verdana"/>
          <w:sz w:val="20"/>
          <w:szCs w:val="20"/>
          <w:lang w:val="es-MX"/>
        </w:rPr>
        <w:t>Además</w:t>
      </w:r>
      <w:r w:rsidRPr="002C323A">
        <w:rPr>
          <w:rFonts w:ascii="Verdana" w:hAnsi="Verdana"/>
          <w:sz w:val="20"/>
          <w:szCs w:val="20"/>
          <w:lang w:val="es-MX"/>
        </w:rPr>
        <w:t>, los montos desglosados en la lista de gastos no coincide con</w:t>
      </w:r>
      <w:r w:rsidR="0062724A" w:rsidRPr="002C323A">
        <w:rPr>
          <w:rFonts w:ascii="Verdana" w:hAnsi="Verdana"/>
          <w:sz w:val="20"/>
          <w:szCs w:val="20"/>
          <w:lang w:val="es-MX"/>
        </w:rPr>
        <w:t xml:space="preserve"> </w:t>
      </w:r>
      <w:r w:rsidR="00E42C51">
        <w:rPr>
          <w:rFonts w:ascii="Verdana" w:hAnsi="Verdana"/>
          <w:sz w:val="20"/>
          <w:szCs w:val="20"/>
          <w:lang w:val="es-MX"/>
        </w:rPr>
        <w:t>los</w:t>
      </w:r>
      <w:r w:rsidR="0062724A" w:rsidRPr="002C323A">
        <w:rPr>
          <w:rFonts w:ascii="Verdana" w:hAnsi="Verdana"/>
          <w:sz w:val="20"/>
          <w:szCs w:val="20"/>
          <w:lang w:val="es-MX"/>
        </w:rPr>
        <w:t xml:space="preserve"> solicitados por los representantes.</w:t>
      </w:r>
      <w:r w:rsidRPr="002C323A">
        <w:rPr>
          <w:rFonts w:ascii="Verdana" w:hAnsi="Verdana"/>
          <w:sz w:val="20"/>
          <w:szCs w:val="20"/>
          <w:lang w:val="es-MX"/>
        </w:rPr>
        <w:t xml:space="preserve"> Por otra parte, los representantes no aportaron prueba sobre las costas y gastos en que incurrió el </w:t>
      </w:r>
      <w:r w:rsidRPr="002C323A">
        <w:rPr>
          <w:rFonts w:ascii="Verdana" w:hAnsi="Verdana"/>
          <w:i/>
          <w:sz w:val="20"/>
          <w:szCs w:val="20"/>
          <w:lang w:val="es-MX"/>
        </w:rPr>
        <w:t>Forest Peoples Programme</w:t>
      </w:r>
      <w:r w:rsidRPr="002C323A">
        <w:rPr>
          <w:rFonts w:ascii="Verdana" w:hAnsi="Verdana"/>
          <w:sz w:val="20"/>
          <w:szCs w:val="20"/>
          <w:lang w:val="es-MX"/>
        </w:rPr>
        <w:t>. No obstante, la Corte considera razonable presumir que dichas organizaciones incurrieron en gastos relativos al ejercicio de la representación de las víctimas.</w:t>
      </w:r>
      <w:r w:rsidR="00002891">
        <w:rPr>
          <w:rFonts w:ascii="Verdana" w:hAnsi="Verdana"/>
          <w:sz w:val="20"/>
          <w:szCs w:val="20"/>
          <w:lang w:val="es-MX"/>
        </w:rPr>
        <w:t xml:space="preserve"> </w:t>
      </w:r>
    </w:p>
    <w:p w14:paraId="5C9BE149" w14:textId="77777777" w:rsidR="00002891" w:rsidRDefault="00002891" w:rsidP="00190AD3">
      <w:pPr>
        <w:contextualSpacing/>
        <w:jc w:val="both"/>
        <w:rPr>
          <w:rFonts w:ascii="Verdana" w:hAnsi="Verdana"/>
          <w:sz w:val="20"/>
          <w:szCs w:val="20"/>
          <w:lang w:val="es-MX"/>
        </w:rPr>
      </w:pPr>
      <w:r>
        <w:rPr>
          <w:rFonts w:ascii="Verdana" w:hAnsi="Verdana"/>
          <w:sz w:val="20"/>
          <w:szCs w:val="20"/>
          <w:lang w:val="es-MX"/>
        </w:rPr>
        <w:t xml:space="preserve"> </w:t>
      </w:r>
    </w:p>
    <w:p w14:paraId="631E9DC3" w14:textId="77777777" w:rsidR="00924F00" w:rsidRPr="002C323A" w:rsidRDefault="00924F00" w:rsidP="00190AD3">
      <w:pPr>
        <w:numPr>
          <w:ilvl w:val="0"/>
          <w:numId w:val="2"/>
        </w:numPr>
        <w:ind w:left="0" w:hanging="11"/>
        <w:contextualSpacing/>
        <w:jc w:val="both"/>
        <w:rPr>
          <w:rFonts w:eastAsiaTheme="minorHAnsi"/>
          <w:lang w:val="es-CR" w:eastAsia="es-CR"/>
        </w:rPr>
      </w:pPr>
      <w:r w:rsidRPr="002C323A">
        <w:rPr>
          <w:rFonts w:ascii="Verdana" w:hAnsi="Verdana"/>
          <w:sz w:val="20"/>
          <w:szCs w:val="20"/>
          <w:lang w:val="es-MX"/>
        </w:rPr>
        <w:t xml:space="preserve">En cuanto a los gastos relativos a la audiencia pública y la diligencia </w:t>
      </w:r>
      <w:r w:rsidRPr="002C323A">
        <w:rPr>
          <w:rFonts w:ascii="Verdana" w:hAnsi="Verdana"/>
          <w:i/>
          <w:sz w:val="20"/>
          <w:szCs w:val="20"/>
          <w:lang w:val="es-MX"/>
        </w:rPr>
        <w:t>in situ</w:t>
      </w:r>
      <w:r w:rsidRPr="002C323A">
        <w:rPr>
          <w:rFonts w:ascii="Verdana" w:hAnsi="Verdana"/>
          <w:sz w:val="20"/>
          <w:szCs w:val="20"/>
          <w:lang w:val="es-MX"/>
        </w:rPr>
        <w:t xml:space="preserve"> celebrada en el presente caso, los cuales corresponden a pasajes de avión, alojamiento, alimentación y transporte interno, la Corte constata que los comprobantes aportados demuestran de manera efectiva los gastos en que incurrieron los representantes con motivo de dichas actividades</w:t>
      </w:r>
      <w:r w:rsidRPr="002C323A">
        <w:rPr>
          <w:rStyle w:val="FootnoteReference"/>
          <w:szCs w:val="20"/>
          <w:lang w:val="es-MX"/>
        </w:rPr>
        <w:footnoteReference w:id="350"/>
      </w:r>
      <w:r w:rsidRPr="002C323A">
        <w:rPr>
          <w:rFonts w:ascii="Verdana" w:hAnsi="Verdana"/>
          <w:sz w:val="20"/>
          <w:szCs w:val="20"/>
          <w:lang w:val="es-MX"/>
        </w:rPr>
        <w:t xml:space="preserve">. </w:t>
      </w:r>
    </w:p>
    <w:p w14:paraId="28971F6D" w14:textId="77777777" w:rsidR="00924F00" w:rsidRPr="00F568EB" w:rsidRDefault="00924F00" w:rsidP="00A91B78">
      <w:pPr>
        <w:jc w:val="both"/>
        <w:rPr>
          <w:rFonts w:ascii="Verdana" w:hAnsi="Verdana"/>
          <w:sz w:val="20"/>
          <w:szCs w:val="20"/>
          <w:lang w:val="es-MX"/>
        </w:rPr>
      </w:pPr>
    </w:p>
    <w:p w14:paraId="489D6D6B" w14:textId="16065D96" w:rsidR="00A91B78" w:rsidRPr="00F568EB" w:rsidRDefault="00924F00" w:rsidP="00A91B78">
      <w:pPr>
        <w:numPr>
          <w:ilvl w:val="0"/>
          <w:numId w:val="2"/>
        </w:numPr>
        <w:ind w:left="0" w:hanging="11"/>
        <w:contextualSpacing/>
        <w:jc w:val="both"/>
        <w:rPr>
          <w:rFonts w:ascii="Verdana" w:hAnsi="Verdana"/>
          <w:sz w:val="20"/>
          <w:szCs w:val="20"/>
          <w:lang w:val="es-MX"/>
        </w:rPr>
      </w:pPr>
      <w:r w:rsidRPr="002C323A">
        <w:rPr>
          <w:rFonts w:ascii="Verdana" w:hAnsi="Verdana"/>
          <w:sz w:val="20"/>
          <w:szCs w:val="20"/>
          <w:lang w:val="es-MX"/>
        </w:rPr>
        <w:t xml:space="preserve">En consecuencia, por concepto de reintegro de costas y gastos por las labores realizadas en el litigio del caso </w:t>
      </w:r>
      <w:r w:rsidR="00F80C79" w:rsidRPr="00190AD3">
        <w:rPr>
          <w:rFonts w:ascii="Verdana" w:hAnsi="Verdana"/>
          <w:sz w:val="20"/>
          <w:lang w:val="es-MX"/>
        </w:rPr>
        <w:t>en el ámbito</w:t>
      </w:r>
      <w:r w:rsidRPr="00002891">
        <w:rPr>
          <w:rFonts w:ascii="Verdana" w:hAnsi="Verdana"/>
          <w:sz w:val="20"/>
          <w:szCs w:val="20"/>
          <w:lang w:val="es-MX"/>
        </w:rPr>
        <w:t xml:space="preserve"> nacional e internacional, la Corte estima procedente conceder una suma razonable de US$</w:t>
      </w:r>
      <w:r w:rsidR="00E42C51">
        <w:rPr>
          <w:rFonts w:ascii="Verdana" w:hAnsi="Verdana"/>
          <w:sz w:val="20"/>
          <w:szCs w:val="20"/>
          <w:lang w:val="es-MX"/>
        </w:rPr>
        <w:t xml:space="preserve"> </w:t>
      </w:r>
      <w:r w:rsidRPr="00190AD3">
        <w:rPr>
          <w:rFonts w:ascii="Verdana" w:hAnsi="Verdana"/>
          <w:sz w:val="20"/>
          <w:lang w:val="es-MX"/>
        </w:rPr>
        <w:t>1</w:t>
      </w:r>
      <w:r w:rsidR="0062526A" w:rsidRPr="00190AD3">
        <w:rPr>
          <w:rFonts w:ascii="Verdana" w:hAnsi="Verdana"/>
          <w:sz w:val="20"/>
          <w:lang w:val="es-MX"/>
        </w:rPr>
        <w:t>5</w:t>
      </w:r>
      <w:r w:rsidR="007F4E4C">
        <w:rPr>
          <w:rFonts w:ascii="Verdana" w:hAnsi="Verdana"/>
          <w:sz w:val="20"/>
          <w:lang w:val="es-MX"/>
        </w:rPr>
        <w:t>,</w:t>
      </w:r>
      <w:r w:rsidRPr="00190AD3">
        <w:rPr>
          <w:rFonts w:ascii="Verdana" w:hAnsi="Verdana"/>
          <w:sz w:val="20"/>
          <w:lang w:val="es-MX"/>
        </w:rPr>
        <w:t>000</w:t>
      </w:r>
      <w:r w:rsidRPr="002C323A">
        <w:rPr>
          <w:rFonts w:ascii="Verdana" w:hAnsi="Verdana"/>
          <w:sz w:val="20"/>
          <w:szCs w:val="20"/>
          <w:lang w:val="es-MX"/>
        </w:rPr>
        <w:t xml:space="preserve"> (</w:t>
      </w:r>
      <w:r w:rsidR="0062526A">
        <w:rPr>
          <w:rFonts w:ascii="Verdana" w:hAnsi="Verdana"/>
          <w:sz w:val="20"/>
          <w:szCs w:val="20"/>
          <w:lang w:val="es-MX"/>
        </w:rPr>
        <w:t>quince</w:t>
      </w:r>
      <w:r w:rsidR="0062526A" w:rsidRPr="002C323A">
        <w:rPr>
          <w:rFonts w:ascii="Verdana" w:hAnsi="Verdana"/>
          <w:sz w:val="20"/>
          <w:szCs w:val="20"/>
          <w:lang w:val="es-MX"/>
        </w:rPr>
        <w:t xml:space="preserve"> </w:t>
      </w:r>
      <w:r w:rsidRPr="002C323A">
        <w:rPr>
          <w:rFonts w:ascii="Verdana" w:hAnsi="Verdana"/>
          <w:sz w:val="20"/>
          <w:szCs w:val="20"/>
          <w:lang w:val="es-MX"/>
        </w:rPr>
        <w:t>mil dólares de los Estados Unidos de América) para las organizaciones VIDS y KLIM,</w:t>
      </w:r>
      <w:r w:rsidR="0062526A">
        <w:rPr>
          <w:rFonts w:ascii="Verdana" w:hAnsi="Verdana"/>
          <w:sz w:val="20"/>
          <w:szCs w:val="20"/>
          <w:lang w:val="es-MX"/>
        </w:rPr>
        <w:t xml:space="preserve"> </w:t>
      </w:r>
      <w:r w:rsidR="004E48FF">
        <w:rPr>
          <w:rFonts w:ascii="Verdana" w:hAnsi="Verdana"/>
          <w:sz w:val="20"/>
          <w:szCs w:val="20"/>
          <w:lang w:val="es-MX"/>
        </w:rPr>
        <w:t>conjuntamente</w:t>
      </w:r>
      <w:r w:rsidR="0062526A">
        <w:rPr>
          <w:rFonts w:ascii="Verdana" w:hAnsi="Verdana"/>
          <w:sz w:val="20"/>
          <w:szCs w:val="20"/>
          <w:lang w:val="es-MX"/>
        </w:rPr>
        <w:t>,</w:t>
      </w:r>
      <w:r w:rsidRPr="002C323A">
        <w:rPr>
          <w:rFonts w:ascii="Verdana" w:hAnsi="Verdana"/>
          <w:sz w:val="20"/>
          <w:szCs w:val="20"/>
          <w:lang w:val="es-MX"/>
        </w:rPr>
        <w:t xml:space="preserve"> y una suma de US$</w:t>
      </w:r>
      <w:r w:rsidR="00E42C51">
        <w:rPr>
          <w:rFonts w:ascii="Verdana" w:hAnsi="Verdana"/>
          <w:sz w:val="20"/>
          <w:szCs w:val="20"/>
          <w:lang w:val="es-MX"/>
        </w:rPr>
        <w:t xml:space="preserve"> </w:t>
      </w:r>
      <w:r w:rsidRPr="002C323A">
        <w:rPr>
          <w:rFonts w:ascii="Verdana" w:hAnsi="Verdana"/>
          <w:sz w:val="20"/>
          <w:szCs w:val="20"/>
          <w:lang w:val="es-MX"/>
        </w:rPr>
        <w:t>1</w:t>
      </w:r>
      <w:r w:rsidR="0062526A">
        <w:rPr>
          <w:rFonts w:ascii="Verdana" w:hAnsi="Verdana"/>
          <w:sz w:val="20"/>
          <w:szCs w:val="20"/>
          <w:lang w:val="es-MX"/>
        </w:rPr>
        <w:t>0</w:t>
      </w:r>
      <w:r w:rsidR="007F4E4C">
        <w:rPr>
          <w:rFonts w:ascii="Verdana" w:hAnsi="Verdana"/>
          <w:sz w:val="20"/>
          <w:szCs w:val="20"/>
          <w:lang w:val="es-MX"/>
        </w:rPr>
        <w:t>,</w:t>
      </w:r>
      <w:r w:rsidRPr="002C323A">
        <w:rPr>
          <w:rFonts w:ascii="Verdana" w:hAnsi="Verdana"/>
          <w:sz w:val="20"/>
          <w:szCs w:val="20"/>
          <w:lang w:val="es-MX"/>
        </w:rPr>
        <w:t>000 (</w:t>
      </w:r>
      <w:r w:rsidR="0062526A">
        <w:rPr>
          <w:rFonts w:ascii="Verdana" w:hAnsi="Verdana"/>
          <w:sz w:val="20"/>
          <w:szCs w:val="20"/>
          <w:lang w:val="es-MX"/>
        </w:rPr>
        <w:t>diez</w:t>
      </w:r>
      <w:r w:rsidR="0062526A" w:rsidRPr="002C323A">
        <w:rPr>
          <w:rFonts w:ascii="Verdana" w:hAnsi="Verdana"/>
          <w:sz w:val="20"/>
          <w:szCs w:val="20"/>
          <w:lang w:val="es-MX"/>
        </w:rPr>
        <w:t xml:space="preserve"> </w:t>
      </w:r>
      <w:r w:rsidRPr="002C323A">
        <w:rPr>
          <w:rFonts w:ascii="Verdana" w:hAnsi="Verdana"/>
          <w:sz w:val="20"/>
          <w:szCs w:val="20"/>
          <w:lang w:val="es-MX"/>
        </w:rPr>
        <w:t xml:space="preserve">mil dólares de los Estados Unidos de América) para </w:t>
      </w:r>
      <w:r w:rsidR="007F4E4C">
        <w:rPr>
          <w:rFonts w:ascii="Verdana" w:hAnsi="Verdana"/>
          <w:sz w:val="20"/>
          <w:szCs w:val="20"/>
          <w:lang w:val="es-MX"/>
        </w:rPr>
        <w:t xml:space="preserve">el </w:t>
      </w:r>
      <w:r w:rsidRPr="002C323A">
        <w:rPr>
          <w:rFonts w:ascii="Verdana" w:hAnsi="Verdana"/>
          <w:i/>
          <w:iCs/>
          <w:sz w:val="20"/>
          <w:szCs w:val="20"/>
          <w:lang w:val="es-MX"/>
        </w:rPr>
        <w:t xml:space="preserve">Forest Peoples Programme. </w:t>
      </w:r>
      <w:r w:rsidRPr="002C323A">
        <w:rPr>
          <w:rFonts w:ascii="Verdana" w:hAnsi="Verdana"/>
          <w:iCs/>
          <w:sz w:val="20"/>
          <w:szCs w:val="20"/>
          <w:lang w:val="es-MX"/>
        </w:rPr>
        <w:t>Adicionalmente, la Corte ordena al Estado pagar a los representantes la cantidad de US$ 18,141.65 (dieciocho mil ciento cuarenta y un dólares con sesenta y cinco centavos de los Estados Unidos de América) con motivo de los gastos incurridos por los representantes durante la audiencia pública y la diligencia</w:t>
      </w:r>
      <w:r w:rsidRPr="002C323A">
        <w:rPr>
          <w:rFonts w:ascii="Verdana" w:hAnsi="Verdana"/>
          <w:i/>
          <w:iCs/>
          <w:sz w:val="20"/>
          <w:szCs w:val="20"/>
          <w:lang w:val="es-MX"/>
        </w:rPr>
        <w:t xml:space="preserve"> in situ </w:t>
      </w:r>
      <w:r w:rsidRPr="002C323A">
        <w:rPr>
          <w:rFonts w:ascii="Verdana" w:hAnsi="Verdana"/>
          <w:iCs/>
          <w:sz w:val="20"/>
          <w:szCs w:val="20"/>
          <w:lang w:val="es-MX"/>
        </w:rPr>
        <w:t xml:space="preserve">realizada en el presente caso. </w:t>
      </w:r>
      <w:r w:rsidRPr="002C323A">
        <w:rPr>
          <w:rFonts w:ascii="Verdana" w:hAnsi="Verdana"/>
          <w:sz w:val="20"/>
          <w:szCs w:val="20"/>
        </w:rPr>
        <w:t xml:space="preserve">Las sumas señaladas deberán ser pagadas por el Estado a los representantes en un período de seis meses a partir de la notificación de esta Sentencia. </w:t>
      </w:r>
      <w:r w:rsidRPr="002C323A">
        <w:rPr>
          <w:rFonts w:ascii="Verdana" w:hAnsi="Verdana"/>
          <w:iCs/>
          <w:sz w:val="20"/>
          <w:szCs w:val="20"/>
          <w:lang w:val="es-MX"/>
        </w:rPr>
        <w:t>Finalmente,</w:t>
      </w:r>
      <w:r w:rsidRPr="002C323A">
        <w:rPr>
          <w:rFonts w:ascii="Verdana" w:hAnsi="Verdana"/>
          <w:sz w:val="20"/>
          <w:szCs w:val="20"/>
          <w:lang w:val="es-MX"/>
        </w:rPr>
        <w:t xml:space="preserve"> </w:t>
      </w:r>
      <w:r w:rsidR="00A91B78" w:rsidRPr="00F568EB">
        <w:rPr>
          <w:rFonts w:ascii="Verdana" w:hAnsi="Verdana"/>
          <w:sz w:val="20"/>
          <w:szCs w:val="20"/>
          <w:lang w:val="es-MX"/>
        </w:rPr>
        <w:t>la Corte considera que, en el procedimiento de supervisión del cumplimiento de la presente Sentencia, podrá disponer que el Estado reembolse a las víctimas o sus representantes los gastos razonables en que incurran durante dicha etapa procesal.</w:t>
      </w:r>
    </w:p>
    <w:p w14:paraId="5A7B6D06" w14:textId="77777777" w:rsidR="00A91B78" w:rsidRPr="00A91B78" w:rsidRDefault="00A91B78" w:rsidP="00A91B78">
      <w:pPr>
        <w:jc w:val="both"/>
        <w:rPr>
          <w:rFonts w:ascii="Verdana" w:hAnsi="Verdana"/>
          <w:sz w:val="20"/>
          <w:szCs w:val="20"/>
          <w:lang w:val="es-MX"/>
        </w:rPr>
      </w:pPr>
    </w:p>
    <w:p w14:paraId="4C126023" w14:textId="77777777" w:rsidR="00A91B78" w:rsidRPr="00A91B78" w:rsidRDefault="00A91B78" w:rsidP="00A91B78">
      <w:pPr>
        <w:pStyle w:val="Heading2"/>
        <w:numPr>
          <w:ilvl w:val="0"/>
          <w:numId w:val="42"/>
        </w:numPr>
        <w:spacing w:before="0"/>
        <w:jc w:val="both"/>
        <w:rPr>
          <w:rFonts w:ascii="Verdana" w:hAnsi="Verdana"/>
          <w:bCs w:val="0"/>
          <w:i/>
          <w:color w:val="auto"/>
          <w:sz w:val="20"/>
          <w:szCs w:val="20"/>
        </w:rPr>
      </w:pPr>
      <w:bookmarkStart w:id="106" w:name="_Toc405903904"/>
      <w:bookmarkStart w:id="107" w:name="_Toc432072842"/>
      <w:bookmarkStart w:id="108" w:name="_Toc441666211"/>
      <w:r w:rsidRPr="00A91B78">
        <w:rPr>
          <w:rFonts w:ascii="Verdana" w:hAnsi="Verdana"/>
          <w:bCs w:val="0"/>
          <w:i/>
          <w:color w:val="auto"/>
          <w:sz w:val="20"/>
          <w:szCs w:val="20"/>
        </w:rPr>
        <w:lastRenderedPageBreak/>
        <w:t>Modalidad de cumplimiento de los pagos ordenados</w:t>
      </w:r>
      <w:bookmarkEnd w:id="106"/>
      <w:bookmarkEnd w:id="107"/>
      <w:bookmarkEnd w:id="108"/>
    </w:p>
    <w:p w14:paraId="77FEFA33" w14:textId="77777777" w:rsidR="00A91B78" w:rsidRPr="00A91B78" w:rsidRDefault="00A91B78" w:rsidP="00A91B78">
      <w:pPr>
        <w:jc w:val="both"/>
        <w:rPr>
          <w:rFonts w:ascii="Verdana" w:hAnsi="Verdana"/>
          <w:sz w:val="20"/>
          <w:szCs w:val="20"/>
          <w:lang w:val="es-MX"/>
        </w:rPr>
      </w:pPr>
    </w:p>
    <w:p w14:paraId="0BD16E6B" w14:textId="11ED4725"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El Estado deberá cumplir con sus obligaciones monetarias mediante el pago </w:t>
      </w:r>
      <w:r w:rsidRPr="007021B4">
        <w:rPr>
          <w:rFonts w:ascii="Verdana" w:hAnsi="Verdana"/>
          <w:sz w:val="20"/>
          <w:szCs w:val="20"/>
          <w:lang w:val="es-MX"/>
        </w:rPr>
        <w:t xml:space="preserve">en </w:t>
      </w:r>
      <w:r w:rsidR="007F4E4C" w:rsidRPr="007021B4">
        <w:rPr>
          <w:rFonts w:ascii="Verdana" w:hAnsi="Verdana"/>
          <w:sz w:val="20"/>
          <w:szCs w:val="20"/>
          <w:lang w:val="es-MX"/>
        </w:rPr>
        <w:t xml:space="preserve">dólares de los Estados Unidos de América </w:t>
      </w:r>
      <w:r w:rsidRPr="007021B4">
        <w:rPr>
          <w:rFonts w:ascii="Verdana" w:hAnsi="Verdana"/>
          <w:sz w:val="20"/>
          <w:szCs w:val="20"/>
          <w:lang w:val="es-MX"/>
        </w:rPr>
        <w:t>o en su equivalente</w:t>
      </w:r>
      <w:r w:rsidR="007F4E4C" w:rsidRPr="007021B4">
        <w:rPr>
          <w:rFonts w:ascii="Verdana" w:hAnsi="Verdana"/>
          <w:sz w:val="20"/>
          <w:szCs w:val="20"/>
          <w:lang w:val="es-MX"/>
        </w:rPr>
        <w:t xml:space="preserve"> en dólares surinameses</w:t>
      </w:r>
      <w:r w:rsidRPr="007021B4">
        <w:rPr>
          <w:rFonts w:ascii="Verdana" w:hAnsi="Verdana"/>
          <w:sz w:val="20"/>
          <w:szCs w:val="20"/>
          <w:lang w:val="es-MX"/>
        </w:rPr>
        <w:t>, utiliz</w:t>
      </w:r>
      <w:r w:rsidRPr="00A91B78">
        <w:rPr>
          <w:rFonts w:ascii="Verdana" w:hAnsi="Verdana"/>
          <w:sz w:val="20"/>
          <w:szCs w:val="20"/>
          <w:lang w:val="es-MX"/>
        </w:rPr>
        <w:t>ando para el cálculo respectivo</w:t>
      </w:r>
      <w:r w:rsidR="008C3E96">
        <w:rPr>
          <w:rFonts w:ascii="Verdana" w:hAnsi="Verdana"/>
          <w:sz w:val="20"/>
          <w:szCs w:val="20"/>
          <w:lang w:val="es-MX"/>
        </w:rPr>
        <w:t>,</w:t>
      </w:r>
      <w:r w:rsidRPr="00A91B78">
        <w:rPr>
          <w:rFonts w:ascii="Verdana" w:hAnsi="Verdana"/>
          <w:sz w:val="20"/>
          <w:szCs w:val="20"/>
          <w:lang w:val="es-MX"/>
        </w:rPr>
        <w:t xml:space="preserve"> el tipo de cambio que esté vigente en la bolsa de Nueva York, Estados Unidos de América, el día anterior al pago. Si por causas atribuibles a los beneficiarios de reintegros o a sus derechohabientes no fuese posible el pago de las cantidades determinadas dentro del plazo indicado, el Estado consignará dichos montos a su favor en una cuenta o certificado de depósito en una institución financiera </w:t>
      </w:r>
      <w:r w:rsidR="00550028">
        <w:rPr>
          <w:rFonts w:ascii="Verdana" w:hAnsi="Verdana"/>
          <w:sz w:val="20"/>
          <w:szCs w:val="20"/>
          <w:lang w:val="es-MX"/>
        </w:rPr>
        <w:t>surinamesa</w:t>
      </w:r>
      <w:r w:rsidR="00550028" w:rsidRPr="00A91B78">
        <w:rPr>
          <w:rFonts w:ascii="Verdana" w:hAnsi="Verdana"/>
          <w:sz w:val="20"/>
          <w:szCs w:val="20"/>
          <w:lang w:val="es-MX"/>
        </w:rPr>
        <w:t xml:space="preserve"> </w:t>
      </w:r>
      <w:r w:rsidRPr="00A91B78">
        <w:rPr>
          <w:rFonts w:ascii="Verdana" w:hAnsi="Verdana"/>
          <w:sz w:val="20"/>
          <w:szCs w:val="20"/>
          <w:lang w:val="es-MX"/>
        </w:rPr>
        <w:t xml:space="preserve">solvente, en dólares estadounidenses, y en las condiciones financieras más favorables que permitan la legislación y la práctica bancaria. Si no se reclaman las cantidades correspondientes una vez transcurridos diez años, las cantidades serán devueltas </w:t>
      </w:r>
      <w:r w:rsidR="008C3E96">
        <w:rPr>
          <w:rFonts w:ascii="Verdana" w:hAnsi="Verdana"/>
          <w:sz w:val="20"/>
          <w:szCs w:val="20"/>
          <w:lang w:val="es-MX"/>
        </w:rPr>
        <w:t>a</w:t>
      </w:r>
      <w:r w:rsidRPr="00A91B78">
        <w:rPr>
          <w:rFonts w:ascii="Verdana" w:hAnsi="Verdana"/>
          <w:sz w:val="20"/>
          <w:szCs w:val="20"/>
          <w:lang w:val="es-MX"/>
        </w:rPr>
        <w:t>l Estado con los intereses devengados.</w:t>
      </w:r>
    </w:p>
    <w:p w14:paraId="7C85A3F5" w14:textId="77777777" w:rsidR="00A91B78" w:rsidRPr="00A91B78" w:rsidRDefault="00A91B78" w:rsidP="00A91B78">
      <w:pPr>
        <w:jc w:val="both"/>
        <w:rPr>
          <w:rFonts w:ascii="Verdana" w:hAnsi="Verdana"/>
          <w:sz w:val="20"/>
          <w:szCs w:val="20"/>
          <w:lang w:val="es-MX"/>
        </w:rPr>
      </w:pPr>
    </w:p>
    <w:p w14:paraId="2DEFEAD6" w14:textId="77777777"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Las cantidades asignadas en la presente Sentencia como reintegro de costas y gastos deberán ser entregadas a los representantes en forma íntegra, conforme a lo establecido en esta Sentencia, sin reducciones derivadas de eventuales cargas fiscales.</w:t>
      </w:r>
    </w:p>
    <w:p w14:paraId="6810DEBE" w14:textId="77777777" w:rsidR="00A91B78" w:rsidRPr="00A91B78" w:rsidRDefault="00A91B78" w:rsidP="00A91B78">
      <w:pPr>
        <w:jc w:val="both"/>
        <w:rPr>
          <w:rFonts w:ascii="Verdana" w:hAnsi="Verdana"/>
          <w:sz w:val="20"/>
          <w:szCs w:val="20"/>
          <w:lang w:val="es-MX"/>
        </w:rPr>
      </w:pPr>
    </w:p>
    <w:p w14:paraId="6A3E1868" w14:textId="77777777"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 xml:space="preserve">En caso de que el Estado incurriera en mora respecto del Fondo de Desarrollo Comunitario, </w:t>
      </w:r>
      <w:r w:rsidR="008C3E96">
        <w:rPr>
          <w:rFonts w:ascii="Verdana" w:hAnsi="Verdana"/>
          <w:sz w:val="20"/>
          <w:szCs w:val="20"/>
          <w:lang w:val="es-MX"/>
        </w:rPr>
        <w:t>así como de</w:t>
      </w:r>
      <w:r w:rsidRPr="00A91B78">
        <w:rPr>
          <w:rFonts w:ascii="Verdana" w:hAnsi="Verdana"/>
          <w:sz w:val="20"/>
          <w:szCs w:val="20"/>
          <w:lang w:val="es-MX"/>
        </w:rPr>
        <w:t xml:space="preserve"> las costas y gastos, deberá pagar un interés sobre la cantidad adeudada correspondiente al interés bancario moratorio en la República de </w:t>
      </w:r>
      <w:r w:rsidR="00563E11">
        <w:rPr>
          <w:rFonts w:ascii="Verdana" w:hAnsi="Verdana"/>
          <w:sz w:val="20"/>
          <w:szCs w:val="20"/>
          <w:lang w:val="es-MX"/>
        </w:rPr>
        <w:t>Surinam</w:t>
      </w:r>
      <w:r w:rsidRPr="00A91B78">
        <w:rPr>
          <w:rFonts w:ascii="Verdana" w:hAnsi="Verdana"/>
          <w:sz w:val="20"/>
          <w:szCs w:val="20"/>
          <w:lang w:val="es-MX"/>
        </w:rPr>
        <w:t>.</w:t>
      </w:r>
    </w:p>
    <w:p w14:paraId="6B3B3182" w14:textId="77777777" w:rsidR="00A91B78" w:rsidRPr="00A91B78" w:rsidRDefault="00A91B78" w:rsidP="00A91B78">
      <w:pPr>
        <w:jc w:val="both"/>
        <w:rPr>
          <w:rFonts w:ascii="Verdana" w:hAnsi="Verdana"/>
          <w:sz w:val="20"/>
          <w:szCs w:val="20"/>
          <w:lang w:val="es-MX"/>
        </w:rPr>
      </w:pPr>
    </w:p>
    <w:p w14:paraId="58E73F5D" w14:textId="77777777" w:rsidR="00A91B78" w:rsidRPr="00A91B78" w:rsidRDefault="00A91B78" w:rsidP="00A91B78">
      <w:pPr>
        <w:numPr>
          <w:ilvl w:val="0"/>
          <w:numId w:val="2"/>
        </w:numPr>
        <w:ind w:left="0" w:hanging="11"/>
        <w:contextualSpacing/>
        <w:jc w:val="both"/>
        <w:rPr>
          <w:rFonts w:ascii="Verdana" w:hAnsi="Verdana"/>
          <w:sz w:val="20"/>
          <w:szCs w:val="20"/>
          <w:lang w:val="es-MX"/>
        </w:rPr>
      </w:pPr>
      <w:r w:rsidRPr="00A91B78">
        <w:rPr>
          <w:rFonts w:ascii="Verdana" w:hAnsi="Verdana"/>
          <w:sz w:val="20"/>
          <w:szCs w:val="20"/>
          <w:lang w:val="es-MX"/>
        </w:rPr>
        <w:t>Conforme a su práctica constante, la Corte se reserva la facultad inherente a sus atribuciones y derivada</w:t>
      </w:r>
      <w:r w:rsidR="008C3E96">
        <w:rPr>
          <w:rFonts w:ascii="Verdana" w:hAnsi="Verdana"/>
          <w:sz w:val="20"/>
          <w:szCs w:val="20"/>
          <w:lang w:val="es-MX"/>
        </w:rPr>
        <w:t>s</w:t>
      </w:r>
      <w:r w:rsidRPr="00A91B78">
        <w:rPr>
          <w:rFonts w:ascii="Verdana" w:hAnsi="Verdana"/>
          <w:sz w:val="20"/>
          <w:szCs w:val="20"/>
          <w:lang w:val="es-MX"/>
        </w:rPr>
        <w:t xml:space="preserve">, asimismo, del artículo 65 de la Convención Americana, de supervisar el cumplimiento íntegro de </w:t>
      </w:r>
      <w:r w:rsidR="008C3E96">
        <w:rPr>
          <w:rFonts w:ascii="Verdana" w:hAnsi="Verdana"/>
          <w:sz w:val="20"/>
          <w:szCs w:val="20"/>
          <w:lang w:val="es-MX"/>
        </w:rPr>
        <w:t>este Fallo</w:t>
      </w:r>
      <w:r w:rsidRPr="00A91B78">
        <w:rPr>
          <w:rFonts w:ascii="Verdana" w:hAnsi="Verdana"/>
          <w:sz w:val="20"/>
          <w:szCs w:val="20"/>
          <w:lang w:val="es-MX"/>
        </w:rPr>
        <w:t xml:space="preserve">. El caso se dará por concluido una vez que el Estado haya dado cabal cumplimiento a lo dispuesto en la presente Sentencia. </w:t>
      </w:r>
    </w:p>
    <w:p w14:paraId="3A76A548" w14:textId="77777777" w:rsidR="00A91B78" w:rsidRPr="00A91B78" w:rsidRDefault="00A91B78" w:rsidP="00A91B78">
      <w:pPr>
        <w:ind w:left="720"/>
        <w:contextualSpacing/>
        <w:rPr>
          <w:rFonts w:ascii="Verdana" w:hAnsi="Verdana"/>
          <w:sz w:val="20"/>
          <w:szCs w:val="20"/>
          <w:lang w:val="es-MX"/>
        </w:rPr>
      </w:pPr>
    </w:p>
    <w:p w14:paraId="74AF9478" w14:textId="77777777" w:rsidR="00A91B78" w:rsidRPr="00A91B78" w:rsidRDefault="00A91B78" w:rsidP="00A91B78">
      <w:pPr>
        <w:numPr>
          <w:ilvl w:val="0"/>
          <w:numId w:val="2"/>
        </w:numPr>
        <w:ind w:left="0" w:hanging="11"/>
        <w:contextualSpacing/>
        <w:jc w:val="both"/>
        <w:rPr>
          <w:rFonts w:ascii="Verdana" w:hAnsi="Verdana"/>
          <w:sz w:val="20"/>
          <w:szCs w:val="20"/>
        </w:rPr>
      </w:pPr>
      <w:r w:rsidRPr="00A91B78">
        <w:rPr>
          <w:rFonts w:ascii="Verdana" w:hAnsi="Verdana"/>
          <w:sz w:val="20"/>
          <w:szCs w:val="20"/>
        </w:rPr>
        <w:t xml:space="preserve">Dentro del plazo de </w:t>
      </w:r>
      <w:r w:rsidR="00E70EA7">
        <w:rPr>
          <w:rFonts w:ascii="Verdana" w:hAnsi="Verdana"/>
          <w:sz w:val="20"/>
          <w:szCs w:val="20"/>
        </w:rPr>
        <w:t>un año</w:t>
      </w:r>
      <w:r w:rsidRPr="00A91B78">
        <w:rPr>
          <w:rFonts w:ascii="Verdana" w:hAnsi="Verdana"/>
          <w:sz w:val="20"/>
          <w:szCs w:val="20"/>
        </w:rPr>
        <w:t>, contado a partir de la notificación de la presente Sentencia, el Estado deberá rendir a la Corte un informe sobre las medidas adoptadas para cumplirla.</w:t>
      </w:r>
    </w:p>
    <w:p w14:paraId="0EDFAD38" w14:textId="77777777" w:rsidR="005E7791" w:rsidRDefault="005E7791"/>
    <w:p w14:paraId="3604E6EE" w14:textId="77777777" w:rsidR="001863DB" w:rsidRPr="006669DA" w:rsidRDefault="001863DB" w:rsidP="001863DB">
      <w:pPr>
        <w:pStyle w:val="Heading1"/>
        <w:tabs>
          <w:tab w:val="left" w:pos="851"/>
        </w:tabs>
        <w:spacing w:before="0"/>
        <w:jc w:val="center"/>
        <w:rPr>
          <w:rFonts w:ascii="Verdana" w:hAnsi="Verdana" w:cs="Verdana"/>
          <w:caps/>
          <w:snapToGrid w:val="0"/>
          <w:color w:val="auto"/>
          <w:sz w:val="20"/>
          <w:szCs w:val="20"/>
        </w:rPr>
      </w:pPr>
      <w:bookmarkStart w:id="109" w:name="_Toc441666212"/>
      <w:r>
        <w:rPr>
          <w:rFonts w:ascii="Verdana" w:hAnsi="Verdana" w:cs="Verdana"/>
          <w:caps/>
          <w:snapToGrid w:val="0"/>
          <w:color w:val="auto"/>
          <w:sz w:val="20"/>
          <w:szCs w:val="20"/>
        </w:rPr>
        <w:t>VII</w:t>
      </w:r>
      <w:r w:rsidR="00BA5FB7">
        <w:rPr>
          <w:rFonts w:ascii="Verdana" w:hAnsi="Verdana" w:cs="Verdana"/>
          <w:caps/>
          <w:snapToGrid w:val="0"/>
          <w:color w:val="auto"/>
          <w:sz w:val="20"/>
          <w:szCs w:val="20"/>
        </w:rPr>
        <w:t>I</w:t>
      </w:r>
      <w:r w:rsidRPr="006669DA">
        <w:rPr>
          <w:rFonts w:ascii="Verdana" w:hAnsi="Verdana" w:cs="Verdana"/>
          <w:caps/>
          <w:snapToGrid w:val="0"/>
          <w:color w:val="auto"/>
          <w:sz w:val="20"/>
          <w:szCs w:val="20"/>
        </w:rPr>
        <w:br/>
      </w:r>
      <w:r>
        <w:rPr>
          <w:rFonts w:ascii="Verdana" w:hAnsi="Verdana" w:cs="Verdana"/>
          <w:caps/>
          <w:snapToGrid w:val="0"/>
          <w:color w:val="auto"/>
          <w:sz w:val="20"/>
          <w:szCs w:val="20"/>
        </w:rPr>
        <w:t>puntos resolutivos</w:t>
      </w:r>
      <w:bookmarkEnd w:id="109"/>
    </w:p>
    <w:p w14:paraId="751C0B07" w14:textId="77777777" w:rsidR="001863DB" w:rsidRPr="001C2A28" w:rsidRDefault="001863DB" w:rsidP="001863DB">
      <w:pPr>
        <w:contextualSpacing/>
        <w:rPr>
          <w:rFonts w:ascii="Verdana" w:hAnsi="Verdana"/>
          <w:sz w:val="20"/>
          <w:szCs w:val="20"/>
        </w:rPr>
      </w:pPr>
    </w:p>
    <w:p w14:paraId="4FE01230" w14:textId="77777777" w:rsidR="001863DB" w:rsidRPr="001C2A28" w:rsidRDefault="001863DB" w:rsidP="001863DB">
      <w:pPr>
        <w:numPr>
          <w:ilvl w:val="0"/>
          <w:numId w:val="2"/>
        </w:numPr>
        <w:ind w:left="0" w:hanging="11"/>
        <w:contextualSpacing/>
        <w:jc w:val="both"/>
        <w:rPr>
          <w:rFonts w:ascii="Verdana" w:hAnsi="Verdana"/>
          <w:sz w:val="20"/>
          <w:szCs w:val="20"/>
        </w:rPr>
      </w:pPr>
      <w:r w:rsidRPr="001C2A28">
        <w:rPr>
          <w:rFonts w:ascii="Verdana" w:hAnsi="Verdana"/>
          <w:sz w:val="20"/>
          <w:szCs w:val="20"/>
        </w:rPr>
        <w:t xml:space="preserve">Por tanto, </w:t>
      </w:r>
    </w:p>
    <w:p w14:paraId="6226A502" w14:textId="77777777" w:rsidR="00C1694E" w:rsidRDefault="00C1694E" w:rsidP="00C1694E">
      <w:pPr>
        <w:jc w:val="both"/>
        <w:rPr>
          <w:rFonts w:ascii="Verdana" w:hAnsi="Verdana"/>
          <w:sz w:val="20"/>
          <w:szCs w:val="20"/>
        </w:rPr>
      </w:pPr>
      <w:bookmarkStart w:id="110" w:name="_Toc432072843"/>
    </w:p>
    <w:p w14:paraId="7F953B4E" w14:textId="77777777" w:rsidR="00C1694E" w:rsidRDefault="00C1694E" w:rsidP="00C1694E">
      <w:pPr>
        <w:tabs>
          <w:tab w:val="left" w:pos="3669"/>
        </w:tabs>
        <w:rPr>
          <w:rFonts w:ascii="Verdana" w:hAnsi="Verdana"/>
          <w:b/>
          <w:smallCaps/>
          <w:sz w:val="20"/>
          <w:szCs w:val="20"/>
        </w:rPr>
      </w:pPr>
      <w:r>
        <w:rPr>
          <w:rFonts w:ascii="Verdana" w:hAnsi="Verdana"/>
          <w:b/>
          <w:smallCaps/>
          <w:sz w:val="20"/>
          <w:szCs w:val="20"/>
        </w:rPr>
        <w:t>LA CORTE</w:t>
      </w:r>
      <w:r>
        <w:rPr>
          <w:rFonts w:ascii="Verdana" w:hAnsi="Verdana"/>
          <w:b/>
          <w:smallCaps/>
          <w:sz w:val="20"/>
          <w:szCs w:val="20"/>
        </w:rPr>
        <w:tab/>
      </w:r>
    </w:p>
    <w:p w14:paraId="1B1109A9" w14:textId="77777777" w:rsidR="00C1694E" w:rsidRDefault="00C1694E" w:rsidP="00C1694E">
      <w:pPr>
        <w:tabs>
          <w:tab w:val="left" w:pos="3669"/>
        </w:tabs>
        <w:rPr>
          <w:rFonts w:ascii="Verdana" w:hAnsi="Verdana"/>
          <w:b/>
          <w:smallCaps/>
          <w:sz w:val="20"/>
          <w:szCs w:val="20"/>
        </w:rPr>
      </w:pPr>
    </w:p>
    <w:p w14:paraId="77AC68A4" w14:textId="77777777" w:rsidR="00C1694E" w:rsidRDefault="00C1694E" w:rsidP="00C1694E">
      <w:pPr>
        <w:pStyle w:val="ListParagraph"/>
        <w:rPr>
          <w:rFonts w:ascii="Verdana" w:hAnsi="Verdana" w:cs="Verdana"/>
          <w:sz w:val="20"/>
          <w:szCs w:val="20"/>
        </w:rPr>
      </w:pPr>
    </w:p>
    <w:p w14:paraId="2C374A06" w14:textId="77777777" w:rsidR="00C1694E" w:rsidRDefault="00C1694E" w:rsidP="00C1694E">
      <w:pPr>
        <w:tabs>
          <w:tab w:val="num" w:pos="630"/>
          <w:tab w:val="left" w:pos="720"/>
        </w:tabs>
        <w:rPr>
          <w:rFonts w:ascii="Verdana" w:hAnsi="Verdana" w:cs="Verdana"/>
          <w:b/>
          <w:color w:val="000000"/>
          <w:spacing w:val="-2"/>
          <w:sz w:val="20"/>
          <w:szCs w:val="20"/>
          <w:lang w:val="es-EC"/>
        </w:rPr>
      </w:pPr>
      <w:r>
        <w:rPr>
          <w:rFonts w:ascii="Verdana" w:hAnsi="Verdana" w:cs="Verdana"/>
          <w:b/>
          <w:color w:val="000000"/>
          <w:spacing w:val="-2"/>
          <w:sz w:val="20"/>
          <w:szCs w:val="20"/>
          <w:lang w:val="es-EC"/>
        </w:rPr>
        <w:t>DECLARA,</w:t>
      </w:r>
    </w:p>
    <w:p w14:paraId="601F97FA" w14:textId="77777777" w:rsidR="00C1694E" w:rsidRDefault="00C1694E" w:rsidP="00C1694E">
      <w:pPr>
        <w:tabs>
          <w:tab w:val="num" w:pos="630"/>
          <w:tab w:val="left" w:pos="720"/>
        </w:tabs>
        <w:rPr>
          <w:rFonts w:ascii="Verdana" w:hAnsi="Verdana" w:cs="Verdana"/>
          <w:b/>
          <w:color w:val="000000"/>
          <w:spacing w:val="-2"/>
          <w:sz w:val="20"/>
          <w:szCs w:val="20"/>
          <w:lang w:val="es-EC"/>
        </w:rPr>
      </w:pPr>
    </w:p>
    <w:p w14:paraId="37163CD2" w14:textId="77777777" w:rsidR="00C1694E" w:rsidRDefault="00C1694E" w:rsidP="00C1694E">
      <w:pPr>
        <w:autoSpaceDE w:val="0"/>
        <w:autoSpaceDN w:val="0"/>
        <w:adjustRightInd w:val="0"/>
        <w:jc w:val="both"/>
        <w:rPr>
          <w:rFonts w:ascii="Verdana" w:eastAsiaTheme="minorHAnsi" w:hAnsi="Verdana" w:cs="Verdana"/>
          <w:color w:val="000000"/>
          <w:spacing w:val="-2"/>
          <w:sz w:val="20"/>
          <w:szCs w:val="20"/>
          <w:lang w:val="es-AR"/>
        </w:rPr>
      </w:pPr>
      <w:r>
        <w:rPr>
          <w:rFonts w:ascii="Verdana" w:eastAsiaTheme="minorHAnsi" w:hAnsi="Verdana" w:cs="Verdana"/>
          <w:color w:val="000000"/>
          <w:spacing w:val="-2"/>
          <w:sz w:val="20"/>
          <w:szCs w:val="20"/>
          <w:lang w:val="es-AR"/>
        </w:rPr>
        <w:t>Por</w:t>
      </w:r>
      <w:r>
        <w:rPr>
          <w:rFonts w:ascii="Verdana" w:hAnsi="Verdana"/>
          <w:color w:val="000000"/>
          <w:spacing w:val="-2"/>
          <w:sz w:val="20"/>
          <w:lang w:val="es-AR"/>
        </w:rPr>
        <w:t xml:space="preserve"> </w:t>
      </w:r>
      <w:r>
        <w:rPr>
          <w:rFonts w:ascii="Verdana" w:eastAsiaTheme="minorHAnsi" w:hAnsi="Verdana" w:cs="Verdana"/>
          <w:color w:val="000000"/>
          <w:spacing w:val="-2"/>
          <w:sz w:val="20"/>
          <w:szCs w:val="20"/>
          <w:lang w:val="es-AR"/>
        </w:rPr>
        <w:t>seis votos a favor y uno en contra, que</w:t>
      </w:r>
    </w:p>
    <w:p w14:paraId="6B280673" w14:textId="77777777" w:rsidR="00C1694E" w:rsidRDefault="00C1694E" w:rsidP="00C1694E">
      <w:pPr>
        <w:ind w:right="11"/>
        <w:jc w:val="both"/>
        <w:rPr>
          <w:rFonts w:ascii="Verdana" w:hAnsi="Verdana" w:cs="Verdana"/>
          <w:sz w:val="20"/>
          <w:szCs w:val="20"/>
        </w:rPr>
      </w:pPr>
    </w:p>
    <w:p w14:paraId="798C5286"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lang w:val="es-CR" w:eastAsia="es-CR"/>
        </w:rPr>
        <w:t xml:space="preserve">El Estado es responsable por la violación del derecho al reconocimiento de la personalidad jurídica, contemplado en el artículo 3 de la Convención </w:t>
      </w:r>
      <w:r>
        <w:rPr>
          <w:rFonts w:ascii="Verdana" w:hAnsi="Verdana"/>
          <w:sz w:val="20"/>
          <w:szCs w:val="20"/>
          <w:lang w:val="es-GT" w:eastAsia="es-CR"/>
        </w:rPr>
        <w:t>Americana, en relación con los artículos 1</w:t>
      </w:r>
      <w:r>
        <w:rPr>
          <w:rFonts w:ascii="Verdana" w:hAnsi="Verdana"/>
          <w:sz w:val="20"/>
          <w:szCs w:val="20"/>
          <w:lang w:val="es-CR"/>
        </w:rPr>
        <w:t>.1, 2, 21 y 25</w:t>
      </w:r>
      <w:r>
        <w:rPr>
          <w:rFonts w:ascii="Verdana" w:hAnsi="Verdana"/>
          <w:sz w:val="20"/>
          <w:szCs w:val="20"/>
          <w:lang w:val="es-GT" w:eastAsia="es-CR"/>
        </w:rPr>
        <w:t xml:space="preserve"> </w:t>
      </w:r>
      <w:r>
        <w:rPr>
          <w:rFonts w:ascii="Verdana" w:hAnsi="Verdana"/>
          <w:sz w:val="20"/>
          <w:szCs w:val="20"/>
          <w:lang w:val="es-CR" w:eastAsia="es-CR"/>
        </w:rPr>
        <w:t>de la misma</w:t>
      </w:r>
      <w:r>
        <w:rPr>
          <w:rFonts w:ascii="Verdana" w:hAnsi="Verdana"/>
          <w:sz w:val="20"/>
          <w:szCs w:val="20"/>
          <w:lang w:val="es-GT" w:eastAsia="es-CR"/>
        </w:rPr>
        <w:t xml:space="preserve">, </w:t>
      </w:r>
      <w:r>
        <w:rPr>
          <w:rFonts w:ascii="Verdana" w:hAnsi="Verdana"/>
          <w:sz w:val="20"/>
          <w:szCs w:val="20"/>
        </w:rPr>
        <w:t>en perjuicio de los Pueblos Kaliña y Lokono y sus miembros, en los términos de los párrafos 105 a 114 de la presente Sentencia.</w:t>
      </w:r>
    </w:p>
    <w:p w14:paraId="1746DC56" w14:textId="77777777" w:rsidR="00C1694E" w:rsidRDefault="00C1694E" w:rsidP="00C1694E">
      <w:pPr>
        <w:ind w:right="11"/>
        <w:jc w:val="both"/>
        <w:rPr>
          <w:rFonts w:ascii="Verdana" w:hAnsi="Verdana"/>
          <w:sz w:val="20"/>
          <w:szCs w:val="20"/>
        </w:rPr>
      </w:pPr>
    </w:p>
    <w:p w14:paraId="147F9A40" w14:textId="77777777" w:rsidR="00C1694E" w:rsidRDefault="00C1694E" w:rsidP="00C1694E">
      <w:pPr>
        <w:ind w:right="11"/>
        <w:jc w:val="both"/>
        <w:rPr>
          <w:rFonts w:ascii="Verdana" w:hAnsi="Verdana" w:cs="Verdana"/>
          <w:sz w:val="20"/>
          <w:szCs w:val="20"/>
        </w:rPr>
      </w:pPr>
      <w:r>
        <w:rPr>
          <w:rFonts w:ascii="Verdana" w:hAnsi="Verdana" w:cs="Verdana"/>
          <w:sz w:val="20"/>
          <w:szCs w:val="20"/>
        </w:rPr>
        <w:t>Disiente el Juez Pérez Pérez.</w:t>
      </w:r>
    </w:p>
    <w:p w14:paraId="7E4D35E7" w14:textId="77777777" w:rsidR="00C1694E" w:rsidRDefault="00C1694E" w:rsidP="00C1694E">
      <w:pPr>
        <w:ind w:right="11"/>
        <w:jc w:val="both"/>
        <w:rPr>
          <w:rFonts w:ascii="Verdana" w:hAnsi="Verdana" w:cs="Verdana"/>
          <w:sz w:val="20"/>
          <w:szCs w:val="20"/>
        </w:rPr>
      </w:pPr>
    </w:p>
    <w:p w14:paraId="7319E902" w14:textId="77777777" w:rsidR="00C1694E" w:rsidRDefault="00C1694E" w:rsidP="00C1694E">
      <w:pPr>
        <w:autoSpaceDE w:val="0"/>
        <w:autoSpaceDN w:val="0"/>
        <w:adjustRightInd w:val="0"/>
        <w:jc w:val="both"/>
        <w:rPr>
          <w:rFonts w:ascii="Verdana" w:eastAsiaTheme="minorHAnsi" w:hAnsi="Verdana" w:cs="Verdana"/>
          <w:color w:val="000000"/>
          <w:spacing w:val="-2"/>
          <w:sz w:val="20"/>
          <w:szCs w:val="20"/>
          <w:lang w:val="es-AR"/>
        </w:rPr>
      </w:pPr>
      <w:r>
        <w:rPr>
          <w:rFonts w:ascii="Verdana" w:eastAsiaTheme="minorHAnsi" w:hAnsi="Verdana" w:cs="Verdana"/>
          <w:color w:val="000000"/>
          <w:spacing w:val="-2"/>
          <w:sz w:val="20"/>
          <w:szCs w:val="20"/>
          <w:lang w:val="es-AR"/>
        </w:rPr>
        <w:t>Por</w:t>
      </w:r>
      <w:r>
        <w:rPr>
          <w:rFonts w:ascii="Verdana" w:hAnsi="Verdana"/>
          <w:color w:val="000000"/>
          <w:spacing w:val="-2"/>
          <w:sz w:val="20"/>
          <w:lang w:val="es-AR"/>
        </w:rPr>
        <w:t xml:space="preserve"> </w:t>
      </w:r>
      <w:r>
        <w:rPr>
          <w:rFonts w:ascii="Verdana" w:eastAsiaTheme="minorHAnsi" w:hAnsi="Verdana" w:cs="Verdana"/>
          <w:color w:val="000000"/>
          <w:spacing w:val="-2"/>
          <w:sz w:val="20"/>
          <w:szCs w:val="20"/>
          <w:lang w:val="es-AR"/>
        </w:rPr>
        <w:t>seis votos a favor y uno en contra, que</w:t>
      </w:r>
    </w:p>
    <w:p w14:paraId="440CE8F0" w14:textId="77777777" w:rsidR="00C1694E" w:rsidRDefault="00C1694E" w:rsidP="00C1694E">
      <w:pPr>
        <w:ind w:right="11"/>
        <w:jc w:val="both"/>
        <w:rPr>
          <w:rFonts w:ascii="Verdana" w:hAnsi="Verdana" w:cs="Verdana"/>
          <w:sz w:val="20"/>
          <w:szCs w:val="20"/>
          <w:lang w:val="es-AR"/>
        </w:rPr>
      </w:pPr>
    </w:p>
    <w:p w14:paraId="3E5118BA"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lang w:val="es-CR" w:eastAsia="es-CR"/>
        </w:rPr>
        <w:t xml:space="preserve">El Estado es responsable por la violación del derecho a la propiedad colectiva y los derechos políticos, reconocidos en los artículos 21 y 23 de la Convención </w:t>
      </w:r>
      <w:r>
        <w:rPr>
          <w:rFonts w:ascii="Verdana" w:hAnsi="Verdana"/>
          <w:sz w:val="20"/>
          <w:szCs w:val="20"/>
          <w:lang w:val="es-GT" w:eastAsia="es-CR"/>
        </w:rPr>
        <w:t xml:space="preserve">Americana, en relación con los artículos 1.1 y 2 </w:t>
      </w:r>
      <w:r>
        <w:rPr>
          <w:rFonts w:ascii="Verdana" w:hAnsi="Verdana"/>
          <w:sz w:val="20"/>
          <w:szCs w:val="20"/>
          <w:lang w:val="es-CR" w:eastAsia="es-CR"/>
        </w:rPr>
        <w:t>de la misma</w:t>
      </w:r>
      <w:r>
        <w:rPr>
          <w:rFonts w:ascii="Verdana" w:hAnsi="Verdana"/>
          <w:sz w:val="20"/>
          <w:szCs w:val="20"/>
          <w:lang w:val="es-GT" w:eastAsia="es-CR"/>
        </w:rPr>
        <w:t xml:space="preserve">, </w:t>
      </w:r>
      <w:r>
        <w:rPr>
          <w:rFonts w:ascii="Verdana" w:hAnsi="Verdana"/>
          <w:sz w:val="20"/>
          <w:szCs w:val="20"/>
        </w:rPr>
        <w:t>en perjuicio de los Pueblos Kaliña y Lokono y sus miembros, en los términos de los párrafos 122 a 230 de la presente Sentencia.</w:t>
      </w:r>
    </w:p>
    <w:p w14:paraId="482E73BB" w14:textId="77777777" w:rsidR="00C1694E" w:rsidRDefault="00C1694E" w:rsidP="00C1694E">
      <w:pPr>
        <w:ind w:right="11"/>
        <w:jc w:val="both"/>
        <w:rPr>
          <w:rFonts w:ascii="Verdana" w:hAnsi="Verdana" w:cs="Verdana"/>
          <w:sz w:val="20"/>
          <w:szCs w:val="20"/>
        </w:rPr>
      </w:pPr>
    </w:p>
    <w:p w14:paraId="391AB6CF" w14:textId="77777777" w:rsidR="00C1694E" w:rsidRDefault="00C1694E" w:rsidP="00C1694E">
      <w:pPr>
        <w:ind w:right="11"/>
        <w:jc w:val="both"/>
        <w:rPr>
          <w:rFonts w:ascii="Verdana" w:hAnsi="Verdana" w:cs="Verdana"/>
          <w:sz w:val="20"/>
          <w:szCs w:val="20"/>
        </w:rPr>
      </w:pPr>
      <w:r>
        <w:rPr>
          <w:rFonts w:ascii="Verdana" w:hAnsi="Verdana" w:cs="Verdana"/>
          <w:sz w:val="20"/>
          <w:szCs w:val="20"/>
        </w:rPr>
        <w:t>Disiente el Juez Pérez Pérez.</w:t>
      </w:r>
    </w:p>
    <w:p w14:paraId="50E3EFED" w14:textId="77777777" w:rsidR="00C1694E" w:rsidRDefault="00C1694E" w:rsidP="00C1694E">
      <w:pPr>
        <w:ind w:right="11"/>
        <w:jc w:val="both"/>
        <w:rPr>
          <w:rFonts w:ascii="Verdana" w:hAnsi="Verdana" w:cs="Verdana"/>
          <w:sz w:val="20"/>
          <w:szCs w:val="20"/>
        </w:rPr>
      </w:pPr>
    </w:p>
    <w:p w14:paraId="537830F0" w14:textId="77777777" w:rsidR="00C1694E" w:rsidRDefault="00C1694E" w:rsidP="00C1694E">
      <w:pPr>
        <w:autoSpaceDE w:val="0"/>
        <w:autoSpaceDN w:val="0"/>
        <w:adjustRightInd w:val="0"/>
        <w:jc w:val="both"/>
        <w:rPr>
          <w:rFonts w:ascii="Verdana" w:eastAsiaTheme="minorHAnsi" w:hAnsi="Verdana" w:cs="Verdana"/>
          <w:color w:val="000000"/>
          <w:spacing w:val="-2"/>
          <w:sz w:val="20"/>
          <w:szCs w:val="20"/>
          <w:lang w:val="es-AR"/>
        </w:rPr>
      </w:pPr>
      <w:r>
        <w:rPr>
          <w:rFonts w:ascii="Verdana" w:eastAsiaTheme="minorHAnsi" w:hAnsi="Verdana" w:cs="Verdana"/>
          <w:color w:val="000000"/>
          <w:spacing w:val="-2"/>
          <w:sz w:val="20"/>
          <w:szCs w:val="20"/>
          <w:lang w:val="es-AR"/>
        </w:rPr>
        <w:t>Por</w:t>
      </w:r>
      <w:r>
        <w:rPr>
          <w:rFonts w:ascii="Verdana" w:hAnsi="Verdana"/>
          <w:color w:val="000000"/>
          <w:spacing w:val="-2"/>
          <w:sz w:val="20"/>
          <w:lang w:val="es-AR"/>
        </w:rPr>
        <w:t xml:space="preserve"> </w:t>
      </w:r>
      <w:r>
        <w:rPr>
          <w:rFonts w:ascii="Verdana" w:eastAsiaTheme="minorHAnsi" w:hAnsi="Verdana" w:cs="Verdana"/>
          <w:color w:val="000000"/>
          <w:spacing w:val="-2"/>
          <w:sz w:val="20"/>
          <w:szCs w:val="20"/>
          <w:lang w:val="es-AR"/>
        </w:rPr>
        <w:t>seis votos a favor y uno en contra, que</w:t>
      </w:r>
    </w:p>
    <w:p w14:paraId="44FA38DC" w14:textId="77777777" w:rsidR="00C1694E" w:rsidRDefault="00C1694E" w:rsidP="00C1694E">
      <w:pPr>
        <w:ind w:right="11"/>
        <w:jc w:val="both"/>
        <w:rPr>
          <w:rFonts w:ascii="Verdana" w:hAnsi="Verdana" w:cs="Verdana"/>
          <w:sz w:val="20"/>
          <w:szCs w:val="20"/>
        </w:rPr>
      </w:pPr>
    </w:p>
    <w:p w14:paraId="4E642950"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lang w:val="es-CR" w:eastAsia="es-CR"/>
        </w:rPr>
        <w:t xml:space="preserve">El Estado es responsable por la violación del derecho a la protección judicial, reconocido en el artículo 25 de la Convención </w:t>
      </w:r>
      <w:r>
        <w:rPr>
          <w:rFonts w:ascii="Verdana" w:hAnsi="Verdana"/>
          <w:sz w:val="20"/>
          <w:szCs w:val="20"/>
          <w:lang w:val="es-GT" w:eastAsia="es-CR"/>
        </w:rPr>
        <w:t xml:space="preserve">Americana, en relación con los artículos 1.1, 2 y 13 de la misma, </w:t>
      </w:r>
      <w:r>
        <w:rPr>
          <w:rFonts w:ascii="Verdana" w:hAnsi="Verdana"/>
          <w:sz w:val="20"/>
          <w:szCs w:val="20"/>
        </w:rPr>
        <w:t>en perjuicio de los Pueblos Kaliña y Lokono y sus miembros, en los términos de los párrafos 237 a 268 de la presente Sentencia.</w:t>
      </w:r>
    </w:p>
    <w:p w14:paraId="7391B049" w14:textId="77777777" w:rsidR="00C1694E" w:rsidRDefault="00C1694E" w:rsidP="00C1694E">
      <w:pPr>
        <w:ind w:right="11"/>
        <w:jc w:val="both"/>
        <w:rPr>
          <w:rFonts w:ascii="Verdana" w:hAnsi="Verdana" w:cs="Verdana"/>
          <w:sz w:val="20"/>
          <w:szCs w:val="20"/>
        </w:rPr>
      </w:pPr>
    </w:p>
    <w:p w14:paraId="3724D2A3" w14:textId="77777777" w:rsidR="00C1694E" w:rsidRDefault="00C1694E" w:rsidP="00C1694E">
      <w:pPr>
        <w:ind w:right="11"/>
        <w:jc w:val="both"/>
        <w:rPr>
          <w:rFonts w:ascii="Verdana" w:hAnsi="Verdana" w:cs="Verdana"/>
          <w:sz w:val="20"/>
          <w:szCs w:val="20"/>
        </w:rPr>
      </w:pPr>
      <w:r>
        <w:rPr>
          <w:rFonts w:ascii="Verdana" w:hAnsi="Verdana" w:cs="Verdana"/>
          <w:sz w:val="20"/>
          <w:szCs w:val="20"/>
        </w:rPr>
        <w:t>Disiente el Juez Pérez Pérez.</w:t>
      </w:r>
    </w:p>
    <w:p w14:paraId="1AB18345" w14:textId="77777777" w:rsidR="00C1694E" w:rsidRDefault="00C1694E" w:rsidP="00C1694E">
      <w:pPr>
        <w:ind w:right="11"/>
        <w:jc w:val="both"/>
        <w:rPr>
          <w:rFonts w:ascii="Verdana" w:hAnsi="Verdana" w:cs="Verdana"/>
          <w:sz w:val="20"/>
          <w:szCs w:val="20"/>
        </w:rPr>
      </w:pPr>
    </w:p>
    <w:p w14:paraId="2705AF8E" w14:textId="77777777" w:rsidR="00C1694E" w:rsidRDefault="00C1694E" w:rsidP="00C1694E">
      <w:pPr>
        <w:ind w:right="11"/>
        <w:jc w:val="both"/>
        <w:rPr>
          <w:rFonts w:ascii="Verdana" w:hAnsi="Verdana"/>
          <w:b/>
          <w:sz w:val="20"/>
        </w:rPr>
      </w:pPr>
      <w:r>
        <w:rPr>
          <w:rFonts w:ascii="Verdana" w:hAnsi="Verdana"/>
          <w:b/>
          <w:sz w:val="20"/>
        </w:rPr>
        <w:t>Y DISPONE,</w:t>
      </w:r>
    </w:p>
    <w:p w14:paraId="202CAAFC" w14:textId="77777777" w:rsidR="00C1694E" w:rsidRDefault="00C1694E" w:rsidP="00C1694E">
      <w:pPr>
        <w:ind w:right="11"/>
        <w:jc w:val="both"/>
        <w:rPr>
          <w:rFonts w:ascii="Verdana" w:hAnsi="Verdana" w:cs="Verdana"/>
          <w:sz w:val="20"/>
          <w:szCs w:val="20"/>
        </w:rPr>
      </w:pPr>
    </w:p>
    <w:p w14:paraId="6CA85B90" w14:textId="77777777" w:rsidR="00C1694E" w:rsidRDefault="00C1694E" w:rsidP="00C1694E">
      <w:pPr>
        <w:rPr>
          <w:rFonts w:ascii="Verdana" w:hAnsi="Verdana" w:cs="Verdana"/>
          <w:sz w:val="20"/>
          <w:szCs w:val="20"/>
        </w:rPr>
      </w:pPr>
      <w:r>
        <w:rPr>
          <w:rFonts w:ascii="Verdana" w:hAnsi="Verdana" w:cs="Verdana"/>
          <w:sz w:val="20"/>
          <w:szCs w:val="20"/>
        </w:rPr>
        <w:t>Por unanimidad, que:</w:t>
      </w:r>
    </w:p>
    <w:p w14:paraId="11CD913C" w14:textId="77777777" w:rsidR="00C1694E" w:rsidRDefault="00C1694E" w:rsidP="00C1694E">
      <w:pPr>
        <w:rPr>
          <w:rFonts w:ascii="Verdana" w:hAnsi="Verdana" w:cs="Verdana"/>
          <w:strike/>
          <w:sz w:val="20"/>
          <w:szCs w:val="20"/>
        </w:rPr>
      </w:pPr>
    </w:p>
    <w:p w14:paraId="16497042"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rPr>
        <w:t>Esta Sentencia constituye por sí misma una forma de reparación.</w:t>
      </w:r>
    </w:p>
    <w:p w14:paraId="1A645611" w14:textId="77777777" w:rsidR="00C1694E" w:rsidRDefault="00C1694E" w:rsidP="00C1694E">
      <w:pPr>
        <w:ind w:right="11"/>
        <w:jc w:val="both"/>
        <w:rPr>
          <w:rFonts w:ascii="Verdana" w:hAnsi="Verdana" w:cs="Verdana"/>
          <w:sz w:val="20"/>
          <w:szCs w:val="20"/>
        </w:rPr>
      </w:pPr>
    </w:p>
    <w:p w14:paraId="16468599" w14:textId="77777777" w:rsidR="00C1694E" w:rsidRDefault="00C1694E" w:rsidP="00C1694E">
      <w:pPr>
        <w:numPr>
          <w:ilvl w:val="0"/>
          <w:numId w:val="48"/>
        </w:numPr>
        <w:ind w:left="0" w:right="11" w:firstLine="0"/>
        <w:jc w:val="both"/>
        <w:rPr>
          <w:rFonts w:ascii="Verdana" w:hAnsi="Verdana" w:cs="Verdana"/>
          <w:sz w:val="20"/>
          <w:szCs w:val="20"/>
        </w:rPr>
      </w:pPr>
      <w:r>
        <w:rPr>
          <w:rFonts w:ascii="Verdana" w:eastAsia="MS Mincho" w:hAnsi="Verdana" w:cs="Verdana"/>
          <w:w w:val="95"/>
          <w:sz w:val="20"/>
          <w:szCs w:val="20"/>
        </w:rPr>
        <w:t xml:space="preserve">El </w:t>
      </w:r>
      <w:r>
        <w:rPr>
          <w:rFonts w:ascii="Verdana" w:hAnsi="Verdana"/>
          <w:sz w:val="20"/>
          <w:szCs w:val="20"/>
          <w:lang w:bidi="en-US"/>
        </w:rPr>
        <w:t>Estado</w:t>
      </w:r>
      <w:r>
        <w:rPr>
          <w:rFonts w:ascii="Verdana" w:eastAsia="MS Mincho" w:hAnsi="Verdana" w:cs="Verdana"/>
          <w:w w:val="95"/>
          <w:sz w:val="20"/>
          <w:szCs w:val="20"/>
        </w:rPr>
        <w:t xml:space="preserve"> </w:t>
      </w:r>
      <w:r>
        <w:rPr>
          <w:rFonts w:ascii="Verdana" w:hAnsi="Verdana"/>
          <w:sz w:val="20"/>
          <w:szCs w:val="20"/>
          <w:lang w:val="es-MX"/>
        </w:rPr>
        <w:t xml:space="preserve">deberá otorgar a los Pueblos Kaliña y Lokono el reconocimiento legal de la personalidad jurídica colectiva, </w:t>
      </w:r>
      <w:r>
        <w:rPr>
          <w:rFonts w:ascii="Verdana" w:hAnsi="Verdana"/>
          <w:sz w:val="20"/>
          <w:szCs w:val="20"/>
        </w:rPr>
        <w:t>en los términos establecidos en el párrafo 279</w:t>
      </w:r>
      <w:r w:rsidR="00FF1704">
        <w:rPr>
          <w:rFonts w:ascii="Verdana" w:hAnsi="Verdana"/>
          <w:sz w:val="20"/>
          <w:szCs w:val="20"/>
        </w:rPr>
        <w:t>.i.a</w:t>
      </w:r>
      <w:r>
        <w:rPr>
          <w:rFonts w:ascii="Verdana" w:hAnsi="Verdana"/>
          <w:sz w:val="20"/>
          <w:szCs w:val="20"/>
        </w:rPr>
        <w:t xml:space="preserve"> de la presente Sentencia.</w:t>
      </w:r>
    </w:p>
    <w:p w14:paraId="2A7FF3A2" w14:textId="77777777" w:rsidR="00C1694E" w:rsidRDefault="00C1694E" w:rsidP="00C1694E">
      <w:pPr>
        <w:pStyle w:val="ListParagraph"/>
        <w:rPr>
          <w:rFonts w:ascii="Verdana" w:hAnsi="Verdana" w:cs="Verdana"/>
          <w:sz w:val="20"/>
          <w:szCs w:val="20"/>
        </w:rPr>
      </w:pPr>
    </w:p>
    <w:p w14:paraId="09B25869" w14:textId="48DE7513" w:rsidR="00C1694E" w:rsidRDefault="00C1694E" w:rsidP="00C1694E">
      <w:pPr>
        <w:numPr>
          <w:ilvl w:val="0"/>
          <w:numId w:val="48"/>
        </w:numPr>
        <w:ind w:left="0" w:right="11" w:firstLine="0"/>
        <w:jc w:val="both"/>
        <w:rPr>
          <w:rFonts w:ascii="Verdana" w:hAnsi="Verdana" w:cs="Verdana"/>
          <w:sz w:val="20"/>
          <w:szCs w:val="20"/>
        </w:rPr>
      </w:pPr>
      <w:r>
        <w:rPr>
          <w:rFonts w:ascii="Verdana" w:eastAsia="MS Mincho" w:hAnsi="Verdana" w:cs="Verdana"/>
          <w:w w:val="95"/>
          <w:sz w:val="20"/>
          <w:szCs w:val="20"/>
        </w:rPr>
        <w:t xml:space="preserve">El </w:t>
      </w:r>
      <w:r>
        <w:rPr>
          <w:rFonts w:ascii="Verdana" w:hAnsi="Verdana"/>
          <w:sz w:val="20"/>
          <w:szCs w:val="20"/>
          <w:lang w:bidi="en-US"/>
        </w:rPr>
        <w:t>Estado</w:t>
      </w:r>
      <w:r>
        <w:rPr>
          <w:rFonts w:ascii="Verdana" w:eastAsia="MS Mincho" w:hAnsi="Verdana" w:cs="Verdana"/>
          <w:w w:val="95"/>
          <w:sz w:val="20"/>
          <w:szCs w:val="20"/>
        </w:rPr>
        <w:t xml:space="preserve"> </w:t>
      </w:r>
      <w:r>
        <w:rPr>
          <w:rFonts w:ascii="Verdana" w:hAnsi="Verdana"/>
          <w:sz w:val="20"/>
          <w:szCs w:val="20"/>
          <w:lang w:val="es-MX"/>
        </w:rPr>
        <w:t>deberá</w:t>
      </w:r>
      <w:r>
        <w:rPr>
          <w:rFonts w:ascii="Verdana" w:hAnsi="Verdana"/>
          <w:sz w:val="20"/>
          <w:lang w:val="es-MX"/>
        </w:rPr>
        <w:t xml:space="preserve"> </w:t>
      </w:r>
      <w:r>
        <w:rPr>
          <w:rFonts w:ascii="Verdana" w:hAnsi="Verdana"/>
          <w:sz w:val="20"/>
          <w:szCs w:val="20"/>
          <w:lang w:val="es-CR"/>
        </w:rPr>
        <w:t>delimitar, demarcar y</w:t>
      </w:r>
      <w:r>
        <w:rPr>
          <w:szCs w:val="20"/>
          <w:lang w:val="es-CR"/>
        </w:rPr>
        <w:t xml:space="preserve"> </w:t>
      </w:r>
      <w:r>
        <w:rPr>
          <w:rFonts w:ascii="Verdana" w:hAnsi="Verdana"/>
          <w:sz w:val="20"/>
          <w:szCs w:val="20"/>
          <w:lang w:val="es-CR"/>
        </w:rPr>
        <w:t>otorgar tí</w:t>
      </w:r>
      <w:r w:rsidR="00F215A4">
        <w:rPr>
          <w:rFonts w:ascii="Verdana" w:hAnsi="Verdana"/>
          <w:sz w:val="20"/>
          <w:szCs w:val="20"/>
          <w:lang w:val="es-CR"/>
        </w:rPr>
        <w:t xml:space="preserve">tulo colectivo del territorio </w:t>
      </w:r>
      <w:r w:rsidR="00B340D4">
        <w:rPr>
          <w:rFonts w:ascii="Verdana" w:hAnsi="Verdana"/>
          <w:sz w:val="20"/>
          <w:szCs w:val="20"/>
          <w:lang w:val="es-CR"/>
        </w:rPr>
        <w:t xml:space="preserve">tradicional </w:t>
      </w:r>
      <w:r w:rsidR="00F215A4">
        <w:rPr>
          <w:rFonts w:ascii="Verdana" w:hAnsi="Verdana"/>
          <w:sz w:val="20"/>
          <w:szCs w:val="20"/>
          <w:lang w:val="es-CR"/>
        </w:rPr>
        <w:t>a</w:t>
      </w:r>
      <w:r>
        <w:rPr>
          <w:rFonts w:ascii="Verdana" w:hAnsi="Verdana"/>
          <w:sz w:val="20"/>
          <w:szCs w:val="20"/>
          <w:lang w:val="es-CR"/>
        </w:rPr>
        <w:t xml:space="preserve"> los miembros de los Pueblos Kaliña y Lokono, así como gara</w:t>
      </w:r>
      <w:r w:rsidR="00E1574D">
        <w:rPr>
          <w:rFonts w:ascii="Verdana" w:hAnsi="Verdana"/>
          <w:sz w:val="20"/>
          <w:szCs w:val="20"/>
          <w:lang w:val="es-CR"/>
        </w:rPr>
        <w:t xml:space="preserve">ntizar su uso y goce efectivo, </w:t>
      </w:r>
      <w:r>
        <w:rPr>
          <w:rFonts w:ascii="Verdana" w:hAnsi="Verdana"/>
          <w:sz w:val="20"/>
          <w:szCs w:val="20"/>
          <w:lang w:val="es-CR"/>
        </w:rPr>
        <w:t xml:space="preserve">tomando en cuenta los derechos que asisten a otros pueblos tribales en la zona, </w:t>
      </w:r>
      <w:r>
        <w:rPr>
          <w:rFonts w:ascii="Verdana" w:hAnsi="Verdana"/>
          <w:sz w:val="20"/>
          <w:szCs w:val="20"/>
        </w:rPr>
        <w:t>en</w:t>
      </w:r>
      <w:r w:rsidR="005826FB">
        <w:rPr>
          <w:rFonts w:ascii="Verdana" w:hAnsi="Verdana"/>
          <w:sz w:val="20"/>
          <w:szCs w:val="20"/>
        </w:rPr>
        <w:t xml:space="preserve"> los términos establecidos en los</w:t>
      </w:r>
      <w:r>
        <w:rPr>
          <w:rFonts w:ascii="Verdana" w:hAnsi="Verdana"/>
          <w:sz w:val="20"/>
          <w:szCs w:val="20"/>
        </w:rPr>
        <w:t xml:space="preserve"> párrafo</w:t>
      </w:r>
      <w:r w:rsidR="005826FB">
        <w:rPr>
          <w:rFonts w:ascii="Verdana" w:hAnsi="Verdana"/>
          <w:sz w:val="20"/>
          <w:szCs w:val="20"/>
        </w:rPr>
        <w:t>s</w:t>
      </w:r>
      <w:r>
        <w:rPr>
          <w:rFonts w:ascii="Verdana" w:hAnsi="Verdana"/>
          <w:sz w:val="20"/>
          <w:szCs w:val="20"/>
        </w:rPr>
        <w:t xml:space="preserve"> 279</w:t>
      </w:r>
      <w:r w:rsidR="00FF1704">
        <w:rPr>
          <w:rFonts w:ascii="Verdana" w:hAnsi="Verdana"/>
          <w:sz w:val="20"/>
          <w:szCs w:val="20"/>
        </w:rPr>
        <w:t>.i.b, 284 y 285</w:t>
      </w:r>
      <w:r>
        <w:rPr>
          <w:rFonts w:ascii="Verdana" w:hAnsi="Verdana"/>
          <w:sz w:val="20"/>
          <w:szCs w:val="20"/>
        </w:rPr>
        <w:t xml:space="preserve"> de la presente Sentencia.</w:t>
      </w:r>
    </w:p>
    <w:p w14:paraId="19F65D5C" w14:textId="77777777" w:rsidR="00C1694E" w:rsidRDefault="00C1694E" w:rsidP="00C1694E">
      <w:pPr>
        <w:pStyle w:val="ListParagraph"/>
        <w:rPr>
          <w:rFonts w:ascii="Verdana" w:hAnsi="Verdana" w:cs="Verdana"/>
          <w:sz w:val="20"/>
          <w:szCs w:val="20"/>
        </w:rPr>
      </w:pPr>
    </w:p>
    <w:p w14:paraId="1B684227"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rPr>
        <w:t>E</w:t>
      </w:r>
      <w:r>
        <w:rPr>
          <w:rFonts w:ascii="Verdana" w:hAnsi="Verdana"/>
          <w:sz w:val="20"/>
          <w:szCs w:val="20"/>
          <w:lang w:val="es-CR"/>
        </w:rPr>
        <w:t xml:space="preserve">l Estado deberá, a través de sus autoridades competentes, establecer </w:t>
      </w:r>
      <w:r>
        <w:rPr>
          <w:rFonts w:ascii="Verdana" w:hAnsi="Verdana"/>
          <w:sz w:val="20"/>
          <w:lang w:val="es-CR"/>
        </w:rPr>
        <w:t xml:space="preserve">la </w:t>
      </w:r>
      <w:r>
        <w:rPr>
          <w:rFonts w:ascii="Verdana" w:hAnsi="Verdana"/>
          <w:sz w:val="20"/>
          <w:szCs w:val="20"/>
          <w:lang w:val="es-CR"/>
        </w:rPr>
        <w:t xml:space="preserve">manera como se protegerán los derechos territoriales de los Pueblos Kaliña y Lokono en caso de que las tierras reclamadas sean propiedad del Estado o de terceros, </w:t>
      </w:r>
      <w:r>
        <w:rPr>
          <w:rFonts w:ascii="Verdana" w:hAnsi="Verdana"/>
          <w:sz w:val="20"/>
          <w:szCs w:val="20"/>
        </w:rPr>
        <w:t>en los términos establecidos en los párrafos 280 a 285 de la presente Sentencia.</w:t>
      </w:r>
    </w:p>
    <w:p w14:paraId="09BEA0B2" w14:textId="77777777" w:rsidR="00C1694E" w:rsidRDefault="00C1694E" w:rsidP="00C1694E">
      <w:pPr>
        <w:rPr>
          <w:szCs w:val="20"/>
          <w:lang w:val="es-CR"/>
        </w:rPr>
      </w:pPr>
    </w:p>
    <w:p w14:paraId="71278DED" w14:textId="62B8EBA4" w:rsidR="00C1694E" w:rsidRDefault="00C1694E" w:rsidP="00C1694E">
      <w:pPr>
        <w:numPr>
          <w:ilvl w:val="0"/>
          <w:numId w:val="48"/>
        </w:numPr>
        <w:ind w:left="0" w:right="11" w:firstLine="0"/>
        <w:jc w:val="both"/>
        <w:rPr>
          <w:rFonts w:ascii="Verdana" w:hAnsi="Verdana"/>
          <w:sz w:val="20"/>
          <w:szCs w:val="20"/>
          <w:lang w:val="es-CR"/>
        </w:rPr>
      </w:pPr>
      <w:r>
        <w:rPr>
          <w:rFonts w:ascii="Verdana" w:hAnsi="Verdana"/>
          <w:sz w:val="20"/>
          <w:szCs w:val="20"/>
          <w:lang w:val="es-CR"/>
        </w:rPr>
        <w:t>El Estado deberá adoptar las</w:t>
      </w:r>
      <w:r>
        <w:rPr>
          <w:rFonts w:ascii="Verdana" w:hAnsi="Verdana" w:cs="Arial"/>
          <w:sz w:val="20"/>
          <w:szCs w:val="20"/>
          <w:lang w:val="es-ES"/>
        </w:rPr>
        <w:t xml:space="preserve"> medidas adecuadas para que </w:t>
      </w:r>
      <w:r>
        <w:rPr>
          <w:rFonts w:ascii="Verdana" w:hAnsi="Verdana"/>
          <w:sz w:val="20"/>
          <w:lang w:val="es-ES"/>
        </w:rPr>
        <w:t>se garantice el</w:t>
      </w:r>
      <w:r>
        <w:rPr>
          <w:rFonts w:ascii="Verdana" w:hAnsi="Verdana" w:cs="Arial"/>
          <w:sz w:val="20"/>
          <w:szCs w:val="20"/>
          <w:lang w:val="es-ES"/>
        </w:rPr>
        <w:t xml:space="preserve"> acceso, uso y participación efectiva en favor </w:t>
      </w:r>
      <w:r>
        <w:rPr>
          <w:rFonts w:ascii="Verdana" w:hAnsi="Verdana"/>
          <w:sz w:val="20"/>
          <w:lang w:val="es-ES"/>
        </w:rPr>
        <w:t xml:space="preserve">de </w:t>
      </w:r>
      <w:r>
        <w:rPr>
          <w:rFonts w:ascii="Verdana" w:hAnsi="Verdana" w:cs="Arial"/>
          <w:sz w:val="20"/>
          <w:szCs w:val="20"/>
          <w:lang w:val="es-ES"/>
        </w:rPr>
        <w:t>los Pueblos Kaliña y Lokono</w:t>
      </w:r>
      <w:r>
        <w:rPr>
          <w:rFonts w:ascii="Verdana" w:hAnsi="Verdana"/>
          <w:sz w:val="20"/>
          <w:lang w:val="es-ES"/>
        </w:rPr>
        <w:t xml:space="preserve"> en las </w:t>
      </w:r>
      <w:r w:rsidR="007F4E4C">
        <w:rPr>
          <w:rFonts w:ascii="Verdana" w:hAnsi="Verdana"/>
          <w:sz w:val="20"/>
          <w:lang w:val="es-ES"/>
        </w:rPr>
        <w:t>r</w:t>
      </w:r>
      <w:r>
        <w:rPr>
          <w:rFonts w:ascii="Verdana" w:hAnsi="Verdana"/>
          <w:sz w:val="20"/>
          <w:lang w:val="es-ES"/>
        </w:rPr>
        <w:t>eservas</w:t>
      </w:r>
      <w:r>
        <w:rPr>
          <w:rFonts w:ascii="Verdana" w:hAnsi="Verdana" w:cs="Arial"/>
          <w:sz w:val="20"/>
          <w:szCs w:val="20"/>
          <w:lang w:val="es-ES"/>
        </w:rPr>
        <w:t xml:space="preserve"> </w:t>
      </w:r>
      <w:r w:rsidR="007F4E4C">
        <w:rPr>
          <w:rFonts w:ascii="Verdana" w:hAnsi="Verdana" w:cs="Arial"/>
          <w:sz w:val="20"/>
          <w:szCs w:val="20"/>
          <w:lang w:val="es-ES"/>
        </w:rPr>
        <w:t>n</w:t>
      </w:r>
      <w:r>
        <w:rPr>
          <w:rFonts w:ascii="Verdana" w:hAnsi="Verdana" w:cs="Arial"/>
          <w:sz w:val="20"/>
          <w:szCs w:val="20"/>
          <w:lang w:val="es-ES"/>
        </w:rPr>
        <w:t xml:space="preserve">aturales de Galibi y Wane Kreek, </w:t>
      </w:r>
      <w:r>
        <w:rPr>
          <w:rFonts w:ascii="Verdana" w:hAnsi="Verdana"/>
          <w:sz w:val="20"/>
          <w:szCs w:val="20"/>
        </w:rPr>
        <w:t>en los términos establecidos en el párrafo 286 de la presente Sentencia.</w:t>
      </w:r>
    </w:p>
    <w:p w14:paraId="157C9EF5" w14:textId="77777777" w:rsidR="00C1694E" w:rsidRDefault="00C1694E" w:rsidP="00C1694E">
      <w:pPr>
        <w:ind w:right="11"/>
        <w:jc w:val="both"/>
        <w:rPr>
          <w:rFonts w:ascii="Verdana" w:hAnsi="Verdana"/>
          <w:sz w:val="20"/>
          <w:szCs w:val="20"/>
          <w:lang w:val="es-CR"/>
        </w:rPr>
      </w:pPr>
    </w:p>
    <w:p w14:paraId="68EAD905" w14:textId="366A7179" w:rsidR="00C1694E" w:rsidRDefault="00C1694E" w:rsidP="00C1694E">
      <w:pPr>
        <w:numPr>
          <w:ilvl w:val="0"/>
          <w:numId w:val="48"/>
        </w:numPr>
        <w:ind w:left="0" w:right="11" w:firstLine="0"/>
        <w:jc w:val="both"/>
        <w:rPr>
          <w:rFonts w:ascii="Verdana" w:hAnsi="Verdana"/>
          <w:sz w:val="20"/>
          <w:lang w:val="es-CR"/>
        </w:rPr>
      </w:pPr>
      <w:r>
        <w:rPr>
          <w:rFonts w:ascii="Verdana" w:eastAsia="Times New Roman" w:hAnsi="Verdana"/>
          <w:color w:val="000000"/>
          <w:sz w:val="20"/>
          <w:lang w:val="es-CR" w:eastAsia="es-CR"/>
        </w:rPr>
        <w:t xml:space="preserve">El </w:t>
      </w:r>
      <w:r>
        <w:rPr>
          <w:rFonts w:ascii="Verdana" w:hAnsi="Verdana"/>
          <w:sz w:val="20"/>
          <w:lang w:val="es-CR"/>
        </w:rPr>
        <w:t>Estado deberá adoptar las medidas necesarias para que no se lleven a cabo a</w:t>
      </w:r>
      <w:r w:rsidR="00E1574D">
        <w:rPr>
          <w:rFonts w:ascii="Verdana" w:hAnsi="Verdana"/>
          <w:sz w:val="20"/>
          <w:lang w:val="es-CR"/>
        </w:rPr>
        <w:t>ctividades que puedan afectar su</w:t>
      </w:r>
      <w:r>
        <w:rPr>
          <w:rFonts w:ascii="Verdana" w:hAnsi="Verdana"/>
          <w:sz w:val="20"/>
          <w:lang w:val="es-CR"/>
        </w:rPr>
        <w:t xml:space="preserve"> territorio tradicional, en particular en la reserva de Wane Kreek, mientras no se garanticen los proceso referidos para la participación efectiva de los</w:t>
      </w:r>
      <w:r>
        <w:rPr>
          <w:rFonts w:ascii="Verdana" w:hAnsi="Verdana"/>
          <w:b/>
          <w:sz w:val="20"/>
          <w:lang w:val="es-CR"/>
        </w:rPr>
        <w:t xml:space="preserve"> </w:t>
      </w:r>
      <w:r>
        <w:rPr>
          <w:rFonts w:ascii="Verdana" w:hAnsi="Verdana"/>
          <w:sz w:val="20"/>
          <w:lang w:val="es-CR"/>
        </w:rPr>
        <w:t xml:space="preserve">Pueblos Kaliña y Lokono, </w:t>
      </w:r>
      <w:r>
        <w:rPr>
          <w:rFonts w:ascii="Verdana" w:hAnsi="Verdana"/>
          <w:sz w:val="20"/>
        </w:rPr>
        <w:t>en los términos establecidos en el párrafo 287 de la presente Sentencia.</w:t>
      </w:r>
    </w:p>
    <w:p w14:paraId="1494819E" w14:textId="77777777" w:rsidR="00C1694E" w:rsidRDefault="00C1694E" w:rsidP="00C1694E">
      <w:pPr>
        <w:rPr>
          <w:szCs w:val="20"/>
          <w:lang w:val="es-CR"/>
        </w:rPr>
      </w:pPr>
    </w:p>
    <w:p w14:paraId="203D33FC" w14:textId="77777777" w:rsidR="00C1694E" w:rsidRDefault="00C1694E" w:rsidP="00C1694E">
      <w:pPr>
        <w:numPr>
          <w:ilvl w:val="0"/>
          <w:numId w:val="48"/>
        </w:numPr>
        <w:ind w:left="0" w:right="11" w:firstLine="0"/>
        <w:jc w:val="both"/>
        <w:rPr>
          <w:rFonts w:ascii="Verdana" w:hAnsi="Verdana"/>
          <w:sz w:val="20"/>
          <w:szCs w:val="20"/>
          <w:lang w:val="es-CR"/>
        </w:rPr>
      </w:pPr>
      <w:r>
        <w:rPr>
          <w:rFonts w:ascii="Verdana" w:eastAsia="Times New Roman" w:hAnsi="Verdana"/>
          <w:bCs/>
          <w:color w:val="000000"/>
          <w:sz w:val="20"/>
          <w:szCs w:val="20"/>
          <w:lang w:val="es-CR" w:eastAsia="es-CR"/>
        </w:rPr>
        <w:t xml:space="preserve">El </w:t>
      </w:r>
      <w:r>
        <w:rPr>
          <w:rFonts w:ascii="Verdana" w:hAnsi="Verdana"/>
          <w:sz w:val="20"/>
          <w:szCs w:val="20"/>
          <w:lang w:val="es-CR"/>
        </w:rPr>
        <w:t xml:space="preserve">Estado deberá </w:t>
      </w:r>
      <w:r>
        <w:rPr>
          <w:rFonts w:ascii="Verdana" w:hAnsi="Verdana"/>
          <w:sz w:val="20"/>
          <w:szCs w:val="20"/>
          <w:lang w:val="es-PE"/>
        </w:rPr>
        <w:t xml:space="preserve">implementar las acciones suficientes y necesarias con el fin de rehabilitar la zona afectada en la Reserva Natural de Wane Kreek, </w:t>
      </w:r>
      <w:r>
        <w:rPr>
          <w:rFonts w:ascii="Verdana" w:hAnsi="Verdana"/>
          <w:sz w:val="20"/>
          <w:szCs w:val="20"/>
        </w:rPr>
        <w:t>en los términos establecidos en los párrafos 29</w:t>
      </w:r>
      <w:r w:rsidR="009E6C07">
        <w:rPr>
          <w:rFonts w:ascii="Verdana" w:hAnsi="Verdana"/>
          <w:sz w:val="20"/>
          <w:szCs w:val="20"/>
        </w:rPr>
        <w:t>0</w:t>
      </w:r>
      <w:r>
        <w:rPr>
          <w:rFonts w:ascii="Verdana" w:hAnsi="Verdana"/>
          <w:sz w:val="20"/>
          <w:szCs w:val="20"/>
        </w:rPr>
        <w:t xml:space="preserve"> a 29</w:t>
      </w:r>
      <w:r w:rsidR="009E6C07">
        <w:rPr>
          <w:rFonts w:ascii="Verdana" w:hAnsi="Verdana"/>
          <w:sz w:val="20"/>
          <w:szCs w:val="20"/>
        </w:rPr>
        <w:t>1</w:t>
      </w:r>
      <w:r>
        <w:rPr>
          <w:rFonts w:ascii="Verdana" w:hAnsi="Verdana"/>
          <w:sz w:val="20"/>
          <w:szCs w:val="20"/>
        </w:rPr>
        <w:t xml:space="preserve"> de la presente Sentencia.</w:t>
      </w:r>
    </w:p>
    <w:p w14:paraId="67001D1E" w14:textId="77777777" w:rsidR="00C1694E" w:rsidRDefault="00C1694E" w:rsidP="00C1694E">
      <w:pPr>
        <w:pStyle w:val="ListParagraph"/>
        <w:rPr>
          <w:rFonts w:ascii="Verdana" w:hAnsi="Verdana"/>
          <w:sz w:val="20"/>
          <w:szCs w:val="20"/>
          <w:lang w:val="es-CR"/>
        </w:rPr>
      </w:pPr>
    </w:p>
    <w:p w14:paraId="0A69E82F"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cs="Verdana"/>
          <w:sz w:val="20"/>
          <w:szCs w:val="20"/>
        </w:rPr>
        <w:t xml:space="preserve">El Estado deberá crear un fondo de desarrollo comunitario a favor de los miembros de los Pueblos Kaliña y Lokono, </w:t>
      </w:r>
      <w:r>
        <w:rPr>
          <w:rFonts w:ascii="Verdana" w:hAnsi="Verdana"/>
          <w:sz w:val="20"/>
          <w:szCs w:val="20"/>
        </w:rPr>
        <w:t>en los términos y plazos establecidos en los párrafos 29</w:t>
      </w:r>
      <w:r w:rsidR="00FF1704">
        <w:rPr>
          <w:rFonts w:ascii="Verdana" w:hAnsi="Verdana"/>
          <w:sz w:val="20"/>
          <w:szCs w:val="20"/>
        </w:rPr>
        <w:t>5</w:t>
      </w:r>
      <w:r>
        <w:rPr>
          <w:rFonts w:ascii="Verdana" w:hAnsi="Verdana"/>
          <w:sz w:val="20"/>
          <w:szCs w:val="20"/>
        </w:rPr>
        <w:t xml:space="preserve"> a </w:t>
      </w:r>
      <w:r w:rsidR="00FF1704">
        <w:rPr>
          <w:rFonts w:ascii="Verdana" w:hAnsi="Verdana"/>
          <w:sz w:val="20"/>
          <w:szCs w:val="20"/>
        </w:rPr>
        <w:t>299</w:t>
      </w:r>
      <w:r>
        <w:rPr>
          <w:rFonts w:ascii="Verdana" w:hAnsi="Verdana"/>
          <w:sz w:val="20"/>
          <w:szCs w:val="20"/>
        </w:rPr>
        <w:t xml:space="preserve"> de la presente Sentencia.</w:t>
      </w:r>
    </w:p>
    <w:p w14:paraId="1BFD1636" w14:textId="77777777" w:rsidR="00C1694E" w:rsidRDefault="00C1694E" w:rsidP="00C1694E">
      <w:pPr>
        <w:pStyle w:val="ListParagraph"/>
        <w:rPr>
          <w:rFonts w:ascii="Verdana" w:hAnsi="Verdana" w:cs="Verdana"/>
          <w:sz w:val="20"/>
          <w:szCs w:val="20"/>
        </w:rPr>
      </w:pPr>
    </w:p>
    <w:p w14:paraId="5749E5DD" w14:textId="6B34DC4D"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rPr>
        <w:t xml:space="preserve">El Estado deberá poner en marcha los mecanismos necesarios de coordinación entre instituciones con el fin de velar por la efectividad de las medidas antes dispuestas, dentro del plazo de tres meses a partir de la notificación del Fallo, en los términos de lo establecido en </w:t>
      </w:r>
      <w:r w:rsidR="007F4E4C">
        <w:rPr>
          <w:rFonts w:ascii="Verdana" w:hAnsi="Verdana"/>
          <w:sz w:val="20"/>
          <w:szCs w:val="20"/>
        </w:rPr>
        <w:t>los</w:t>
      </w:r>
      <w:r>
        <w:rPr>
          <w:rFonts w:ascii="Verdana" w:hAnsi="Verdana"/>
          <w:sz w:val="20"/>
          <w:szCs w:val="20"/>
        </w:rPr>
        <w:t xml:space="preserve"> párrafo</w:t>
      </w:r>
      <w:r w:rsidR="007F4E4C">
        <w:rPr>
          <w:rFonts w:ascii="Verdana" w:hAnsi="Verdana"/>
          <w:sz w:val="20"/>
          <w:szCs w:val="20"/>
        </w:rPr>
        <w:t>s</w:t>
      </w:r>
      <w:r>
        <w:rPr>
          <w:rFonts w:ascii="Verdana" w:hAnsi="Verdana"/>
          <w:sz w:val="20"/>
          <w:szCs w:val="20"/>
        </w:rPr>
        <w:t xml:space="preserve"> 28</w:t>
      </w:r>
      <w:r w:rsidR="00FF1704">
        <w:rPr>
          <w:rFonts w:ascii="Verdana" w:hAnsi="Verdana"/>
          <w:sz w:val="20"/>
          <w:szCs w:val="20"/>
        </w:rPr>
        <w:t>5</w:t>
      </w:r>
      <w:r w:rsidR="007F4E4C">
        <w:rPr>
          <w:rFonts w:ascii="Verdana" w:hAnsi="Verdana"/>
          <w:sz w:val="20"/>
          <w:szCs w:val="20"/>
        </w:rPr>
        <w:t>, 290, 291, 295 y 299</w:t>
      </w:r>
      <w:r>
        <w:rPr>
          <w:rFonts w:ascii="Verdana" w:hAnsi="Verdana"/>
          <w:sz w:val="20"/>
          <w:szCs w:val="20"/>
        </w:rPr>
        <w:t xml:space="preserve"> de la presente Sentencia.</w:t>
      </w:r>
    </w:p>
    <w:p w14:paraId="49043DBB" w14:textId="77777777" w:rsidR="00C1694E" w:rsidRDefault="00C1694E" w:rsidP="00C1694E">
      <w:pPr>
        <w:pStyle w:val="ListParagraph"/>
        <w:tabs>
          <w:tab w:val="left" w:pos="8941"/>
        </w:tabs>
        <w:rPr>
          <w:rFonts w:ascii="Verdana" w:hAnsi="Verdana"/>
          <w:sz w:val="20"/>
          <w:szCs w:val="20"/>
          <w:lang w:val="es-CR"/>
        </w:rPr>
      </w:pPr>
      <w:r>
        <w:rPr>
          <w:rFonts w:ascii="Verdana" w:hAnsi="Verdana"/>
          <w:sz w:val="20"/>
          <w:szCs w:val="20"/>
          <w:lang w:val="es-CR"/>
        </w:rPr>
        <w:lastRenderedPageBreak/>
        <w:tab/>
      </w:r>
    </w:p>
    <w:p w14:paraId="42C0FEBB" w14:textId="77777777" w:rsidR="00C1694E" w:rsidRDefault="00C1694E" w:rsidP="00C1694E">
      <w:pPr>
        <w:numPr>
          <w:ilvl w:val="0"/>
          <w:numId w:val="48"/>
        </w:numPr>
        <w:ind w:left="0" w:right="11" w:firstLine="0"/>
        <w:jc w:val="both"/>
        <w:rPr>
          <w:rFonts w:ascii="Verdana" w:hAnsi="Verdana"/>
          <w:sz w:val="20"/>
          <w:lang w:val="es-CR"/>
        </w:rPr>
      </w:pPr>
      <w:r>
        <w:rPr>
          <w:rFonts w:ascii="Verdana" w:hAnsi="Verdana"/>
          <w:sz w:val="20"/>
        </w:rPr>
        <w:t xml:space="preserve">El Estado deberá adoptar las medidas necesarias con el fin de </w:t>
      </w:r>
      <w:r>
        <w:rPr>
          <w:rFonts w:ascii="Verdana" w:hAnsi="Verdana"/>
          <w:sz w:val="20"/>
          <w:lang w:val="es-MX"/>
        </w:rPr>
        <w:t xml:space="preserve">reconocer la personalidad jurídica colectiva de los pueblos indígenas y tribales en Surinam, </w:t>
      </w:r>
      <w:r>
        <w:rPr>
          <w:rFonts w:ascii="Verdana" w:hAnsi="Verdana"/>
          <w:sz w:val="20"/>
        </w:rPr>
        <w:t>en los términos establecidos en el párrafo 30</w:t>
      </w:r>
      <w:r w:rsidR="003A1187">
        <w:rPr>
          <w:rFonts w:ascii="Verdana" w:hAnsi="Verdana"/>
          <w:sz w:val="20"/>
        </w:rPr>
        <w:t>5.a</w:t>
      </w:r>
      <w:r>
        <w:rPr>
          <w:rFonts w:ascii="Verdana" w:hAnsi="Verdana"/>
          <w:sz w:val="20"/>
        </w:rPr>
        <w:t xml:space="preserve"> de la presente Sentencia.</w:t>
      </w:r>
    </w:p>
    <w:p w14:paraId="00F936EF" w14:textId="77777777" w:rsidR="00C1694E" w:rsidRDefault="00C1694E" w:rsidP="00C1694E">
      <w:pPr>
        <w:ind w:right="11"/>
        <w:jc w:val="both"/>
        <w:rPr>
          <w:rFonts w:ascii="Verdana" w:hAnsi="Verdana"/>
          <w:sz w:val="20"/>
          <w:szCs w:val="20"/>
          <w:lang w:val="es-CR"/>
        </w:rPr>
      </w:pPr>
    </w:p>
    <w:p w14:paraId="73BD30FC" w14:textId="77777777" w:rsidR="00C1694E" w:rsidRDefault="00C1694E" w:rsidP="00C1694E">
      <w:pPr>
        <w:numPr>
          <w:ilvl w:val="0"/>
          <w:numId w:val="48"/>
        </w:numPr>
        <w:ind w:left="0" w:right="11" w:firstLine="0"/>
        <w:jc w:val="both"/>
        <w:rPr>
          <w:rFonts w:ascii="Verdana" w:hAnsi="Verdana"/>
          <w:sz w:val="20"/>
          <w:szCs w:val="20"/>
          <w:lang w:val="es-CR"/>
        </w:rPr>
      </w:pPr>
      <w:r>
        <w:rPr>
          <w:rFonts w:ascii="Verdana" w:hAnsi="Verdana" w:cs="Verdana"/>
          <w:sz w:val="20"/>
          <w:szCs w:val="20"/>
        </w:rPr>
        <w:t xml:space="preserve">El Estado deberá </w:t>
      </w:r>
      <w:r>
        <w:rPr>
          <w:rFonts w:ascii="Verdana" w:hAnsi="Verdana"/>
          <w:sz w:val="20"/>
          <w:szCs w:val="20"/>
          <w:lang w:val="es-CR"/>
        </w:rPr>
        <w:t xml:space="preserve">adoptar todas las medidas necesarias para crear un mecanismo efectivo de delimitación, demarcación y titulación de los territorios de los pueblos indígenas y tribales en Surinam, </w:t>
      </w:r>
      <w:r>
        <w:rPr>
          <w:rFonts w:ascii="Verdana" w:hAnsi="Verdana"/>
          <w:sz w:val="20"/>
          <w:szCs w:val="20"/>
        </w:rPr>
        <w:t>en los términos establecidos en el párrafo 30</w:t>
      </w:r>
      <w:r w:rsidR="003A1187">
        <w:rPr>
          <w:rFonts w:ascii="Verdana" w:hAnsi="Verdana"/>
          <w:sz w:val="20"/>
          <w:szCs w:val="20"/>
        </w:rPr>
        <w:t>5.b</w:t>
      </w:r>
      <w:r>
        <w:rPr>
          <w:rFonts w:ascii="Verdana" w:hAnsi="Verdana"/>
          <w:sz w:val="20"/>
          <w:szCs w:val="20"/>
        </w:rPr>
        <w:t xml:space="preserve"> de la presente Sentencia.</w:t>
      </w:r>
    </w:p>
    <w:p w14:paraId="3C0D1C4C" w14:textId="77777777" w:rsidR="00C1694E" w:rsidRDefault="00C1694E" w:rsidP="00C1694E">
      <w:pPr>
        <w:ind w:right="11"/>
        <w:jc w:val="both"/>
        <w:rPr>
          <w:rFonts w:ascii="Verdana" w:hAnsi="Verdana"/>
          <w:sz w:val="20"/>
          <w:szCs w:val="20"/>
          <w:lang w:val="es-CR"/>
        </w:rPr>
      </w:pPr>
    </w:p>
    <w:p w14:paraId="5E037270" w14:textId="77777777" w:rsidR="00C1694E" w:rsidRDefault="00C1694E" w:rsidP="00C1694E">
      <w:pPr>
        <w:numPr>
          <w:ilvl w:val="0"/>
          <w:numId w:val="48"/>
        </w:numPr>
        <w:ind w:left="0" w:right="11" w:firstLine="0"/>
        <w:jc w:val="both"/>
        <w:rPr>
          <w:rFonts w:ascii="Verdana" w:hAnsi="Verdana"/>
          <w:sz w:val="20"/>
          <w:szCs w:val="20"/>
          <w:lang w:val="es-CR"/>
        </w:rPr>
      </w:pPr>
      <w:r>
        <w:rPr>
          <w:rFonts w:ascii="Verdana" w:hAnsi="Verdana" w:cs="Verdana"/>
          <w:sz w:val="20"/>
          <w:szCs w:val="20"/>
        </w:rPr>
        <w:t xml:space="preserve">El Estado deberá </w:t>
      </w:r>
      <w:r>
        <w:rPr>
          <w:rFonts w:ascii="Verdana" w:hAnsi="Verdana"/>
          <w:sz w:val="20"/>
          <w:szCs w:val="20"/>
          <w:lang w:val="es-CR"/>
        </w:rPr>
        <w:t xml:space="preserve">adoptar las medidas necesarias para crear o adecuar sus recursos internos con el fin de garantizar de manera efectiva el acceso a la justicia de los pueblos indígenas y tribales de manera colectiva, </w:t>
      </w:r>
      <w:r>
        <w:rPr>
          <w:rFonts w:ascii="Verdana" w:hAnsi="Verdana"/>
          <w:sz w:val="20"/>
          <w:szCs w:val="20"/>
        </w:rPr>
        <w:t>en los términos establecidos en el párrafo 30</w:t>
      </w:r>
      <w:r w:rsidR="003A1187">
        <w:rPr>
          <w:rFonts w:ascii="Verdana" w:hAnsi="Verdana"/>
          <w:sz w:val="20"/>
          <w:szCs w:val="20"/>
        </w:rPr>
        <w:t>5.c</w:t>
      </w:r>
      <w:r>
        <w:rPr>
          <w:rFonts w:ascii="Verdana" w:hAnsi="Verdana"/>
          <w:sz w:val="20"/>
          <w:szCs w:val="20"/>
        </w:rPr>
        <w:t xml:space="preserve"> de la presente Sentencia.</w:t>
      </w:r>
    </w:p>
    <w:p w14:paraId="454A22EE" w14:textId="77777777" w:rsidR="00C1694E" w:rsidRDefault="00C1694E" w:rsidP="00C1694E">
      <w:pPr>
        <w:ind w:right="11"/>
        <w:jc w:val="both"/>
        <w:rPr>
          <w:rFonts w:ascii="Verdana" w:hAnsi="Verdana"/>
          <w:sz w:val="20"/>
          <w:szCs w:val="20"/>
          <w:lang w:val="es-CR"/>
        </w:rPr>
      </w:pPr>
    </w:p>
    <w:p w14:paraId="482AE20C" w14:textId="55A41D8B" w:rsidR="00C1694E" w:rsidRDefault="00C1694E" w:rsidP="00C1694E">
      <w:pPr>
        <w:numPr>
          <w:ilvl w:val="0"/>
          <w:numId w:val="48"/>
        </w:numPr>
        <w:ind w:left="0" w:right="11" w:firstLine="0"/>
        <w:jc w:val="both"/>
        <w:rPr>
          <w:rFonts w:ascii="Verdana" w:hAnsi="Verdana"/>
          <w:sz w:val="20"/>
          <w:szCs w:val="20"/>
          <w:lang w:val="es-CR"/>
        </w:rPr>
      </w:pPr>
      <w:r>
        <w:rPr>
          <w:rFonts w:ascii="Verdana" w:hAnsi="Verdana" w:cs="Verdana"/>
          <w:sz w:val="20"/>
          <w:szCs w:val="20"/>
        </w:rPr>
        <w:t xml:space="preserve">El Estado deberá </w:t>
      </w:r>
      <w:r>
        <w:rPr>
          <w:rFonts w:ascii="Verdana" w:hAnsi="Verdana"/>
          <w:sz w:val="20"/>
          <w:szCs w:val="20"/>
          <w:lang w:val="es-CR"/>
        </w:rPr>
        <w:t>adoptar las medidas necesarias con el</w:t>
      </w:r>
      <w:r>
        <w:rPr>
          <w:rFonts w:ascii="Verdana" w:hAnsi="Verdana"/>
          <w:sz w:val="20"/>
          <w:lang w:val="es-CR"/>
        </w:rPr>
        <w:t xml:space="preserve"> fin de garantizar</w:t>
      </w:r>
      <w:r>
        <w:rPr>
          <w:rFonts w:ascii="Verdana" w:hAnsi="Verdana"/>
          <w:sz w:val="20"/>
          <w:szCs w:val="20"/>
          <w:lang w:val="es-CR"/>
        </w:rPr>
        <w:t xml:space="preserve">: a) procesos efectivos de participación </w:t>
      </w:r>
      <w:r w:rsidR="007F4E4C">
        <w:rPr>
          <w:rFonts w:ascii="Verdana" w:hAnsi="Verdana"/>
          <w:sz w:val="20"/>
          <w:szCs w:val="20"/>
          <w:lang w:val="es-CR"/>
        </w:rPr>
        <w:t xml:space="preserve">efectiva </w:t>
      </w:r>
      <w:r>
        <w:rPr>
          <w:rFonts w:ascii="Verdana" w:hAnsi="Verdana"/>
          <w:sz w:val="20"/>
          <w:szCs w:val="20"/>
          <w:lang w:val="es-CR"/>
        </w:rPr>
        <w:t>para los pueblos indígenas y tribales en Surinam; b) la realización de estudios de impacto ambiental y social, y c) la repartición de beneficios, de ser el caso</w:t>
      </w:r>
      <w:r>
        <w:rPr>
          <w:rFonts w:ascii="Verdana" w:hAnsi="Verdana"/>
          <w:sz w:val="20"/>
          <w:szCs w:val="20"/>
        </w:rPr>
        <w:t>, en los términos establecidos en los párrafos 30</w:t>
      </w:r>
      <w:r w:rsidR="003A1187">
        <w:rPr>
          <w:rFonts w:ascii="Verdana" w:hAnsi="Verdana"/>
          <w:sz w:val="20"/>
          <w:szCs w:val="20"/>
        </w:rPr>
        <w:t>5.d</w:t>
      </w:r>
      <w:r>
        <w:rPr>
          <w:rFonts w:ascii="Verdana" w:hAnsi="Verdana"/>
          <w:sz w:val="20"/>
          <w:szCs w:val="20"/>
        </w:rPr>
        <w:t xml:space="preserve"> de la presente Sentencia.</w:t>
      </w:r>
    </w:p>
    <w:p w14:paraId="302EBB2E" w14:textId="77777777" w:rsidR="00C1694E" w:rsidRDefault="00C1694E" w:rsidP="00C1694E">
      <w:pPr>
        <w:tabs>
          <w:tab w:val="left" w:pos="3700"/>
        </w:tabs>
        <w:ind w:right="11"/>
        <w:jc w:val="both"/>
        <w:rPr>
          <w:rFonts w:ascii="Verdana" w:hAnsi="Verdana"/>
          <w:sz w:val="20"/>
          <w:szCs w:val="20"/>
          <w:lang w:val="es-CR"/>
        </w:rPr>
      </w:pPr>
      <w:r>
        <w:rPr>
          <w:rFonts w:ascii="Verdana" w:hAnsi="Verdana"/>
          <w:sz w:val="20"/>
          <w:szCs w:val="20"/>
          <w:lang w:val="es-CR"/>
        </w:rPr>
        <w:tab/>
      </w:r>
    </w:p>
    <w:p w14:paraId="0BCF9EDE" w14:textId="77777777" w:rsidR="00C1694E" w:rsidRPr="004B0145" w:rsidRDefault="00C1694E" w:rsidP="00CF360B">
      <w:pPr>
        <w:numPr>
          <w:ilvl w:val="0"/>
          <w:numId w:val="48"/>
        </w:numPr>
        <w:ind w:left="0" w:right="11" w:firstLine="0"/>
        <w:jc w:val="both"/>
        <w:rPr>
          <w:rFonts w:ascii="Verdana" w:hAnsi="Verdana"/>
          <w:sz w:val="20"/>
          <w:szCs w:val="20"/>
          <w:lang w:val="es-CR"/>
        </w:rPr>
      </w:pPr>
      <w:r>
        <w:rPr>
          <w:rFonts w:ascii="Verdana" w:hAnsi="Verdana"/>
          <w:sz w:val="20"/>
          <w:szCs w:val="20"/>
          <w:lang w:val="es-CR"/>
        </w:rPr>
        <w:t>E</w:t>
      </w:r>
      <w:r>
        <w:rPr>
          <w:rFonts w:ascii="Verdana" w:hAnsi="Verdana"/>
          <w:sz w:val="20"/>
          <w:szCs w:val="20"/>
          <w:lang w:val="es-ES"/>
        </w:rPr>
        <w:t xml:space="preserve">l Estado deberá implementar los programas o cursos permanentes relacionados con los derechos humanos de los pueblos indígenas y tribales, </w:t>
      </w:r>
      <w:r>
        <w:rPr>
          <w:rFonts w:ascii="Verdana" w:hAnsi="Verdana"/>
          <w:sz w:val="20"/>
          <w:szCs w:val="20"/>
        </w:rPr>
        <w:t>en los términos establecidos en el párrafo 3</w:t>
      </w:r>
      <w:r w:rsidR="003A1187">
        <w:rPr>
          <w:rFonts w:ascii="Verdana" w:hAnsi="Verdana"/>
          <w:sz w:val="20"/>
          <w:szCs w:val="20"/>
        </w:rPr>
        <w:t>09</w:t>
      </w:r>
      <w:r>
        <w:rPr>
          <w:rFonts w:ascii="Verdana" w:hAnsi="Verdana"/>
          <w:sz w:val="20"/>
          <w:szCs w:val="20"/>
        </w:rPr>
        <w:t xml:space="preserve"> de la presente Sentencia.</w:t>
      </w:r>
    </w:p>
    <w:p w14:paraId="7D54C719" w14:textId="77777777" w:rsidR="007F4E4C" w:rsidRPr="004B0145" w:rsidRDefault="007F4E4C" w:rsidP="004B0145">
      <w:pPr>
        <w:ind w:right="11"/>
        <w:jc w:val="both"/>
        <w:rPr>
          <w:rFonts w:ascii="Verdana" w:hAnsi="Verdana"/>
          <w:sz w:val="20"/>
          <w:szCs w:val="20"/>
          <w:lang w:val="es-CR"/>
        </w:rPr>
      </w:pPr>
    </w:p>
    <w:p w14:paraId="370E653E" w14:textId="77777777" w:rsidR="00C1694E" w:rsidRDefault="00C1694E" w:rsidP="00C1694E">
      <w:pPr>
        <w:numPr>
          <w:ilvl w:val="0"/>
          <w:numId w:val="48"/>
        </w:numPr>
        <w:ind w:left="0" w:right="11" w:firstLine="0"/>
        <w:jc w:val="both"/>
        <w:rPr>
          <w:rFonts w:ascii="Verdana" w:hAnsi="Verdana"/>
          <w:sz w:val="20"/>
          <w:szCs w:val="20"/>
          <w:lang w:val="es-CR"/>
        </w:rPr>
      </w:pPr>
      <w:r>
        <w:rPr>
          <w:rFonts w:ascii="Verdana" w:eastAsia="MS Mincho" w:hAnsi="Verdana" w:cs="Verdana"/>
          <w:w w:val="95"/>
          <w:sz w:val="20"/>
          <w:szCs w:val="20"/>
        </w:rPr>
        <w:t xml:space="preserve">El </w:t>
      </w:r>
      <w:r>
        <w:rPr>
          <w:rFonts w:ascii="Verdana" w:hAnsi="Verdana"/>
          <w:sz w:val="20"/>
          <w:szCs w:val="20"/>
          <w:lang w:bidi="en-US"/>
        </w:rPr>
        <w:t>Estado</w:t>
      </w:r>
      <w:r>
        <w:rPr>
          <w:rFonts w:ascii="Verdana" w:eastAsia="MS Mincho" w:hAnsi="Verdana" w:cs="Verdana"/>
          <w:w w:val="95"/>
          <w:sz w:val="20"/>
          <w:szCs w:val="20"/>
        </w:rPr>
        <w:t xml:space="preserve"> </w:t>
      </w:r>
      <w:r>
        <w:rPr>
          <w:rFonts w:ascii="Verdana" w:hAnsi="Verdana"/>
          <w:sz w:val="20"/>
          <w:szCs w:val="20"/>
        </w:rPr>
        <w:t>deberá realizar las publicaciones y transmisión radial en los términos establecidos en los párrafos 31</w:t>
      </w:r>
      <w:r w:rsidR="003A1187">
        <w:rPr>
          <w:rFonts w:ascii="Verdana" w:hAnsi="Verdana"/>
          <w:sz w:val="20"/>
          <w:szCs w:val="20"/>
        </w:rPr>
        <w:t>2</w:t>
      </w:r>
      <w:r>
        <w:rPr>
          <w:rFonts w:ascii="Verdana" w:hAnsi="Verdana"/>
          <w:sz w:val="20"/>
          <w:szCs w:val="20"/>
        </w:rPr>
        <w:t xml:space="preserve"> a 31</w:t>
      </w:r>
      <w:r w:rsidR="003A1187">
        <w:rPr>
          <w:rFonts w:ascii="Verdana" w:hAnsi="Verdana"/>
          <w:sz w:val="20"/>
          <w:szCs w:val="20"/>
        </w:rPr>
        <w:t>3</w:t>
      </w:r>
      <w:r>
        <w:rPr>
          <w:rFonts w:ascii="Verdana" w:hAnsi="Verdana"/>
          <w:sz w:val="20"/>
          <w:szCs w:val="20"/>
        </w:rPr>
        <w:t xml:space="preserve"> de la presente Sentencia.</w:t>
      </w:r>
    </w:p>
    <w:p w14:paraId="3E4ED703" w14:textId="77777777" w:rsidR="00C1694E" w:rsidRDefault="00C1694E" w:rsidP="00C1694E">
      <w:pPr>
        <w:ind w:right="11"/>
        <w:jc w:val="both"/>
        <w:rPr>
          <w:rFonts w:ascii="Verdana" w:hAnsi="Verdana"/>
          <w:sz w:val="20"/>
          <w:szCs w:val="20"/>
          <w:lang w:val="es-CR"/>
        </w:rPr>
      </w:pPr>
    </w:p>
    <w:p w14:paraId="719B5F9C" w14:textId="6A58BCB4"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lang w:val="es-CR" w:eastAsia="es-MX"/>
        </w:rPr>
        <w:t xml:space="preserve">El </w:t>
      </w:r>
      <w:r>
        <w:rPr>
          <w:rFonts w:ascii="Verdana" w:hAnsi="Verdana"/>
          <w:sz w:val="20"/>
          <w:szCs w:val="20"/>
        </w:rPr>
        <w:t>Estado debe</w:t>
      </w:r>
      <w:r>
        <w:rPr>
          <w:rFonts w:ascii="Verdana" w:hAnsi="Verdana"/>
          <w:sz w:val="20"/>
          <w:szCs w:val="20"/>
          <w:lang w:val="es-CR" w:eastAsia="es-MX"/>
        </w:rPr>
        <w:t xml:space="preserve"> pagar las cantidades fijadas en el párrafo 32</w:t>
      </w:r>
      <w:r w:rsidR="003A1187">
        <w:rPr>
          <w:rFonts w:ascii="Verdana" w:hAnsi="Verdana"/>
          <w:sz w:val="20"/>
          <w:szCs w:val="20"/>
          <w:lang w:val="es-CR" w:eastAsia="es-MX"/>
        </w:rPr>
        <w:t>3</w:t>
      </w:r>
      <w:r>
        <w:rPr>
          <w:rFonts w:ascii="Verdana" w:hAnsi="Verdana"/>
          <w:sz w:val="20"/>
          <w:szCs w:val="20"/>
          <w:lang w:val="es-CR" w:eastAsia="es-MX"/>
        </w:rPr>
        <w:t xml:space="preserve"> de la presente </w:t>
      </w:r>
      <w:r>
        <w:rPr>
          <w:rFonts w:ascii="Verdana" w:hAnsi="Verdana"/>
          <w:sz w:val="20"/>
          <w:szCs w:val="20"/>
        </w:rPr>
        <w:t xml:space="preserve">Sentencia por concepto de reintegro de costas y gastos, </w:t>
      </w:r>
      <w:r w:rsidR="007309AA" w:rsidRPr="004B0145">
        <w:rPr>
          <w:rFonts w:ascii="Verdana" w:hAnsi="Verdana"/>
          <w:sz w:val="20"/>
          <w:szCs w:val="20"/>
        </w:rPr>
        <w:t>dentro del plazo de</w:t>
      </w:r>
      <w:r w:rsidR="005232D1" w:rsidRPr="004B0145">
        <w:rPr>
          <w:rFonts w:ascii="Verdana" w:hAnsi="Verdana"/>
          <w:sz w:val="20"/>
          <w:szCs w:val="20"/>
        </w:rPr>
        <w:t xml:space="preserve"> seis meses</w:t>
      </w:r>
      <w:r w:rsidR="007309AA">
        <w:rPr>
          <w:rFonts w:ascii="Verdana" w:hAnsi="Verdana"/>
          <w:sz w:val="20"/>
          <w:szCs w:val="20"/>
        </w:rPr>
        <w:t xml:space="preserve"> </w:t>
      </w:r>
      <w:r>
        <w:rPr>
          <w:rFonts w:ascii="Verdana" w:hAnsi="Verdana"/>
          <w:sz w:val="20"/>
          <w:szCs w:val="20"/>
        </w:rPr>
        <w:t>contado a partir de la notificación de la misma.</w:t>
      </w:r>
    </w:p>
    <w:p w14:paraId="70AFD57C" w14:textId="77777777" w:rsidR="00C1694E" w:rsidRDefault="00C1694E" w:rsidP="00C1694E">
      <w:pPr>
        <w:rPr>
          <w:rFonts w:ascii="Verdana" w:hAnsi="Verdana" w:cs="Verdana"/>
          <w:sz w:val="20"/>
          <w:szCs w:val="20"/>
        </w:rPr>
      </w:pPr>
    </w:p>
    <w:p w14:paraId="249DF2F4" w14:textId="77777777" w:rsidR="00C1694E" w:rsidRPr="008642A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rPr>
        <w:t>El Estado debe, dentro del plazo de un año contado a partir de la notificación de la presente Sentencia, rendir al Tribunal un informe sobre las medidas adoptadas para cumplir con la misma.</w:t>
      </w:r>
    </w:p>
    <w:p w14:paraId="5D5755C3" w14:textId="77777777" w:rsidR="008642AE" w:rsidRDefault="008642AE" w:rsidP="004B0145">
      <w:pPr>
        <w:ind w:right="11"/>
        <w:jc w:val="both"/>
        <w:rPr>
          <w:rFonts w:ascii="Verdana" w:hAnsi="Verdana" w:cs="Verdana"/>
          <w:sz w:val="20"/>
          <w:szCs w:val="20"/>
        </w:rPr>
      </w:pPr>
    </w:p>
    <w:p w14:paraId="3A50D1CE" w14:textId="77777777" w:rsidR="00C1694E" w:rsidRDefault="00C1694E" w:rsidP="00C1694E">
      <w:pPr>
        <w:numPr>
          <w:ilvl w:val="0"/>
          <w:numId w:val="48"/>
        </w:numPr>
        <w:ind w:left="0" w:right="11" w:firstLine="0"/>
        <w:jc w:val="both"/>
        <w:rPr>
          <w:rFonts w:ascii="Verdana" w:hAnsi="Verdana" w:cs="Verdana"/>
          <w:sz w:val="20"/>
          <w:szCs w:val="20"/>
        </w:rPr>
      </w:pPr>
      <w:r>
        <w:rPr>
          <w:rFonts w:ascii="Verdana" w:hAnsi="Verdana"/>
          <w:sz w:val="20"/>
          <w:szCs w:val="20"/>
        </w:rPr>
        <w:t>La Corte supervisará el cumplimiento íntegro de esta Sentencia, en ejercicio de sus atribuciones y en cumplimiento de sus deberes conforme a la Convención Americana sobre Derechos Humanos, y dará por concluido el presente caso una vez que el Estado haya dado cabal cumplimiento a lo dispuesto en la misma.</w:t>
      </w:r>
    </w:p>
    <w:p w14:paraId="498DABD2" w14:textId="77777777" w:rsidR="00C1694E" w:rsidRDefault="00C1694E" w:rsidP="00C1694E">
      <w:pPr>
        <w:jc w:val="both"/>
        <w:rPr>
          <w:rFonts w:ascii="Verdana" w:hAnsi="Verdana"/>
          <w:b/>
          <w:sz w:val="20"/>
          <w:szCs w:val="20"/>
        </w:rPr>
      </w:pPr>
    </w:p>
    <w:p w14:paraId="5B0564EA" w14:textId="5155842D" w:rsidR="00C1694E" w:rsidRDefault="00C1694E" w:rsidP="00C1694E">
      <w:pPr>
        <w:jc w:val="both"/>
        <w:rPr>
          <w:rFonts w:ascii="Verdana" w:hAnsi="Verdana"/>
          <w:sz w:val="20"/>
          <w:szCs w:val="20"/>
          <w:lang w:val="es-CR"/>
        </w:rPr>
      </w:pPr>
      <w:r>
        <w:rPr>
          <w:rFonts w:ascii="Verdana" w:hAnsi="Verdana"/>
          <w:sz w:val="20"/>
          <w:szCs w:val="20"/>
        </w:rPr>
        <w:t xml:space="preserve">Los jueces, </w:t>
      </w:r>
      <w:r w:rsidR="007F4E4C">
        <w:rPr>
          <w:rFonts w:ascii="Verdana" w:hAnsi="Verdana"/>
          <w:sz w:val="20"/>
          <w:szCs w:val="20"/>
          <w:lang w:val="es-CR"/>
        </w:rPr>
        <w:t xml:space="preserve">Humberto Antonio Sierra Porto y </w:t>
      </w:r>
      <w:r>
        <w:rPr>
          <w:rFonts w:ascii="Verdana" w:hAnsi="Verdana"/>
          <w:sz w:val="20"/>
          <w:szCs w:val="20"/>
        </w:rPr>
        <w:t>Eduardo Ferrer Mac-Gregor Poisot</w:t>
      </w:r>
      <w:r w:rsidR="00190A28">
        <w:rPr>
          <w:rFonts w:ascii="Verdana" w:hAnsi="Verdana"/>
          <w:sz w:val="20"/>
          <w:szCs w:val="20"/>
        </w:rPr>
        <w:t xml:space="preserve">, </w:t>
      </w:r>
      <w:r w:rsidR="00331A01">
        <w:rPr>
          <w:rFonts w:ascii="Verdana" w:hAnsi="Verdana"/>
          <w:sz w:val="20"/>
          <w:szCs w:val="20"/>
          <w:lang w:val="es-CR"/>
        </w:rPr>
        <w:t>hicieron conocer a la Corte su voto concurrente</w:t>
      </w:r>
      <w:r w:rsidR="00331A01" w:rsidRPr="00331A01">
        <w:rPr>
          <w:rFonts w:ascii="Verdana" w:hAnsi="Verdana"/>
          <w:sz w:val="20"/>
          <w:szCs w:val="20"/>
          <w:lang w:val="es-CR"/>
        </w:rPr>
        <w:t xml:space="preserve"> </w:t>
      </w:r>
      <w:r w:rsidR="00331A01">
        <w:rPr>
          <w:rFonts w:ascii="Verdana" w:hAnsi="Verdana"/>
          <w:sz w:val="20"/>
          <w:szCs w:val="20"/>
          <w:lang w:val="es-CR"/>
        </w:rPr>
        <w:t xml:space="preserve">conjunto, y el </w:t>
      </w:r>
      <w:r w:rsidR="00331A01">
        <w:rPr>
          <w:rFonts w:ascii="Verdana" w:hAnsi="Verdana"/>
          <w:sz w:val="20"/>
          <w:szCs w:val="20"/>
        </w:rPr>
        <w:t>juez</w:t>
      </w:r>
      <w:r>
        <w:rPr>
          <w:rFonts w:ascii="Verdana" w:hAnsi="Verdana"/>
          <w:sz w:val="20"/>
          <w:szCs w:val="20"/>
          <w:lang w:val="es-CR"/>
        </w:rPr>
        <w:t xml:space="preserve"> </w:t>
      </w:r>
      <w:r w:rsidR="00190A28">
        <w:rPr>
          <w:rFonts w:ascii="Verdana" w:hAnsi="Verdana"/>
          <w:sz w:val="20"/>
          <w:szCs w:val="20"/>
        </w:rPr>
        <w:t>Alberto Pérez Pérez</w:t>
      </w:r>
      <w:r w:rsidR="00190A28">
        <w:rPr>
          <w:rFonts w:ascii="Verdana" w:hAnsi="Verdana"/>
          <w:sz w:val="20"/>
          <w:szCs w:val="20"/>
          <w:lang w:val="es-CR"/>
        </w:rPr>
        <w:t xml:space="preserve"> </w:t>
      </w:r>
      <w:r w:rsidR="00331A01">
        <w:rPr>
          <w:rFonts w:ascii="Verdana" w:hAnsi="Verdana"/>
          <w:sz w:val="20"/>
          <w:szCs w:val="20"/>
          <w:lang w:val="es-CR"/>
        </w:rPr>
        <w:t xml:space="preserve">su voto </w:t>
      </w:r>
      <w:r w:rsidR="00190A28">
        <w:rPr>
          <w:rFonts w:ascii="Verdana" w:hAnsi="Verdana"/>
          <w:sz w:val="20"/>
          <w:szCs w:val="20"/>
          <w:lang w:val="es-CR"/>
        </w:rPr>
        <w:t>parcialmente disidente</w:t>
      </w:r>
      <w:r>
        <w:rPr>
          <w:rFonts w:ascii="Verdana" w:hAnsi="Verdana"/>
          <w:sz w:val="20"/>
          <w:szCs w:val="20"/>
          <w:lang w:val="es-CR"/>
        </w:rPr>
        <w:t>, los cuales acompañan esta Sentencia.</w:t>
      </w:r>
    </w:p>
    <w:p w14:paraId="78FD45BD" w14:textId="77777777" w:rsidR="00C1694E" w:rsidRDefault="00C1694E" w:rsidP="00C1694E">
      <w:pPr>
        <w:jc w:val="both"/>
        <w:rPr>
          <w:rFonts w:ascii="Verdana" w:hAnsi="Verdana"/>
          <w:sz w:val="20"/>
          <w:szCs w:val="20"/>
          <w:lang w:val="es-CR"/>
        </w:rPr>
      </w:pPr>
    </w:p>
    <w:p w14:paraId="2769509C" w14:textId="77777777" w:rsidR="00C1694E" w:rsidRDefault="00C1694E" w:rsidP="00C1694E">
      <w:pPr>
        <w:spacing w:before="60"/>
        <w:jc w:val="both"/>
        <w:rPr>
          <w:lang w:val="es-CR"/>
        </w:rPr>
      </w:pPr>
      <w:r>
        <w:rPr>
          <w:rFonts w:ascii="Verdana" w:hAnsi="Verdana" w:cs="Verdana"/>
          <w:sz w:val="20"/>
          <w:szCs w:val="20"/>
        </w:rPr>
        <w:t>Emitida en inglés y español, el texto en español siendo el auténtico, en San José, Costa Rica, el 25 de noviembre de 2015.</w:t>
      </w:r>
    </w:p>
    <w:bookmarkEnd w:id="110"/>
    <w:p w14:paraId="0E462832" w14:textId="77777777" w:rsidR="00E664AB" w:rsidRDefault="00E664AB">
      <w:pPr>
        <w:spacing w:after="200" w:line="276" w:lineRule="auto"/>
        <w:rPr>
          <w:lang w:val="es-CR"/>
        </w:rPr>
      </w:pPr>
      <w:r>
        <w:rPr>
          <w:lang w:val="es-CR"/>
        </w:rPr>
        <w:br w:type="page"/>
      </w:r>
    </w:p>
    <w:p w14:paraId="688037FE" w14:textId="5E3AED65" w:rsidR="00033F08" w:rsidRPr="00274D2F" w:rsidRDefault="00033F08" w:rsidP="00033F08">
      <w:pPr>
        <w:jc w:val="both"/>
        <w:rPr>
          <w:rFonts w:ascii="Verdana" w:hAnsi="Verdana"/>
          <w:sz w:val="20"/>
          <w:lang w:val="es-CR"/>
        </w:rPr>
      </w:pPr>
      <w:r>
        <w:rPr>
          <w:rFonts w:ascii="Verdana" w:hAnsi="Verdana"/>
          <w:sz w:val="20"/>
          <w:lang w:val="es-CR"/>
        </w:rPr>
        <w:lastRenderedPageBreak/>
        <w:t xml:space="preserve">Sentencia de la Corte Interamericana de Derechos Humanos. Caso Pueblos Kaliña y Lokono </w:t>
      </w:r>
      <w:r w:rsidR="00985054">
        <w:rPr>
          <w:rFonts w:ascii="Verdana" w:hAnsi="Verdana"/>
          <w:sz w:val="20"/>
          <w:lang w:val="es-CR"/>
        </w:rPr>
        <w:t>V</w:t>
      </w:r>
      <w:r>
        <w:rPr>
          <w:rFonts w:ascii="Verdana" w:hAnsi="Verdana"/>
          <w:sz w:val="20"/>
          <w:lang w:val="es-CR"/>
        </w:rPr>
        <w:t>s. Surinam. Fondo, Reparaciones y Costas.</w:t>
      </w:r>
    </w:p>
    <w:p w14:paraId="19F0EFFB" w14:textId="77777777" w:rsidR="00033F08" w:rsidRDefault="00033F08" w:rsidP="00033F08">
      <w:pPr>
        <w:rPr>
          <w:rFonts w:ascii="Verdana" w:hAnsi="Verdana"/>
          <w:sz w:val="20"/>
        </w:rPr>
      </w:pPr>
    </w:p>
    <w:p w14:paraId="4B3333EB" w14:textId="77777777" w:rsidR="00033F08" w:rsidRDefault="00033F08" w:rsidP="00033F08">
      <w:pPr>
        <w:rPr>
          <w:rFonts w:ascii="Verdana" w:hAnsi="Verdana"/>
          <w:sz w:val="20"/>
        </w:rPr>
      </w:pPr>
    </w:p>
    <w:p w14:paraId="065BA002" w14:textId="77777777" w:rsidR="00033F08" w:rsidRDefault="00033F08" w:rsidP="00033F08">
      <w:pPr>
        <w:rPr>
          <w:rFonts w:ascii="Verdana" w:hAnsi="Verdana"/>
          <w:sz w:val="20"/>
        </w:rPr>
      </w:pPr>
    </w:p>
    <w:p w14:paraId="041613D8" w14:textId="77777777" w:rsidR="00033F08" w:rsidRDefault="00033F08" w:rsidP="00033F08">
      <w:pPr>
        <w:rPr>
          <w:rFonts w:ascii="Verdana" w:hAnsi="Verdana"/>
          <w:sz w:val="20"/>
        </w:rPr>
      </w:pPr>
    </w:p>
    <w:p w14:paraId="5E03F1E6" w14:textId="77777777" w:rsidR="00033F08" w:rsidRDefault="00033F08" w:rsidP="00033F08">
      <w:pPr>
        <w:rPr>
          <w:rFonts w:ascii="Verdana" w:hAnsi="Verdana"/>
          <w:sz w:val="20"/>
        </w:rPr>
      </w:pPr>
    </w:p>
    <w:p w14:paraId="5863F9BE" w14:textId="77777777" w:rsidR="00033F08" w:rsidRDefault="00033F08" w:rsidP="00033F08">
      <w:pPr>
        <w:jc w:val="center"/>
        <w:rPr>
          <w:rFonts w:ascii="Verdana" w:hAnsi="Verdana"/>
          <w:sz w:val="20"/>
        </w:rPr>
      </w:pPr>
      <w:r>
        <w:rPr>
          <w:rFonts w:ascii="Verdana" w:hAnsi="Verdana"/>
          <w:sz w:val="20"/>
          <w:lang w:val="es-CR"/>
        </w:rPr>
        <w:t>Humberto Antonio Sierra Porto</w:t>
      </w:r>
    </w:p>
    <w:p w14:paraId="0E70CB2A" w14:textId="77777777" w:rsidR="00033F08" w:rsidRDefault="00033F08" w:rsidP="00033F08">
      <w:pPr>
        <w:jc w:val="center"/>
        <w:rPr>
          <w:rFonts w:ascii="Verdana" w:hAnsi="Verdana"/>
          <w:sz w:val="20"/>
        </w:rPr>
      </w:pPr>
      <w:r>
        <w:rPr>
          <w:rFonts w:ascii="Verdana" w:hAnsi="Verdana"/>
          <w:sz w:val="20"/>
        </w:rPr>
        <w:t>Presidente</w:t>
      </w:r>
    </w:p>
    <w:p w14:paraId="182EB545" w14:textId="77777777" w:rsidR="00033F08" w:rsidRDefault="00033F08" w:rsidP="00033F08">
      <w:pPr>
        <w:jc w:val="both"/>
        <w:rPr>
          <w:rFonts w:ascii="Verdana" w:hAnsi="Verdana"/>
          <w:sz w:val="20"/>
        </w:rPr>
      </w:pPr>
    </w:p>
    <w:p w14:paraId="52ECD595" w14:textId="77777777" w:rsidR="00033F08" w:rsidRDefault="00033F08" w:rsidP="00033F08">
      <w:pPr>
        <w:jc w:val="both"/>
        <w:rPr>
          <w:rFonts w:ascii="Verdana" w:hAnsi="Verdana"/>
          <w:sz w:val="20"/>
        </w:rPr>
      </w:pPr>
    </w:p>
    <w:p w14:paraId="62CA93D6" w14:textId="77777777" w:rsidR="00033F08" w:rsidRDefault="00033F08" w:rsidP="00033F08">
      <w:pPr>
        <w:jc w:val="both"/>
        <w:rPr>
          <w:rFonts w:ascii="Verdana" w:hAnsi="Verdana"/>
          <w:sz w:val="20"/>
        </w:rPr>
      </w:pPr>
    </w:p>
    <w:p w14:paraId="1096695D" w14:textId="77777777" w:rsidR="00033F08" w:rsidRDefault="00033F08" w:rsidP="00033F08">
      <w:pPr>
        <w:jc w:val="both"/>
        <w:rPr>
          <w:rFonts w:ascii="Verdana" w:hAnsi="Verdana"/>
          <w:sz w:val="20"/>
        </w:rPr>
      </w:pPr>
    </w:p>
    <w:p w14:paraId="7554C87C" w14:textId="77777777" w:rsidR="00033F08" w:rsidRDefault="00033F08" w:rsidP="00033F08">
      <w:pPr>
        <w:jc w:val="both"/>
        <w:rPr>
          <w:rFonts w:ascii="Verdana" w:hAnsi="Verdana"/>
          <w:sz w:val="20"/>
        </w:rPr>
      </w:pPr>
    </w:p>
    <w:p w14:paraId="509C239F" w14:textId="77777777" w:rsidR="00033F08" w:rsidRDefault="00033F08" w:rsidP="00033F08">
      <w:pPr>
        <w:jc w:val="both"/>
        <w:rPr>
          <w:rFonts w:ascii="Verdana" w:hAnsi="Verdana"/>
          <w:sz w:val="20"/>
        </w:rPr>
      </w:pPr>
      <w:r>
        <w:rPr>
          <w:rFonts w:ascii="Verdana" w:hAnsi="Verdana"/>
          <w:sz w:val="20"/>
          <w:lang w:val="es-CR"/>
        </w:rPr>
        <w:t xml:space="preserve">Roberto F. Caldas </w:t>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t xml:space="preserve">    Manuel E. Ventura Robles</w:t>
      </w:r>
    </w:p>
    <w:p w14:paraId="110F7E3B" w14:textId="77777777" w:rsidR="00033F08" w:rsidRDefault="00033F08" w:rsidP="00033F08">
      <w:pPr>
        <w:jc w:val="center"/>
        <w:rPr>
          <w:rFonts w:ascii="Verdana" w:hAnsi="Verdana"/>
          <w:sz w:val="20"/>
        </w:rPr>
      </w:pPr>
    </w:p>
    <w:p w14:paraId="1A6A4D64" w14:textId="77777777" w:rsidR="00033F08" w:rsidRDefault="00033F08" w:rsidP="00033F08">
      <w:pPr>
        <w:jc w:val="center"/>
        <w:rPr>
          <w:rFonts w:ascii="Verdana" w:hAnsi="Verdana"/>
          <w:sz w:val="20"/>
        </w:rPr>
      </w:pPr>
    </w:p>
    <w:p w14:paraId="7B27B264" w14:textId="77777777" w:rsidR="00033F08" w:rsidRDefault="00033F08" w:rsidP="00033F08">
      <w:pPr>
        <w:jc w:val="center"/>
        <w:rPr>
          <w:rFonts w:ascii="Verdana" w:hAnsi="Verdana"/>
          <w:sz w:val="20"/>
        </w:rPr>
      </w:pPr>
    </w:p>
    <w:p w14:paraId="3CF3A7F4" w14:textId="77777777" w:rsidR="00033F08" w:rsidRDefault="00033F08" w:rsidP="00033F08">
      <w:pPr>
        <w:jc w:val="center"/>
        <w:rPr>
          <w:rFonts w:ascii="Verdana" w:hAnsi="Verdana"/>
          <w:sz w:val="20"/>
        </w:rPr>
      </w:pPr>
    </w:p>
    <w:p w14:paraId="6A7F1E9E" w14:textId="77777777" w:rsidR="00033F08" w:rsidRDefault="00033F08" w:rsidP="00033F08">
      <w:pPr>
        <w:jc w:val="center"/>
        <w:rPr>
          <w:rFonts w:ascii="Verdana" w:hAnsi="Verdana"/>
          <w:sz w:val="20"/>
        </w:rPr>
      </w:pPr>
    </w:p>
    <w:p w14:paraId="29C69194" w14:textId="77777777" w:rsidR="00033F08" w:rsidRDefault="00033F08" w:rsidP="00033F08">
      <w:pPr>
        <w:rPr>
          <w:rFonts w:ascii="Verdana" w:hAnsi="Verdana"/>
          <w:sz w:val="20"/>
        </w:rPr>
      </w:pPr>
      <w:r>
        <w:rPr>
          <w:rFonts w:ascii="Verdana" w:hAnsi="Verdana"/>
          <w:sz w:val="20"/>
        </w:rPr>
        <w:t>Diego García-Sayán</w:t>
      </w:r>
      <w:r>
        <w:rPr>
          <w:rFonts w:ascii="Verdana" w:hAnsi="Verdana"/>
          <w:sz w:val="20"/>
          <w:lang w:val="es-CR"/>
        </w:rPr>
        <w:t xml:space="preserve"> </w:t>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t xml:space="preserve">  Alberto Pérez Pérez</w:t>
      </w:r>
    </w:p>
    <w:p w14:paraId="41CBB01C" w14:textId="77777777" w:rsidR="00033F08" w:rsidRDefault="00033F08" w:rsidP="00033F08">
      <w:pPr>
        <w:jc w:val="both"/>
        <w:rPr>
          <w:rFonts w:ascii="Verdana" w:hAnsi="Verdana"/>
          <w:sz w:val="20"/>
        </w:rPr>
      </w:pPr>
    </w:p>
    <w:p w14:paraId="3E2FF7BE" w14:textId="77777777" w:rsidR="00033F08" w:rsidRDefault="00033F08" w:rsidP="00033F08">
      <w:pPr>
        <w:rPr>
          <w:rFonts w:ascii="Verdana" w:hAnsi="Verdana"/>
          <w:sz w:val="20"/>
          <w:lang w:val="es-CR"/>
        </w:rPr>
      </w:pPr>
    </w:p>
    <w:p w14:paraId="513FF822" w14:textId="77777777" w:rsidR="00033F08" w:rsidRDefault="00033F08" w:rsidP="00033F08">
      <w:pPr>
        <w:rPr>
          <w:rFonts w:ascii="Verdana" w:hAnsi="Verdana"/>
          <w:sz w:val="20"/>
          <w:lang w:val="es-CR"/>
        </w:rPr>
      </w:pPr>
    </w:p>
    <w:p w14:paraId="1E1F0E77" w14:textId="77777777" w:rsidR="00033F08" w:rsidRDefault="00033F08" w:rsidP="00033F08">
      <w:pPr>
        <w:rPr>
          <w:rFonts w:ascii="Verdana" w:hAnsi="Verdana"/>
          <w:sz w:val="20"/>
          <w:lang w:val="es-CR"/>
        </w:rPr>
      </w:pPr>
    </w:p>
    <w:p w14:paraId="287AA41A" w14:textId="77777777" w:rsidR="00033F08" w:rsidRDefault="00033F08" w:rsidP="00033F08">
      <w:pPr>
        <w:rPr>
          <w:rFonts w:ascii="Verdana" w:hAnsi="Verdana"/>
          <w:sz w:val="20"/>
          <w:lang w:val="es-CR"/>
        </w:rPr>
      </w:pPr>
    </w:p>
    <w:p w14:paraId="03F64E1E" w14:textId="77777777" w:rsidR="00033F08" w:rsidRPr="00115175" w:rsidRDefault="00033F08" w:rsidP="00033F08">
      <w:pPr>
        <w:rPr>
          <w:rFonts w:ascii="Verdana" w:hAnsi="Verdana"/>
          <w:sz w:val="20"/>
          <w:lang w:val="pt-BR"/>
        </w:rPr>
      </w:pPr>
      <w:r w:rsidRPr="00115175">
        <w:rPr>
          <w:rFonts w:ascii="Verdana" w:hAnsi="Verdana"/>
          <w:sz w:val="20"/>
          <w:lang w:val="pt-BR"/>
        </w:rPr>
        <w:t xml:space="preserve">Eduardo Vio Grossi </w:t>
      </w:r>
      <w:r w:rsidRPr="00115175">
        <w:rPr>
          <w:rFonts w:ascii="Verdana" w:hAnsi="Verdana"/>
          <w:sz w:val="20"/>
          <w:lang w:val="pt-BR"/>
        </w:rPr>
        <w:tab/>
      </w:r>
      <w:r w:rsidRPr="00115175">
        <w:rPr>
          <w:rFonts w:ascii="Verdana" w:hAnsi="Verdana"/>
          <w:sz w:val="20"/>
          <w:lang w:val="pt-BR"/>
        </w:rPr>
        <w:tab/>
      </w:r>
      <w:r w:rsidRPr="00115175">
        <w:rPr>
          <w:rFonts w:ascii="Verdana" w:hAnsi="Verdana"/>
          <w:sz w:val="20"/>
          <w:lang w:val="pt-BR"/>
        </w:rPr>
        <w:tab/>
      </w:r>
      <w:r w:rsidRPr="00115175">
        <w:rPr>
          <w:rFonts w:ascii="Verdana" w:hAnsi="Verdana"/>
          <w:sz w:val="20"/>
          <w:lang w:val="pt-BR"/>
        </w:rPr>
        <w:tab/>
      </w:r>
      <w:r w:rsidRPr="00115175">
        <w:rPr>
          <w:rFonts w:ascii="Verdana" w:hAnsi="Verdana"/>
          <w:sz w:val="20"/>
          <w:lang w:val="pt-BR"/>
        </w:rPr>
        <w:tab/>
      </w:r>
      <w:r w:rsidRPr="00115175">
        <w:rPr>
          <w:rFonts w:ascii="Verdana" w:hAnsi="Verdana"/>
          <w:sz w:val="20"/>
          <w:lang w:val="pt-BR"/>
        </w:rPr>
        <w:tab/>
        <w:t xml:space="preserve">  Eduardo Ferrer Mac-Gregor Poisot</w:t>
      </w:r>
    </w:p>
    <w:p w14:paraId="1B1F921E" w14:textId="77777777" w:rsidR="00033F08" w:rsidRPr="00115175" w:rsidRDefault="00033F08" w:rsidP="00033F08">
      <w:pPr>
        <w:jc w:val="both"/>
        <w:rPr>
          <w:rFonts w:ascii="Verdana" w:hAnsi="Verdana"/>
          <w:sz w:val="20"/>
          <w:lang w:val="pt-BR"/>
        </w:rPr>
      </w:pPr>
    </w:p>
    <w:p w14:paraId="25354BBD" w14:textId="77777777" w:rsidR="00033F08" w:rsidRPr="00115175" w:rsidRDefault="00033F08" w:rsidP="00033F08">
      <w:pPr>
        <w:rPr>
          <w:rFonts w:ascii="Verdana" w:hAnsi="Verdana"/>
          <w:sz w:val="20"/>
          <w:lang w:val="pt-BR"/>
        </w:rPr>
      </w:pPr>
    </w:p>
    <w:p w14:paraId="08A7460A" w14:textId="77777777" w:rsidR="00033F08" w:rsidRPr="00115175" w:rsidRDefault="00033F08" w:rsidP="00033F08">
      <w:pPr>
        <w:rPr>
          <w:rFonts w:ascii="Verdana" w:hAnsi="Verdana"/>
          <w:sz w:val="20"/>
          <w:lang w:val="pt-BR"/>
        </w:rPr>
      </w:pPr>
    </w:p>
    <w:p w14:paraId="14369FD6" w14:textId="77777777" w:rsidR="00033F08" w:rsidRPr="00115175" w:rsidRDefault="00033F08" w:rsidP="00033F08">
      <w:pPr>
        <w:tabs>
          <w:tab w:val="left" w:pos="8460"/>
          <w:tab w:val="left" w:pos="8640"/>
        </w:tabs>
        <w:jc w:val="both"/>
        <w:rPr>
          <w:rFonts w:ascii="Verdana" w:hAnsi="Verdana"/>
          <w:sz w:val="20"/>
          <w:lang w:val="pt-BR"/>
        </w:rPr>
      </w:pPr>
    </w:p>
    <w:p w14:paraId="0E9EA30C" w14:textId="77777777" w:rsidR="00033F08" w:rsidRPr="00115175" w:rsidRDefault="00033F08" w:rsidP="00033F08">
      <w:pPr>
        <w:tabs>
          <w:tab w:val="left" w:pos="8460"/>
          <w:tab w:val="left" w:pos="8640"/>
        </w:tabs>
        <w:jc w:val="both"/>
        <w:rPr>
          <w:rFonts w:ascii="Verdana" w:hAnsi="Verdana"/>
          <w:sz w:val="20"/>
          <w:lang w:val="pt-BR"/>
        </w:rPr>
      </w:pPr>
    </w:p>
    <w:p w14:paraId="76E1AFB7" w14:textId="77777777" w:rsidR="00033F08" w:rsidRDefault="00033F08" w:rsidP="00033F08">
      <w:pPr>
        <w:tabs>
          <w:tab w:val="left" w:pos="8460"/>
          <w:tab w:val="left" w:pos="8640"/>
        </w:tabs>
        <w:jc w:val="center"/>
        <w:rPr>
          <w:rFonts w:ascii="Verdana" w:hAnsi="Verdana"/>
          <w:sz w:val="20"/>
        </w:rPr>
      </w:pPr>
      <w:r>
        <w:rPr>
          <w:rFonts w:ascii="Verdana" w:hAnsi="Verdana"/>
          <w:sz w:val="20"/>
        </w:rPr>
        <w:t>Pablo Saavedra Alessandri</w:t>
      </w:r>
    </w:p>
    <w:p w14:paraId="4B1EEDB3" w14:textId="77777777" w:rsidR="00033F08" w:rsidRDefault="00033F08" w:rsidP="00033F08">
      <w:pPr>
        <w:tabs>
          <w:tab w:val="left" w:pos="8460"/>
          <w:tab w:val="left" w:pos="8640"/>
        </w:tabs>
        <w:jc w:val="center"/>
        <w:rPr>
          <w:rFonts w:ascii="Verdana" w:hAnsi="Verdana"/>
          <w:sz w:val="20"/>
        </w:rPr>
      </w:pPr>
      <w:r>
        <w:rPr>
          <w:rFonts w:ascii="Verdana" w:hAnsi="Verdana"/>
          <w:sz w:val="20"/>
        </w:rPr>
        <w:t>Secretario</w:t>
      </w:r>
    </w:p>
    <w:p w14:paraId="7C91CD5B" w14:textId="77777777" w:rsidR="00033F08" w:rsidRDefault="00033F08" w:rsidP="00033F08">
      <w:pPr>
        <w:tabs>
          <w:tab w:val="left" w:pos="8460"/>
          <w:tab w:val="left" w:pos="8640"/>
        </w:tabs>
        <w:jc w:val="both"/>
        <w:rPr>
          <w:rFonts w:ascii="Verdana" w:hAnsi="Verdana"/>
          <w:sz w:val="20"/>
        </w:rPr>
      </w:pPr>
    </w:p>
    <w:p w14:paraId="00801A64" w14:textId="77777777" w:rsidR="00033F08" w:rsidRDefault="00033F08" w:rsidP="00033F08">
      <w:pPr>
        <w:jc w:val="both"/>
        <w:rPr>
          <w:rFonts w:ascii="Verdana" w:hAnsi="Verdana"/>
          <w:sz w:val="20"/>
        </w:rPr>
      </w:pPr>
    </w:p>
    <w:p w14:paraId="4D812B3F" w14:textId="77777777" w:rsidR="00033F08" w:rsidRDefault="00033F08" w:rsidP="00033F08">
      <w:pPr>
        <w:tabs>
          <w:tab w:val="left" w:pos="8460"/>
          <w:tab w:val="left" w:pos="8640"/>
        </w:tabs>
        <w:jc w:val="both"/>
        <w:rPr>
          <w:rFonts w:ascii="Verdana" w:hAnsi="Verdana"/>
          <w:sz w:val="20"/>
        </w:rPr>
      </w:pPr>
      <w:r>
        <w:rPr>
          <w:rFonts w:ascii="Verdana" w:hAnsi="Verdana"/>
          <w:sz w:val="20"/>
        </w:rPr>
        <w:t>Comuníquese y ejecútese,</w:t>
      </w:r>
    </w:p>
    <w:p w14:paraId="6F64DD36" w14:textId="77777777" w:rsidR="00033F08" w:rsidRDefault="00033F08" w:rsidP="00033F08">
      <w:pPr>
        <w:tabs>
          <w:tab w:val="left" w:pos="8460"/>
          <w:tab w:val="left" w:pos="8640"/>
        </w:tabs>
        <w:jc w:val="both"/>
        <w:rPr>
          <w:rFonts w:ascii="Verdana" w:hAnsi="Verdana"/>
          <w:sz w:val="20"/>
        </w:rPr>
      </w:pPr>
    </w:p>
    <w:p w14:paraId="0B87574F" w14:textId="77777777" w:rsidR="00033F08" w:rsidRDefault="00033F08" w:rsidP="00033F08">
      <w:pPr>
        <w:tabs>
          <w:tab w:val="left" w:pos="8460"/>
          <w:tab w:val="left" w:pos="8640"/>
        </w:tabs>
        <w:jc w:val="both"/>
        <w:rPr>
          <w:rFonts w:ascii="Verdana" w:hAnsi="Verdana"/>
          <w:sz w:val="20"/>
        </w:rPr>
      </w:pPr>
    </w:p>
    <w:p w14:paraId="622D1A62" w14:textId="77777777" w:rsidR="00033F08" w:rsidRDefault="00033F08" w:rsidP="00033F08">
      <w:pPr>
        <w:tabs>
          <w:tab w:val="left" w:pos="8460"/>
          <w:tab w:val="left" w:pos="8640"/>
        </w:tabs>
        <w:jc w:val="both"/>
        <w:rPr>
          <w:rFonts w:ascii="Verdana" w:hAnsi="Verdana"/>
          <w:sz w:val="20"/>
        </w:rPr>
      </w:pPr>
    </w:p>
    <w:p w14:paraId="775A13A4" w14:textId="77777777" w:rsidR="00033F08" w:rsidRDefault="00033F08" w:rsidP="00033F08">
      <w:pPr>
        <w:tabs>
          <w:tab w:val="left" w:pos="8460"/>
          <w:tab w:val="left" w:pos="8640"/>
        </w:tabs>
        <w:jc w:val="both"/>
        <w:rPr>
          <w:rFonts w:ascii="Verdana" w:hAnsi="Verdana"/>
          <w:sz w:val="20"/>
        </w:rPr>
      </w:pPr>
    </w:p>
    <w:p w14:paraId="55B065F3" w14:textId="77777777" w:rsidR="00033F08" w:rsidRDefault="00033F08" w:rsidP="00033F08">
      <w:pPr>
        <w:jc w:val="right"/>
        <w:rPr>
          <w:rFonts w:ascii="Verdana" w:hAnsi="Verdana"/>
          <w:sz w:val="20"/>
        </w:rPr>
      </w:pPr>
      <w:r>
        <w:rPr>
          <w:rFonts w:ascii="Verdana" w:hAnsi="Verdana"/>
          <w:sz w:val="20"/>
          <w:lang w:val="es-CR"/>
        </w:rPr>
        <w:t>Humberto Antonio Sierra Porto</w:t>
      </w:r>
    </w:p>
    <w:p w14:paraId="6B44005A" w14:textId="77777777" w:rsidR="00033F08" w:rsidRPr="00DA333E" w:rsidRDefault="00033F08" w:rsidP="00033F08">
      <w:pPr>
        <w:ind w:right="1170"/>
        <w:jc w:val="right"/>
        <w:rPr>
          <w:rFonts w:ascii="Verdana" w:hAnsi="Verdana"/>
          <w:sz w:val="20"/>
          <w:lang w:val="es-CR"/>
        </w:rPr>
      </w:pPr>
      <w:r w:rsidRPr="00DA333E">
        <w:rPr>
          <w:rFonts w:ascii="Verdana" w:hAnsi="Verdana"/>
          <w:sz w:val="20"/>
          <w:lang w:val="es-CR"/>
        </w:rPr>
        <w:t>Presidente</w:t>
      </w:r>
    </w:p>
    <w:p w14:paraId="2ACE7E2C" w14:textId="77777777" w:rsidR="00033F08" w:rsidRPr="00DA333E" w:rsidRDefault="00033F08" w:rsidP="00033F08">
      <w:pPr>
        <w:tabs>
          <w:tab w:val="left" w:pos="8460"/>
          <w:tab w:val="left" w:pos="8640"/>
        </w:tabs>
        <w:jc w:val="both"/>
        <w:rPr>
          <w:rFonts w:ascii="Verdana" w:hAnsi="Verdana"/>
          <w:sz w:val="20"/>
          <w:lang w:val="es-CR"/>
        </w:rPr>
      </w:pPr>
    </w:p>
    <w:p w14:paraId="4ECB3307" w14:textId="77777777" w:rsidR="00033F08" w:rsidRPr="00DA333E" w:rsidRDefault="00033F08" w:rsidP="00033F08">
      <w:pPr>
        <w:tabs>
          <w:tab w:val="left" w:pos="8460"/>
          <w:tab w:val="left" w:pos="8640"/>
        </w:tabs>
        <w:jc w:val="both"/>
        <w:rPr>
          <w:rFonts w:ascii="Verdana" w:hAnsi="Verdana"/>
          <w:sz w:val="20"/>
          <w:lang w:val="es-CR"/>
        </w:rPr>
      </w:pPr>
    </w:p>
    <w:p w14:paraId="64717399" w14:textId="77777777" w:rsidR="00033F08" w:rsidRPr="00DA333E" w:rsidRDefault="00033F08" w:rsidP="00033F08">
      <w:pPr>
        <w:tabs>
          <w:tab w:val="left" w:pos="8460"/>
          <w:tab w:val="left" w:pos="8640"/>
        </w:tabs>
        <w:jc w:val="both"/>
        <w:rPr>
          <w:rFonts w:ascii="Verdana" w:hAnsi="Verdana"/>
          <w:sz w:val="20"/>
          <w:lang w:val="es-CR"/>
        </w:rPr>
      </w:pPr>
    </w:p>
    <w:p w14:paraId="6F6CAF89" w14:textId="77777777" w:rsidR="00033F08" w:rsidRPr="00DA333E" w:rsidRDefault="00033F08" w:rsidP="00033F08">
      <w:pPr>
        <w:tabs>
          <w:tab w:val="left" w:pos="8460"/>
          <w:tab w:val="left" w:pos="8640"/>
        </w:tabs>
        <w:jc w:val="both"/>
        <w:rPr>
          <w:rFonts w:ascii="Verdana" w:hAnsi="Verdana"/>
          <w:sz w:val="20"/>
          <w:lang w:val="es-CR"/>
        </w:rPr>
      </w:pPr>
    </w:p>
    <w:p w14:paraId="37971DBF" w14:textId="77777777" w:rsidR="00033F08" w:rsidRPr="00DA333E" w:rsidRDefault="00033F08" w:rsidP="00033F08">
      <w:pPr>
        <w:tabs>
          <w:tab w:val="left" w:pos="8460"/>
          <w:tab w:val="left" w:pos="8640"/>
        </w:tabs>
        <w:jc w:val="both"/>
        <w:rPr>
          <w:rFonts w:ascii="Verdana" w:hAnsi="Verdana"/>
          <w:sz w:val="20"/>
          <w:lang w:val="es-CR"/>
        </w:rPr>
      </w:pPr>
      <w:r w:rsidRPr="00DA333E">
        <w:rPr>
          <w:rFonts w:ascii="Verdana" w:hAnsi="Verdana"/>
          <w:sz w:val="20"/>
          <w:lang w:val="es-CR"/>
        </w:rPr>
        <w:t>Pablo Saavedra Alessandri</w:t>
      </w:r>
    </w:p>
    <w:p w14:paraId="3B5CEF58" w14:textId="77777777" w:rsidR="00033F08" w:rsidRPr="00DA333E" w:rsidRDefault="00033F08" w:rsidP="00033F08">
      <w:pPr>
        <w:tabs>
          <w:tab w:val="left" w:pos="8640"/>
        </w:tabs>
        <w:ind w:left="720"/>
        <w:rPr>
          <w:rFonts w:ascii="Verdana" w:hAnsi="Verdana"/>
          <w:sz w:val="20"/>
          <w:lang w:val="es-CR"/>
        </w:rPr>
      </w:pPr>
      <w:r w:rsidRPr="00DA333E">
        <w:rPr>
          <w:rFonts w:ascii="Verdana" w:hAnsi="Verdana"/>
          <w:sz w:val="20"/>
          <w:lang w:val="es-CR"/>
        </w:rPr>
        <w:t xml:space="preserve">  Secretario</w:t>
      </w:r>
    </w:p>
    <w:p w14:paraId="7756DD54" w14:textId="77777777" w:rsidR="00033F08" w:rsidRPr="00DA333E" w:rsidRDefault="00033F08" w:rsidP="00033F08">
      <w:pPr>
        <w:tabs>
          <w:tab w:val="left" w:pos="8640"/>
        </w:tabs>
        <w:ind w:left="720"/>
        <w:rPr>
          <w:rFonts w:ascii="Verdana" w:hAnsi="Verdana"/>
          <w:sz w:val="20"/>
          <w:lang w:val="es-CR"/>
        </w:rPr>
      </w:pPr>
    </w:p>
    <w:p w14:paraId="09D57294" w14:textId="77777777" w:rsidR="00033F08" w:rsidRDefault="00033F08">
      <w:pPr>
        <w:spacing w:after="200" w:line="276" w:lineRule="auto"/>
        <w:rPr>
          <w:lang w:val="es-CR"/>
        </w:rPr>
      </w:pPr>
    </w:p>
    <w:p w14:paraId="3480D07E" w14:textId="77777777" w:rsidR="00E664AB" w:rsidRPr="00D73A0B" w:rsidRDefault="00E664AB" w:rsidP="007B386C">
      <w:pPr>
        <w:rPr>
          <w:lang w:val="es-CR"/>
        </w:rPr>
      </w:pPr>
    </w:p>
    <w:p w14:paraId="4CCB52CE" w14:textId="77777777" w:rsidR="00F568EB" w:rsidRDefault="00BA5FB7" w:rsidP="007B386C">
      <w:pPr>
        <w:pStyle w:val="Heading1"/>
        <w:tabs>
          <w:tab w:val="left" w:pos="851"/>
        </w:tabs>
        <w:spacing w:before="0"/>
        <w:jc w:val="center"/>
        <w:rPr>
          <w:rFonts w:ascii="Verdana" w:hAnsi="Verdana" w:cs="Verdana"/>
          <w:caps/>
          <w:snapToGrid w:val="0"/>
          <w:color w:val="auto"/>
          <w:sz w:val="20"/>
          <w:szCs w:val="20"/>
        </w:rPr>
      </w:pPr>
      <w:bookmarkStart w:id="111" w:name="_Toc436065854"/>
      <w:bookmarkStart w:id="112" w:name="_Toc436289319"/>
      <w:bookmarkStart w:id="113" w:name="_Toc438137511"/>
      <w:bookmarkStart w:id="114" w:name="_Toc441666213"/>
      <w:r>
        <w:rPr>
          <w:rFonts w:ascii="Verdana" w:hAnsi="Verdana" w:cs="Verdana"/>
          <w:caps/>
          <w:snapToGrid w:val="0"/>
          <w:color w:val="auto"/>
          <w:sz w:val="20"/>
          <w:szCs w:val="20"/>
        </w:rPr>
        <w:lastRenderedPageBreak/>
        <w:t>IX</w:t>
      </w:r>
      <w:bookmarkEnd w:id="111"/>
      <w:bookmarkEnd w:id="112"/>
      <w:bookmarkEnd w:id="113"/>
      <w:bookmarkEnd w:id="114"/>
    </w:p>
    <w:p w14:paraId="2F348B4B" w14:textId="77777777" w:rsidR="009F4526" w:rsidRPr="00247DB8" w:rsidRDefault="009F4526" w:rsidP="009F4526">
      <w:pPr>
        <w:jc w:val="center"/>
        <w:rPr>
          <w:rFonts w:ascii="Verdana" w:eastAsia="Times New Roman" w:hAnsi="Verdana" w:cs="Verdana"/>
          <w:b/>
          <w:bCs/>
          <w:caps/>
          <w:snapToGrid w:val="0"/>
          <w:sz w:val="20"/>
          <w:szCs w:val="20"/>
        </w:rPr>
      </w:pPr>
      <w:r w:rsidRPr="00247DB8">
        <w:rPr>
          <w:rFonts w:ascii="Verdana" w:eastAsia="Times New Roman" w:hAnsi="Verdana" w:cs="Verdana"/>
          <w:b/>
          <w:bCs/>
          <w:caps/>
          <w:snapToGrid w:val="0"/>
          <w:sz w:val="20"/>
          <w:szCs w:val="20"/>
        </w:rPr>
        <w:t>ANEXOS</w:t>
      </w:r>
    </w:p>
    <w:p w14:paraId="0DD089A7" w14:textId="77777777" w:rsidR="007B386C" w:rsidRDefault="007B386C" w:rsidP="007B386C">
      <w:pPr>
        <w:pStyle w:val="Heading1"/>
        <w:tabs>
          <w:tab w:val="left" w:pos="851"/>
        </w:tabs>
        <w:spacing w:before="0"/>
        <w:jc w:val="center"/>
        <w:rPr>
          <w:rFonts w:ascii="Verdana" w:hAnsi="Verdana" w:cs="Verdana"/>
          <w:caps/>
          <w:snapToGrid w:val="0"/>
          <w:color w:val="auto"/>
          <w:sz w:val="20"/>
          <w:szCs w:val="20"/>
        </w:rPr>
      </w:pPr>
      <w:r w:rsidRPr="00FD7DB4">
        <w:rPr>
          <w:rFonts w:ascii="Verdana" w:hAnsi="Verdana" w:cs="Verdana"/>
          <w:caps/>
          <w:snapToGrid w:val="0"/>
          <w:color w:val="auto"/>
          <w:sz w:val="20"/>
          <w:szCs w:val="20"/>
        </w:rPr>
        <w:br/>
      </w:r>
      <w:bookmarkStart w:id="115" w:name="_Toc441666214"/>
      <w:r>
        <w:rPr>
          <w:rFonts w:ascii="Verdana" w:hAnsi="Verdana" w:cs="Verdana"/>
          <w:caps/>
          <w:snapToGrid w:val="0"/>
          <w:color w:val="auto"/>
          <w:sz w:val="20"/>
          <w:szCs w:val="20"/>
        </w:rPr>
        <w:t>ANEXO</w:t>
      </w:r>
      <w:r w:rsidR="00F568EB">
        <w:rPr>
          <w:rFonts w:ascii="Verdana" w:hAnsi="Verdana" w:cs="Verdana"/>
          <w:caps/>
          <w:snapToGrid w:val="0"/>
          <w:color w:val="auto"/>
          <w:sz w:val="20"/>
          <w:szCs w:val="20"/>
        </w:rPr>
        <w:t xml:space="preserve"> I</w:t>
      </w:r>
      <w:bookmarkEnd w:id="115"/>
    </w:p>
    <w:p w14:paraId="143D7123" w14:textId="77777777" w:rsidR="007B386C" w:rsidRDefault="007B386C" w:rsidP="007B386C"/>
    <w:p w14:paraId="1429F84D" w14:textId="77777777" w:rsidR="007B386C" w:rsidRDefault="00D24B97" w:rsidP="007B386C">
      <w:pPr>
        <w:jc w:val="center"/>
      </w:pPr>
      <w:r w:rsidRPr="007E20F9">
        <w:rPr>
          <w:rFonts w:ascii="Verdana" w:hAnsi="Verdana"/>
          <w:noProof/>
          <w:sz w:val="20"/>
          <w:szCs w:val="20"/>
          <w:lang w:val="es-ES" w:eastAsia="es-ES"/>
        </w:rPr>
        <w:drawing>
          <wp:inline distT="0" distB="0" distL="0" distR="0" wp14:anchorId="64FEA14A" wp14:editId="177E821B">
            <wp:extent cx="6138407" cy="53353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16129" t="18098" r="12734" b="5883"/>
                    <a:stretch/>
                  </pic:blipFill>
                  <pic:spPr bwMode="auto">
                    <a:xfrm>
                      <a:off x="0" y="0"/>
                      <a:ext cx="6145058" cy="5341107"/>
                    </a:xfrm>
                    <a:prstGeom prst="rect">
                      <a:avLst/>
                    </a:prstGeom>
                    <a:ln>
                      <a:noFill/>
                    </a:ln>
                    <a:extLst>
                      <a:ext uri="{53640926-AAD7-44D8-BBD7-CCE9431645EC}">
                        <a14:shadowObscured xmlns:a14="http://schemas.microsoft.com/office/drawing/2010/main"/>
                      </a:ext>
                    </a:extLst>
                  </pic:spPr>
                </pic:pic>
              </a:graphicData>
            </a:graphic>
          </wp:inline>
        </w:drawing>
      </w:r>
    </w:p>
    <w:p w14:paraId="2927585F" w14:textId="77777777" w:rsidR="007B386C" w:rsidRDefault="007B386C" w:rsidP="007B386C">
      <w:pPr>
        <w:jc w:val="center"/>
      </w:pPr>
    </w:p>
    <w:p w14:paraId="65760967" w14:textId="77777777" w:rsidR="007B386C" w:rsidRDefault="007B386C" w:rsidP="007B386C">
      <w:pPr>
        <w:jc w:val="both"/>
      </w:pPr>
    </w:p>
    <w:p w14:paraId="7C53ACE6" w14:textId="77777777" w:rsidR="00F568EB" w:rsidRDefault="00F568EB" w:rsidP="007B386C">
      <w:pPr>
        <w:jc w:val="both"/>
      </w:pPr>
    </w:p>
    <w:p w14:paraId="311CF6C1" w14:textId="77777777" w:rsidR="00F568EB" w:rsidRDefault="00F568EB" w:rsidP="007B386C">
      <w:pPr>
        <w:jc w:val="both"/>
      </w:pPr>
    </w:p>
    <w:p w14:paraId="3F33260D" w14:textId="77777777" w:rsidR="007B386C" w:rsidRPr="00190AD3" w:rsidRDefault="00F568EB" w:rsidP="007B386C">
      <w:pPr>
        <w:jc w:val="both"/>
        <w:rPr>
          <w:rFonts w:ascii="Verdana" w:hAnsi="Verdana"/>
          <w:sz w:val="18"/>
        </w:rPr>
      </w:pPr>
      <w:r w:rsidRPr="00190AD3">
        <w:rPr>
          <w:rFonts w:ascii="Verdana" w:hAnsi="Verdana"/>
          <w:sz w:val="18"/>
        </w:rPr>
        <w:t xml:space="preserve">Nota: </w:t>
      </w:r>
      <w:r w:rsidR="007B386C" w:rsidRPr="00190AD3">
        <w:rPr>
          <w:rFonts w:ascii="Verdana" w:hAnsi="Verdana"/>
          <w:sz w:val="18"/>
        </w:rPr>
        <w:t xml:space="preserve">El presente mapa se </w:t>
      </w:r>
      <w:r w:rsidRPr="00190AD3">
        <w:rPr>
          <w:rFonts w:ascii="Verdana" w:hAnsi="Verdana"/>
          <w:sz w:val="18"/>
        </w:rPr>
        <w:t>incluye</w:t>
      </w:r>
      <w:r w:rsidR="007B386C" w:rsidRPr="00190AD3">
        <w:rPr>
          <w:rFonts w:ascii="Verdana" w:hAnsi="Verdana"/>
          <w:sz w:val="18"/>
        </w:rPr>
        <w:t xml:space="preserve"> con fines ilustrativos. El mapa fue presentado por el Estado mediante sus alegatos finales escritos. En él se delimita una aproximación del territorio ocupado por los pueblos indígenas y </w:t>
      </w:r>
      <w:r w:rsidR="006D4D2C">
        <w:rPr>
          <w:rFonts w:ascii="Verdana" w:hAnsi="Verdana"/>
          <w:sz w:val="18"/>
        </w:rPr>
        <w:t>maroon</w:t>
      </w:r>
      <w:r w:rsidR="00F57D87">
        <w:rPr>
          <w:rFonts w:ascii="Verdana" w:hAnsi="Verdana"/>
          <w:sz w:val="18"/>
        </w:rPr>
        <w:t>s</w:t>
      </w:r>
      <w:r w:rsidR="007B386C" w:rsidRPr="00190AD3">
        <w:rPr>
          <w:rFonts w:ascii="Verdana" w:hAnsi="Verdana"/>
          <w:sz w:val="18"/>
        </w:rPr>
        <w:t xml:space="preserve"> en Surinam.</w:t>
      </w:r>
    </w:p>
    <w:p w14:paraId="284795B1" w14:textId="77777777" w:rsidR="007B386C" w:rsidRDefault="007B386C" w:rsidP="007B386C"/>
    <w:p w14:paraId="5D468064" w14:textId="77777777" w:rsidR="007B386C" w:rsidRDefault="007B386C" w:rsidP="007B386C"/>
    <w:p w14:paraId="74B8550A" w14:textId="77777777" w:rsidR="007B386C" w:rsidRDefault="007B386C" w:rsidP="007B386C"/>
    <w:p w14:paraId="5EA3633B" w14:textId="77777777" w:rsidR="009F546E" w:rsidRDefault="009F546E" w:rsidP="007B386C"/>
    <w:p w14:paraId="3D22BF5A" w14:textId="77777777" w:rsidR="009F546E" w:rsidRDefault="009F546E" w:rsidP="007B386C"/>
    <w:p w14:paraId="7913AF44" w14:textId="77777777" w:rsidR="009F546E" w:rsidRDefault="009F546E" w:rsidP="007B386C"/>
    <w:p w14:paraId="0337C02A" w14:textId="77777777" w:rsidR="007B386C" w:rsidRPr="002C323A" w:rsidRDefault="00F568EB" w:rsidP="002C323A">
      <w:pPr>
        <w:jc w:val="center"/>
        <w:rPr>
          <w:b/>
        </w:rPr>
      </w:pPr>
      <w:r w:rsidRPr="002C323A">
        <w:rPr>
          <w:rFonts w:ascii="Verdana" w:hAnsi="Verdana" w:cs="Verdana"/>
          <w:b/>
          <w:caps/>
          <w:snapToGrid w:val="0"/>
          <w:sz w:val="20"/>
          <w:szCs w:val="20"/>
        </w:rPr>
        <w:lastRenderedPageBreak/>
        <w:t>ANEXO II</w:t>
      </w:r>
    </w:p>
    <w:p w14:paraId="0CD3B37F" w14:textId="77777777" w:rsidR="007B386C" w:rsidRDefault="007B386C" w:rsidP="007B386C"/>
    <w:p w14:paraId="3099D75F" w14:textId="77777777" w:rsidR="007B386C" w:rsidRDefault="007B386C" w:rsidP="007B386C"/>
    <w:p w14:paraId="18E825E1" w14:textId="77777777" w:rsidR="007B386C" w:rsidRDefault="00D24B97" w:rsidP="007B386C">
      <w:pPr>
        <w:jc w:val="center"/>
      </w:pPr>
      <w:r w:rsidRPr="007E20F9">
        <w:rPr>
          <w:rFonts w:ascii="Verdana" w:hAnsi="Verdana"/>
          <w:noProof/>
          <w:sz w:val="20"/>
          <w:szCs w:val="20"/>
          <w:lang w:val="es-ES" w:eastAsia="es-ES"/>
        </w:rPr>
        <w:drawing>
          <wp:inline distT="0" distB="0" distL="0" distR="0" wp14:anchorId="6B5200B3" wp14:editId="43F1CA63">
            <wp:extent cx="4482849" cy="5557651"/>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0000" t="21944" r="18923" b="10161"/>
                    <a:stretch/>
                  </pic:blipFill>
                  <pic:spPr bwMode="auto">
                    <a:xfrm>
                      <a:off x="0" y="0"/>
                      <a:ext cx="4490430" cy="5567049"/>
                    </a:xfrm>
                    <a:prstGeom prst="rect">
                      <a:avLst/>
                    </a:prstGeom>
                    <a:ln>
                      <a:noFill/>
                    </a:ln>
                    <a:extLst>
                      <a:ext uri="{53640926-AAD7-44D8-BBD7-CCE9431645EC}">
                        <a14:shadowObscured xmlns:a14="http://schemas.microsoft.com/office/drawing/2010/main"/>
                      </a:ext>
                    </a:extLst>
                  </pic:spPr>
                </pic:pic>
              </a:graphicData>
            </a:graphic>
          </wp:inline>
        </w:drawing>
      </w:r>
    </w:p>
    <w:p w14:paraId="1D01F32F" w14:textId="77777777" w:rsidR="007B386C" w:rsidRPr="00801BD1" w:rsidRDefault="007B386C" w:rsidP="007B386C"/>
    <w:p w14:paraId="6EDB0403" w14:textId="77777777" w:rsidR="002C6B42" w:rsidRDefault="002C6B42" w:rsidP="007B386C">
      <w:pPr>
        <w:jc w:val="both"/>
        <w:rPr>
          <w:rFonts w:ascii="Verdana" w:hAnsi="Verdana"/>
          <w:b/>
          <w:sz w:val="18"/>
          <w:szCs w:val="20"/>
        </w:rPr>
      </w:pPr>
    </w:p>
    <w:p w14:paraId="6335D68B" w14:textId="77777777" w:rsidR="002C6B42" w:rsidRDefault="002C6B42" w:rsidP="007B386C">
      <w:pPr>
        <w:jc w:val="both"/>
        <w:rPr>
          <w:rFonts w:ascii="Verdana" w:hAnsi="Verdana"/>
          <w:b/>
          <w:sz w:val="18"/>
          <w:szCs w:val="20"/>
        </w:rPr>
      </w:pPr>
    </w:p>
    <w:p w14:paraId="237486DD" w14:textId="77777777" w:rsidR="002C6B42" w:rsidRDefault="002C6B42" w:rsidP="007B386C">
      <w:pPr>
        <w:jc w:val="both"/>
        <w:rPr>
          <w:rFonts w:ascii="Verdana" w:hAnsi="Verdana"/>
          <w:b/>
          <w:sz w:val="18"/>
          <w:szCs w:val="20"/>
        </w:rPr>
      </w:pPr>
    </w:p>
    <w:p w14:paraId="48668322" w14:textId="77777777" w:rsidR="002C6B42" w:rsidRDefault="002C6B42" w:rsidP="007B386C">
      <w:pPr>
        <w:jc w:val="both"/>
        <w:rPr>
          <w:rFonts w:ascii="Verdana" w:hAnsi="Verdana"/>
          <w:b/>
          <w:sz w:val="18"/>
          <w:szCs w:val="20"/>
        </w:rPr>
      </w:pPr>
    </w:p>
    <w:p w14:paraId="1FC187B2" w14:textId="77777777" w:rsidR="007B386C" w:rsidRPr="00190AD3" w:rsidRDefault="00F568EB" w:rsidP="007B386C">
      <w:pPr>
        <w:jc w:val="both"/>
        <w:rPr>
          <w:rFonts w:ascii="Verdana" w:hAnsi="Verdana"/>
          <w:sz w:val="18"/>
        </w:rPr>
      </w:pPr>
      <w:r w:rsidRPr="00190AD3">
        <w:rPr>
          <w:rFonts w:ascii="Verdana" w:hAnsi="Verdana"/>
          <w:sz w:val="18"/>
        </w:rPr>
        <w:t xml:space="preserve">Nota: </w:t>
      </w:r>
      <w:r w:rsidR="007B386C" w:rsidRPr="00190AD3">
        <w:rPr>
          <w:rFonts w:ascii="Verdana" w:hAnsi="Verdana"/>
          <w:sz w:val="18"/>
        </w:rPr>
        <w:t xml:space="preserve">El presente mapa se </w:t>
      </w:r>
      <w:r w:rsidRPr="00190AD3">
        <w:rPr>
          <w:rFonts w:ascii="Verdana" w:hAnsi="Verdana"/>
          <w:sz w:val="18"/>
        </w:rPr>
        <w:t xml:space="preserve">incluye </w:t>
      </w:r>
      <w:r w:rsidR="007B386C" w:rsidRPr="00190AD3">
        <w:rPr>
          <w:rFonts w:ascii="Verdana" w:hAnsi="Verdana"/>
          <w:sz w:val="18"/>
        </w:rPr>
        <w:t xml:space="preserve">con fines ilustrativos. El mapa fue presentado por los representantes de las víctimas durante la audiencia pública del caso. En él se delimita una aproximación del territorio reclamado por las víctimas y la ubicación de las comunidades de los Pueblos Kaliña y Lokono que forman parte del presente caso. Durante la diligencia </w:t>
      </w:r>
      <w:r w:rsidR="007B386C" w:rsidRPr="00190AD3">
        <w:rPr>
          <w:rFonts w:ascii="Verdana" w:hAnsi="Verdana"/>
          <w:i/>
          <w:sz w:val="18"/>
        </w:rPr>
        <w:t>in situ</w:t>
      </w:r>
      <w:r w:rsidR="007B386C" w:rsidRPr="00190AD3">
        <w:rPr>
          <w:rFonts w:ascii="Verdana" w:hAnsi="Verdana"/>
          <w:sz w:val="18"/>
        </w:rPr>
        <w:t>, el Estado argumentó que el mapa aportado por los representantes era impreciso</w:t>
      </w:r>
      <w:r w:rsidRPr="00190AD3">
        <w:rPr>
          <w:rFonts w:ascii="Verdana" w:hAnsi="Verdana"/>
          <w:sz w:val="18"/>
        </w:rPr>
        <w:t xml:space="preserve"> y los representantes han manifestado que expone áreas aproximadas y no exactas del territorio reclamado. </w:t>
      </w:r>
    </w:p>
    <w:p w14:paraId="5E7F710F" w14:textId="77777777" w:rsidR="007B386C" w:rsidRDefault="007B386C" w:rsidP="007B386C">
      <w:pPr>
        <w:jc w:val="both"/>
        <w:rPr>
          <w:rFonts w:ascii="Verdana" w:hAnsi="Verdana"/>
          <w:sz w:val="20"/>
          <w:szCs w:val="20"/>
        </w:rPr>
      </w:pPr>
    </w:p>
    <w:p w14:paraId="5A212B88" w14:textId="77777777" w:rsidR="00F568EB" w:rsidRDefault="00F568EB" w:rsidP="007B386C">
      <w:pPr>
        <w:jc w:val="both"/>
        <w:rPr>
          <w:rFonts w:ascii="Verdana" w:hAnsi="Verdana"/>
          <w:sz w:val="20"/>
          <w:szCs w:val="20"/>
        </w:rPr>
      </w:pPr>
    </w:p>
    <w:p w14:paraId="458FED80" w14:textId="77777777" w:rsidR="00011A37" w:rsidRDefault="00011A37" w:rsidP="007B386C">
      <w:pPr>
        <w:jc w:val="both"/>
        <w:rPr>
          <w:rFonts w:ascii="Verdana" w:hAnsi="Verdana"/>
          <w:sz w:val="20"/>
          <w:szCs w:val="20"/>
        </w:rPr>
      </w:pPr>
    </w:p>
    <w:p w14:paraId="3D973353" w14:textId="77777777" w:rsidR="00011A37" w:rsidRDefault="00011A37" w:rsidP="007B386C">
      <w:pPr>
        <w:jc w:val="both"/>
        <w:rPr>
          <w:rFonts w:ascii="Verdana" w:hAnsi="Verdana"/>
          <w:sz w:val="20"/>
          <w:szCs w:val="20"/>
        </w:rPr>
      </w:pPr>
    </w:p>
    <w:p w14:paraId="6C98B93D" w14:textId="77777777" w:rsidR="00F568EB" w:rsidRDefault="00F568EB" w:rsidP="002C323A">
      <w:pPr>
        <w:jc w:val="center"/>
        <w:rPr>
          <w:rFonts w:ascii="Verdana" w:hAnsi="Verdana" w:cs="Verdana"/>
          <w:b/>
          <w:caps/>
          <w:snapToGrid w:val="0"/>
          <w:sz w:val="20"/>
          <w:szCs w:val="20"/>
        </w:rPr>
      </w:pPr>
      <w:r w:rsidRPr="002C323A">
        <w:rPr>
          <w:rFonts w:ascii="Verdana" w:hAnsi="Verdana" w:cs="Verdana"/>
          <w:b/>
          <w:caps/>
          <w:snapToGrid w:val="0"/>
          <w:sz w:val="20"/>
          <w:szCs w:val="20"/>
        </w:rPr>
        <w:lastRenderedPageBreak/>
        <w:t>ANEXO III</w:t>
      </w:r>
    </w:p>
    <w:p w14:paraId="3A073AF1" w14:textId="77777777" w:rsidR="00F568EB" w:rsidRDefault="00F568EB" w:rsidP="002C323A">
      <w:pPr>
        <w:jc w:val="center"/>
        <w:rPr>
          <w:rFonts w:ascii="Verdana" w:hAnsi="Verdana" w:cs="Verdana"/>
          <w:b/>
          <w:caps/>
          <w:snapToGrid w:val="0"/>
          <w:sz w:val="20"/>
          <w:szCs w:val="20"/>
        </w:rPr>
      </w:pPr>
    </w:p>
    <w:p w14:paraId="426D0B0A" w14:textId="77777777" w:rsidR="00F568EB" w:rsidRDefault="00F568EB" w:rsidP="002C323A">
      <w:pPr>
        <w:jc w:val="center"/>
        <w:rPr>
          <w:rFonts w:ascii="Verdana" w:hAnsi="Verdana" w:cs="Verdana"/>
          <w:b/>
          <w:caps/>
          <w:snapToGrid w:val="0"/>
          <w:sz w:val="20"/>
          <w:szCs w:val="20"/>
        </w:rPr>
      </w:pPr>
    </w:p>
    <w:p w14:paraId="6C4D5027" w14:textId="77777777" w:rsidR="00F568EB" w:rsidRPr="002C323A" w:rsidRDefault="00F568EB" w:rsidP="002C323A">
      <w:pPr>
        <w:jc w:val="center"/>
        <w:rPr>
          <w:rFonts w:ascii="Verdana" w:hAnsi="Verdana"/>
          <w:b/>
          <w:sz w:val="20"/>
          <w:szCs w:val="20"/>
        </w:rPr>
      </w:pPr>
    </w:p>
    <w:p w14:paraId="6D08D9FB" w14:textId="77777777" w:rsidR="007B386C" w:rsidRDefault="007B386C" w:rsidP="007B386C">
      <w:pPr>
        <w:jc w:val="both"/>
        <w:rPr>
          <w:rFonts w:eastAsia="Times New Roman"/>
          <w:snapToGrid w:val="0"/>
          <w:color w:val="000000"/>
          <w:w w:val="0"/>
          <w:sz w:val="0"/>
          <w:szCs w:val="0"/>
          <w:u w:color="000000"/>
          <w:bdr w:val="none" w:sz="0" w:space="0" w:color="000000"/>
          <w:shd w:val="clear" w:color="000000" w:fill="000000"/>
          <w:lang w:val="es-CR"/>
        </w:rPr>
      </w:pPr>
      <w:r w:rsidRPr="007D1B33">
        <w:rPr>
          <w:rFonts w:eastAsia="Times New Roman"/>
          <w:snapToGrid w:val="0"/>
          <w:color w:val="000000"/>
          <w:w w:val="0"/>
          <w:sz w:val="0"/>
          <w:szCs w:val="0"/>
          <w:u w:color="000000"/>
          <w:bdr w:val="none" w:sz="0" w:space="0" w:color="000000"/>
          <w:shd w:val="clear" w:color="000000" w:fill="000000"/>
        </w:rPr>
        <w:t xml:space="preserve"> </w:t>
      </w:r>
      <w:r w:rsidR="00D24B97" w:rsidRPr="007E20F9">
        <w:rPr>
          <w:rFonts w:ascii="Verdana" w:hAnsi="Verdana"/>
          <w:noProof/>
          <w:sz w:val="20"/>
          <w:szCs w:val="20"/>
          <w:lang w:val="es-ES" w:eastAsia="es-ES"/>
        </w:rPr>
        <w:drawing>
          <wp:inline distT="0" distB="0" distL="0" distR="0" wp14:anchorId="2DEE1F71" wp14:editId="233905F9">
            <wp:extent cx="5478448" cy="4556097"/>
            <wp:effectExtent l="0" t="0" r="8255" b="0"/>
            <wp:docPr id="8" name="Imagen 8" descr="C:\Users\Jose Pablo Vega\Desktop\Pages from signed final kirsch affidavit marowi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 Pablo Vega\Desktop\Pages from signed final kirsch affidavit marowijn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1179" t="32388" r="14152" b="29741"/>
                    <a:stretch/>
                  </pic:blipFill>
                  <pic:spPr bwMode="auto">
                    <a:xfrm>
                      <a:off x="0" y="0"/>
                      <a:ext cx="5477101" cy="4554977"/>
                    </a:xfrm>
                    <a:prstGeom prst="rect">
                      <a:avLst/>
                    </a:prstGeom>
                    <a:noFill/>
                    <a:ln>
                      <a:noFill/>
                    </a:ln>
                    <a:extLst>
                      <a:ext uri="{53640926-AAD7-44D8-BBD7-CCE9431645EC}">
                        <a14:shadowObscured xmlns:a14="http://schemas.microsoft.com/office/drawing/2010/main"/>
                      </a:ext>
                    </a:extLst>
                  </pic:spPr>
                </pic:pic>
              </a:graphicData>
            </a:graphic>
          </wp:inline>
        </w:drawing>
      </w:r>
    </w:p>
    <w:p w14:paraId="079F6F18" w14:textId="77777777" w:rsidR="007B386C" w:rsidRDefault="007B386C" w:rsidP="007B386C">
      <w:pPr>
        <w:jc w:val="both"/>
        <w:rPr>
          <w:rFonts w:eastAsia="Times New Roman"/>
          <w:snapToGrid w:val="0"/>
          <w:color w:val="000000"/>
          <w:w w:val="0"/>
          <w:sz w:val="0"/>
          <w:szCs w:val="0"/>
          <w:u w:color="000000"/>
          <w:bdr w:val="none" w:sz="0" w:space="0" w:color="000000"/>
          <w:shd w:val="clear" w:color="000000" w:fill="000000"/>
          <w:lang w:val="es-CR"/>
        </w:rPr>
      </w:pPr>
    </w:p>
    <w:p w14:paraId="0A759768" w14:textId="77777777" w:rsidR="007B386C" w:rsidRDefault="007B386C" w:rsidP="007B386C">
      <w:pPr>
        <w:jc w:val="both"/>
        <w:rPr>
          <w:rFonts w:ascii="Verdana" w:hAnsi="Verdana"/>
          <w:b/>
          <w:sz w:val="20"/>
          <w:szCs w:val="20"/>
        </w:rPr>
      </w:pPr>
    </w:p>
    <w:p w14:paraId="5C3E2049" w14:textId="77777777" w:rsidR="00F568EB" w:rsidRDefault="00F568EB" w:rsidP="007B386C">
      <w:pPr>
        <w:jc w:val="both"/>
        <w:rPr>
          <w:rFonts w:ascii="Verdana" w:hAnsi="Verdana"/>
          <w:b/>
          <w:sz w:val="20"/>
          <w:szCs w:val="20"/>
        </w:rPr>
      </w:pPr>
    </w:p>
    <w:p w14:paraId="56697080" w14:textId="77777777" w:rsidR="00F568EB" w:rsidRDefault="00F568EB" w:rsidP="007B386C">
      <w:pPr>
        <w:jc w:val="both"/>
        <w:rPr>
          <w:rFonts w:ascii="Verdana" w:hAnsi="Verdana"/>
          <w:b/>
          <w:sz w:val="20"/>
          <w:szCs w:val="20"/>
        </w:rPr>
      </w:pPr>
    </w:p>
    <w:p w14:paraId="260DD27E" w14:textId="77777777" w:rsidR="00F568EB" w:rsidRDefault="00F568EB" w:rsidP="007B386C">
      <w:pPr>
        <w:jc w:val="both"/>
        <w:rPr>
          <w:rFonts w:ascii="Verdana" w:hAnsi="Verdana"/>
          <w:b/>
          <w:sz w:val="20"/>
          <w:szCs w:val="20"/>
        </w:rPr>
      </w:pPr>
    </w:p>
    <w:p w14:paraId="7B50E624" w14:textId="77777777" w:rsidR="00F568EB" w:rsidRDefault="00F568EB" w:rsidP="007B386C">
      <w:pPr>
        <w:jc w:val="both"/>
        <w:rPr>
          <w:rFonts w:ascii="Verdana" w:hAnsi="Verdana"/>
          <w:b/>
          <w:sz w:val="20"/>
          <w:szCs w:val="20"/>
        </w:rPr>
      </w:pPr>
    </w:p>
    <w:p w14:paraId="6999E006" w14:textId="77777777" w:rsidR="00F568EB" w:rsidRDefault="00F568EB" w:rsidP="007B386C">
      <w:pPr>
        <w:jc w:val="both"/>
        <w:rPr>
          <w:rFonts w:ascii="Verdana" w:hAnsi="Verdana"/>
          <w:b/>
          <w:sz w:val="20"/>
          <w:szCs w:val="20"/>
        </w:rPr>
      </w:pPr>
    </w:p>
    <w:p w14:paraId="4F342410" w14:textId="77777777" w:rsidR="00F568EB" w:rsidRDefault="00F568EB" w:rsidP="007B386C">
      <w:pPr>
        <w:jc w:val="both"/>
        <w:rPr>
          <w:rFonts w:ascii="Verdana" w:hAnsi="Verdana"/>
          <w:b/>
          <w:sz w:val="20"/>
          <w:szCs w:val="20"/>
        </w:rPr>
      </w:pPr>
    </w:p>
    <w:p w14:paraId="1E586A82" w14:textId="77777777" w:rsidR="00F568EB" w:rsidRDefault="00F568EB" w:rsidP="007B386C">
      <w:pPr>
        <w:jc w:val="both"/>
        <w:rPr>
          <w:rFonts w:ascii="Verdana" w:hAnsi="Verdana"/>
          <w:b/>
          <w:sz w:val="20"/>
          <w:szCs w:val="20"/>
        </w:rPr>
      </w:pPr>
    </w:p>
    <w:p w14:paraId="40FAB7E5" w14:textId="77777777" w:rsidR="00F568EB" w:rsidRDefault="00F568EB" w:rsidP="007B386C">
      <w:pPr>
        <w:jc w:val="both"/>
        <w:rPr>
          <w:rFonts w:ascii="Verdana" w:hAnsi="Verdana"/>
          <w:b/>
          <w:sz w:val="20"/>
          <w:szCs w:val="20"/>
        </w:rPr>
      </w:pPr>
    </w:p>
    <w:p w14:paraId="6D6DAEA5" w14:textId="27E26689" w:rsidR="007B386C" w:rsidRPr="00190AD3" w:rsidRDefault="00F568EB" w:rsidP="007B386C">
      <w:pPr>
        <w:jc w:val="both"/>
        <w:rPr>
          <w:rFonts w:ascii="Verdana" w:hAnsi="Verdana"/>
          <w:sz w:val="18"/>
        </w:rPr>
      </w:pPr>
      <w:r w:rsidRPr="00190AD3">
        <w:rPr>
          <w:rFonts w:ascii="Verdana" w:hAnsi="Verdana"/>
          <w:sz w:val="18"/>
        </w:rPr>
        <w:t xml:space="preserve">Nota: </w:t>
      </w:r>
      <w:r w:rsidR="007B386C" w:rsidRPr="00190AD3">
        <w:rPr>
          <w:rFonts w:ascii="Verdana" w:hAnsi="Verdana"/>
          <w:sz w:val="18"/>
        </w:rPr>
        <w:t xml:space="preserve">El presente mapa se </w:t>
      </w:r>
      <w:r w:rsidRPr="00190AD3">
        <w:rPr>
          <w:rFonts w:ascii="Verdana" w:hAnsi="Verdana"/>
          <w:sz w:val="18"/>
        </w:rPr>
        <w:t>incluye</w:t>
      </w:r>
      <w:r w:rsidR="007B386C" w:rsidRPr="00190AD3">
        <w:rPr>
          <w:rFonts w:ascii="Verdana" w:hAnsi="Verdana"/>
          <w:sz w:val="18"/>
        </w:rPr>
        <w:t xml:space="preserve"> con fines ilustrativos. El mapa fue presentado por los representantes de las víctimas adjunto al informe </w:t>
      </w:r>
      <w:r w:rsidRPr="00190AD3">
        <w:rPr>
          <w:rFonts w:ascii="Verdana" w:hAnsi="Verdana"/>
          <w:sz w:val="18"/>
        </w:rPr>
        <w:t>del perito</w:t>
      </w:r>
      <w:r w:rsidR="007B386C" w:rsidRPr="00190AD3">
        <w:rPr>
          <w:rFonts w:ascii="Verdana" w:hAnsi="Verdana"/>
          <w:sz w:val="18"/>
        </w:rPr>
        <w:t xml:space="preserve"> Stuart Kirsh.</w:t>
      </w:r>
      <w:r w:rsidRPr="00190AD3">
        <w:rPr>
          <w:rFonts w:ascii="Verdana" w:hAnsi="Verdana"/>
          <w:sz w:val="18"/>
        </w:rPr>
        <w:t xml:space="preserve"> En el mismo se muestra el área concedida para la concesi</w:t>
      </w:r>
      <w:r w:rsidR="00415A21">
        <w:rPr>
          <w:rFonts w:ascii="Verdana" w:hAnsi="Verdana"/>
          <w:sz w:val="18"/>
        </w:rPr>
        <w:t>ón de bauxita en la zona de la R</w:t>
      </w:r>
      <w:r w:rsidRPr="00190AD3">
        <w:rPr>
          <w:rFonts w:ascii="Verdana" w:hAnsi="Verdana"/>
          <w:sz w:val="18"/>
        </w:rPr>
        <w:t xml:space="preserve">eserva </w:t>
      </w:r>
      <w:r w:rsidR="002B39BD">
        <w:rPr>
          <w:rFonts w:ascii="Verdana" w:hAnsi="Verdana"/>
          <w:sz w:val="18"/>
        </w:rPr>
        <w:t xml:space="preserve">Natural </w:t>
      </w:r>
      <w:r w:rsidRPr="00190AD3">
        <w:rPr>
          <w:rFonts w:ascii="Verdana" w:hAnsi="Verdana"/>
          <w:sz w:val="18"/>
        </w:rPr>
        <w:t xml:space="preserve">de Wane Kreek. </w:t>
      </w:r>
    </w:p>
    <w:p w14:paraId="1715BD5C" w14:textId="77777777" w:rsidR="00907AD9" w:rsidRDefault="00907AD9" w:rsidP="004B0145">
      <w:pPr>
        <w:spacing w:after="200" w:line="276" w:lineRule="auto"/>
        <w:rPr>
          <w:rFonts w:ascii="Verdana" w:hAnsi="Verdana"/>
          <w:strike/>
          <w:sz w:val="16"/>
          <w:szCs w:val="16"/>
          <w:lang w:val="es-ES"/>
        </w:rPr>
        <w:sectPr w:rsidR="00907AD9" w:rsidSect="00B77EB5">
          <w:footerReference w:type="default" r:id="rId66"/>
          <w:headerReference w:type="first" r:id="rId67"/>
          <w:pgSz w:w="12240" w:h="15840" w:code="1"/>
          <w:pgMar w:top="1304" w:right="1304" w:bottom="1304" w:left="1304" w:header="720" w:footer="720" w:gutter="0"/>
          <w:cols w:space="720"/>
          <w:titlePg/>
          <w:docGrid w:linePitch="360"/>
        </w:sectPr>
      </w:pPr>
    </w:p>
    <w:p w14:paraId="380E23A7" w14:textId="77777777" w:rsidR="00907AD9" w:rsidRPr="00220267" w:rsidRDefault="00907AD9" w:rsidP="00907AD9">
      <w:pPr>
        <w:ind w:right="-138"/>
        <w:jc w:val="center"/>
        <w:rPr>
          <w:rFonts w:ascii="Verdana" w:eastAsia="MS Mincho" w:hAnsi="Verdana"/>
          <w:b/>
          <w:sz w:val="20"/>
          <w:szCs w:val="20"/>
          <w:lang w:val="es-CR"/>
        </w:rPr>
      </w:pPr>
      <w:r w:rsidRPr="00220267">
        <w:rPr>
          <w:rFonts w:ascii="Verdana" w:eastAsia="MS Mincho" w:hAnsi="Verdana"/>
          <w:b/>
          <w:sz w:val="20"/>
          <w:szCs w:val="20"/>
          <w:lang w:val="es-CR"/>
        </w:rPr>
        <w:lastRenderedPageBreak/>
        <w:t>VOTO CONCURRENTE CONJUNTO DE LOS JUECES</w:t>
      </w:r>
    </w:p>
    <w:p w14:paraId="117A7E1C" w14:textId="77777777" w:rsidR="00907AD9" w:rsidRPr="00220267" w:rsidRDefault="00907AD9" w:rsidP="00907AD9">
      <w:pPr>
        <w:ind w:right="-138"/>
        <w:jc w:val="center"/>
        <w:rPr>
          <w:rFonts w:ascii="Verdana" w:eastAsia="MS Mincho" w:hAnsi="Verdana"/>
          <w:b/>
          <w:sz w:val="20"/>
          <w:szCs w:val="20"/>
          <w:lang w:val="es-CR"/>
        </w:rPr>
      </w:pPr>
    </w:p>
    <w:p w14:paraId="2344B3BE" w14:textId="77777777" w:rsidR="00907AD9" w:rsidRPr="00220267" w:rsidRDefault="00907AD9" w:rsidP="00907AD9">
      <w:pPr>
        <w:ind w:right="-138"/>
        <w:jc w:val="center"/>
        <w:rPr>
          <w:rFonts w:ascii="Verdana" w:eastAsia="MS Mincho" w:hAnsi="Verdana"/>
          <w:b/>
          <w:sz w:val="20"/>
          <w:szCs w:val="20"/>
          <w:lang w:val="es-CR"/>
        </w:rPr>
      </w:pPr>
      <w:r w:rsidRPr="00220267">
        <w:rPr>
          <w:rFonts w:ascii="Verdana" w:eastAsia="MS Mincho" w:hAnsi="Verdana"/>
          <w:b/>
          <w:sz w:val="20"/>
          <w:szCs w:val="20"/>
          <w:lang w:val="es-CR"/>
        </w:rPr>
        <w:t xml:space="preserve">HUMBERTO ANTONIO SIERRA PORTO Y </w:t>
      </w:r>
    </w:p>
    <w:p w14:paraId="1DB04303" w14:textId="77777777" w:rsidR="00907AD9" w:rsidRPr="00220267" w:rsidRDefault="00907AD9" w:rsidP="00907AD9">
      <w:pPr>
        <w:ind w:right="-138"/>
        <w:jc w:val="center"/>
        <w:rPr>
          <w:rFonts w:ascii="Verdana" w:eastAsia="MS Mincho" w:hAnsi="Verdana"/>
          <w:b/>
          <w:sz w:val="20"/>
          <w:szCs w:val="20"/>
          <w:lang w:val="es-CR"/>
        </w:rPr>
      </w:pPr>
    </w:p>
    <w:p w14:paraId="0E078C68" w14:textId="77777777" w:rsidR="00907AD9" w:rsidRPr="00220267" w:rsidRDefault="00907AD9" w:rsidP="00907AD9">
      <w:pPr>
        <w:ind w:right="-138"/>
        <w:jc w:val="center"/>
        <w:rPr>
          <w:rFonts w:ascii="Verdana" w:eastAsia="MS Mincho" w:hAnsi="Verdana"/>
          <w:b/>
          <w:sz w:val="20"/>
          <w:szCs w:val="20"/>
          <w:lang w:val="es-CR"/>
        </w:rPr>
      </w:pPr>
      <w:r w:rsidRPr="00220267">
        <w:rPr>
          <w:rFonts w:ascii="Verdana" w:eastAsia="MS Mincho" w:hAnsi="Verdana"/>
          <w:b/>
          <w:sz w:val="20"/>
          <w:szCs w:val="20"/>
          <w:lang w:val="es-CR"/>
        </w:rPr>
        <w:t>EDUARDO FERRER MAC-GREGOR POISOT</w:t>
      </w:r>
    </w:p>
    <w:p w14:paraId="52A21BBE" w14:textId="77777777" w:rsidR="00907AD9" w:rsidRPr="00220267" w:rsidRDefault="00907AD9" w:rsidP="00907AD9">
      <w:pPr>
        <w:ind w:left="-142" w:right="-138"/>
        <w:jc w:val="center"/>
        <w:rPr>
          <w:rFonts w:ascii="Verdana" w:eastAsia="MS Mincho" w:hAnsi="Verdana"/>
          <w:b/>
          <w:sz w:val="20"/>
          <w:szCs w:val="20"/>
        </w:rPr>
      </w:pPr>
    </w:p>
    <w:p w14:paraId="300F1713" w14:textId="77777777" w:rsidR="00907AD9" w:rsidRPr="00220267" w:rsidRDefault="00907AD9" w:rsidP="00907AD9">
      <w:pPr>
        <w:jc w:val="center"/>
        <w:rPr>
          <w:rFonts w:ascii="Verdana" w:eastAsia="Batang" w:hAnsi="Verdana" w:cs="Times"/>
          <w:b/>
          <w:noProof/>
          <w:sz w:val="20"/>
          <w:szCs w:val="20"/>
          <w:u w:val="single"/>
        </w:rPr>
      </w:pPr>
      <w:r w:rsidRPr="00220267">
        <w:rPr>
          <w:rFonts w:ascii="Verdana" w:eastAsia="Batang" w:hAnsi="Verdana" w:cs="Times"/>
          <w:b/>
          <w:noProof/>
          <w:sz w:val="20"/>
          <w:szCs w:val="20"/>
          <w:u w:val="single"/>
        </w:rPr>
        <w:t xml:space="preserve">CASO PUEBLOS KALIÑA Y LOKONO </w:t>
      </w:r>
      <w:r w:rsidRPr="00220267">
        <w:rPr>
          <w:rFonts w:ascii="Verdana" w:eastAsia="Batang" w:hAnsi="Verdana" w:cs="Times"/>
          <w:b/>
          <w:i/>
          <w:noProof/>
          <w:sz w:val="20"/>
          <w:szCs w:val="20"/>
          <w:u w:val="single"/>
        </w:rPr>
        <w:t xml:space="preserve">VS. </w:t>
      </w:r>
      <w:r w:rsidRPr="00220267">
        <w:rPr>
          <w:rFonts w:ascii="Verdana" w:eastAsia="Batang" w:hAnsi="Verdana" w:cs="Times"/>
          <w:b/>
          <w:noProof/>
          <w:sz w:val="20"/>
          <w:szCs w:val="20"/>
          <w:u w:val="single"/>
        </w:rPr>
        <w:t>SURINAM</w:t>
      </w:r>
    </w:p>
    <w:p w14:paraId="4DF4FF94" w14:textId="77777777" w:rsidR="00907AD9" w:rsidRPr="00220267" w:rsidRDefault="00907AD9" w:rsidP="00907AD9">
      <w:pPr>
        <w:jc w:val="center"/>
        <w:rPr>
          <w:rFonts w:ascii="Verdana" w:eastAsia="Batang" w:hAnsi="Verdana" w:cs="Times"/>
          <w:b/>
          <w:noProof/>
          <w:sz w:val="20"/>
          <w:szCs w:val="20"/>
        </w:rPr>
      </w:pPr>
      <w:r w:rsidRPr="00220267">
        <w:rPr>
          <w:rFonts w:ascii="Verdana" w:eastAsia="Batang" w:hAnsi="Verdana" w:cs="Times"/>
          <w:b/>
          <w:noProof/>
          <w:sz w:val="20"/>
          <w:szCs w:val="20"/>
        </w:rPr>
        <w:t>SENTENCIA DE 25 DE NOVIEMBRE DE 2015</w:t>
      </w:r>
    </w:p>
    <w:p w14:paraId="4AFDBC23" w14:textId="77777777" w:rsidR="00907AD9" w:rsidRPr="00220267" w:rsidRDefault="00907AD9" w:rsidP="00907AD9">
      <w:pPr>
        <w:ind w:right="-138"/>
        <w:jc w:val="center"/>
        <w:rPr>
          <w:rFonts w:ascii="Verdana" w:eastAsia="Batang" w:hAnsi="Verdana" w:cs="Times"/>
          <w:sz w:val="20"/>
          <w:szCs w:val="20"/>
        </w:rPr>
      </w:pPr>
      <w:r w:rsidRPr="00220267">
        <w:rPr>
          <w:rFonts w:ascii="Verdana" w:eastAsia="Batang" w:hAnsi="Verdana" w:cs="Times"/>
          <w:b/>
          <w:i/>
          <w:noProof/>
          <w:sz w:val="20"/>
          <w:szCs w:val="20"/>
        </w:rPr>
        <w:t>(Fondo, Reparaciones y Costas)</w:t>
      </w:r>
    </w:p>
    <w:p w14:paraId="03276FB9" w14:textId="77777777" w:rsidR="00907AD9" w:rsidRPr="00220267" w:rsidRDefault="00907AD9" w:rsidP="00907AD9">
      <w:pPr>
        <w:ind w:right="-138"/>
        <w:jc w:val="both"/>
        <w:rPr>
          <w:rFonts w:ascii="Verdana" w:eastAsia="Batang" w:hAnsi="Verdana" w:cs="Times"/>
          <w:sz w:val="20"/>
          <w:szCs w:val="20"/>
        </w:rPr>
      </w:pPr>
    </w:p>
    <w:p w14:paraId="1AF5B9FE" w14:textId="77777777" w:rsidR="00907AD9" w:rsidRPr="00220267" w:rsidRDefault="00907AD9" w:rsidP="00907AD9">
      <w:pPr>
        <w:ind w:right="-138"/>
        <w:jc w:val="both"/>
        <w:rPr>
          <w:rFonts w:ascii="Verdana" w:eastAsia="Batang" w:hAnsi="Verdana" w:cs="Times"/>
          <w:noProof/>
          <w:sz w:val="20"/>
          <w:szCs w:val="20"/>
          <w:lang w:val="es-CR"/>
        </w:rPr>
      </w:pPr>
      <w:r w:rsidRPr="00220267">
        <w:rPr>
          <w:rFonts w:ascii="Verdana" w:eastAsia="Batang" w:hAnsi="Verdana" w:cs="Times"/>
          <w:sz w:val="20"/>
          <w:szCs w:val="20"/>
        </w:rPr>
        <w:t>1.</w:t>
      </w:r>
      <w:r w:rsidRPr="00220267">
        <w:rPr>
          <w:rFonts w:ascii="Verdana" w:eastAsia="Batang" w:hAnsi="Verdana" w:cs="Times"/>
          <w:sz w:val="20"/>
          <w:szCs w:val="20"/>
        </w:rPr>
        <w:tab/>
      </w:r>
      <w:r w:rsidRPr="00220267">
        <w:rPr>
          <w:rFonts w:ascii="Verdana" w:hAnsi="Verdana" w:cs="Times"/>
          <w:noProof/>
          <w:sz w:val="20"/>
          <w:szCs w:val="20"/>
        </w:rPr>
        <w:t>F</w:t>
      </w:r>
      <w:r w:rsidRPr="00220267">
        <w:rPr>
          <w:rFonts w:ascii="Verdana" w:hAnsi="Verdana" w:cs="Times"/>
          <w:noProof/>
          <w:sz w:val="20"/>
          <w:szCs w:val="20"/>
          <w:lang w:val="es-CR"/>
        </w:rPr>
        <w:t xml:space="preserve">ormulamos el presente voto </w:t>
      </w:r>
      <w:r w:rsidRPr="00220267">
        <w:rPr>
          <w:rFonts w:ascii="Verdana" w:eastAsia="Batang" w:hAnsi="Verdana" w:cs="Times"/>
          <w:noProof/>
          <w:sz w:val="20"/>
          <w:szCs w:val="20"/>
          <w:lang w:val="es-CR"/>
        </w:rPr>
        <w:t xml:space="preserve">concurrente, en relación con dos temas abordados en la Sentencia del caso de los </w:t>
      </w:r>
      <w:r w:rsidRPr="00220267">
        <w:rPr>
          <w:rFonts w:ascii="Verdana" w:eastAsia="Batang" w:hAnsi="Verdana" w:cs="Times"/>
          <w:i/>
          <w:noProof/>
          <w:sz w:val="20"/>
          <w:szCs w:val="20"/>
          <w:lang w:val="es-CR"/>
        </w:rPr>
        <w:t>Pueblos Kal</w:t>
      </w:r>
      <w:r w:rsidRPr="00220267">
        <w:rPr>
          <w:rFonts w:ascii="Verdana" w:eastAsia="Batang" w:hAnsi="Verdana" w:cs="Times"/>
          <w:i/>
          <w:noProof/>
          <w:sz w:val="20"/>
          <w:szCs w:val="20"/>
        </w:rPr>
        <w:t>iña y Lokono Vs. Surinam</w:t>
      </w:r>
      <w:r w:rsidRPr="00220267">
        <w:rPr>
          <w:rFonts w:ascii="Verdana" w:eastAsia="Batang" w:hAnsi="Verdana" w:cs="Times"/>
          <w:noProof/>
          <w:sz w:val="20"/>
          <w:szCs w:val="20"/>
        </w:rPr>
        <w:t xml:space="preserve">, a saber: i) sobre </w:t>
      </w:r>
      <w:r w:rsidRPr="00220267">
        <w:rPr>
          <w:rFonts w:ascii="Verdana" w:eastAsia="Batang" w:hAnsi="Verdana" w:cs="Times"/>
          <w:noProof/>
          <w:sz w:val="20"/>
          <w:szCs w:val="20"/>
          <w:lang w:val="es-CR"/>
        </w:rPr>
        <w:t xml:space="preserve">las garantías a la propiedad colectiva frente a la concesión minera dentro de la Reserva Natural Wane Kreek, particularmente respecto del derecho a la participación efectiva a través de un proceso de consulta, y ii) sobre el reconocimiento de la personalidad jurídica de manera colectiva. </w:t>
      </w:r>
    </w:p>
    <w:p w14:paraId="5FECF813" w14:textId="77777777" w:rsidR="00907AD9" w:rsidRPr="00220267" w:rsidRDefault="00907AD9" w:rsidP="00907AD9">
      <w:pPr>
        <w:ind w:right="-138"/>
        <w:jc w:val="both"/>
        <w:rPr>
          <w:rFonts w:ascii="Verdana" w:eastAsia="Batang" w:hAnsi="Verdana" w:cs="Times"/>
          <w:sz w:val="20"/>
          <w:szCs w:val="20"/>
        </w:rPr>
      </w:pPr>
    </w:p>
    <w:p w14:paraId="20F5E797" w14:textId="77777777" w:rsidR="00907AD9" w:rsidRPr="00220267" w:rsidRDefault="00907AD9" w:rsidP="00907AD9">
      <w:pPr>
        <w:ind w:right="-138"/>
        <w:jc w:val="both"/>
        <w:rPr>
          <w:rFonts w:ascii="Verdana" w:eastAsia="Batang" w:hAnsi="Verdana" w:cs="Times"/>
          <w:noProof/>
          <w:sz w:val="20"/>
          <w:szCs w:val="20"/>
          <w:lang w:val="es-CR"/>
        </w:rPr>
      </w:pPr>
      <w:r w:rsidRPr="00220267">
        <w:rPr>
          <w:rFonts w:ascii="Verdana" w:eastAsia="Batang" w:hAnsi="Verdana" w:cs="Times"/>
          <w:sz w:val="20"/>
          <w:szCs w:val="20"/>
        </w:rPr>
        <w:t xml:space="preserve">2. </w:t>
      </w:r>
      <w:r w:rsidRPr="00220267">
        <w:rPr>
          <w:rFonts w:ascii="Verdana" w:eastAsia="Batang" w:hAnsi="Verdana" w:cs="Times"/>
          <w:sz w:val="20"/>
          <w:szCs w:val="20"/>
        </w:rPr>
        <w:tab/>
        <w:t xml:space="preserve">En relación con el primer punto, </w:t>
      </w:r>
      <w:r w:rsidRPr="00220267">
        <w:rPr>
          <w:rFonts w:ascii="Verdana" w:eastAsia="Batang" w:hAnsi="Verdana" w:cs="Times"/>
          <w:noProof/>
          <w:sz w:val="20"/>
          <w:szCs w:val="20"/>
          <w:lang w:val="es-CR"/>
        </w:rPr>
        <w:t xml:space="preserve">la Corte en dicha Sentencia estableció que: </w:t>
      </w:r>
    </w:p>
    <w:p w14:paraId="14C25AE8" w14:textId="77777777" w:rsidR="00907AD9" w:rsidRPr="00220267" w:rsidRDefault="00907AD9" w:rsidP="00907AD9">
      <w:pPr>
        <w:ind w:right="-138"/>
        <w:jc w:val="both"/>
        <w:rPr>
          <w:rFonts w:ascii="Verdana" w:eastAsia="Batang" w:hAnsi="Verdana" w:cs="Times"/>
          <w:sz w:val="20"/>
          <w:szCs w:val="20"/>
        </w:rPr>
      </w:pPr>
    </w:p>
    <w:p w14:paraId="7F2641F5" w14:textId="77777777" w:rsidR="00907AD9" w:rsidRPr="00220267" w:rsidRDefault="00907AD9" w:rsidP="00907AD9">
      <w:pPr>
        <w:spacing w:after="240"/>
        <w:ind w:left="567" w:right="616"/>
        <w:jc w:val="both"/>
        <w:rPr>
          <w:rFonts w:ascii="Verdana" w:eastAsia="Batang" w:hAnsi="Verdana" w:cs="Times"/>
          <w:noProof/>
          <w:sz w:val="20"/>
          <w:szCs w:val="20"/>
          <w:lang w:val="es-CR"/>
        </w:rPr>
      </w:pPr>
      <w:r w:rsidRPr="00220267">
        <w:rPr>
          <w:rFonts w:ascii="Verdana" w:eastAsia="Batang" w:hAnsi="Verdana" w:cs="Times"/>
          <w:noProof/>
          <w:sz w:val="20"/>
          <w:szCs w:val="20"/>
          <w:lang w:val="es-CR"/>
        </w:rPr>
        <w:t>200.</w:t>
      </w:r>
      <w:r w:rsidRPr="00220267">
        <w:rPr>
          <w:rFonts w:ascii="Verdana" w:eastAsia="Batang" w:hAnsi="Verdana" w:cs="Times"/>
          <w:noProof/>
          <w:sz w:val="20"/>
          <w:szCs w:val="20"/>
          <w:lang w:val="es-CR"/>
        </w:rPr>
        <w:tab/>
        <w:t xml:space="preserve"> Como fue constatado</w:t>
      </w:r>
      <w:r w:rsidRPr="00220267">
        <w:rPr>
          <w:rFonts w:ascii="Verdana" w:eastAsia="Batang" w:hAnsi="Verdana" w:cs="Times"/>
          <w:noProof/>
          <w:sz w:val="20"/>
          <w:lang w:val="es-CR"/>
        </w:rPr>
        <w:t xml:space="preserve"> </w:t>
      </w:r>
      <w:r w:rsidRPr="00220267">
        <w:rPr>
          <w:rFonts w:ascii="Verdana" w:eastAsia="Batang" w:hAnsi="Verdana" w:cs="Times"/>
          <w:noProof/>
          <w:sz w:val="20"/>
          <w:lang w:val="es-MX"/>
        </w:rPr>
        <w:t>en 1958</w:t>
      </w:r>
      <w:r w:rsidRPr="00220267">
        <w:rPr>
          <w:rFonts w:ascii="Verdana" w:eastAsia="Batang" w:hAnsi="Verdana" w:cs="Times"/>
          <w:noProof/>
          <w:sz w:val="20"/>
          <w:szCs w:val="20"/>
          <w:lang w:val="es-MX"/>
        </w:rPr>
        <w:t xml:space="preserve"> Surinam</w:t>
      </w:r>
      <w:r w:rsidRPr="00220267">
        <w:rPr>
          <w:rFonts w:ascii="Verdana" w:eastAsia="Batang" w:hAnsi="Verdana" w:cs="Times"/>
          <w:noProof/>
          <w:sz w:val="20"/>
          <w:lang w:val="es-MX"/>
        </w:rPr>
        <w:t xml:space="preserve"> otorgó una concesión minera hasta el año 2033 a la empresa Suralco, con el fin de extraer bauxita en la zona este del país. En el año 1997 la compañía comenzó las actividades de extracción de depósitos de bauxita en un área de entre 100 a 144 ha, aproximadamente, comprendida dentro de la reserva de Wane Kreek, denominadas como Wane Kreek 1 y 2 (</w:t>
      </w:r>
      <w:r w:rsidRPr="00220267">
        <w:rPr>
          <w:rFonts w:ascii="Verdana" w:eastAsia="Batang" w:hAnsi="Verdana" w:cs="Times"/>
          <w:i/>
          <w:noProof/>
          <w:sz w:val="20"/>
          <w:lang w:val="es-MX"/>
        </w:rPr>
        <w:t>supra</w:t>
      </w:r>
      <w:r w:rsidRPr="00220267">
        <w:rPr>
          <w:rFonts w:ascii="Verdana" w:eastAsia="Batang" w:hAnsi="Verdana" w:cs="Times"/>
          <w:noProof/>
          <w:sz w:val="20"/>
          <w:lang w:val="es-MX"/>
        </w:rPr>
        <w:t xml:space="preserve"> párrs. 88 y 90). </w:t>
      </w:r>
      <w:r w:rsidRPr="00220267">
        <w:rPr>
          <w:rFonts w:ascii="Verdana" w:eastAsia="Batang" w:hAnsi="Verdana" w:cs="Times"/>
          <w:noProof/>
          <w:sz w:val="20"/>
          <w:szCs w:val="20"/>
          <w:lang w:val="es-MX"/>
        </w:rPr>
        <w:t>Ello implicó que a mediados de los noventa se iniciaran trabajos preparatorios como la construcción de una carretera para acceder a la mina y transportar dicho mineral (</w:t>
      </w:r>
      <w:r w:rsidRPr="00220267">
        <w:rPr>
          <w:rFonts w:ascii="Verdana" w:eastAsia="Batang" w:hAnsi="Verdana" w:cs="Times"/>
          <w:i/>
          <w:noProof/>
          <w:sz w:val="20"/>
          <w:szCs w:val="20"/>
          <w:lang w:val="es-MX"/>
        </w:rPr>
        <w:t>supra</w:t>
      </w:r>
      <w:r w:rsidRPr="00220267">
        <w:rPr>
          <w:rFonts w:ascii="Verdana" w:eastAsia="Batang" w:hAnsi="Verdana" w:cs="Times"/>
          <w:noProof/>
          <w:sz w:val="20"/>
          <w:szCs w:val="20"/>
          <w:lang w:val="es-MX"/>
        </w:rPr>
        <w:t xml:space="preserve"> párr. 89). No existe controversia respecto de que ninguna de dichas actividades contó con la participación efectiva de los Pueblos Kaliña y Lokono, y de que no se realizó un estudio de impacto ambiental al respecto (</w:t>
      </w:r>
      <w:r w:rsidRPr="00220267">
        <w:rPr>
          <w:rFonts w:ascii="Verdana" w:eastAsia="Batang" w:hAnsi="Verdana" w:cs="Times"/>
          <w:i/>
          <w:noProof/>
          <w:sz w:val="20"/>
          <w:szCs w:val="20"/>
          <w:lang w:val="es-MX"/>
        </w:rPr>
        <w:t>infra</w:t>
      </w:r>
      <w:r w:rsidRPr="00220267">
        <w:rPr>
          <w:rFonts w:ascii="Verdana" w:eastAsia="Batang" w:hAnsi="Verdana" w:cs="Times"/>
          <w:noProof/>
          <w:sz w:val="20"/>
          <w:szCs w:val="20"/>
          <w:lang w:val="es-MX"/>
        </w:rPr>
        <w:t xml:space="preserve"> párr. 213). Sin perjuicio de lo anterior, la Corte no tiene competencia respecto del otorgamiento de la concesión minera otorgada en 1958. No obstante, la Corte sí es competente para analizar </w:t>
      </w:r>
      <w:r w:rsidRPr="00220267">
        <w:rPr>
          <w:rFonts w:ascii="Verdana" w:eastAsia="Batang" w:hAnsi="Verdana" w:cs="Times"/>
          <w:noProof/>
          <w:sz w:val="20"/>
          <w:lang w:val="es-MX"/>
        </w:rPr>
        <w:t xml:space="preserve">las acciones realizadas con posterioridad a la entrada en vigencia de su competencia, </w:t>
      </w:r>
      <w:r w:rsidRPr="00220267">
        <w:rPr>
          <w:rFonts w:ascii="Verdana" w:eastAsia="Times New Roman" w:hAnsi="Verdana" w:cs="Times"/>
          <w:noProof/>
          <w:color w:val="000000"/>
          <w:sz w:val="20"/>
          <w:lang w:val="es-CR" w:eastAsia="es-CR"/>
        </w:rPr>
        <w:t>en particular, las actividades extractivas llevadas a cabo a partir 1997.</w:t>
      </w:r>
    </w:p>
    <w:p w14:paraId="79BD3F5F" w14:textId="77777777" w:rsidR="00907AD9" w:rsidRPr="00220267" w:rsidRDefault="00907AD9" w:rsidP="00907AD9">
      <w:pPr>
        <w:spacing w:after="240"/>
        <w:ind w:left="567" w:right="616"/>
        <w:jc w:val="both"/>
        <w:rPr>
          <w:rFonts w:ascii="Verdana" w:hAnsi="Verdana" w:cs="Times"/>
          <w:noProof/>
          <w:sz w:val="20"/>
          <w:szCs w:val="20"/>
          <w:lang w:val="es-CR"/>
        </w:rPr>
      </w:pPr>
      <w:r w:rsidRPr="00220267">
        <w:rPr>
          <w:rFonts w:ascii="Verdana" w:hAnsi="Verdana" w:cs="Times"/>
          <w:noProof/>
          <w:sz w:val="20"/>
          <w:szCs w:val="20"/>
          <w:lang w:val="es-CR"/>
        </w:rPr>
        <w:t>201.</w:t>
      </w:r>
      <w:r w:rsidRPr="00220267">
        <w:rPr>
          <w:rFonts w:ascii="Verdana" w:hAnsi="Verdana" w:cs="Times"/>
          <w:noProof/>
          <w:sz w:val="20"/>
          <w:szCs w:val="20"/>
          <w:lang w:val="es-CR"/>
        </w:rPr>
        <w:tab/>
        <w:t xml:space="preserve"> En este particular, esta Corte ya estableció en el caso </w:t>
      </w:r>
      <w:r w:rsidRPr="00220267">
        <w:rPr>
          <w:rFonts w:ascii="Verdana" w:hAnsi="Verdana" w:cs="Times"/>
          <w:i/>
          <w:noProof/>
          <w:sz w:val="20"/>
          <w:szCs w:val="20"/>
          <w:lang w:val="es-CR"/>
        </w:rPr>
        <w:t>Saramaka Vs. Surinam</w:t>
      </w:r>
      <w:r w:rsidRPr="00220267">
        <w:rPr>
          <w:rFonts w:ascii="Verdana" w:hAnsi="Verdana" w:cs="Times"/>
          <w:noProof/>
          <w:sz w:val="20"/>
          <w:szCs w:val="20"/>
          <w:lang w:val="es-CR"/>
        </w:rPr>
        <w:t xml:space="preserve"> que de conformidad con el artículo 1.1 de la Convención, a fin de garantizar que las restricciones impuestas respecto del derecho a la propiedad de los pueblos indígenas y tribales, por la emisión de concesiones dentro de su territorio, no impliquen una denegación de su subsistencia, el Estado debe cumplir con las siguientes tres garantías: “primero, debe asegurar la participación efectiva de los miembros de los [pueblos indígenas y tribales], de conformidad con sus costumbres y tradiciones, en relación con todo plan de desarrollo, inversión, exploración o extracción (en adelante “plan de desarrollo o inversión”) que se lleve a cabo dentro de su territorio.  Segundo, el Estado debe garantizar que los miembros de los [pueblos indígenas y tribales], se beneficien razonablemente del plan que se lleve a cabo dentro de su territorio. Tercero, el Estado debe garantizar que no se emitirá ninguna concesión dentro de su territorio a menos y hasta que entidades independientes y técnicamente capaces, bajo la supervisión del Estado, realicen un estudio </w:t>
      </w:r>
      <w:r w:rsidRPr="00220267">
        <w:rPr>
          <w:rFonts w:ascii="Verdana" w:hAnsi="Verdana" w:cs="Times"/>
          <w:noProof/>
          <w:sz w:val="20"/>
          <w:szCs w:val="20"/>
          <w:lang w:val="es-CR"/>
        </w:rPr>
        <w:lastRenderedPageBreak/>
        <w:t>previo de impacto social y ambiental. Mediante estas salvaguardas se intenta preservar, proteger y garantizar la relación especial que los miembros de los [pueblos indígenas y tribales], tienen con su territorio, la cual a su vez, garantiza su subsistencia como pueblo indígena”. En el presente caso, la Corte analizará el alegado incumplimiento de las referidas salvaguardias por parte del Estado, en relación con el inicio de actividades de extracción de bauxita en 1997.</w:t>
      </w:r>
    </w:p>
    <w:p w14:paraId="6C352AF3" w14:textId="77777777" w:rsidR="00907AD9" w:rsidRPr="00220267" w:rsidRDefault="00907AD9" w:rsidP="00907AD9">
      <w:pPr>
        <w:spacing w:after="240"/>
        <w:ind w:left="567" w:right="616"/>
        <w:jc w:val="both"/>
        <w:rPr>
          <w:rFonts w:ascii="Verdana" w:hAnsi="Verdana" w:cs="Times"/>
          <w:noProof/>
          <w:sz w:val="20"/>
          <w:szCs w:val="20"/>
          <w:lang w:val="es-CR"/>
        </w:rPr>
      </w:pPr>
      <w:r w:rsidRPr="00220267">
        <w:rPr>
          <w:rFonts w:ascii="Verdana" w:hAnsi="Verdana" w:cs="Times"/>
          <w:noProof/>
          <w:sz w:val="20"/>
          <w:szCs w:val="20"/>
          <w:lang w:val="es-CR"/>
        </w:rPr>
        <w:t>202.</w:t>
      </w:r>
      <w:r w:rsidRPr="00220267">
        <w:rPr>
          <w:rFonts w:ascii="Verdana" w:hAnsi="Verdana" w:cs="Times"/>
          <w:noProof/>
          <w:sz w:val="20"/>
          <w:szCs w:val="20"/>
          <w:lang w:val="es-CR"/>
        </w:rPr>
        <w:tab/>
        <w:t xml:space="preserve"> Adicionalmente a lo anterior, la Corte reitera que el artículo 23 de la Convención Americana dispone que “todos los ciudadanos deben gozar de los siguientes derechos y oportunidades: a) participar en la dirección de los asuntos públicos […]”. En similar sentido, el artículo 18 de la Declaración de Naciones Unidas sobre Pueblos Indígenas establece “el derecho [de los pueblos indígenas] a participar en la adopción de decisiones en las cuestiones que afecten a sus derechos, por conducto de representantes […]”, y el artículo 32, en lo pertinente, dispone el deber de los Estados de “celebrar consultas y cooperación de buena fe […] antes de aprobar cualquier proyecto que afecte sus tierras […], particularmente en relación con [la utilización o la explotación de recursos minerales […]”. </w:t>
      </w:r>
    </w:p>
    <w:p w14:paraId="4EBDADD4" w14:textId="77777777" w:rsidR="00907AD9" w:rsidRPr="00220267" w:rsidRDefault="00907AD9" w:rsidP="00907AD9">
      <w:pPr>
        <w:spacing w:after="240"/>
        <w:ind w:left="567" w:right="616"/>
        <w:jc w:val="both"/>
        <w:rPr>
          <w:rFonts w:ascii="Verdana" w:hAnsi="Verdana" w:cs="Times"/>
          <w:noProof/>
          <w:sz w:val="20"/>
          <w:szCs w:val="20"/>
          <w:lang w:val="es-CR"/>
        </w:rPr>
      </w:pPr>
      <w:r w:rsidRPr="00220267">
        <w:rPr>
          <w:rFonts w:ascii="Verdana" w:hAnsi="Verdana" w:cs="Times"/>
          <w:noProof/>
          <w:sz w:val="20"/>
          <w:szCs w:val="20"/>
          <w:lang w:val="es-CR"/>
        </w:rPr>
        <w:t>203.</w:t>
      </w:r>
      <w:r w:rsidRPr="00220267">
        <w:rPr>
          <w:rFonts w:ascii="Verdana" w:hAnsi="Verdana" w:cs="Times"/>
          <w:noProof/>
          <w:sz w:val="20"/>
          <w:szCs w:val="20"/>
          <w:lang w:val="es-CR"/>
        </w:rPr>
        <w:tab/>
        <w:t xml:space="preserve"> En vista de ello, a fin de garantizar el uso y goce del derecho a la propiedad colectiva indígena, conforme a los artículo 1.1 y 21 de la Convención, frente a la utilización o explotación de recursos naturales en su territorio tradicional, el Estado debe, para efectos del presente caso, contar con mecanismos para la participación efectiva de los pueblos indígenas, a través de procedimientos culturalmente adecuados para la toma de decisiones de dichos pueblos. Lo anterior, no sólo consiste en un asunto de interés público sino que también forma parte del ejercicio de su derecho a participar en la adopción de decisiones en las cuestiones que afectan sus intereses, de conformidad con sus propios procedimientos e instituciones, en relación con el artículo 23 de la Convención Americana (</w:t>
      </w:r>
      <w:r w:rsidRPr="00220267">
        <w:rPr>
          <w:rFonts w:ascii="Verdana" w:hAnsi="Verdana" w:cs="Times"/>
          <w:i/>
          <w:noProof/>
          <w:sz w:val="20"/>
          <w:szCs w:val="20"/>
          <w:lang w:val="es-CR"/>
        </w:rPr>
        <w:t>supra</w:t>
      </w:r>
      <w:r w:rsidRPr="00220267">
        <w:rPr>
          <w:rFonts w:ascii="Verdana" w:hAnsi="Verdana" w:cs="Times"/>
          <w:noProof/>
          <w:sz w:val="20"/>
          <w:szCs w:val="20"/>
          <w:lang w:val="es-CR"/>
        </w:rPr>
        <w:t xml:space="preserve"> párr. 196).</w:t>
      </w:r>
    </w:p>
    <w:p w14:paraId="5DC27A1A" w14:textId="77777777" w:rsidR="00907AD9" w:rsidRPr="00220267" w:rsidRDefault="00907AD9" w:rsidP="00907AD9">
      <w:pPr>
        <w:spacing w:after="240"/>
        <w:ind w:right="96"/>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3. </w:t>
      </w:r>
      <w:r w:rsidRPr="00220267">
        <w:rPr>
          <w:rFonts w:ascii="Verdana" w:eastAsia="Batang" w:hAnsi="Verdana" w:cs="Times"/>
          <w:noProof/>
          <w:sz w:val="20"/>
          <w:szCs w:val="20"/>
          <w:lang w:val="es-CR"/>
        </w:rPr>
        <w:tab/>
        <w:t xml:space="preserve">Al respecto, concurrimos en esencia con la mayoría de la Corte en el sentido de reiterar las salvaguardias dispuestas por la Corte en su jurisprudencia frente a proyectos de inversión o desarrollo en territorio indígena o tribal. Particularmente, el deber del Estado de llevar a cabo un proceso de participación efectiva, lo cual se materializa a través de la consulta previa, libre e informada. </w:t>
      </w:r>
    </w:p>
    <w:p w14:paraId="08D31A5B" w14:textId="77777777" w:rsidR="00907AD9" w:rsidRPr="00220267" w:rsidRDefault="00907AD9" w:rsidP="00907AD9">
      <w:pPr>
        <w:spacing w:after="240"/>
        <w:ind w:right="96"/>
        <w:jc w:val="center"/>
        <w:rPr>
          <w:rFonts w:ascii="Verdana" w:eastAsia="Batang" w:hAnsi="Verdana" w:cs="Times"/>
          <w:noProof/>
          <w:sz w:val="20"/>
          <w:szCs w:val="20"/>
          <w:lang w:val="es-CR"/>
        </w:rPr>
      </w:pPr>
      <w:r w:rsidRPr="00220267">
        <w:rPr>
          <w:rFonts w:ascii="Verdana" w:eastAsia="Batang" w:hAnsi="Verdana" w:cs="Times"/>
          <w:b/>
          <w:noProof/>
          <w:sz w:val="20"/>
          <w:szCs w:val="20"/>
          <w:lang w:val="es-CR"/>
        </w:rPr>
        <w:t>La consulta previa, libre e informada</w:t>
      </w:r>
    </w:p>
    <w:p w14:paraId="25A6BF8B" w14:textId="77777777" w:rsidR="00907AD9" w:rsidRPr="00220267" w:rsidRDefault="00907AD9" w:rsidP="00907AD9">
      <w:pPr>
        <w:widowControl w:val="0"/>
        <w:tabs>
          <w:tab w:val="left" w:pos="0"/>
          <w:tab w:val="left" w:pos="709"/>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9"/>
        <w:jc w:val="both"/>
        <w:rPr>
          <w:rFonts w:ascii="Verdana" w:eastAsia="Batang" w:hAnsi="Verdana" w:cs="Times"/>
          <w:noProof/>
          <w:sz w:val="20"/>
          <w:szCs w:val="20"/>
        </w:rPr>
      </w:pPr>
      <w:r w:rsidRPr="00220267">
        <w:rPr>
          <w:rFonts w:ascii="Verdana" w:eastAsia="Batang" w:hAnsi="Verdana" w:cs="Times"/>
          <w:noProof/>
          <w:sz w:val="20"/>
          <w:szCs w:val="20"/>
        </w:rPr>
        <w:t xml:space="preserve">4. </w:t>
      </w:r>
      <w:r w:rsidRPr="00220267">
        <w:rPr>
          <w:rFonts w:ascii="Verdana" w:eastAsia="Batang" w:hAnsi="Verdana" w:cs="Times"/>
          <w:noProof/>
          <w:sz w:val="20"/>
          <w:szCs w:val="20"/>
        </w:rPr>
        <w:tab/>
        <w:t xml:space="preserve">Uno de los aportes más significativos en materia indígena y tribal en la jurisprudencia de la Corte Interamericana ha sido la interpretación realizada al artículo 21 de la Convención Americana; así, la Corte ha desarrollado una interpretación que protege una de las realidades características de la región, la propiedad comunal de los territorios ancestrales. En este entendido, en los contextos de grandes proyectos o planes de desarrollo, inversión, exploración, explotación y extracción, la Corte ha creado una sólida línea jurisprudencial sobre la obligación de consulta a los pueblos indígenas y tribales, en la medida en que dichos proyectos, afecten tanto sus </w:t>
      </w:r>
      <w:r w:rsidRPr="00220267">
        <w:rPr>
          <w:rFonts w:ascii="Verdana" w:eastAsia="Batang" w:hAnsi="Verdana" w:cs="Times"/>
          <w:noProof/>
          <w:sz w:val="20"/>
          <w:szCs w:val="20"/>
        </w:rPr>
        <w:lastRenderedPageBreak/>
        <w:t>territorios como su forma de vida dentro de los mismos</w:t>
      </w:r>
      <w:r w:rsidRPr="00220267">
        <w:rPr>
          <w:rFonts w:ascii="Verdana" w:eastAsia="Batang" w:hAnsi="Verdana" w:cs="Times"/>
          <w:noProof/>
          <w:sz w:val="20"/>
          <w:szCs w:val="20"/>
          <w:vertAlign w:val="superscript"/>
        </w:rPr>
        <w:footnoteReference w:id="351"/>
      </w:r>
      <w:r w:rsidRPr="00220267">
        <w:rPr>
          <w:rFonts w:ascii="Verdana" w:eastAsia="Batang" w:hAnsi="Verdana" w:cs="Times"/>
          <w:noProof/>
          <w:sz w:val="20"/>
          <w:szCs w:val="20"/>
        </w:rPr>
        <w:t xml:space="preserve">. </w:t>
      </w:r>
    </w:p>
    <w:p w14:paraId="090F10F7" w14:textId="77777777" w:rsidR="00907AD9" w:rsidRPr="00220267" w:rsidRDefault="00907AD9" w:rsidP="00907AD9">
      <w:pPr>
        <w:widowControl w:val="0"/>
        <w:tabs>
          <w:tab w:val="left" w:pos="0"/>
          <w:tab w:val="left" w:pos="709"/>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9"/>
        <w:jc w:val="both"/>
        <w:rPr>
          <w:rFonts w:ascii="Verdana" w:eastAsia="Batang" w:hAnsi="Verdana" w:cs="Times"/>
          <w:noProof/>
          <w:sz w:val="20"/>
          <w:szCs w:val="20"/>
        </w:rPr>
      </w:pPr>
    </w:p>
    <w:p w14:paraId="220A8290" w14:textId="77777777" w:rsidR="00907AD9" w:rsidRPr="00220267" w:rsidRDefault="00907AD9" w:rsidP="00907AD9">
      <w:pPr>
        <w:spacing w:after="240"/>
        <w:ind w:right="96"/>
        <w:jc w:val="both"/>
        <w:rPr>
          <w:rFonts w:ascii="Verdana" w:eastAsia="Batang" w:hAnsi="Verdana" w:cs="Times"/>
          <w:i/>
          <w:noProof/>
          <w:sz w:val="20"/>
          <w:szCs w:val="20"/>
          <w:lang w:val="es-CR"/>
        </w:rPr>
      </w:pPr>
      <w:r w:rsidRPr="00220267">
        <w:rPr>
          <w:rFonts w:ascii="Verdana" w:eastAsia="Batang" w:hAnsi="Verdana" w:cs="Times"/>
          <w:noProof/>
          <w:sz w:val="20"/>
          <w:szCs w:val="20"/>
          <w:lang w:val="es-CR"/>
        </w:rPr>
        <w:t xml:space="preserve">5. </w:t>
      </w:r>
      <w:r w:rsidRPr="00220267">
        <w:rPr>
          <w:rFonts w:ascii="Verdana" w:eastAsia="Batang" w:hAnsi="Verdana" w:cs="Times"/>
          <w:noProof/>
          <w:sz w:val="20"/>
          <w:szCs w:val="20"/>
          <w:lang w:val="es-CR"/>
        </w:rPr>
        <w:tab/>
        <w:t xml:space="preserve">La Corte se ha pronunciado respecto de la consulta previa en cuatro casos relativos a pueblos indígenas o tribales, a saber: </w:t>
      </w:r>
      <w:r w:rsidRPr="00220267">
        <w:rPr>
          <w:rFonts w:ascii="Verdana" w:eastAsia="Batang" w:hAnsi="Verdana" w:cs="Times"/>
          <w:i/>
          <w:noProof/>
          <w:sz w:val="20"/>
          <w:szCs w:val="20"/>
          <w:lang w:val="es-CR"/>
        </w:rPr>
        <w:t xml:space="preserve">Caso del Pueblo Saramaka Vs. Surinam; Caso Pueblo Indígena Kichwa de Sarayaku Vs. Ecuador; Caso Comunidad Garífuna de Punta Piedra y sus miembros, y Caso Comunidad Garífuna Triunfo de la Cruz y sus miembros, ambos Vs. Honduras. </w:t>
      </w:r>
    </w:p>
    <w:p w14:paraId="083F95F3" w14:textId="77777777" w:rsidR="00907AD9" w:rsidRPr="00220267" w:rsidRDefault="00907AD9" w:rsidP="00907AD9">
      <w:pPr>
        <w:autoSpaceDE w:val="0"/>
        <w:autoSpaceDN w:val="0"/>
        <w:adjustRightInd w:val="0"/>
        <w:spacing w:before="240" w:after="240"/>
        <w:jc w:val="both"/>
        <w:rPr>
          <w:rFonts w:ascii="Verdana" w:hAnsi="Verdana" w:cs="Times"/>
          <w:noProof/>
          <w:sz w:val="20"/>
          <w:szCs w:val="20"/>
          <w:lang w:val="es-MX"/>
        </w:rPr>
      </w:pPr>
      <w:r w:rsidRPr="00220267">
        <w:rPr>
          <w:rFonts w:ascii="Verdana" w:eastAsia="Batang" w:hAnsi="Verdana" w:cs="Times"/>
          <w:noProof/>
          <w:sz w:val="20"/>
          <w:szCs w:val="20"/>
          <w:lang w:val="es-CR"/>
        </w:rPr>
        <w:t xml:space="preserve">6. </w:t>
      </w:r>
      <w:r w:rsidRPr="00220267">
        <w:rPr>
          <w:rFonts w:ascii="Verdana" w:eastAsia="Batang" w:hAnsi="Verdana" w:cs="Times"/>
          <w:noProof/>
          <w:sz w:val="20"/>
          <w:szCs w:val="20"/>
          <w:lang w:val="es-CR"/>
        </w:rPr>
        <w:tab/>
        <w:t>En este sentido, adicionalmente a lo expuesto en el párrafo 201 de la presente Sentencia, en el caso del</w:t>
      </w:r>
      <w:r w:rsidRPr="00220267">
        <w:rPr>
          <w:rFonts w:ascii="Verdana" w:eastAsia="Batang" w:hAnsi="Verdana" w:cs="Times"/>
          <w:i/>
          <w:noProof/>
          <w:sz w:val="20"/>
          <w:szCs w:val="20"/>
          <w:lang w:val="es-CR"/>
        </w:rPr>
        <w:t xml:space="preserve"> Pueblo Saramaka</w:t>
      </w:r>
      <w:r w:rsidRPr="00220267">
        <w:rPr>
          <w:rFonts w:ascii="Verdana" w:eastAsia="Batang" w:hAnsi="Verdana" w:cs="Times"/>
          <w:noProof/>
          <w:sz w:val="20"/>
          <w:szCs w:val="20"/>
          <w:lang w:val="es-CR"/>
        </w:rPr>
        <w:t xml:space="preserve"> la Corte señaló que </w:t>
      </w:r>
      <w:r w:rsidRPr="00220267">
        <w:rPr>
          <w:rFonts w:ascii="Verdana" w:hAnsi="Verdana" w:cs="Times"/>
          <w:noProof/>
          <w:sz w:val="20"/>
          <w:szCs w:val="20"/>
          <w:lang w:val="es-MX"/>
        </w:rPr>
        <w:t>la consulta debe garantizar la participación efectiva de los integrantes de la Comunidad y esta debe ser: i) de buena fe y con el fin de llegar a un acuerdo; ii) conforme a las propias costumbres y tradiciones de la comunidad y métodos tradicionales para la toma de decisiones; iii) en las primeras etapas del proyecto en cuestión, y iv) previa entrega de toda la información relevante, y posibles riesgos</w:t>
      </w:r>
      <w:r w:rsidRPr="00220267">
        <w:rPr>
          <w:rFonts w:ascii="Verdana" w:hAnsi="Verdana" w:cs="Times"/>
          <w:noProof/>
          <w:sz w:val="20"/>
          <w:szCs w:val="20"/>
          <w:vertAlign w:val="superscript"/>
          <w:lang w:val="es-MX"/>
        </w:rPr>
        <w:footnoteReference w:id="352"/>
      </w:r>
      <w:r w:rsidRPr="00220267">
        <w:rPr>
          <w:rFonts w:ascii="Verdana" w:hAnsi="Verdana" w:cs="Times"/>
          <w:noProof/>
          <w:sz w:val="20"/>
          <w:szCs w:val="20"/>
          <w:lang w:val="es-MX"/>
        </w:rPr>
        <w:t xml:space="preserve">. </w:t>
      </w:r>
    </w:p>
    <w:p w14:paraId="0A683145" w14:textId="77777777" w:rsidR="00907AD9" w:rsidRPr="00220267" w:rsidRDefault="00907AD9" w:rsidP="00907AD9">
      <w:pPr>
        <w:contextualSpacing/>
        <w:jc w:val="both"/>
        <w:rPr>
          <w:rFonts w:ascii="Verdana" w:eastAsia="Times New Roman" w:hAnsi="Verdana"/>
          <w:sz w:val="20"/>
          <w:szCs w:val="20"/>
          <w:lang w:val="es-CR"/>
        </w:rPr>
      </w:pPr>
      <w:r w:rsidRPr="00220267">
        <w:rPr>
          <w:rFonts w:ascii="Verdana" w:eastAsia="Times New Roman" w:hAnsi="Verdana"/>
          <w:sz w:val="20"/>
          <w:szCs w:val="20"/>
          <w:lang w:val="es-MX"/>
        </w:rPr>
        <w:t xml:space="preserve">7. </w:t>
      </w:r>
      <w:r w:rsidRPr="00220267">
        <w:rPr>
          <w:rFonts w:ascii="Verdana" w:eastAsia="Times New Roman" w:hAnsi="Verdana"/>
          <w:sz w:val="20"/>
          <w:szCs w:val="20"/>
          <w:lang w:val="es-MX"/>
        </w:rPr>
        <w:tab/>
        <w:t xml:space="preserve">En el caso del </w:t>
      </w:r>
      <w:r w:rsidRPr="00220267">
        <w:rPr>
          <w:rFonts w:ascii="Verdana" w:eastAsia="Times New Roman" w:hAnsi="Verdana"/>
          <w:i/>
          <w:sz w:val="20"/>
          <w:szCs w:val="20"/>
          <w:lang w:val="es-MX"/>
        </w:rPr>
        <w:t xml:space="preserve">Pueblo </w:t>
      </w:r>
      <w:r w:rsidRPr="00220267">
        <w:rPr>
          <w:rFonts w:ascii="Verdana" w:eastAsia="Times New Roman" w:hAnsi="Verdana"/>
          <w:i/>
          <w:sz w:val="20"/>
          <w:szCs w:val="20"/>
          <w:lang w:val="es-CR"/>
        </w:rPr>
        <w:t xml:space="preserve">Indígena Kichwa de </w:t>
      </w:r>
      <w:r w:rsidRPr="00220267">
        <w:rPr>
          <w:rFonts w:ascii="Verdana" w:eastAsia="Times New Roman" w:hAnsi="Verdana"/>
          <w:i/>
          <w:sz w:val="20"/>
          <w:szCs w:val="20"/>
          <w:lang w:val="es-MX"/>
        </w:rPr>
        <w:t>Sarayaku</w:t>
      </w:r>
      <w:r w:rsidRPr="00220267">
        <w:rPr>
          <w:rFonts w:ascii="Verdana" w:eastAsia="Times New Roman" w:hAnsi="Verdana"/>
          <w:sz w:val="20"/>
          <w:szCs w:val="20"/>
          <w:lang w:val="es-MX"/>
        </w:rPr>
        <w:t xml:space="preserve"> y posteriormente reiterado en el caso de la </w:t>
      </w:r>
      <w:r w:rsidRPr="00220267">
        <w:rPr>
          <w:rFonts w:ascii="Verdana" w:eastAsia="Times New Roman" w:hAnsi="Verdana"/>
          <w:i/>
          <w:sz w:val="20"/>
          <w:szCs w:val="20"/>
          <w:lang w:val="es-CR"/>
        </w:rPr>
        <w:t>Comunidad Garífuna Triunfo de la Cruz,</w:t>
      </w:r>
      <w:r w:rsidRPr="00220267">
        <w:rPr>
          <w:rFonts w:ascii="Verdana" w:eastAsia="Times New Roman" w:hAnsi="Verdana"/>
          <w:sz w:val="20"/>
          <w:szCs w:val="20"/>
          <w:lang w:val="es-MX"/>
        </w:rPr>
        <w:t xml:space="preserve"> la Corte especificó </w:t>
      </w:r>
      <w:r w:rsidRPr="00220267">
        <w:rPr>
          <w:rFonts w:ascii="Verdana" w:eastAsia="Times New Roman" w:hAnsi="Verdana"/>
          <w:sz w:val="20"/>
          <w:szCs w:val="20"/>
          <w:lang w:val="es-CR"/>
        </w:rPr>
        <w:t xml:space="preserve">que “para que la exploración o extracción de recursos naturales en los territorios ancestrales no impliquen una denegación de la subsistencia del pueblo indígena como tal, el Estado debe cumplir con las siguientes salvaguardias: i) efectuar un proceso adecuado y participativo que garantice su derecho a la consulta, en particular, entre otros supuestos, en casos </w:t>
      </w:r>
      <w:r w:rsidRPr="00220267">
        <w:rPr>
          <w:rFonts w:ascii="Verdana" w:eastAsia="Times New Roman" w:hAnsi="Verdana"/>
          <w:sz w:val="20"/>
          <w:szCs w:val="20"/>
          <w:lang w:val="es-ES"/>
        </w:rPr>
        <w:t>de planes de desarrollo o de inversión a gran escala</w:t>
      </w:r>
      <w:r w:rsidRPr="00220267">
        <w:rPr>
          <w:rFonts w:ascii="Verdana" w:eastAsia="Times New Roman" w:hAnsi="Verdana"/>
          <w:sz w:val="20"/>
          <w:szCs w:val="20"/>
          <w:lang w:val="es-CR"/>
        </w:rPr>
        <w:t>; ii) la realización de un estudio de impacto ambiental; y iii) en su caso, compartir razonablemente los beneficios que se produzcan de la explotación de los recursos naturales (como una forma de justa indemnización exigida por el artículo 21 de la Convención), según lo que la propia comunidad determine y resuelva respecto de quiénes serían los beneficiarios de tal compensación según sus costumbres y tradiciones”</w:t>
      </w:r>
      <w:r w:rsidRPr="00220267">
        <w:rPr>
          <w:rFonts w:ascii="Verdana" w:eastAsia="Times New Roman" w:hAnsi="Verdana"/>
          <w:sz w:val="20"/>
          <w:szCs w:val="20"/>
          <w:vertAlign w:val="superscript"/>
          <w:lang w:val="en-US"/>
        </w:rPr>
        <w:footnoteReference w:id="353"/>
      </w:r>
      <w:r w:rsidRPr="00220267">
        <w:rPr>
          <w:rFonts w:ascii="Verdana" w:eastAsia="Times New Roman" w:hAnsi="Verdana"/>
          <w:sz w:val="20"/>
          <w:szCs w:val="20"/>
          <w:lang w:val="es-CR"/>
        </w:rPr>
        <w:t>.</w:t>
      </w:r>
      <w:r w:rsidRPr="00220267">
        <w:rPr>
          <w:rFonts w:ascii="Verdana" w:eastAsia="Times New Roman" w:hAnsi="Verdana"/>
          <w:sz w:val="20"/>
          <w:szCs w:val="20"/>
          <w:lang w:val="es-PE"/>
        </w:rPr>
        <w:t xml:space="preserve"> </w:t>
      </w:r>
    </w:p>
    <w:p w14:paraId="5A36DB10" w14:textId="77777777" w:rsidR="00907AD9" w:rsidRPr="00220267" w:rsidRDefault="00907AD9" w:rsidP="00907AD9">
      <w:pPr>
        <w:spacing w:after="240"/>
        <w:ind w:right="96"/>
        <w:contextualSpacing/>
        <w:jc w:val="both"/>
        <w:rPr>
          <w:rFonts w:ascii="Verdana" w:eastAsia="Times New Roman" w:hAnsi="Verdana"/>
          <w:sz w:val="20"/>
          <w:szCs w:val="20"/>
          <w:lang w:val="es-CR"/>
        </w:rPr>
      </w:pPr>
    </w:p>
    <w:p w14:paraId="057EDB18" w14:textId="77777777" w:rsidR="00907AD9" w:rsidRPr="00220267" w:rsidRDefault="00907AD9" w:rsidP="00907AD9">
      <w:pPr>
        <w:contextualSpacing/>
        <w:jc w:val="both"/>
        <w:rPr>
          <w:rFonts w:ascii="Verdana" w:eastAsia="Times New Roman" w:hAnsi="Verdana"/>
          <w:sz w:val="20"/>
          <w:szCs w:val="20"/>
          <w:lang w:val="es-CR"/>
        </w:rPr>
      </w:pPr>
      <w:r w:rsidRPr="00220267">
        <w:rPr>
          <w:rFonts w:ascii="Verdana" w:eastAsia="Times New Roman" w:hAnsi="Verdana"/>
          <w:sz w:val="20"/>
          <w:szCs w:val="20"/>
          <w:lang w:val="es-CR"/>
        </w:rPr>
        <w:t xml:space="preserve">8. </w:t>
      </w:r>
      <w:r w:rsidRPr="00220267">
        <w:rPr>
          <w:rFonts w:ascii="Verdana" w:eastAsia="Times New Roman" w:hAnsi="Verdana"/>
          <w:sz w:val="20"/>
          <w:szCs w:val="20"/>
          <w:lang w:val="es-CR"/>
        </w:rPr>
        <w:tab/>
        <w:t xml:space="preserve">En el caso de la </w:t>
      </w:r>
      <w:r w:rsidRPr="00220267">
        <w:rPr>
          <w:rFonts w:ascii="Verdana" w:eastAsia="Times New Roman" w:hAnsi="Verdana"/>
          <w:i/>
          <w:sz w:val="20"/>
          <w:szCs w:val="20"/>
          <w:lang w:val="es-CR"/>
        </w:rPr>
        <w:t>Comunidad Garífuna de Punta Piedra</w:t>
      </w:r>
      <w:r w:rsidRPr="00220267">
        <w:rPr>
          <w:rFonts w:ascii="Verdana" w:eastAsia="Times New Roman" w:hAnsi="Verdana"/>
          <w:sz w:val="20"/>
          <w:szCs w:val="20"/>
          <w:lang w:val="es-CR"/>
        </w:rPr>
        <w:t xml:space="preserve">, la Corte reiteró que el Tribunal ha establecido que, “para todo plan de desarrollo, inversión, exploración o extracción en territorios tradicionales de comunidades indígenas o tribales, el Estado debe cumplir con las siguientes salvaguardias: i) efectuar un proceso adecuado y participativo que garantice su derecho a la consulta; ii) realizar un estudio previo de </w:t>
      </w:r>
      <w:r w:rsidRPr="00220267">
        <w:rPr>
          <w:rFonts w:ascii="Verdana" w:eastAsia="Times New Roman" w:hAnsi="Verdana"/>
          <w:sz w:val="20"/>
          <w:szCs w:val="20"/>
          <w:lang w:val="es-CR"/>
        </w:rPr>
        <w:lastRenderedPageBreak/>
        <w:t>impacto ambiental y social; y iii) en su caso, compartir razonablemente los beneficios que se produzcan de la explotación de los recursos naturales”</w:t>
      </w:r>
      <w:r w:rsidRPr="00220267">
        <w:rPr>
          <w:rFonts w:ascii="Verdana" w:eastAsia="Batang" w:hAnsi="Verdana"/>
          <w:sz w:val="20"/>
          <w:szCs w:val="20"/>
          <w:vertAlign w:val="superscript"/>
          <w:lang w:val="en-US"/>
        </w:rPr>
        <w:footnoteReference w:id="354"/>
      </w:r>
      <w:r w:rsidRPr="00220267">
        <w:rPr>
          <w:rFonts w:ascii="Verdana" w:eastAsia="Times New Roman" w:hAnsi="Verdana"/>
          <w:sz w:val="20"/>
          <w:szCs w:val="20"/>
          <w:lang w:val="es-CR"/>
        </w:rPr>
        <w:t xml:space="preserve">. </w:t>
      </w:r>
    </w:p>
    <w:p w14:paraId="6EA7D8DF" w14:textId="77777777" w:rsidR="00907AD9" w:rsidRPr="00220267" w:rsidRDefault="00907AD9" w:rsidP="00907AD9">
      <w:pPr>
        <w:contextualSpacing/>
        <w:jc w:val="both"/>
        <w:rPr>
          <w:rFonts w:ascii="Verdana" w:eastAsia="Times New Roman" w:hAnsi="Verdana"/>
          <w:sz w:val="20"/>
          <w:szCs w:val="20"/>
          <w:lang w:val="es-CR"/>
        </w:rPr>
      </w:pPr>
    </w:p>
    <w:p w14:paraId="3837C2D9"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9. </w:t>
      </w:r>
      <w:r w:rsidRPr="00220267">
        <w:rPr>
          <w:rFonts w:ascii="Verdana" w:eastAsia="Batang" w:hAnsi="Verdana" w:cs="Times"/>
          <w:noProof/>
          <w:sz w:val="20"/>
          <w:szCs w:val="20"/>
          <w:lang w:val="es-CR"/>
        </w:rPr>
        <w:tab/>
        <w:t xml:space="preserve">Además, cabe señalar que tal como fue dispuesto en la Sentencia en comento, si bien Surinam no es parte del Convenio 169 de la OIT, la Corte reiteró lo dispuesto en el caso </w:t>
      </w:r>
      <w:r w:rsidRPr="00220267">
        <w:rPr>
          <w:rFonts w:ascii="Verdana" w:eastAsia="Batang" w:hAnsi="Verdana" w:cs="Times"/>
          <w:i/>
          <w:noProof/>
          <w:sz w:val="20"/>
          <w:szCs w:val="20"/>
          <w:lang w:val="es-CR"/>
        </w:rPr>
        <w:t>Saramaka</w:t>
      </w:r>
      <w:r w:rsidRPr="00220267">
        <w:rPr>
          <w:rFonts w:ascii="Verdana" w:eastAsia="Batang" w:hAnsi="Verdana" w:cs="Times"/>
          <w:noProof/>
          <w:sz w:val="20"/>
          <w:szCs w:val="20"/>
          <w:vertAlign w:val="superscript"/>
          <w:lang w:val="es-CR"/>
        </w:rPr>
        <w:footnoteReference w:id="355"/>
      </w:r>
      <w:r w:rsidRPr="00220267">
        <w:rPr>
          <w:rFonts w:ascii="Verdana" w:eastAsia="Batang" w:hAnsi="Verdana" w:cs="Times"/>
          <w:noProof/>
          <w:sz w:val="20"/>
          <w:szCs w:val="20"/>
          <w:lang w:val="es-CR"/>
        </w:rPr>
        <w:t>, en el sentido que “el derecho a la propiedad protegido conforme al artículo 21 de la Convención Americana, e interpretado a la luz de los derechos reconocidos en los artículos 1 en común y 27 del PIDCP, los cuales no podrán ser restringidos al interpretar la Convención Americana en el presente caso, confiere a los integrantes de los Pueblos Kaliña y Lokono el derecho al goce de su propiedad de conformidad con su tradición comunitaria”</w:t>
      </w:r>
      <w:r w:rsidRPr="00220267">
        <w:rPr>
          <w:rFonts w:ascii="Verdana" w:eastAsia="Batang" w:hAnsi="Verdana" w:cs="Times"/>
          <w:noProof/>
          <w:sz w:val="20"/>
          <w:szCs w:val="20"/>
          <w:vertAlign w:val="superscript"/>
        </w:rPr>
        <w:footnoteReference w:id="356"/>
      </w:r>
      <w:r w:rsidRPr="00220267">
        <w:rPr>
          <w:rFonts w:ascii="Verdana" w:eastAsia="Batang" w:hAnsi="Verdana" w:cs="Times"/>
          <w:noProof/>
          <w:sz w:val="20"/>
          <w:szCs w:val="20"/>
        </w:rPr>
        <w:t>.</w:t>
      </w:r>
      <w:r w:rsidRPr="00220267">
        <w:rPr>
          <w:rFonts w:ascii="Verdana" w:eastAsia="Batang" w:hAnsi="Verdana" w:cs="Times"/>
          <w:noProof/>
          <w:sz w:val="20"/>
          <w:szCs w:val="20"/>
          <w:lang w:val="es-CR"/>
        </w:rPr>
        <w:t xml:space="preserve"> </w:t>
      </w:r>
    </w:p>
    <w:p w14:paraId="4E3ABE98" w14:textId="77777777" w:rsidR="00907AD9" w:rsidRPr="00220267" w:rsidRDefault="00907AD9" w:rsidP="00907AD9">
      <w:pPr>
        <w:jc w:val="both"/>
        <w:rPr>
          <w:rFonts w:ascii="Verdana" w:eastAsia="Batang" w:hAnsi="Verdana" w:cs="Times"/>
          <w:noProof/>
          <w:sz w:val="20"/>
          <w:szCs w:val="20"/>
          <w:lang w:val="es-CR"/>
        </w:rPr>
      </w:pPr>
    </w:p>
    <w:p w14:paraId="3EAEBD29"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10. </w:t>
      </w:r>
      <w:r w:rsidRPr="00220267">
        <w:rPr>
          <w:rFonts w:ascii="Verdana" w:eastAsia="Batang" w:hAnsi="Verdana" w:cs="Times"/>
          <w:noProof/>
          <w:sz w:val="20"/>
          <w:szCs w:val="20"/>
          <w:lang w:val="es-CR"/>
        </w:rPr>
        <w:tab/>
        <w:t xml:space="preserve">Así, la Corte determinó que, aplicando el criterio antes mencionado al presente caso, </w:t>
      </w:r>
      <w:r w:rsidRPr="00220267">
        <w:rPr>
          <w:rFonts w:ascii="Verdana" w:eastAsia="Batang" w:hAnsi="Verdana" w:cs="Times"/>
          <w:noProof/>
          <w:sz w:val="20"/>
          <w:szCs w:val="20"/>
          <w:lang w:val="es-CO"/>
        </w:rPr>
        <w:t>“</w:t>
      </w:r>
      <w:r w:rsidRPr="00220267">
        <w:rPr>
          <w:rFonts w:ascii="Verdana" w:eastAsia="Batang" w:hAnsi="Verdana" w:cs="Times"/>
          <w:noProof/>
          <w:sz w:val="20"/>
          <w:szCs w:val="20"/>
          <w:lang w:val="es-CR"/>
        </w:rPr>
        <w:t>los Pueblos Kaliña y Lokono conformados como pueblos indígenas, se encuentran protegidos por el derecho internacional de los derechos humanos que garantiza el derecho al territorio colectivo que han usado y ocupado tradicionalmente, derivado del uso y ocupación de la tierra y de los recursos necesarios para su subsistencia física y cultural y, asimismo, que el Estado tiene la obligación de adoptar medidas especiales para reconocer, respetar, proteger y garantizar a sus integrantes el derecho de propiedad comunal respecto de dicho territorio”</w:t>
      </w:r>
      <w:r w:rsidRPr="00220267">
        <w:rPr>
          <w:rFonts w:ascii="Verdana" w:eastAsia="Batang" w:hAnsi="Verdana" w:cs="Times"/>
          <w:noProof/>
          <w:sz w:val="20"/>
          <w:szCs w:val="20"/>
          <w:vertAlign w:val="superscript"/>
        </w:rPr>
        <w:footnoteReference w:id="357"/>
      </w:r>
      <w:r w:rsidRPr="00220267">
        <w:rPr>
          <w:rFonts w:ascii="Verdana" w:eastAsia="Batang" w:hAnsi="Verdana" w:cs="Times"/>
          <w:noProof/>
          <w:sz w:val="20"/>
          <w:szCs w:val="20"/>
          <w:lang w:val="es-CR"/>
        </w:rPr>
        <w:t>.</w:t>
      </w:r>
    </w:p>
    <w:p w14:paraId="509BB5F8" w14:textId="77777777" w:rsidR="00907AD9" w:rsidRPr="00220267" w:rsidRDefault="00907AD9" w:rsidP="00907AD9">
      <w:pPr>
        <w:jc w:val="both"/>
        <w:rPr>
          <w:rFonts w:ascii="Verdana" w:eastAsia="Batang" w:hAnsi="Verdana" w:cs="Times"/>
          <w:noProof/>
          <w:sz w:val="20"/>
          <w:szCs w:val="20"/>
          <w:lang w:val="es-CR"/>
        </w:rPr>
      </w:pPr>
    </w:p>
    <w:p w14:paraId="00A0D067"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11. </w:t>
      </w:r>
      <w:r w:rsidRPr="00220267">
        <w:rPr>
          <w:rFonts w:ascii="Verdana" w:eastAsia="Batang" w:hAnsi="Verdana" w:cs="Times"/>
          <w:noProof/>
          <w:sz w:val="20"/>
          <w:szCs w:val="20"/>
          <w:lang w:val="es-CR"/>
        </w:rPr>
        <w:tab/>
        <w:t>Adicionalmente a ello, la Corte consideró que para efectos del presente caso, el  derecho a la consulta encuentra fundamento también en el artículo 23 de la Convención Americana, a la luz de los estándares internacionales</w:t>
      </w:r>
      <w:r w:rsidRPr="00220267">
        <w:rPr>
          <w:rFonts w:ascii="Verdana" w:eastAsia="Batang" w:hAnsi="Verdana" w:cs="Times"/>
          <w:noProof/>
          <w:sz w:val="20"/>
          <w:szCs w:val="20"/>
          <w:vertAlign w:val="superscript"/>
          <w:lang w:val="es-PR"/>
        </w:rPr>
        <w:footnoteReference w:id="358"/>
      </w:r>
      <w:r w:rsidRPr="00220267">
        <w:rPr>
          <w:rFonts w:ascii="Verdana" w:eastAsia="Batang" w:hAnsi="Verdana" w:cs="Times"/>
          <w:noProof/>
          <w:sz w:val="20"/>
          <w:szCs w:val="20"/>
          <w:lang w:val="es-CR"/>
        </w:rPr>
        <w:t>. Para ello, señaló que el Estado debe contar con “mecanismos para garantizar la participación efectiva de los pueblos indígenas, a través de procedimientos culturalmente adecuados para la toma de decisiones de dichos pueblos. Lo anterior, no sólo consiste en un asunto de interés público sino que también forma parte del ejercicio de su derecho a participar en la adopción de decisiones en las cuestiones que afectan sus intereses, de conformidad con sus propios procedimientos e instituciones, en relación con el artículo 23 de la Convención Americana”</w:t>
      </w:r>
      <w:r w:rsidRPr="00220267">
        <w:rPr>
          <w:rFonts w:ascii="Verdana" w:eastAsia="Batang" w:hAnsi="Verdana" w:cs="Times"/>
          <w:noProof/>
          <w:sz w:val="20"/>
          <w:szCs w:val="20"/>
          <w:vertAlign w:val="superscript"/>
        </w:rPr>
        <w:footnoteReference w:id="359"/>
      </w:r>
      <w:r w:rsidRPr="00220267">
        <w:rPr>
          <w:rFonts w:ascii="Verdana" w:eastAsia="Batang" w:hAnsi="Verdana" w:cs="Times"/>
          <w:noProof/>
          <w:sz w:val="20"/>
          <w:szCs w:val="20"/>
        </w:rPr>
        <w:t>.</w:t>
      </w:r>
    </w:p>
    <w:p w14:paraId="3467A2B6" w14:textId="77777777" w:rsidR="00907AD9" w:rsidRPr="00220267" w:rsidRDefault="00907AD9" w:rsidP="00907AD9">
      <w:pPr>
        <w:jc w:val="both"/>
        <w:rPr>
          <w:rFonts w:ascii="Verdana" w:eastAsia="Batang" w:hAnsi="Verdana" w:cs="Times"/>
          <w:noProof/>
          <w:sz w:val="20"/>
          <w:szCs w:val="20"/>
          <w:lang w:val="es-CR"/>
        </w:rPr>
      </w:pPr>
    </w:p>
    <w:p w14:paraId="06D9E8CD"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12. </w:t>
      </w:r>
      <w:r w:rsidRPr="00220267">
        <w:rPr>
          <w:rFonts w:ascii="Verdana" w:eastAsia="Batang" w:hAnsi="Verdana" w:cs="Times"/>
          <w:noProof/>
          <w:sz w:val="20"/>
          <w:szCs w:val="20"/>
          <w:lang w:val="es-CR"/>
        </w:rPr>
        <w:tab/>
        <w:t>En vista de lo anterior, resulta claro que la participación efectiva aludida en el Capítulo B.4, párrafos 204 a 212 de la Sentencia, debe entenderse en el sentido de garantizar la consulta previa, libre e informada, de conformidad con los desarrollos jurisprudenciales de esta Corte en la materia.</w:t>
      </w:r>
    </w:p>
    <w:p w14:paraId="70C4C6CA" w14:textId="77777777" w:rsidR="00907AD9" w:rsidRPr="00220267" w:rsidRDefault="00907AD9" w:rsidP="00907AD9">
      <w:pPr>
        <w:jc w:val="both"/>
        <w:rPr>
          <w:rFonts w:ascii="Verdana" w:eastAsia="Batang" w:hAnsi="Verdana" w:cs="Times"/>
          <w:noProof/>
          <w:sz w:val="20"/>
          <w:szCs w:val="20"/>
          <w:lang w:val="es-CR"/>
        </w:rPr>
      </w:pPr>
    </w:p>
    <w:p w14:paraId="480B326C"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13. </w:t>
      </w:r>
      <w:r w:rsidRPr="00220267">
        <w:rPr>
          <w:rFonts w:ascii="Verdana" w:eastAsia="Batang" w:hAnsi="Verdana" w:cs="Times"/>
          <w:noProof/>
          <w:sz w:val="20"/>
          <w:szCs w:val="20"/>
          <w:lang w:val="es-CR"/>
        </w:rPr>
        <w:tab/>
        <w:t>Respecto del momento en que debe realizarse la consulta previa, la Corte estableció que:</w:t>
      </w:r>
    </w:p>
    <w:p w14:paraId="709A4534" w14:textId="77777777" w:rsidR="00907AD9" w:rsidRPr="00220267" w:rsidRDefault="00907AD9" w:rsidP="00907AD9">
      <w:pPr>
        <w:jc w:val="both"/>
        <w:rPr>
          <w:rFonts w:ascii="Verdana" w:eastAsia="Batang" w:hAnsi="Verdana" w:cs="Times"/>
          <w:noProof/>
          <w:sz w:val="20"/>
          <w:szCs w:val="20"/>
          <w:lang w:val="es-CR"/>
        </w:rPr>
      </w:pPr>
    </w:p>
    <w:p w14:paraId="695DD246" w14:textId="77777777" w:rsidR="00907AD9" w:rsidRPr="00220267" w:rsidRDefault="00907AD9" w:rsidP="00907AD9">
      <w:pPr>
        <w:numPr>
          <w:ilvl w:val="0"/>
          <w:numId w:val="52"/>
        </w:numPr>
        <w:ind w:left="567" w:right="616" w:firstLine="0"/>
        <w:contextualSpacing/>
        <w:jc w:val="both"/>
        <w:rPr>
          <w:rFonts w:ascii="Verdana" w:eastAsia="Times New Roman" w:hAnsi="Verdana"/>
          <w:sz w:val="20"/>
          <w:szCs w:val="20"/>
          <w:lang w:val="es-CR"/>
        </w:rPr>
      </w:pPr>
      <w:r w:rsidRPr="00220267">
        <w:rPr>
          <w:rFonts w:ascii="Verdana" w:eastAsia="Times New Roman" w:hAnsi="Verdana"/>
          <w:sz w:val="20"/>
          <w:szCs w:val="20"/>
          <w:lang w:val="es-CR"/>
        </w:rPr>
        <w:t>En este sentido, la Corte ya ha establecido que el Estado debe garantizar la participación efectiva “en relación con todo plan de desarrollo, inversión, exploración o extracción”</w:t>
      </w:r>
      <w:r w:rsidRPr="00220267">
        <w:rPr>
          <w:rFonts w:ascii="Verdana" w:eastAsia="MS Mincho" w:hAnsi="Verdana"/>
          <w:sz w:val="20"/>
          <w:szCs w:val="20"/>
          <w:vertAlign w:val="superscript"/>
          <w:lang w:val="en-US"/>
        </w:rPr>
        <w:footnoteReference w:id="360"/>
      </w:r>
      <w:r w:rsidRPr="00220267">
        <w:rPr>
          <w:rFonts w:ascii="Verdana" w:eastAsia="Times New Roman" w:hAnsi="Verdana"/>
          <w:sz w:val="20"/>
          <w:szCs w:val="20"/>
          <w:lang w:val="es-CR"/>
        </w:rPr>
        <w:t>. En particular la Corte se refirió a planes de desarrollo e inversión como “cualquier actividad que pueda afectar la integridad de las tierras y recursos naturales […], en particular, cualquier propuesta relacionada con concesiones madereras o mineras”</w:t>
      </w:r>
      <w:r w:rsidRPr="00220267">
        <w:rPr>
          <w:rFonts w:ascii="Verdana" w:eastAsia="MS Mincho" w:hAnsi="Verdana"/>
          <w:sz w:val="20"/>
          <w:szCs w:val="20"/>
          <w:vertAlign w:val="superscript"/>
          <w:lang w:val="en-US"/>
        </w:rPr>
        <w:footnoteReference w:id="361"/>
      </w:r>
      <w:r w:rsidRPr="00220267">
        <w:rPr>
          <w:rFonts w:ascii="Verdana" w:eastAsia="Times New Roman" w:hAnsi="Verdana"/>
          <w:sz w:val="20"/>
          <w:szCs w:val="20"/>
          <w:lang w:val="es-MX"/>
        </w:rPr>
        <w:t xml:space="preserve">. </w:t>
      </w:r>
    </w:p>
    <w:p w14:paraId="4F58C755" w14:textId="77777777" w:rsidR="00907AD9" w:rsidRPr="00220267" w:rsidRDefault="00907AD9" w:rsidP="00907AD9">
      <w:pPr>
        <w:spacing w:after="200" w:line="276" w:lineRule="auto"/>
        <w:ind w:left="567" w:right="616"/>
        <w:contextualSpacing/>
        <w:jc w:val="both"/>
        <w:rPr>
          <w:rFonts w:ascii="Verdana" w:eastAsia="Times New Roman" w:hAnsi="Verdana"/>
          <w:sz w:val="20"/>
          <w:szCs w:val="20"/>
          <w:lang w:val="es-CR"/>
        </w:rPr>
      </w:pPr>
    </w:p>
    <w:p w14:paraId="1BE3E40B" w14:textId="77777777" w:rsidR="00907AD9" w:rsidRPr="00220267" w:rsidRDefault="00907AD9" w:rsidP="00907AD9">
      <w:pPr>
        <w:numPr>
          <w:ilvl w:val="0"/>
          <w:numId w:val="52"/>
        </w:numPr>
        <w:ind w:left="567" w:right="616" w:firstLine="0"/>
        <w:contextualSpacing/>
        <w:jc w:val="both"/>
        <w:rPr>
          <w:rFonts w:ascii="Verdana" w:eastAsia="Times New Roman" w:hAnsi="Verdana"/>
          <w:sz w:val="20"/>
          <w:szCs w:val="20"/>
          <w:lang w:val="es-CR"/>
        </w:rPr>
      </w:pPr>
      <w:r w:rsidRPr="00220267">
        <w:rPr>
          <w:rFonts w:ascii="Verdana" w:eastAsia="Times New Roman" w:hAnsi="Verdana"/>
          <w:sz w:val="20"/>
          <w:szCs w:val="20"/>
          <w:lang w:val="es-MX"/>
        </w:rPr>
        <w:t xml:space="preserve">Al respecto, el Tribunal considera que el deber del Estado en relación con dicha garantía se actualiza de manera previa a la ejecución de acciones que podrían afectar de manera relevante los intereses de los pueblos indígenas y tribales, tales como las etapas de exploración y explotación o extracción. En el presente caso, si bien la concesión minera se dio en el año 1958, las actividades de extracción de bauxita se iniciaron en el año 1997, es decir 40 años después, momento en el cual ya se contaba con la determinación precisa del lugar donde se realizarían las actividades extractivas, respecto del resto del territorio previamente explorado. </w:t>
      </w:r>
      <w:r w:rsidRPr="00220267">
        <w:rPr>
          <w:rFonts w:ascii="Verdana" w:eastAsia="Times New Roman" w:hAnsi="Verdana"/>
          <w:sz w:val="20"/>
          <w:szCs w:val="20"/>
          <w:lang w:val="es-CR"/>
        </w:rPr>
        <w:t>En este sentido, la garantía de participación efectiva debió llevarse a cabo de manera previa al inicio de la extracción o explotación minera, lo cual no ocurrió en el presente caso.</w:t>
      </w:r>
      <w:r w:rsidRPr="00220267">
        <w:rPr>
          <w:rFonts w:ascii="Verdana" w:eastAsia="Times New Roman" w:hAnsi="Verdana"/>
          <w:sz w:val="20"/>
          <w:szCs w:val="20"/>
          <w:lang w:val="es-MX"/>
        </w:rPr>
        <w:t xml:space="preserve"> Particularmente, respecto de los Pueblos Kaliña y Lokono que se encontraban cerca del área y mantenían una vinculación directa con esta zona, los cuales enfrentaron afectaciones en parte de su territorio tradicional </w:t>
      </w:r>
      <w:r w:rsidRPr="00220267">
        <w:rPr>
          <w:rFonts w:ascii="Verdana" w:eastAsia="Times New Roman" w:hAnsi="Verdana"/>
          <w:sz w:val="20"/>
          <w:szCs w:val="22"/>
          <w:lang w:val="es-MX"/>
        </w:rPr>
        <w:t>(</w:t>
      </w:r>
      <w:r w:rsidRPr="00220267">
        <w:rPr>
          <w:rFonts w:ascii="Verdana" w:eastAsia="Times New Roman" w:hAnsi="Verdana"/>
          <w:i/>
          <w:sz w:val="20"/>
          <w:szCs w:val="22"/>
          <w:lang w:val="es-MX"/>
        </w:rPr>
        <w:t>supra</w:t>
      </w:r>
      <w:r w:rsidRPr="00220267">
        <w:rPr>
          <w:rFonts w:ascii="Verdana" w:eastAsia="Times New Roman" w:hAnsi="Verdana"/>
          <w:sz w:val="20"/>
          <w:szCs w:val="22"/>
          <w:lang w:val="es-MX"/>
        </w:rPr>
        <w:t xml:space="preserve"> párr. 92).</w:t>
      </w:r>
    </w:p>
    <w:p w14:paraId="10B03D82" w14:textId="77777777" w:rsidR="00907AD9" w:rsidRPr="00220267" w:rsidRDefault="00907AD9" w:rsidP="00907AD9">
      <w:pPr>
        <w:jc w:val="both"/>
        <w:rPr>
          <w:rFonts w:ascii="Verdana" w:eastAsia="Batang" w:hAnsi="Verdana" w:cs="Times"/>
          <w:noProof/>
          <w:sz w:val="20"/>
          <w:szCs w:val="20"/>
          <w:lang w:val="es-CR"/>
        </w:rPr>
      </w:pPr>
    </w:p>
    <w:p w14:paraId="543470F4" w14:textId="77777777" w:rsidR="00907AD9" w:rsidRPr="00220267" w:rsidRDefault="00907AD9" w:rsidP="00907AD9">
      <w:pPr>
        <w:jc w:val="both"/>
        <w:rPr>
          <w:rFonts w:ascii="Verdana" w:eastAsia="Batang" w:hAnsi="Verdana" w:cs="Times"/>
          <w:noProof/>
          <w:sz w:val="20"/>
          <w:szCs w:val="20"/>
          <w:highlight w:val="yellow"/>
          <w:lang w:val="es-CR"/>
        </w:rPr>
      </w:pPr>
      <w:r w:rsidRPr="00220267">
        <w:rPr>
          <w:rFonts w:ascii="Verdana" w:eastAsia="Batang" w:hAnsi="Verdana" w:cs="Times"/>
          <w:noProof/>
          <w:sz w:val="20"/>
          <w:szCs w:val="20"/>
          <w:lang w:val="es-CR"/>
        </w:rPr>
        <w:t xml:space="preserve">14. </w:t>
      </w:r>
      <w:r w:rsidRPr="00220267">
        <w:rPr>
          <w:rFonts w:ascii="Verdana" w:eastAsia="Batang" w:hAnsi="Verdana" w:cs="Times"/>
          <w:noProof/>
          <w:sz w:val="20"/>
          <w:szCs w:val="20"/>
          <w:lang w:val="es-CR"/>
        </w:rPr>
        <w:tab/>
        <w:t>Al respecto, concurrimos en el particular, ya que si bien la Corte no tuvo competencia para analizar el momento previo al otorgamiento de la concesión inicial, resulta de gran relevancia, por las particularidades del caso, resaltar que el deber de consultar se actualiza de manera previa a distintos momentos. Al respecto, un proyecto minero está conformado por distintas etapas, entre ellas la de exploración y de factibilidad, de construcción y explotación y la de cierre del proyecto. En este sentido, la ejecución de estas etapas son actos independientes, que si bien están relacionados entre sí y se derivan del acto originario de la concesión misma, por sus características, deben ser consultados previamente. En el presente caso, la Corte constató que en el año 1997 se iniciaron las actividades de extracción de bauxita en Wane Kreek, siendo esta una de las actividades más importantes del proyecto minero, respecto de la cual se verificaron también las consecuencias en el impacto al medio ambiente de la zona</w:t>
      </w:r>
      <w:r w:rsidRPr="00220267">
        <w:rPr>
          <w:rFonts w:ascii="Verdana" w:eastAsia="Batang" w:hAnsi="Verdana" w:cs="Times"/>
          <w:noProof/>
          <w:sz w:val="20"/>
          <w:szCs w:val="20"/>
          <w:vertAlign w:val="superscript"/>
        </w:rPr>
        <w:footnoteReference w:id="362"/>
      </w:r>
      <w:r w:rsidRPr="00220267">
        <w:rPr>
          <w:rFonts w:ascii="Verdana" w:eastAsia="Batang" w:hAnsi="Verdana" w:cs="Times"/>
          <w:noProof/>
          <w:sz w:val="20"/>
          <w:szCs w:val="20"/>
          <w:lang w:val="es-CR"/>
        </w:rPr>
        <w:t>.</w:t>
      </w:r>
    </w:p>
    <w:p w14:paraId="7ADE1A7A" w14:textId="77777777" w:rsidR="00907AD9" w:rsidRPr="00220267" w:rsidRDefault="00907AD9" w:rsidP="00907AD9">
      <w:pPr>
        <w:jc w:val="both"/>
        <w:rPr>
          <w:rFonts w:ascii="Verdana" w:eastAsia="Batang" w:hAnsi="Verdana" w:cs="Times"/>
          <w:noProof/>
          <w:sz w:val="20"/>
          <w:szCs w:val="20"/>
          <w:highlight w:val="yellow"/>
          <w:lang w:val="es-CR"/>
        </w:rPr>
      </w:pPr>
    </w:p>
    <w:p w14:paraId="35AAB25B" w14:textId="77777777" w:rsidR="00907AD9" w:rsidRPr="00220267" w:rsidRDefault="00907AD9" w:rsidP="00907AD9">
      <w:pPr>
        <w:jc w:val="both"/>
        <w:rPr>
          <w:rFonts w:ascii="Verdana" w:eastAsia="Batang" w:hAnsi="Verdana" w:cs="Times"/>
          <w:noProof/>
          <w:sz w:val="20"/>
          <w:szCs w:val="20"/>
        </w:rPr>
      </w:pPr>
      <w:r w:rsidRPr="00220267">
        <w:rPr>
          <w:rFonts w:ascii="Verdana" w:eastAsia="Batang" w:hAnsi="Verdana" w:cs="Times"/>
          <w:noProof/>
          <w:sz w:val="20"/>
          <w:szCs w:val="20"/>
        </w:rPr>
        <w:t xml:space="preserve">15. </w:t>
      </w:r>
      <w:r w:rsidRPr="00220267">
        <w:rPr>
          <w:rFonts w:ascii="Verdana" w:eastAsia="Batang" w:hAnsi="Verdana" w:cs="Times"/>
          <w:noProof/>
          <w:sz w:val="20"/>
          <w:szCs w:val="20"/>
        </w:rPr>
        <w:tab/>
        <w:t xml:space="preserve">Así, la obligacion de los Estados frente a los proyectos de desarrollo en territorio indigena o tribal surge desde el momento en que los Estados aceptan las obligaciones contenidas en las disposiciones de la Convención Americana, con independencia del momento del otorgamiento de la concesión, ya que como se había mencionado anteriormente, son fases independientes. Negar lo anterior y tener una comprensión </w:t>
      </w:r>
      <w:r w:rsidRPr="00220267">
        <w:rPr>
          <w:rFonts w:ascii="Verdana" w:eastAsia="Batang" w:hAnsi="Verdana" w:cs="Times"/>
          <w:noProof/>
          <w:sz w:val="20"/>
          <w:szCs w:val="20"/>
        </w:rPr>
        <w:lastRenderedPageBreak/>
        <w:t xml:space="preserve">distinta de la consulta previa, ciñíendola expresamente solo a las primeras etapas de la concesión de un proyecto, llevaría al absurdo de permitir nuevas explotaciones que tengan un impacto actual sobre la cultura y el territorio indígena, afectandolos por el resto del tiempo en que la concesión siga vigente. Evidentemente al ser un proceso constante de diálogo, la consulta no sólo se circunscribe a las primeras etapas de un proyecto, sino que la obligación se materializa cuando exista un posible impacto a la vida tradicional indígena o tribal en cuestión. </w:t>
      </w:r>
    </w:p>
    <w:p w14:paraId="70892672" w14:textId="77777777" w:rsidR="00907AD9" w:rsidRPr="00220267" w:rsidRDefault="00907AD9" w:rsidP="00907AD9">
      <w:pPr>
        <w:contextualSpacing/>
        <w:jc w:val="both"/>
        <w:rPr>
          <w:rFonts w:ascii="Verdana" w:eastAsia="Batang" w:hAnsi="Verdana" w:cs="Times"/>
          <w:noProof/>
          <w:sz w:val="20"/>
          <w:szCs w:val="20"/>
          <w:lang w:val="es-CR"/>
        </w:rPr>
      </w:pPr>
    </w:p>
    <w:p w14:paraId="5894D800" w14:textId="77777777" w:rsidR="00907AD9" w:rsidRPr="00220267" w:rsidRDefault="00907AD9" w:rsidP="00907AD9">
      <w:pPr>
        <w:contextualSpacing/>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16. </w:t>
      </w:r>
      <w:r w:rsidRPr="00220267">
        <w:rPr>
          <w:rFonts w:ascii="Verdana" w:eastAsia="Batang" w:hAnsi="Verdana" w:cs="Times"/>
          <w:noProof/>
          <w:sz w:val="20"/>
          <w:szCs w:val="20"/>
          <w:lang w:val="es-CR"/>
        </w:rPr>
        <w:tab/>
        <w:t>En vista de lo antes expuesto, tal como fue concluido en el párrafo 212 de la Sentencia, siendo que el Estado no garantizó la participación efectiva, a través de un proceso de consulta a los Pueblos de Kaliña y Lokono antes de emprender o autorizar la explotación de la mina de bauxita dentro de parte de su territorio tradicional, el Estado violó los artículos 21 y 23 de la Convención, en relación con los artículos 1.1 y 2 de la misma, en perjuicio de los Pueblos Kaliña y Lokono y sus miembros.</w:t>
      </w:r>
    </w:p>
    <w:p w14:paraId="612F6A1D" w14:textId="77777777" w:rsidR="00907AD9" w:rsidRPr="00220267" w:rsidRDefault="00907AD9" w:rsidP="00907AD9">
      <w:pPr>
        <w:jc w:val="both"/>
        <w:rPr>
          <w:rFonts w:ascii="Verdana" w:eastAsia="Batang" w:hAnsi="Verdana" w:cs="Times"/>
          <w:noProof/>
          <w:sz w:val="20"/>
          <w:szCs w:val="20"/>
          <w:lang w:val="es-CR"/>
        </w:rPr>
      </w:pPr>
    </w:p>
    <w:p w14:paraId="7306CCDF" w14:textId="77777777" w:rsidR="00907AD9" w:rsidRPr="00220267" w:rsidRDefault="00907AD9" w:rsidP="00907AD9">
      <w:pPr>
        <w:jc w:val="center"/>
        <w:rPr>
          <w:rFonts w:ascii="Verdana" w:eastAsia="Batang" w:hAnsi="Verdana" w:cs="Times"/>
          <w:b/>
          <w:noProof/>
          <w:sz w:val="20"/>
          <w:szCs w:val="20"/>
          <w:lang w:val="es-CR"/>
        </w:rPr>
      </w:pPr>
      <w:r w:rsidRPr="00220267">
        <w:rPr>
          <w:rFonts w:ascii="Verdana" w:eastAsia="Batang" w:hAnsi="Verdana" w:cs="Times"/>
          <w:b/>
          <w:noProof/>
          <w:sz w:val="20"/>
          <w:szCs w:val="20"/>
          <w:lang w:val="es-CR"/>
        </w:rPr>
        <w:t>El reconocimiento de la personalidad jurídica colectiva</w:t>
      </w:r>
    </w:p>
    <w:p w14:paraId="66EE8E41" w14:textId="77777777" w:rsidR="00907AD9" w:rsidRPr="00220267" w:rsidRDefault="00907AD9" w:rsidP="00907AD9">
      <w:pPr>
        <w:jc w:val="center"/>
        <w:rPr>
          <w:rFonts w:ascii="Verdana" w:eastAsia="Batang" w:hAnsi="Verdana" w:cs="Times"/>
          <w:b/>
          <w:noProof/>
          <w:sz w:val="20"/>
          <w:szCs w:val="20"/>
          <w:lang w:val="es-CR"/>
        </w:rPr>
      </w:pPr>
    </w:p>
    <w:p w14:paraId="68D44E92"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17. </w:t>
      </w:r>
      <w:r w:rsidRPr="00220267">
        <w:rPr>
          <w:rFonts w:ascii="Verdana" w:eastAsia="Batang" w:hAnsi="Verdana" w:cs="Times"/>
          <w:noProof/>
          <w:sz w:val="20"/>
          <w:szCs w:val="20"/>
          <w:lang w:val="es-CR"/>
        </w:rPr>
        <w:tab/>
        <w:t>En la presente Sentencia la Corte, con base en los casos precedentes de Surinam</w:t>
      </w:r>
      <w:r w:rsidRPr="00220267">
        <w:rPr>
          <w:rFonts w:ascii="Verdana" w:eastAsia="Batang" w:hAnsi="Verdana" w:cs="Times"/>
          <w:noProof/>
          <w:sz w:val="20"/>
          <w:szCs w:val="20"/>
          <w:vertAlign w:val="superscript"/>
          <w:lang w:val="es-CR"/>
        </w:rPr>
        <w:footnoteReference w:id="363"/>
      </w:r>
      <w:r w:rsidRPr="00220267">
        <w:rPr>
          <w:rFonts w:ascii="Verdana" w:eastAsia="Batang" w:hAnsi="Verdana" w:cs="Times"/>
          <w:noProof/>
          <w:sz w:val="20"/>
          <w:szCs w:val="20"/>
          <w:lang w:val="es-CR"/>
        </w:rPr>
        <w:t xml:space="preserve">, declaró que: </w:t>
      </w:r>
    </w:p>
    <w:p w14:paraId="33D713A7" w14:textId="77777777" w:rsidR="00907AD9" w:rsidRPr="00220267" w:rsidRDefault="00907AD9" w:rsidP="00907AD9">
      <w:pPr>
        <w:ind w:left="567" w:right="616"/>
        <w:jc w:val="both"/>
        <w:rPr>
          <w:rFonts w:ascii="Verdana" w:eastAsia="Batang" w:hAnsi="Verdana" w:cs="Times"/>
          <w:noProof/>
          <w:sz w:val="20"/>
          <w:szCs w:val="20"/>
          <w:lang w:val="es-CR"/>
        </w:rPr>
      </w:pPr>
    </w:p>
    <w:p w14:paraId="5D19B4A0" w14:textId="77777777" w:rsidR="00907AD9" w:rsidRPr="00220267" w:rsidRDefault="00907AD9" w:rsidP="00907AD9">
      <w:pPr>
        <w:ind w:left="567" w:right="616"/>
        <w:jc w:val="both"/>
        <w:rPr>
          <w:rFonts w:ascii="Verdana" w:eastAsia="Batang" w:hAnsi="Verdana" w:cs="Times"/>
          <w:noProof/>
          <w:sz w:val="20"/>
          <w:szCs w:val="20"/>
          <w:lang w:val="es-CR"/>
        </w:rPr>
      </w:pPr>
      <w:r w:rsidRPr="00220267">
        <w:rPr>
          <w:rFonts w:ascii="Verdana" w:eastAsia="Batang" w:hAnsi="Verdana" w:cs="Times"/>
          <w:noProof/>
          <w:sz w:val="20"/>
          <w:szCs w:val="20"/>
          <w:lang w:val="es-CR"/>
        </w:rPr>
        <w:t>114.</w:t>
      </w:r>
      <w:r w:rsidRPr="00220267">
        <w:rPr>
          <w:rFonts w:ascii="Verdana" w:eastAsia="Batang" w:hAnsi="Verdana" w:cs="Times"/>
          <w:noProof/>
          <w:sz w:val="20"/>
          <w:szCs w:val="20"/>
          <w:lang w:val="es-CR"/>
        </w:rPr>
        <w:tab/>
        <w:t xml:space="preserve">En conclusión, ya que el ordenamiento jurídico interno de Surinam no reconoce el ejercicio de la personalidad jurídica de los pueblos indígenas y tribales de manera colectiva, esta Corte considera que el Estado ha violado el artículo 3 de la Convención Americana, en perjuicio de los Pueblos Kaliña y Lokono, en relación con el artículo 2 de la misma. Además, para efectos del presente caso, la falta de reconocimiento de la personalidad jurídica de los Pueblos de Kaliña y Lokono impacta, como será analizado </w:t>
      </w:r>
      <w:r w:rsidRPr="00220267">
        <w:rPr>
          <w:rFonts w:ascii="Verdana" w:eastAsia="Batang" w:hAnsi="Verdana" w:cs="Times"/>
          <w:i/>
          <w:noProof/>
          <w:sz w:val="20"/>
          <w:szCs w:val="20"/>
          <w:lang w:val="es-CR"/>
        </w:rPr>
        <w:t>infra</w:t>
      </w:r>
      <w:r w:rsidRPr="00220267">
        <w:rPr>
          <w:rFonts w:ascii="Verdana" w:eastAsia="Batang" w:hAnsi="Verdana" w:cs="Times"/>
          <w:noProof/>
          <w:sz w:val="20"/>
          <w:szCs w:val="20"/>
          <w:lang w:val="es-CR"/>
        </w:rPr>
        <w:t>, en la violación de otros derechos reconocidos en los artículos 1.1, 21 y 25 de la Convención.</w:t>
      </w:r>
    </w:p>
    <w:p w14:paraId="3E33387D" w14:textId="77777777" w:rsidR="00907AD9" w:rsidRPr="00220267" w:rsidRDefault="00907AD9" w:rsidP="00907AD9">
      <w:pPr>
        <w:jc w:val="both"/>
        <w:rPr>
          <w:rFonts w:ascii="Verdana" w:eastAsia="Batang" w:hAnsi="Verdana" w:cs="Times"/>
          <w:noProof/>
          <w:sz w:val="20"/>
          <w:szCs w:val="20"/>
          <w:lang w:val="es-CR"/>
        </w:rPr>
      </w:pPr>
    </w:p>
    <w:p w14:paraId="4E0AEF7F"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18. </w:t>
      </w:r>
      <w:r w:rsidRPr="00220267">
        <w:rPr>
          <w:rFonts w:ascii="Verdana" w:eastAsia="Batang" w:hAnsi="Verdana" w:cs="Times"/>
          <w:noProof/>
          <w:sz w:val="20"/>
          <w:szCs w:val="20"/>
          <w:lang w:val="es-CR"/>
        </w:rPr>
        <w:tab/>
        <w:t xml:space="preserve">Concurrimos con dicho razonamiento, ya que el reconocimiento de la personalidad jurídica en su carácter colectivo es un prerrequisito esencial para que los pueblos indígenas y tribales puedan ejercer diversos derechos, que por sus características comunitarias, requieren ser amparados de manera colectiva. En este sentido, el Tribunal reiteró que: </w:t>
      </w:r>
    </w:p>
    <w:p w14:paraId="1492BE0C" w14:textId="77777777" w:rsidR="00907AD9" w:rsidRPr="00220267" w:rsidRDefault="00907AD9" w:rsidP="00907AD9">
      <w:pPr>
        <w:jc w:val="both"/>
        <w:rPr>
          <w:rFonts w:ascii="Verdana" w:eastAsia="Batang" w:hAnsi="Verdana" w:cs="Times"/>
          <w:noProof/>
          <w:sz w:val="20"/>
          <w:szCs w:val="20"/>
          <w:lang w:val="es-CR"/>
        </w:rPr>
      </w:pPr>
    </w:p>
    <w:p w14:paraId="5C917CD8" w14:textId="77777777" w:rsidR="00907AD9" w:rsidRPr="00220267" w:rsidRDefault="00907AD9" w:rsidP="00907AD9">
      <w:pPr>
        <w:tabs>
          <w:tab w:val="left" w:pos="851"/>
          <w:tab w:val="left" w:pos="1418"/>
        </w:tabs>
        <w:ind w:left="567" w:right="616"/>
        <w:jc w:val="both"/>
        <w:rPr>
          <w:rFonts w:ascii="Verdana" w:hAnsi="Verdana" w:cs="Verdana"/>
          <w:noProof/>
          <w:sz w:val="20"/>
          <w:szCs w:val="20"/>
          <w:lang w:val="es-CR"/>
        </w:rPr>
      </w:pPr>
      <w:r w:rsidRPr="00220267">
        <w:rPr>
          <w:rFonts w:ascii="Verdana" w:eastAsia="Batang" w:hAnsi="Verdana" w:cs="Times"/>
          <w:noProof/>
          <w:sz w:val="20"/>
          <w:szCs w:val="20"/>
          <w:lang w:val="es-CR"/>
        </w:rPr>
        <w:t xml:space="preserve">107. </w:t>
      </w:r>
      <w:r w:rsidRPr="00220267">
        <w:rPr>
          <w:rFonts w:ascii="Verdana" w:eastAsia="Batang" w:hAnsi="Verdana" w:cs="Times"/>
          <w:noProof/>
          <w:sz w:val="20"/>
          <w:szCs w:val="20"/>
          <w:lang w:val="es-CR"/>
        </w:rPr>
        <w:tab/>
        <w:t>[..] “</w:t>
      </w:r>
      <w:r w:rsidRPr="00220267">
        <w:rPr>
          <w:rFonts w:ascii="Verdana" w:hAnsi="Verdana" w:cs="Verdana"/>
          <w:noProof/>
          <w:sz w:val="20"/>
          <w:szCs w:val="20"/>
          <w:lang w:val="es-CR"/>
        </w:rPr>
        <w:t>el derecho a que el Estado reconozca su personalidad jurídica es una de las medidas especiales que se debe proporcionar a los grupos indígenas y tribales a fin de garantizar que éstos puedan gozar de sus territorios según sus tradiciones. Ésta es la consecuencia natural del reconocimiento del derecho que tienen los miembros de los grupos indígenas y tribales a gozar de ciertos derechos de forma comunitaria”.</w:t>
      </w:r>
    </w:p>
    <w:p w14:paraId="546F43EF" w14:textId="77777777" w:rsidR="00907AD9" w:rsidRPr="00220267" w:rsidRDefault="00907AD9" w:rsidP="00907AD9">
      <w:pPr>
        <w:ind w:left="567" w:right="616"/>
        <w:jc w:val="both"/>
        <w:rPr>
          <w:rFonts w:ascii="Verdana" w:eastAsia="Batang" w:hAnsi="Verdana" w:cs="Times"/>
          <w:noProof/>
          <w:sz w:val="20"/>
          <w:szCs w:val="20"/>
          <w:lang w:val="es-CR"/>
        </w:rPr>
      </w:pPr>
    </w:p>
    <w:p w14:paraId="4B8DFD04" w14:textId="77777777" w:rsidR="00907AD9" w:rsidRPr="00220267" w:rsidRDefault="00907AD9" w:rsidP="00907AD9">
      <w:pPr>
        <w:ind w:left="567" w:right="616"/>
        <w:jc w:val="both"/>
        <w:rPr>
          <w:rFonts w:ascii="Verdana" w:eastAsia="Batang" w:hAnsi="Verdana" w:cs="Times"/>
          <w:noProof/>
          <w:sz w:val="20"/>
          <w:szCs w:val="20"/>
          <w:lang w:val="es-CR"/>
        </w:rPr>
      </w:pPr>
      <w:r w:rsidRPr="00220267">
        <w:rPr>
          <w:rFonts w:ascii="Verdana" w:eastAsia="Batang" w:hAnsi="Verdana" w:cs="Times"/>
          <w:noProof/>
          <w:sz w:val="20"/>
          <w:szCs w:val="20"/>
          <w:lang w:val="es-CR"/>
        </w:rPr>
        <w:t>109.</w:t>
      </w:r>
      <w:r w:rsidRPr="00220267">
        <w:rPr>
          <w:rFonts w:ascii="Verdana" w:eastAsia="Batang" w:hAnsi="Verdana" w:cs="Times"/>
          <w:noProof/>
          <w:sz w:val="20"/>
          <w:szCs w:val="20"/>
          <w:lang w:val="es-CR"/>
        </w:rPr>
        <w:tab/>
        <w:t>[..] “el reconocimiento de la personalidad jurídica es un modo, aunque no sea el único, de asegurar que la comunidad, en su conjunto, podrá gozar y ejercer plenamente el derecho a la propiedad, de conformidad con sus sistema de propiedad comunal, así como el derecho a igual protección judicial contra toda violación de dicho derecho”.</w:t>
      </w:r>
    </w:p>
    <w:p w14:paraId="21307073" w14:textId="77777777" w:rsidR="00907AD9" w:rsidRPr="00220267" w:rsidRDefault="00907AD9" w:rsidP="00907AD9">
      <w:pPr>
        <w:jc w:val="both"/>
        <w:rPr>
          <w:rFonts w:ascii="Verdana" w:eastAsia="Batang" w:hAnsi="Verdana" w:cs="Times"/>
          <w:noProof/>
          <w:sz w:val="20"/>
          <w:szCs w:val="20"/>
          <w:lang w:val="es-CR"/>
        </w:rPr>
      </w:pPr>
    </w:p>
    <w:p w14:paraId="5A56B821" w14:textId="77777777" w:rsidR="00907AD9" w:rsidRPr="00220267" w:rsidRDefault="00907AD9" w:rsidP="00907AD9">
      <w:pPr>
        <w:jc w:val="both"/>
        <w:rPr>
          <w:rFonts w:ascii="Verdana" w:eastAsia="Batang" w:hAnsi="Verdana" w:cs="Times"/>
          <w:noProof/>
          <w:sz w:val="20"/>
          <w:szCs w:val="20"/>
          <w:lang w:val="es-MX"/>
        </w:rPr>
      </w:pPr>
      <w:r w:rsidRPr="00220267">
        <w:rPr>
          <w:rFonts w:ascii="Verdana" w:eastAsia="Batang" w:hAnsi="Verdana" w:cs="Times"/>
          <w:noProof/>
          <w:sz w:val="20"/>
          <w:szCs w:val="20"/>
          <w:lang w:val="es-CR"/>
        </w:rPr>
        <w:t xml:space="preserve">19. </w:t>
      </w:r>
      <w:r w:rsidRPr="00220267">
        <w:rPr>
          <w:rFonts w:ascii="Verdana" w:eastAsia="Batang" w:hAnsi="Verdana" w:cs="Times"/>
          <w:noProof/>
          <w:sz w:val="20"/>
          <w:szCs w:val="20"/>
          <w:lang w:val="es-CR"/>
        </w:rPr>
        <w:tab/>
        <w:t>Cabe hacer notar que la Corte llamó la atención del Estado al considerar que dicho incumplimiento</w:t>
      </w:r>
      <w:r w:rsidRPr="00220267">
        <w:rPr>
          <w:rFonts w:ascii="Verdana" w:eastAsia="Batang" w:hAnsi="Verdana" w:cs="Times"/>
          <w:noProof/>
          <w:sz w:val="20"/>
          <w:szCs w:val="20"/>
          <w:lang w:val="es-MX"/>
        </w:rPr>
        <w:t xml:space="preserve"> resulta aún más gravoso con motivo de lo ya dispuesto en la sentencia en el caso del </w:t>
      </w:r>
      <w:r w:rsidRPr="00220267">
        <w:rPr>
          <w:rFonts w:ascii="Verdana" w:eastAsia="Batang" w:hAnsi="Verdana" w:cs="Times"/>
          <w:i/>
          <w:noProof/>
          <w:sz w:val="20"/>
          <w:szCs w:val="20"/>
          <w:lang w:val="es-MX"/>
        </w:rPr>
        <w:t>Pueblo Saramaka</w:t>
      </w:r>
      <w:r w:rsidRPr="00220267">
        <w:rPr>
          <w:rFonts w:ascii="Verdana" w:eastAsia="Batang" w:hAnsi="Verdana" w:cs="Times"/>
          <w:noProof/>
          <w:sz w:val="20"/>
          <w:szCs w:val="20"/>
          <w:lang w:val="es-MX"/>
        </w:rPr>
        <w:t xml:space="preserve"> de 28 de noviembre de 2007 (</w:t>
      </w:r>
      <w:r w:rsidRPr="00220267">
        <w:rPr>
          <w:rFonts w:ascii="Verdana" w:eastAsia="Batang" w:hAnsi="Verdana" w:cs="Times"/>
          <w:i/>
          <w:noProof/>
          <w:sz w:val="20"/>
          <w:szCs w:val="20"/>
          <w:lang w:val="es-ES"/>
        </w:rPr>
        <w:t>supra</w:t>
      </w:r>
      <w:r w:rsidRPr="00220267">
        <w:rPr>
          <w:rFonts w:ascii="Verdana" w:eastAsia="Batang" w:hAnsi="Verdana" w:cs="Times"/>
          <w:noProof/>
          <w:sz w:val="20"/>
          <w:szCs w:val="20"/>
          <w:lang w:val="es-ES"/>
        </w:rPr>
        <w:t xml:space="preserve"> párr. 107</w:t>
      </w:r>
      <w:r w:rsidRPr="00220267">
        <w:rPr>
          <w:rFonts w:ascii="Verdana" w:eastAsia="Batang" w:hAnsi="Verdana" w:cs="Times"/>
          <w:noProof/>
          <w:sz w:val="20"/>
          <w:szCs w:val="20"/>
          <w:lang w:val="es-MX"/>
        </w:rPr>
        <w:t>), obligación que fue reiterada al Estado para efectos de dicho caso, mediante Resolución de Cumplimiento de 23 de noviembre de 2011</w:t>
      </w:r>
      <w:r w:rsidRPr="00220267">
        <w:rPr>
          <w:rFonts w:ascii="Verdana" w:eastAsia="Batang" w:hAnsi="Verdana" w:cs="Times"/>
          <w:noProof/>
          <w:sz w:val="20"/>
          <w:szCs w:val="20"/>
          <w:vertAlign w:val="superscript"/>
        </w:rPr>
        <w:footnoteReference w:id="364"/>
      </w:r>
      <w:r w:rsidRPr="00220267">
        <w:rPr>
          <w:rFonts w:ascii="Verdana" w:eastAsia="Batang" w:hAnsi="Verdana" w:cs="Times"/>
          <w:noProof/>
          <w:sz w:val="20"/>
          <w:szCs w:val="20"/>
          <w:lang w:val="es-MX"/>
        </w:rPr>
        <w:t>.</w:t>
      </w:r>
    </w:p>
    <w:p w14:paraId="4BE2A759" w14:textId="77777777" w:rsidR="00907AD9" w:rsidRPr="00220267" w:rsidRDefault="00907AD9" w:rsidP="00907AD9">
      <w:pPr>
        <w:jc w:val="both"/>
        <w:rPr>
          <w:rFonts w:ascii="Verdana" w:eastAsia="Batang" w:hAnsi="Verdana" w:cs="Times"/>
          <w:noProof/>
          <w:sz w:val="20"/>
          <w:szCs w:val="20"/>
          <w:lang w:val="es-CR"/>
        </w:rPr>
      </w:pPr>
    </w:p>
    <w:p w14:paraId="513AE79C"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20. </w:t>
      </w:r>
      <w:r w:rsidRPr="00220267">
        <w:rPr>
          <w:rFonts w:ascii="Verdana" w:eastAsia="Batang" w:hAnsi="Verdana" w:cs="Times"/>
          <w:noProof/>
          <w:sz w:val="20"/>
          <w:szCs w:val="20"/>
          <w:lang w:val="es-CR"/>
        </w:rPr>
        <w:tab/>
        <w:t>En vista de lo anterior, el Tribunal en sus reparaciones, adicionalmente a lo ordenado en favor de los Pueblos Kaliña y Lokono</w:t>
      </w:r>
      <w:r w:rsidRPr="00220267">
        <w:rPr>
          <w:rFonts w:ascii="Verdana" w:eastAsia="Batang" w:hAnsi="Verdana" w:cs="Times"/>
          <w:noProof/>
          <w:sz w:val="20"/>
          <w:szCs w:val="20"/>
          <w:vertAlign w:val="superscript"/>
        </w:rPr>
        <w:footnoteReference w:id="365"/>
      </w:r>
      <w:r w:rsidRPr="00220267">
        <w:rPr>
          <w:rFonts w:ascii="Verdana" w:eastAsia="Batang" w:hAnsi="Verdana" w:cs="Times"/>
          <w:noProof/>
          <w:sz w:val="20"/>
          <w:szCs w:val="20"/>
          <w:lang w:val="es-CR"/>
        </w:rPr>
        <w:t>,  ordenó a Surinam como garantía de no repetición</w:t>
      </w:r>
      <w:r w:rsidRPr="00220267">
        <w:rPr>
          <w:rFonts w:ascii="Verdana" w:eastAsia="Batang" w:hAnsi="Verdana" w:cs="Times"/>
          <w:noProof/>
          <w:sz w:val="20"/>
          <w:szCs w:val="20"/>
          <w:vertAlign w:val="superscript"/>
        </w:rPr>
        <w:footnoteReference w:id="366"/>
      </w:r>
      <w:r w:rsidRPr="00220267">
        <w:rPr>
          <w:rFonts w:ascii="Verdana" w:eastAsia="Batang" w:hAnsi="Verdana" w:cs="Times"/>
          <w:noProof/>
          <w:sz w:val="20"/>
          <w:szCs w:val="20"/>
          <w:lang w:val="es-CR"/>
        </w:rPr>
        <w:t xml:space="preserve">: </w:t>
      </w:r>
    </w:p>
    <w:p w14:paraId="5BD42330" w14:textId="77777777" w:rsidR="00907AD9" w:rsidRPr="00220267" w:rsidRDefault="00907AD9" w:rsidP="00907AD9">
      <w:pPr>
        <w:jc w:val="both"/>
        <w:rPr>
          <w:rFonts w:ascii="Verdana" w:eastAsia="Batang" w:hAnsi="Verdana" w:cs="Times"/>
          <w:noProof/>
          <w:sz w:val="20"/>
          <w:szCs w:val="20"/>
          <w:lang w:val="es-CR"/>
        </w:rPr>
      </w:pPr>
    </w:p>
    <w:p w14:paraId="7456C845" w14:textId="77777777" w:rsidR="00907AD9" w:rsidRPr="00220267" w:rsidRDefault="00907AD9" w:rsidP="00907AD9">
      <w:pPr>
        <w:tabs>
          <w:tab w:val="left" w:pos="567"/>
        </w:tabs>
        <w:ind w:left="567" w:right="616"/>
        <w:jc w:val="both"/>
        <w:rPr>
          <w:rFonts w:ascii="Verdana" w:eastAsia="Batang" w:hAnsi="Verdana" w:cs="Times"/>
          <w:noProof/>
          <w:sz w:val="20"/>
          <w:szCs w:val="20"/>
          <w:lang w:val="es-MX"/>
        </w:rPr>
      </w:pPr>
      <w:r w:rsidRPr="00220267">
        <w:rPr>
          <w:rFonts w:ascii="Verdana" w:eastAsia="Batang" w:hAnsi="Verdana" w:cs="Times"/>
          <w:noProof/>
          <w:sz w:val="20"/>
          <w:szCs w:val="20"/>
          <w:lang w:val="es-MX"/>
        </w:rPr>
        <w:t>a)</w:t>
      </w:r>
      <w:r w:rsidRPr="00220267">
        <w:rPr>
          <w:rFonts w:ascii="Verdana" w:eastAsia="Batang" w:hAnsi="Verdana" w:cs="Times"/>
          <w:noProof/>
          <w:sz w:val="20"/>
          <w:szCs w:val="20"/>
          <w:lang w:val="es-MX"/>
        </w:rPr>
        <w:tab/>
        <w:t xml:space="preserve">otorgar a los pueblos indígenas y tribales en Surinam el reconocimiento legal de la personalidad jurídica colectiva, con el propósito de garantizarles el ejercicio y goce pleno de su derecho a la propiedad, de conformidad con sus costumbres y tradiciones, de acuerdo a lo establecido en los párrafos 105 a 114. El Estado deberá cumplir con esta medida de reparación dentro de un plazo no mayor a dos años, a partir de la notificación de la presente Sentencia. </w:t>
      </w:r>
    </w:p>
    <w:p w14:paraId="404DE51E" w14:textId="77777777" w:rsidR="00907AD9" w:rsidRPr="00220267" w:rsidRDefault="00907AD9" w:rsidP="00907AD9">
      <w:pPr>
        <w:tabs>
          <w:tab w:val="left" w:pos="567"/>
        </w:tabs>
        <w:jc w:val="both"/>
        <w:rPr>
          <w:rFonts w:ascii="Verdana" w:eastAsia="Batang" w:hAnsi="Verdana" w:cs="Times"/>
          <w:noProof/>
          <w:sz w:val="20"/>
          <w:szCs w:val="20"/>
          <w:lang w:val="es-CR"/>
        </w:rPr>
      </w:pPr>
    </w:p>
    <w:p w14:paraId="075B98E0" w14:textId="77777777" w:rsidR="00907AD9" w:rsidRDefault="00907AD9" w:rsidP="00907AD9">
      <w:pPr>
        <w:spacing w:after="200" w:line="276" w:lineRule="auto"/>
        <w:contextualSpacing/>
        <w:jc w:val="center"/>
        <w:rPr>
          <w:rFonts w:ascii="Verdana" w:eastAsia="Batang" w:hAnsi="Verdana" w:cs="Times"/>
          <w:b/>
          <w:noProof/>
          <w:sz w:val="20"/>
          <w:szCs w:val="20"/>
          <w:lang w:val="es-CR"/>
        </w:rPr>
      </w:pPr>
      <w:r w:rsidRPr="00220267">
        <w:rPr>
          <w:rFonts w:ascii="Verdana" w:eastAsia="Batang" w:hAnsi="Verdana" w:cs="Times"/>
          <w:b/>
          <w:noProof/>
          <w:sz w:val="20"/>
          <w:szCs w:val="20"/>
          <w:lang w:val="es-CR"/>
        </w:rPr>
        <w:t>Conclusión</w:t>
      </w:r>
    </w:p>
    <w:p w14:paraId="60048F35" w14:textId="77777777" w:rsidR="00907AD9" w:rsidRPr="00220267" w:rsidRDefault="00907AD9" w:rsidP="00907AD9">
      <w:pPr>
        <w:spacing w:after="200" w:line="276" w:lineRule="auto"/>
        <w:contextualSpacing/>
        <w:jc w:val="center"/>
        <w:rPr>
          <w:rFonts w:ascii="Verdana" w:eastAsia="Batang" w:hAnsi="Verdana" w:cs="Times"/>
          <w:b/>
          <w:noProof/>
          <w:sz w:val="20"/>
          <w:szCs w:val="20"/>
          <w:lang w:val="es-CR"/>
        </w:rPr>
      </w:pPr>
    </w:p>
    <w:p w14:paraId="29F6C92F" w14:textId="77777777" w:rsidR="00907AD9" w:rsidRPr="00220267" w:rsidRDefault="00907AD9" w:rsidP="00907AD9">
      <w:pPr>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21. </w:t>
      </w:r>
      <w:r w:rsidRPr="00220267">
        <w:rPr>
          <w:rFonts w:ascii="Verdana" w:eastAsia="Batang" w:hAnsi="Verdana" w:cs="Times"/>
          <w:noProof/>
          <w:sz w:val="20"/>
          <w:szCs w:val="20"/>
          <w:lang w:val="es-CR"/>
        </w:rPr>
        <w:tab/>
        <w:t xml:space="preserve">Por lo anterior, quienes suscribimos este voto destacamos los desarrollos antes mencionados en relación con el derecho a la participación efectiva a través de un proceso de consulta, la cual debe ser entendida a la luz de la jurisprudencia constante de esta Corte, y en el caso particular, a la luz del derecho a la participación </w:t>
      </w:r>
      <w:r w:rsidRPr="00220267">
        <w:rPr>
          <w:rFonts w:ascii="Verdana" w:eastAsia="Batang" w:hAnsi="Verdana" w:cs="Times"/>
          <w:noProof/>
          <w:sz w:val="20"/>
          <w:szCs w:val="20"/>
        </w:rPr>
        <w:t>en la dirección de los asuntos públicos, reconocido en el artículo 23 de la Convención Americana.</w:t>
      </w:r>
      <w:r w:rsidRPr="00220267">
        <w:rPr>
          <w:rFonts w:ascii="Verdana" w:eastAsia="Batang" w:hAnsi="Verdana" w:cs="Times"/>
          <w:noProof/>
          <w:sz w:val="20"/>
          <w:szCs w:val="20"/>
          <w:lang w:val="es-CR"/>
        </w:rPr>
        <w:t xml:space="preserve"> </w:t>
      </w:r>
    </w:p>
    <w:p w14:paraId="7B90DD3F" w14:textId="77777777" w:rsidR="00907AD9" w:rsidRPr="00220267" w:rsidRDefault="00907AD9" w:rsidP="00907AD9">
      <w:pPr>
        <w:jc w:val="both"/>
        <w:rPr>
          <w:rFonts w:ascii="Verdana" w:eastAsia="Batang" w:hAnsi="Verdana" w:cs="Times"/>
          <w:noProof/>
          <w:sz w:val="20"/>
          <w:szCs w:val="20"/>
          <w:lang w:val="es-CR"/>
        </w:rPr>
      </w:pPr>
    </w:p>
    <w:p w14:paraId="7F84BD88" w14:textId="77777777" w:rsidR="00907AD9" w:rsidRPr="00220267" w:rsidRDefault="00907AD9" w:rsidP="00907AD9">
      <w:pPr>
        <w:tabs>
          <w:tab w:val="left" w:pos="567"/>
        </w:tabs>
        <w:jc w:val="both"/>
        <w:rPr>
          <w:rFonts w:ascii="Verdana" w:eastAsia="Batang" w:hAnsi="Verdana" w:cs="Times"/>
          <w:noProof/>
          <w:sz w:val="20"/>
          <w:szCs w:val="20"/>
          <w:lang w:val="es-CR"/>
        </w:rPr>
      </w:pPr>
      <w:r w:rsidRPr="00220267">
        <w:rPr>
          <w:rFonts w:ascii="Verdana" w:eastAsia="Batang" w:hAnsi="Verdana" w:cs="Times"/>
          <w:noProof/>
          <w:sz w:val="20"/>
          <w:szCs w:val="20"/>
          <w:lang w:val="es-CR"/>
        </w:rPr>
        <w:t xml:space="preserve">22. </w:t>
      </w:r>
      <w:r w:rsidRPr="00220267">
        <w:rPr>
          <w:rFonts w:ascii="Verdana" w:eastAsia="Batang" w:hAnsi="Verdana" w:cs="Times"/>
          <w:noProof/>
          <w:sz w:val="20"/>
          <w:szCs w:val="20"/>
          <w:lang w:val="es-CR"/>
        </w:rPr>
        <w:tab/>
        <w:t xml:space="preserve">Asimismo, en relación con el derecho al reconocimiento de la personalidad jurídica, reconocido en el artículo 3 de la Convención Americana, ha sido interpretado destacando la relevancia de la dimensión colectiva de los pueblos indígenas y tribales. Lo anterior, en consonancia con la acertada interpretación que esta Corte ha desarrollado a lo largo de su jurisprudencia en la materia, en el sentido de reconocer que los derechos de los pueblos indígenas y tribales se dotan de características singulares relacionadas con sus formas particulares de vida, tradiciones, cosmovisión y cultura, las cuales también se encuentran protegidas por la Convención Americana de Derechos Humanos. </w:t>
      </w:r>
    </w:p>
    <w:p w14:paraId="22681028" w14:textId="77777777" w:rsidR="00907AD9" w:rsidRDefault="00907AD9" w:rsidP="00907AD9">
      <w:pPr>
        <w:rPr>
          <w:rFonts w:ascii="Verdana" w:eastAsia="Batang" w:hAnsi="Verdana" w:cs="Times"/>
          <w:noProof/>
          <w:sz w:val="20"/>
          <w:szCs w:val="20"/>
          <w:lang w:val="es-CR"/>
        </w:rPr>
      </w:pPr>
    </w:p>
    <w:p w14:paraId="0D408ADA" w14:textId="77777777" w:rsidR="00907AD9" w:rsidRDefault="00907AD9" w:rsidP="00907AD9">
      <w:pPr>
        <w:rPr>
          <w:rFonts w:ascii="Verdana" w:eastAsia="Batang" w:hAnsi="Verdana" w:cs="Times"/>
          <w:noProof/>
          <w:sz w:val="20"/>
          <w:szCs w:val="20"/>
          <w:lang w:val="es-CR"/>
        </w:rPr>
      </w:pPr>
    </w:p>
    <w:p w14:paraId="001B8924" w14:textId="77777777" w:rsidR="00907AD9" w:rsidRPr="00220267" w:rsidRDefault="00907AD9" w:rsidP="00907AD9">
      <w:pPr>
        <w:rPr>
          <w:rFonts w:ascii="Verdana" w:eastAsia="Batang" w:hAnsi="Verdana" w:cs="Times"/>
          <w:noProof/>
          <w:sz w:val="20"/>
          <w:szCs w:val="20"/>
          <w:lang w:val="es-CR"/>
        </w:rPr>
      </w:pPr>
    </w:p>
    <w:p w14:paraId="3B68E98B" w14:textId="77777777" w:rsidR="00907AD9" w:rsidRPr="00220267" w:rsidRDefault="00907AD9" w:rsidP="00907AD9">
      <w:pPr>
        <w:ind w:right="96"/>
        <w:rPr>
          <w:rFonts w:ascii="Verdana" w:hAnsi="Verdana"/>
          <w:sz w:val="20"/>
          <w:szCs w:val="20"/>
          <w:lang w:val="es-CR"/>
        </w:rPr>
      </w:pPr>
      <w:r w:rsidRPr="00220267">
        <w:rPr>
          <w:rFonts w:ascii="Verdana" w:hAnsi="Verdana"/>
          <w:sz w:val="20"/>
          <w:szCs w:val="20"/>
          <w:lang w:val="es-CR"/>
        </w:rPr>
        <w:t xml:space="preserve">   Humberto Antonio Sierra Porto</w:t>
      </w:r>
      <w:r w:rsidRPr="00220267">
        <w:rPr>
          <w:rFonts w:ascii="Verdana" w:hAnsi="Verdana"/>
          <w:sz w:val="20"/>
          <w:szCs w:val="20"/>
          <w:lang w:val="es-CR"/>
        </w:rPr>
        <w:tab/>
      </w:r>
      <w:r w:rsidRPr="00220267">
        <w:rPr>
          <w:rFonts w:ascii="Verdana" w:hAnsi="Verdana"/>
          <w:sz w:val="20"/>
          <w:szCs w:val="20"/>
          <w:lang w:val="es-CR"/>
        </w:rPr>
        <w:tab/>
      </w:r>
      <w:r w:rsidRPr="00220267">
        <w:rPr>
          <w:rFonts w:ascii="Verdana" w:hAnsi="Verdana"/>
          <w:sz w:val="20"/>
          <w:szCs w:val="20"/>
          <w:lang w:val="es-CR"/>
        </w:rPr>
        <w:tab/>
        <w:t>Eduardo Ferrer Mac-Gregor Poisot</w:t>
      </w:r>
    </w:p>
    <w:p w14:paraId="42D44D91" w14:textId="77777777" w:rsidR="00907AD9" w:rsidRPr="00220267" w:rsidRDefault="00907AD9" w:rsidP="00907AD9">
      <w:pPr>
        <w:ind w:right="96" w:firstLine="708"/>
        <w:rPr>
          <w:rFonts w:ascii="Verdana" w:hAnsi="Verdana"/>
          <w:sz w:val="20"/>
          <w:szCs w:val="20"/>
          <w:lang w:val="es-CR"/>
        </w:rPr>
      </w:pPr>
      <w:r w:rsidRPr="00220267">
        <w:rPr>
          <w:rFonts w:ascii="Verdana" w:hAnsi="Verdana"/>
          <w:sz w:val="20"/>
          <w:szCs w:val="20"/>
          <w:lang w:val="es-CR"/>
        </w:rPr>
        <w:t xml:space="preserve">        Juez</w:t>
      </w:r>
      <w:r w:rsidRPr="00220267">
        <w:rPr>
          <w:rFonts w:ascii="Verdana" w:hAnsi="Verdana"/>
          <w:sz w:val="20"/>
          <w:szCs w:val="20"/>
          <w:lang w:val="es-CR"/>
        </w:rPr>
        <w:tab/>
      </w:r>
      <w:r w:rsidRPr="00220267">
        <w:rPr>
          <w:rFonts w:ascii="Verdana" w:hAnsi="Verdana"/>
          <w:sz w:val="20"/>
          <w:szCs w:val="20"/>
          <w:lang w:val="es-CR"/>
        </w:rPr>
        <w:tab/>
      </w:r>
      <w:r w:rsidRPr="00220267">
        <w:rPr>
          <w:rFonts w:ascii="Verdana" w:hAnsi="Verdana"/>
          <w:sz w:val="20"/>
          <w:szCs w:val="20"/>
          <w:lang w:val="es-CR"/>
        </w:rPr>
        <w:tab/>
      </w:r>
      <w:r w:rsidRPr="00220267">
        <w:rPr>
          <w:rFonts w:ascii="Verdana" w:hAnsi="Verdana"/>
          <w:sz w:val="20"/>
          <w:szCs w:val="20"/>
          <w:lang w:val="es-CR"/>
        </w:rPr>
        <w:tab/>
      </w:r>
      <w:r w:rsidRPr="00220267">
        <w:rPr>
          <w:rFonts w:ascii="Verdana" w:hAnsi="Verdana"/>
          <w:sz w:val="20"/>
          <w:szCs w:val="20"/>
          <w:lang w:val="es-CR"/>
        </w:rPr>
        <w:tab/>
      </w:r>
      <w:r w:rsidRPr="00220267">
        <w:rPr>
          <w:rFonts w:ascii="Verdana" w:hAnsi="Verdana"/>
          <w:sz w:val="20"/>
          <w:szCs w:val="20"/>
          <w:lang w:val="es-CR"/>
        </w:rPr>
        <w:tab/>
      </w:r>
      <w:r w:rsidRPr="00220267">
        <w:rPr>
          <w:rFonts w:ascii="Verdana" w:hAnsi="Verdana"/>
          <w:sz w:val="20"/>
          <w:szCs w:val="20"/>
          <w:lang w:val="es-CR"/>
        </w:rPr>
        <w:tab/>
        <w:t>Juez</w:t>
      </w:r>
    </w:p>
    <w:p w14:paraId="65B09442" w14:textId="77777777" w:rsidR="00907AD9" w:rsidRPr="00220267" w:rsidRDefault="00907AD9" w:rsidP="00907AD9">
      <w:pPr>
        <w:jc w:val="both"/>
        <w:rPr>
          <w:rFonts w:ascii="Verdana" w:eastAsia="Batang" w:hAnsi="Verdana" w:cs="Times"/>
          <w:noProof/>
          <w:sz w:val="20"/>
          <w:szCs w:val="20"/>
          <w:lang w:val="es-CR"/>
        </w:rPr>
      </w:pPr>
    </w:p>
    <w:p w14:paraId="423486FC" w14:textId="77777777" w:rsidR="00907AD9" w:rsidRPr="00220267" w:rsidRDefault="00907AD9" w:rsidP="00907AD9">
      <w:pPr>
        <w:rPr>
          <w:rFonts w:ascii="Verdana" w:eastAsia="Batang" w:hAnsi="Verdana" w:cs="Times"/>
          <w:noProof/>
          <w:sz w:val="20"/>
          <w:szCs w:val="20"/>
          <w:lang w:val="es-CR"/>
        </w:rPr>
      </w:pPr>
    </w:p>
    <w:p w14:paraId="742B57AC" w14:textId="77777777" w:rsidR="00907AD9" w:rsidRPr="00220267" w:rsidRDefault="00907AD9" w:rsidP="00907AD9">
      <w:pPr>
        <w:jc w:val="center"/>
        <w:rPr>
          <w:rFonts w:ascii="Verdana" w:eastAsia="Batang" w:hAnsi="Verdana" w:cs="Times"/>
          <w:noProof/>
          <w:sz w:val="20"/>
          <w:szCs w:val="20"/>
          <w:lang w:val="es-CR"/>
        </w:rPr>
      </w:pPr>
      <w:r w:rsidRPr="00220267">
        <w:rPr>
          <w:rFonts w:ascii="Verdana" w:eastAsia="Batang" w:hAnsi="Verdana" w:cs="Times"/>
          <w:noProof/>
          <w:sz w:val="20"/>
          <w:szCs w:val="20"/>
          <w:lang w:val="es-CR"/>
        </w:rPr>
        <w:t>Pablo Saavedra Alessandri</w:t>
      </w:r>
    </w:p>
    <w:p w14:paraId="3DCF516D" w14:textId="77777777" w:rsidR="00907AD9" w:rsidRDefault="00907AD9" w:rsidP="00907AD9">
      <w:pPr>
        <w:jc w:val="center"/>
        <w:rPr>
          <w:rFonts w:ascii="Verdana" w:eastAsia="Batang" w:hAnsi="Verdana" w:cs="Times"/>
          <w:noProof/>
          <w:sz w:val="20"/>
          <w:szCs w:val="20"/>
          <w:lang w:val="es-CR"/>
        </w:rPr>
        <w:sectPr w:rsidR="00907AD9" w:rsidSect="00220267">
          <w:headerReference w:type="even" r:id="rId68"/>
          <w:headerReference w:type="default" r:id="rId69"/>
          <w:footerReference w:type="even" r:id="rId70"/>
          <w:footerReference w:type="default" r:id="rId71"/>
          <w:headerReference w:type="first" r:id="rId72"/>
          <w:footerReference w:type="first" r:id="rId73"/>
          <w:footnotePr>
            <w:numRestart w:val="eachSect"/>
          </w:footnotePr>
          <w:pgSz w:w="12240" w:h="15840"/>
          <w:pgMar w:top="1417" w:right="1701" w:bottom="1417" w:left="1701" w:header="708" w:footer="708" w:gutter="0"/>
          <w:pgNumType w:start="1"/>
          <w:cols w:space="708"/>
          <w:titlePg/>
          <w:docGrid w:linePitch="360"/>
        </w:sectPr>
      </w:pPr>
      <w:r w:rsidRPr="00220267">
        <w:rPr>
          <w:rFonts w:ascii="Verdana" w:eastAsia="Batang" w:hAnsi="Verdana" w:cs="Times"/>
          <w:noProof/>
          <w:sz w:val="20"/>
          <w:szCs w:val="20"/>
          <w:lang w:val="es-CR"/>
        </w:rPr>
        <w:t>Secretario</w:t>
      </w:r>
    </w:p>
    <w:p w14:paraId="5573AAAC" w14:textId="77777777" w:rsidR="00907AD9" w:rsidRPr="00520604" w:rsidRDefault="00907AD9" w:rsidP="00907AD9">
      <w:pPr>
        <w:jc w:val="center"/>
        <w:rPr>
          <w:rFonts w:ascii="Verdana" w:hAnsi="Verdana"/>
          <w:b/>
          <w:sz w:val="20"/>
          <w:szCs w:val="20"/>
        </w:rPr>
      </w:pPr>
    </w:p>
    <w:p w14:paraId="51676DC9" w14:textId="77777777" w:rsidR="00907AD9" w:rsidRPr="00520604" w:rsidRDefault="00907AD9" w:rsidP="00907AD9">
      <w:pPr>
        <w:jc w:val="center"/>
        <w:rPr>
          <w:rFonts w:ascii="Verdana" w:hAnsi="Verdana"/>
          <w:b/>
          <w:sz w:val="20"/>
          <w:szCs w:val="20"/>
        </w:rPr>
      </w:pPr>
    </w:p>
    <w:p w14:paraId="07EBA80B" w14:textId="77777777" w:rsidR="00907AD9" w:rsidRPr="00520604" w:rsidRDefault="00907AD9" w:rsidP="00907AD9">
      <w:pPr>
        <w:jc w:val="center"/>
        <w:rPr>
          <w:rFonts w:ascii="Verdana" w:hAnsi="Verdana"/>
          <w:b/>
          <w:sz w:val="20"/>
          <w:szCs w:val="20"/>
        </w:rPr>
      </w:pPr>
    </w:p>
    <w:p w14:paraId="769A504F" w14:textId="77777777" w:rsidR="00907AD9" w:rsidRPr="00520604" w:rsidRDefault="00907AD9" w:rsidP="00907AD9">
      <w:pPr>
        <w:jc w:val="center"/>
        <w:rPr>
          <w:rFonts w:ascii="Verdana" w:hAnsi="Verdana"/>
          <w:b/>
          <w:sz w:val="20"/>
          <w:szCs w:val="20"/>
        </w:rPr>
      </w:pPr>
    </w:p>
    <w:p w14:paraId="1907EE3F" w14:textId="77777777" w:rsidR="00907AD9" w:rsidRPr="00520604" w:rsidRDefault="00907AD9" w:rsidP="00907AD9">
      <w:pPr>
        <w:jc w:val="center"/>
        <w:rPr>
          <w:rFonts w:ascii="Verdana" w:hAnsi="Verdana"/>
          <w:b/>
          <w:sz w:val="20"/>
          <w:szCs w:val="20"/>
        </w:rPr>
      </w:pPr>
    </w:p>
    <w:p w14:paraId="604BB0FD" w14:textId="77777777" w:rsidR="00907AD9" w:rsidRPr="00520604" w:rsidRDefault="00907AD9" w:rsidP="00907AD9">
      <w:pPr>
        <w:jc w:val="center"/>
        <w:rPr>
          <w:rFonts w:ascii="Verdana" w:hAnsi="Verdana"/>
          <w:b/>
          <w:sz w:val="20"/>
          <w:szCs w:val="20"/>
        </w:rPr>
      </w:pPr>
    </w:p>
    <w:p w14:paraId="52D1CC66" w14:textId="77777777" w:rsidR="00907AD9" w:rsidRPr="00520604" w:rsidRDefault="00907AD9" w:rsidP="00907AD9">
      <w:pPr>
        <w:jc w:val="center"/>
        <w:rPr>
          <w:rFonts w:ascii="Verdana" w:hAnsi="Verdana"/>
          <w:b/>
          <w:sz w:val="20"/>
          <w:szCs w:val="20"/>
        </w:rPr>
      </w:pPr>
    </w:p>
    <w:p w14:paraId="559B53DF" w14:textId="77777777" w:rsidR="00907AD9" w:rsidRPr="00520604" w:rsidRDefault="00907AD9" w:rsidP="00907AD9">
      <w:pPr>
        <w:jc w:val="center"/>
        <w:rPr>
          <w:rFonts w:ascii="Verdana" w:hAnsi="Verdana"/>
          <w:b/>
          <w:sz w:val="20"/>
          <w:szCs w:val="20"/>
        </w:rPr>
      </w:pPr>
      <w:r w:rsidRPr="00520604">
        <w:rPr>
          <w:rFonts w:ascii="Verdana" w:hAnsi="Verdana"/>
          <w:b/>
          <w:sz w:val="20"/>
          <w:szCs w:val="20"/>
        </w:rPr>
        <w:t>VOTO PARCIALMENTE DISIDENTE DEL</w:t>
      </w:r>
    </w:p>
    <w:p w14:paraId="42ED84A7" w14:textId="77777777" w:rsidR="00907AD9" w:rsidRPr="00520604" w:rsidRDefault="00907AD9" w:rsidP="00907AD9">
      <w:pPr>
        <w:jc w:val="center"/>
        <w:rPr>
          <w:rFonts w:ascii="Verdana" w:hAnsi="Verdana"/>
          <w:b/>
          <w:sz w:val="20"/>
          <w:szCs w:val="20"/>
        </w:rPr>
      </w:pPr>
      <w:r w:rsidRPr="00520604">
        <w:rPr>
          <w:rFonts w:ascii="Verdana" w:hAnsi="Verdana"/>
          <w:b/>
          <w:sz w:val="20"/>
          <w:szCs w:val="20"/>
        </w:rPr>
        <w:t>JUEZ ALBERTO PÉREZ PÉREZ</w:t>
      </w:r>
      <w:r w:rsidRPr="00520604">
        <w:rPr>
          <w:rFonts w:ascii="Verdana" w:hAnsi="Verdana"/>
          <w:b/>
          <w:sz w:val="20"/>
          <w:szCs w:val="20"/>
        </w:rPr>
        <w:br/>
      </w:r>
    </w:p>
    <w:p w14:paraId="2D06D110" w14:textId="77777777" w:rsidR="00907AD9" w:rsidRPr="00520604" w:rsidRDefault="00907AD9" w:rsidP="00907AD9">
      <w:pPr>
        <w:jc w:val="center"/>
        <w:rPr>
          <w:rFonts w:ascii="Verdana" w:hAnsi="Verdana"/>
          <w:b/>
          <w:sz w:val="20"/>
          <w:szCs w:val="20"/>
        </w:rPr>
      </w:pPr>
      <w:r w:rsidRPr="00520604">
        <w:rPr>
          <w:rFonts w:ascii="Verdana" w:hAnsi="Verdana"/>
          <w:b/>
          <w:sz w:val="20"/>
          <w:szCs w:val="20"/>
        </w:rPr>
        <w:t>CASO PUEBLOS KALIÑA Y LOKONO VS. SURINAM</w:t>
      </w:r>
    </w:p>
    <w:p w14:paraId="798F16D8" w14:textId="77777777" w:rsidR="00907AD9" w:rsidRPr="00520604" w:rsidRDefault="00907AD9" w:rsidP="00907AD9">
      <w:pPr>
        <w:jc w:val="center"/>
        <w:rPr>
          <w:rFonts w:ascii="Verdana" w:hAnsi="Verdana"/>
          <w:b/>
          <w:sz w:val="20"/>
          <w:szCs w:val="20"/>
        </w:rPr>
      </w:pPr>
    </w:p>
    <w:p w14:paraId="016C59FA" w14:textId="77777777" w:rsidR="00907AD9" w:rsidRPr="00520604" w:rsidRDefault="00907AD9" w:rsidP="00907AD9">
      <w:pPr>
        <w:jc w:val="center"/>
        <w:rPr>
          <w:rFonts w:ascii="Verdana" w:hAnsi="Verdana"/>
          <w:b/>
          <w:sz w:val="20"/>
          <w:szCs w:val="20"/>
        </w:rPr>
      </w:pPr>
      <w:r w:rsidRPr="00520604">
        <w:rPr>
          <w:rFonts w:ascii="Verdana" w:hAnsi="Verdana"/>
          <w:b/>
          <w:sz w:val="20"/>
          <w:szCs w:val="20"/>
        </w:rPr>
        <w:t>SENTENCIA DE 25 DE NOVIEMBRE DE 2015</w:t>
      </w:r>
    </w:p>
    <w:p w14:paraId="34C488E3" w14:textId="77777777" w:rsidR="00907AD9" w:rsidRPr="00520604" w:rsidRDefault="00907AD9" w:rsidP="00907AD9">
      <w:pPr>
        <w:jc w:val="center"/>
        <w:rPr>
          <w:rFonts w:ascii="Verdana" w:eastAsia="Times New Roman" w:hAnsi="Verdana"/>
          <w:b/>
          <w:i/>
          <w:iCs/>
          <w:spacing w:val="15"/>
          <w:sz w:val="20"/>
          <w:szCs w:val="20"/>
        </w:rPr>
      </w:pPr>
      <w:r w:rsidRPr="00520604">
        <w:rPr>
          <w:rFonts w:ascii="Verdana" w:hAnsi="Verdana"/>
          <w:b/>
          <w:sz w:val="20"/>
          <w:szCs w:val="20"/>
        </w:rPr>
        <w:t>(</w:t>
      </w:r>
      <w:r w:rsidRPr="00520604">
        <w:rPr>
          <w:rFonts w:ascii="Verdana" w:eastAsia="Times New Roman" w:hAnsi="Verdana"/>
          <w:b/>
          <w:i/>
          <w:iCs/>
          <w:spacing w:val="15"/>
          <w:sz w:val="20"/>
          <w:szCs w:val="20"/>
        </w:rPr>
        <w:t>Fondo, Reparaciones y Costas)</w:t>
      </w:r>
    </w:p>
    <w:p w14:paraId="72C447BA" w14:textId="77777777" w:rsidR="00907AD9" w:rsidRPr="00520604" w:rsidRDefault="00907AD9" w:rsidP="00907AD9">
      <w:pPr>
        <w:jc w:val="center"/>
        <w:rPr>
          <w:rFonts w:ascii="Verdana" w:hAnsi="Verdana"/>
          <w:sz w:val="20"/>
          <w:szCs w:val="20"/>
        </w:rPr>
      </w:pPr>
      <w:r w:rsidRPr="00520604">
        <w:rPr>
          <w:rFonts w:ascii="Verdana" w:hAnsi="Verdana"/>
          <w:sz w:val="20"/>
          <w:szCs w:val="20"/>
        </w:rPr>
        <w:br/>
      </w:r>
    </w:p>
    <w:p w14:paraId="6F00990D" w14:textId="77777777" w:rsidR="00907AD9" w:rsidRPr="00520604" w:rsidRDefault="00907AD9" w:rsidP="00907AD9">
      <w:pPr>
        <w:jc w:val="both"/>
        <w:rPr>
          <w:rFonts w:ascii="Verdana" w:hAnsi="Verdana"/>
          <w:sz w:val="20"/>
          <w:szCs w:val="20"/>
        </w:rPr>
      </w:pPr>
      <w:r w:rsidRPr="00520604">
        <w:rPr>
          <w:rFonts w:ascii="Verdana" w:hAnsi="Verdana"/>
          <w:sz w:val="20"/>
          <w:szCs w:val="20"/>
        </w:rPr>
        <w:t>He disentido con los puntos declarativos 1 a 3 en la medida en que en ellos se invocan indebidamente como fundamentos ciertos artículos de la Convención Americana sobre Derechos Humanos presuntamente violados: respectivamente, los artículos, 3, 23 y 13. La aplicación de esos artículos hecha por la Corte en este caso va en contra del sentido claro de dichas disposiciones y la fundamentación que se expone es totalmente insuficiente, y aún en un caso prácticamente inexistente.</w:t>
      </w:r>
    </w:p>
    <w:p w14:paraId="04FC6E27" w14:textId="77777777" w:rsidR="00907AD9" w:rsidRPr="00520604" w:rsidRDefault="00907AD9" w:rsidP="00907AD9">
      <w:pPr>
        <w:jc w:val="both"/>
        <w:rPr>
          <w:rFonts w:ascii="Verdana" w:hAnsi="Verdana"/>
          <w:sz w:val="20"/>
          <w:szCs w:val="20"/>
        </w:rPr>
      </w:pPr>
    </w:p>
    <w:p w14:paraId="631A8D55" w14:textId="77777777" w:rsidR="00907AD9" w:rsidRPr="00520604" w:rsidRDefault="00907AD9" w:rsidP="00907AD9">
      <w:pPr>
        <w:jc w:val="both"/>
        <w:rPr>
          <w:rFonts w:ascii="Verdana" w:hAnsi="Verdana"/>
          <w:sz w:val="20"/>
          <w:szCs w:val="20"/>
        </w:rPr>
      </w:pPr>
      <w:r w:rsidRPr="00520604">
        <w:rPr>
          <w:rFonts w:ascii="Verdana" w:hAnsi="Verdana"/>
          <w:sz w:val="20"/>
          <w:szCs w:val="20"/>
        </w:rPr>
        <w:t>Por otro lado, según se verá, los derechos que se pretende proteger mediante la invocación de los artículos 3, 13 y 23 se fundamentan adecuadamente en relación con otras normas de la Convención, ya contenidas en el texto de la sentencia.</w:t>
      </w:r>
    </w:p>
    <w:p w14:paraId="0CACD471" w14:textId="77777777" w:rsidR="00907AD9" w:rsidRPr="00520604" w:rsidRDefault="00907AD9" w:rsidP="00907AD9">
      <w:pPr>
        <w:jc w:val="both"/>
        <w:rPr>
          <w:rFonts w:ascii="Verdana" w:hAnsi="Verdana"/>
          <w:sz w:val="20"/>
          <w:szCs w:val="20"/>
        </w:rPr>
      </w:pPr>
    </w:p>
    <w:p w14:paraId="5D5EAF5E" w14:textId="77777777" w:rsidR="00907AD9" w:rsidRPr="00520604" w:rsidRDefault="00907AD9" w:rsidP="00907AD9">
      <w:pPr>
        <w:numPr>
          <w:ilvl w:val="0"/>
          <w:numId w:val="54"/>
        </w:numPr>
        <w:spacing w:after="160" w:line="259" w:lineRule="auto"/>
        <w:ind w:left="0" w:firstLine="0"/>
        <w:contextualSpacing/>
        <w:jc w:val="center"/>
        <w:rPr>
          <w:rFonts w:ascii="Verdana" w:hAnsi="Verdana"/>
          <w:b/>
          <w:sz w:val="20"/>
          <w:szCs w:val="20"/>
        </w:rPr>
      </w:pPr>
      <w:r w:rsidRPr="00520604">
        <w:rPr>
          <w:rFonts w:ascii="Verdana" w:hAnsi="Verdana"/>
          <w:b/>
          <w:sz w:val="20"/>
          <w:szCs w:val="20"/>
        </w:rPr>
        <w:t>No se violó el artículo 3 (Derecho al Reconocimiento</w:t>
      </w:r>
      <w:r w:rsidRPr="00520604">
        <w:rPr>
          <w:rFonts w:ascii="Verdana" w:hAnsi="Verdana"/>
          <w:b/>
          <w:sz w:val="20"/>
          <w:szCs w:val="20"/>
        </w:rPr>
        <w:br/>
        <w:t>de la Personalidad Jurídica)</w:t>
      </w:r>
    </w:p>
    <w:p w14:paraId="147A8B75" w14:textId="77777777" w:rsidR="00907AD9" w:rsidRPr="00520604" w:rsidRDefault="00907AD9" w:rsidP="00907AD9">
      <w:pPr>
        <w:contextualSpacing/>
        <w:rPr>
          <w:rFonts w:ascii="Verdana" w:hAnsi="Verdana"/>
          <w:b/>
          <w:sz w:val="20"/>
          <w:szCs w:val="20"/>
        </w:rPr>
      </w:pPr>
    </w:p>
    <w:p w14:paraId="3C44C6F8" w14:textId="77777777" w:rsidR="00907AD9" w:rsidRPr="00520604" w:rsidRDefault="00907AD9" w:rsidP="00907AD9">
      <w:pPr>
        <w:jc w:val="both"/>
        <w:rPr>
          <w:rFonts w:ascii="Verdana" w:hAnsi="Verdana"/>
          <w:sz w:val="20"/>
          <w:szCs w:val="20"/>
        </w:rPr>
      </w:pPr>
      <w:r w:rsidRPr="00520604">
        <w:rPr>
          <w:rFonts w:ascii="Verdana" w:hAnsi="Verdana"/>
          <w:sz w:val="20"/>
          <w:szCs w:val="20"/>
        </w:rPr>
        <w:t>El Art. 3 dispone:</w:t>
      </w:r>
    </w:p>
    <w:p w14:paraId="3591EC2A" w14:textId="77777777" w:rsidR="00907AD9" w:rsidRPr="00520604" w:rsidRDefault="00907AD9" w:rsidP="00907AD9">
      <w:pPr>
        <w:jc w:val="both"/>
        <w:rPr>
          <w:rFonts w:ascii="Verdana" w:hAnsi="Verdana"/>
          <w:sz w:val="20"/>
          <w:szCs w:val="20"/>
        </w:rPr>
      </w:pPr>
    </w:p>
    <w:p w14:paraId="3A1DD974" w14:textId="77777777" w:rsidR="00907AD9" w:rsidRPr="00520604" w:rsidRDefault="00907AD9" w:rsidP="00907AD9">
      <w:pPr>
        <w:ind w:left="709"/>
        <w:jc w:val="center"/>
        <w:rPr>
          <w:rFonts w:ascii="Verdana" w:hAnsi="Verdana"/>
          <w:i/>
          <w:sz w:val="20"/>
          <w:szCs w:val="20"/>
        </w:rPr>
      </w:pPr>
      <w:r w:rsidRPr="00520604">
        <w:rPr>
          <w:rFonts w:ascii="Verdana" w:hAnsi="Verdana"/>
          <w:i/>
          <w:sz w:val="20"/>
          <w:szCs w:val="20"/>
        </w:rPr>
        <w:t>Artículo 3.  Derecho al Reconocimiento de la Personalidad Jurídica</w:t>
      </w:r>
    </w:p>
    <w:p w14:paraId="262C1AF2" w14:textId="77777777" w:rsidR="00907AD9" w:rsidRPr="00520604" w:rsidRDefault="00907AD9" w:rsidP="00907AD9">
      <w:pPr>
        <w:ind w:left="709"/>
        <w:rPr>
          <w:rFonts w:ascii="Verdana" w:hAnsi="Verdana"/>
          <w:i/>
          <w:sz w:val="20"/>
          <w:szCs w:val="20"/>
        </w:rPr>
      </w:pPr>
      <w:r w:rsidRPr="00520604">
        <w:rPr>
          <w:rFonts w:ascii="Verdana" w:hAnsi="Verdana"/>
          <w:i/>
          <w:sz w:val="20"/>
          <w:szCs w:val="20"/>
        </w:rPr>
        <w:t>Toda persona tiene derecho al reconocimiento de su personalidad jurídica.</w:t>
      </w:r>
    </w:p>
    <w:p w14:paraId="05128DA9" w14:textId="77777777" w:rsidR="00907AD9" w:rsidRPr="00520604" w:rsidRDefault="00907AD9" w:rsidP="00907AD9">
      <w:pPr>
        <w:jc w:val="both"/>
        <w:rPr>
          <w:rFonts w:ascii="Verdana" w:hAnsi="Verdana"/>
          <w:sz w:val="20"/>
          <w:szCs w:val="20"/>
        </w:rPr>
      </w:pPr>
    </w:p>
    <w:p w14:paraId="33D13468" w14:textId="77777777" w:rsidR="00907AD9" w:rsidRPr="00520604" w:rsidRDefault="00907AD9" w:rsidP="00907AD9">
      <w:pPr>
        <w:jc w:val="both"/>
        <w:rPr>
          <w:rFonts w:ascii="Verdana" w:hAnsi="Verdana"/>
          <w:sz w:val="20"/>
          <w:szCs w:val="20"/>
        </w:rPr>
      </w:pPr>
      <w:r w:rsidRPr="00520604">
        <w:rPr>
          <w:rFonts w:ascii="Verdana" w:hAnsi="Verdana"/>
          <w:sz w:val="20"/>
          <w:szCs w:val="20"/>
        </w:rPr>
        <w:t>Por su parte, el art. 1.2 dispone:</w:t>
      </w:r>
    </w:p>
    <w:p w14:paraId="7BD45378" w14:textId="77777777" w:rsidR="00907AD9" w:rsidRPr="00520604" w:rsidRDefault="00907AD9" w:rsidP="00907AD9">
      <w:pPr>
        <w:jc w:val="both"/>
        <w:rPr>
          <w:rFonts w:ascii="Verdana" w:hAnsi="Verdana"/>
          <w:sz w:val="20"/>
          <w:szCs w:val="20"/>
        </w:rPr>
      </w:pPr>
    </w:p>
    <w:p w14:paraId="1B930CB2" w14:textId="77777777" w:rsidR="00907AD9" w:rsidRPr="00520604" w:rsidRDefault="00907AD9" w:rsidP="00907AD9">
      <w:pPr>
        <w:ind w:left="708"/>
        <w:jc w:val="both"/>
        <w:rPr>
          <w:rFonts w:ascii="Verdana" w:hAnsi="Verdana"/>
          <w:i/>
          <w:sz w:val="20"/>
          <w:szCs w:val="20"/>
        </w:rPr>
      </w:pPr>
      <w:r w:rsidRPr="00520604">
        <w:rPr>
          <w:rFonts w:ascii="Verdana" w:hAnsi="Verdana"/>
          <w:i/>
          <w:sz w:val="20"/>
          <w:szCs w:val="20"/>
        </w:rPr>
        <w:t>2. Para los efectos de esta Convención, persona es todo ser humano.</w:t>
      </w:r>
    </w:p>
    <w:p w14:paraId="735AC3EE" w14:textId="77777777" w:rsidR="00907AD9" w:rsidRPr="00520604" w:rsidRDefault="00907AD9" w:rsidP="00907AD9">
      <w:pPr>
        <w:jc w:val="both"/>
        <w:rPr>
          <w:rFonts w:ascii="Verdana" w:hAnsi="Verdana"/>
          <w:i/>
          <w:sz w:val="20"/>
          <w:szCs w:val="20"/>
        </w:rPr>
      </w:pPr>
    </w:p>
    <w:p w14:paraId="7C1B754C" w14:textId="77777777" w:rsidR="00907AD9" w:rsidRPr="00520604" w:rsidRDefault="00907AD9" w:rsidP="00907AD9">
      <w:pPr>
        <w:jc w:val="both"/>
        <w:rPr>
          <w:rFonts w:ascii="Verdana" w:hAnsi="Verdana"/>
          <w:sz w:val="20"/>
          <w:szCs w:val="20"/>
        </w:rPr>
      </w:pPr>
      <w:r w:rsidRPr="00520604">
        <w:rPr>
          <w:rFonts w:ascii="Verdana" w:hAnsi="Verdana"/>
          <w:sz w:val="20"/>
          <w:szCs w:val="20"/>
        </w:rPr>
        <w:t>Significativamente, ninguna de esas disposiciones ha sido transcripta en el texto de la sentencia. Quizás la razón para esa injustificable omisión esté en el hecho de que basta leer el artículo 3 y el artículo 1.2 para advertir que el derecho al reconocimiento de la personalidad jurídica es uno de los “</w:t>
      </w:r>
      <w:r w:rsidRPr="00520604">
        <w:rPr>
          <w:rFonts w:ascii="Verdana" w:eastAsia="Times New Roman" w:hAnsi="Verdana"/>
          <w:color w:val="000000"/>
          <w:sz w:val="20"/>
          <w:szCs w:val="20"/>
        </w:rPr>
        <w:t xml:space="preserve">derechos y garantías que son inherentes </w:t>
      </w:r>
      <w:r w:rsidRPr="00520604">
        <w:rPr>
          <w:rFonts w:ascii="Verdana" w:eastAsia="Times New Roman" w:hAnsi="Verdana"/>
          <w:i/>
          <w:color w:val="000000"/>
          <w:sz w:val="20"/>
          <w:szCs w:val="20"/>
        </w:rPr>
        <w:t>al ser humano</w:t>
      </w:r>
      <w:r w:rsidRPr="00520604">
        <w:rPr>
          <w:rFonts w:ascii="Verdana" w:eastAsia="Times New Roman" w:hAnsi="Verdana"/>
          <w:color w:val="000000"/>
          <w:sz w:val="20"/>
          <w:szCs w:val="20"/>
        </w:rPr>
        <w:t xml:space="preserve">” (art. 29 c)), </w:t>
      </w:r>
      <w:r w:rsidRPr="00520604">
        <w:rPr>
          <w:rFonts w:ascii="Verdana" w:hAnsi="Verdana"/>
          <w:sz w:val="20"/>
          <w:szCs w:val="20"/>
        </w:rPr>
        <w:t>que no puede ser suspendido en los casos de emergencia (art. 27.2).</w:t>
      </w:r>
    </w:p>
    <w:p w14:paraId="446FDDC5" w14:textId="77777777" w:rsidR="00907AD9" w:rsidRPr="00520604" w:rsidRDefault="00907AD9" w:rsidP="00907AD9">
      <w:pPr>
        <w:jc w:val="both"/>
        <w:rPr>
          <w:rFonts w:ascii="Verdana" w:hAnsi="Verdana"/>
          <w:sz w:val="20"/>
          <w:szCs w:val="20"/>
        </w:rPr>
      </w:pPr>
    </w:p>
    <w:p w14:paraId="129B9D78"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En consecuencia, el artículo 3 no puede servir de fundamento para el otorgamiento o reconocimiento de </w:t>
      </w:r>
      <w:r w:rsidRPr="00520604">
        <w:rPr>
          <w:rFonts w:ascii="Verdana" w:hAnsi="Verdana"/>
          <w:i/>
          <w:sz w:val="20"/>
          <w:szCs w:val="20"/>
        </w:rPr>
        <w:t>personería jurídica</w:t>
      </w:r>
      <w:r w:rsidRPr="00520604">
        <w:rPr>
          <w:rFonts w:ascii="Verdana" w:hAnsi="Verdana"/>
          <w:sz w:val="20"/>
          <w:szCs w:val="20"/>
        </w:rPr>
        <w:t xml:space="preserve"> a grupos o entidades colectivas, sean o no comunidades o pueblos indígenas o tribales. </w:t>
      </w:r>
    </w:p>
    <w:p w14:paraId="76F4C255" w14:textId="77777777" w:rsidR="00907AD9" w:rsidRPr="00520604" w:rsidRDefault="00907AD9" w:rsidP="00907AD9">
      <w:pPr>
        <w:jc w:val="both"/>
        <w:rPr>
          <w:rFonts w:ascii="Verdana" w:hAnsi="Verdana"/>
          <w:sz w:val="20"/>
          <w:szCs w:val="20"/>
        </w:rPr>
      </w:pPr>
    </w:p>
    <w:p w14:paraId="26D02A7F"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Distinto es el tema del reconocimiento de la personalidad jurídica de los seres humanos individuales que componen ese pueblo o comunidad, como lo hizo la Corte en el caso de la </w:t>
      </w:r>
      <w:r w:rsidRPr="00520604">
        <w:rPr>
          <w:rFonts w:ascii="Verdana" w:hAnsi="Verdana"/>
          <w:i/>
          <w:sz w:val="20"/>
          <w:szCs w:val="20"/>
        </w:rPr>
        <w:t>Comunidad Indígena</w:t>
      </w:r>
      <w:r w:rsidRPr="00520604">
        <w:rPr>
          <w:rFonts w:ascii="Verdana" w:hAnsi="Verdana"/>
          <w:sz w:val="20"/>
          <w:szCs w:val="20"/>
        </w:rPr>
        <w:t xml:space="preserve"> </w:t>
      </w:r>
      <w:r w:rsidRPr="00520604">
        <w:rPr>
          <w:rFonts w:ascii="Verdana" w:hAnsi="Verdana"/>
          <w:i/>
          <w:sz w:val="20"/>
          <w:szCs w:val="20"/>
        </w:rPr>
        <w:t xml:space="preserve">Sawhoyamaxa, </w:t>
      </w:r>
      <w:r w:rsidRPr="00520604">
        <w:rPr>
          <w:rFonts w:ascii="Verdana" w:hAnsi="Verdana"/>
          <w:sz w:val="20"/>
          <w:szCs w:val="20"/>
        </w:rPr>
        <w:t>en el cual declaró violado el artículo 3 en perjuicio de varios miembros individuales de dicha comunidad que “</w:t>
      </w:r>
      <w:r w:rsidRPr="00520604">
        <w:rPr>
          <w:rFonts w:ascii="Verdana" w:hAnsi="Verdana"/>
          <w:i/>
          <w:sz w:val="20"/>
          <w:szCs w:val="20"/>
        </w:rPr>
        <w:t xml:space="preserve">no contaron con registros de su </w:t>
      </w:r>
      <w:r w:rsidRPr="00520604">
        <w:rPr>
          <w:rFonts w:ascii="Verdana" w:hAnsi="Verdana"/>
          <w:i/>
          <w:sz w:val="20"/>
          <w:szCs w:val="20"/>
        </w:rPr>
        <w:lastRenderedPageBreak/>
        <w:t xml:space="preserve">nacimiento y defunción, ni con algún otro documento proveído por el Estado capaz de demostrar su existencia e identidad”. </w:t>
      </w:r>
      <w:r w:rsidRPr="00520604">
        <w:rPr>
          <w:rFonts w:ascii="Verdana" w:hAnsi="Verdana"/>
          <w:sz w:val="20"/>
          <w:szCs w:val="20"/>
        </w:rPr>
        <w:t>Dijo la Corte:</w:t>
      </w:r>
    </w:p>
    <w:p w14:paraId="1AFB081B" w14:textId="77777777" w:rsidR="00907AD9" w:rsidRPr="00520604" w:rsidRDefault="00907AD9" w:rsidP="00907AD9">
      <w:pPr>
        <w:jc w:val="both"/>
        <w:rPr>
          <w:rFonts w:ascii="Verdana" w:hAnsi="Verdana"/>
          <w:sz w:val="20"/>
          <w:szCs w:val="20"/>
        </w:rPr>
      </w:pPr>
    </w:p>
    <w:p w14:paraId="2B72AF9A" w14:textId="77777777" w:rsidR="00907AD9" w:rsidRPr="00520604" w:rsidRDefault="00907AD9" w:rsidP="00907AD9">
      <w:pPr>
        <w:ind w:left="709"/>
        <w:jc w:val="both"/>
        <w:rPr>
          <w:rFonts w:ascii="Verdana" w:hAnsi="Verdana"/>
          <w:sz w:val="20"/>
          <w:szCs w:val="20"/>
        </w:rPr>
      </w:pPr>
      <w:r w:rsidRPr="00520604">
        <w:rPr>
          <w:rFonts w:ascii="Verdana" w:hAnsi="Verdana"/>
          <w:sz w:val="20"/>
          <w:szCs w:val="20"/>
        </w:rPr>
        <w:t>188. El derecho al reconocimiento de la personalidad jurídica representa un parámetro para determinar si una persona es titular o no de los derechos de que se trate, y si los puede ejercer. La violación de aquel reconocimiento supone desconocer en términos absolutos la posibilidad de ser titular de esos derechos y contraer obligaciones, y hace al individuo vulnerable frente a la no observancia de los mismos por parte del Estado o de particulares.</w:t>
      </w:r>
    </w:p>
    <w:p w14:paraId="69C77ED5" w14:textId="77777777" w:rsidR="00907AD9" w:rsidRPr="00520604" w:rsidRDefault="00907AD9" w:rsidP="00907AD9">
      <w:pPr>
        <w:ind w:left="709"/>
        <w:jc w:val="both"/>
        <w:rPr>
          <w:rFonts w:ascii="Verdana" w:hAnsi="Verdana"/>
          <w:sz w:val="20"/>
          <w:szCs w:val="20"/>
        </w:rPr>
      </w:pPr>
    </w:p>
    <w:p w14:paraId="2559B40E" w14:textId="77777777" w:rsidR="00907AD9" w:rsidRPr="00520604" w:rsidRDefault="00907AD9" w:rsidP="00907AD9">
      <w:pPr>
        <w:ind w:left="709"/>
        <w:jc w:val="both"/>
        <w:rPr>
          <w:rFonts w:ascii="Verdana" w:hAnsi="Verdana"/>
          <w:sz w:val="20"/>
          <w:szCs w:val="20"/>
        </w:rPr>
      </w:pPr>
      <w:r w:rsidRPr="00520604">
        <w:rPr>
          <w:rFonts w:ascii="Verdana" w:hAnsi="Verdana"/>
          <w:sz w:val="20"/>
          <w:szCs w:val="20"/>
        </w:rPr>
        <w:t>189. Es deber del Estado procurar los medios y condiciones jurídicas en general, para que el derecho al reconocimiento de la personalidad jurídica pueda ser ejercido por sus titulares. En especial, el Estado se encuentra obligado a garantizar a aquellas personas en situación de vulnerabilidad, marginalización y discriminación, las condiciones jurídicas y administrativas que les aseguren el ejercicio de este derecho, en atención al principio de igualdad ante la ley.</w:t>
      </w:r>
    </w:p>
    <w:p w14:paraId="7D5D4E88" w14:textId="77777777" w:rsidR="00907AD9" w:rsidRPr="00520604" w:rsidRDefault="00907AD9" w:rsidP="00907AD9">
      <w:pPr>
        <w:jc w:val="both"/>
        <w:rPr>
          <w:rFonts w:ascii="Verdana" w:hAnsi="Verdana"/>
          <w:sz w:val="20"/>
          <w:szCs w:val="20"/>
        </w:rPr>
      </w:pPr>
    </w:p>
    <w:p w14:paraId="7F9AA240" w14:textId="77777777" w:rsidR="00907AD9" w:rsidRPr="00520604" w:rsidRDefault="00907AD9" w:rsidP="00907AD9">
      <w:pPr>
        <w:ind w:left="709"/>
        <w:jc w:val="both"/>
        <w:rPr>
          <w:rFonts w:ascii="Verdana" w:hAnsi="Verdana"/>
          <w:sz w:val="20"/>
          <w:szCs w:val="20"/>
        </w:rPr>
      </w:pPr>
      <w:r w:rsidRPr="00520604">
        <w:rPr>
          <w:rFonts w:ascii="Verdana" w:hAnsi="Verdana"/>
          <w:sz w:val="20"/>
          <w:szCs w:val="20"/>
        </w:rPr>
        <w:t>190. En el presente caso, la Corte ha tenido por demostrado que 18 de los 19 miembros de la Comunidad Sawhoyamaxa que fallecieron como consecuencia del incumplimiento por parte del Estado de su deber de prevención de su derecho a la vida (</w:t>
      </w:r>
      <w:r w:rsidRPr="00520604">
        <w:rPr>
          <w:rFonts w:ascii="Verdana" w:hAnsi="Verdana"/>
          <w:i/>
          <w:sz w:val="20"/>
          <w:szCs w:val="20"/>
        </w:rPr>
        <w:t>supra</w:t>
      </w:r>
      <w:r w:rsidRPr="00520604">
        <w:rPr>
          <w:rFonts w:ascii="Verdana" w:hAnsi="Verdana"/>
          <w:sz w:val="20"/>
          <w:szCs w:val="20"/>
        </w:rPr>
        <w:t xml:space="preserve"> párr. 178), no contaron con registros de su nacimiento y defunción, ni con algún otro documento proveído por el Estado capaz de demostrar su existencia e identidad.</w:t>
      </w:r>
    </w:p>
    <w:p w14:paraId="6A4F7233" w14:textId="77777777" w:rsidR="00907AD9" w:rsidRPr="00520604" w:rsidRDefault="00907AD9" w:rsidP="00907AD9">
      <w:pPr>
        <w:ind w:left="709"/>
        <w:jc w:val="both"/>
        <w:rPr>
          <w:rFonts w:ascii="Verdana" w:hAnsi="Verdana"/>
          <w:sz w:val="20"/>
          <w:szCs w:val="20"/>
        </w:rPr>
      </w:pPr>
      <w:r w:rsidRPr="00520604">
        <w:rPr>
          <w:rFonts w:ascii="Verdana" w:hAnsi="Verdana"/>
          <w:sz w:val="20"/>
          <w:szCs w:val="20"/>
        </w:rPr>
        <w:t>(…)</w:t>
      </w:r>
    </w:p>
    <w:p w14:paraId="04DCFF99" w14:textId="77777777" w:rsidR="00907AD9" w:rsidRPr="00520604" w:rsidRDefault="00907AD9" w:rsidP="00907AD9">
      <w:pPr>
        <w:ind w:left="709"/>
        <w:jc w:val="both"/>
        <w:rPr>
          <w:rFonts w:ascii="Verdana" w:hAnsi="Verdana"/>
          <w:sz w:val="20"/>
          <w:szCs w:val="20"/>
        </w:rPr>
      </w:pPr>
    </w:p>
    <w:p w14:paraId="2D4647BB" w14:textId="77777777" w:rsidR="00907AD9" w:rsidRPr="00520604" w:rsidRDefault="00907AD9" w:rsidP="00907AD9">
      <w:pPr>
        <w:ind w:left="709"/>
        <w:jc w:val="both"/>
        <w:rPr>
          <w:rFonts w:ascii="Verdana" w:hAnsi="Verdana"/>
          <w:i/>
          <w:sz w:val="20"/>
          <w:szCs w:val="20"/>
        </w:rPr>
      </w:pPr>
      <w:r w:rsidRPr="00520604">
        <w:rPr>
          <w:rFonts w:ascii="Verdana" w:hAnsi="Verdana"/>
          <w:sz w:val="20"/>
          <w:szCs w:val="20"/>
        </w:rPr>
        <w:t>194.</w:t>
      </w:r>
      <w:r w:rsidRPr="00520604">
        <w:rPr>
          <w:rFonts w:ascii="Verdana" w:hAnsi="Verdana"/>
          <w:i/>
          <w:sz w:val="20"/>
          <w:szCs w:val="20"/>
        </w:rPr>
        <w:t xml:space="preserve"> Con base en las consideraciones anteriores, y sin perjuicio de que otros miembros de la Comunidad se encuentren en la misma situación, la Corte estima que el Estado violó el derecho al reconocimiento de la personalidad jurídica consagrado en el artículo 3 de la Convención Americana, en perjuicio de NN Galarza, Rosana López, Eduardo Cáceres, Eulalio Cáceres, Esteban González Aponte, NN González Aponte, NN Yegros, Jenny Toledo, Guido Ruiz Díaz, NN González, Luis Torres Chávez, Diego Andrés Ayala, Francisca Britez, Silvia Adela Chávez, Derlis Armando Torres, Juan Ramón González, Arnaldo Galarza y Fátima Galarza</w:t>
      </w:r>
      <w:r w:rsidRPr="00520604">
        <w:rPr>
          <w:rFonts w:ascii="Verdana" w:hAnsi="Verdana"/>
          <w:sz w:val="20"/>
          <w:szCs w:val="20"/>
          <w:vertAlign w:val="superscript"/>
        </w:rPr>
        <w:footnoteReference w:id="367"/>
      </w:r>
      <w:r w:rsidRPr="00520604">
        <w:rPr>
          <w:rFonts w:ascii="Verdana" w:hAnsi="Verdana"/>
          <w:i/>
          <w:sz w:val="20"/>
          <w:szCs w:val="20"/>
        </w:rPr>
        <w:t>.</w:t>
      </w:r>
    </w:p>
    <w:p w14:paraId="7C3A9EC8" w14:textId="77777777" w:rsidR="00907AD9" w:rsidRPr="00520604" w:rsidRDefault="00907AD9" w:rsidP="00907AD9">
      <w:pPr>
        <w:ind w:left="709"/>
        <w:jc w:val="both"/>
        <w:rPr>
          <w:rFonts w:ascii="Verdana" w:hAnsi="Verdana"/>
          <w:i/>
          <w:sz w:val="20"/>
          <w:szCs w:val="20"/>
        </w:rPr>
      </w:pPr>
    </w:p>
    <w:p w14:paraId="6FEA544B"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El artículo 3 ha sido también interpretado y aplicado correctamente –es decir, como un derecho fundamental de los seres humanos– en numerosos casos. Por ejemplo, en el </w:t>
      </w:r>
      <w:r w:rsidRPr="00520604">
        <w:rPr>
          <w:rFonts w:ascii="Verdana" w:hAnsi="Verdana"/>
          <w:i/>
          <w:sz w:val="20"/>
          <w:szCs w:val="20"/>
        </w:rPr>
        <w:t>Caso de las Niñas Yean y Bosico vs. República Dominicana</w:t>
      </w:r>
      <w:r w:rsidRPr="00520604">
        <w:rPr>
          <w:rFonts w:ascii="Verdana" w:hAnsi="Verdana"/>
          <w:sz w:val="20"/>
          <w:szCs w:val="20"/>
        </w:rPr>
        <w:t>, la Corte determinó lo siguiente:</w:t>
      </w:r>
    </w:p>
    <w:p w14:paraId="0BB0A1D5" w14:textId="77777777" w:rsidR="00907AD9" w:rsidRPr="00520604" w:rsidRDefault="00907AD9" w:rsidP="00907AD9">
      <w:pPr>
        <w:jc w:val="both"/>
        <w:rPr>
          <w:rFonts w:ascii="Verdana" w:hAnsi="Verdana"/>
          <w:sz w:val="20"/>
          <w:szCs w:val="20"/>
        </w:rPr>
      </w:pPr>
    </w:p>
    <w:p w14:paraId="123D211A" w14:textId="77777777" w:rsidR="00907AD9" w:rsidRPr="00520604" w:rsidRDefault="00907AD9" w:rsidP="00907AD9">
      <w:pPr>
        <w:ind w:left="708"/>
        <w:jc w:val="both"/>
        <w:rPr>
          <w:rFonts w:ascii="Verdana" w:hAnsi="Verdana"/>
          <w:sz w:val="20"/>
          <w:szCs w:val="20"/>
        </w:rPr>
      </w:pPr>
      <w:r w:rsidRPr="00520604">
        <w:rPr>
          <w:rFonts w:ascii="Verdana" w:hAnsi="Verdana"/>
          <w:sz w:val="20"/>
          <w:szCs w:val="20"/>
        </w:rPr>
        <w:t xml:space="preserve">178. Una persona apátrida, </w:t>
      </w:r>
      <w:r w:rsidRPr="00520604">
        <w:rPr>
          <w:rFonts w:ascii="Verdana" w:hAnsi="Verdana"/>
          <w:i/>
          <w:sz w:val="20"/>
          <w:szCs w:val="20"/>
        </w:rPr>
        <w:t>ex definitione</w:t>
      </w:r>
      <w:r w:rsidRPr="00520604">
        <w:rPr>
          <w:rFonts w:ascii="Verdana" w:hAnsi="Verdana"/>
          <w:sz w:val="20"/>
          <w:szCs w:val="20"/>
        </w:rPr>
        <w:t xml:space="preserve">, no tiene personalidad jurídica reconocida, ya que no ha establecido un vínculo jurídico-político con ningún Estado, por lo que la nacionalidad es un prerrequisito del reconocimiento de la personalidad jurídica. </w:t>
      </w:r>
    </w:p>
    <w:p w14:paraId="4E2BA92D" w14:textId="77777777" w:rsidR="00907AD9" w:rsidRPr="00520604" w:rsidRDefault="00907AD9" w:rsidP="00907AD9">
      <w:pPr>
        <w:ind w:left="708"/>
        <w:jc w:val="both"/>
        <w:rPr>
          <w:rFonts w:ascii="Verdana" w:hAnsi="Verdana"/>
          <w:sz w:val="20"/>
          <w:szCs w:val="20"/>
        </w:rPr>
      </w:pPr>
    </w:p>
    <w:p w14:paraId="7C060F2B" w14:textId="77777777" w:rsidR="00907AD9" w:rsidRPr="00520604" w:rsidRDefault="00907AD9" w:rsidP="00907AD9">
      <w:pPr>
        <w:ind w:left="708"/>
        <w:jc w:val="both"/>
        <w:rPr>
          <w:rFonts w:ascii="Verdana" w:hAnsi="Verdana"/>
          <w:sz w:val="20"/>
          <w:szCs w:val="20"/>
        </w:rPr>
      </w:pPr>
      <w:r w:rsidRPr="00520604">
        <w:rPr>
          <w:rFonts w:ascii="Verdana" w:hAnsi="Verdana"/>
          <w:sz w:val="20"/>
          <w:szCs w:val="20"/>
        </w:rPr>
        <w:t xml:space="preserve">179. La Corte estima que la falta del reconocimiento de la personalidad jurídica lesiona la dignidad humana, ya que niega de forma absoluta su condición de sujeto de derechos y hace al individuo vulnerable frente a la no observancia de sus derechos por el Estado o por particulares. </w:t>
      </w:r>
    </w:p>
    <w:p w14:paraId="0F80CD13" w14:textId="77777777" w:rsidR="00907AD9" w:rsidRPr="00520604" w:rsidRDefault="00907AD9" w:rsidP="00907AD9">
      <w:pPr>
        <w:ind w:left="708"/>
        <w:jc w:val="both"/>
        <w:rPr>
          <w:rFonts w:ascii="Verdana" w:hAnsi="Verdana"/>
          <w:sz w:val="20"/>
          <w:szCs w:val="20"/>
        </w:rPr>
      </w:pPr>
    </w:p>
    <w:p w14:paraId="5B480D52" w14:textId="77777777" w:rsidR="00907AD9" w:rsidRPr="00520604" w:rsidRDefault="00907AD9" w:rsidP="00907AD9">
      <w:pPr>
        <w:ind w:left="708"/>
        <w:jc w:val="both"/>
        <w:rPr>
          <w:rFonts w:ascii="Verdana" w:hAnsi="Verdana"/>
          <w:sz w:val="20"/>
          <w:szCs w:val="20"/>
        </w:rPr>
      </w:pPr>
      <w:r w:rsidRPr="00520604">
        <w:rPr>
          <w:rFonts w:ascii="Verdana" w:hAnsi="Verdana"/>
          <w:sz w:val="20"/>
          <w:szCs w:val="20"/>
        </w:rPr>
        <w:t xml:space="preserve">180. En el caso concreto, el Estado mantuvo a las niñas Yean y Bosico en un limbo legal en que, si bien las niñas existían y se hallaban insertadas en un determinado contexto </w:t>
      </w:r>
      <w:r w:rsidRPr="00520604">
        <w:rPr>
          <w:rFonts w:ascii="Verdana" w:hAnsi="Verdana"/>
          <w:sz w:val="20"/>
          <w:szCs w:val="20"/>
        </w:rPr>
        <w:lastRenderedPageBreak/>
        <w:t>social, su existencia misma no estaba jurídicamente reconocida, es decir, no tenían personalidad jurídica</w:t>
      </w:r>
      <w:r w:rsidRPr="00520604">
        <w:rPr>
          <w:rFonts w:ascii="Verdana" w:hAnsi="Verdana"/>
          <w:sz w:val="20"/>
          <w:szCs w:val="20"/>
          <w:vertAlign w:val="superscript"/>
        </w:rPr>
        <w:footnoteReference w:id="368"/>
      </w:r>
      <w:r w:rsidRPr="00520604">
        <w:rPr>
          <w:rFonts w:ascii="Verdana" w:hAnsi="Verdana"/>
          <w:sz w:val="20"/>
          <w:szCs w:val="20"/>
        </w:rPr>
        <w:t>.</w:t>
      </w:r>
    </w:p>
    <w:p w14:paraId="7633DE33" w14:textId="77777777" w:rsidR="00907AD9" w:rsidRPr="00520604" w:rsidRDefault="00907AD9" w:rsidP="00907AD9">
      <w:pPr>
        <w:ind w:left="708"/>
        <w:jc w:val="both"/>
        <w:rPr>
          <w:rFonts w:ascii="Verdana" w:hAnsi="Verdana"/>
          <w:sz w:val="20"/>
          <w:szCs w:val="20"/>
        </w:rPr>
      </w:pPr>
    </w:p>
    <w:p w14:paraId="3EE03B72"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La Corte también ha declarado, con toda justificación, la violación del artículo 3 en los casos de desapariciones forzosas. En el caso </w:t>
      </w:r>
      <w:r w:rsidRPr="00520604">
        <w:rPr>
          <w:rFonts w:ascii="Verdana" w:hAnsi="Verdana"/>
          <w:i/>
          <w:sz w:val="20"/>
          <w:szCs w:val="20"/>
        </w:rPr>
        <w:t>Anzualdo Castro vs. Perú</w:t>
      </w:r>
      <w:r w:rsidRPr="00520604">
        <w:rPr>
          <w:rFonts w:ascii="Verdana" w:hAnsi="Verdana"/>
          <w:sz w:val="20"/>
          <w:szCs w:val="20"/>
        </w:rPr>
        <w:t>, que fue el primero en que adoptó esa posición, la Corte explicitó el contenido y el fundamento del artículo 3 y explicó las razones de su aplicación a esos casos:</w:t>
      </w:r>
    </w:p>
    <w:p w14:paraId="3B555410" w14:textId="77777777" w:rsidR="00907AD9" w:rsidRPr="00520604" w:rsidRDefault="00907AD9" w:rsidP="00907AD9">
      <w:pPr>
        <w:jc w:val="both"/>
        <w:rPr>
          <w:rFonts w:ascii="Verdana" w:hAnsi="Verdana"/>
          <w:sz w:val="20"/>
          <w:szCs w:val="20"/>
        </w:rPr>
      </w:pPr>
    </w:p>
    <w:p w14:paraId="5386C6DF" w14:textId="77777777" w:rsidR="00907AD9" w:rsidRPr="00520604" w:rsidRDefault="00907AD9" w:rsidP="00907AD9">
      <w:pPr>
        <w:ind w:left="708"/>
        <w:jc w:val="both"/>
        <w:rPr>
          <w:rFonts w:ascii="Verdana" w:hAnsi="Verdana"/>
          <w:sz w:val="20"/>
          <w:szCs w:val="20"/>
        </w:rPr>
      </w:pPr>
      <w:r w:rsidRPr="00520604">
        <w:rPr>
          <w:rFonts w:ascii="Verdana" w:hAnsi="Verdana"/>
          <w:sz w:val="20"/>
          <w:szCs w:val="20"/>
        </w:rPr>
        <w:t>87. En cuanto a la alegada violación del artículo 3 de la Convención (</w:t>
      </w:r>
      <w:r w:rsidRPr="00520604">
        <w:rPr>
          <w:rFonts w:ascii="Verdana" w:hAnsi="Verdana"/>
          <w:i/>
          <w:sz w:val="20"/>
          <w:szCs w:val="20"/>
        </w:rPr>
        <w:t>supra</w:t>
      </w:r>
      <w:r w:rsidRPr="00520604">
        <w:rPr>
          <w:rFonts w:ascii="Verdana" w:hAnsi="Verdana"/>
          <w:sz w:val="20"/>
          <w:szCs w:val="20"/>
        </w:rPr>
        <w:t xml:space="preserve"> párrs. 56 y 57), la Corte ha considerado que el contenido propio del derecho al reconocimiento de la personalidad jurídica es que se reconozca a la persona en cualquier parte como sujeto de derechos y obligaciones, y a gozar de los derechos civiles fundamentales[, lo cual] implica la capacidad de ser titular de derechos (capacidad y goce) y de deberes; la violación de aquel reconocimiento supone desconocer en términos absolutos la posibilidad de ser titular de [los] derechos y deberes [civiles y fundamentales].</w:t>
      </w:r>
    </w:p>
    <w:p w14:paraId="748849C7" w14:textId="77777777" w:rsidR="00907AD9" w:rsidRPr="00520604" w:rsidRDefault="00907AD9" w:rsidP="00907AD9">
      <w:pPr>
        <w:ind w:left="708"/>
        <w:jc w:val="both"/>
        <w:rPr>
          <w:rFonts w:ascii="Verdana" w:hAnsi="Verdana"/>
          <w:sz w:val="20"/>
          <w:szCs w:val="20"/>
        </w:rPr>
      </w:pPr>
    </w:p>
    <w:p w14:paraId="2B833F4C" w14:textId="77777777" w:rsidR="00907AD9" w:rsidRPr="00520604" w:rsidRDefault="00907AD9" w:rsidP="00907AD9">
      <w:pPr>
        <w:ind w:left="708"/>
        <w:jc w:val="both"/>
        <w:rPr>
          <w:rFonts w:ascii="Verdana" w:hAnsi="Verdana"/>
          <w:sz w:val="20"/>
          <w:szCs w:val="20"/>
        </w:rPr>
      </w:pPr>
      <w:r w:rsidRPr="00520604">
        <w:rPr>
          <w:rFonts w:ascii="Verdana" w:hAnsi="Verdana"/>
          <w:sz w:val="20"/>
          <w:szCs w:val="20"/>
        </w:rPr>
        <w:t>88. Este derecho representa un parámetro para determinar si una persona es titular o no de los derechos de que se trate, y si los puede ejercer, por lo que desconocer aquel reconocimiento hace al individuo vulnerable frente al Estado o particulares. De este modo, el contenido del derecho al reconocimiento de la personalidad jurídica refiere al correlativo deber general del Estado de procurar los medios y condiciones jurídicas para que ese derecho pueda ser ejercido libre y plenamente por sus titulares.</w:t>
      </w:r>
    </w:p>
    <w:p w14:paraId="651FFE94" w14:textId="77777777" w:rsidR="00907AD9" w:rsidRPr="00520604" w:rsidRDefault="00907AD9" w:rsidP="00907AD9">
      <w:pPr>
        <w:ind w:left="708"/>
        <w:jc w:val="both"/>
        <w:rPr>
          <w:rFonts w:ascii="Verdana" w:hAnsi="Verdana"/>
          <w:sz w:val="20"/>
          <w:szCs w:val="20"/>
        </w:rPr>
      </w:pPr>
    </w:p>
    <w:p w14:paraId="177667E8" w14:textId="77777777" w:rsidR="00907AD9" w:rsidRPr="00520604" w:rsidRDefault="00907AD9" w:rsidP="00907AD9">
      <w:pPr>
        <w:ind w:left="708"/>
        <w:jc w:val="both"/>
        <w:rPr>
          <w:rFonts w:ascii="Verdana" w:hAnsi="Verdana"/>
          <w:sz w:val="20"/>
          <w:szCs w:val="20"/>
        </w:rPr>
      </w:pPr>
      <w:r w:rsidRPr="00520604">
        <w:rPr>
          <w:rFonts w:ascii="Verdana" w:hAnsi="Verdana"/>
          <w:sz w:val="20"/>
          <w:szCs w:val="20"/>
        </w:rPr>
        <w:t>89. Sin embargo, en aplicación del principio de efecto útil y de las necesidades de protección en casos de personas y grupos en situación de vulnerabilidad, este Tribunal ha observado el contenido jurídico más amplio de este derecho, al estimar que el Estado se encuentra especialmente “obligado a garantizar a aquellas personas en situación de vulnerabilidad, marginalización y discriminación, las condiciones jurídicas y administrativas que les aseguren el ejercicio de este derecho, en atención al principio de igualdad ante la ley”. […]</w:t>
      </w:r>
    </w:p>
    <w:p w14:paraId="347CF797" w14:textId="77777777" w:rsidR="00907AD9" w:rsidRPr="00520604" w:rsidRDefault="00907AD9" w:rsidP="00907AD9">
      <w:pPr>
        <w:ind w:left="708"/>
        <w:jc w:val="both"/>
        <w:rPr>
          <w:rFonts w:ascii="Verdana" w:hAnsi="Verdana"/>
          <w:i/>
          <w:sz w:val="20"/>
          <w:szCs w:val="20"/>
        </w:rPr>
      </w:pPr>
    </w:p>
    <w:p w14:paraId="39331A32" w14:textId="77777777" w:rsidR="00907AD9" w:rsidRPr="00520604" w:rsidRDefault="00907AD9" w:rsidP="00907AD9">
      <w:pPr>
        <w:tabs>
          <w:tab w:val="left" w:pos="1418"/>
        </w:tabs>
        <w:ind w:left="708"/>
        <w:jc w:val="both"/>
        <w:rPr>
          <w:rFonts w:ascii="Verdana" w:hAnsi="Verdana"/>
          <w:i/>
          <w:sz w:val="20"/>
          <w:szCs w:val="20"/>
        </w:rPr>
      </w:pPr>
      <w:r w:rsidRPr="00520604">
        <w:rPr>
          <w:rFonts w:ascii="Verdana" w:hAnsi="Verdana"/>
          <w:sz w:val="20"/>
          <w:szCs w:val="20"/>
        </w:rPr>
        <w:t xml:space="preserve">90. Ciertamente el contenido jurídico [del derecho al reconocimiento de la personalidad física de cada ser humano] ha sido desarrollado en la jurisprudencia en casos que involucran violaciones de derechos humanos de entidad diferente a la desaparición forzada de personas, puesto que en la mayoría de este tipo de casos el Tribunal ha estimado que no correspondía analizar la violación del artículo 3 de la Convención, por no haber hechos que así lo ameritaran. No obstante, </w:t>
      </w:r>
      <w:r w:rsidRPr="00520604">
        <w:rPr>
          <w:rFonts w:ascii="Verdana" w:hAnsi="Verdana"/>
          <w:i/>
          <w:sz w:val="20"/>
          <w:szCs w:val="20"/>
        </w:rPr>
        <w:t>dado el carácter múltiple y complejo de esta grave violación de derechos humanos, el Tribunal reconsidera su posición anterior y estima posible que, en casos de esta naturaleza, la desaparición forzada puede conllevar una violación específica del referido derecho: más allá de que la persona desaparecida no pueda continuar gozando y ejerciendo otros, y eventualmente todos, los derechos de los cuales también es titular, su desaparición busca no sólo una de las más graves formas de sustracción de una persona de todo ámbito del ordenamiento jurídico, sino también negar su existencia misma y dejarla en una suerte de limbo o situación de indeterminación jurídica ante la sociedad, el Estado e inclusive la comunidad internacional.</w:t>
      </w:r>
    </w:p>
    <w:p w14:paraId="7880CECC" w14:textId="77777777" w:rsidR="00907AD9" w:rsidRPr="00520604" w:rsidRDefault="00907AD9" w:rsidP="00907AD9">
      <w:pPr>
        <w:tabs>
          <w:tab w:val="left" w:pos="1418"/>
        </w:tabs>
        <w:ind w:left="708"/>
        <w:jc w:val="both"/>
        <w:rPr>
          <w:rFonts w:ascii="Verdana" w:hAnsi="Verdana"/>
          <w:i/>
          <w:sz w:val="20"/>
          <w:szCs w:val="20"/>
        </w:rPr>
      </w:pPr>
    </w:p>
    <w:p w14:paraId="008A51C3" w14:textId="77777777" w:rsidR="00907AD9" w:rsidRPr="00520604" w:rsidRDefault="00907AD9" w:rsidP="00907AD9">
      <w:pPr>
        <w:tabs>
          <w:tab w:val="left" w:pos="1418"/>
        </w:tabs>
        <w:ind w:left="708"/>
        <w:jc w:val="both"/>
        <w:rPr>
          <w:rFonts w:ascii="Verdana" w:hAnsi="Verdana"/>
          <w:sz w:val="20"/>
          <w:szCs w:val="20"/>
        </w:rPr>
      </w:pPr>
      <w:r w:rsidRPr="00520604">
        <w:rPr>
          <w:rFonts w:ascii="Verdana" w:hAnsi="Verdana"/>
          <w:sz w:val="20"/>
          <w:szCs w:val="20"/>
        </w:rPr>
        <w:lastRenderedPageBreak/>
        <w:t>91. De este modo, la Corte tiene presente que una de las características de la desaparición forzada, a diferencia de la ejecución extrajudicial, es que conlleva la negativa del Estado de reconocer que la víctima está bajo su control y de proporcionar información al respecto, con el propósito de generar incertidumbre acerca de su paradero, vida o muerte, de provocar intimidación y supresión de derechos (</w:t>
      </w:r>
      <w:r w:rsidRPr="00520604">
        <w:rPr>
          <w:rFonts w:ascii="Verdana" w:hAnsi="Verdana"/>
          <w:i/>
          <w:sz w:val="20"/>
          <w:szCs w:val="20"/>
        </w:rPr>
        <w:t>supra</w:t>
      </w:r>
      <w:r w:rsidRPr="00520604">
        <w:rPr>
          <w:rFonts w:ascii="Verdana" w:hAnsi="Verdana"/>
          <w:sz w:val="20"/>
          <w:szCs w:val="20"/>
        </w:rPr>
        <w:t xml:space="preserve"> párrs. 60 y 80).</w:t>
      </w:r>
    </w:p>
    <w:p w14:paraId="556F5DA9" w14:textId="77777777" w:rsidR="00907AD9" w:rsidRPr="00520604" w:rsidRDefault="00907AD9" w:rsidP="00907AD9">
      <w:pPr>
        <w:tabs>
          <w:tab w:val="left" w:pos="1418"/>
        </w:tabs>
        <w:ind w:left="708"/>
        <w:jc w:val="both"/>
        <w:rPr>
          <w:rFonts w:ascii="Verdana" w:hAnsi="Verdana"/>
          <w:sz w:val="20"/>
          <w:szCs w:val="20"/>
        </w:rPr>
      </w:pPr>
    </w:p>
    <w:p w14:paraId="2C690299" w14:textId="77777777" w:rsidR="00907AD9" w:rsidRPr="00520604" w:rsidRDefault="00907AD9" w:rsidP="00907AD9">
      <w:pPr>
        <w:tabs>
          <w:tab w:val="left" w:pos="1418"/>
        </w:tabs>
        <w:ind w:left="708"/>
        <w:jc w:val="both"/>
        <w:rPr>
          <w:rFonts w:ascii="Verdana" w:hAnsi="Verdana"/>
          <w:sz w:val="20"/>
          <w:szCs w:val="20"/>
        </w:rPr>
      </w:pPr>
      <w:r w:rsidRPr="00520604">
        <w:rPr>
          <w:rFonts w:ascii="Verdana" w:hAnsi="Verdana"/>
          <w:sz w:val="20"/>
          <w:szCs w:val="20"/>
        </w:rPr>
        <w:t>[…]</w:t>
      </w:r>
    </w:p>
    <w:p w14:paraId="53958398" w14:textId="77777777" w:rsidR="00907AD9" w:rsidRPr="00520604" w:rsidRDefault="00907AD9" w:rsidP="00907AD9">
      <w:pPr>
        <w:tabs>
          <w:tab w:val="left" w:pos="1418"/>
        </w:tabs>
        <w:ind w:left="708"/>
        <w:jc w:val="both"/>
        <w:rPr>
          <w:rFonts w:ascii="Verdana" w:hAnsi="Verdana"/>
          <w:sz w:val="20"/>
          <w:szCs w:val="20"/>
        </w:rPr>
      </w:pPr>
    </w:p>
    <w:p w14:paraId="29E63A28" w14:textId="77777777" w:rsidR="00907AD9" w:rsidRPr="00520604" w:rsidRDefault="00907AD9" w:rsidP="00907AD9">
      <w:pPr>
        <w:tabs>
          <w:tab w:val="left" w:pos="1418"/>
        </w:tabs>
        <w:ind w:left="709"/>
        <w:jc w:val="both"/>
        <w:rPr>
          <w:rFonts w:ascii="Verdana" w:hAnsi="Verdana"/>
          <w:i/>
          <w:sz w:val="20"/>
          <w:szCs w:val="20"/>
        </w:rPr>
      </w:pPr>
      <w:r w:rsidRPr="00520604">
        <w:rPr>
          <w:rFonts w:ascii="Verdana" w:hAnsi="Verdana"/>
          <w:i/>
          <w:sz w:val="20"/>
          <w:szCs w:val="20"/>
        </w:rPr>
        <w:t>101. En consideración de lo anterior, la Corte estima que en casos de desaparición forzada de personas se deja a la víctima en una situación de indeterminación jurídica que imposibilita, obstaculiza o anula la posibilidad de la persona de ser titular o ejercer en forma efectiva sus derechos en general, en una de las más graves formas de incumplimiento de las obligaciones estatales de respetar y garantizar los derechos humanos. Esto se tradujo en una violación del derecho al reconocimiento de la personalidad jurídica del señor Anzualdo Castro</w:t>
      </w:r>
      <w:r w:rsidRPr="00520604">
        <w:rPr>
          <w:rFonts w:ascii="Verdana" w:hAnsi="Verdana"/>
          <w:i/>
          <w:sz w:val="20"/>
          <w:szCs w:val="20"/>
          <w:vertAlign w:val="superscript"/>
        </w:rPr>
        <w:footnoteReference w:id="369"/>
      </w:r>
      <w:r w:rsidRPr="00520604">
        <w:rPr>
          <w:rFonts w:ascii="Verdana" w:hAnsi="Verdana"/>
          <w:i/>
          <w:sz w:val="20"/>
          <w:szCs w:val="20"/>
        </w:rPr>
        <w:t>.</w:t>
      </w:r>
    </w:p>
    <w:p w14:paraId="0051E581" w14:textId="77777777" w:rsidR="00907AD9" w:rsidRPr="00520604" w:rsidRDefault="00907AD9" w:rsidP="00907AD9">
      <w:pPr>
        <w:tabs>
          <w:tab w:val="left" w:pos="1418"/>
        </w:tabs>
        <w:ind w:left="709"/>
        <w:jc w:val="both"/>
        <w:rPr>
          <w:rFonts w:ascii="Verdana" w:hAnsi="Verdana"/>
          <w:sz w:val="20"/>
          <w:szCs w:val="20"/>
        </w:rPr>
      </w:pPr>
    </w:p>
    <w:p w14:paraId="60DE3897"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El fundamento del reconocimiento de la </w:t>
      </w:r>
      <w:r w:rsidRPr="00520604">
        <w:rPr>
          <w:rFonts w:ascii="Verdana" w:hAnsi="Verdana"/>
          <w:i/>
          <w:sz w:val="20"/>
          <w:szCs w:val="20"/>
        </w:rPr>
        <w:t>personería jurídica</w:t>
      </w:r>
      <w:r w:rsidRPr="00520604">
        <w:rPr>
          <w:rFonts w:ascii="Verdana" w:hAnsi="Verdana"/>
          <w:i/>
          <w:sz w:val="20"/>
          <w:szCs w:val="20"/>
          <w:vertAlign w:val="superscript"/>
        </w:rPr>
        <w:footnoteReference w:id="370"/>
      </w:r>
      <w:r w:rsidRPr="00520604">
        <w:rPr>
          <w:rFonts w:ascii="Verdana" w:hAnsi="Verdana"/>
          <w:sz w:val="20"/>
          <w:szCs w:val="20"/>
        </w:rPr>
        <w:t xml:space="preserve"> de las comunidades o pueblos indígenas o tribales debe buscarse, entonces, en relación con otras disposiciones de la Convención. Ese fundamento no es muy difícil de encontrar, pues es la consecuencia jurídica del reconocimiento del derecho a la propiedad privada (en este caso colectiva) consagrado en el artículo 21. No se puede ser titular de un derecho sin que correlativamente exista la consiguiente personería jurídica. Así lo expuso la Corte en su sentencia en el caso del </w:t>
      </w:r>
      <w:r w:rsidRPr="00520604">
        <w:rPr>
          <w:rFonts w:ascii="Verdana" w:hAnsi="Verdana"/>
          <w:i/>
          <w:sz w:val="20"/>
          <w:szCs w:val="20"/>
        </w:rPr>
        <w:t>Pueblo</w:t>
      </w:r>
      <w:r w:rsidRPr="00520604">
        <w:rPr>
          <w:rFonts w:ascii="Verdana" w:hAnsi="Verdana"/>
          <w:sz w:val="20"/>
          <w:szCs w:val="20"/>
        </w:rPr>
        <w:t xml:space="preserve"> </w:t>
      </w:r>
      <w:r w:rsidRPr="00520604">
        <w:rPr>
          <w:rFonts w:ascii="Verdana" w:hAnsi="Verdana"/>
          <w:i/>
          <w:sz w:val="20"/>
          <w:szCs w:val="20"/>
        </w:rPr>
        <w:t>Saramaka,</w:t>
      </w:r>
      <w:r w:rsidRPr="00520604">
        <w:rPr>
          <w:rFonts w:ascii="Verdana" w:hAnsi="Verdana"/>
          <w:sz w:val="20"/>
          <w:szCs w:val="20"/>
        </w:rPr>
        <w:t xml:space="preserve"> en la que expuso con total claridad el razonamiento correcto:</w:t>
      </w:r>
    </w:p>
    <w:p w14:paraId="482DD192" w14:textId="77777777" w:rsidR="00907AD9" w:rsidRPr="00520604" w:rsidRDefault="00907AD9" w:rsidP="00907AD9">
      <w:pPr>
        <w:jc w:val="both"/>
        <w:rPr>
          <w:rFonts w:ascii="Verdana" w:hAnsi="Verdana"/>
          <w:sz w:val="20"/>
          <w:szCs w:val="20"/>
        </w:rPr>
      </w:pPr>
    </w:p>
    <w:p w14:paraId="20CDB8AA" w14:textId="77777777" w:rsidR="00907AD9" w:rsidRPr="00520604" w:rsidRDefault="00907AD9" w:rsidP="00907AD9">
      <w:pPr>
        <w:ind w:left="709"/>
        <w:jc w:val="both"/>
        <w:rPr>
          <w:rFonts w:ascii="Verdana" w:hAnsi="Verdana"/>
          <w:sz w:val="20"/>
          <w:szCs w:val="20"/>
        </w:rPr>
      </w:pPr>
      <w:r w:rsidRPr="00520604">
        <w:rPr>
          <w:rFonts w:ascii="Verdana" w:hAnsi="Verdana"/>
          <w:sz w:val="20"/>
          <w:szCs w:val="20"/>
        </w:rPr>
        <w:t xml:space="preserve">171. El reconocimiento de su personalidad jurídica es un modo, aunque no sea el único, de asegurar que la comunidad, en su conjunto, podrá gozar y ejercer plenamente el derecho a la propiedad, de conformidad con su sistema de propiedad comunal, así como el derecho a igual protección judicial contra toda violación de dicho derecho. </w:t>
      </w:r>
    </w:p>
    <w:p w14:paraId="0F321772" w14:textId="77777777" w:rsidR="00907AD9" w:rsidRPr="00520604" w:rsidRDefault="00907AD9" w:rsidP="00907AD9">
      <w:pPr>
        <w:jc w:val="both"/>
        <w:rPr>
          <w:rFonts w:ascii="Verdana" w:hAnsi="Verdana"/>
          <w:sz w:val="20"/>
          <w:szCs w:val="20"/>
        </w:rPr>
      </w:pPr>
    </w:p>
    <w:p w14:paraId="0FBA210C" w14:textId="77777777" w:rsidR="00907AD9" w:rsidRPr="00520604" w:rsidRDefault="00907AD9" w:rsidP="00907AD9">
      <w:pPr>
        <w:ind w:left="709"/>
        <w:jc w:val="both"/>
        <w:rPr>
          <w:rFonts w:ascii="Verdana" w:hAnsi="Verdana"/>
          <w:sz w:val="20"/>
          <w:szCs w:val="20"/>
        </w:rPr>
      </w:pPr>
      <w:r w:rsidRPr="00520604">
        <w:rPr>
          <w:rFonts w:ascii="Verdana" w:hAnsi="Verdana"/>
          <w:sz w:val="20"/>
          <w:szCs w:val="20"/>
        </w:rPr>
        <w:t xml:space="preserve">172. La Corte considera que el derecho a que el Estado reconozca su personalidad jurídica es una de las medidas especiales que se debe proporcionar a los grupos indígenas y tribales a fin de garantizar que éstos puedan gozar de sus territorios según sus tradiciones. Ésta es la </w:t>
      </w:r>
      <w:r w:rsidRPr="00520604">
        <w:rPr>
          <w:rFonts w:ascii="Verdana" w:hAnsi="Verdana"/>
          <w:i/>
          <w:sz w:val="20"/>
          <w:szCs w:val="20"/>
        </w:rPr>
        <w:t>consecuencia natural del reconocimiento del derecho que tienen los miembros de los grupos indígenas y tribales a gozar de ciertos derechos de forma comunitaria</w:t>
      </w:r>
      <w:r w:rsidRPr="00520604">
        <w:rPr>
          <w:rFonts w:ascii="Verdana" w:hAnsi="Verdana"/>
          <w:sz w:val="20"/>
          <w:szCs w:val="20"/>
          <w:vertAlign w:val="superscript"/>
        </w:rPr>
        <w:footnoteReference w:id="371"/>
      </w:r>
      <w:r w:rsidRPr="00520604">
        <w:rPr>
          <w:rFonts w:ascii="Verdana" w:hAnsi="Verdana"/>
          <w:sz w:val="20"/>
          <w:szCs w:val="20"/>
        </w:rPr>
        <w:t>.</w:t>
      </w:r>
    </w:p>
    <w:p w14:paraId="72927869" w14:textId="77777777" w:rsidR="00907AD9" w:rsidRPr="00520604" w:rsidRDefault="00907AD9" w:rsidP="00907AD9">
      <w:pPr>
        <w:ind w:left="709"/>
        <w:jc w:val="both"/>
        <w:rPr>
          <w:rFonts w:ascii="Verdana" w:hAnsi="Verdana"/>
          <w:i/>
          <w:sz w:val="20"/>
          <w:szCs w:val="20"/>
        </w:rPr>
      </w:pPr>
    </w:p>
    <w:p w14:paraId="7822570B" w14:textId="77777777" w:rsidR="00907AD9" w:rsidRPr="00520604" w:rsidRDefault="00907AD9" w:rsidP="00907AD9">
      <w:pPr>
        <w:jc w:val="both"/>
        <w:rPr>
          <w:rFonts w:ascii="Verdana" w:hAnsi="Verdana"/>
          <w:sz w:val="20"/>
          <w:szCs w:val="20"/>
        </w:rPr>
      </w:pPr>
      <w:r w:rsidRPr="00520604">
        <w:rPr>
          <w:rFonts w:ascii="Verdana" w:hAnsi="Verdana"/>
          <w:sz w:val="20"/>
          <w:szCs w:val="20"/>
        </w:rPr>
        <w:t>Ese mismo razonamiento debe ser aplicado en el presente caso, de modo que la invocación del artículo 3, y más aún su supuesta violación, no sólo es injustificada, sino además innecesaria</w:t>
      </w:r>
      <w:r w:rsidRPr="00520604">
        <w:rPr>
          <w:rFonts w:ascii="Verdana" w:hAnsi="Verdana"/>
          <w:sz w:val="20"/>
          <w:szCs w:val="20"/>
          <w:vertAlign w:val="superscript"/>
        </w:rPr>
        <w:footnoteReference w:id="372"/>
      </w:r>
      <w:r w:rsidRPr="00520604">
        <w:rPr>
          <w:rFonts w:ascii="Verdana" w:hAnsi="Verdana"/>
          <w:sz w:val="20"/>
          <w:szCs w:val="20"/>
        </w:rPr>
        <w:t>.</w:t>
      </w:r>
    </w:p>
    <w:p w14:paraId="5872276C" w14:textId="77777777" w:rsidR="00907AD9" w:rsidRPr="00520604" w:rsidRDefault="00907AD9" w:rsidP="00907AD9">
      <w:pPr>
        <w:jc w:val="both"/>
        <w:rPr>
          <w:rFonts w:ascii="Verdana" w:hAnsi="Verdana"/>
          <w:sz w:val="20"/>
          <w:szCs w:val="20"/>
        </w:rPr>
      </w:pPr>
    </w:p>
    <w:p w14:paraId="2E5F3FC3" w14:textId="77777777" w:rsidR="00907AD9" w:rsidRPr="00520604" w:rsidRDefault="00907AD9" w:rsidP="00907AD9">
      <w:pPr>
        <w:numPr>
          <w:ilvl w:val="0"/>
          <w:numId w:val="54"/>
        </w:numPr>
        <w:spacing w:after="160" w:line="259" w:lineRule="auto"/>
        <w:jc w:val="center"/>
        <w:rPr>
          <w:rFonts w:ascii="Verdana" w:hAnsi="Verdana"/>
          <w:b/>
          <w:sz w:val="20"/>
          <w:szCs w:val="20"/>
        </w:rPr>
      </w:pPr>
      <w:r w:rsidRPr="00520604">
        <w:rPr>
          <w:rFonts w:ascii="Verdana" w:hAnsi="Verdana"/>
          <w:b/>
          <w:sz w:val="20"/>
          <w:szCs w:val="20"/>
        </w:rPr>
        <w:t>No se violó el artículo 13 (Libertad de Pensamiento y de Expresión)</w:t>
      </w:r>
    </w:p>
    <w:p w14:paraId="171DFA67" w14:textId="77777777" w:rsidR="00907AD9" w:rsidRPr="00520604" w:rsidRDefault="00907AD9" w:rsidP="00907AD9">
      <w:pPr>
        <w:ind w:left="1080"/>
        <w:jc w:val="both"/>
        <w:rPr>
          <w:rFonts w:ascii="Verdana" w:hAnsi="Verdana"/>
          <w:b/>
          <w:sz w:val="20"/>
          <w:szCs w:val="20"/>
        </w:rPr>
      </w:pPr>
    </w:p>
    <w:p w14:paraId="741BFDBB" w14:textId="77777777" w:rsidR="00907AD9" w:rsidRPr="00520604" w:rsidRDefault="00907AD9" w:rsidP="00907AD9">
      <w:pPr>
        <w:jc w:val="both"/>
        <w:rPr>
          <w:rFonts w:ascii="Verdana" w:hAnsi="Verdana"/>
          <w:sz w:val="20"/>
          <w:szCs w:val="20"/>
        </w:rPr>
      </w:pPr>
      <w:r w:rsidRPr="00520604">
        <w:rPr>
          <w:rFonts w:ascii="Verdana" w:hAnsi="Verdana"/>
          <w:sz w:val="20"/>
          <w:szCs w:val="20"/>
        </w:rPr>
        <w:t>El art. 13.1 de la Convención Americana dispone lo siguiente:</w:t>
      </w:r>
    </w:p>
    <w:p w14:paraId="70E1F79A" w14:textId="77777777" w:rsidR="00907AD9" w:rsidRPr="00520604" w:rsidRDefault="00907AD9" w:rsidP="00907AD9">
      <w:pPr>
        <w:jc w:val="both"/>
        <w:rPr>
          <w:rFonts w:ascii="Verdana" w:hAnsi="Verdana"/>
          <w:sz w:val="20"/>
          <w:szCs w:val="20"/>
        </w:rPr>
      </w:pPr>
    </w:p>
    <w:p w14:paraId="27E4B4C6" w14:textId="77777777" w:rsidR="00907AD9" w:rsidRPr="00520604" w:rsidRDefault="00907AD9" w:rsidP="00907AD9">
      <w:pPr>
        <w:ind w:left="709"/>
        <w:jc w:val="center"/>
        <w:rPr>
          <w:rFonts w:ascii="Verdana" w:hAnsi="Verdana"/>
          <w:i/>
          <w:sz w:val="20"/>
          <w:szCs w:val="20"/>
        </w:rPr>
      </w:pPr>
      <w:r w:rsidRPr="00520604">
        <w:rPr>
          <w:rFonts w:ascii="Verdana" w:hAnsi="Verdana"/>
          <w:i/>
          <w:sz w:val="20"/>
          <w:szCs w:val="20"/>
        </w:rPr>
        <w:t xml:space="preserve">Artículo 13.  Libertad de Pensamiento y de Expresión </w:t>
      </w:r>
    </w:p>
    <w:p w14:paraId="0BF7E414" w14:textId="77777777" w:rsidR="00907AD9" w:rsidRPr="00520604" w:rsidRDefault="00907AD9" w:rsidP="00907AD9">
      <w:pPr>
        <w:ind w:left="709"/>
        <w:jc w:val="center"/>
        <w:rPr>
          <w:rFonts w:ascii="Verdana" w:hAnsi="Verdana"/>
          <w:i/>
          <w:sz w:val="20"/>
          <w:szCs w:val="20"/>
        </w:rPr>
      </w:pPr>
    </w:p>
    <w:p w14:paraId="3FF58611" w14:textId="77777777" w:rsidR="00907AD9" w:rsidRPr="00520604" w:rsidRDefault="00907AD9" w:rsidP="00907AD9">
      <w:pPr>
        <w:numPr>
          <w:ilvl w:val="0"/>
          <w:numId w:val="55"/>
        </w:numPr>
        <w:spacing w:after="160" w:line="259" w:lineRule="auto"/>
        <w:jc w:val="both"/>
        <w:rPr>
          <w:rFonts w:ascii="Verdana" w:hAnsi="Verdana"/>
          <w:i/>
          <w:sz w:val="20"/>
          <w:szCs w:val="20"/>
        </w:rPr>
      </w:pPr>
      <w:r w:rsidRPr="00520604">
        <w:rPr>
          <w:rFonts w:ascii="Verdana" w:hAnsi="Verdana"/>
          <w:i/>
          <w:sz w:val="20"/>
          <w:szCs w:val="20"/>
        </w:rPr>
        <w:t>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14:paraId="492519DC" w14:textId="77777777" w:rsidR="00907AD9" w:rsidRPr="00520604" w:rsidRDefault="00907AD9" w:rsidP="00907AD9">
      <w:pPr>
        <w:jc w:val="both"/>
        <w:rPr>
          <w:rFonts w:ascii="Verdana" w:hAnsi="Verdana"/>
          <w:i/>
          <w:sz w:val="20"/>
          <w:szCs w:val="20"/>
        </w:rPr>
      </w:pPr>
    </w:p>
    <w:p w14:paraId="2F5DE50A" w14:textId="77777777" w:rsidR="00907AD9" w:rsidRPr="00520604" w:rsidRDefault="00907AD9" w:rsidP="00907AD9">
      <w:pPr>
        <w:jc w:val="both"/>
        <w:rPr>
          <w:rFonts w:ascii="Verdana" w:hAnsi="Verdana"/>
          <w:sz w:val="20"/>
          <w:szCs w:val="20"/>
        </w:rPr>
      </w:pPr>
      <w:r w:rsidRPr="00520604">
        <w:rPr>
          <w:rFonts w:ascii="Verdana" w:hAnsi="Verdana"/>
          <w:sz w:val="20"/>
          <w:szCs w:val="20"/>
        </w:rPr>
        <w:t>Una vez más es preciso señalar que esta disposición no ha sido transcripta en el texto de la sentencia. Quizás la razón para esa injustificable omisión esté en el hecho de que basta leer el artículo 13 para comprender que la negativa a entregar determinadas informaciones que se consideraban necesarias para ejercer los derechos de participación y consulta de un pueblo indígena o tribal no tiene nada que ver con la “libertad de pensamiento y de expresión”, y en particular con la “libertad de buscar, recibir y difundir informaciones e ideas de toda índole”.</w:t>
      </w:r>
    </w:p>
    <w:p w14:paraId="40287B7D" w14:textId="77777777" w:rsidR="00907AD9" w:rsidRPr="00520604" w:rsidRDefault="00907AD9" w:rsidP="00907AD9">
      <w:pPr>
        <w:jc w:val="both"/>
        <w:rPr>
          <w:rFonts w:ascii="Verdana" w:hAnsi="Verdana"/>
          <w:sz w:val="20"/>
          <w:szCs w:val="20"/>
        </w:rPr>
      </w:pPr>
    </w:p>
    <w:p w14:paraId="6C162F7E"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Como se dijo acertadamente en la sentencia sobre el caso </w:t>
      </w:r>
      <w:r w:rsidRPr="00520604">
        <w:rPr>
          <w:rFonts w:ascii="Verdana" w:hAnsi="Verdana"/>
          <w:i/>
          <w:sz w:val="20"/>
          <w:szCs w:val="20"/>
        </w:rPr>
        <w:t>Sarayaku</w:t>
      </w:r>
      <w:r w:rsidRPr="00520604">
        <w:rPr>
          <w:rFonts w:ascii="Verdana" w:hAnsi="Verdana"/>
          <w:sz w:val="20"/>
          <w:szCs w:val="20"/>
        </w:rPr>
        <w:t>,</w:t>
      </w:r>
    </w:p>
    <w:p w14:paraId="2A28E0BF" w14:textId="77777777" w:rsidR="00907AD9" w:rsidRPr="00520604" w:rsidRDefault="00907AD9" w:rsidP="00907AD9">
      <w:pPr>
        <w:jc w:val="both"/>
        <w:rPr>
          <w:rFonts w:ascii="Verdana" w:hAnsi="Verdana"/>
          <w:sz w:val="20"/>
          <w:szCs w:val="20"/>
        </w:rPr>
      </w:pPr>
    </w:p>
    <w:p w14:paraId="7D42CF7B" w14:textId="77777777" w:rsidR="00907AD9" w:rsidRPr="00520604" w:rsidRDefault="00907AD9" w:rsidP="00907AD9">
      <w:pPr>
        <w:ind w:left="709"/>
        <w:jc w:val="both"/>
        <w:rPr>
          <w:rFonts w:ascii="Verdana" w:hAnsi="Verdana"/>
          <w:i/>
          <w:sz w:val="20"/>
          <w:szCs w:val="20"/>
        </w:rPr>
      </w:pPr>
      <w:r w:rsidRPr="00520604">
        <w:rPr>
          <w:rFonts w:ascii="Verdana" w:hAnsi="Verdana"/>
          <w:sz w:val="20"/>
          <w:szCs w:val="20"/>
        </w:rPr>
        <w:t xml:space="preserve">sobre la alegada violación de los artículos 13, 23 y 26 de la Convención, la Corte coincide con la Comisión en cuanto a que, en asuntos como el presente, el acceso a la información es vital para un adecuado ejercicio del control democrático de la gestión estatal respecto de las actividades de exploración y explotación de los recursos naturales en el territorio de las comunidades indígenas, un asunto de evidente interés público. Sin embargo, </w:t>
      </w:r>
      <w:r w:rsidRPr="00520604">
        <w:rPr>
          <w:rFonts w:ascii="Verdana" w:hAnsi="Verdana"/>
          <w:i/>
          <w:sz w:val="20"/>
          <w:szCs w:val="20"/>
        </w:rPr>
        <w:t>la Corte considera que en el presente caso los hechos han sido suficientemente analizados, y las violaciones conceptualizadas, bajo los derechos a la propiedad comunal, a la consulta y a la identidad cultural del Pueblo Sarayaku, en los términos del artículo 21 de la Convención, en relación con los artículos 1.1 y 2 de la misma, por lo que no se pronuncia sobre la alegada violación de aquellas normas</w:t>
      </w:r>
      <w:r w:rsidRPr="00520604">
        <w:rPr>
          <w:rFonts w:ascii="Verdana" w:hAnsi="Verdana"/>
          <w:i/>
          <w:sz w:val="20"/>
          <w:szCs w:val="20"/>
          <w:vertAlign w:val="superscript"/>
        </w:rPr>
        <w:footnoteReference w:id="373"/>
      </w:r>
      <w:r w:rsidRPr="00520604">
        <w:rPr>
          <w:rFonts w:ascii="Verdana" w:hAnsi="Verdana"/>
          <w:i/>
          <w:sz w:val="20"/>
          <w:szCs w:val="20"/>
        </w:rPr>
        <w:t>.</w:t>
      </w:r>
    </w:p>
    <w:p w14:paraId="071EA88F" w14:textId="77777777" w:rsidR="00907AD9" w:rsidRPr="00520604" w:rsidRDefault="00907AD9" w:rsidP="00907AD9">
      <w:pPr>
        <w:ind w:left="709"/>
        <w:jc w:val="both"/>
        <w:rPr>
          <w:rFonts w:ascii="Verdana" w:hAnsi="Verdana"/>
          <w:sz w:val="20"/>
          <w:szCs w:val="20"/>
        </w:rPr>
      </w:pPr>
    </w:p>
    <w:p w14:paraId="3E3527A1" w14:textId="77777777" w:rsidR="00907AD9" w:rsidRPr="00520604" w:rsidRDefault="00907AD9" w:rsidP="00907AD9">
      <w:pPr>
        <w:jc w:val="both"/>
        <w:rPr>
          <w:rFonts w:ascii="Verdana" w:hAnsi="Verdana"/>
          <w:sz w:val="20"/>
          <w:szCs w:val="20"/>
        </w:rPr>
      </w:pPr>
      <w:r w:rsidRPr="00520604">
        <w:rPr>
          <w:rFonts w:ascii="Verdana" w:hAnsi="Verdana"/>
          <w:sz w:val="20"/>
          <w:szCs w:val="20"/>
        </w:rPr>
        <w:t>En el presente caso, la Corte consideró la posible violación del art. 13 de oficio, pues no había sido alegada ni por la Comisión ni por las presuntas víctimas</w:t>
      </w:r>
      <w:r w:rsidRPr="00520604">
        <w:rPr>
          <w:rFonts w:ascii="Verdana" w:hAnsi="Verdana"/>
          <w:sz w:val="20"/>
          <w:szCs w:val="20"/>
          <w:vertAlign w:val="superscript"/>
        </w:rPr>
        <w:footnoteReference w:id="374"/>
      </w:r>
      <w:r w:rsidRPr="00520604">
        <w:rPr>
          <w:rFonts w:ascii="Verdana" w:hAnsi="Verdana"/>
          <w:sz w:val="20"/>
          <w:szCs w:val="20"/>
        </w:rPr>
        <w:t>. De inmediato pasó a examinar la posible violación del art. 13 consistente en “la falta de respuesta por parte del Estado a la solicitud de información acerca de los títulos de propiedad que alegan las víctimas”</w:t>
      </w:r>
      <w:r w:rsidRPr="00520604">
        <w:rPr>
          <w:rFonts w:ascii="Verdana" w:hAnsi="Verdana"/>
          <w:sz w:val="20"/>
          <w:szCs w:val="20"/>
          <w:vertAlign w:val="superscript"/>
        </w:rPr>
        <w:footnoteReference w:id="375"/>
      </w:r>
      <w:r w:rsidRPr="00520604">
        <w:rPr>
          <w:rFonts w:ascii="Verdana" w:hAnsi="Verdana"/>
          <w:sz w:val="20"/>
          <w:szCs w:val="20"/>
        </w:rPr>
        <w:t>. Más precisamente, se trató de la solicitud de “clarificar y producir los documentos relevantes que prueben si las personas identificadas anteriormente [los señores H.J. De Vries y Harrold Sijlbing] poseen títulos válidos en el Pueblo de Pierrekondre; y si fuera así, [clarificar] la naturaleza de aquellos títulos y si estas personas tienen permiso para construir casas y/o comercios debido a los mismos. Solicita[ron] que esta información sea entregada por escrito y sea discutida con [estos] tan pronto se encuentre disponible”</w:t>
      </w:r>
      <w:r w:rsidRPr="00520604">
        <w:rPr>
          <w:rFonts w:ascii="Verdana" w:hAnsi="Verdana"/>
          <w:sz w:val="20"/>
          <w:szCs w:val="20"/>
          <w:vertAlign w:val="superscript"/>
        </w:rPr>
        <w:footnoteReference w:id="376"/>
      </w:r>
      <w:r w:rsidRPr="00520604">
        <w:rPr>
          <w:rFonts w:ascii="Verdana" w:hAnsi="Verdana"/>
          <w:sz w:val="20"/>
          <w:szCs w:val="20"/>
        </w:rPr>
        <w:t>. Resulta claro que esa solicitud de información no tiene que ver con “un asunto de evidente interés público”, sino con un tema de interés de los pueblos indígenas Kaliña y Lokono para ejercer su derecho a la protección judicial (art. 25) en relación con sus derechos de propiedad colectiva, participación y consulta.</w:t>
      </w:r>
    </w:p>
    <w:p w14:paraId="183E0F60" w14:textId="77777777" w:rsidR="00907AD9" w:rsidRPr="00520604" w:rsidRDefault="00907AD9" w:rsidP="00907AD9">
      <w:pPr>
        <w:jc w:val="both"/>
        <w:rPr>
          <w:rFonts w:ascii="Verdana" w:hAnsi="Verdana"/>
          <w:sz w:val="20"/>
          <w:szCs w:val="20"/>
        </w:rPr>
      </w:pPr>
    </w:p>
    <w:p w14:paraId="1FE09F15" w14:textId="77777777" w:rsidR="00907AD9" w:rsidRPr="00520604" w:rsidRDefault="00907AD9" w:rsidP="00907AD9">
      <w:pPr>
        <w:jc w:val="both"/>
        <w:rPr>
          <w:rFonts w:ascii="Verdana" w:hAnsi="Verdana"/>
          <w:sz w:val="20"/>
          <w:szCs w:val="20"/>
        </w:rPr>
      </w:pPr>
      <w:r w:rsidRPr="00520604">
        <w:rPr>
          <w:rFonts w:ascii="Verdana" w:hAnsi="Verdana"/>
          <w:sz w:val="20"/>
          <w:szCs w:val="20"/>
        </w:rPr>
        <w:t>La libertad de información consagrada en el artículo 13 de la Convención se refiere en cambio (en los ya transcriptos términos de la sentencia en el caso Sarayaku) a “la información [que] es vital para un adecuado ejercicio del control democrático de la gestión estatal respecto de las actividades de exploración y explotación de los recursos naturales en el territorio de las comunidades indígenas”. No se trata en el presente caso del “control democrático de la gestión estatal”, sino del ejercicio de los derechos específicos mencionados al final del párrafo anterior. Como dice la sentencia, “la información solicitada era documentación de importancia para que los Pueblos Kaliña y Lokono pudieran tener elementos claros de cuántos individuos ajenos a sus comunidades se encontraban en la zona, y cuál era la situación legal de la posesión de ese territorio. En este sentido, aquella información podría haberles otorgado elementos adicionales a efectos de la presentación de sus reclamos en el fuero interno”</w:t>
      </w:r>
      <w:r w:rsidRPr="00520604">
        <w:rPr>
          <w:rFonts w:ascii="Verdana" w:hAnsi="Verdana"/>
          <w:sz w:val="20"/>
          <w:szCs w:val="20"/>
          <w:vertAlign w:val="superscript"/>
        </w:rPr>
        <w:footnoteReference w:id="377"/>
      </w:r>
      <w:r w:rsidRPr="00520604">
        <w:rPr>
          <w:rFonts w:ascii="Verdana" w:hAnsi="Verdana"/>
          <w:sz w:val="20"/>
          <w:szCs w:val="20"/>
        </w:rPr>
        <w:t>.</w:t>
      </w:r>
    </w:p>
    <w:p w14:paraId="0743ADDE" w14:textId="77777777" w:rsidR="00907AD9" w:rsidRPr="00520604" w:rsidRDefault="00907AD9" w:rsidP="00907AD9">
      <w:pPr>
        <w:jc w:val="both"/>
        <w:rPr>
          <w:rFonts w:ascii="Verdana" w:hAnsi="Verdana"/>
          <w:sz w:val="20"/>
          <w:szCs w:val="20"/>
        </w:rPr>
      </w:pPr>
    </w:p>
    <w:p w14:paraId="4A71CAD4" w14:textId="77777777" w:rsidR="00907AD9" w:rsidRPr="00520604" w:rsidRDefault="00907AD9" w:rsidP="00907AD9">
      <w:pPr>
        <w:jc w:val="both"/>
        <w:rPr>
          <w:rFonts w:ascii="Verdana" w:hAnsi="Verdana"/>
          <w:sz w:val="20"/>
          <w:szCs w:val="20"/>
        </w:rPr>
      </w:pPr>
      <w:r w:rsidRPr="00520604">
        <w:rPr>
          <w:rFonts w:ascii="Verdana" w:hAnsi="Verdana"/>
          <w:sz w:val="20"/>
          <w:szCs w:val="20"/>
        </w:rPr>
        <w:t>Por lo tanto, no corresponde declarar una violación del artículo 13 de la Convención, siendo suficiente declarar la violación del artículo 25 (Derecho a la protección judicial).</w:t>
      </w:r>
    </w:p>
    <w:p w14:paraId="0A7F152A" w14:textId="77777777" w:rsidR="00907AD9" w:rsidRPr="00520604" w:rsidRDefault="00907AD9" w:rsidP="00907AD9">
      <w:pPr>
        <w:jc w:val="both"/>
        <w:rPr>
          <w:rFonts w:ascii="Verdana" w:hAnsi="Verdana"/>
          <w:sz w:val="20"/>
          <w:szCs w:val="20"/>
        </w:rPr>
      </w:pPr>
    </w:p>
    <w:p w14:paraId="485BA02F" w14:textId="77777777" w:rsidR="00907AD9" w:rsidRPr="00520604" w:rsidRDefault="00907AD9" w:rsidP="00907AD9">
      <w:pPr>
        <w:numPr>
          <w:ilvl w:val="0"/>
          <w:numId w:val="54"/>
        </w:numPr>
        <w:spacing w:after="160" w:line="259" w:lineRule="auto"/>
        <w:jc w:val="center"/>
        <w:rPr>
          <w:rFonts w:ascii="Verdana" w:hAnsi="Verdana"/>
          <w:b/>
          <w:sz w:val="20"/>
          <w:szCs w:val="20"/>
        </w:rPr>
      </w:pPr>
      <w:r w:rsidRPr="00520604">
        <w:rPr>
          <w:rFonts w:ascii="Verdana" w:hAnsi="Verdana"/>
          <w:b/>
          <w:sz w:val="20"/>
          <w:szCs w:val="20"/>
        </w:rPr>
        <w:t>No se violó el artículo 23 (Derechos políticos)</w:t>
      </w:r>
    </w:p>
    <w:p w14:paraId="7E1D0030" w14:textId="77777777" w:rsidR="00907AD9" w:rsidRPr="00520604" w:rsidRDefault="00907AD9" w:rsidP="00907AD9">
      <w:pPr>
        <w:ind w:left="1080"/>
        <w:jc w:val="both"/>
        <w:rPr>
          <w:rFonts w:ascii="Verdana" w:hAnsi="Verdana"/>
          <w:b/>
          <w:sz w:val="20"/>
          <w:szCs w:val="20"/>
        </w:rPr>
      </w:pPr>
    </w:p>
    <w:p w14:paraId="399D3ED4" w14:textId="77777777" w:rsidR="00907AD9" w:rsidRPr="00520604" w:rsidRDefault="00907AD9" w:rsidP="00907AD9">
      <w:pPr>
        <w:jc w:val="both"/>
        <w:rPr>
          <w:rFonts w:ascii="Verdana" w:hAnsi="Verdana"/>
          <w:sz w:val="20"/>
          <w:szCs w:val="20"/>
        </w:rPr>
      </w:pPr>
      <w:r w:rsidRPr="00520604">
        <w:rPr>
          <w:rFonts w:ascii="Verdana" w:hAnsi="Verdana"/>
          <w:sz w:val="20"/>
          <w:szCs w:val="20"/>
        </w:rPr>
        <w:t>El art. 23 de la Convención Americana dispone lo siguiente:</w:t>
      </w:r>
    </w:p>
    <w:p w14:paraId="60801B90" w14:textId="77777777" w:rsidR="00907AD9" w:rsidRPr="00520604" w:rsidRDefault="00907AD9" w:rsidP="00907AD9">
      <w:pPr>
        <w:jc w:val="both"/>
        <w:rPr>
          <w:rFonts w:ascii="Verdana" w:hAnsi="Verdana"/>
          <w:sz w:val="20"/>
          <w:szCs w:val="20"/>
        </w:rPr>
      </w:pPr>
    </w:p>
    <w:p w14:paraId="2DAE4745" w14:textId="77777777" w:rsidR="00907AD9" w:rsidRPr="00520604" w:rsidRDefault="00907AD9" w:rsidP="00907AD9">
      <w:pPr>
        <w:ind w:left="709"/>
        <w:jc w:val="center"/>
        <w:rPr>
          <w:rFonts w:ascii="Verdana" w:hAnsi="Verdana"/>
          <w:i/>
          <w:sz w:val="20"/>
          <w:szCs w:val="20"/>
        </w:rPr>
      </w:pPr>
      <w:r w:rsidRPr="00520604">
        <w:rPr>
          <w:rFonts w:ascii="Verdana" w:hAnsi="Verdana"/>
          <w:i/>
          <w:sz w:val="20"/>
          <w:szCs w:val="20"/>
        </w:rPr>
        <w:t xml:space="preserve">Artículo 23.  Derechos Políticos </w:t>
      </w:r>
    </w:p>
    <w:p w14:paraId="11F0E162" w14:textId="77777777" w:rsidR="00907AD9" w:rsidRPr="00520604" w:rsidRDefault="00907AD9" w:rsidP="00907AD9">
      <w:pPr>
        <w:ind w:left="709"/>
        <w:jc w:val="center"/>
        <w:rPr>
          <w:rFonts w:ascii="Verdana" w:hAnsi="Verdana"/>
          <w:i/>
          <w:sz w:val="20"/>
          <w:szCs w:val="20"/>
        </w:rPr>
      </w:pPr>
    </w:p>
    <w:p w14:paraId="610332BC" w14:textId="77777777" w:rsidR="00907AD9" w:rsidRPr="00520604" w:rsidRDefault="00907AD9" w:rsidP="00907AD9">
      <w:pPr>
        <w:ind w:left="709"/>
        <w:jc w:val="both"/>
        <w:rPr>
          <w:rFonts w:ascii="Verdana" w:hAnsi="Verdana"/>
          <w:i/>
          <w:sz w:val="20"/>
          <w:szCs w:val="20"/>
        </w:rPr>
      </w:pPr>
      <w:r w:rsidRPr="00520604">
        <w:rPr>
          <w:rFonts w:ascii="Verdana" w:hAnsi="Verdana"/>
          <w:i/>
          <w:sz w:val="20"/>
          <w:szCs w:val="20"/>
        </w:rPr>
        <w:t xml:space="preserve"> 1. Todos los ciudadanos deben gozar de los siguientes derechos y oportunidades: </w:t>
      </w:r>
    </w:p>
    <w:p w14:paraId="52BE30BC" w14:textId="77777777" w:rsidR="00907AD9" w:rsidRPr="00520604" w:rsidRDefault="00907AD9" w:rsidP="00907AD9">
      <w:pPr>
        <w:ind w:left="709"/>
        <w:jc w:val="both"/>
        <w:rPr>
          <w:rFonts w:ascii="Verdana" w:hAnsi="Verdana"/>
          <w:i/>
          <w:sz w:val="20"/>
          <w:szCs w:val="20"/>
        </w:rPr>
      </w:pPr>
      <w:r w:rsidRPr="00520604">
        <w:rPr>
          <w:rFonts w:ascii="Verdana" w:hAnsi="Verdana"/>
          <w:i/>
          <w:sz w:val="20"/>
          <w:szCs w:val="20"/>
        </w:rPr>
        <w:t xml:space="preserve"> a) de participar en la dirección de los asuntos públicos, directamente o por medio de representantes libremente elegidos; </w:t>
      </w:r>
    </w:p>
    <w:p w14:paraId="65607F5A" w14:textId="77777777" w:rsidR="00907AD9" w:rsidRPr="00520604" w:rsidRDefault="00907AD9" w:rsidP="00907AD9">
      <w:pPr>
        <w:ind w:left="709"/>
        <w:jc w:val="both"/>
        <w:rPr>
          <w:rFonts w:ascii="Verdana" w:hAnsi="Verdana"/>
          <w:i/>
          <w:sz w:val="20"/>
          <w:szCs w:val="20"/>
        </w:rPr>
      </w:pPr>
      <w:r w:rsidRPr="00520604">
        <w:rPr>
          <w:rFonts w:ascii="Verdana" w:hAnsi="Verdana"/>
          <w:i/>
          <w:sz w:val="20"/>
          <w:szCs w:val="20"/>
        </w:rPr>
        <w:t xml:space="preserve"> b) de votar y ser elegidos en elecciones periódicas auténticas, realizadas por sufragio universal e igual y por voto secreto que garantice la libre expresión de la voluntad de los electores, y </w:t>
      </w:r>
    </w:p>
    <w:p w14:paraId="42027E7B" w14:textId="77777777" w:rsidR="00907AD9" w:rsidRPr="00520604" w:rsidRDefault="00907AD9" w:rsidP="00907AD9">
      <w:pPr>
        <w:ind w:left="709"/>
        <w:jc w:val="both"/>
        <w:rPr>
          <w:rFonts w:ascii="Verdana" w:hAnsi="Verdana"/>
          <w:i/>
          <w:sz w:val="20"/>
          <w:szCs w:val="20"/>
        </w:rPr>
      </w:pPr>
      <w:r w:rsidRPr="00520604">
        <w:rPr>
          <w:rFonts w:ascii="Verdana" w:hAnsi="Verdana"/>
          <w:i/>
          <w:sz w:val="20"/>
          <w:szCs w:val="20"/>
        </w:rPr>
        <w:t xml:space="preserve"> c) de tener acceso, en condiciones generales de igualdad, a las funciones públicas de su país. </w:t>
      </w:r>
    </w:p>
    <w:p w14:paraId="74BB05E7" w14:textId="77777777" w:rsidR="00907AD9" w:rsidRPr="00520604" w:rsidRDefault="00907AD9" w:rsidP="00907AD9">
      <w:pPr>
        <w:ind w:left="709"/>
        <w:jc w:val="both"/>
        <w:rPr>
          <w:rFonts w:ascii="Verdana" w:hAnsi="Verdana"/>
          <w:i/>
          <w:sz w:val="20"/>
          <w:szCs w:val="20"/>
        </w:rPr>
      </w:pPr>
    </w:p>
    <w:p w14:paraId="45DE6B39" w14:textId="77777777" w:rsidR="00907AD9" w:rsidRPr="00520604" w:rsidRDefault="00907AD9" w:rsidP="00907AD9">
      <w:pPr>
        <w:ind w:left="708"/>
        <w:jc w:val="both"/>
        <w:rPr>
          <w:rFonts w:ascii="Verdana" w:hAnsi="Verdana"/>
          <w:i/>
          <w:sz w:val="20"/>
          <w:szCs w:val="20"/>
        </w:rPr>
      </w:pPr>
      <w:r w:rsidRPr="00520604">
        <w:rPr>
          <w:rFonts w:ascii="Verdana" w:hAnsi="Verdana"/>
          <w:i/>
          <w:sz w:val="20"/>
          <w:szCs w:val="20"/>
        </w:rPr>
        <w:t xml:space="preserve"> 2. La ley puede reglamentar el ejercicio de los derechos y oportunidades a que se refiere el inciso anterior, exclusivamente por razones de edad, nacionalidad, residencia, idioma, instrucción, capacidad civil o mental, o condena, por juez competente, en proceso penal.</w:t>
      </w:r>
    </w:p>
    <w:p w14:paraId="00C450BD" w14:textId="77777777" w:rsidR="00907AD9" w:rsidRPr="00520604" w:rsidRDefault="00907AD9" w:rsidP="00907AD9">
      <w:pPr>
        <w:ind w:left="708"/>
        <w:jc w:val="both"/>
        <w:rPr>
          <w:rFonts w:ascii="Verdana" w:hAnsi="Verdana"/>
          <w:i/>
          <w:sz w:val="20"/>
          <w:szCs w:val="20"/>
        </w:rPr>
      </w:pPr>
    </w:p>
    <w:p w14:paraId="065A0CC6"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En este caso sí se ha hecho una transcripción del art. 23 en el texto de la sentencia. Pero la transcripción es parcial y sesgada. Sólo llega hasta las palabras “asuntos públicos”, y omite tanto el pasaje que dice “directamente o por medio de representantes libremente elegidos” como los apartados b) y c), relativos a los “derechos y oportunidades” de “votar y ser elegidos” y de tener acceso igualitario a “las funciones públicas”. Tanto los elementos omitidos, como la referencia a “asuntos públicos” y el nombre de los derechos de que se trata (“Derechos políticos”) bastaría para excluir la aplicación de la norma alegadamente violada a un asunto relativo a la propiedad privada (artículo 21) y no “un asunto de evidente interés público” (como se vio en los párrs. 13 y 14), sino un tema privado. </w:t>
      </w:r>
    </w:p>
    <w:p w14:paraId="47A8BE8E" w14:textId="77777777" w:rsidR="00907AD9" w:rsidRPr="00520604" w:rsidRDefault="00907AD9" w:rsidP="00907AD9">
      <w:pPr>
        <w:jc w:val="both"/>
        <w:rPr>
          <w:rFonts w:ascii="Verdana" w:hAnsi="Verdana"/>
          <w:sz w:val="20"/>
          <w:szCs w:val="20"/>
        </w:rPr>
      </w:pPr>
    </w:p>
    <w:p w14:paraId="2FA31C86" w14:textId="77777777" w:rsidR="00907AD9" w:rsidRPr="00520604" w:rsidRDefault="00907AD9" w:rsidP="00907AD9">
      <w:pPr>
        <w:jc w:val="both"/>
        <w:rPr>
          <w:rFonts w:ascii="Verdana" w:hAnsi="Verdana"/>
          <w:sz w:val="20"/>
          <w:szCs w:val="20"/>
        </w:rPr>
      </w:pPr>
      <w:r w:rsidRPr="00520604">
        <w:rPr>
          <w:rFonts w:ascii="Verdana" w:hAnsi="Verdana"/>
          <w:sz w:val="20"/>
          <w:szCs w:val="20"/>
        </w:rPr>
        <w:t xml:space="preserve">Según el párrafo declarativo 2 de la sentencia, la violación del artículo 23 estaría demostrada “en los términos de los párrafos 122 a 230”. Pero un análisis de esos párrafos demuestra que, aunque están insertos en el capítulo VI.2, titulado “Derecho a la propiedad colectiva (artículo 21) y derechos políticos (artículo 23) en relación con los artículos 1.1 y 2 de la Convención </w:t>
      </w:r>
      <w:r w:rsidRPr="00520604">
        <w:rPr>
          <w:rFonts w:ascii="Verdana" w:hAnsi="Verdana"/>
          <w:sz w:val="20"/>
          <w:szCs w:val="20"/>
        </w:rPr>
        <w:lastRenderedPageBreak/>
        <w:t>Americana”, en ninguno de sus apartados se trata de los derechos políticos presuntamente violados. Las “Consideraciones de la Corte” comprenden los siguientes cuatro apartados, que tampoco contienen esas menciones: “</w:t>
      </w:r>
      <w:bookmarkStart w:id="116" w:name="_Toc438137477"/>
      <w:r w:rsidRPr="00520604">
        <w:rPr>
          <w:rFonts w:ascii="Verdana" w:hAnsi="Verdana"/>
          <w:i/>
          <w:sz w:val="20"/>
          <w:szCs w:val="20"/>
        </w:rPr>
        <w:t>B.1 Interpretación del derecho a la propiedad colectiva de los pueblos indígenas en el presente caso</w:t>
      </w:r>
      <w:bookmarkEnd w:id="116"/>
      <w:r w:rsidRPr="00520604">
        <w:rPr>
          <w:rFonts w:ascii="Verdana" w:hAnsi="Verdana"/>
          <w:i/>
          <w:sz w:val="20"/>
          <w:szCs w:val="20"/>
        </w:rPr>
        <w:t>”; “B.2 La falta de reconocimiento del derecho a la propiedad colectiva de los pueblos indígenas Kaliña y Lokono”; “</w:t>
      </w:r>
      <w:bookmarkStart w:id="117" w:name="_Toc438137482"/>
      <w:r w:rsidRPr="00520604">
        <w:rPr>
          <w:rFonts w:ascii="Verdana" w:hAnsi="Verdana"/>
          <w:i/>
          <w:sz w:val="20"/>
          <w:szCs w:val="20"/>
        </w:rPr>
        <w:t>B.3 Reservas Naturales en el territorio tradicional</w:t>
      </w:r>
      <w:bookmarkEnd w:id="117"/>
      <w:r w:rsidRPr="00520604">
        <w:rPr>
          <w:rFonts w:ascii="Verdana" w:hAnsi="Verdana"/>
          <w:i/>
          <w:sz w:val="20"/>
          <w:szCs w:val="20"/>
        </w:rPr>
        <w:t xml:space="preserve">”, y “B.4 Respecto de las garantías a la propiedad colectiva frente a la concesión minera dentro de la Reserva Natural Wane Kreek”. </w:t>
      </w:r>
    </w:p>
    <w:p w14:paraId="1F8A1520" w14:textId="77777777" w:rsidR="00907AD9" w:rsidRPr="00520604" w:rsidRDefault="00907AD9" w:rsidP="00907AD9">
      <w:pPr>
        <w:jc w:val="both"/>
        <w:rPr>
          <w:rFonts w:ascii="Verdana" w:hAnsi="Verdana"/>
          <w:sz w:val="20"/>
          <w:szCs w:val="20"/>
        </w:rPr>
      </w:pPr>
    </w:p>
    <w:p w14:paraId="0F593B4E" w14:textId="77777777" w:rsidR="00907AD9" w:rsidRPr="00520604" w:rsidRDefault="00907AD9" w:rsidP="00907AD9">
      <w:pPr>
        <w:jc w:val="both"/>
        <w:rPr>
          <w:rFonts w:ascii="Verdana" w:hAnsi="Verdana"/>
          <w:sz w:val="20"/>
          <w:szCs w:val="20"/>
        </w:rPr>
      </w:pPr>
      <w:r w:rsidRPr="00520604">
        <w:rPr>
          <w:rFonts w:ascii="Verdana" w:hAnsi="Verdana"/>
          <w:sz w:val="20"/>
          <w:szCs w:val="20"/>
        </w:rPr>
        <w:t>Asimismo, entre las cuatro controversias principales reseñadas en el párrafo 127 de la Sentencia, no hay mención alguna de los derechos políticos ni del artículo 23</w:t>
      </w:r>
      <w:r w:rsidRPr="00520604">
        <w:rPr>
          <w:rFonts w:ascii="Verdana" w:hAnsi="Verdana"/>
          <w:sz w:val="20"/>
          <w:szCs w:val="20"/>
          <w:vertAlign w:val="superscript"/>
        </w:rPr>
        <w:footnoteReference w:id="378"/>
      </w:r>
      <w:r w:rsidRPr="00520604">
        <w:rPr>
          <w:rFonts w:ascii="Verdana" w:hAnsi="Verdana"/>
          <w:sz w:val="20"/>
          <w:szCs w:val="20"/>
        </w:rPr>
        <w:t>, y en los 109 párrafos de esos apartados no hay ninguna expresión que procure fundamentar la alegada violación del art. 23:</w:t>
      </w:r>
    </w:p>
    <w:p w14:paraId="6D44C82B" w14:textId="77777777" w:rsidR="00907AD9" w:rsidRPr="00520604" w:rsidRDefault="00907AD9" w:rsidP="00907AD9">
      <w:pPr>
        <w:jc w:val="both"/>
        <w:rPr>
          <w:rFonts w:ascii="Verdana" w:hAnsi="Verdana"/>
          <w:sz w:val="20"/>
          <w:szCs w:val="20"/>
        </w:rPr>
      </w:pPr>
    </w:p>
    <w:p w14:paraId="02C0199A"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 xml:space="preserve">Párrafo 126: “[…] la Corte considera importante resaltar que si bien las partes no han alegado la violación del artículo 23 de la Convención durante el procedimiento ante este Tribunal, estima pertinente aplicar el principio </w:t>
      </w:r>
      <w:r w:rsidRPr="00520604">
        <w:rPr>
          <w:rFonts w:ascii="Verdana" w:hAnsi="Verdana"/>
          <w:i/>
          <w:sz w:val="20"/>
          <w:szCs w:val="20"/>
        </w:rPr>
        <w:t>iura novit curia”</w:t>
      </w:r>
      <w:r w:rsidRPr="00520604">
        <w:rPr>
          <w:rFonts w:ascii="Verdana" w:hAnsi="Verdana"/>
          <w:sz w:val="20"/>
          <w:szCs w:val="20"/>
        </w:rPr>
        <w:t>. Es decir, se registra la decisión de considerar una violación no alegada por las partes, pero no se explica en qué consiste esa violación.</w:t>
      </w:r>
    </w:p>
    <w:p w14:paraId="1EA2E5B7" w14:textId="77777777" w:rsidR="00907AD9" w:rsidRPr="00520604" w:rsidRDefault="00907AD9" w:rsidP="00907AD9">
      <w:pPr>
        <w:ind w:left="720"/>
        <w:jc w:val="both"/>
        <w:rPr>
          <w:rFonts w:ascii="Verdana" w:hAnsi="Verdana"/>
          <w:sz w:val="20"/>
          <w:szCs w:val="20"/>
        </w:rPr>
      </w:pPr>
    </w:p>
    <w:p w14:paraId="6A535CDF"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Párrafo 196: “Al respecto, la Corte recuerda que el artículo 23 de la Convención Americana dispone el deber de gozar de los derechos y oportunidades “de participar en la dirección de los asuntos públicos […]”. En este sentido, la participación en la conservación del medio ambiente para las comunidades indígenas resulta no sólo en un asunto de interés público sino parte del ejercicio de su derecho como pueblos indígenas a participar en la adopción de decisiones en las cuestiones que afectan sus derechos, de conformidad con sus propios procedimientos e instituciones (</w:t>
      </w:r>
      <w:r w:rsidRPr="00520604">
        <w:rPr>
          <w:rFonts w:ascii="Verdana" w:hAnsi="Verdana"/>
          <w:i/>
          <w:sz w:val="20"/>
          <w:szCs w:val="20"/>
        </w:rPr>
        <w:t>supra</w:t>
      </w:r>
      <w:r w:rsidRPr="00520604">
        <w:rPr>
          <w:rFonts w:ascii="Verdana" w:hAnsi="Verdana"/>
          <w:sz w:val="20"/>
          <w:szCs w:val="20"/>
        </w:rPr>
        <w:t xml:space="preserve"> párrs. 178 y 180)”. Se pretende identificar el “derecho a participar en la dirección de los asuntos públicos” con el derecho de los pueblos indígenas a participar en la adopción de decisiones en las cuestiones que afectan sus derechos, sin exponer siquiera una mínima fundamentación al respecto. Está claro que son dos cosas diferentes.</w:t>
      </w:r>
    </w:p>
    <w:p w14:paraId="1B1EBB1E" w14:textId="77777777" w:rsidR="00907AD9" w:rsidRPr="00520604" w:rsidRDefault="00907AD9" w:rsidP="00907AD9">
      <w:pPr>
        <w:jc w:val="both"/>
        <w:rPr>
          <w:rFonts w:ascii="Verdana" w:hAnsi="Verdana"/>
          <w:sz w:val="20"/>
          <w:szCs w:val="20"/>
        </w:rPr>
      </w:pPr>
    </w:p>
    <w:p w14:paraId="04FD3B27"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Párrafo 197: “la falta de mecanismos expresos que garanticen el acceso, uso y la participación efectiva de los pueblos indígenas Kaliña y Lokono en la conservación de las referidas reservas y sus beneficios, configura una violación del deber de adoptar las disposiciones que fueren necesarias para hacer efectivas tales medidas, a fin de garantizar el derecho a la propiedad colectiva, a la identidad cultural y a los derechos políticos, en perjuicio de los Pueblos Kaliña y Lokono”. Sigue faltando la fundamentación de la supuesta equiparación con los derechos políticos.</w:t>
      </w:r>
    </w:p>
    <w:p w14:paraId="01D30510" w14:textId="77777777" w:rsidR="00907AD9" w:rsidRPr="00520604" w:rsidRDefault="00907AD9" w:rsidP="00907AD9">
      <w:pPr>
        <w:jc w:val="both"/>
        <w:rPr>
          <w:rFonts w:ascii="Verdana" w:hAnsi="Verdana"/>
          <w:sz w:val="20"/>
          <w:szCs w:val="20"/>
        </w:rPr>
      </w:pPr>
    </w:p>
    <w:p w14:paraId="1775EBA4"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 xml:space="preserve">En el párrafo 198 (único de la sección titulada “Conclusión de las restricciones en las Reservas”) nuevamente se incluye a los derechos políticos sin fundamentación alguna: “En </w:t>
      </w:r>
      <w:r w:rsidRPr="00520604">
        <w:rPr>
          <w:rFonts w:ascii="Verdana" w:hAnsi="Verdana"/>
          <w:sz w:val="20"/>
          <w:szCs w:val="20"/>
        </w:rPr>
        <w:lastRenderedPageBreak/>
        <w:t>suma, este Tribunal estima que el Estado vulneró los derechos a la propiedad colectiva, identidad cultural y participación en asuntos públicos de las víctimas, principalmente al impedir la participación efectiva y el acceso a parte de su territorio tradicional y recursos naturales en las reservas de Galibi y Wane Kreek, así como al no garantizar de manera efectiva el territorio tradicional de las comunidades afectadas por la degradación del medio ambiente dentro de la reserva de Wane Kreek, lo cual configuró la violación de los artículo 21, 2 y 23 de la Convención Americana, en relación con el artículo 1.1 de la misma, en perjuicio los Pueblos Kaliña y Lokono y sus miembros”.</w:t>
      </w:r>
    </w:p>
    <w:p w14:paraId="21DDA83B" w14:textId="77777777" w:rsidR="00907AD9" w:rsidRPr="00520604" w:rsidRDefault="00907AD9" w:rsidP="00907AD9">
      <w:pPr>
        <w:ind w:left="720"/>
        <w:jc w:val="both"/>
        <w:rPr>
          <w:rFonts w:ascii="Verdana" w:hAnsi="Verdana"/>
          <w:sz w:val="20"/>
          <w:szCs w:val="20"/>
        </w:rPr>
      </w:pPr>
    </w:p>
    <w:p w14:paraId="4F8BAC02"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 xml:space="preserve">Párrafo 202: “Adicionalmente a lo anterior, la Corte reitera que el artículo 23 de la Convención Americana dispone que “todos los ciudadanos deben gozar de los siguientes derechos y oportunidades: a) […] participar en la dirección de los asuntos públicos […]”. En similar sentido, el artículo 18 de la Declaración de las Naciones Unidas sobre los Derechos de los Pueblos Indígenas establece que “el derecho [de los pueblos indígenas] a participar en la adopción de decisiones en las cuestiones que afecten a sus derechos, por conducto de representantes […]”, y el artículo 32, en lo pertinente, dispone el deber de los Estados de “celebr[ar] consultas y coopera[ción] de buena fe […] antes de aprobar cualquier proyecto que afecte sus tierras […], particularmente en relación con […] la utilización o la explotación de recursos minerales […]”. En este caso es patente la confusión entre “participar </w:t>
      </w:r>
      <w:r w:rsidRPr="00520604">
        <w:rPr>
          <w:rFonts w:ascii="Verdana" w:hAnsi="Verdana"/>
          <w:i/>
          <w:sz w:val="20"/>
          <w:szCs w:val="20"/>
        </w:rPr>
        <w:t>en la dirección de los asuntos públicos</w:t>
      </w:r>
      <w:r w:rsidRPr="00520604">
        <w:rPr>
          <w:rFonts w:ascii="Verdana" w:hAnsi="Verdana"/>
          <w:sz w:val="20"/>
          <w:szCs w:val="20"/>
        </w:rPr>
        <w:t xml:space="preserve">” y los artículos 18 y 32 de la Declaración sobre los Derechos de los Pueblos Indígenas, relativos a la participación </w:t>
      </w:r>
      <w:r w:rsidRPr="00520604">
        <w:rPr>
          <w:rFonts w:ascii="Verdana" w:hAnsi="Verdana"/>
          <w:i/>
          <w:sz w:val="20"/>
          <w:szCs w:val="20"/>
        </w:rPr>
        <w:t>en las cuestiones que afecten a sus derechos y al deber de los Estados de “celebrar consultas […] antes de aprobar cualquier proyecto que afecte sus tierras</w:t>
      </w:r>
      <w:r w:rsidRPr="00520604">
        <w:rPr>
          <w:rFonts w:ascii="Verdana" w:hAnsi="Verdana"/>
          <w:sz w:val="20"/>
          <w:szCs w:val="20"/>
        </w:rPr>
        <w:t>”.</w:t>
      </w:r>
    </w:p>
    <w:p w14:paraId="3C52BAFE" w14:textId="77777777" w:rsidR="00907AD9" w:rsidRPr="00520604" w:rsidRDefault="00907AD9" w:rsidP="00907AD9">
      <w:pPr>
        <w:ind w:left="720"/>
        <w:jc w:val="both"/>
        <w:rPr>
          <w:rFonts w:ascii="Verdana" w:hAnsi="Verdana"/>
          <w:sz w:val="20"/>
          <w:szCs w:val="20"/>
        </w:rPr>
      </w:pPr>
    </w:p>
    <w:p w14:paraId="4CDC7C30"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 xml:space="preserve">Párrafo 203: En el párrafo siguiente se enuncia, pero no se fundamenta en modo alguno, la presunta identificación entre el derecho a participación y consulta derivado del derecho de propiedad y el derecho a participar en la dirección de los asuntos públicos Se dice, en efecto, lo siguiente: “En vista de ello, a fin de garantizar el uso y goce del derecho a la propiedad colectiva indígena, reconocida en los artículos 1.1 y 21 de la Convención, frente a la utilización o explotación de recursos naturales en su territorio tradicional, el Estado debe, para efectos del presente caso, contar con mecanismos para la participación efectiva de los pueblos indígenas, a través de procedimientos culturalmente adecuados para la toma de decisiones de dichos pueblos. Lo anterior no solo consiste en un </w:t>
      </w:r>
      <w:r w:rsidRPr="00520604">
        <w:rPr>
          <w:rFonts w:ascii="Verdana" w:hAnsi="Verdana"/>
          <w:i/>
          <w:sz w:val="20"/>
          <w:szCs w:val="20"/>
        </w:rPr>
        <w:t>asunto de interés público</w:t>
      </w:r>
      <w:r w:rsidRPr="00520604">
        <w:rPr>
          <w:rFonts w:ascii="Verdana" w:hAnsi="Verdana"/>
          <w:sz w:val="20"/>
          <w:szCs w:val="20"/>
        </w:rPr>
        <w:t xml:space="preserve">, sino que también forma parte del ejercicio de su </w:t>
      </w:r>
      <w:r w:rsidRPr="00520604">
        <w:rPr>
          <w:rFonts w:ascii="Verdana" w:hAnsi="Verdana"/>
          <w:i/>
          <w:sz w:val="20"/>
          <w:szCs w:val="20"/>
        </w:rPr>
        <w:t>derecho a participar en la adopción de decisiones en las cuestiones que afectan sus intereses, de conformidad con sus propios procedimientos e instituciones, en relación con el artículo 23 de la Convención Americana</w:t>
      </w:r>
      <w:r w:rsidRPr="00520604">
        <w:rPr>
          <w:rFonts w:ascii="Verdana" w:hAnsi="Verdana"/>
          <w:sz w:val="20"/>
          <w:szCs w:val="20"/>
        </w:rPr>
        <w:t xml:space="preserve"> (</w:t>
      </w:r>
      <w:r w:rsidRPr="00520604">
        <w:rPr>
          <w:rFonts w:ascii="Verdana" w:hAnsi="Verdana"/>
          <w:i/>
          <w:sz w:val="20"/>
          <w:szCs w:val="20"/>
        </w:rPr>
        <w:t>supra</w:t>
      </w:r>
      <w:r w:rsidRPr="00520604">
        <w:rPr>
          <w:rFonts w:ascii="Verdana" w:hAnsi="Verdana"/>
          <w:sz w:val="20"/>
          <w:szCs w:val="20"/>
        </w:rPr>
        <w:t xml:space="preserve"> párr. 196)”. No se explica por qué “</w:t>
      </w:r>
      <w:r w:rsidRPr="00520604">
        <w:rPr>
          <w:rFonts w:ascii="Verdana" w:hAnsi="Verdana"/>
          <w:i/>
          <w:sz w:val="20"/>
          <w:szCs w:val="20"/>
        </w:rPr>
        <w:t>la dirección de los asuntos públicos</w:t>
      </w:r>
      <w:r w:rsidRPr="00520604">
        <w:rPr>
          <w:rFonts w:ascii="Verdana" w:hAnsi="Verdana"/>
          <w:sz w:val="20"/>
          <w:szCs w:val="20"/>
        </w:rPr>
        <w:t xml:space="preserve">” sería equivalente a la participación en decisiones relativas a la propiedad </w:t>
      </w:r>
      <w:r w:rsidRPr="00520604">
        <w:rPr>
          <w:rFonts w:ascii="Verdana" w:hAnsi="Verdana"/>
          <w:i/>
          <w:sz w:val="20"/>
          <w:szCs w:val="20"/>
        </w:rPr>
        <w:t xml:space="preserve">privada </w:t>
      </w:r>
      <w:r w:rsidRPr="00520604">
        <w:rPr>
          <w:rFonts w:ascii="Verdana" w:hAnsi="Verdana"/>
          <w:sz w:val="20"/>
          <w:szCs w:val="20"/>
        </w:rPr>
        <w:t xml:space="preserve">de carácter colectivo. Tampoco se explica por qué lo relativo a la propiedad </w:t>
      </w:r>
      <w:r w:rsidRPr="00520604">
        <w:rPr>
          <w:rFonts w:ascii="Verdana" w:hAnsi="Verdana"/>
          <w:i/>
          <w:sz w:val="20"/>
          <w:szCs w:val="20"/>
        </w:rPr>
        <w:t>privada</w:t>
      </w:r>
      <w:r w:rsidRPr="00520604">
        <w:rPr>
          <w:rFonts w:ascii="Verdana" w:hAnsi="Verdana"/>
          <w:sz w:val="20"/>
          <w:szCs w:val="20"/>
        </w:rPr>
        <w:t xml:space="preserve"> o a alguno de sus corolarios sería un “</w:t>
      </w:r>
      <w:r w:rsidRPr="00520604">
        <w:rPr>
          <w:rFonts w:ascii="Verdana" w:hAnsi="Verdana"/>
          <w:i/>
          <w:sz w:val="20"/>
          <w:szCs w:val="20"/>
        </w:rPr>
        <w:t>asunto de interés público”.</w:t>
      </w:r>
    </w:p>
    <w:p w14:paraId="41951614" w14:textId="77777777" w:rsidR="00907AD9" w:rsidRPr="00520604" w:rsidRDefault="00907AD9" w:rsidP="00907AD9">
      <w:pPr>
        <w:ind w:left="720"/>
        <w:jc w:val="both"/>
        <w:rPr>
          <w:rFonts w:ascii="Verdana" w:hAnsi="Verdana"/>
          <w:sz w:val="20"/>
          <w:szCs w:val="20"/>
        </w:rPr>
      </w:pPr>
    </w:p>
    <w:p w14:paraId="0F7CD28A" w14:textId="77777777" w:rsidR="00907AD9" w:rsidRPr="00520604" w:rsidRDefault="00907AD9" w:rsidP="00907AD9">
      <w:pPr>
        <w:numPr>
          <w:ilvl w:val="1"/>
          <w:numId w:val="53"/>
        </w:numPr>
        <w:spacing w:after="160" w:line="259" w:lineRule="auto"/>
        <w:ind w:left="0" w:firstLine="720"/>
        <w:jc w:val="both"/>
        <w:rPr>
          <w:rFonts w:ascii="Verdana" w:hAnsi="Verdana"/>
          <w:sz w:val="20"/>
          <w:szCs w:val="20"/>
        </w:rPr>
      </w:pPr>
      <w:r w:rsidRPr="00520604">
        <w:rPr>
          <w:rFonts w:ascii="Verdana" w:hAnsi="Verdana"/>
          <w:sz w:val="20"/>
          <w:szCs w:val="20"/>
        </w:rPr>
        <w:t>En el párrafo en que se formula la conclusión final a este respecto (párr. 230) se menciona la presunta violación del art. 23, pero los únicos fundamentos expuestos se refieren al artículo 21, relativo a la propiedad privada, y no al derecho a participar en la conducción de los asuntos públicos consagrado en el artículo 23, que tiene un sentido y un contenido muy diferentes.</w:t>
      </w:r>
    </w:p>
    <w:p w14:paraId="42A5A05F" w14:textId="77777777" w:rsidR="00907AD9" w:rsidRPr="00520604" w:rsidRDefault="00907AD9" w:rsidP="00907AD9">
      <w:pPr>
        <w:jc w:val="both"/>
        <w:rPr>
          <w:rFonts w:ascii="Verdana" w:hAnsi="Verdana"/>
          <w:sz w:val="20"/>
          <w:szCs w:val="20"/>
        </w:rPr>
      </w:pPr>
    </w:p>
    <w:p w14:paraId="670624BE" w14:textId="77777777" w:rsidR="00907AD9" w:rsidRPr="00520604" w:rsidRDefault="00907AD9" w:rsidP="00907AD9">
      <w:pPr>
        <w:jc w:val="both"/>
        <w:rPr>
          <w:rFonts w:ascii="Verdana" w:hAnsi="Verdana"/>
          <w:sz w:val="20"/>
          <w:szCs w:val="20"/>
        </w:rPr>
      </w:pPr>
      <w:r w:rsidRPr="00520604">
        <w:rPr>
          <w:rFonts w:ascii="Verdana" w:hAnsi="Verdana"/>
          <w:sz w:val="20"/>
          <w:szCs w:val="20"/>
        </w:rPr>
        <w:lastRenderedPageBreak/>
        <w:t>Las restantes menciones al artículo 23 están contenidas en el capítulo de reparaciones (VII) y obviamente se remiten a lo dicho en el capítulo de fondo (VI) sin añadir fundamentos al respecto (párrs. 278, 295, 304). Al contrario, cuando se explicitan los fundamentos de las alegadas violaciones sólo se alude a “la falta de participación efectiva frente a proyectos de explotación en el área de la reserva” (párr. 278-c) o a “la falta de mecanismos que garanticen la participación efectiva, a través de un proceso de consulta” (párr. 304-d).</w:t>
      </w:r>
    </w:p>
    <w:p w14:paraId="71BC6AC2" w14:textId="77777777" w:rsidR="00907AD9" w:rsidRPr="00520604" w:rsidRDefault="00907AD9" w:rsidP="00907AD9">
      <w:pPr>
        <w:jc w:val="both"/>
        <w:rPr>
          <w:rFonts w:ascii="Verdana" w:hAnsi="Verdana"/>
          <w:sz w:val="20"/>
          <w:szCs w:val="20"/>
        </w:rPr>
      </w:pPr>
    </w:p>
    <w:p w14:paraId="6458773B" w14:textId="77777777" w:rsidR="00907AD9" w:rsidRPr="00520604" w:rsidRDefault="00907AD9" w:rsidP="00907AD9">
      <w:pPr>
        <w:jc w:val="both"/>
        <w:rPr>
          <w:rFonts w:ascii="Verdana" w:hAnsi="Verdana"/>
          <w:sz w:val="20"/>
          <w:szCs w:val="20"/>
        </w:rPr>
      </w:pPr>
      <w:r w:rsidRPr="00520604">
        <w:rPr>
          <w:rFonts w:ascii="Verdana" w:hAnsi="Verdana"/>
          <w:sz w:val="20"/>
          <w:szCs w:val="20"/>
        </w:rPr>
        <w:t>De lo dicho se desprende que es aplicable también en este aspecto la conclusión ya transcripta (</w:t>
      </w:r>
      <w:r w:rsidRPr="00520604">
        <w:rPr>
          <w:rFonts w:ascii="Verdana" w:hAnsi="Verdana"/>
          <w:i/>
          <w:sz w:val="20"/>
          <w:szCs w:val="20"/>
        </w:rPr>
        <w:t>supra,</w:t>
      </w:r>
      <w:r w:rsidRPr="00520604">
        <w:rPr>
          <w:rFonts w:ascii="Verdana" w:hAnsi="Verdana"/>
          <w:sz w:val="20"/>
          <w:szCs w:val="20"/>
        </w:rPr>
        <w:t xml:space="preserve"> párr. 13) a que se llegó en el caso Sarayaku respecto de la presunta violación de los artículos 13 y 23: “</w:t>
      </w:r>
      <w:r w:rsidRPr="00520604">
        <w:rPr>
          <w:rFonts w:ascii="Verdana" w:hAnsi="Verdana"/>
          <w:i/>
          <w:sz w:val="20"/>
          <w:szCs w:val="20"/>
        </w:rPr>
        <w:t>la Corte considera que en el presente caso los hechos han sido suficientemente analizados, y las violaciones conceptualizadas, bajo los derechos a la propiedad comunal, a la consulta y a la identidad cultural del Pueblo Sarayaku, en los términos del artículo 21 de la Convención, en relación con los artículos 1.1 y 2 de la misma, por lo que no se pronuncia sobre la alegada violación de aquellas normas</w:t>
      </w:r>
      <w:r w:rsidRPr="00520604">
        <w:rPr>
          <w:rFonts w:ascii="Verdana" w:hAnsi="Verdana"/>
          <w:sz w:val="20"/>
          <w:szCs w:val="20"/>
        </w:rPr>
        <w:t>”.</w:t>
      </w:r>
    </w:p>
    <w:p w14:paraId="30E2FBB6" w14:textId="77777777" w:rsidR="00907AD9" w:rsidRPr="00520604" w:rsidRDefault="00907AD9" w:rsidP="00907AD9">
      <w:pPr>
        <w:jc w:val="both"/>
        <w:rPr>
          <w:rFonts w:ascii="Verdana" w:hAnsi="Verdana"/>
          <w:sz w:val="20"/>
          <w:szCs w:val="20"/>
        </w:rPr>
      </w:pPr>
    </w:p>
    <w:p w14:paraId="0EDF3077" w14:textId="77777777" w:rsidR="00907AD9" w:rsidRPr="00520604" w:rsidRDefault="00907AD9" w:rsidP="00907AD9">
      <w:pPr>
        <w:jc w:val="both"/>
        <w:rPr>
          <w:rFonts w:ascii="Verdana" w:hAnsi="Verdana"/>
          <w:sz w:val="20"/>
          <w:szCs w:val="20"/>
        </w:rPr>
      </w:pPr>
      <w:r w:rsidRPr="00520604">
        <w:rPr>
          <w:rFonts w:ascii="Verdana" w:hAnsi="Verdana"/>
          <w:sz w:val="20"/>
          <w:szCs w:val="20"/>
        </w:rPr>
        <w:t>En consecuencia, no corresponde declarar una violación del artículo 23 de la Convención, siendo suficiente declarar la violación del artículo 21 (Derecho a la propiedad privada).</w:t>
      </w:r>
    </w:p>
    <w:p w14:paraId="2352F350" w14:textId="77777777" w:rsidR="00907AD9" w:rsidRPr="00520604" w:rsidRDefault="00907AD9" w:rsidP="00907AD9">
      <w:pPr>
        <w:jc w:val="both"/>
        <w:rPr>
          <w:rFonts w:ascii="Verdana" w:hAnsi="Verdana"/>
          <w:sz w:val="20"/>
          <w:szCs w:val="20"/>
        </w:rPr>
      </w:pPr>
    </w:p>
    <w:p w14:paraId="404D12BD" w14:textId="77777777" w:rsidR="00907AD9" w:rsidRPr="00520604" w:rsidRDefault="00907AD9" w:rsidP="00907AD9">
      <w:pPr>
        <w:numPr>
          <w:ilvl w:val="0"/>
          <w:numId w:val="54"/>
        </w:numPr>
        <w:spacing w:after="160" w:line="259" w:lineRule="auto"/>
        <w:ind w:left="0" w:firstLine="0"/>
        <w:jc w:val="center"/>
        <w:rPr>
          <w:rFonts w:ascii="Verdana" w:hAnsi="Verdana"/>
          <w:b/>
          <w:sz w:val="20"/>
          <w:szCs w:val="20"/>
        </w:rPr>
      </w:pPr>
      <w:r w:rsidRPr="00520604">
        <w:rPr>
          <w:rFonts w:ascii="Verdana" w:hAnsi="Verdana"/>
          <w:b/>
          <w:sz w:val="20"/>
          <w:szCs w:val="20"/>
        </w:rPr>
        <w:t>Conclusiones</w:t>
      </w:r>
    </w:p>
    <w:p w14:paraId="67D4ABDB" w14:textId="77777777" w:rsidR="00907AD9" w:rsidRPr="00520604" w:rsidRDefault="00907AD9" w:rsidP="00907AD9">
      <w:pPr>
        <w:rPr>
          <w:rFonts w:ascii="Verdana" w:hAnsi="Verdana"/>
          <w:i/>
          <w:sz w:val="20"/>
          <w:szCs w:val="20"/>
        </w:rPr>
      </w:pPr>
    </w:p>
    <w:p w14:paraId="64D1F089" w14:textId="77777777" w:rsidR="00907AD9" w:rsidRPr="00520604" w:rsidRDefault="00907AD9" w:rsidP="00907AD9">
      <w:pPr>
        <w:jc w:val="both"/>
        <w:rPr>
          <w:rFonts w:ascii="Verdana" w:hAnsi="Verdana"/>
          <w:sz w:val="20"/>
          <w:szCs w:val="20"/>
        </w:rPr>
      </w:pPr>
      <w:r w:rsidRPr="00520604">
        <w:rPr>
          <w:rFonts w:ascii="Verdana" w:hAnsi="Verdana"/>
          <w:sz w:val="20"/>
          <w:szCs w:val="20"/>
        </w:rPr>
        <w:t>En conclusión:</w:t>
      </w:r>
    </w:p>
    <w:p w14:paraId="65059AE6" w14:textId="77777777" w:rsidR="00907AD9" w:rsidRPr="00520604" w:rsidRDefault="00907AD9" w:rsidP="00907AD9">
      <w:pPr>
        <w:jc w:val="both"/>
        <w:rPr>
          <w:rFonts w:ascii="Verdana" w:hAnsi="Verdana"/>
          <w:sz w:val="20"/>
          <w:szCs w:val="20"/>
        </w:rPr>
      </w:pPr>
    </w:p>
    <w:p w14:paraId="23144F4F" w14:textId="77777777" w:rsidR="00907AD9" w:rsidRPr="00520604" w:rsidRDefault="00907AD9" w:rsidP="00907AD9">
      <w:pPr>
        <w:numPr>
          <w:ilvl w:val="1"/>
          <w:numId w:val="53"/>
        </w:numPr>
        <w:spacing w:after="160" w:line="259" w:lineRule="auto"/>
        <w:ind w:left="1134" w:hanging="731"/>
        <w:jc w:val="both"/>
        <w:rPr>
          <w:rFonts w:ascii="Verdana" w:hAnsi="Verdana"/>
          <w:sz w:val="20"/>
          <w:szCs w:val="20"/>
        </w:rPr>
      </w:pPr>
      <w:r w:rsidRPr="00520604">
        <w:rPr>
          <w:rFonts w:ascii="Verdana" w:hAnsi="Verdana"/>
          <w:sz w:val="20"/>
          <w:szCs w:val="20"/>
        </w:rPr>
        <w:t>No corresponde declarar que se han violado los artículos 3, 13 y 23 de la Convención Americana;</w:t>
      </w:r>
    </w:p>
    <w:p w14:paraId="5D3356CD" w14:textId="77777777" w:rsidR="00907AD9" w:rsidRPr="00520604" w:rsidRDefault="00907AD9" w:rsidP="00907AD9">
      <w:pPr>
        <w:numPr>
          <w:ilvl w:val="1"/>
          <w:numId w:val="53"/>
        </w:numPr>
        <w:spacing w:after="160" w:line="259" w:lineRule="auto"/>
        <w:ind w:left="1134" w:hanging="731"/>
        <w:jc w:val="both"/>
        <w:rPr>
          <w:rFonts w:ascii="Verdana" w:hAnsi="Verdana"/>
          <w:sz w:val="20"/>
          <w:szCs w:val="20"/>
        </w:rPr>
      </w:pPr>
      <w:r w:rsidRPr="00520604">
        <w:rPr>
          <w:rFonts w:ascii="Verdana" w:hAnsi="Verdana"/>
          <w:sz w:val="20"/>
          <w:szCs w:val="20"/>
        </w:rPr>
        <w:t>Basta con declarar que se han violado los artículos 21 (derecho a la propiedad privada comunal), con los consiguientes derechos al reconocimiento de la personería jurídica y a la consulta y a la identidad cultural y 25 (derecho a la protección judicial) de la Convención Americana.</w:t>
      </w:r>
    </w:p>
    <w:p w14:paraId="1595CCCB" w14:textId="77777777" w:rsidR="00907AD9" w:rsidRPr="00520604" w:rsidRDefault="00907AD9" w:rsidP="00907AD9">
      <w:pPr>
        <w:spacing w:after="240"/>
        <w:jc w:val="both"/>
      </w:pPr>
    </w:p>
    <w:p w14:paraId="2EDE44D0" w14:textId="77777777" w:rsidR="00907AD9" w:rsidRPr="00520604" w:rsidRDefault="00907AD9" w:rsidP="00907AD9">
      <w:pPr>
        <w:spacing w:after="240"/>
        <w:jc w:val="both"/>
      </w:pPr>
    </w:p>
    <w:p w14:paraId="2002BAD4" w14:textId="77777777" w:rsidR="00907AD9" w:rsidRPr="00520604" w:rsidRDefault="00907AD9" w:rsidP="00907AD9">
      <w:pPr>
        <w:spacing w:after="240"/>
        <w:jc w:val="both"/>
      </w:pPr>
    </w:p>
    <w:p w14:paraId="23C613A2" w14:textId="77777777" w:rsidR="00907AD9" w:rsidRPr="00520604" w:rsidRDefault="00907AD9" w:rsidP="00907AD9">
      <w:pPr>
        <w:ind w:left="1134"/>
        <w:jc w:val="both"/>
        <w:rPr>
          <w:rFonts w:ascii="Verdana" w:hAnsi="Verdana"/>
          <w:sz w:val="20"/>
          <w:szCs w:val="20"/>
        </w:rPr>
      </w:pPr>
    </w:p>
    <w:p w14:paraId="00EC05AC" w14:textId="77777777" w:rsidR="00907AD9" w:rsidRPr="00520604" w:rsidRDefault="00907AD9" w:rsidP="00907AD9">
      <w:pPr>
        <w:widowControl w:val="0"/>
        <w:adjustRightInd w:val="0"/>
        <w:ind w:left="5041"/>
        <w:jc w:val="center"/>
        <w:rPr>
          <w:rFonts w:ascii="Verdana" w:eastAsia="Times New Roman" w:hAnsi="Verdana"/>
          <w:spacing w:val="-4"/>
          <w:sz w:val="20"/>
          <w:szCs w:val="20"/>
          <w:lang w:val="es-CR" w:eastAsia="es-CR"/>
        </w:rPr>
      </w:pPr>
      <w:r w:rsidRPr="00520604">
        <w:rPr>
          <w:rFonts w:ascii="Verdana" w:eastAsia="Times New Roman" w:hAnsi="Verdana"/>
          <w:spacing w:val="-4"/>
          <w:sz w:val="20"/>
          <w:szCs w:val="20"/>
          <w:lang w:val="es-CR" w:eastAsia="es-CR"/>
        </w:rPr>
        <w:t>Alberto Pérez Pérez</w:t>
      </w:r>
    </w:p>
    <w:p w14:paraId="79A24676" w14:textId="77777777" w:rsidR="00907AD9" w:rsidRPr="00520604" w:rsidRDefault="00907AD9" w:rsidP="00907AD9">
      <w:pPr>
        <w:widowControl w:val="0"/>
        <w:adjustRightInd w:val="0"/>
        <w:ind w:left="5041"/>
        <w:jc w:val="center"/>
        <w:rPr>
          <w:rFonts w:ascii="Verdana" w:eastAsia="Times New Roman" w:hAnsi="Verdana"/>
          <w:spacing w:val="-4"/>
          <w:sz w:val="20"/>
          <w:szCs w:val="20"/>
          <w:lang w:val="es-CR" w:eastAsia="es-CR"/>
        </w:rPr>
      </w:pPr>
      <w:r w:rsidRPr="00520604">
        <w:rPr>
          <w:rFonts w:ascii="Verdana" w:eastAsia="Times New Roman" w:hAnsi="Verdana"/>
          <w:spacing w:val="-4"/>
          <w:sz w:val="20"/>
          <w:szCs w:val="20"/>
          <w:lang w:val="es-CR" w:eastAsia="es-CR"/>
        </w:rPr>
        <w:t>Juez</w:t>
      </w:r>
    </w:p>
    <w:p w14:paraId="617618CC" w14:textId="77777777" w:rsidR="00907AD9" w:rsidRPr="00520604" w:rsidRDefault="00907AD9" w:rsidP="00907AD9">
      <w:pPr>
        <w:spacing w:after="160" w:line="256" w:lineRule="auto"/>
        <w:jc w:val="both"/>
        <w:rPr>
          <w:rFonts w:ascii="Verdana" w:hAnsi="Verdana"/>
          <w:i/>
          <w:sz w:val="20"/>
          <w:szCs w:val="20"/>
        </w:rPr>
      </w:pPr>
    </w:p>
    <w:p w14:paraId="0AA24020" w14:textId="77777777" w:rsidR="00907AD9" w:rsidRPr="00520604" w:rsidRDefault="00907AD9" w:rsidP="00907AD9">
      <w:pPr>
        <w:spacing w:after="160" w:line="256" w:lineRule="auto"/>
        <w:jc w:val="both"/>
        <w:rPr>
          <w:rFonts w:ascii="Verdana" w:hAnsi="Verdana"/>
          <w:i/>
          <w:sz w:val="20"/>
          <w:szCs w:val="20"/>
        </w:rPr>
      </w:pPr>
    </w:p>
    <w:p w14:paraId="0D82C253" w14:textId="77777777" w:rsidR="00907AD9" w:rsidRPr="00520604" w:rsidRDefault="00907AD9" w:rsidP="00907AD9">
      <w:pPr>
        <w:spacing w:after="160" w:line="256" w:lineRule="auto"/>
        <w:jc w:val="both"/>
        <w:rPr>
          <w:rFonts w:ascii="Verdana" w:hAnsi="Verdana"/>
          <w:i/>
          <w:sz w:val="20"/>
          <w:szCs w:val="20"/>
        </w:rPr>
      </w:pPr>
    </w:p>
    <w:p w14:paraId="6C65B48E" w14:textId="77777777" w:rsidR="00907AD9" w:rsidRPr="00520604" w:rsidRDefault="00907AD9" w:rsidP="00907AD9">
      <w:pPr>
        <w:widowControl w:val="0"/>
        <w:adjustRightInd w:val="0"/>
        <w:ind w:firstLine="708"/>
        <w:jc w:val="both"/>
        <w:rPr>
          <w:rFonts w:ascii="Verdana" w:eastAsia="Times New Roman" w:hAnsi="Verdana" w:cs="Verdana"/>
          <w:spacing w:val="-4"/>
          <w:sz w:val="20"/>
          <w:szCs w:val="20"/>
          <w:lang w:val="es-CR" w:eastAsia="es-CR"/>
        </w:rPr>
      </w:pPr>
      <w:r w:rsidRPr="00520604">
        <w:rPr>
          <w:rFonts w:ascii="Verdana" w:eastAsia="Times New Roman" w:hAnsi="Verdana" w:cs="Verdana"/>
          <w:spacing w:val="-4"/>
          <w:sz w:val="20"/>
          <w:szCs w:val="20"/>
          <w:lang w:val="es-CR" w:eastAsia="es-CR"/>
        </w:rPr>
        <w:t>Pablo Saavedra Alessandri</w:t>
      </w:r>
    </w:p>
    <w:p w14:paraId="14CC9397" w14:textId="77777777" w:rsidR="00907AD9" w:rsidRPr="00520604" w:rsidRDefault="00907AD9" w:rsidP="00907AD9">
      <w:pPr>
        <w:widowControl w:val="0"/>
        <w:adjustRightInd w:val="0"/>
        <w:jc w:val="both"/>
        <w:rPr>
          <w:rFonts w:ascii="Verdana" w:eastAsia="Times New Roman" w:hAnsi="Verdana" w:cs="Verdana"/>
          <w:spacing w:val="-4"/>
          <w:sz w:val="20"/>
          <w:szCs w:val="20"/>
          <w:lang w:val="es-CR" w:eastAsia="es-CR"/>
        </w:rPr>
      </w:pPr>
      <w:r w:rsidRPr="00520604">
        <w:rPr>
          <w:rFonts w:ascii="Verdana" w:eastAsia="Times New Roman" w:hAnsi="Verdana" w:cs="Verdana"/>
          <w:spacing w:val="-4"/>
          <w:sz w:val="20"/>
          <w:szCs w:val="20"/>
          <w:lang w:val="es-CR" w:eastAsia="es-CR"/>
        </w:rPr>
        <w:tab/>
      </w:r>
      <w:r w:rsidRPr="00520604">
        <w:rPr>
          <w:rFonts w:ascii="Verdana" w:eastAsia="Times New Roman" w:hAnsi="Verdana" w:cs="Verdana"/>
          <w:spacing w:val="-4"/>
          <w:sz w:val="20"/>
          <w:szCs w:val="20"/>
          <w:lang w:val="es-CR" w:eastAsia="es-CR"/>
        </w:rPr>
        <w:tab/>
        <w:t xml:space="preserve">  Secretario</w:t>
      </w:r>
    </w:p>
    <w:p w14:paraId="6810BBB9" w14:textId="7DE00B12" w:rsidR="005E7791" w:rsidRPr="00E01687" w:rsidRDefault="005E7791" w:rsidP="004B0145">
      <w:pPr>
        <w:spacing w:after="200" w:line="276" w:lineRule="auto"/>
        <w:rPr>
          <w:rFonts w:ascii="Verdana" w:hAnsi="Verdana"/>
          <w:strike/>
          <w:sz w:val="16"/>
          <w:szCs w:val="16"/>
          <w:lang w:val="es-ES"/>
        </w:rPr>
      </w:pPr>
    </w:p>
    <w:sectPr w:rsidR="005E7791" w:rsidRPr="00E01687" w:rsidSect="00907AD9">
      <w:footnotePr>
        <w:numRestart w:val="eachSect"/>
      </w:footnotePr>
      <w:pgSz w:w="12240" w:h="15840" w:code="1"/>
      <w:pgMar w:top="1304" w:right="1304" w:bottom="1304" w:left="130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FFC0D" w14:textId="77777777" w:rsidR="004062C2" w:rsidRDefault="004062C2" w:rsidP="00E4033A">
      <w:r>
        <w:separator/>
      </w:r>
    </w:p>
  </w:endnote>
  <w:endnote w:type="continuationSeparator" w:id="0">
    <w:p w14:paraId="3B076220" w14:textId="77777777" w:rsidR="004062C2" w:rsidRDefault="004062C2" w:rsidP="00E4033A">
      <w:r>
        <w:continuationSeparator/>
      </w:r>
    </w:p>
  </w:endnote>
  <w:endnote w:type="continuationNotice" w:id="1">
    <w:p w14:paraId="75DE6FEC" w14:textId="77777777" w:rsidR="004062C2" w:rsidRDefault="00406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sig w:usb0="00000003" w:usb1="08070000" w:usb2="00000010" w:usb3="00000000" w:csb0="00020001" w:csb1="00000000"/>
  </w:font>
  <w:font w:name="Verdana Bol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F36AA" w14:textId="77777777" w:rsidR="00247DB8" w:rsidRPr="0029271A" w:rsidRDefault="00247DB8">
    <w:pPr>
      <w:pStyle w:val="Footer"/>
      <w:jc w:val="center"/>
      <w:rPr>
        <w:rFonts w:ascii="Verdana" w:hAnsi="Verdana"/>
        <w:sz w:val="20"/>
        <w:szCs w:val="20"/>
      </w:rPr>
    </w:pPr>
    <w:r w:rsidRPr="0029271A">
      <w:rPr>
        <w:rFonts w:ascii="Verdana" w:hAnsi="Verdana"/>
        <w:sz w:val="20"/>
        <w:szCs w:val="20"/>
      </w:rPr>
      <w:fldChar w:fldCharType="begin"/>
    </w:r>
    <w:r w:rsidRPr="0029271A">
      <w:rPr>
        <w:rFonts w:ascii="Verdana" w:hAnsi="Verdana"/>
        <w:sz w:val="20"/>
        <w:szCs w:val="20"/>
      </w:rPr>
      <w:instrText xml:space="preserve"> PAGE   \* MERGEFORMAT </w:instrText>
    </w:r>
    <w:r w:rsidRPr="0029271A">
      <w:rPr>
        <w:rFonts w:ascii="Verdana" w:hAnsi="Verdana"/>
        <w:sz w:val="20"/>
        <w:szCs w:val="20"/>
      </w:rPr>
      <w:fldChar w:fldCharType="separate"/>
    </w:r>
    <w:r w:rsidR="00BB4A13">
      <w:rPr>
        <w:rFonts w:ascii="Verdana" w:hAnsi="Verdana"/>
        <w:noProof/>
        <w:sz w:val="20"/>
        <w:szCs w:val="20"/>
      </w:rPr>
      <w:t>3</w:t>
    </w:r>
    <w:r w:rsidRPr="0029271A">
      <w:rPr>
        <w:rFonts w:ascii="Verdana" w:hAnsi="Verdana"/>
        <w:sz w:val="20"/>
        <w:szCs w:val="20"/>
      </w:rPr>
      <w:fldChar w:fldCharType="end"/>
    </w:r>
  </w:p>
  <w:p w14:paraId="5300CAA2" w14:textId="77777777" w:rsidR="00247DB8" w:rsidRDefault="00247D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9EFB" w14:textId="77777777" w:rsidR="00907AD9" w:rsidRDefault="00907A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271950"/>
      <w:docPartObj>
        <w:docPartGallery w:val="Page Numbers (Bottom of Page)"/>
        <w:docPartUnique/>
      </w:docPartObj>
    </w:sdtPr>
    <w:sdtEndPr/>
    <w:sdtContent>
      <w:p w14:paraId="66D751C6" w14:textId="77777777" w:rsidR="00907AD9" w:rsidRDefault="00907AD9">
        <w:pPr>
          <w:pStyle w:val="Footer"/>
          <w:jc w:val="center"/>
        </w:pPr>
        <w:r>
          <w:fldChar w:fldCharType="begin"/>
        </w:r>
        <w:r>
          <w:instrText>PAGE   \* MERGEFORMAT</w:instrText>
        </w:r>
        <w:r>
          <w:fldChar w:fldCharType="separate"/>
        </w:r>
        <w:r w:rsidR="00BB4A13" w:rsidRPr="00BB4A13">
          <w:rPr>
            <w:noProof/>
            <w:lang w:val="es-ES"/>
          </w:rPr>
          <w:t>9</w:t>
        </w:r>
        <w:r>
          <w:fldChar w:fldCharType="end"/>
        </w:r>
      </w:p>
    </w:sdtContent>
  </w:sdt>
  <w:p w14:paraId="6D6914C9" w14:textId="77777777" w:rsidR="00907AD9" w:rsidRDefault="00907A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095ED" w14:textId="77777777" w:rsidR="00907AD9" w:rsidRDefault="00907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60982" w14:textId="77777777" w:rsidR="004062C2" w:rsidRDefault="004062C2" w:rsidP="00E4033A">
      <w:r>
        <w:separator/>
      </w:r>
    </w:p>
  </w:footnote>
  <w:footnote w:type="continuationSeparator" w:id="0">
    <w:p w14:paraId="7BF6B365" w14:textId="77777777" w:rsidR="004062C2" w:rsidRDefault="004062C2" w:rsidP="00E4033A">
      <w:r>
        <w:continuationSeparator/>
      </w:r>
    </w:p>
  </w:footnote>
  <w:footnote w:type="continuationNotice" w:id="1">
    <w:p w14:paraId="2198729E" w14:textId="77777777" w:rsidR="004062C2" w:rsidRDefault="004062C2"/>
  </w:footnote>
  <w:footnote w:id="2">
    <w:p w14:paraId="493AF5F1"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El 26 de enero de 2014 la Corte recibió el escrito de sometimiento del caso en español, el cual fue remitido en inglés dos días después, es decir el 28 de enero de 2014. La Corte tomará esta última fecha como la de sometimiento del caso, al ser el inglés el idioma oficial del mismo (expediente de fondo, folio 8</w:t>
      </w:r>
      <w:r w:rsidRPr="00606243">
        <w:t>8).</w:t>
      </w:r>
    </w:p>
  </w:footnote>
  <w:footnote w:id="3">
    <w:p w14:paraId="75FA06C6" w14:textId="77777777" w:rsidR="00247DB8" w:rsidRPr="007E20F9" w:rsidRDefault="00247DB8" w:rsidP="005758E6">
      <w:pPr>
        <w:pStyle w:val="xmsonormal"/>
        <w:tabs>
          <w:tab w:val="left" w:pos="540"/>
        </w:tabs>
        <w:spacing w:before="0" w:beforeAutospacing="0" w:afterLines="40" w:after="96" w:afterAutospacing="0"/>
        <w:jc w:val="both"/>
        <w:rPr>
          <w:color w:val="000000"/>
          <w:lang w:val="es-CR"/>
        </w:rPr>
      </w:pPr>
      <w:r w:rsidRPr="007E20F9">
        <w:rPr>
          <w:rStyle w:val="FootnoteReference"/>
          <w:sz w:val="16"/>
          <w:szCs w:val="16"/>
        </w:rPr>
        <w:footnoteRef/>
      </w:r>
      <w:r w:rsidRPr="007E20F9">
        <w:rPr>
          <w:rFonts w:ascii="Verdana" w:hAnsi="Verdana"/>
          <w:sz w:val="16"/>
          <w:szCs w:val="16"/>
          <w:lang w:val="es-PE"/>
        </w:rPr>
        <w:t xml:space="preserve"> </w:t>
      </w:r>
      <w:r w:rsidRPr="007E20F9">
        <w:rPr>
          <w:rFonts w:ascii="Verdana" w:hAnsi="Verdana"/>
          <w:sz w:val="16"/>
          <w:szCs w:val="16"/>
          <w:lang w:val="es-PE"/>
        </w:rPr>
        <w:tab/>
        <w:t>La organización CLIM</w:t>
      </w:r>
      <w:r>
        <w:rPr>
          <w:rFonts w:ascii="Verdana" w:hAnsi="Verdana"/>
          <w:sz w:val="16"/>
          <w:szCs w:val="16"/>
          <w:lang w:val="es-PE"/>
        </w:rPr>
        <w:t xml:space="preserve"> </w:t>
      </w:r>
      <w:r w:rsidRPr="007E20F9">
        <w:rPr>
          <w:rFonts w:ascii="Verdana" w:hAnsi="Verdana"/>
          <w:sz w:val="16"/>
          <w:szCs w:val="16"/>
          <w:lang w:val="es-PE"/>
        </w:rPr>
        <w:t>(</w:t>
      </w:r>
      <w:r w:rsidRPr="007E20F9">
        <w:rPr>
          <w:rFonts w:ascii="Verdana" w:hAnsi="Verdana"/>
          <w:color w:val="000000"/>
          <w:sz w:val="16"/>
          <w:szCs w:val="16"/>
          <w:lang w:val="es-CR"/>
        </w:rPr>
        <w:t xml:space="preserve">Lower Marowijne Indigenous Lands Rights Commission) </w:t>
      </w:r>
      <w:r w:rsidRPr="007E20F9">
        <w:rPr>
          <w:rFonts w:ascii="Verdana" w:hAnsi="Verdana"/>
          <w:sz w:val="16"/>
          <w:szCs w:val="16"/>
          <w:lang w:val="es-PE"/>
        </w:rPr>
        <w:t xml:space="preserve">cambió de nombre posteriormente a KLIM (Organization of Kaliña and Lokono Indigenous Peoples of Marowijne) conforme a lo señalado en un reporte de actividades elaborado por VIDS y KLIM respecto de su participación en el caso ante la Comisión Interamericana </w:t>
      </w:r>
      <w:r w:rsidRPr="007E20F9">
        <w:rPr>
          <w:rFonts w:ascii="Verdana" w:hAnsi="Verdana"/>
          <w:color w:val="000000"/>
          <w:sz w:val="16"/>
          <w:szCs w:val="16"/>
          <w:lang w:val="es-CR"/>
        </w:rPr>
        <w:t xml:space="preserve"> (expediente de prueba, folio 2098).</w:t>
      </w:r>
    </w:p>
  </w:footnote>
  <w:footnote w:id="4">
    <w:p w14:paraId="7EE5D265" w14:textId="2FB653F1" w:rsidR="00247DB8" w:rsidRPr="00C271B5" w:rsidRDefault="00247DB8" w:rsidP="005758E6">
      <w:pPr>
        <w:pStyle w:val="FootnoteText"/>
        <w:spacing w:afterLines="40" w:after="96"/>
      </w:pPr>
      <w:r w:rsidRPr="006B297B">
        <w:rPr>
          <w:rStyle w:val="FootnoteReference"/>
          <w:sz w:val="16"/>
        </w:rPr>
        <w:footnoteRef/>
      </w:r>
      <w:r w:rsidRPr="00C271B5">
        <w:t xml:space="preserve"> </w:t>
      </w:r>
      <w:r w:rsidRPr="00C271B5">
        <w:tab/>
        <w:t xml:space="preserve">La representación legal de los peticionarios durante el procedimiento ante la Comisión </w:t>
      </w:r>
      <w:r w:rsidRPr="00606243">
        <w:t xml:space="preserve">estuvo a cargo del asesor Fergus MacKay de la organización Forest Peoples Programme; </w:t>
      </w:r>
      <w:r w:rsidRPr="001863DB">
        <w:t>David Padilla, asesor legal adjunto, y Jacqueline Jubithana</w:t>
      </w:r>
      <w:r w:rsidRPr="00C271B5">
        <w:t xml:space="preserve">, asesora legal adjunta (expediente de fondo, folio 9). </w:t>
      </w:r>
    </w:p>
  </w:footnote>
  <w:footnote w:id="5">
    <w:p w14:paraId="1B79DB30" w14:textId="00BF073E" w:rsidR="00247DB8" w:rsidRPr="005758E6" w:rsidRDefault="00247DB8" w:rsidP="005758E6">
      <w:pPr>
        <w:tabs>
          <w:tab w:val="left" w:pos="450"/>
        </w:tabs>
        <w:spacing w:afterLines="40" w:after="96"/>
        <w:jc w:val="both"/>
        <w:rPr>
          <w:rFonts w:ascii="Verdana" w:hAnsi="Verdana"/>
          <w:sz w:val="16"/>
          <w:szCs w:val="16"/>
          <w:lang w:val="es-ES"/>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D53885">
        <w:rPr>
          <w:rFonts w:ascii="Verdana" w:hAnsi="Verdana"/>
          <w:sz w:val="16"/>
          <w:szCs w:val="16"/>
          <w:lang w:val="es-ES"/>
        </w:rPr>
        <w:t>La Comisión señaló en su informe de fondo que, con posterioridad al informe de admisibilidad, los peticionarios alegaron que el hecho de que el Estado no proporcionara detalles sobre las fechas exactas en que diversos títulos de propiedad y arrendamiento se emitieron a personas no indígenas sobre parte del territorio tradicional de los Pueblos Kaliña y Lokono, sin la formulación de una causa que justifique la negativa del otorgamiento de dicha información pública, constituía una violación del artículo 13 de la Convención Americana.</w:t>
      </w:r>
      <w:r>
        <w:rPr>
          <w:rFonts w:ascii="Verdana" w:hAnsi="Verdana"/>
          <w:sz w:val="16"/>
          <w:szCs w:val="16"/>
          <w:lang w:val="es-ES"/>
        </w:rPr>
        <w:t xml:space="preserve"> </w:t>
      </w:r>
      <w:r w:rsidRPr="00D53885">
        <w:rPr>
          <w:rFonts w:ascii="Verdana" w:hAnsi="Verdana"/>
          <w:sz w:val="16"/>
          <w:szCs w:val="16"/>
          <w:lang w:val="es-ES"/>
        </w:rPr>
        <w:t>En su informe de fondo, la Comisión consideró lo ocurrido como parte de los hechos del caso, y los analizó dentro de la violación del derecho a la propiedad colectiva de los Pueblos Kaliña y Lokono, consagrado en el artículo 21 de la Convención</w:t>
      </w:r>
      <w:r>
        <w:rPr>
          <w:rFonts w:ascii="Verdana" w:hAnsi="Verdana"/>
          <w:sz w:val="16"/>
          <w:szCs w:val="16"/>
          <w:lang w:val="es-ES"/>
        </w:rPr>
        <w:t>.</w:t>
      </w:r>
      <w:r w:rsidRPr="00D53885">
        <w:rPr>
          <w:rFonts w:ascii="Verdana" w:hAnsi="Verdana"/>
          <w:sz w:val="16"/>
          <w:szCs w:val="16"/>
          <w:lang w:val="es-ES"/>
        </w:rPr>
        <w:t xml:space="preserve"> </w:t>
      </w:r>
    </w:p>
  </w:footnote>
  <w:footnote w:id="6">
    <w:p w14:paraId="2CDA879F" w14:textId="0D53D77E"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La Comisión designó al Comisionado José de Jesús Orozco Henríquez y al Secretario Ejecutivo Emilio Álvarez Icaza,</w:t>
      </w:r>
      <w:r w:rsidRPr="00606243">
        <w:t xml:space="preserve"> como sus delegados; y a Elizabeth Abi-Mershed, Secretaria </w:t>
      </w:r>
      <w:r w:rsidRPr="007B5E36">
        <w:t>Ejecutiva</w:t>
      </w:r>
      <w:r>
        <w:t xml:space="preserve"> </w:t>
      </w:r>
      <w:r w:rsidRPr="00606243">
        <w:t>Adjunta, y Silvia Serrano Guzmán, abogada de la Secretaría Ejecutiva de la CIDH, como asesoras legales</w:t>
      </w:r>
      <w:r w:rsidRPr="00F876FB">
        <w:t xml:space="preserve">. </w:t>
      </w:r>
    </w:p>
  </w:footnote>
  <w:footnote w:id="7">
    <w:p w14:paraId="5691A7AA"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t>L</w:t>
      </w:r>
      <w:r w:rsidRPr="00606243">
        <w:t xml:space="preserve">a representación del Estado para el presente caso estuvo conformada por el señor Martin M. Misiedjan, Agente, y </w:t>
      </w:r>
      <w:r w:rsidRPr="001863DB">
        <w:t xml:space="preserve">por la señora Dr. Jennifer Van Dijk-Silos, Agente Alterna </w:t>
      </w:r>
      <w:r w:rsidRPr="00C271B5">
        <w:t>(expediente de fondo, folio 96).</w:t>
      </w:r>
    </w:p>
  </w:footnote>
  <w:footnote w:id="8">
    <w:p w14:paraId="2CDA1AD9"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t xml:space="preserve">Los representantes acreditados en el presente caso son el asesor legal </w:t>
      </w:r>
      <w:r w:rsidRPr="00606243">
        <w:t>Fergus MacKay de la organización Forest Peoples Programme, y David Padilla, asesor legal adjunto (expediente de fondo, folio 80</w:t>
      </w:r>
      <w:r w:rsidRPr="001863DB">
        <w:t xml:space="preserve">). </w:t>
      </w:r>
    </w:p>
  </w:footnote>
  <w:footnote w:id="9">
    <w:p w14:paraId="4644B47F"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Caso Pueblos Kaliña y Lokono</w:t>
      </w:r>
      <w:r w:rsidRPr="00606243">
        <w:rPr>
          <w:i/>
        </w:rPr>
        <w:t xml:space="preserve"> Vs. Surinam</w:t>
      </w:r>
      <w:r w:rsidRPr="00606243">
        <w:t>. Resolución del Presidente de la Corte Interamericana de Derechos Humanos de 18 de diciembre de 2014. Disponible en:</w:t>
      </w:r>
      <w:r w:rsidRPr="00606243">
        <w:rPr>
          <w:rStyle w:val="Strong"/>
          <w:color w:val="000000"/>
          <w:shd w:val="clear" w:color="auto" w:fill="FFFFFF"/>
        </w:rPr>
        <w:t xml:space="preserve"> </w:t>
      </w:r>
      <w:hyperlink r:id="rId1" w:history="1">
        <w:r w:rsidRPr="00C271B5">
          <w:rPr>
            <w:rStyle w:val="Hyperlink"/>
            <w:shd w:val="clear" w:color="auto" w:fill="FFFFFF"/>
          </w:rPr>
          <w:t>http://www.corteidh.or.cr/docs/asuntos/kaliñaylokono_18_12_14.pdf</w:t>
        </w:r>
      </w:hyperlink>
      <w:r w:rsidRPr="00C271B5">
        <w:rPr>
          <w:rStyle w:val="Hyperlink"/>
          <w:shd w:val="clear" w:color="auto" w:fill="FFFFFF"/>
        </w:rPr>
        <w:t>.</w:t>
      </w:r>
      <w:r w:rsidRPr="00C271B5">
        <w:rPr>
          <w:rStyle w:val="Strong"/>
          <w:color w:val="000000"/>
          <w:shd w:val="clear" w:color="auto" w:fill="FFFFFF"/>
        </w:rPr>
        <w:t xml:space="preserve"> </w:t>
      </w:r>
    </w:p>
  </w:footnote>
  <w:footnote w:id="10">
    <w:p w14:paraId="54CD58C8" w14:textId="3E26B994" w:rsidR="00247DB8" w:rsidRPr="00C271B5" w:rsidRDefault="00247DB8" w:rsidP="005758E6">
      <w:pPr>
        <w:pStyle w:val="FootnoteText"/>
        <w:spacing w:afterLines="40" w:after="96"/>
      </w:pPr>
      <w:r w:rsidRPr="00C271B5">
        <w:rPr>
          <w:rStyle w:val="FootnoteReference"/>
          <w:sz w:val="16"/>
        </w:rPr>
        <w:footnoteRef/>
      </w:r>
      <w:r w:rsidRPr="00C271B5">
        <w:tab/>
        <w:t>El 15 de enero la Corte requirió al Estado que confirmase el e</w:t>
      </w:r>
      <w:r w:rsidRPr="00606243">
        <w:rPr>
          <w:i/>
        </w:rPr>
        <w:t xml:space="preserve">status </w:t>
      </w:r>
      <w:r w:rsidRPr="00606243">
        <w:t xml:space="preserve">de Claudine </w:t>
      </w:r>
      <w:r w:rsidRPr="00020823">
        <w:t>Sakimi</w:t>
      </w:r>
      <w:r w:rsidRPr="001A4213">
        <w:t>n</w:t>
      </w:r>
      <w:r w:rsidRPr="00606243">
        <w:t xml:space="preserve"> como miembro de su delegación o como testigo, dada la imposibilidad de desempeñar ambas figuras (expediente de fondo, folio 327</w:t>
      </w:r>
      <w:r w:rsidRPr="001863DB">
        <w:t xml:space="preserve">). El 27 de enero de 2015, a través de la presentación del </w:t>
      </w:r>
      <w:r w:rsidRPr="001863DB">
        <w:rPr>
          <w:i/>
        </w:rPr>
        <w:t xml:space="preserve">affidávit </w:t>
      </w:r>
      <w:r w:rsidRPr="00C271B5">
        <w:t>de Claudine Sakimin, el Estado declaró de manera tácita su condición de testigo (expediente de fondo, folio 486) y lo ratificó de manera expresa a través de la comunicación recibida el 29 de enero de 2015 (expediente de fondo, folios 507 y 508).</w:t>
      </w:r>
    </w:p>
  </w:footnote>
  <w:footnote w:id="11">
    <w:p w14:paraId="64D3D908" w14:textId="4BF1FE59" w:rsidR="00247DB8" w:rsidRPr="007E20F9" w:rsidRDefault="00247DB8" w:rsidP="005758E6">
      <w:pPr>
        <w:tabs>
          <w:tab w:val="left" w:pos="567"/>
        </w:tabs>
        <w:spacing w:afterLines="40" w:after="96"/>
        <w:jc w:val="both"/>
        <w:rPr>
          <w:rFonts w:ascii="Verdana" w:hAnsi="Verdana"/>
          <w:sz w:val="16"/>
          <w:szCs w:val="16"/>
        </w:rPr>
      </w:pPr>
      <w:r w:rsidRPr="00C271B5">
        <w:rPr>
          <w:rStyle w:val="FootnoteReference"/>
          <w:sz w:val="16"/>
          <w:szCs w:val="16"/>
        </w:rPr>
        <w:footnoteRef/>
      </w:r>
      <w:r w:rsidRPr="007E20F9">
        <w:rPr>
          <w:rFonts w:ascii="Verdana" w:hAnsi="Verdana"/>
          <w:sz w:val="16"/>
          <w:szCs w:val="16"/>
        </w:rPr>
        <w:t xml:space="preserve"> </w:t>
      </w:r>
      <w:r w:rsidRPr="007E20F9">
        <w:rPr>
          <w:rFonts w:ascii="Verdana" w:hAnsi="Verdana"/>
          <w:sz w:val="16"/>
          <w:szCs w:val="16"/>
        </w:rPr>
        <w:tab/>
      </w:r>
      <w:r w:rsidRPr="00C271B5">
        <w:rPr>
          <w:rFonts w:ascii="Verdana" w:hAnsi="Verdana"/>
          <w:sz w:val="16"/>
          <w:szCs w:val="16"/>
        </w:rPr>
        <w:t>A esta audiencia comparecieron: a) por la Comisión Interamericana:</w:t>
      </w:r>
      <w:r w:rsidRPr="00C271B5">
        <w:rPr>
          <w:rFonts w:ascii="Verdana" w:hAnsi="Verdana"/>
          <w:sz w:val="16"/>
          <w:szCs w:val="16"/>
          <w:lang w:val="es-CR"/>
        </w:rPr>
        <w:t xml:space="preserve"> James Louis Cavallaro, Comisionado</w:t>
      </w:r>
      <w:r w:rsidRPr="00C271B5">
        <w:rPr>
          <w:rFonts w:ascii="Verdana" w:hAnsi="Verdana"/>
          <w:sz w:val="16"/>
          <w:szCs w:val="16"/>
        </w:rPr>
        <w:t xml:space="preserve">, </w:t>
      </w:r>
      <w:r w:rsidRPr="00606243">
        <w:rPr>
          <w:rFonts w:ascii="Verdana" w:hAnsi="Verdana"/>
          <w:sz w:val="16"/>
          <w:szCs w:val="16"/>
          <w:lang w:val="es-CR"/>
        </w:rPr>
        <w:t>Silvia Serrano Guzmán</w:t>
      </w:r>
      <w:r w:rsidRPr="00606243">
        <w:rPr>
          <w:rFonts w:ascii="Verdana" w:hAnsi="Verdana"/>
          <w:sz w:val="16"/>
          <w:szCs w:val="16"/>
        </w:rPr>
        <w:t>,</w:t>
      </w:r>
      <w:r w:rsidRPr="00606243">
        <w:rPr>
          <w:rFonts w:ascii="Verdana" w:hAnsi="Verdana"/>
          <w:sz w:val="16"/>
          <w:szCs w:val="16"/>
          <w:lang w:val="es-CR"/>
        </w:rPr>
        <w:t xml:space="preserve"> Jorge H. Meza Flores</w:t>
      </w:r>
      <w:r w:rsidRPr="00606243">
        <w:rPr>
          <w:rFonts w:ascii="Verdana" w:hAnsi="Verdana"/>
          <w:sz w:val="16"/>
          <w:szCs w:val="16"/>
        </w:rPr>
        <w:t xml:space="preserve"> y </w:t>
      </w:r>
      <w:r w:rsidRPr="00606243">
        <w:rPr>
          <w:rFonts w:ascii="Verdana" w:hAnsi="Verdana"/>
          <w:sz w:val="16"/>
          <w:szCs w:val="16"/>
          <w:lang w:val="es-CR"/>
        </w:rPr>
        <w:t>Erick Acuña Pereda, Asesores</w:t>
      </w:r>
      <w:r w:rsidRPr="00606243">
        <w:rPr>
          <w:rFonts w:ascii="Verdana" w:hAnsi="Verdana"/>
          <w:sz w:val="16"/>
          <w:szCs w:val="16"/>
        </w:rPr>
        <w:t>; b) por los representantes de las presuntas víctimas:</w:t>
      </w:r>
      <w:r w:rsidRPr="001863DB">
        <w:rPr>
          <w:rFonts w:ascii="Verdana" w:hAnsi="Verdana"/>
          <w:sz w:val="16"/>
          <w:szCs w:val="16"/>
          <w:lang w:val="es-CR"/>
        </w:rPr>
        <w:t xml:space="preserve"> Fergus Mackay, David Padilla</w:t>
      </w:r>
      <w:r>
        <w:rPr>
          <w:rFonts w:ascii="Verdana" w:hAnsi="Verdana"/>
          <w:sz w:val="16"/>
          <w:szCs w:val="16"/>
          <w:lang w:val="es-CR"/>
        </w:rPr>
        <w:t xml:space="preserve">, </w:t>
      </w:r>
      <w:r w:rsidRPr="00C271B5">
        <w:rPr>
          <w:rFonts w:ascii="Verdana" w:hAnsi="Verdana"/>
          <w:sz w:val="16"/>
          <w:szCs w:val="16"/>
          <w:lang w:val="es-CR"/>
        </w:rPr>
        <w:t>Alancay Morales Garro</w:t>
      </w:r>
      <w:r w:rsidRPr="00C271B5">
        <w:rPr>
          <w:rFonts w:ascii="Verdana" w:hAnsi="Verdana"/>
          <w:sz w:val="16"/>
          <w:szCs w:val="16"/>
        </w:rPr>
        <w:t xml:space="preserve"> y</w:t>
      </w:r>
      <w:r w:rsidRPr="00C271B5">
        <w:rPr>
          <w:rFonts w:ascii="Verdana" w:hAnsi="Verdana"/>
          <w:sz w:val="16"/>
          <w:szCs w:val="16"/>
          <w:lang w:val="es-CR"/>
        </w:rPr>
        <w:t xml:space="preserve"> Max Ooft, en calidad de intérprete</w:t>
      </w:r>
      <w:r w:rsidRPr="00C271B5">
        <w:rPr>
          <w:rFonts w:ascii="Verdana" w:hAnsi="Verdana"/>
          <w:sz w:val="16"/>
          <w:szCs w:val="16"/>
        </w:rPr>
        <w:t>, y c) por el Estado de Surinam:</w:t>
      </w:r>
      <w:r w:rsidRPr="00C271B5">
        <w:rPr>
          <w:rFonts w:ascii="Verdana" w:hAnsi="Verdana"/>
          <w:sz w:val="16"/>
          <w:szCs w:val="16"/>
          <w:lang w:val="es-CR"/>
        </w:rPr>
        <w:t xml:space="preserve"> Martin P. Misiedjan</w:t>
      </w:r>
      <w:r w:rsidRPr="00C271B5">
        <w:rPr>
          <w:rFonts w:ascii="Verdana" w:hAnsi="Verdana"/>
          <w:sz w:val="16"/>
          <w:szCs w:val="16"/>
        </w:rPr>
        <w:t xml:space="preserve">, </w:t>
      </w:r>
      <w:r w:rsidRPr="00C271B5">
        <w:rPr>
          <w:rFonts w:ascii="Verdana" w:hAnsi="Verdana"/>
          <w:sz w:val="16"/>
          <w:szCs w:val="16"/>
          <w:lang w:val="es-CR"/>
        </w:rPr>
        <w:t>Asishkumar R. Lala</w:t>
      </w:r>
      <w:r w:rsidRPr="00C271B5">
        <w:rPr>
          <w:rFonts w:ascii="Verdana" w:hAnsi="Verdana"/>
          <w:sz w:val="16"/>
          <w:szCs w:val="16"/>
        </w:rPr>
        <w:t>,</w:t>
      </w:r>
      <w:r w:rsidRPr="00C271B5">
        <w:rPr>
          <w:rFonts w:ascii="Verdana" w:hAnsi="Verdana"/>
          <w:sz w:val="16"/>
          <w:szCs w:val="16"/>
          <w:lang w:val="es-CR"/>
        </w:rPr>
        <w:t xml:space="preserve"> Robbin Mussendijk</w:t>
      </w:r>
      <w:r w:rsidRPr="00C271B5">
        <w:rPr>
          <w:rFonts w:ascii="Verdana" w:hAnsi="Verdana"/>
          <w:sz w:val="16"/>
          <w:szCs w:val="16"/>
        </w:rPr>
        <w:t>,</w:t>
      </w:r>
      <w:r w:rsidRPr="00C271B5">
        <w:rPr>
          <w:rFonts w:ascii="Verdana" w:hAnsi="Verdana"/>
          <w:sz w:val="16"/>
          <w:szCs w:val="16"/>
          <w:lang w:val="es-CR"/>
        </w:rPr>
        <w:t xml:space="preserve"> Ajaij Piarelal</w:t>
      </w:r>
      <w:r w:rsidRPr="00C271B5">
        <w:rPr>
          <w:rFonts w:ascii="Verdana" w:hAnsi="Verdana"/>
          <w:sz w:val="16"/>
          <w:szCs w:val="16"/>
        </w:rPr>
        <w:t xml:space="preserve">, </w:t>
      </w:r>
      <w:r w:rsidRPr="00C271B5">
        <w:rPr>
          <w:rFonts w:ascii="Verdana" w:hAnsi="Verdana"/>
          <w:sz w:val="16"/>
          <w:szCs w:val="16"/>
          <w:lang w:val="es-CR"/>
        </w:rPr>
        <w:t xml:space="preserve">Grasella Jozefzoon, Armilia Tojosemito, y M. Pool, en calidad de intérprete. </w:t>
      </w:r>
    </w:p>
  </w:footnote>
  <w:footnote w:id="12">
    <w:p w14:paraId="2E39E2B9"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 xml:space="preserve">El escrito de </w:t>
      </w:r>
      <w:r w:rsidRPr="00C271B5">
        <w:rPr>
          <w:i/>
        </w:rPr>
        <w:t>amicus curiae</w:t>
      </w:r>
      <w:r w:rsidRPr="00C271B5">
        <w:t xml:space="preserve"> fue presentado y firmado por Juliana Amaya Lamir, Directora y Representante Legal de la Fundación ProBono-Colombia</w:t>
      </w:r>
      <w:r w:rsidRPr="00606243">
        <w:t xml:space="preserve"> </w:t>
      </w:r>
      <w:r w:rsidRPr="00606243">
        <w:rPr>
          <w:lang w:val="es-ES_tradnl"/>
        </w:rPr>
        <w:t>(expediente de fondo, folio 539).</w:t>
      </w:r>
    </w:p>
  </w:footnote>
  <w:footnote w:id="13">
    <w:p w14:paraId="7DBB8C60"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t>Al respecto, mediante carta de 26 de marzo de 2015, la Secretaría de la Corte constató que el Estado no remitió</w:t>
      </w:r>
      <w:r w:rsidRPr="00606243">
        <w:t xml:space="preserve"> la siguiente información, solicitada por los jueces durante la audiencia pública, por lo que reiteró su </w:t>
      </w:r>
      <w:r>
        <w:t>solicitud</w:t>
      </w:r>
      <w:r w:rsidRPr="00606243">
        <w:t>: a) la Resolución de Protección de la Naturaleza de 1998 (en la carta señala 1992 pero el año correcto es 1998); b) el proyecto legislativo sobre las autoridades tradicionales; c) los títulos de propiedad y de arrendamiento a corto y largo plazo, otorgados a terceros indígenas y no indígenas, así como información respecto a cuántos de estos títulos fueron entregados a terceros no indígenas; d) información relativa a la supuesta construcción de un casino en el territorio reclamado por los indígenas, y e) información sobre los acuerdos entre el Estado y los Pueblos Kaliña y Lokono para que estos puedan acceder libremente, usar y gozar de los territorios que se encuentran dentro de las reservas naturales. En virtud de ello, se otorgó un plazo al Estado para presentar la información referida a más tardar el 13 de abril de 2015 (expediente de fondo, folio</w:t>
      </w:r>
      <w:r w:rsidRPr="001863DB">
        <w:t xml:space="preserve"> 797). Dicho pedido f</w:t>
      </w:r>
      <w:r w:rsidRPr="00C271B5">
        <w:t>ue reiterado el 15 de abril, otorgándole de plazo hasta el 29 de abril de 2015 (expediente de fondo, folio 827). En dicha fecha, el Estado remitió de forma parcial lo solicitado (expediente de fondo, folio 836, fondo), e indicó, sin aportar mayor evidencia que: a) en referencia a los títulos de propiedad y arrendamiento, aún estaba en el proceso de investigación y recopilación de los mismos (expediente de fondo, folio 839), y b) conforme a sus investigaciones, no se comprobó que existiera la construcción de un casino en el territorio reclamado por los pueblos indígenas (expediente de fondo, folios 840 y 868).</w:t>
      </w:r>
    </w:p>
  </w:footnote>
  <w:footnote w:id="14">
    <w:p w14:paraId="1F052F6B" w14:textId="77777777" w:rsidR="00247DB8" w:rsidRPr="007E20F9" w:rsidRDefault="00247DB8" w:rsidP="005758E6">
      <w:pPr>
        <w:pStyle w:val="FootnoteText"/>
        <w:spacing w:afterLines="40" w:after="96"/>
        <w:rPr>
          <w:lang w:val="es-ES_tradnl"/>
        </w:rPr>
      </w:pPr>
      <w:r w:rsidRPr="00C271B5">
        <w:rPr>
          <w:rStyle w:val="FootnoteReference"/>
          <w:sz w:val="16"/>
        </w:rPr>
        <w:footnoteRef/>
      </w:r>
      <w:r w:rsidRPr="00C271B5">
        <w:t xml:space="preserve"> </w:t>
      </w:r>
      <w:r w:rsidRPr="00C271B5">
        <w:tab/>
        <w:t>La delegación del Tribunal que efectuó la visita estuvo integrada por el Presidente de la Corte, Juez Humberto Antonio Sierra Porto; Emilia Segares, Secretaria Adjunta de la Corte; Jorge Calderón Gamboa, Abogado Coordinador de la Secretaría, y Cecilia La Hoz Barrera, Abogada de la Secretaría. Asimismo, por parte del Estado estuvieron presentes Mr. Martin Misiedjan, Agente del Estado</w:t>
      </w:r>
      <w:r>
        <w:rPr>
          <w:lang w:val="es-CR"/>
        </w:rPr>
        <w:t>;</w:t>
      </w:r>
      <w:r w:rsidRPr="00606243">
        <w:rPr>
          <w:lang w:val="es-CR"/>
        </w:rPr>
        <w:t xml:space="preserve"> Robbin Mussendijk y Grasella Jozefzoon, representantes del Estado</w:t>
      </w:r>
      <w:r w:rsidRPr="00C271B5">
        <w:t xml:space="preserve">. Por la Comisión Interamericana estuvieron presentes Tracy Robinson, Comisionada, y Erick Acuña, Asesor de la Comisión. Además, estuvieron presentes por parte de los representantes el señor Fergus MacKay, </w:t>
      </w:r>
      <w:r w:rsidRPr="007E20F9">
        <w:rPr>
          <w:lang w:val="es-ES_tradnl"/>
        </w:rPr>
        <w:t>el traductor Max Oof</w:t>
      </w:r>
      <w:r>
        <w:rPr>
          <w:lang w:val="es-ES_tradnl"/>
        </w:rPr>
        <w:t>t</w:t>
      </w:r>
      <w:r w:rsidRPr="00C271B5">
        <w:rPr>
          <w:lang w:val="es-ES_tradnl"/>
        </w:rPr>
        <w:t xml:space="preserve">, </w:t>
      </w:r>
      <w:r w:rsidRPr="007E20F9">
        <w:rPr>
          <w:lang w:val="es-ES_tradnl"/>
        </w:rPr>
        <w:t xml:space="preserve">Loreen Jubitana, Capitán Ronald Makosi, Capitan Theo Jubitana y otros miembros de las comunidades. </w:t>
      </w:r>
    </w:p>
  </w:footnote>
  <w:footnote w:id="15">
    <w:p w14:paraId="24F8EEF8" w14:textId="4AE5A4BD" w:rsidR="00247DB8" w:rsidRPr="007E20F9" w:rsidRDefault="00247DB8" w:rsidP="005758E6">
      <w:pPr>
        <w:tabs>
          <w:tab w:val="left" w:pos="567"/>
        </w:tabs>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t>Carta de la Secretaría de la Corte Interamericana de 25 de agosto de 2015 (expediente de fondo, folio 923).</w:t>
      </w:r>
      <w:r w:rsidRPr="007E20F9">
        <w:rPr>
          <w:rFonts w:ascii="Verdana" w:hAnsi="Verdana"/>
          <w:sz w:val="16"/>
          <w:szCs w:val="16"/>
        </w:rPr>
        <w:t xml:space="preserve"> Mediante esta comunicación, se solicitó como prueba para mejor resolver: a) al Estado, una lista con las comunidades </w:t>
      </w:r>
      <w:r>
        <w:rPr>
          <w:rFonts w:ascii="Verdana" w:hAnsi="Verdana"/>
          <w:sz w:val="16"/>
          <w:szCs w:val="16"/>
        </w:rPr>
        <w:t>maroon</w:t>
      </w:r>
      <w:r w:rsidRPr="007E20F9">
        <w:rPr>
          <w:rFonts w:ascii="Verdana" w:hAnsi="Verdana"/>
          <w:sz w:val="16"/>
          <w:szCs w:val="16"/>
        </w:rPr>
        <w:t xml:space="preserve">s y la correspondiente población que se encontraría en los territorios reclamados en este caso; registros de los participantes en el encuentro que tuvo lugar el 27 de septiembre de 2013 en el que se formaron tres comisiones; registros de los participantes en el encuentro que tuvo lugar el 31 de enero y el 28 de febrero de 2003 con </w:t>
      </w:r>
      <w:r w:rsidRPr="00020823">
        <w:rPr>
          <w:rFonts w:ascii="Verdana" w:hAnsi="Verdana"/>
          <w:sz w:val="16"/>
          <w:szCs w:val="16"/>
        </w:rPr>
        <w:t>los Ministerios</w:t>
      </w:r>
      <w:r w:rsidRPr="00476486">
        <w:rPr>
          <w:rFonts w:ascii="Verdana" w:hAnsi="Verdana"/>
          <w:sz w:val="16"/>
          <w:szCs w:val="16"/>
        </w:rPr>
        <w:t xml:space="preserve"> </w:t>
      </w:r>
      <w:r w:rsidRPr="00B4017E">
        <w:rPr>
          <w:rFonts w:ascii="Verdana" w:hAnsi="Verdana"/>
          <w:sz w:val="16"/>
          <w:szCs w:val="16"/>
        </w:rPr>
        <w:t xml:space="preserve">de Desarrollo Regional y </w:t>
      </w:r>
      <w:r w:rsidRPr="002E2E48">
        <w:rPr>
          <w:rFonts w:ascii="Verdana" w:hAnsi="Verdana"/>
          <w:sz w:val="16"/>
          <w:szCs w:val="16"/>
        </w:rPr>
        <w:t>de Recursos Naturales, y copias</w:t>
      </w:r>
      <w:r w:rsidRPr="007E20F9">
        <w:rPr>
          <w:rFonts w:ascii="Verdana" w:hAnsi="Verdana"/>
          <w:sz w:val="16"/>
          <w:szCs w:val="16"/>
        </w:rPr>
        <w:t xml:space="preserve"> de los títulos de propiedad, de arrendamiento y de arrendamiento a largo plazo concedidos tanto a indígenas como a no indígenas en Tuinstad Albina; b) a los representantes, información concerniente al vínculo ancestral entre las culturas de Barbakoea y Koriabo con los Pueblos Kaliña y Lokono; un mapa actualizado del territorio que se reclama en el presente caso; una lista de comunidades cuyo territorio no se reclama, y la sentencia de mayo de 1998, en el </w:t>
      </w:r>
      <w:r>
        <w:rPr>
          <w:rFonts w:ascii="Verdana" w:hAnsi="Verdana"/>
          <w:sz w:val="16"/>
          <w:szCs w:val="16"/>
        </w:rPr>
        <w:t>c</w:t>
      </w:r>
      <w:r w:rsidRPr="007E20F9">
        <w:rPr>
          <w:rFonts w:ascii="Verdana" w:hAnsi="Verdana"/>
          <w:sz w:val="16"/>
          <w:szCs w:val="16"/>
        </w:rPr>
        <w:t>aso</w:t>
      </w:r>
      <w:r w:rsidRPr="007E20F9">
        <w:rPr>
          <w:rFonts w:ascii="Verdana" w:hAnsi="Verdana"/>
          <w:i/>
          <w:sz w:val="16"/>
          <w:szCs w:val="16"/>
        </w:rPr>
        <w:t xml:space="preserve"> </w:t>
      </w:r>
      <w:r w:rsidRPr="007E20F9">
        <w:rPr>
          <w:rFonts w:ascii="Verdana" w:hAnsi="Verdana"/>
          <w:i/>
          <w:snapToGrid w:val="0"/>
          <w:sz w:val="16"/>
          <w:szCs w:val="16"/>
        </w:rPr>
        <w:t>Celientje</w:t>
      </w:r>
      <w:r w:rsidRPr="00FB4175" w:rsidDel="00FB4175">
        <w:rPr>
          <w:rFonts w:ascii="Verdana" w:hAnsi="Verdana"/>
          <w:i/>
          <w:sz w:val="16"/>
          <w:szCs w:val="16"/>
        </w:rPr>
        <w:t xml:space="preserve"> </w:t>
      </w:r>
      <w:r w:rsidRPr="007E20F9">
        <w:rPr>
          <w:rFonts w:ascii="Verdana" w:hAnsi="Verdana"/>
          <w:i/>
          <w:sz w:val="16"/>
          <w:szCs w:val="16"/>
        </w:rPr>
        <w:t xml:space="preserve"> Martina Joeroeja-Koewie y otros </w:t>
      </w:r>
      <w:r>
        <w:rPr>
          <w:rFonts w:ascii="Verdana" w:hAnsi="Verdana"/>
          <w:i/>
          <w:sz w:val="16"/>
          <w:szCs w:val="16"/>
        </w:rPr>
        <w:t>v.</w:t>
      </w:r>
      <w:r w:rsidRPr="007E20F9">
        <w:rPr>
          <w:rFonts w:ascii="Verdana" w:hAnsi="Verdana"/>
          <w:i/>
          <w:sz w:val="16"/>
          <w:szCs w:val="16"/>
        </w:rPr>
        <w:t xml:space="preserve"> Suriname</w:t>
      </w:r>
      <w:r w:rsidRPr="00C271B5">
        <w:rPr>
          <w:rFonts w:ascii="Verdana" w:hAnsi="Verdana"/>
          <w:i/>
          <w:sz w:val="16"/>
          <w:szCs w:val="16"/>
        </w:rPr>
        <w:t xml:space="preserve">, </w:t>
      </w:r>
      <w:r w:rsidRPr="00C271B5">
        <w:rPr>
          <w:rFonts w:ascii="Verdana" w:hAnsi="Verdana"/>
          <w:sz w:val="16"/>
          <w:szCs w:val="16"/>
        </w:rPr>
        <w:t xml:space="preserve">así como la sentencia de mayo de 1998 en el </w:t>
      </w:r>
      <w:r>
        <w:rPr>
          <w:rFonts w:ascii="Verdana" w:hAnsi="Verdana"/>
          <w:sz w:val="16"/>
          <w:szCs w:val="16"/>
        </w:rPr>
        <w:t>c</w:t>
      </w:r>
      <w:r w:rsidRPr="007E20F9">
        <w:rPr>
          <w:rFonts w:ascii="Verdana" w:hAnsi="Verdana"/>
          <w:sz w:val="16"/>
          <w:szCs w:val="16"/>
        </w:rPr>
        <w:t xml:space="preserve">aso </w:t>
      </w:r>
      <w:r w:rsidRPr="00C271B5">
        <w:rPr>
          <w:rFonts w:ascii="Verdana" w:hAnsi="Verdana"/>
          <w:i/>
          <w:iCs/>
          <w:sz w:val="16"/>
          <w:szCs w:val="16"/>
        </w:rPr>
        <w:t>Tj</w:t>
      </w:r>
      <w:r w:rsidRPr="007E20F9">
        <w:rPr>
          <w:rFonts w:ascii="Verdana" w:hAnsi="Verdana"/>
          <w:i/>
          <w:iCs/>
          <w:sz w:val="16"/>
          <w:szCs w:val="16"/>
        </w:rPr>
        <w:t xml:space="preserve">ang A. Sjin </w:t>
      </w:r>
      <w:r>
        <w:rPr>
          <w:rFonts w:ascii="Verdana" w:hAnsi="Verdana"/>
          <w:i/>
          <w:iCs/>
          <w:sz w:val="16"/>
          <w:szCs w:val="16"/>
        </w:rPr>
        <w:t>v.</w:t>
      </w:r>
      <w:r w:rsidRPr="007E20F9">
        <w:rPr>
          <w:rFonts w:ascii="Verdana" w:hAnsi="Verdana"/>
          <w:i/>
          <w:iCs/>
          <w:sz w:val="16"/>
          <w:szCs w:val="16"/>
        </w:rPr>
        <w:t xml:space="preserve"> </w:t>
      </w:r>
      <w:r w:rsidRPr="00C271B5">
        <w:rPr>
          <w:rFonts w:ascii="Verdana" w:hAnsi="Verdana"/>
          <w:i/>
          <w:iCs/>
          <w:sz w:val="16"/>
          <w:szCs w:val="16"/>
        </w:rPr>
        <w:t xml:space="preserve">Zaalman y otros </w:t>
      </w:r>
      <w:r w:rsidRPr="007E20F9">
        <w:rPr>
          <w:rFonts w:ascii="Verdana" w:hAnsi="Verdana"/>
          <w:i/>
          <w:iCs/>
          <w:sz w:val="16"/>
          <w:szCs w:val="16"/>
        </w:rPr>
        <w:t>,</w:t>
      </w:r>
      <w:r w:rsidRPr="007E20F9">
        <w:rPr>
          <w:rFonts w:ascii="Verdana" w:hAnsi="Verdana"/>
          <w:sz w:val="16"/>
          <w:szCs w:val="16"/>
        </w:rPr>
        <w:t xml:space="preserve"> y c) a ambas partes, información actualizada concerniente al desarrollo que se ha producido tras la creación del Proyecto de Ley sobre Autoridades Tradicionales; el acto constitutivo de la </w:t>
      </w:r>
      <w:r w:rsidRPr="007E20F9">
        <w:rPr>
          <w:rFonts w:ascii="Verdana" w:hAnsi="Verdana"/>
          <w:sz w:val="16"/>
        </w:rPr>
        <w:t xml:space="preserve">Comisión de </w:t>
      </w:r>
      <w:r w:rsidRPr="007E20F9">
        <w:rPr>
          <w:rFonts w:ascii="Verdana" w:hAnsi="Verdana"/>
          <w:sz w:val="16"/>
          <w:szCs w:val="16"/>
        </w:rPr>
        <w:t>Diálogo de la Reserva Natural de Galibi e información al respecto de las actividades en curso; una comunicación de 26 de agosto de 1</w:t>
      </w:r>
      <w:r w:rsidRPr="00C271B5">
        <w:rPr>
          <w:rFonts w:ascii="Verdana" w:hAnsi="Verdana"/>
          <w:sz w:val="16"/>
          <w:szCs w:val="16"/>
        </w:rPr>
        <w:t>9</w:t>
      </w:r>
      <w:r w:rsidRPr="007E20F9">
        <w:rPr>
          <w:rFonts w:ascii="Verdana" w:hAnsi="Verdana"/>
          <w:sz w:val="16"/>
          <w:szCs w:val="16"/>
        </w:rPr>
        <w:t>78 firmada por Jr. F. C. Bubberman, Jefe del Servicio Estatal de Administración de Bosques y Mr. A. C. Cirino, presidente de KANO; los registros de los participantes en el encuentro que tuvo lugar en 1986 en Wan Shi Sha concerniente al establecimiento de la Reserva Natural de Wane Kreek, y documentación que indique el comienzo y la conclusión de las operaciones mineras en la Reserva de Wane Kreek</w:t>
      </w:r>
      <w:r>
        <w:rPr>
          <w:rFonts w:ascii="Verdana" w:hAnsi="Verdana"/>
          <w:sz w:val="16"/>
          <w:szCs w:val="16"/>
        </w:rPr>
        <w:t>.</w:t>
      </w:r>
    </w:p>
  </w:footnote>
  <w:footnote w:id="16">
    <w:p w14:paraId="7CF4646D" w14:textId="66EDD122" w:rsidR="00247DB8" w:rsidRPr="007E20F9" w:rsidRDefault="00247DB8" w:rsidP="005758E6">
      <w:pPr>
        <w:spacing w:afterLines="40" w:after="96"/>
        <w:jc w:val="both"/>
        <w:rPr>
          <w:rFonts w:ascii="Verdana" w:hAnsi="Verdana"/>
          <w:sz w:val="16"/>
          <w:szCs w:val="16"/>
        </w:rPr>
      </w:pPr>
      <w:r w:rsidRPr="00C271B5">
        <w:rPr>
          <w:rStyle w:val="FootnoteReference"/>
          <w:sz w:val="16"/>
          <w:szCs w:val="16"/>
        </w:rPr>
        <w:footnoteRef/>
      </w:r>
      <w:r w:rsidRPr="007E20F9">
        <w:rPr>
          <w:rFonts w:ascii="Verdana" w:hAnsi="Verdana"/>
          <w:sz w:val="16"/>
          <w:szCs w:val="16"/>
        </w:rPr>
        <w:t xml:space="preserve"> </w:t>
      </w:r>
      <w:r w:rsidRPr="007E20F9">
        <w:rPr>
          <w:rFonts w:ascii="Verdana" w:hAnsi="Verdana"/>
          <w:sz w:val="16"/>
          <w:szCs w:val="16"/>
        </w:rPr>
        <w:tab/>
      </w:r>
      <w:r w:rsidRPr="00C271B5">
        <w:rPr>
          <w:rFonts w:ascii="Verdana" w:hAnsi="Verdana"/>
          <w:sz w:val="16"/>
          <w:szCs w:val="16"/>
        </w:rPr>
        <w:t xml:space="preserve">Carta de la Secretaría de la Corte Interamericana de 11 septiembre de 2015 (expediente de fondo, folio 978). Los representantes enviaron 10 anexos, los cuales contenían lo siguiente: a) un proyecto educativo para promover la concienciación de los derechos por la tierra bajo la ley de Surinam y el derecho internacional denominado “Wi Gon Na Wi”; b) mapas de los territorios </w:t>
      </w:r>
      <w:r>
        <w:rPr>
          <w:rFonts w:ascii="Verdana" w:hAnsi="Verdana"/>
          <w:sz w:val="16"/>
          <w:szCs w:val="16"/>
        </w:rPr>
        <w:t>maroons</w:t>
      </w:r>
      <w:r w:rsidRPr="00C271B5">
        <w:rPr>
          <w:rFonts w:ascii="Verdana" w:hAnsi="Verdana"/>
          <w:sz w:val="16"/>
          <w:szCs w:val="16"/>
        </w:rPr>
        <w:t xml:space="preserve"> y de otras zonas indígenas ocupadas; c) la correspondencia de Gazon Matodja concerniente a un proceso de diálogo en relación a los derechos de las tier</w:t>
      </w:r>
      <w:r w:rsidRPr="00606243">
        <w:rPr>
          <w:rFonts w:ascii="Verdana" w:hAnsi="Verdana"/>
          <w:sz w:val="16"/>
          <w:szCs w:val="16"/>
        </w:rPr>
        <w:t xml:space="preserve">ras; d) una </w:t>
      </w:r>
      <w:r>
        <w:rPr>
          <w:rFonts w:ascii="Verdana" w:hAnsi="Verdana"/>
          <w:sz w:val="16"/>
          <w:szCs w:val="16"/>
        </w:rPr>
        <w:t>D</w:t>
      </w:r>
      <w:r w:rsidRPr="00606243">
        <w:rPr>
          <w:rFonts w:ascii="Verdana" w:hAnsi="Verdana"/>
          <w:sz w:val="16"/>
          <w:szCs w:val="16"/>
        </w:rPr>
        <w:t xml:space="preserve">ecisión Judicial en relación una demanda interpuesta por residentes indígenas de Pierrekondre contra el Estado de Surinam y </w:t>
      </w:r>
      <w:r w:rsidRPr="00606243">
        <w:rPr>
          <w:rFonts w:ascii="Verdana" w:eastAsiaTheme="minorHAnsi" w:hAnsi="Verdana" w:cs="Georgia"/>
          <w:bCs/>
          <w:sz w:val="16"/>
          <w:szCs w:val="16"/>
        </w:rPr>
        <w:t xml:space="preserve">Surinam Stone &amp; Industries N.V; e) recibos originados por gastos de representación, y f) Declaración de la familia Ajintoena en la que afirma que vive en los territorios del Pueblo Lokono en paz y buenas relaciones con las autoridades indígenas tradicionales </w:t>
      </w:r>
      <w:r w:rsidRPr="00606243">
        <w:rPr>
          <w:rFonts w:ascii="Verdana" w:eastAsiaTheme="minorHAnsi" w:hAnsi="Verdana" w:cs="Georgia"/>
          <w:sz w:val="16"/>
          <w:szCs w:val="16"/>
        </w:rPr>
        <w:t>(expediente de prueba</w:t>
      </w:r>
      <w:r w:rsidRPr="001863DB">
        <w:rPr>
          <w:rFonts w:ascii="Verdana" w:eastAsiaTheme="minorHAnsi" w:hAnsi="Verdana" w:cs="Georgia"/>
          <w:sz w:val="16"/>
          <w:szCs w:val="16"/>
        </w:rPr>
        <w:t>, folios 2867 a 2920). Respecto de lo solicitado</w:t>
      </w:r>
      <w:r w:rsidRPr="007E20F9">
        <w:rPr>
          <w:rFonts w:ascii="Verdana" w:eastAsiaTheme="minorHAnsi" w:hAnsi="Verdana" w:cs="Georgia"/>
          <w:sz w:val="16"/>
          <w:szCs w:val="16"/>
        </w:rPr>
        <w:t xml:space="preserve">, </w:t>
      </w:r>
      <w:r w:rsidRPr="007E20F9">
        <w:rPr>
          <w:rFonts w:ascii="Verdana" w:hAnsi="Verdana"/>
          <w:sz w:val="16"/>
          <w:szCs w:val="16"/>
        </w:rPr>
        <w:t>los representantes no remitieron l</w:t>
      </w:r>
      <w:r>
        <w:rPr>
          <w:rFonts w:ascii="Verdana" w:hAnsi="Verdana"/>
          <w:sz w:val="16"/>
          <w:szCs w:val="16"/>
        </w:rPr>
        <w:t>o</w:t>
      </w:r>
      <w:r w:rsidRPr="007E20F9">
        <w:rPr>
          <w:rFonts w:ascii="Verdana" w:hAnsi="Verdana"/>
          <w:sz w:val="16"/>
          <w:szCs w:val="16"/>
        </w:rPr>
        <w:t xml:space="preserve"> siguiente, al no contar con dicha información: a) los registros de los participantes en el encuentro que tuvo lugar en 1986 en Wan Shi Sha concerniente al establecimientos de la Reserva Natural de Wane Kreek, y b) una comunicación del 26 de agosto de 1878, firmada por Jr. F. C. Bubberman, jefe del Servicio Estatal de Administración de Bosques y Mr. A. C. Cirino, presidente de KANO (</w:t>
      </w:r>
      <w:r w:rsidRPr="00C271B5">
        <w:rPr>
          <w:rFonts w:ascii="Verdana" w:hAnsi="Verdana"/>
          <w:sz w:val="16"/>
          <w:szCs w:val="16"/>
        </w:rPr>
        <w:t xml:space="preserve">expediente de fondo, folio </w:t>
      </w:r>
      <w:r w:rsidRPr="007E20F9">
        <w:rPr>
          <w:rFonts w:ascii="Verdana" w:hAnsi="Verdana"/>
          <w:sz w:val="16"/>
          <w:szCs w:val="16"/>
        </w:rPr>
        <w:t>945).</w:t>
      </w:r>
    </w:p>
  </w:footnote>
  <w:footnote w:id="17">
    <w:p w14:paraId="46BD9C9D" w14:textId="77777777" w:rsidR="00247DB8" w:rsidRPr="007E20F9" w:rsidRDefault="00247DB8" w:rsidP="005758E6">
      <w:pPr>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Cartas de la Secretaría de la Corte Interamericana de 25 de agosto, 11 y 22 de septiembre y 5 de octubre de 2015 (expediente de fondo, folios 923, 974, 1019 y</w:t>
      </w:r>
      <w:r w:rsidRPr="00606243">
        <w:rPr>
          <w:rFonts w:ascii="Verdana" w:hAnsi="Verdana"/>
          <w:sz w:val="16"/>
          <w:szCs w:val="16"/>
        </w:rPr>
        <w:t xml:space="preserve"> 1080). Estos anexos contenían: a) un listado con los asentamientos </w:t>
      </w:r>
      <w:r>
        <w:rPr>
          <w:rFonts w:ascii="Verdana" w:hAnsi="Verdana"/>
          <w:sz w:val="16"/>
          <w:szCs w:val="16"/>
        </w:rPr>
        <w:t>maroons</w:t>
      </w:r>
      <w:r w:rsidRPr="00606243">
        <w:rPr>
          <w:rFonts w:ascii="Verdana" w:hAnsi="Verdana"/>
          <w:sz w:val="16"/>
          <w:szCs w:val="16"/>
        </w:rPr>
        <w:t xml:space="preserve"> situados en el área reclamada por los pueblos indígenas; b) resoluciones administrativas referentes a pensiones que los capitanes de los Pueblos Kaliña y Lokono recibían del Gobierno; c) documentación relativa a una serie de encuentros, realizados en 2013 y 2014 entre el Estado y representantes de los pueblos indígenas, encaminados a resolver el problema de la propiedad de las tierras; d) un documento acreditativo de pactos entre el Estado y KANO; e) en relación con la Reserva de Galibi, documentos acerca del Acto Constitutivo de la Comisión de </w:t>
      </w:r>
      <w:r>
        <w:rPr>
          <w:rFonts w:ascii="Verdana" w:hAnsi="Verdana"/>
          <w:sz w:val="16"/>
          <w:szCs w:val="16"/>
        </w:rPr>
        <w:t>Diálogo</w:t>
      </w:r>
      <w:r w:rsidRPr="00606243">
        <w:rPr>
          <w:rFonts w:ascii="Verdana" w:hAnsi="Verdana"/>
          <w:sz w:val="16"/>
          <w:szCs w:val="16"/>
        </w:rPr>
        <w:t xml:space="preserve"> e información de las actividades en curso; f) en relación a la Reserva de Wane Kreek, documentación referida a un encuentro entre el Estado y representantes indígenas establecimiento de la reserva; g) informes, documentación y mapas referidos a la concesión minera de Wane Kreek, así como a la rehabilitación de la zona, y h) un mapa de Albina y otro de Tuistad Albina, así como copias de los registros de la Oficina de Dominios respecto de los títulos de “Tuinstad Albina” (expediente de prueba, folios 2925 a 3077). </w:t>
      </w:r>
      <w:r w:rsidRPr="007E20F9">
        <w:rPr>
          <w:rFonts w:ascii="Verdana" w:eastAsiaTheme="minorHAnsi" w:hAnsi="Verdana" w:cs="Georgia"/>
          <w:sz w:val="16"/>
          <w:szCs w:val="16"/>
        </w:rPr>
        <w:t>Respecto de lo solicitado</w:t>
      </w:r>
      <w:r w:rsidRPr="00C271B5">
        <w:rPr>
          <w:rFonts w:ascii="Verdana" w:eastAsiaTheme="minorHAnsi" w:hAnsi="Verdana" w:cs="Georgia"/>
          <w:sz w:val="16"/>
          <w:szCs w:val="16"/>
        </w:rPr>
        <w:t xml:space="preserve">, </w:t>
      </w:r>
      <w:r w:rsidRPr="007E20F9">
        <w:rPr>
          <w:rFonts w:ascii="Verdana" w:hAnsi="Verdana"/>
          <w:sz w:val="16"/>
          <w:szCs w:val="16"/>
        </w:rPr>
        <w:t xml:space="preserve">el Estado informó que no </w:t>
      </w:r>
      <w:r>
        <w:rPr>
          <w:rFonts w:ascii="Verdana" w:hAnsi="Verdana"/>
          <w:sz w:val="16"/>
          <w:szCs w:val="16"/>
        </w:rPr>
        <w:t>pudo</w:t>
      </w:r>
      <w:r w:rsidRPr="007E20F9">
        <w:rPr>
          <w:rFonts w:ascii="Verdana" w:hAnsi="Verdana"/>
          <w:sz w:val="16"/>
          <w:szCs w:val="16"/>
        </w:rPr>
        <w:t xml:space="preserve"> obtener los registros de los participantes en el encuentro que tuvo lugar en 1986 en Wan Shi Sha, concerniente al establecimiento de la Reserva Natural de Wane Kreek. Sin embargo, quiso proporcionar a la Corte documentación relativa a la formación de la Reserva Natural de Wane Kreek, entre otros, informes de diferentes encuentros entre KANO, el Servicio Forestal y los jefes de las poblaciones indígenas afectadas (</w:t>
      </w:r>
      <w:r w:rsidRPr="00C271B5">
        <w:rPr>
          <w:rFonts w:ascii="Verdana" w:hAnsi="Verdana"/>
          <w:sz w:val="16"/>
          <w:szCs w:val="16"/>
        </w:rPr>
        <w:t xml:space="preserve">expediente de prueba, folio </w:t>
      </w:r>
      <w:r w:rsidRPr="007E20F9">
        <w:rPr>
          <w:rFonts w:ascii="Verdana" w:hAnsi="Verdana"/>
          <w:sz w:val="16"/>
          <w:szCs w:val="16"/>
        </w:rPr>
        <w:t>3032).</w:t>
      </w:r>
    </w:p>
  </w:footnote>
  <w:footnote w:id="18">
    <w:p w14:paraId="732E05FA" w14:textId="4C7CE376" w:rsidR="00247DB8" w:rsidRPr="00C271B5" w:rsidRDefault="00247DB8" w:rsidP="005758E6">
      <w:pPr>
        <w:pStyle w:val="FootnoteText"/>
        <w:spacing w:afterLines="40" w:after="96"/>
        <w:rPr>
          <w:lang w:val="es-ES_tradnl"/>
        </w:rPr>
      </w:pPr>
      <w:r w:rsidRPr="00C271B5">
        <w:rPr>
          <w:rStyle w:val="FootnoteReference"/>
          <w:sz w:val="16"/>
        </w:rPr>
        <w:footnoteRef/>
      </w:r>
      <w:r w:rsidRPr="00C271B5">
        <w:t xml:space="preserve"> </w:t>
      </w:r>
      <w:r w:rsidRPr="00C271B5">
        <w:tab/>
        <w:t>El peritaje del señor Dr. Stuart Kirsch</w:t>
      </w:r>
      <w:r>
        <w:t>, Profesor Asociado de Antropología de la Universidad de Michigan,</w:t>
      </w:r>
      <w:r w:rsidRPr="00C271B5">
        <w:t xml:space="preserve"> versó sobre el impacto de la extracción de recursos naturales y otras actividades en el bienestar y cultura de las presuntas víctimas, así como </w:t>
      </w:r>
      <w:r>
        <w:t>sobre</w:t>
      </w:r>
      <w:r w:rsidRPr="00C271B5">
        <w:t xml:space="preserve"> la naturaleza de las operaciones mineras en su territorio. </w:t>
      </w:r>
    </w:p>
  </w:footnote>
  <w:footnote w:id="19">
    <w:p w14:paraId="47A84AF2"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El peritaje de la señora Mariska Muskiet versó sobre los derechos reales en Surinam y los recursos internos en relación con los reclamos de las tierras de comunidades indígenas y tribal</w:t>
      </w:r>
      <w:r w:rsidRPr="00606243">
        <w:t xml:space="preserve">es. </w:t>
      </w:r>
      <w:r w:rsidRPr="007E20F9">
        <w:rPr>
          <w:i/>
        </w:rPr>
        <w:t>Cfr.</w:t>
      </w:r>
      <w:r>
        <w:t xml:space="preserve"> </w:t>
      </w:r>
      <w:r w:rsidRPr="00606243">
        <w:rPr>
          <w:i/>
        </w:rPr>
        <w:t>Caso Pueblos Kaliña y Lokono Vs. Surinam</w:t>
      </w:r>
      <w:r w:rsidRPr="00606243">
        <w:t xml:space="preserve">. Resolución del Presidente de la Corte Interamericana de Derechos Humanos, </w:t>
      </w:r>
      <w:r w:rsidRPr="00606243">
        <w:rPr>
          <w:i/>
        </w:rPr>
        <w:t>supra,</w:t>
      </w:r>
      <w:r w:rsidRPr="00606243">
        <w:t xml:space="preserve"> Considerando vigésimo </w:t>
      </w:r>
      <w:r>
        <w:t>primero</w:t>
      </w:r>
      <w:r w:rsidRPr="00606243">
        <w:t xml:space="preserve"> y nota al pie 4.</w:t>
      </w:r>
    </w:p>
  </w:footnote>
  <w:footnote w:id="20">
    <w:p w14:paraId="1E4FFACF"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 xml:space="preserve">El peritaje de la señora Magda Hoever-Venoaks versó sobre el estatus legal de las disposiciones que proporcionan recursos a las partes interesadas en la Ley de Minería de Surinam y en la Ley de </w:t>
      </w:r>
      <w:r>
        <w:t xml:space="preserve">Gestión </w:t>
      </w:r>
      <w:r w:rsidRPr="00C271B5">
        <w:t>Forestal de Surinam, así como sobre otros recur</w:t>
      </w:r>
      <w:r w:rsidRPr="00606243">
        <w:t xml:space="preserve">sos disponibles en el área del derecho constitucional o administrativo del Estado. </w:t>
      </w:r>
      <w:r w:rsidRPr="007E20F9">
        <w:rPr>
          <w:i/>
        </w:rPr>
        <w:t>Cfr.</w:t>
      </w:r>
      <w:r>
        <w:t xml:space="preserve"> </w:t>
      </w:r>
      <w:r w:rsidRPr="00606243">
        <w:rPr>
          <w:i/>
        </w:rPr>
        <w:t>Caso Pueblos Kaliña y Lokono Vs. Surinam</w:t>
      </w:r>
      <w:r w:rsidRPr="00606243">
        <w:t xml:space="preserve">. Resolución del Presidente de la Corte Interamericana de Derechos Humanos, </w:t>
      </w:r>
      <w:r w:rsidRPr="00606243">
        <w:rPr>
          <w:i/>
        </w:rPr>
        <w:t>supra,</w:t>
      </w:r>
      <w:r w:rsidRPr="00606243">
        <w:t xml:space="preserve"> Considerando vigésimo </w:t>
      </w:r>
      <w:r>
        <w:t>primero</w:t>
      </w:r>
      <w:r w:rsidRPr="00606243">
        <w:t xml:space="preserve"> y nota al pie 4.</w:t>
      </w:r>
    </w:p>
  </w:footnote>
  <w:footnote w:id="21">
    <w:p w14:paraId="7D55A951" w14:textId="6E2F0519"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El peritaje de la señora Tauli-Corpuz</w:t>
      </w:r>
      <w:r>
        <w:t xml:space="preserve">, Relatora Especial de Naciones Unidas sobre  los derechos de los pueblos indígenas, </w:t>
      </w:r>
      <w:r w:rsidRPr="00C271B5">
        <w:t xml:space="preserve">versó acerca de la normativa y política internacional respecto de áreas protegidas y la conservación y utilización sostenible de la diversidad biológica en relación con los derechos de los pueblos indígenas, incluidos en </w:t>
      </w:r>
      <w:r w:rsidRPr="00606243">
        <w:t>el Convenio</w:t>
      </w:r>
      <w:r w:rsidRPr="007E20F9">
        <w:t xml:space="preserve"> </w:t>
      </w:r>
      <w:r w:rsidRPr="00606243">
        <w:t>sobre Diversidad Biológica.</w:t>
      </w:r>
    </w:p>
  </w:footnote>
  <w:footnote w:id="22">
    <w:p w14:paraId="5A4D8BA0" w14:textId="1CE38B1E" w:rsidR="00247DB8" w:rsidRPr="00606243" w:rsidRDefault="00247DB8" w:rsidP="005758E6">
      <w:pPr>
        <w:pStyle w:val="FootnoteText"/>
        <w:spacing w:afterLines="40" w:after="96"/>
      </w:pPr>
      <w:r w:rsidRPr="00C271B5">
        <w:rPr>
          <w:rStyle w:val="FootnoteReference"/>
          <w:sz w:val="16"/>
        </w:rPr>
        <w:footnoteRef/>
      </w:r>
      <w:r w:rsidRPr="00C271B5">
        <w:tab/>
        <w:t xml:space="preserve"> El peritaje del señor Jeremie Gilbert</w:t>
      </w:r>
      <w:r>
        <w:t xml:space="preserve">, “Reader in Law” de la Universidad de East London, School of Law and Social Sciences, </w:t>
      </w:r>
      <w:r w:rsidRPr="00C271B5">
        <w:t xml:space="preserve">versó acerca de a) los estándares internacionales y de derecho comparado aplicables a situaciones de tensión entre el derecho </w:t>
      </w:r>
      <w:r>
        <w:t>a la</w:t>
      </w:r>
      <w:r w:rsidRPr="00C271B5">
        <w:t xml:space="preserve"> propiedad privada de personas no indígenas y el derecho a la propiedad colectiva de los pueblos indígenas, así como respecto de situaciones de real o aparente tensión entre los derechos de los pueblos indígenas y la protección ambiental, ofreciendo elementos de análisis sobre el alcance de las obligaciones estatales en el diseño e implementación de iniciativas y políticas de derecho ambiental; b) la aplicación de un modelo para analizar restricciones a derechos que tom</w:t>
      </w:r>
      <w:r>
        <w:t>a</w:t>
      </w:r>
      <w:r w:rsidRPr="00C271B5">
        <w:t xml:space="preserve"> en consideración y otorgue efectos particulares al derecho a la</w:t>
      </w:r>
      <w:r w:rsidRPr="00606243">
        <w:t xml:space="preserve"> propiedad de los pueblos indígenas, y c) los posibles medios de compensación que un Estado tendría que activar en respuesta al resultado de su modelo de análisis de restricciones de derechos.</w:t>
      </w:r>
    </w:p>
  </w:footnote>
  <w:footnote w:id="23">
    <w:p w14:paraId="6BF2550F"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t xml:space="preserve">Los objetos de estas declaraciones se encuentran establecidos en la Resolución de la Presidencia de </w:t>
      </w:r>
      <w:r w:rsidRPr="00606243">
        <w:t>18 de diciembre de 2014 (</w:t>
      </w:r>
      <w:r w:rsidRPr="00AE38A9">
        <w:rPr>
          <w:i/>
        </w:rPr>
        <w:t>supra</w:t>
      </w:r>
      <w:r w:rsidRPr="00AE38A9">
        <w:t xml:space="preserve"> nota 8).</w:t>
      </w:r>
    </w:p>
  </w:footnote>
  <w:footnote w:id="24">
    <w:p w14:paraId="4AB61BC8" w14:textId="77777777" w:rsidR="00247DB8" w:rsidRPr="00AE38A9" w:rsidRDefault="00247DB8" w:rsidP="005758E6">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7E20F9">
        <w:t xml:space="preserve"> </w:t>
      </w:r>
      <w:r w:rsidRPr="007E20F9">
        <w:rPr>
          <w:i/>
        </w:rPr>
        <w:t>Caso Velásquez Rodríguez Vs. Honduras</w:t>
      </w:r>
      <w:r w:rsidRPr="007E20F9">
        <w:t xml:space="preserve">. </w:t>
      </w:r>
      <w:r w:rsidRPr="007E20F9">
        <w:rPr>
          <w:i/>
        </w:rPr>
        <w:t>Fondo.</w:t>
      </w:r>
      <w:r w:rsidRPr="007E20F9">
        <w:t xml:space="preserve"> Sentencia de 29 de julio de 1988. Serie C No. 4, párr.</w:t>
      </w:r>
      <w:r w:rsidRPr="00C271B5">
        <w:t xml:space="preserve"> 140, y </w:t>
      </w:r>
      <w:r w:rsidRPr="007E20F9">
        <w:rPr>
          <w:i/>
        </w:rPr>
        <w:t>Caso López Lone y otros Vs. Honduras. Excepción Preliminar, Fondo, Reparaciones y Costas</w:t>
      </w:r>
      <w:r w:rsidRPr="007E20F9">
        <w:t xml:space="preserve">. </w:t>
      </w:r>
      <w:r w:rsidRPr="00C271B5">
        <w:t>Sentencia de 5 de octubre</w:t>
      </w:r>
      <w:r w:rsidRPr="00606243">
        <w:t xml:space="preserve"> de 2015. Serie C No. </w:t>
      </w:r>
      <w:r w:rsidRPr="00AE38A9">
        <w:t>302</w:t>
      </w:r>
      <w:r w:rsidRPr="00AE38A9">
        <w:rPr>
          <w:rStyle w:val="apple-converted-space"/>
        </w:rPr>
        <w:t>, párr. 31.</w:t>
      </w:r>
    </w:p>
  </w:footnote>
  <w:footnote w:id="25">
    <w:p w14:paraId="4754A0BF" w14:textId="77777777" w:rsidR="00247DB8" w:rsidRPr="00AE38A9" w:rsidRDefault="00247DB8" w:rsidP="005758E6">
      <w:pPr>
        <w:pStyle w:val="FootnoteText"/>
        <w:spacing w:afterLines="40" w:after="96"/>
      </w:pPr>
      <w:r w:rsidRPr="00AE38A9">
        <w:rPr>
          <w:rStyle w:val="FootnoteReference"/>
          <w:sz w:val="16"/>
        </w:rPr>
        <w:footnoteRef/>
      </w:r>
      <w:r w:rsidRPr="00AE38A9">
        <w:rPr>
          <w:vertAlign w:val="superscript"/>
        </w:rPr>
        <w:t xml:space="preserve"> </w:t>
      </w:r>
      <w:r w:rsidRPr="00AE38A9">
        <w:tab/>
      </w:r>
      <w:r w:rsidRPr="00AE38A9">
        <w:rPr>
          <w:i/>
        </w:rPr>
        <w:t>Cfr.</w:t>
      </w:r>
      <w:r w:rsidRPr="00AE38A9">
        <w:rPr>
          <w:bCs/>
          <w:i/>
        </w:rPr>
        <w:t xml:space="preserve"> </w:t>
      </w:r>
      <w:r w:rsidRPr="00AE38A9">
        <w:rPr>
          <w:i/>
        </w:rPr>
        <w:t xml:space="preserve">Caso de la “Panel Blanca” (Paniagua Morales y otros) Vs. Guatemala. Fondo. </w:t>
      </w:r>
      <w:r w:rsidRPr="00AE38A9">
        <w:t xml:space="preserve">Sentencia de 8 de marzo de 1998. Serie C No. 37, párrs. 69 a 76, y </w:t>
      </w:r>
      <w:r w:rsidRPr="00AE38A9">
        <w:rPr>
          <w:i/>
        </w:rPr>
        <w:t>Caso López Lone y otros</w:t>
      </w:r>
      <w:r w:rsidRPr="00AE38A9">
        <w:rPr>
          <w:rStyle w:val="apple-converted-space"/>
        </w:rPr>
        <w:t xml:space="preserve">, </w:t>
      </w:r>
      <w:r w:rsidRPr="00AE38A9">
        <w:rPr>
          <w:rStyle w:val="apple-converted-space"/>
          <w:i/>
        </w:rPr>
        <w:t>supra,</w:t>
      </w:r>
      <w:r w:rsidRPr="00AE38A9">
        <w:rPr>
          <w:rStyle w:val="apple-converted-space"/>
        </w:rPr>
        <w:t xml:space="preserve"> párr. 40.</w:t>
      </w:r>
    </w:p>
  </w:footnote>
  <w:footnote w:id="26">
    <w:p w14:paraId="14A7981B" w14:textId="77777777" w:rsidR="00247DB8" w:rsidRPr="00AE38A9" w:rsidRDefault="00247DB8" w:rsidP="005758E6">
      <w:pPr>
        <w:tabs>
          <w:tab w:val="left" w:pos="567"/>
          <w:tab w:val="left" w:pos="709"/>
        </w:tabs>
        <w:spacing w:afterLines="40" w:after="96"/>
        <w:jc w:val="both"/>
        <w:rPr>
          <w:rFonts w:ascii="Verdana" w:hAnsi="Verdana"/>
          <w:i/>
          <w:sz w:val="16"/>
          <w:szCs w:val="16"/>
        </w:rPr>
      </w:pPr>
      <w:r w:rsidRPr="00AE38A9">
        <w:rPr>
          <w:rStyle w:val="FootnoteReference"/>
          <w:sz w:val="16"/>
          <w:szCs w:val="16"/>
        </w:rPr>
        <w:footnoteRef/>
      </w:r>
      <w:r w:rsidRPr="00AE38A9">
        <w:rPr>
          <w:rFonts w:ascii="Verdana" w:hAnsi="Verdana"/>
          <w:sz w:val="16"/>
          <w:szCs w:val="16"/>
          <w:vertAlign w:val="superscript"/>
        </w:rPr>
        <w:t xml:space="preserve"> </w:t>
      </w:r>
      <w:r w:rsidRPr="00AE38A9">
        <w:rPr>
          <w:rFonts w:ascii="Verdana" w:hAnsi="Verdana"/>
          <w:sz w:val="16"/>
          <w:szCs w:val="16"/>
        </w:rPr>
        <w:tab/>
      </w:r>
      <w:r w:rsidRPr="00AE38A9">
        <w:rPr>
          <w:rFonts w:ascii="Verdana" w:hAnsi="Verdana"/>
          <w:i/>
          <w:sz w:val="16"/>
          <w:szCs w:val="16"/>
        </w:rPr>
        <w:t>Cfr.</w:t>
      </w:r>
      <w:r w:rsidRPr="00AE38A9">
        <w:rPr>
          <w:rFonts w:ascii="Verdana" w:hAnsi="Verdana"/>
          <w:sz w:val="16"/>
          <w:szCs w:val="16"/>
        </w:rPr>
        <w:t xml:space="preserve"> </w:t>
      </w:r>
      <w:r w:rsidRPr="00AE38A9">
        <w:rPr>
          <w:rFonts w:ascii="Verdana" w:hAnsi="Verdana"/>
          <w:i/>
          <w:sz w:val="16"/>
          <w:szCs w:val="16"/>
        </w:rPr>
        <w:t>Caso de la “Panel Blanca” (Paniagua Morales y otros) Vs. Guatemala. Fondo, supra</w:t>
      </w:r>
      <w:r w:rsidRPr="00AE38A9">
        <w:rPr>
          <w:rFonts w:ascii="Verdana" w:hAnsi="Verdana"/>
          <w:sz w:val="16"/>
          <w:szCs w:val="16"/>
        </w:rPr>
        <w:t xml:space="preserve">, párr. 76, y </w:t>
      </w:r>
      <w:r w:rsidRPr="00AE38A9">
        <w:rPr>
          <w:rFonts w:ascii="Verdana" w:hAnsi="Verdana"/>
          <w:i/>
          <w:sz w:val="16"/>
          <w:szCs w:val="16"/>
        </w:rPr>
        <w:t>Caso López Lone y otros</w:t>
      </w:r>
      <w:r w:rsidRPr="00AE38A9">
        <w:rPr>
          <w:rStyle w:val="apple-converted-space"/>
          <w:rFonts w:ascii="Verdana" w:hAnsi="Verdana"/>
          <w:sz w:val="16"/>
          <w:szCs w:val="16"/>
        </w:rPr>
        <w:t xml:space="preserve">, </w:t>
      </w:r>
      <w:r w:rsidRPr="00AE38A9">
        <w:rPr>
          <w:rStyle w:val="apple-converted-space"/>
          <w:rFonts w:ascii="Verdana" w:hAnsi="Verdana"/>
          <w:i/>
          <w:sz w:val="16"/>
          <w:szCs w:val="16"/>
        </w:rPr>
        <w:t>supra,</w:t>
      </w:r>
      <w:r w:rsidRPr="00AE38A9">
        <w:rPr>
          <w:rStyle w:val="apple-converted-space"/>
          <w:rFonts w:ascii="Verdana" w:hAnsi="Verdana"/>
          <w:sz w:val="16"/>
          <w:szCs w:val="16"/>
        </w:rPr>
        <w:t xml:space="preserve"> párr. 40.</w:t>
      </w:r>
    </w:p>
  </w:footnote>
  <w:footnote w:id="27">
    <w:p w14:paraId="7C82F9AE" w14:textId="77777777" w:rsidR="00247DB8" w:rsidRPr="00762A46" w:rsidRDefault="00247DB8" w:rsidP="005758E6">
      <w:pPr>
        <w:tabs>
          <w:tab w:val="left" w:pos="567"/>
          <w:tab w:val="left" w:pos="709"/>
        </w:tabs>
        <w:spacing w:afterLines="40" w:after="96"/>
        <w:jc w:val="both"/>
        <w:rPr>
          <w:rFonts w:ascii="Verdana" w:hAnsi="Verdana"/>
          <w:sz w:val="16"/>
          <w:szCs w:val="16"/>
        </w:rPr>
      </w:pPr>
      <w:r w:rsidRPr="00AE38A9">
        <w:rPr>
          <w:rStyle w:val="FootnoteReference"/>
          <w:sz w:val="16"/>
          <w:szCs w:val="16"/>
        </w:rPr>
        <w:footnoteRef/>
      </w:r>
      <w:r w:rsidRPr="00AE38A9">
        <w:rPr>
          <w:rFonts w:ascii="Verdana" w:hAnsi="Verdana"/>
          <w:sz w:val="16"/>
          <w:szCs w:val="16"/>
        </w:rPr>
        <w:t xml:space="preserve"> </w:t>
      </w:r>
      <w:r w:rsidRPr="00AE38A9">
        <w:rPr>
          <w:rFonts w:ascii="Verdana" w:hAnsi="Verdana"/>
          <w:sz w:val="16"/>
          <w:szCs w:val="16"/>
        </w:rPr>
        <w:tab/>
      </w:r>
      <w:r w:rsidRPr="00AE38A9">
        <w:rPr>
          <w:rFonts w:ascii="Verdana" w:hAnsi="Verdana"/>
          <w:i/>
          <w:sz w:val="16"/>
          <w:szCs w:val="16"/>
        </w:rPr>
        <w:t xml:space="preserve">Cfr. Caso Loayza Tamayo Vs. Perú. Fondo. </w:t>
      </w:r>
      <w:r w:rsidRPr="00AE38A9">
        <w:rPr>
          <w:rFonts w:ascii="Verdana" w:hAnsi="Verdana"/>
          <w:sz w:val="16"/>
          <w:szCs w:val="16"/>
        </w:rPr>
        <w:t xml:space="preserve">Sentencia de 17 de septiembre de 1997. Serie C No. 33, párr. 43, y </w:t>
      </w:r>
      <w:r w:rsidRPr="00AE38A9">
        <w:rPr>
          <w:rFonts w:ascii="Verdana" w:hAnsi="Verdana"/>
          <w:i/>
          <w:sz w:val="16"/>
          <w:szCs w:val="16"/>
        </w:rPr>
        <w:t>Caso López Lone y otros</w:t>
      </w:r>
      <w:r w:rsidRPr="00AE38A9">
        <w:rPr>
          <w:rStyle w:val="apple-converted-space"/>
          <w:rFonts w:ascii="Verdana" w:hAnsi="Verdana"/>
          <w:sz w:val="16"/>
          <w:szCs w:val="16"/>
        </w:rPr>
        <w:t xml:space="preserve">, </w:t>
      </w:r>
      <w:r w:rsidRPr="00AE38A9">
        <w:rPr>
          <w:rStyle w:val="apple-converted-space"/>
          <w:rFonts w:ascii="Verdana" w:hAnsi="Verdana"/>
          <w:i/>
          <w:sz w:val="16"/>
          <w:szCs w:val="16"/>
        </w:rPr>
        <w:t>supra,</w:t>
      </w:r>
      <w:r w:rsidRPr="00AE38A9">
        <w:rPr>
          <w:rStyle w:val="apple-converted-space"/>
          <w:rFonts w:ascii="Verdana" w:hAnsi="Verdana"/>
          <w:sz w:val="16"/>
          <w:szCs w:val="16"/>
        </w:rPr>
        <w:t xml:space="preserve"> párr. 41.</w:t>
      </w:r>
    </w:p>
  </w:footnote>
  <w:footnote w:id="28">
    <w:p w14:paraId="47B1790E" w14:textId="77777777" w:rsidR="00247DB8" w:rsidRDefault="00247DB8" w:rsidP="005758E6">
      <w:pPr>
        <w:pStyle w:val="Footnotes"/>
        <w:spacing w:before="0" w:afterLines="40" w:after="96"/>
      </w:pPr>
      <w:r w:rsidRPr="00C271B5">
        <w:rPr>
          <w:rStyle w:val="FootnoteReference"/>
          <w:sz w:val="16"/>
        </w:rPr>
        <w:footnoteRef/>
      </w:r>
      <w:r w:rsidRPr="00C271B5">
        <w:t xml:space="preserve"> </w:t>
      </w:r>
      <w:r w:rsidRPr="00C271B5">
        <w:tab/>
      </w:r>
      <w:r w:rsidRPr="00CB6E04">
        <w:rPr>
          <w:i/>
        </w:rPr>
        <w:t>Cfr.</w:t>
      </w:r>
      <w:r w:rsidRPr="00CB6E04">
        <w:t xml:space="preserve"> </w:t>
      </w:r>
      <w:r w:rsidRPr="007E20F9">
        <w:rPr>
          <w:i/>
        </w:rPr>
        <w:t>Caso Pueblo Indígena Kichwa de Sarayaku Vs. Ecuador. Fondo y Reparaciones.</w:t>
      </w:r>
      <w:r w:rsidRPr="007E20F9">
        <w:t xml:space="preserve"> Sentencia de 27 de junio de 2012. Serie C No. 245, párr. 49, y </w:t>
      </w:r>
      <w:r w:rsidRPr="007E4A46">
        <w:rPr>
          <w:i/>
          <w:lang w:val="es-CR"/>
        </w:rPr>
        <w:t>Caso Comunidad Garífuna de Punta Piedra y sus</w:t>
      </w:r>
      <w:r w:rsidRPr="00C271B5">
        <w:rPr>
          <w:i/>
          <w:lang w:val="es-CR"/>
        </w:rPr>
        <w:t xml:space="preserve"> miembros</w:t>
      </w:r>
      <w:r w:rsidRPr="007E4A46">
        <w:rPr>
          <w:i/>
          <w:lang w:val="es-CR"/>
        </w:rPr>
        <w:t xml:space="preserve"> Vs. Honduras. Excepciones Preliminares, Fondo, Reparaciones y Costas.</w:t>
      </w:r>
      <w:r w:rsidRPr="00C271B5">
        <w:rPr>
          <w:lang w:val="es-CR"/>
        </w:rPr>
        <w:t xml:space="preserve"> Sentencia de </w:t>
      </w:r>
      <w:r w:rsidRPr="00606243">
        <w:rPr>
          <w:lang w:val="es-CR"/>
        </w:rPr>
        <w:t xml:space="preserve">8 de octubre de </w:t>
      </w:r>
      <w:r w:rsidRPr="00B15FEF">
        <w:rPr>
          <w:lang w:val="es-CR"/>
        </w:rPr>
        <w:t>2015. Serie C No. 304</w:t>
      </w:r>
      <w:r w:rsidRPr="00B15FEF">
        <w:t>, párr. 79.</w:t>
      </w:r>
    </w:p>
  </w:footnote>
  <w:footnote w:id="29">
    <w:p w14:paraId="3CA21E84"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9619CE">
        <w:t>La Corte solicitó el envío de información respecto de la titulación de tierras a favor de terceros en tres oportunidades (</w:t>
      </w:r>
      <w:r w:rsidRPr="009619CE">
        <w:rPr>
          <w:i/>
        </w:rPr>
        <w:t>infra</w:t>
      </w:r>
      <w:r w:rsidRPr="009619CE">
        <w:t xml:space="preserve">, </w:t>
      </w:r>
      <w:r w:rsidRPr="007E20F9">
        <w:t>párr. 264</w:t>
      </w:r>
      <w:r w:rsidRPr="009619CE">
        <w:t>). Finalmente, el Estado la proporcionó en holandés y de manera poco clara, precisa, e ininteligible, ya que envió las copias de los registros</w:t>
      </w:r>
      <w:r w:rsidRPr="00A10C80">
        <w:t xml:space="preserve"> escritos a mano de la Oficina de Dominios (“</w:t>
      </w:r>
      <w:r w:rsidRPr="00F77E53">
        <w:rPr>
          <w:i/>
        </w:rPr>
        <w:t>Domains Office</w:t>
      </w:r>
      <w:r w:rsidRPr="00A10C80">
        <w:t>”), a través de imágenes fotográficas, muchas de las cuales no pudieron ser observadas con claridad por la calidad de la imagen. Asimismo, algunas de ellas sólo permitieron identificar el nombre del titular y la ubicación del predio dentro del proyecto de Tuinstad Albina. De igual manera, del mapa enviado por el Estado respecto de dicho proyecto, cuya numeración está referida en los registros de títulos, parecería que existen 73 divisiones de tierras derivadas de la parcelación efectuada (expediente de prueba, anexos 7b, 7c y 7d, folios 3078 a 3230).</w:t>
      </w:r>
    </w:p>
  </w:footnote>
  <w:footnote w:id="30">
    <w:p w14:paraId="32797C1B" w14:textId="77777777" w:rsidR="00247DB8" w:rsidRPr="0032075F" w:rsidRDefault="00247DB8" w:rsidP="005758E6">
      <w:pPr>
        <w:pStyle w:val="FootnoteText"/>
        <w:spacing w:afterLines="40" w:after="96"/>
        <w:rPr>
          <w:lang w:val="es-CR"/>
        </w:rPr>
      </w:pPr>
      <w:r w:rsidRPr="00F1174A">
        <w:rPr>
          <w:rStyle w:val="FootnoteReference"/>
          <w:sz w:val="16"/>
        </w:rPr>
        <w:footnoteRef/>
      </w:r>
      <w:r w:rsidRPr="007E20F9">
        <w:rPr>
          <w:lang w:val="es-CR"/>
        </w:rPr>
        <w:t xml:space="preserve"> </w:t>
      </w:r>
      <w:r w:rsidRPr="007E20F9">
        <w:rPr>
          <w:lang w:val="es-CR"/>
        </w:rPr>
        <w:tab/>
      </w:r>
      <w:r w:rsidRPr="007E20F9">
        <w:rPr>
          <w:rFonts w:cs="Palatino-Italic"/>
          <w:i/>
          <w:iCs/>
          <w:lang w:val="es-CR" w:eastAsia="en-US"/>
        </w:rPr>
        <w:t>Cfr.</w:t>
      </w:r>
      <w:r w:rsidRPr="007E20F9">
        <w:rPr>
          <w:lang w:val="es-CR"/>
        </w:rPr>
        <w:t xml:space="preserve"> </w:t>
      </w:r>
      <w:r w:rsidRPr="009619CE">
        <w:rPr>
          <w:i/>
          <w:lang w:val="es-CR"/>
        </w:rPr>
        <w:t>Caso Comunidad Garífuna de Punta Piedra y sus miembros</w:t>
      </w:r>
      <w:r w:rsidRPr="007E20F9">
        <w:rPr>
          <w:lang w:val="es-CR"/>
        </w:rPr>
        <w:t xml:space="preserve">, </w:t>
      </w:r>
      <w:r w:rsidRPr="007E20F9">
        <w:rPr>
          <w:rFonts w:cs="Palatino-Italic"/>
          <w:i/>
          <w:iCs/>
          <w:lang w:val="es-CR" w:eastAsia="en-US"/>
        </w:rPr>
        <w:t>supra,</w:t>
      </w:r>
      <w:r w:rsidRPr="007E20F9">
        <w:rPr>
          <w:lang w:val="es-CR"/>
        </w:rPr>
        <w:t xml:space="preserve"> párr. </w:t>
      </w:r>
      <w:r w:rsidRPr="0032075F">
        <w:rPr>
          <w:rFonts w:cs="Palatino-Italic"/>
          <w:iCs/>
          <w:lang w:val="es-CR" w:eastAsia="en-US"/>
        </w:rPr>
        <w:t>80.</w:t>
      </w:r>
    </w:p>
  </w:footnote>
  <w:footnote w:id="31">
    <w:p w14:paraId="799ADC97" w14:textId="32BA15C8" w:rsidR="00247DB8" w:rsidRPr="0032075F" w:rsidRDefault="00247DB8" w:rsidP="005758E6">
      <w:pPr>
        <w:pStyle w:val="FootnoteText"/>
        <w:spacing w:afterLines="40" w:after="96"/>
        <w:rPr>
          <w:lang w:val="es-CR"/>
        </w:rPr>
      </w:pPr>
      <w:r w:rsidRPr="00C271B5">
        <w:rPr>
          <w:rStyle w:val="FootnoteReference"/>
          <w:sz w:val="16"/>
        </w:rPr>
        <w:footnoteRef/>
      </w:r>
      <w:r w:rsidRPr="0032075F">
        <w:rPr>
          <w:lang w:val="es-CR"/>
        </w:rPr>
        <w:t xml:space="preserve"> </w:t>
      </w:r>
      <w:r w:rsidRPr="0032075F">
        <w:rPr>
          <w:lang w:val="es-CR"/>
        </w:rPr>
        <w:tab/>
      </w:r>
      <w:r w:rsidRPr="0032075F">
        <w:rPr>
          <w:i/>
          <w:lang w:val="es-CR"/>
        </w:rPr>
        <w:t xml:space="preserve">Cfr. </w:t>
      </w:r>
      <w:r w:rsidRPr="0032075F">
        <w:rPr>
          <w:lang w:val="es-CR"/>
        </w:rPr>
        <w:t xml:space="preserve"> The historical use and occupation by Indigenous Peoples and communities of the Lower Marowijne River region of Surinam, de 25 de junio de 2006, elaborado por Caroline de Jong (expediente de prueba, folio 5); Traditional use and management of the Lower Marowijne area by the Kaliña and Lokono: A Surinamse case study in the context of article 10(c) of the Convention on Biological Diversity, de 17 de febrero de 2006, elaborado por Henry Zaalman, Georgette Kumanajare, Louis Biswane, Grace Watamaleo, Michael Barend, Sylvia Oeloekanamoe, Steven Majarawai, Harold Galgren, Ellen-Rose Kambel y Caroline de Jong (expediente de prueba, folio 40), y </w:t>
      </w:r>
      <w:r w:rsidRPr="0032075F">
        <w:rPr>
          <w:i/>
          <w:lang w:val="es-CR"/>
        </w:rPr>
        <w:t>Affidavit</w:t>
      </w:r>
      <w:r w:rsidRPr="0032075F">
        <w:rPr>
          <w:lang w:val="es-CR"/>
        </w:rPr>
        <w:t xml:space="preserve"> de la Capitana Grace Watamaleo de 27 de enero de 2015 (expediente de fondo, folio 448).</w:t>
      </w:r>
    </w:p>
  </w:footnote>
  <w:footnote w:id="32">
    <w:p w14:paraId="450D8351"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IWGIA, The Indigenous World 2012: Surinam (expediente de prueba, folio 13).</w:t>
      </w:r>
    </w:p>
  </w:footnote>
  <w:footnote w:id="33">
    <w:p w14:paraId="32739B02"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 xml:space="preserve">supra </w:t>
      </w:r>
      <w:r w:rsidRPr="007E20F9">
        <w:rPr>
          <w:lang w:val="en-US"/>
        </w:rPr>
        <w:t xml:space="preserve">(expediente de prueba, folio 40), y The historical use and occupation by Indigenous Peoples and communities of the Lower Marowijne River region of Surinam, </w:t>
      </w:r>
      <w:r w:rsidRPr="007E20F9">
        <w:rPr>
          <w:i/>
          <w:lang w:val="en-US"/>
        </w:rPr>
        <w:t>supra</w:t>
      </w:r>
      <w:r w:rsidRPr="007E20F9">
        <w:rPr>
          <w:lang w:val="en-US"/>
        </w:rPr>
        <w:t xml:space="preserve"> (expediente de prueba, folio 5).</w:t>
      </w:r>
    </w:p>
  </w:footnote>
  <w:footnote w:id="34">
    <w:p w14:paraId="180E7ABD"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40).</w:t>
      </w:r>
    </w:p>
  </w:footnote>
  <w:footnote w:id="35">
    <w:p w14:paraId="7E87646C"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40).</w:t>
      </w:r>
    </w:p>
  </w:footnote>
  <w:footnote w:id="36">
    <w:p w14:paraId="2B24732E"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Observaciones Finales Escritas del Estado de 2 de marzo de 2015 (expediente de fondo, folio 583). </w:t>
      </w:r>
    </w:p>
  </w:footnote>
  <w:footnote w:id="37">
    <w:p w14:paraId="30636D6D" w14:textId="77777777" w:rsidR="00247DB8" w:rsidRPr="00606243" w:rsidRDefault="00247DB8" w:rsidP="005758E6">
      <w:pPr>
        <w:pStyle w:val="FootnoteText"/>
        <w:spacing w:afterLines="40" w:after="96"/>
        <w:rPr>
          <w:lang w:val="en-US"/>
        </w:rPr>
      </w:pPr>
      <w:r w:rsidRPr="00C271B5">
        <w:rPr>
          <w:rStyle w:val="FootnoteReference"/>
          <w:sz w:val="16"/>
        </w:rPr>
        <w:footnoteRef/>
      </w:r>
      <w:r w:rsidRPr="00C271B5">
        <w:rPr>
          <w:lang w:val="es-CR"/>
        </w:rPr>
        <w:t xml:space="preserve"> </w:t>
      </w:r>
      <w:r w:rsidRPr="00C271B5">
        <w:rPr>
          <w:lang w:val="es-CR"/>
        </w:rPr>
        <w:tab/>
        <w:t>Al respecto se</w:t>
      </w:r>
      <w:r w:rsidRPr="00C271B5">
        <w:t xml:space="preserve"> destaca que lo siguiente: i) el principal producto de cultivo es la tapioca; ii) tanto los hombres como las mujeres participan de la acti</w:t>
      </w:r>
      <w:r w:rsidRPr="00606243">
        <w:t xml:space="preserve">vidad, y iii) cada comunidad tiene una zona común para la agricultura donde cada residente puede realizar su cultivo propio. </w:t>
      </w:r>
      <w:r w:rsidRPr="00606243">
        <w:rPr>
          <w:i/>
          <w:lang w:val="en-US"/>
        </w:rPr>
        <w:t>Cfr.</w:t>
      </w:r>
      <w:r w:rsidRPr="00606243">
        <w:rPr>
          <w:lang w:val="en-US"/>
        </w:rPr>
        <w:t xml:space="preserve"> Traditional use and management of the Lower Marowijne area by the Kaliña and Lokono, </w:t>
      </w:r>
      <w:r w:rsidRPr="00606243">
        <w:rPr>
          <w:i/>
          <w:lang w:val="en-US"/>
        </w:rPr>
        <w:t>supra</w:t>
      </w:r>
      <w:r w:rsidRPr="00606243">
        <w:rPr>
          <w:lang w:val="en-US"/>
        </w:rPr>
        <w:t xml:space="preserve"> (expediente de prueba, folios 74, 81 y 82).</w:t>
      </w:r>
    </w:p>
  </w:footnote>
  <w:footnote w:id="38">
    <w:p w14:paraId="7169AD89" w14:textId="77777777" w:rsidR="00247DB8" w:rsidRPr="00606243" w:rsidRDefault="00247DB8" w:rsidP="005758E6">
      <w:pPr>
        <w:pStyle w:val="FootnoteText"/>
        <w:spacing w:afterLines="40" w:after="96"/>
        <w:rPr>
          <w:lang w:val="en-US"/>
        </w:rPr>
      </w:pPr>
      <w:r w:rsidRPr="00C271B5">
        <w:rPr>
          <w:rStyle w:val="FootnoteReference"/>
          <w:sz w:val="16"/>
        </w:rPr>
        <w:footnoteRef/>
      </w:r>
      <w:r w:rsidRPr="00C271B5">
        <w:t xml:space="preserve"> </w:t>
      </w:r>
      <w:r w:rsidRPr="00C271B5">
        <w:tab/>
        <w:t xml:space="preserve">Al respecto se destaca lo siguiente: i) en promedio los habitantes de las comunidades realizan actividades de pesca de tres a cuatro veces por semana; ii) el pescado se atrapa para consumo personal y comercial, y iii) tanto hombres como mujeres participan de las actividades. </w:t>
      </w:r>
      <w:r w:rsidRPr="00606243">
        <w:rPr>
          <w:i/>
          <w:lang w:val="en-US"/>
        </w:rPr>
        <w:t>Cfr.</w:t>
      </w:r>
      <w:r w:rsidRPr="00606243">
        <w:rPr>
          <w:lang w:val="en-US"/>
        </w:rPr>
        <w:t xml:space="preserve"> Traditional use and management of the Lower Marowijne area by the Kaliña and Lokono, </w:t>
      </w:r>
      <w:r w:rsidRPr="00606243">
        <w:rPr>
          <w:i/>
          <w:lang w:val="en-US"/>
        </w:rPr>
        <w:t>supra</w:t>
      </w:r>
      <w:r w:rsidRPr="00606243">
        <w:rPr>
          <w:lang w:val="en-US"/>
        </w:rPr>
        <w:t xml:space="preserve"> (expediente de prueba, folio 92).</w:t>
      </w:r>
    </w:p>
  </w:footnote>
  <w:footnote w:id="39">
    <w:p w14:paraId="7E3350C9" w14:textId="77777777" w:rsidR="00247DB8" w:rsidRPr="00606243" w:rsidRDefault="00247DB8" w:rsidP="005758E6">
      <w:pPr>
        <w:pStyle w:val="FootnoteText"/>
        <w:spacing w:afterLines="40" w:after="96"/>
        <w:rPr>
          <w:lang w:val="en-US"/>
        </w:rPr>
      </w:pPr>
      <w:r w:rsidRPr="00C271B5">
        <w:rPr>
          <w:rStyle w:val="FootnoteReference"/>
          <w:sz w:val="16"/>
        </w:rPr>
        <w:footnoteRef/>
      </w:r>
      <w:r w:rsidRPr="00C271B5">
        <w:t xml:space="preserve"> </w:t>
      </w:r>
      <w:r w:rsidRPr="00C271B5">
        <w:tab/>
        <w:t>Al respecto se destaca lo siguiente: i)  ancestralmente la caza era una de las principales actividades de subsistencia pero en la actualidad no es tan frecuente; ii) aunque cada comunidad tiene su propio territorio para cazar, los indígenas tienen la liber</w:t>
      </w:r>
      <w:r w:rsidRPr="00606243">
        <w:t xml:space="preserve">tad para cazar donde deseen, y iii) tradicionalmente se utilizaban el arco y la flecha, pero en la actualidad casi todos los cazadores utilizan rifles. </w:t>
      </w:r>
      <w:r w:rsidRPr="00606243">
        <w:rPr>
          <w:i/>
          <w:lang w:val="en-US"/>
        </w:rPr>
        <w:t>Cfr.</w:t>
      </w:r>
      <w:r w:rsidRPr="00606243">
        <w:rPr>
          <w:lang w:val="en-US"/>
        </w:rPr>
        <w:t xml:space="preserve"> Traditional use and management of the Lower Marowijne area by the Kaliña and Lokono, </w:t>
      </w:r>
      <w:r w:rsidRPr="00606243">
        <w:rPr>
          <w:i/>
          <w:lang w:val="en-US"/>
        </w:rPr>
        <w:t>supra</w:t>
      </w:r>
      <w:r w:rsidRPr="00606243">
        <w:rPr>
          <w:lang w:val="en-US"/>
        </w:rPr>
        <w:t xml:space="preserve"> (expediente de prueba, folios 84, 87 - 89).</w:t>
      </w:r>
    </w:p>
  </w:footnote>
  <w:footnote w:id="40">
    <w:p w14:paraId="11AF1E24"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 xml:space="preserve">supra </w:t>
      </w:r>
      <w:r w:rsidRPr="007E20F9">
        <w:rPr>
          <w:lang w:val="en-US"/>
        </w:rPr>
        <w:t xml:space="preserve">(expediente de prueba, folio 100). </w:t>
      </w:r>
    </w:p>
  </w:footnote>
  <w:footnote w:id="41">
    <w:p w14:paraId="06240CF2"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128).</w:t>
      </w:r>
    </w:p>
  </w:footnote>
  <w:footnote w:id="42">
    <w:p w14:paraId="3011466E" w14:textId="77777777" w:rsidR="00247DB8" w:rsidRPr="001863DB" w:rsidRDefault="00247DB8" w:rsidP="005758E6">
      <w:pPr>
        <w:pStyle w:val="FootnoteText"/>
        <w:spacing w:afterLines="40" w:after="96"/>
        <w:rPr>
          <w:lang w:val="en-US"/>
        </w:rPr>
      </w:pPr>
      <w:r w:rsidRPr="00C271B5">
        <w:rPr>
          <w:rStyle w:val="FootnoteReference"/>
          <w:sz w:val="16"/>
        </w:rPr>
        <w:footnoteRef/>
      </w:r>
      <w:r w:rsidRPr="00C271B5">
        <w:t xml:space="preserve"> </w:t>
      </w:r>
      <w:r w:rsidRPr="00C271B5">
        <w:tab/>
        <w:t xml:space="preserve">Se dice que estos árboles albergan espíritus malignos que lastimaran a la persona que los corte, aunque particularmente el takini es utilizado por los  </w:t>
      </w:r>
      <w:r w:rsidRPr="00606243">
        <w:rPr>
          <w:i/>
        </w:rPr>
        <w:t>piays</w:t>
      </w:r>
      <w:r w:rsidRPr="00606243">
        <w:t xml:space="preserve"> (chamanes) para sus rituales. Por esto no se cosecha alrededor de ellos ni se les corta. </w:t>
      </w:r>
      <w:r w:rsidRPr="00606243">
        <w:rPr>
          <w:i/>
          <w:lang w:val="en-US"/>
        </w:rPr>
        <w:t>Cfr.</w:t>
      </w:r>
      <w:r w:rsidRPr="00606243">
        <w:rPr>
          <w:lang w:val="en-US"/>
        </w:rPr>
        <w:t xml:space="preserve"> Traditional use and management of the Lower Marowijne area by the Kaliña and Lokono, </w:t>
      </w:r>
      <w:r w:rsidRPr="00606243">
        <w:rPr>
          <w:i/>
          <w:lang w:val="en-US"/>
        </w:rPr>
        <w:t>supra</w:t>
      </w:r>
      <w:r w:rsidRPr="001863DB">
        <w:rPr>
          <w:lang w:val="en-US"/>
        </w:rPr>
        <w:t xml:space="preserve"> (expediente de prueba, folio 133).</w:t>
      </w:r>
    </w:p>
  </w:footnote>
  <w:footnote w:id="43">
    <w:p w14:paraId="21C7AB60" w14:textId="77777777" w:rsidR="00247DB8" w:rsidRPr="001863DB" w:rsidRDefault="00247DB8" w:rsidP="005758E6">
      <w:pPr>
        <w:pStyle w:val="FootnoteText"/>
        <w:spacing w:afterLines="40" w:after="96"/>
        <w:rPr>
          <w:lang w:val="en-US"/>
        </w:rPr>
      </w:pPr>
      <w:r w:rsidRPr="00C271B5">
        <w:rPr>
          <w:rStyle w:val="FootnoteReference"/>
          <w:sz w:val="16"/>
        </w:rPr>
        <w:footnoteRef/>
      </w:r>
      <w:r w:rsidRPr="00C271B5">
        <w:t xml:space="preserve"> </w:t>
      </w:r>
      <w:r w:rsidRPr="00C271B5">
        <w:tab/>
        <w:t xml:space="preserve">Se dice que el espíritu de la boa atormentará a la persona que la mató y eliminará a toda su familia, y que el abuelo de las tortugas marinas, considerado como </w:t>
      </w:r>
      <w:r w:rsidRPr="00606243">
        <w:t xml:space="preserve">el guardián del mar, se enfadará y enfermará a la persona que mató a la tortuga y a toda su familia. Por otra parte, se dice que los delfines y manatíes fueron seres humanos en el pasado y que cuidan y ayudan a las personas que caen en el agua. </w:t>
      </w:r>
      <w:r w:rsidRPr="00606243">
        <w:rPr>
          <w:i/>
          <w:lang w:val="en-US"/>
        </w:rPr>
        <w:t>Cfr.</w:t>
      </w:r>
      <w:r w:rsidRPr="00606243">
        <w:rPr>
          <w:lang w:val="en-US"/>
        </w:rPr>
        <w:t xml:space="preserve"> Traditional use and management of the Lower Marowijne area by the Kaliña and Lokono, </w:t>
      </w:r>
      <w:r w:rsidRPr="00606243">
        <w:rPr>
          <w:i/>
          <w:lang w:val="en-US"/>
        </w:rPr>
        <w:t>supra</w:t>
      </w:r>
      <w:r w:rsidRPr="001863DB">
        <w:rPr>
          <w:lang w:val="en-US"/>
        </w:rPr>
        <w:t xml:space="preserve"> (expediente de prueba, folios 131 y 132).</w:t>
      </w:r>
    </w:p>
  </w:footnote>
  <w:footnote w:id="44">
    <w:p w14:paraId="04064B4F"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128).</w:t>
      </w:r>
    </w:p>
  </w:footnote>
  <w:footnote w:id="45">
    <w:p w14:paraId="0083C97B"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folios</w:t>
      </w:r>
      <w:r w:rsidRPr="001863DB">
        <w:t xml:space="preserve"> 444 y </w:t>
      </w:r>
      <w:r w:rsidRPr="00C271B5">
        <w:t>448).</w:t>
      </w:r>
    </w:p>
  </w:footnote>
  <w:footnote w:id="46">
    <w:p w14:paraId="5AD51480"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128).</w:t>
      </w:r>
    </w:p>
  </w:footnote>
  <w:footnote w:id="47">
    <w:p w14:paraId="3B8061C5"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folios 135 - 137).</w:t>
      </w:r>
    </w:p>
  </w:footnote>
  <w:footnote w:id="48">
    <w:p w14:paraId="47339DC1"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45).</w:t>
      </w:r>
    </w:p>
  </w:footnote>
  <w:footnote w:id="49">
    <w:p w14:paraId="2237D121" w14:textId="77777777" w:rsidR="00247DB8" w:rsidRDefault="00247DB8" w:rsidP="005758E6">
      <w:pPr>
        <w:tabs>
          <w:tab w:val="left" w:pos="567"/>
        </w:tabs>
        <w:spacing w:afterLines="40" w:after="96"/>
        <w:jc w:val="both"/>
        <w:rPr>
          <w:rFonts w:ascii="Verdana" w:hAnsi="Verdana"/>
          <w:sz w:val="16"/>
          <w:szCs w:val="16"/>
        </w:rPr>
      </w:pPr>
      <w:r w:rsidRPr="007E20F9">
        <w:rPr>
          <w:rFonts w:ascii="Verdana" w:hAnsi="Verdana"/>
          <w:sz w:val="16"/>
          <w:szCs w:val="16"/>
          <w:vertAlign w:val="superscript"/>
        </w:rPr>
        <w:footnoteRef/>
      </w:r>
      <w:r w:rsidRPr="00C271B5">
        <w:rPr>
          <w:rFonts w:ascii="Verdana" w:hAnsi="Verdana"/>
          <w:sz w:val="16"/>
          <w:szCs w:val="16"/>
          <w:vertAlign w:val="superscript"/>
        </w:rPr>
        <w:t xml:space="preserve"> </w:t>
      </w:r>
      <w:r w:rsidRPr="00C271B5">
        <w:rPr>
          <w:rFonts w:ascii="Verdana" w:hAnsi="Verdana"/>
          <w:sz w:val="16"/>
          <w:szCs w:val="16"/>
        </w:rPr>
        <w:tab/>
      </w:r>
      <w:r w:rsidRPr="007E20F9">
        <w:rPr>
          <w:rFonts w:ascii="Verdana" w:hAnsi="Verdana"/>
          <w:i/>
          <w:sz w:val="16"/>
          <w:szCs w:val="16"/>
        </w:rPr>
        <w:t>Cfr. Caso de la Comunidad Moiwana Vs. Surinam. Excepciones Preliminares, Fondo, Reparaciones y Costas.</w:t>
      </w:r>
      <w:r w:rsidRPr="00C271B5">
        <w:rPr>
          <w:rFonts w:ascii="Verdana" w:hAnsi="Verdana"/>
          <w:sz w:val="16"/>
          <w:szCs w:val="16"/>
        </w:rPr>
        <w:t xml:space="preserve"> Sentencia 15 de junio de 2005. Serie C No. 124, párrs. 86.12 a 86.13.</w:t>
      </w:r>
    </w:p>
  </w:footnote>
  <w:footnote w:id="50">
    <w:p w14:paraId="525E9490" w14:textId="77777777" w:rsidR="00247DB8" w:rsidRPr="001863DB" w:rsidRDefault="00247DB8" w:rsidP="005758E6">
      <w:pPr>
        <w:tabs>
          <w:tab w:val="left" w:pos="567"/>
        </w:tabs>
        <w:spacing w:afterLines="40" w:after="96"/>
        <w:jc w:val="both"/>
        <w:rPr>
          <w:rFonts w:ascii="Verdana" w:hAnsi="Verdana"/>
          <w:bCs/>
          <w:sz w:val="16"/>
          <w:szCs w:val="16"/>
        </w:rPr>
      </w:pPr>
      <w:r w:rsidRPr="00C271B5">
        <w:rPr>
          <w:rStyle w:val="Strong"/>
          <w:rFonts w:ascii="Verdana" w:hAnsi="Verdana"/>
          <w:b w:val="0"/>
          <w:sz w:val="16"/>
          <w:szCs w:val="16"/>
          <w:vertAlign w:val="superscript"/>
          <w:lang w:val="es-ES"/>
        </w:rPr>
        <w:footnoteRef/>
      </w:r>
      <w:r w:rsidRPr="00C271B5">
        <w:rPr>
          <w:rStyle w:val="Strong"/>
          <w:rFonts w:ascii="Verdana" w:hAnsi="Verdana"/>
          <w:b w:val="0"/>
          <w:sz w:val="16"/>
          <w:szCs w:val="16"/>
          <w:vertAlign w:val="superscript"/>
        </w:rPr>
        <w:t xml:space="preserve"> </w:t>
      </w:r>
      <w:r w:rsidRPr="00C271B5">
        <w:rPr>
          <w:rStyle w:val="Strong"/>
          <w:rFonts w:ascii="Verdana" w:hAnsi="Verdana"/>
          <w:b w:val="0"/>
          <w:sz w:val="16"/>
          <w:szCs w:val="16"/>
          <w:vertAlign w:val="superscript"/>
        </w:rPr>
        <w:tab/>
      </w:r>
      <w:r w:rsidRPr="00C271B5">
        <w:rPr>
          <w:rFonts w:ascii="Verdana" w:hAnsi="Verdana"/>
          <w:i/>
          <w:sz w:val="16"/>
          <w:szCs w:val="16"/>
        </w:rPr>
        <w:t>Cfr.</w:t>
      </w:r>
      <w:r w:rsidRPr="00606243">
        <w:rPr>
          <w:rFonts w:ascii="Verdana" w:hAnsi="Verdana"/>
          <w:sz w:val="16"/>
          <w:szCs w:val="16"/>
        </w:rPr>
        <w:t xml:space="preserve"> Traditional use and management of the Lower Marowijne area by the Kaliña and Lokono, </w:t>
      </w:r>
      <w:r w:rsidRPr="00606243">
        <w:rPr>
          <w:rFonts w:ascii="Verdana" w:hAnsi="Verdana"/>
          <w:i/>
          <w:sz w:val="16"/>
          <w:szCs w:val="16"/>
        </w:rPr>
        <w:t>supra</w:t>
      </w:r>
      <w:r w:rsidRPr="00606243">
        <w:rPr>
          <w:rFonts w:ascii="Verdana" w:hAnsi="Verdana"/>
          <w:sz w:val="16"/>
          <w:szCs w:val="16"/>
        </w:rPr>
        <w:t xml:space="preserve"> (expediente de prueba, folio 44), y </w:t>
      </w:r>
      <w:r w:rsidRPr="00606243">
        <w:rPr>
          <w:rFonts w:ascii="Verdana" w:hAnsi="Verdana"/>
          <w:i/>
          <w:sz w:val="16"/>
          <w:szCs w:val="16"/>
        </w:rPr>
        <w:t>Affidavit</w:t>
      </w:r>
      <w:r w:rsidRPr="00606243">
        <w:rPr>
          <w:rFonts w:ascii="Verdana" w:hAnsi="Verdana"/>
          <w:sz w:val="16"/>
          <w:szCs w:val="16"/>
        </w:rPr>
        <w:t xml:space="preserve"> de la Capitana Grace Watamaleo de 27 de enero de 2015 (expediente de fondo, folio 445).</w:t>
      </w:r>
    </w:p>
  </w:footnote>
  <w:footnote w:id="51">
    <w:p w14:paraId="11762D49" w14:textId="77777777" w:rsidR="00247DB8" w:rsidRPr="00606243" w:rsidRDefault="00247DB8" w:rsidP="005758E6">
      <w:pPr>
        <w:pStyle w:val="FootnoteText"/>
        <w:spacing w:afterLines="40" w:after="96"/>
        <w:rPr>
          <w:lang w:val="es-CR"/>
        </w:rPr>
      </w:pPr>
      <w:r w:rsidRPr="00C271B5">
        <w:rPr>
          <w:rStyle w:val="FootnoteReference"/>
          <w:sz w:val="16"/>
        </w:rPr>
        <w:footnoteRef/>
      </w:r>
      <w:r w:rsidRPr="00C271B5">
        <w:t xml:space="preserve"> </w:t>
      </w:r>
      <w:r w:rsidRPr="00C271B5">
        <w:tab/>
        <w:t xml:space="preserve">De acuerdo con la información aportada por el Estado en sus alegatos finales escritos, en el Distrito de Marowijne habitan aproximadamente 13,103 </w:t>
      </w:r>
      <w:r>
        <w:t>maroons</w:t>
      </w:r>
      <w:r w:rsidRPr="00C271B5">
        <w:t xml:space="preserve"> (expediente de fondo, folio 582).</w:t>
      </w:r>
    </w:p>
  </w:footnote>
  <w:footnote w:id="52">
    <w:p w14:paraId="7DB3FC3E" w14:textId="608330BC"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Manifestaciones de 17 de agosto de 2015 rendidas durante la diligencia </w:t>
      </w:r>
      <w:r w:rsidRPr="007E20F9">
        <w:rPr>
          <w:i/>
        </w:rPr>
        <w:t>in situ</w:t>
      </w:r>
      <w:r w:rsidRPr="00C271B5">
        <w:t xml:space="preserve"> por parte del señor M. Misindjan, </w:t>
      </w:r>
      <w:r w:rsidRPr="00606243">
        <w:t xml:space="preserve">Presidente de la Comisión de Derechos Territoriales y agente del Estado en el presente caso, del señor Mi T. Sondrejoe, Comisionado de Distrito de Marowijne, y del </w:t>
      </w:r>
      <w:r w:rsidRPr="007B5E36">
        <w:t>señ</w:t>
      </w:r>
      <w:r w:rsidRPr="00020823">
        <w:t xml:space="preserve">or Fergus </w:t>
      </w:r>
      <w:r w:rsidRPr="001A4213">
        <w:t>MacKay</w:t>
      </w:r>
      <w:r w:rsidRPr="00476486">
        <w:t>,</w:t>
      </w:r>
      <w:r w:rsidRPr="001863DB">
        <w:t xml:space="preserve"> representantes de las presuntas víctimas </w:t>
      </w:r>
      <w:r w:rsidRPr="00C271B5">
        <w:t>(expediente de fondo, folio 973).</w:t>
      </w:r>
    </w:p>
  </w:footnote>
  <w:footnote w:id="53">
    <w:p w14:paraId="7CE0D599" w14:textId="77777777" w:rsidR="00247DB8" w:rsidRPr="00606243" w:rsidRDefault="00247DB8" w:rsidP="005758E6">
      <w:pPr>
        <w:tabs>
          <w:tab w:val="left" w:pos="567"/>
        </w:tabs>
        <w:spacing w:afterLines="40" w:after="96"/>
        <w:jc w:val="both"/>
        <w:rPr>
          <w:rFonts w:ascii="Verdana" w:hAnsi="Verdana"/>
          <w:sz w:val="16"/>
          <w:szCs w:val="16"/>
        </w:rPr>
      </w:pPr>
      <w:r w:rsidRPr="00C271B5">
        <w:rPr>
          <w:rFonts w:ascii="Verdana" w:hAnsi="Verdana"/>
          <w:sz w:val="16"/>
          <w:szCs w:val="16"/>
          <w:vertAlign w:val="superscript"/>
        </w:rPr>
        <w:footnoteRef/>
      </w:r>
      <w:r w:rsidRPr="00C271B5">
        <w:rPr>
          <w:rFonts w:ascii="Verdana" w:hAnsi="Verdana"/>
          <w:sz w:val="16"/>
          <w:szCs w:val="16"/>
          <w:vertAlign w:val="superscript"/>
        </w:rPr>
        <w:t xml:space="preserve"> </w:t>
      </w:r>
      <w:r w:rsidRPr="00C271B5">
        <w:rPr>
          <w:rFonts w:ascii="Verdana" w:hAnsi="Verdana"/>
          <w:sz w:val="16"/>
          <w:szCs w:val="16"/>
        </w:rPr>
        <w:tab/>
      </w:r>
      <w:r w:rsidRPr="00606243">
        <w:rPr>
          <w:rFonts w:ascii="Verdana" w:hAnsi="Verdana"/>
          <w:i/>
          <w:sz w:val="16"/>
          <w:szCs w:val="16"/>
        </w:rPr>
        <w:t>Cfr.</w:t>
      </w:r>
      <w:r w:rsidRPr="00606243">
        <w:rPr>
          <w:rFonts w:ascii="Verdana" w:hAnsi="Verdana"/>
          <w:sz w:val="16"/>
          <w:szCs w:val="16"/>
        </w:rPr>
        <w:t xml:space="preserve"> </w:t>
      </w:r>
      <w:r w:rsidRPr="007E20F9">
        <w:rPr>
          <w:rFonts w:ascii="Verdana" w:hAnsi="Verdana"/>
          <w:i/>
          <w:sz w:val="16"/>
          <w:szCs w:val="16"/>
        </w:rPr>
        <w:t>Caso de la Comunidad Moiwana</w:t>
      </w:r>
      <w:r w:rsidRPr="00606243">
        <w:rPr>
          <w:rFonts w:ascii="Verdana" w:hAnsi="Verdana"/>
          <w:sz w:val="16"/>
          <w:szCs w:val="16"/>
        </w:rPr>
        <w:t xml:space="preserve">, </w:t>
      </w:r>
      <w:r w:rsidRPr="007E20F9">
        <w:rPr>
          <w:rFonts w:ascii="Verdana" w:hAnsi="Verdana"/>
          <w:i/>
          <w:sz w:val="16"/>
          <w:szCs w:val="16"/>
        </w:rPr>
        <w:t>supra</w:t>
      </w:r>
      <w:r w:rsidRPr="00C271B5">
        <w:rPr>
          <w:rFonts w:ascii="Verdana" w:hAnsi="Verdana"/>
          <w:sz w:val="16"/>
          <w:szCs w:val="16"/>
        </w:rPr>
        <w:t>, párr. 86.4.</w:t>
      </w:r>
    </w:p>
  </w:footnote>
  <w:footnote w:id="54">
    <w:p w14:paraId="586F512E" w14:textId="6F2CAED4"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lang w:val="es-CR"/>
        </w:rPr>
        <w:t xml:space="preserve">El río </w:t>
      </w:r>
      <w:r w:rsidRPr="00606243">
        <w:rPr>
          <w:rStyle w:val="Strong"/>
          <w:b w:val="0"/>
        </w:rPr>
        <w:t>Anjoemara Creek establece la división entre la comunidad de Marijkedorp (Wan Shi Sha) y la ciudad de Albina</w:t>
      </w:r>
      <w:r w:rsidRPr="00606243">
        <w:t>. Por otra parte, e</w:t>
      </w:r>
      <w:r w:rsidRPr="00606243">
        <w:rPr>
          <w:rStyle w:val="Strong"/>
          <w:b w:val="0"/>
        </w:rPr>
        <w:t xml:space="preserve">l río Aloemada Creek establece el límite a partir del cual inicia la comunidad </w:t>
      </w:r>
      <w:r>
        <w:rPr>
          <w:rStyle w:val="Strong"/>
          <w:b w:val="0"/>
        </w:rPr>
        <w:t>Kaliña</w:t>
      </w:r>
      <w:r w:rsidRPr="00606243">
        <w:rPr>
          <w:rStyle w:val="Strong"/>
          <w:b w:val="0"/>
        </w:rPr>
        <w:t xml:space="preserve"> de Bigiston. </w:t>
      </w:r>
      <w:r w:rsidRPr="001863DB">
        <w:rPr>
          <w:rStyle w:val="Strong"/>
          <w:b w:val="0"/>
          <w:i/>
        </w:rPr>
        <w:t>Cfr.</w:t>
      </w:r>
      <w:r w:rsidRPr="001863DB">
        <w:rPr>
          <w:rStyle w:val="Strong"/>
          <w:b w:val="0"/>
        </w:rPr>
        <w:t xml:space="preserve"> </w:t>
      </w:r>
      <w:r w:rsidRPr="00C271B5">
        <w:t>Escrito de los representantes de 8 de septiembre de 2015, párr. 19 (expediente de fondo, folio 953).</w:t>
      </w:r>
    </w:p>
  </w:footnote>
  <w:footnote w:id="55">
    <w:p w14:paraId="418A42A1"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t xml:space="preserve">Asimismo, los representantes indicaron que las casas que fueron construidas en la comunidad de Alfonsdorp para los sobrevivientes de la Masacre de Moiwana se encontraban habitadas de forma esporádica, sin especificar por quien, y que la comunidad </w:t>
      </w:r>
      <w:r>
        <w:t xml:space="preserve">maroon </w:t>
      </w:r>
      <w:r w:rsidRPr="00C271B5">
        <w:t xml:space="preserve">N´djuka de Moiwana se encontraba fuera del territorio reclamado por los Pueblos Kaliña y Lokono. </w:t>
      </w:r>
      <w:r w:rsidRPr="00C271B5">
        <w:rPr>
          <w:i/>
        </w:rPr>
        <w:t>Cfr</w:t>
      </w:r>
      <w:r w:rsidRPr="00C271B5">
        <w:t>. Escrito de los representantes de 8 de septiembre de 2015, párrs. 14, 15 y 19 (expediente de fondo, folios 951 - 954).</w:t>
      </w:r>
    </w:p>
  </w:footnote>
  <w:footnote w:id="56">
    <w:p w14:paraId="702AEA0F"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Manifestación de 19 de agosto de 2015 rendida</w:t>
      </w:r>
      <w:r w:rsidRPr="001863DB">
        <w:t xml:space="preserve"> durante la diligencia </w:t>
      </w:r>
      <w:r w:rsidRPr="001863DB">
        <w:rPr>
          <w:i/>
        </w:rPr>
        <w:t>in situ</w:t>
      </w:r>
      <w:r w:rsidRPr="00C271B5">
        <w:t xml:space="preserve"> por parte del señor Jona Gunther, Capitán de Erowarte (expediente de fondo, folio 973).</w:t>
      </w:r>
    </w:p>
  </w:footnote>
  <w:footnote w:id="57">
    <w:p w14:paraId="39623DE8"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Manifestación de 19 de agosto de 2015 rendida durante la diligencia </w:t>
      </w:r>
      <w:r w:rsidRPr="00606243">
        <w:rPr>
          <w:i/>
        </w:rPr>
        <w:t>in situ</w:t>
      </w:r>
      <w:r w:rsidRPr="00606243">
        <w:t xml:space="preserve"> por parte de la señora Gr</w:t>
      </w:r>
      <w:r w:rsidRPr="001863DB">
        <w:t xml:space="preserve">ace Watamaleo, Capitana de Marijkedorp </w:t>
      </w:r>
      <w:r>
        <w:t xml:space="preserve">(Wan </w:t>
      </w:r>
      <w:r w:rsidRPr="00C271B5">
        <w:t>Shi Sha) (expediente de fondo, folio 973), y Escrito de los representantes de 8 de septiembre de 2015 (expediente de fondo, folio 954).</w:t>
      </w:r>
    </w:p>
  </w:footnote>
  <w:footnote w:id="58">
    <w:p w14:paraId="08EDBBE2"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Manifestación de 19 de agosto de 2015 rendida durante la diligencia </w:t>
      </w:r>
      <w:r w:rsidRPr="00606243">
        <w:rPr>
          <w:i/>
        </w:rPr>
        <w:t>in situ</w:t>
      </w:r>
      <w:r w:rsidRPr="00606243">
        <w:t xml:space="preserve"> por parte del señor Marchiano Aroepa, Asistente del </w:t>
      </w:r>
      <w:r w:rsidRPr="001863DB">
        <w:t>Capitán</w:t>
      </w:r>
      <w:r w:rsidRPr="00C271B5">
        <w:t xml:space="preserve"> de Bigiston, (expediente de fondo, folio 973), y Escrito de los representantes de 8 de septiembre de 2015 (expediente de fondo, folio 954).</w:t>
      </w:r>
    </w:p>
  </w:footnote>
  <w:footnote w:id="59">
    <w:p w14:paraId="234D9556" w14:textId="23F17709" w:rsidR="00247DB8" w:rsidRPr="00606243" w:rsidRDefault="00247DB8" w:rsidP="005758E6">
      <w:pPr>
        <w:pStyle w:val="FootnoteText"/>
        <w:spacing w:afterLines="40" w:after="96"/>
      </w:pPr>
      <w:r w:rsidRPr="00BA5FB7">
        <w:rPr>
          <w:rStyle w:val="FootnoteReference"/>
          <w:sz w:val="16"/>
        </w:rPr>
        <w:footnoteRef/>
      </w:r>
      <w:r w:rsidRPr="00C271B5">
        <w:t xml:space="preserve"> </w:t>
      </w:r>
      <w:r w:rsidRPr="00C271B5">
        <w:tab/>
      </w:r>
      <w:r w:rsidRPr="00C271B5">
        <w:rPr>
          <w:i/>
        </w:rPr>
        <w:t>Cfr.</w:t>
      </w:r>
      <w:r w:rsidRPr="00606243">
        <w:t xml:space="preserve"> Carta de Da Gazon Matodja, </w:t>
      </w:r>
      <w:r w:rsidRPr="004B0145">
        <w:t xml:space="preserve">Paramount Chief </w:t>
      </w:r>
      <w:r w:rsidRPr="00020823">
        <w:t xml:space="preserve">(Gaaman) </w:t>
      </w:r>
      <w:r w:rsidRPr="004B0145">
        <w:t>de los N’djuka maroons,</w:t>
      </w:r>
      <w:r>
        <w:t xml:space="preserve"> </w:t>
      </w:r>
      <w:r w:rsidRPr="00606243">
        <w:t>de 9 de abril de 2009 (expediente de prueba, folio 2884).</w:t>
      </w:r>
    </w:p>
  </w:footnote>
  <w:footnote w:id="60">
    <w:p w14:paraId="6A3858CA" w14:textId="26E6970B" w:rsidR="00247DB8" w:rsidRPr="004B0145" w:rsidRDefault="00247DB8" w:rsidP="005758E6">
      <w:pPr>
        <w:pStyle w:val="FootnoteText"/>
        <w:spacing w:afterLines="40" w:after="96"/>
        <w:rPr>
          <w:lang w:val="es-CR"/>
        </w:rPr>
      </w:pPr>
      <w:r w:rsidRPr="00C271B5">
        <w:rPr>
          <w:rStyle w:val="FootnoteReference"/>
          <w:sz w:val="16"/>
        </w:rPr>
        <w:footnoteRef/>
      </w:r>
      <w:r w:rsidRPr="00C271B5">
        <w:t xml:space="preserve"> </w:t>
      </w:r>
      <w:r w:rsidRPr="00C271B5">
        <w:tab/>
        <w:t>El artículo 10 (el derecho a la tierra) del Acuerdo de Lelydorp</w:t>
      </w:r>
      <w:r>
        <w:t>.</w:t>
      </w:r>
      <w:r w:rsidRPr="00C271B5">
        <w:rPr>
          <w:i/>
          <w:lang w:val="es-CR"/>
        </w:rPr>
        <w:t>Cfr.</w:t>
      </w:r>
      <w:r w:rsidRPr="00606243">
        <w:rPr>
          <w:lang w:val="es-CR"/>
        </w:rPr>
        <w:t xml:space="preserve"> </w:t>
      </w:r>
      <w:r w:rsidRPr="00606243">
        <w:rPr>
          <w:i/>
          <w:lang w:val="es-CR"/>
        </w:rPr>
        <w:t>Affidavit</w:t>
      </w:r>
      <w:r w:rsidRPr="00606243">
        <w:rPr>
          <w:lang w:val="es-CR"/>
        </w:rPr>
        <w:t xml:space="preserve"> de Loreen Jubitana de 27 de enero de 2015 (expediente de fondo, folios 431 y 432)</w:t>
      </w:r>
      <w:r>
        <w:t>.</w:t>
      </w:r>
    </w:p>
  </w:footnote>
  <w:footnote w:id="61">
    <w:p w14:paraId="0EB326A9" w14:textId="77777777" w:rsidR="00247DB8" w:rsidRPr="007E20F9" w:rsidRDefault="00247DB8" w:rsidP="005758E6">
      <w:pPr>
        <w:tabs>
          <w:tab w:val="left" w:pos="567"/>
        </w:tabs>
        <w:spacing w:afterLines="40" w:after="96"/>
        <w:jc w:val="both"/>
        <w:rPr>
          <w:rFonts w:ascii="Verdana" w:hAnsi="Verdana"/>
          <w:sz w:val="16"/>
          <w:szCs w:val="16"/>
        </w:rPr>
      </w:pPr>
      <w:r w:rsidRPr="007E20F9">
        <w:rPr>
          <w:rFonts w:ascii="Verdana" w:hAnsi="Verdana"/>
          <w:sz w:val="16"/>
          <w:szCs w:val="16"/>
          <w:vertAlign w:val="superscript"/>
        </w:rPr>
        <w:footnoteRef/>
      </w:r>
      <w:r w:rsidRPr="00C271B5">
        <w:rPr>
          <w:rFonts w:ascii="Verdana" w:hAnsi="Verdana"/>
          <w:sz w:val="16"/>
          <w:szCs w:val="16"/>
          <w:vertAlign w:val="superscript"/>
        </w:rPr>
        <w:t xml:space="preserve"> </w:t>
      </w:r>
      <w:r w:rsidRPr="00C271B5">
        <w:rPr>
          <w:rFonts w:ascii="Verdana" w:hAnsi="Verdana"/>
          <w:sz w:val="16"/>
          <w:szCs w:val="16"/>
          <w:vertAlign w:val="superscript"/>
        </w:rPr>
        <w:tab/>
      </w:r>
      <w:r w:rsidRPr="007E20F9">
        <w:rPr>
          <w:rFonts w:ascii="Verdana" w:hAnsi="Verdana"/>
          <w:i/>
          <w:sz w:val="16"/>
          <w:szCs w:val="16"/>
        </w:rPr>
        <w:t>Caso de la Comunidad Moiwana, supra,</w:t>
      </w:r>
      <w:r w:rsidRPr="00C271B5">
        <w:rPr>
          <w:rFonts w:ascii="Verdana" w:hAnsi="Verdana"/>
          <w:sz w:val="16"/>
          <w:szCs w:val="16"/>
        </w:rPr>
        <w:t xml:space="preserve"> párr. 86.5.</w:t>
      </w:r>
    </w:p>
  </w:footnote>
  <w:footnote w:id="62">
    <w:p w14:paraId="09DEDCBE"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7E20F9">
        <w:rPr>
          <w:i/>
        </w:rPr>
        <w:t>Caso del Pueblo Saramaka Vs. Surinam. Excepciones Preliminares, Fondo, Reparaciones y Costas.</w:t>
      </w:r>
      <w:r w:rsidRPr="007E20F9">
        <w:t xml:space="preserve"> Sentencia de 28 de noviembre de 2007. Serie C No. 172, párr. 115.</w:t>
      </w:r>
    </w:p>
  </w:footnote>
  <w:footnote w:id="63">
    <w:p w14:paraId="45C7131B"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Loreen Jubitana de 27 de enero de 2015 (expediente de fondo, folio 433), y Contrato por servicios profesionales de 6 de enero de 2014 (expediente de prueba, folio 2997).</w:t>
      </w:r>
    </w:p>
  </w:footnote>
  <w:footnote w:id="64">
    <w:p w14:paraId="0134C17D"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Artículos 1, 2, 5, 7 y 8, </w:t>
      </w:r>
      <w:r w:rsidRPr="007E20F9">
        <w:rPr>
          <w:i/>
        </w:rPr>
        <w:t>Draft Bill on Traditional Authorities</w:t>
      </w:r>
      <w:r w:rsidRPr="00C271B5">
        <w:t xml:space="preserve">, </w:t>
      </w:r>
      <w:r w:rsidRPr="00606243">
        <w:t>de 3 junio de 2014 (expediente de fondo, folios 848 a 850).</w:t>
      </w:r>
    </w:p>
  </w:footnote>
  <w:footnote w:id="65">
    <w:p w14:paraId="5FEF813F"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Comunicación de 30 de julio de 2014, Ref.: 038-14/KB/BG (expediente de prueba, folio 3000).</w:t>
      </w:r>
    </w:p>
  </w:footnote>
  <w:footnote w:id="66">
    <w:p w14:paraId="023E2782"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Comunicación de 1 de octubre de 2014, Ref.: 057/14/KB/BG (expediente de prueba, folios 3001 y 3002).</w:t>
      </w:r>
    </w:p>
  </w:footnote>
  <w:footnote w:id="67">
    <w:p w14:paraId="257E4819"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Loreen Jubitana de 27 de enero de 2015 (expediente de fondo, folio 431).</w:t>
      </w:r>
    </w:p>
  </w:footnote>
  <w:footnote w:id="68">
    <w:p w14:paraId="78A09E74" w14:textId="77777777" w:rsidR="00247DB8" w:rsidRPr="00606243" w:rsidRDefault="00247DB8" w:rsidP="005758E6">
      <w:pPr>
        <w:tabs>
          <w:tab w:val="left" w:pos="567"/>
        </w:tabs>
        <w:autoSpaceDE w:val="0"/>
        <w:autoSpaceDN w:val="0"/>
        <w:adjustRightInd w:val="0"/>
        <w:spacing w:afterLines="40" w:after="96"/>
        <w:jc w:val="both"/>
        <w:rPr>
          <w:rFonts w:ascii="Verdana" w:hAnsi="Verdana"/>
          <w:sz w:val="16"/>
          <w:szCs w:val="16"/>
        </w:rPr>
      </w:pPr>
      <w:r w:rsidRPr="00C271B5">
        <w:rPr>
          <w:rStyle w:val="FootnoteReference"/>
          <w:sz w:val="16"/>
          <w:szCs w:val="16"/>
        </w:rPr>
        <w:footnoteRef/>
      </w:r>
      <w:r w:rsidRPr="007E20F9">
        <w:rPr>
          <w:rFonts w:ascii="Verdana" w:hAnsi="Verdana"/>
          <w:sz w:val="16"/>
          <w:szCs w:val="16"/>
          <w:lang w:val="es-CR"/>
        </w:rPr>
        <w:t xml:space="preserve"> </w:t>
      </w:r>
      <w:r w:rsidRPr="007E20F9">
        <w:rPr>
          <w:rFonts w:ascii="Verdana" w:hAnsi="Verdana"/>
          <w:sz w:val="16"/>
          <w:szCs w:val="16"/>
          <w:lang w:val="es-CR"/>
        </w:rPr>
        <w:tab/>
        <w:t xml:space="preserve">A saber: </w:t>
      </w:r>
      <w:r w:rsidRPr="007E20F9">
        <w:rPr>
          <w:rFonts w:ascii="Verdana" w:hAnsi="Verdana"/>
          <w:bCs/>
          <w:i/>
          <w:iCs/>
          <w:sz w:val="16"/>
          <w:szCs w:val="16"/>
          <w:lang w:val="es-CR"/>
        </w:rPr>
        <w:t xml:space="preserve">Caso No. 165, </w:t>
      </w:r>
      <w:r w:rsidRPr="00C271B5">
        <w:rPr>
          <w:rFonts w:ascii="Verdana" w:hAnsi="Verdana"/>
          <w:bCs/>
          <w:i/>
          <w:iCs/>
          <w:sz w:val="16"/>
          <w:szCs w:val="16"/>
          <w:lang w:val="es-CR"/>
        </w:rPr>
        <w:t>Asociación</w:t>
      </w:r>
      <w:r w:rsidRPr="007E20F9">
        <w:rPr>
          <w:rFonts w:ascii="Verdana" w:hAnsi="Verdana"/>
          <w:bCs/>
          <w:i/>
          <w:iCs/>
          <w:sz w:val="16"/>
          <w:szCs w:val="16"/>
          <w:lang w:val="es-CR"/>
        </w:rPr>
        <w:t xml:space="preserve"> de Pueblos Ind</w:t>
      </w:r>
      <w:r w:rsidRPr="00C271B5">
        <w:rPr>
          <w:rFonts w:ascii="Verdana" w:hAnsi="Verdana"/>
          <w:bCs/>
          <w:i/>
          <w:iCs/>
          <w:sz w:val="16"/>
          <w:szCs w:val="16"/>
          <w:lang w:val="es-CR"/>
        </w:rPr>
        <w:t>ígenas Vs.</w:t>
      </w:r>
      <w:r w:rsidRPr="007E20F9">
        <w:rPr>
          <w:rFonts w:ascii="Verdana" w:hAnsi="Verdana"/>
          <w:bCs/>
          <w:i/>
          <w:iCs/>
          <w:sz w:val="16"/>
          <w:szCs w:val="16"/>
          <w:lang w:val="es-CR"/>
        </w:rPr>
        <w:t xml:space="preserve"> Surinam, </w:t>
      </w:r>
      <w:r w:rsidRPr="007E20F9">
        <w:rPr>
          <w:rFonts w:ascii="Verdana" w:hAnsi="Verdana"/>
          <w:bCs/>
          <w:sz w:val="16"/>
          <w:szCs w:val="16"/>
          <w:lang w:val="es-CR"/>
        </w:rPr>
        <w:t xml:space="preserve">17 de marzo de 1975; </w:t>
      </w:r>
      <w:r w:rsidRPr="00C271B5">
        <w:rPr>
          <w:rFonts w:ascii="Verdana" w:hAnsi="Verdana"/>
          <w:bCs/>
          <w:i/>
          <w:iCs/>
          <w:sz w:val="16"/>
          <w:szCs w:val="16"/>
          <w:lang w:val="es-CR"/>
        </w:rPr>
        <w:t>Asociación de Pueblos Ind</w:t>
      </w:r>
      <w:r w:rsidRPr="00606243">
        <w:rPr>
          <w:rFonts w:ascii="Verdana" w:hAnsi="Verdana"/>
          <w:bCs/>
          <w:i/>
          <w:iCs/>
          <w:sz w:val="16"/>
          <w:szCs w:val="16"/>
          <w:lang w:val="es-CR"/>
        </w:rPr>
        <w:t xml:space="preserve">ígenas Vs. </w:t>
      </w:r>
      <w:r w:rsidRPr="007E20F9">
        <w:rPr>
          <w:rFonts w:ascii="Verdana" w:hAnsi="Verdana"/>
          <w:bCs/>
          <w:i/>
          <w:iCs/>
          <w:sz w:val="16"/>
          <w:szCs w:val="16"/>
          <w:lang w:val="es-CR"/>
        </w:rPr>
        <w:t>Surinam</w:t>
      </w:r>
      <w:r w:rsidRPr="007E20F9">
        <w:rPr>
          <w:rFonts w:ascii="Verdana" w:hAnsi="Verdana"/>
          <w:i/>
          <w:iCs/>
          <w:sz w:val="16"/>
          <w:szCs w:val="16"/>
          <w:lang w:val="es-CR"/>
        </w:rPr>
        <w:t xml:space="preserve">, </w:t>
      </w:r>
      <w:r w:rsidRPr="007E20F9">
        <w:rPr>
          <w:rFonts w:ascii="Verdana" w:hAnsi="Verdana"/>
          <w:sz w:val="16"/>
          <w:szCs w:val="16"/>
          <w:lang w:val="es-CR"/>
        </w:rPr>
        <w:t>A.R. No. 754180</w:t>
      </w:r>
      <w:r w:rsidRPr="00C271B5">
        <w:rPr>
          <w:rFonts w:ascii="Verdana" w:hAnsi="Verdana"/>
          <w:sz w:val="16"/>
          <w:szCs w:val="16"/>
          <w:lang w:val="es-CR"/>
        </w:rPr>
        <w:t xml:space="preserve">, </w:t>
      </w:r>
      <w:r w:rsidRPr="007E20F9">
        <w:rPr>
          <w:rFonts w:ascii="Verdana" w:hAnsi="Verdana"/>
          <w:sz w:val="16"/>
          <w:szCs w:val="16"/>
          <w:lang w:val="es-CR"/>
        </w:rPr>
        <w:t xml:space="preserve">26 de septiembre de 1975; y </w:t>
      </w:r>
      <w:r w:rsidRPr="00C271B5">
        <w:rPr>
          <w:rFonts w:ascii="Verdana" w:hAnsi="Verdana"/>
          <w:bCs/>
          <w:i/>
          <w:iCs/>
          <w:sz w:val="16"/>
          <w:szCs w:val="16"/>
          <w:lang w:val="es-CR"/>
        </w:rPr>
        <w:t>Asociación de Pueblos Ind</w:t>
      </w:r>
      <w:r w:rsidRPr="00606243">
        <w:rPr>
          <w:rFonts w:ascii="Verdana" w:hAnsi="Verdana"/>
          <w:bCs/>
          <w:i/>
          <w:iCs/>
          <w:sz w:val="16"/>
          <w:szCs w:val="16"/>
          <w:lang w:val="es-CR"/>
        </w:rPr>
        <w:t xml:space="preserve">ígenas Vs. </w:t>
      </w:r>
      <w:r w:rsidRPr="007E20F9">
        <w:rPr>
          <w:rFonts w:ascii="Verdana" w:hAnsi="Verdana"/>
          <w:bCs/>
          <w:i/>
          <w:iCs/>
          <w:sz w:val="16"/>
          <w:szCs w:val="16"/>
          <w:lang w:val="es-CR"/>
        </w:rPr>
        <w:t>Surinam</w:t>
      </w:r>
      <w:r w:rsidRPr="007E20F9">
        <w:rPr>
          <w:rFonts w:ascii="Verdana" w:hAnsi="Verdana"/>
          <w:i/>
          <w:iCs/>
          <w:sz w:val="16"/>
          <w:szCs w:val="16"/>
          <w:lang w:val="es-CR"/>
        </w:rPr>
        <w:t xml:space="preserve">, </w:t>
      </w:r>
      <w:r w:rsidRPr="007E20F9">
        <w:rPr>
          <w:rFonts w:ascii="Verdana" w:hAnsi="Verdana"/>
          <w:sz w:val="16"/>
          <w:szCs w:val="16"/>
          <w:lang w:val="es-CR"/>
        </w:rPr>
        <w:t xml:space="preserve">A.R. No. 753160, 13 de enero de 1976. </w:t>
      </w:r>
      <w:r w:rsidRPr="00C271B5">
        <w:rPr>
          <w:rFonts w:ascii="Verdana" w:hAnsi="Verdana"/>
          <w:i/>
          <w:sz w:val="16"/>
          <w:szCs w:val="16"/>
        </w:rPr>
        <w:t>Cfr.</w:t>
      </w:r>
      <w:r w:rsidRPr="00C271B5">
        <w:rPr>
          <w:rFonts w:ascii="Verdana" w:hAnsi="Verdana"/>
          <w:sz w:val="16"/>
          <w:szCs w:val="16"/>
        </w:rPr>
        <w:t xml:space="preserve"> </w:t>
      </w:r>
      <w:r w:rsidRPr="00606243">
        <w:rPr>
          <w:rFonts w:ascii="Verdana" w:hAnsi="Verdana"/>
          <w:i/>
          <w:sz w:val="16"/>
          <w:szCs w:val="16"/>
        </w:rPr>
        <w:t>Affidavit</w:t>
      </w:r>
      <w:r w:rsidRPr="00606243">
        <w:rPr>
          <w:rFonts w:ascii="Verdana" w:hAnsi="Verdana"/>
          <w:sz w:val="16"/>
          <w:szCs w:val="16"/>
        </w:rPr>
        <w:t xml:space="preserve"> de la Capitana Grace Watamaleo de 27 de enero de 2015 (expediente de fondo, folio 445).</w:t>
      </w:r>
    </w:p>
  </w:footnote>
  <w:footnote w:id="69">
    <w:p w14:paraId="44EBC1E6" w14:textId="773D4A6C"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445); </w:t>
      </w:r>
      <w:r w:rsidRPr="001863DB">
        <w:rPr>
          <w:i/>
        </w:rPr>
        <w:t>Affidavit</w:t>
      </w:r>
      <w:r w:rsidRPr="001863DB">
        <w:t xml:space="preserve"> de Loreen Jubitana de 27 de enero de 2015 (expediente de fondo, folio 431)</w:t>
      </w:r>
      <w:r>
        <w:t>.</w:t>
      </w:r>
      <w:r w:rsidRPr="001863DB">
        <w:t xml:space="preserve"> </w:t>
      </w:r>
    </w:p>
  </w:footnote>
  <w:footnote w:id="70">
    <w:p w14:paraId="237A74D7"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Loreen Jubitana de 27 de enero de 2015 (expediente de fondo, folio 428)</w:t>
      </w:r>
    </w:p>
  </w:footnote>
  <w:footnote w:id="71">
    <w:p w14:paraId="2BE11F3E"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folios 445 y 446).</w:t>
      </w:r>
    </w:p>
  </w:footnote>
  <w:footnote w:id="72">
    <w:p w14:paraId="76785DC5"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446) y </w:t>
      </w:r>
      <w:r w:rsidRPr="007E20F9">
        <w:rPr>
          <w:i/>
        </w:rPr>
        <w:t>Affidavit</w:t>
      </w:r>
      <w:r w:rsidRPr="00C271B5">
        <w:t xml:space="preserve"> de Stuart Kirsh de </w:t>
      </w:r>
      <w:r w:rsidRPr="00606243">
        <w:t>27 de enero de 2015 (expediente de fondo, folio 350).</w:t>
      </w:r>
    </w:p>
  </w:footnote>
  <w:footnote w:id="73">
    <w:p w14:paraId="02B23D04"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w:t>
      </w:r>
      <w:r w:rsidRPr="007E20F9">
        <w:rPr>
          <w:i/>
        </w:rPr>
        <w:t>Caso del Pueblo Saramaka,</w:t>
      </w:r>
      <w:r w:rsidRPr="007E20F9">
        <w:t xml:space="preserve"> </w:t>
      </w:r>
      <w:r w:rsidRPr="007E20F9">
        <w:rPr>
          <w:i/>
        </w:rPr>
        <w:t>supra</w:t>
      </w:r>
      <w:r w:rsidRPr="007E20F9">
        <w:t>, párr. 180;</w:t>
      </w:r>
      <w:r w:rsidRPr="00C271B5">
        <w:t xml:space="preserve"> </w:t>
      </w:r>
      <w:r w:rsidRPr="007E20F9">
        <w:rPr>
          <w:i/>
          <w:snapToGrid w:val="0"/>
          <w:color w:val="000000"/>
        </w:rPr>
        <w:t>Affid</w:t>
      </w:r>
      <w:r w:rsidRPr="00C271B5">
        <w:rPr>
          <w:i/>
          <w:snapToGrid w:val="0"/>
          <w:color w:val="000000"/>
        </w:rPr>
        <w:t>a</w:t>
      </w:r>
      <w:r w:rsidRPr="007E20F9">
        <w:rPr>
          <w:i/>
          <w:snapToGrid w:val="0"/>
          <w:color w:val="000000"/>
        </w:rPr>
        <w:t>vit</w:t>
      </w:r>
      <w:r w:rsidRPr="00C271B5">
        <w:rPr>
          <w:snapToGrid w:val="0"/>
          <w:color w:val="000000"/>
        </w:rPr>
        <w:t xml:space="preserve"> de Mariska Muskiet de 3</w:t>
      </w:r>
      <w:r>
        <w:rPr>
          <w:snapToGrid w:val="0"/>
          <w:color w:val="000000"/>
        </w:rPr>
        <w:t>[0]</w:t>
      </w:r>
      <w:r w:rsidRPr="00C271B5">
        <w:rPr>
          <w:snapToGrid w:val="0"/>
          <w:color w:val="000000"/>
        </w:rPr>
        <w:t xml:space="preserve"> de abril de 2007 (expediente de fondo, folio 455), y </w:t>
      </w:r>
      <w:r w:rsidRPr="00C271B5">
        <w:rPr>
          <w:i/>
        </w:rPr>
        <w:t>Affidavit</w:t>
      </w:r>
      <w:r w:rsidRPr="00606243">
        <w:t xml:space="preserve"> de la Capitana Grace Watamaleo de 27 de enero de 2015 (expediente de fondo, folio 446).</w:t>
      </w:r>
    </w:p>
  </w:footnote>
  <w:footnote w:id="74">
    <w:p w14:paraId="0ADB6BE4" w14:textId="5E7E46EA"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w:t>
      </w:r>
      <w:r w:rsidRPr="00606243">
        <w:t xml:space="preserve">Sentencia de </w:t>
      </w:r>
      <w:r w:rsidRPr="00606243">
        <w:rPr>
          <w:snapToGrid w:val="0"/>
        </w:rPr>
        <w:t xml:space="preserve">24 de julio de 2003 emitida por la Corte Cantonal del Primer Cantón de Paramaribo en el caso </w:t>
      </w:r>
      <w:r w:rsidRPr="004B0145">
        <w:rPr>
          <w:i/>
          <w:snapToGrid w:val="0"/>
        </w:rPr>
        <w:t xml:space="preserve">Celientje Martina Joeroeja-Koewie y otros v.Surinam </w:t>
      </w:r>
      <w:r w:rsidRPr="004B0145">
        <w:rPr>
          <w:i/>
        </w:rPr>
        <w:t>&amp; Surinam Stone &amp; Industries N.V</w:t>
      </w:r>
      <w:r w:rsidRPr="00606243">
        <w:t xml:space="preserve"> (expediente de prueba, fol</w:t>
      </w:r>
      <w:r w:rsidRPr="001863DB">
        <w:t>ios</w:t>
      </w:r>
      <w:r w:rsidRPr="00C271B5">
        <w:t xml:space="preserve"> 2900 a 2903), y </w:t>
      </w:r>
      <w:r w:rsidRPr="007E20F9">
        <w:rPr>
          <w:i/>
        </w:rPr>
        <w:t>Affidavit</w:t>
      </w:r>
      <w:r w:rsidRPr="00C271B5">
        <w:t xml:space="preserve"> de Mariska Muskiet de 30 de abril de 2007 (expediente de fondo, folios 452 y 453)</w:t>
      </w:r>
      <w:r w:rsidRPr="00606243">
        <w:t>.</w:t>
      </w:r>
    </w:p>
  </w:footnote>
  <w:footnote w:id="75">
    <w:p w14:paraId="4BEB8463" w14:textId="1FAD3CB0" w:rsidR="00247DB8" w:rsidRPr="007E20F9" w:rsidRDefault="00247DB8" w:rsidP="005758E6">
      <w:pPr>
        <w:pStyle w:val="FootnoteText"/>
        <w:spacing w:afterLines="40" w:after="96"/>
        <w:rPr>
          <w:lang w:val="es-CR"/>
        </w:rPr>
      </w:pPr>
      <w:r w:rsidRPr="00C271B5">
        <w:rPr>
          <w:rStyle w:val="FootnoteReference"/>
          <w:sz w:val="16"/>
        </w:rPr>
        <w:footnoteRef/>
      </w:r>
      <w:r w:rsidRPr="00C271B5">
        <w:t xml:space="preserve"> </w:t>
      </w:r>
      <w:r w:rsidRPr="00C271B5">
        <w:tab/>
        <w:t xml:space="preserve">El artículo 22 de la Constitución Política de 1987 establece lo siguiente: </w:t>
      </w:r>
      <w:r w:rsidRPr="00606243">
        <w:t>”1. Todas las personas tienen el derecho a someter peticiones escritas a las autoridades competentes. 2.</w:t>
      </w:r>
      <w:r w:rsidRPr="007E20F9">
        <w:t xml:space="preserve"> La ley regular</w:t>
      </w:r>
      <w:r w:rsidRPr="00C271B5">
        <w:t>á</w:t>
      </w:r>
      <w:r w:rsidRPr="007E20F9">
        <w:t xml:space="preserve"> el procedimiento respectiv</w:t>
      </w:r>
      <w:r w:rsidRPr="00C271B5">
        <w:t xml:space="preserve">o” </w:t>
      </w:r>
      <w:r w:rsidRPr="007E20F9">
        <w:t>(expediente de prueba, folio 294).</w:t>
      </w:r>
    </w:p>
  </w:footnote>
  <w:footnote w:id="76">
    <w:p w14:paraId="25429A67"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Escrito de 31 de enero de 2003 y 22 de marzo de 2004 (expediente de prueba, fo</w:t>
      </w:r>
      <w:r w:rsidRPr="00606243">
        <w:t>lios 402 a 407).</w:t>
      </w:r>
      <w:r w:rsidRPr="001863DB">
        <w:t xml:space="preserve"> </w:t>
      </w:r>
    </w:p>
  </w:footnote>
  <w:footnote w:id="77">
    <w:p w14:paraId="072A27C8"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Comunicación de 7 de octubre de 2007 (expediente de prueba, folio 332).</w:t>
      </w:r>
    </w:p>
  </w:footnote>
  <w:footnote w:id="78">
    <w:p w14:paraId="7744C645" w14:textId="77777777" w:rsidR="00247DB8" w:rsidRPr="00606243" w:rsidRDefault="00247DB8" w:rsidP="005758E6">
      <w:pPr>
        <w:pStyle w:val="FootnoteText"/>
        <w:spacing w:afterLines="40" w:after="96"/>
        <w:rPr>
          <w:lang w:val="es-CR"/>
        </w:rPr>
      </w:pPr>
      <w:r w:rsidRPr="00C271B5">
        <w:rPr>
          <w:rStyle w:val="FootnoteReference"/>
          <w:sz w:val="16"/>
        </w:rPr>
        <w:footnoteRef/>
      </w:r>
      <w:r w:rsidRPr="00C271B5">
        <w:rPr>
          <w:lang w:val="es-CR"/>
        </w:rPr>
        <w:t xml:space="preserve"> </w:t>
      </w:r>
      <w:r w:rsidRPr="00C271B5">
        <w:rPr>
          <w:lang w:val="es-CR"/>
        </w:rPr>
        <w:tab/>
      </w:r>
      <w:r w:rsidRPr="00C271B5">
        <w:rPr>
          <w:i/>
          <w:lang w:val="es-CR"/>
        </w:rPr>
        <w:t>Cfr.</w:t>
      </w:r>
      <w:r w:rsidRPr="00C271B5">
        <w:rPr>
          <w:lang w:val="es-CR"/>
        </w:rPr>
        <w:t xml:space="preserve"> Comunicación de 7 de octubre de 2007 (expediente de prueba, folio 333).</w:t>
      </w:r>
    </w:p>
  </w:footnote>
  <w:footnote w:id="79">
    <w:p w14:paraId="24774220"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Comunicación de diciembre de 2004 (expediente de prueba, folio 326).</w:t>
      </w:r>
    </w:p>
  </w:footnote>
  <w:footnote w:id="80">
    <w:p w14:paraId="0E307F40"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Comunicación de 22 de mayo de 2006 (expediente de prueba, folios 329 y 330).</w:t>
      </w:r>
    </w:p>
  </w:footnote>
  <w:footnote w:id="81">
    <w:p w14:paraId="758E6182"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Comunicación de 7 de octubre de 2007 (expediente de prueba, folio 33</w:t>
      </w:r>
      <w:r w:rsidRPr="00606243">
        <w:t>2).</w:t>
      </w:r>
    </w:p>
  </w:footnote>
  <w:footnote w:id="82">
    <w:p w14:paraId="723FBF52"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w:t>
      </w:r>
      <w:r w:rsidRPr="00606243">
        <w:t xml:space="preserve">Manifestaciones de 19 de agosto de 2015 rendidas durante la diligencia </w:t>
      </w:r>
      <w:r w:rsidRPr="00606243">
        <w:rPr>
          <w:i/>
        </w:rPr>
        <w:t>in situ</w:t>
      </w:r>
      <w:r w:rsidRPr="00606243">
        <w:t xml:space="preserve"> por parte de Louise Biswane, Asistente del Capitán de Pierrekondre, y Leni Landveld, habitante de Marijkedorp (Wan Shi Sha) (expediente de fondo, folio 973).</w:t>
      </w:r>
    </w:p>
  </w:footnote>
  <w:footnote w:id="83">
    <w:p w14:paraId="129B99D0"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Comunicación de 2</w:t>
      </w:r>
      <w:r w:rsidRPr="00606243">
        <w:t>8 de enero de 2013 (expediente de fondo, folio 879).</w:t>
      </w:r>
    </w:p>
  </w:footnote>
  <w:footnote w:id="84">
    <w:p w14:paraId="76687F20" w14:textId="77777777" w:rsidR="00247DB8" w:rsidRPr="00606243" w:rsidRDefault="00247DB8" w:rsidP="005758E6">
      <w:pPr>
        <w:tabs>
          <w:tab w:val="left" w:pos="567"/>
        </w:tabs>
        <w:autoSpaceDE w:val="0"/>
        <w:autoSpaceDN w:val="0"/>
        <w:adjustRightInd w:val="0"/>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hAnsi="Verdana"/>
          <w:i/>
          <w:sz w:val="16"/>
          <w:szCs w:val="16"/>
        </w:rPr>
        <w:t>Cfr.</w:t>
      </w:r>
      <w:r w:rsidRPr="00C271B5">
        <w:rPr>
          <w:rFonts w:ascii="Verdana" w:hAnsi="Verdana"/>
          <w:sz w:val="16"/>
          <w:szCs w:val="16"/>
        </w:rPr>
        <w:t xml:space="preserve"> Decreto del 22 de abril de 1966 “Decreto de la Protección de la Naturaleza de Wia Wia” (expediente de prueba, folio 2758); Decreto de 23 de mayo de 1969 “Decreto de la Protección de la Naturaleza</w:t>
      </w:r>
      <w:r w:rsidRPr="00606243">
        <w:rPr>
          <w:rFonts w:ascii="Verdana" w:hAnsi="Verdana"/>
          <w:sz w:val="16"/>
          <w:szCs w:val="16"/>
        </w:rPr>
        <w:t xml:space="preserve"> de Galibi”, (expediente de prueba, folio 2764), y Decreto del 26 de agosto de 1986 “Decreto de la Protección de la Naturaleza de Wane Kreek” (expediente de prueba, folio 2746).</w:t>
      </w:r>
    </w:p>
  </w:footnote>
  <w:footnote w:id="85">
    <w:p w14:paraId="21E1E22B"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w:t>
      </w:r>
      <w:r w:rsidRPr="00606243">
        <w:rPr>
          <w:i/>
        </w:rPr>
        <w:t>Affidavit</w:t>
      </w:r>
      <w:r w:rsidRPr="00606243">
        <w:t xml:space="preserve"> de Ferdinand Baal y Bryan Drakenstein de 12 de septiembre de 2008 (expediente de prueba, folio 351), y </w:t>
      </w:r>
      <w:r w:rsidRPr="00606243">
        <w:rPr>
          <w:i/>
        </w:rPr>
        <w:t>Affidavit</w:t>
      </w:r>
      <w:r w:rsidRPr="001863DB">
        <w:t xml:space="preserve"> de </w:t>
      </w:r>
      <w:r>
        <w:t>Claudine</w:t>
      </w:r>
      <w:r w:rsidRPr="001863DB">
        <w:t xml:space="preserve"> Sakimin de 27 de enero de 2015 (expediente de fondo, folio 477).</w:t>
      </w:r>
    </w:p>
  </w:footnote>
  <w:footnote w:id="86">
    <w:p w14:paraId="453BADCE" w14:textId="7DD2C043" w:rsidR="00247DB8" w:rsidRPr="004B0145" w:rsidRDefault="00247DB8" w:rsidP="005758E6">
      <w:pPr>
        <w:pStyle w:val="FootnoteText"/>
        <w:spacing w:afterLines="40" w:after="96"/>
        <w:rPr>
          <w:lang w:val="es-CR"/>
        </w:rPr>
      </w:pPr>
      <w:r w:rsidRPr="00C271B5">
        <w:rPr>
          <w:rStyle w:val="FootnoteReference"/>
          <w:sz w:val="16"/>
        </w:rPr>
        <w:footnoteRef/>
      </w:r>
      <w:r w:rsidRPr="00C271B5">
        <w:t xml:space="preserve"> </w:t>
      </w:r>
      <w:r w:rsidRPr="00C271B5">
        <w:tab/>
      </w:r>
      <w:r w:rsidRPr="00C271B5">
        <w:rPr>
          <w:i/>
        </w:rPr>
        <w:t xml:space="preserve">Cfr. </w:t>
      </w:r>
      <w:r w:rsidRPr="00C271B5">
        <w:t>La Ley de Protección de la Naturaleza de 1954, A</w:t>
      </w:r>
      <w:r w:rsidRPr="00606243">
        <w:t>rtículo 1</w:t>
      </w:r>
      <w:r w:rsidRPr="007E20F9">
        <w:t xml:space="preserve">: “Para proteger y </w:t>
      </w:r>
      <w:r w:rsidRPr="00C271B5">
        <w:t>preserva</w:t>
      </w:r>
      <w:r w:rsidRPr="007E20F9">
        <w:t xml:space="preserve">r los recursos naturales de Surinam, </w:t>
      </w:r>
      <w:r w:rsidRPr="00C271B5">
        <w:t>después</w:t>
      </w:r>
      <w:r w:rsidRPr="007E20F9">
        <w:t xml:space="preserve"> de escuchar al Consejo de Estado, el Presidente podr</w:t>
      </w:r>
      <w:r w:rsidRPr="00C271B5">
        <w:t xml:space="preserve">á designar territorios y aguas que sean propiedad del Estado como reservas natuales” </w:t>
      </w:r>
      <w:r w:rsidRPr="007E20F9">
        <w:t>(expediente de prueba, folio 2743).</w:t>
      </w:r>
    </w:p>
  </w:footnote>
  <w:footnote w:id="87">
    <w:p w14:paraId="7531686A" w14:textId="5D6F6FC6" w:rsidR="00247DB8" w:rsidRPr="004B0145" w:rsidRDefault="00247DB8" w:rsidP="005758E6">
      <w:pPr>
        <w:pStyle w:val="FootnoteText"/>
        <w:spacing w:afterLines="40" w:after="96"/>
        <w:rPr>
          <w:lang w:val="es-CR"/>
        </w:rPr>
      </w:pPr>
      <w:r w:rsidRPr="00C271B5">
        <w:rPr>
          <w:rStyle w:val="FootnoteReference"/>
          <w:sz w:val="16"/>
        </w:rPr>
        <w:footnoteRef/>
      </w:r>
      <w:r w:rsidRPr="00C271B5">
        <w:t xml:space="preserve"> </w:t>
      </w:r>
      <w:r w:rsidRPr="00C271B5">
        <w:tab/>
      </w:r>
      <w:r w:rsidRPr="00C271B5">
        <w:rPr>
          <w:i/>
        </w:rPr>
        <w:t>Cfr.</w:t>
      </w:r>
      <w:r w:rsidRPr="00C271B5">
        <w:t xml:space="preserve"> Ley de Protección de la Naturaleza, Artículo </w:t>
      </w:r>
      <w:r w:rsidRPr="00606243">
        <w:t xml:space="preserve">5: </w:t>
      </w:r>
      <w:r w:rsidRPr="007E20F9">
        <w:t>“En una reserv</w:t>
      </w:r>
      <w:r w:rsidRPr="00C271B5">
        <w:t>a</w:t>
      </w:r>
      <w:r w:rsidRPr="007E20F9">
        <w:t xml:space="preserve"> natural se encuentra prohibido cazar, pescar, ingresar perros, armas de fuego o artefactos para caza o captura, sin previa autorizaci</w:t>
      </w:r>
      <w:r w:rsidRPr="00C271B5">
        <w:t xml:space="preserve">ón del Jefe de Servicio de Manejo de Bosque Estatal” </w:t>
      </w:r>
      <w:r w:rsidRPr="007E20F9">
        <w:t>(expediente de prueba, folio 2743).</w:t>
      </w:r>
    </w:p>
  </w:footnote>
  <w:footnote w:id="88">
    <w:p w14:paraId="037F9416"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Ferdinand Baal y Bryan Drakenstein de 12 de septiembre de 2008 (expediente de prueba, folio 351), y </w:t>
      </w:r>
      <w:r w:rsidRPr="001863DB">
        <w:rPr>
          <w:i/>
        </w:rPr>
        <w:t>Affidavit</w:t>
      </w:r>
      <w:r w:rsidRPr="001863DB">
        <w:t xml:space="preserve"> de </w:t>
      </w:r>
      <w:r>
        <w:t>Claudine</w:t>
      </w:r>
      <w:r w:rsidRPr="001863DB">
        <w:t xml:space="preserve"> Sakimin de 27 de enero de 2015 (expediente de fondo, folio 480).</w:t>
      </w:r>
    </w:p>
  </w:footnote>
  <w:footnote w:id="89">
    <w:p w14:paraId="5060C0EB"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Decreto de la Protección de la Naturaleza de Wia Wia de 22 de abril de 1966 (expediente de prueba, folio 2759).</w:t>
      </w:r>
    </w:p>
  </w:footnote>
  <w:footnote w:id="90">
    <w:p w14:paraId="2AD5E8AA"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Decreto de la Protección de la Naturaleza de Galibi de 26 de mayo de 1969 (expediente de prueba, folio 2765).</w:t>
      </w:r>
    </w:p>
  </w:footnote>
  <w:footnote w:id="91">
    <w:p w14:paraId="6B4B8DCF"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Ferdinand Baal y Bryan Drakenstein, de 12 de setiembre 2008 (expediente de prueba, folio 351); Traditional use and management of the Lower Marowijne area by the Kaliña and Lokono, </w:t>
      </w:r>
      <w:r w:rsidRPr="00606243">
        <w:rPr>
          <w:i/>
        </w:rPr>
        <w:t>supra</w:t>
      </w:r>
      <w:r w:rsidRPr="001863DB">
        <w:t xml:space="preserve"> (expediente de prueba, folio 142)</w:t>
      </w:r>
      <w:r w:rsidRPr="00C271B5">
        <w:t xml:space="preserve">, </w:t>
      </w:r>
      <w:r w:rsidRPr="007E20F9">
        <w:rPr>
          <w:i/>
        </w:rPr>
        <w:t>Affidavit</w:t>
      </w:r>
      <w:r w:rsidRPr="00C271B5">
        <w:rPr>
          <w:lang w:val="es-CR"/>
        </w:rPr>
        <w:t xml:space="preserve"> de Stuart Kirsh de </w:t>
      </w:r>
      <w:r w:rsidRPr="00606243">
        <w:rPr>
          <w:lang w:val="es-CR"/>
        </w:rPr>
        <w:t>27 de enero de 2015 (expediente de fondo, folio 351).</w:t>
      </w:r>
    </w:p>
  </w:footnote>
  <w:footnote w:id="92">
    <w:p w14:paraId="4C8C260D"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Ferdinand Baal y Bryan Drakenstein de 12 de septiembre de 2008 (expediente de prueba, folio 352); </w:t>
      </w:r>
      <w:r w:rsidRPr="001863DB">
        <w:rPr>
          <w:i/>
          <w:lang w:val="es-CR"/>
        </w:rPr>
        <w:t>Affidavit</w:t>
      </w:r>
      <w:r w:rsidRPr="001863DB">
        <w:rPr>
          <w:lang w:val="es-CR"/>
        </w:rPr>
        <w:t xml:space="preserve"> de </w:t>
      </w:r>
      <w:r>
        <w:rPr>
          <w:lang w:val="es-CR"/>
        </w:rPr>
        <w:t>Claudine</w:t>
      </w:r>
      <w:r w:rsidRPr="001863DB">
        <w:rPr>
          <w:lang w:val="es-CR"/>
        </w:rPr>
        <w:t xml:space="preserve"> Sakimin de 27 de enero de 2015 (expediente de fondo, folio 481), </w:t>
      </w:r>
      <w:r w:rsidRPr="00C271B5">
        <w:t xml:space="preserve">y Traditional use and management of the Lower Marowijne area by the Kaliña and Lokono, </w:t>
      </w:r>
      <w:r w:rsidRPr="00C271B5">
        <w:rPr>
          <w:i/>
        </w:rPr>
        <w:t>supra</w:t>
      </w:r>
      <w:r w:rsidRPr="00C271B5">
        <w:t xml:space="preserve"> (expediente de prueba, folio 49).</w:t>
      </w:r>
    </w:p>
  </w:footnote>
  <w:footnote w:id="93">
    <w:p w14:paraId="379C911F"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Ferdinand Baal y Bryan Drakenstein de 12 de septiembre de 2008 (expediente de prueba, folio 351).</w:t>
      </w:r>
    </w:p>
  </w:footnote>
  <w:footnote w:id="94">
    <w:p w14:paraId="0C782848"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Affidavit</w:t>
      </w:r>
      <w:r w:rsidRPr="00C271B5">
        <w:t xml:space="preserve"> de Stuart Kirsh de </w:t>
      </w:r>
      <w:r w:rsidRPr="00606243">
        <w:t>27 de enero de 2015 (expediente de fondo, folio 351).</w:t>
      </w:r>
    </w:p>
  </w:footnote>
  <w:footnote w:id="95">
    <w:p w14:paraId="78AE19B6"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Declaración del Capitán Ricardo Pané rendida durante la audiencia pública celebrada el 3 de febrero de 2015.</w:t>
      </w:r>
    </w:p>
  </w:footnote>
  <w:footnote w:id="96">
    <w:p w14:paraId="4A1D46DD"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Ferdinand Baal y Bryan Drakenstein de 12 de septiembre de 2008 (expediente de prueba, folio 352).</w:t>
      </w:r>
    </w:p>
  </w:footnote>
  <w:footnote w:id="97">
    <w:p w14:paraId="60346DC4" w14:textId="77777777" w:rsidR="00247DB8" w:rsidRPr="007E20F9" w:rsidRDefault="00247DB8" w:rsidP="005758E6">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xml:space="preserve">. Manifestaciones </w:t>
      </w:r>
      <w:r w:rsidRPr="00606243">
        <w:t xml:space="preserve">de 19 de agosto de 2015 rendidas durante la diligencia </w:t>
      </w:r>
      <w:r w:rsidRPr="00606243">
        <w:rPr>
          <w:i/>
        </w:rPr>
        <w:t>in situ</w:t>
      </w:r>
      <w:r w:rsidRPr="00606243">
        <w:t xml:space="preserve"> por parte del Capitán Ricardo Pané, y del señor Roy Ho Tsoi, Jefe de la Sección del Servicio Forestal de Surinam  (expediente de fondo, folio 973).</w:t>
      </w:r>
    </w:p>
  </w:footnote>
  <w:footnote w:id="98">
    <w:p w14:paraId="5663DE1B"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w:t>
      </w:r>
      <w:r>
        <w:t>Claudine</w:t>
      </w:r>
      <w:r w:rsidRPr="00606243">
        <w:t xml:space="preserve"> Sakimin de 27 de enero de 2015 (expediente de fondo, folio 478).</w:t>
      </w:r>
    </w:p>
  </w:footnote>
  <w:footnote w:id="99">
    <w:p w14:paraId="504C8CD9"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w:t>
      </w:r>
      <w:r>
        <w:t>Claudine</w:t>
      </w:r>
      <w:r w:rsidRPr="00606243">
        <w:t xml:space="preserve"> Sakimin de 27 de enero de 2015 (expediente de fondo, folio 479); </w:t>
      </w:r>
      <w:r w:rsidRPr="001863DB">
        <w:rPr>
          <w:i/>
        </w:rPr>
        <w:t>Affidavit</w:t>
      </w:r>
      <w:r w:rsidRPr="001863DB">
        <w:t xml:space="preserve"> de Ferdinand Baal y Bryan Drakenstein de 12 de septiembre de 2008 (expediente de prueba, folio 352), y </w:t>
      </w:r>
      <w:r w:rsidRPr="00C271B5">
        <w:rPr>
          <w:i/>
        </w:rPr>
        <w:t>Affidavit</w:t>
      </w:r>
      <w:r w:rsidRPr="00C271B5">
        <w:t xml:space="preserve"> de Rudy Emanuel Strijk de 11 de septiembre de 2008 (expediente de prueba, folio 355).</w:t>
      </w:r>
    </w:p>
  </w:footnote>
  <w:footnote w:id="100">
    <w:p w14:paraId="23C42EE9" w14:textId="736AC5AC"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Manifestación de Roy Ho Tsoi, Jefe de la Sección del Servicio Forestal de Surinam, de 18 de agosto de 2015 </w:t>
      </w:r>
      <w:r w:rsidRPr="001A4213">
        <w:t xml:space="preserve">(expediente de fondo, folio </w:t>
      </w:r>
      <w:r w:rsidRPr="004B0145">
        <w:t>973).</w:t>
      </w:r>
    </w:p>
  </w:footnote>
  <w:footnote w:id="101">
    <w:p w14:paraId="38485E76"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Declaración del Capitán Ricardo Pané rendida durante la audiencia pública celebrada el 3 de febrero de 2015 y Manifestación de 18 de agosto de 2015 rendida durante la diligencia </w:t>
      </w:r>
      <w:r w:rsidRPr="001863DB">
        <w:rPr>
          <w:i/>
        </w:rPr>
        <w:t>in situ</w:t>
      </w:r>
      <w:r w:rsidRPr="001863DB">
        <w:t xml:space="preserve"> por parte de Shak Aridamai, miembro indígena de Galibi (expediente de fondo, folio 973).</w:t>
      </w:r>
    </w:p>
  </w:footnote>
  <w:footnote w:id="102">
    <w:p w14:paraId="4B5CA916"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 3 del Decreto de Protección a la Naturaleza de 26 de agosto 1986 (expediente de prueba, folio 2748); Estudio de Impacto Ambiental de Wane 4 de julio de 2005 (expediente de fondo, folios 395 y 405); </w:t>
      </w:r>
      <w:r w:rsidRPr="00C271B5">
        <w:rPr>
          <w:i/>
        </w:rPr>
        <w:t>Affidavit</w:t>
      </w:r>
      <w:r w:rsidRPr="00C271B5">
        <w:t xml:space="preserve"> de Ferdinand Baal y Bryan Drakenstein de 12 de septiembre de 2008 (expediente de prueba, folio 351), y </w:t>
      </w:r>
      <w:r w:rsidRPr="00C271B5">
        <w:rPr>
          <w:i/>
        </w:rPr>
        <w:t>Affidavit</w:t>
      </w:r>
      <w:r w:rsidRPr="00C271B5">
        <w:t xml:space="preserve"> de </w:t>
      </w:r>
      <w:r>
        <w:t>Claudine</w:t>
      </w:r>
      <w:r w:rsidRPr="00C271B5">
        <w:t xml:space="preserve"> Sakimin de 27 de enero de 2015 (expediente de fondo, folio 480).</w:t>
      </w:r>
    </w:p>
  </w:footnote>
  <w:footnote w:id="103">
    <w:p w14:paraId="3CCF9120" w14:textId="77777777" w:rsidR="00247DB8" w:rsidRPr="0032075F" w:rsidRDefault="00247DB8" w:rsidP="005758E6">
      <w:pPr>
        <w:pStyle w:val="FootnoteText"/>
        <w:spacing w:afterLines="40" w:after="96"/>
        <w:rPr>
          <w:lang w:val="es-CR"/>
        </w:rPr>
      </w:pPr>
      <w:r w:rsidRPr="00C271B5">
        <w:rPr>
          <w:rStyle w:val="FootnoteReference"/>
          <w:sz w:val="16"/>
        </w:rPr>
        <w:footnoteRef/>
      </w:r>
      <w:r w:rsidRPr="0032075F">
        <w:rPr>
          <w:lang w:val="es-CR"/>
        </w:rPr>
        <w:t xml:space="preserve"> </w:t>
      </w:r>
      <w:r w:rsidRPr="0032075F">
        <w:rPr>
          <w:lang w:val="es-CR"/>
        </w:rPr>
        <w:tab/>
      </w:r>
      <w:r w:rsidRPr="0032075F">
        <w:rPr>
          <w:i/>
          <w:lang w:val="es-CR"/>
        </w:rPr>
        <w:t>Cfr.</w:t>
      </w:r>
      <w:r w:rsidRPr="0032075F">
        <w:rPr>
          <w:lang w:val="es-CR"/>
        </w:rPr>
        <w:t xml:space="preserve"> Estudio de Impacto Ambiental de Wane 4 de julio de 2005 (expediente de fondo, folio 395).</w:t>
      </w:r>
    </w:p>
  </w:footnote>
  <w:footnote w:id="104">
    <w:p w14:paraId="01FF5431"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t>El artículo 4 de la Decreto de Protección a la Naturaleza de 26 de agosto 1986 establece lo siguiente: “Insofar as, on the effective date of this Government Regulation, plots of land in the areas designated as nature reserves by this Government Regulation have been issued as allodial and hereditary titles, leasehold, rent, use, license or concession, or villages and settlements of tribal communities of inhabitants of the interior are located therein, the rights derived therefrom will be respected (expediente de prueba, folio 2752).</w:t>
      </w:r>
    </w:p>
  </w:footnote>
  <w:footnote w:id="105">
    <w:p w14:paraId="3B4D8DEE"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Notas aclaratorias del Decreto de Protección a la Naturaleza de 26 de agosto 1986 (expediente de prueba, folio 2756).</w:t>
      </w:r>
    </w:p>
  </w:footnote>
  <w:footnote w:id="106">
    <w:p w14:paraId="294AAACC" w14:textId="16B6725A"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446); </w:t>
      </w:r>
      <w:r w:rsidRPr="001863DB">
        <w:t xml:space="preserve">y Manifestación de 19 de agosto de 2015 rendida durante la diligencia </w:t>
      </w:r>
      <w:r w:rsidRPr="00C271B5">
        <w:rPr>
          <w:i/>
        </w:rPr>
        <w:t>in situ</w:t>
      </w:r>
      <w:r w:rsidRPr="00C271B5">
        <w:t xml:space="preserve"> por parte de la señora Margariet Biswane, Capitana de Alfonsdorp</w:t>
      </w:r>
      <w:r>
        <w:t xml:space="preserve"> </w:t>
      </w:r>
      <w:r w:rsidRPr="00C271B5">
        <w:t>(expediente de fondo, folio 973).</w:t>
      </w:r>
    </w:p>
  </w:footnote>
  <w:footnote w:id="107">
    <w:p w14:paraId="30871B98" w14:textId="704DA39C"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447); Declaración del Capitán Jona Gunther rendida durante la audiencia pública celebrada en el presente caso celebrada el 3 de febrero de 2015</w:t>
      </w:r>
      <w:r w:rsidRPr="001863DB">
        <w:t xml:space="preserve">; </w:t>
      </w:r>
      <w:r w:rsidRPr="00C271B5">
        <w:t xml:space="preserve">Manifestación de 19 de agosto de 2015 rendida durante la diligencia </w:t>
      </w:r>
      <w:r w:rsidRPr="00C271B5">
        <w:rPr>
          <w:i/>
        </w:rPr>
        <w:t>in situ</w:t>
      </w:r>
      <w:r w:rsidRPr="00C271B5">
        <w:t xml:space="preserve"> por parte de la señora Margariet Biswane, Capitana </w:t>
      </w:r>
      <w:r w:rsidRPr="001A4213">
        <w:t>de Alfonsdorp</w:t>
      </w:r>
      <w:r w:rsidRPr="004B0145">
        <w:t xml:space="preserve"> </w:t>
      </w:r>
      <w:r w:rsidRPr="001A4213">
        <w:t>(expediente de</w:t>
      </w:r>
      <w:r w:rsidRPr="00C271B5">
        <w:t xml:space="preserve"> fondo, folio 973), y Traditional use and management of the Lower Marowijne área by the Kaliña and Lokono, </w:t>
      </w:r>
      <w:r w:rsidRPr="00C271B5">
        <w:rPr>
          <w:i/>
        </w:rPr>
        <w:t>supra</w:t>
      </w:r>
      <w:r w:rsidRPr="00C271B5">
        <w:t xml:space="preserve"> (expediente de prueba, folio 89).</w:t>
      </w:r>
    </w:p>
  </w:footnote>
  <w:footnote w:id="108">
    <w:p w14:paraId="4A3A54A2"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Estudio de Impacto Ambiental de Wane 4 </w:t>
      </w:r>
      <w:r w:rsidRPr="001863DB">
        <w:t>de julio de 2005 (expediente de fondo, folio 409).</w:t>
      </w:r>
    </w:p>
  </w:footnote>
  <w:footnote w:id="109">
    <w:p w14:paraId="3ACDB074"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Notas aclaratorias del “Nature Protection Order” de 26 de agosto 1986 (expediente de prueba, folio 2757) y </w:t>
      </w:r>
      <w:r w:rsidRPr="00606243">
        <w:rPr>
          <w:i/>
        </w:rPr>
        <w:t>Affidavit</w:t>
      </w:r>
      <w:r w:rsidRPr="00606243">
        <w:t xml:space="preserve"> de </w:t>
      </w:r>
      <w:r>
        <w:t>Claudine</w:t>
      </w:r>
      <w:r w:rsidRPr="00606243">
        <w:t xml:space="preserve"> Sakimin de 27 de enero de 2015 (expediente de fondo, folio 483).</w:t>
      </w:r>
    </w:p>
  </w:footnote>
  <w:footnote w:id="110">
    <w:p w14:paraId="7FF737AA"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Comunicación de 26 de agosto de 1978 (expediente de prueba, folio 3005), y </w:t>
      </w:r>
      <w:r w:rsidRPr="00606243">
        <w:rPr>
          <w:i/>
        </w:rPr>
        <w:t>Affidavit</w:t>
      </w:r>
      <w:r w:rsidRPr="00606243">
        <w:t xml:space="preserve"> de C</w:t>
      </w:r>
      <w:r>
        <w:t>lau</w:t>
      </w:r>
      <w:r w:rsidRPr="00606243">
        <w:t>dine Sakimin de 27 de enero de 2015 (expediente de fondo, folio 483).</w:t>
      </w:r>
    </w:p>
  </w:footnote>
  <w:footnote w:id="111">
    <w:p w14:paraId="4A1F79AE"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447); Declaración del Capitán Jona Gunther rendida durante la audiencia pública celebrada en el presente caso </w:t>
      </w:r>
      <w:r w:rsidRPr="001863DB">
        <w:t>celebrada el 3 de febrero de 2015.</w:t>
      </w:r>
    </w:p>
  </w:footnote>
  <w:footnote w:id="112">
    <w:p w14:paraId="348BEAE4"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447); Manifestación de 19 de agosto de 2015 rendida durante la diligencia </w:t>
      </w:r>
      <w:r w:rsidRPr="001863DB">
        <w:rPr>
          <w:i/>
        </w:rPr>
        <w:t>in situ</w:t>
      </w:r>
      <w:r w:rsidRPr="001863DB">
        <w:t xml:space="preserve"> por parte de la señora Margariet Biswane, Capitana de Alfonsdorp</w:t>
      </w:r>
      <w:r>
        <w:t xml:space="preserve"> </w:t>
      </w:r>
      <w:r w:rsidRPr="001863DB">
        <w:t>(expediente de fondo, folio 973)</w:t>
      </w:r>
      <w:r w:rsidRPr="00C271B5">
        <w:t xml:space="preserve">, y </w:t>
      </w:r>
      <w:r w:rsidRPr="007E20F9">
        <w:rPr>
          <w:i/>
        </w:rPr>
        <w:t>affidavit</w:t>
      </w:r>
      <w:r w:rsidRPr="00C271B5">
        <w:t xml:space="preserve"> de Stuart Kirsh de </w:t>
      </w:r>
      <w:r w:rsidRPr="00606243">
        <w:t>27 de enero de 2015 (expediente de fondo, folio 354).</w:t>
      </w:r>
    </w:p>
  </w:footnote>
  <w:footnote w:id="113">
    <w:p w14:paraId="76BF0F22"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447); Declaración del Capitán Jona Gunther rendida durante la audiencia pública celebrada en el presente caso el 3 de febrero de 2015</w:t>
      </w:r>
      <w:r w:rsidRPr="001863DB">
        <w:t xml:space="preserve">, y </w:t>
      </w:r>
      <w:r w:rsidRPr="00C271B5">
        <w:t xml:space="preserve">Manifestación de 19 de agosto de 2015 rendida durante la diligencia </w:t>
      </w:r>
      <w:r w:rsidRPr="00C271B5">
        <w:rPr>
          <w:i/>
        </w:rPr>
        <w:t>in situ</w:t>
      </w:r>
      <w:r w:rsidRPr="00C271B5">
        <w:t xml:space="preserve"> por parte de la señora Leni Landveld, anciana de Marijkedorp (Wan Shi Sha) (expediente de fondo, folio 973).</w:t>
      </w:r>
    </w:p>
  </w:footnote>
  <w:footnote w:id="114">
    <w:p w14:paraId="1AB4712F"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606243">
        <w:t>El término bauxita se entenderá como aquel mineral que contiene hidróxido de aluminio, que sea o pueda ser usado por Suralco como materia prima para la manufactura de alúmina, o que pueda ser vendido por Suralco para la industria del aluminio, la química, la refractaria, la fundición de metales, el cemento y cualquier otra industria que consuma tales minerales y de la que pueda recuperarse, al menos, un promedio del 32% de alúmina</w:t>
      </w:r>
      <w:r w:rsidRPr="001863DB">
        <w:t xml:space="preserve">. </w:t>
      </w:r>
      <w:r w:rsidRPr="007E20F9">
        <w:rPr>
          <w:i/>
        </w:rPr>
        <w:t>Cfr</w:t>
      </w:r>
      <w:r w:rsidRPr="00C271B5">
        <w:t xml:space="preserve">. Artículo 3 del </w:t>
      </w:r>
      <w:r w:rsidRPr="00606243">
        <w:t>Ordenanza de Gobierno No. 10 de 28 de enero de 1958 (expediente de prueba, folio 3061).</w:t>
      </w:r>
    </w:p>
  </w:footnote>
  <w:footnote w:id="115">
    <w:p w14:paraId="1766C5DC" w14:textId="685CA5B8" w:rsidR="00247DB8" w:rsidRPr="007E20F9" w:rsidRDefault="00247DB8" w:rsidP="005758E6">
      <w:pPr>
        <w:tabs>
          <w:tab w:val="left" w:pos="567"/>
        </w:tabs>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t>De acuerdo con el</w:t>
      </w:r>
      <w:r w:rsidRPr="00606243">
        <w:rPr>
          <w:rFonts w:ascii="Verdana" w:hAnsi="Verdana"/>
          <w:sz w:val="16"/>
          <w:szCs w:val="16"/>
        </w:rPr>
        <w:t xml:space="preserve"> Instituto de Bauxita de </w:t>
      </w:r>
      <w:r w:rsidRPr="0039012A">
        <w:rPr>
          <w:rFonts w:ascii="Verdana" w:hAnsi="Verdana"/>
          <w:sz w:val="16"/>
          <w:szCs w:val="16"/>
        </w:rPr>
        <w:t>Surinam (Bauxite Institute of Suriname), en el Distrito de Marowijne, Suralco cuenta con un área concesionada para la explotación de</w:t>
      </w:r>
      <w:r w:rsidRPr="00606243">
        <w:rPr>
          <w:rFonts w:ascii="Verdana" w:hAnsi="Verdana"/>
          <w:sz w:val="16"/>
          <w:szCs w:val="16"/>
        </w:rPr>
        <w:t xml:space="preserve"> bauxita de 48,406 </w:t>
      </w:r>
      <w:r>
        <w:rPr>
          <w:rFonts w:ascii="Verdana" w:hAnsi="Verdana"/>
          <w:sz w:val="16"/>
          <w:szCs w:val="16"/>
        </w:rPr>
        <w:t>ha</w:t>
      </w:r>
      <w:r w:rsidRPr="00606243">
        <w:rPr>
          <w:rFonts w:ascii="Verdana" w:hAnsi="Verdana"/>
          <w:sz w:val="16"/>
          <w:szCs w:val="16"/>
        </w:rPr>
        <w:t>, de las cuales aproximadamente 2</w:t>
      </w:r>
      <w:r w:rsidRPr="001863DB">
        <w:rPr>
          <w:rFonts w:ascii="Verdana" w:hAnsi="Verdana"/>
          <w:sz w:val="16"/>
          <w:szCs w:val="16"/>
        </w:rPr>
        <w:t xml:space="preserve">,626 </w:t>
      </w:r>
      <w:r>
        <w:rPr>
          <w:rFonts w:ascii="Verdana" w:hAnsi="Verdana"/>
          <w:sz w:val="16"/>
          <w:szCs w:val="16"/>
        </w:rPr>
        <w:t>ha</w:t>
      </w:r>
      <w:r w:rsidRPr="001863DB">
        <w:rPr>
          <w:rFonts w:ascii="Verdana" w:hAnsi="Verdana"/>
          <w:sz w:val="16"/>
          <w:szCs w:val="16"/>
        </w:rPr>
        <w:t xml:space="preserve"> se ubican dentro de la Reserva Wane Kreek</w:t>
      </w:r>
      <w:r w:rsidRPr="00C271B5">
        <w:rPr>
          <w:rFonts w:ascii="Verdana" w:hAnsi="Verdana"/>
          <w:sz w:val="16"/>
          <w:szCs w:val="16"/>
        </w:rPr>
        <w:t xml:space="preserve">. Sin embargo, de acuerdo con el señor Stuart Kirsh, la concesión fue otorgada en un territorio de 123,000 </w:t>
      </w:r>
      <w:r>
        <w:rPr>
          <w:rFonts w:ascii="Verdana" w:hAnsi="Verdana"/>
          <w:sz w:val="16"/>
          <w:szCs w:val="16"/>
        </w:rPr>
        <w:t>ha</w:t>
      </w:r>
      <w:r w:rsidRPr="00C271B5">
        <w:rPr>
          <w:rFonts w:ascii="Verdana" w:hAnsi="Verdana"/>
          <w:sz w:val="16"/>
          <w:szCs w:val="16"/>
        </w:rPr>
        <w:t xml:space="preserve">. </w:t>
      </w:r>
      <w:r w:rsidRPr="007E20F9">
        <w:rPr>
          <w:rFonts w:ascii="Verdana" w:hAnsi="Verdana"/>
          <w:i/>
          <w:sz w:val="16"/>
          <w:szCs w:val="16"/>
        </w:rPr>
        <w:t>Cfr</w:t>
      </w:r>
      <w:r w:rsidRPr="00C271B5">
        <w:rPr>
          <w:rFonts w:ascii="Verdana" w:hAnsi="Verdana"/>
          <w:sz w:val="16"/>
          <w:szCs w:val="16"/>
        </w:rPr>
        <w:t>. Memorándum de 27 de agosto de 2015 del Director del Instituto de Bauxita de Surinam (expediente de prueba, folios 3070 y 3071), y Affidavit de</w:t>
      </w:r>
      <w:r w:rsidRPr="00606243">
        <w:rPr>
          <w:rFonts w:ascii="Verdana" w:hAnsi="Verdana"/>
          <w:sz w:val="16"/>
          <w:szCs w:val="16"/>
        </w:rPr>
        <w:t xml:space="preserve"> Stuart Kirsh de 20 de enero de 2015 (expediente de fondo, folio 354).</w:t>
      </w:r>
    </w:p>
  </w:footnote>
  <w:footnote w:id="116">
    <w:p w14:paraId="5CC13BB9" w14:textId="77777777" w:rsidR="00247DB8" w:rsidRPr="00C271B5" w:rsidRDefault="00247DB8" w:rsidP="005758E6">
      <w:pPr>
        <w:pStyle w:val="FootnoteText"/>
        <w:spacing w:afterLines="40" w:after="96"/>
      </w:pPr>
      <w:r w:rsidRPr="007E20F9">
        <w:rPr>
          <w:rStyle w:val="FootnoteReference"/>
          <w:sz w:val="16"/>
        </w:rPr>
        <w:footnoteRef/>
      </w:r>
      <w:r w:rsidRPr="00C271B5">
        <w:t xml:space="preserve"> </w:t>
      </w:r>
      <w:r w:rsidRPr="00C271B5">
        <w:tab/>
      </w:r>
      <w:r w:rsidRPr="007E20F9">
        <w:rPr>
          <w:i/>
        </w:rPr>
        <w:t>Cfr</w:t>
      </w:r>
      <w:r w:rsidRPr="00C271B5">
        <w:t xml:space="preserve">. Artículo 8 del </w:t>
      </w:r>
      <w:r w:rsidRPr="00606243">
        <w:t xml:space="preserve">Ordenanza de Gobierno No. 10 de 28 de enero de 1958 (expediente de prueba, folio 3061). Sin embargo, la Corte toma nota que de acuerdo con el peritaje del señor Stuart Kirsh, la concesión fue otorgada por un período de 60 años, con lo cual vencería en 2018. Asimismo, el </w:t>
      </w:r>
      <w:r>
        <w:t xml:space="preserve">Instituto de Bauxita de Surinam </w:t>
      </w:r>
      <w:r w:rsidRPr="00606243">
        <w:t>señaló que dentro de los territorios concesionados a Suralco en el Distrito de Marowijne, hay una concesión que vence en 2030, y otra que vence en 2032</w:t>
      </w:r>
      <w:r w:rsidRPr="001863DB">
        <w:t>.</w:t>
      </w:r>
      <w:r w:rsidRPr="00C271B5">
        <w:t xml:space="preserve"> </w:t>
      </w:r>
      <w:r w:rsidRPr="00C271B5">
        <w:rPr>
          <w:i/>
        </w:rPr>
        <w:t>Cfr</w:t>
      </w:r>
      <w:r w:rsidRPr="00C271B5">
        <w:t>. Memorándum de 27 de agosto de 2015 del Director del Instituto de Bauxita de Surinam (expediente de prueba, folios 3070), y Affidavit de Stuart Kirsh de 20 de enero de 2015 (expediente de fondo, folio 354).</w:t>
      </w:r>
    </w:p>
  </w:footnote>
  <w:footnote w:id="117">
    <w:p w14:paraId="7C1D07E3"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xml:space="preserve">. </w:t>
      </w:r>
      <w:r w:rsidRPr="00606243">
        <w:rPr>
          <w:i/>
        </w:rPr>
        <w:t>Affidavit</w:t>
      </w:r>
      <w:r w:rsidRPr="00606243">
        <w:t xml:space="preserve"> de Stuart Kirsh de 27 de enero</w:t>
      </w:r>
      <w:r w:rsidRPr="001863DB">
        <w:t xml:space="preserve"> de 2015 (expediente de fondo, folio 357</w:t>
      </w:r>
      <w:r w:rsidRPr="00C271B5">
        <w:t xml:space="preserve">); Estudio de Impacto Ambiental Wane 4 de julio de 2005 (expediente de fondo, folio 396); </w:t>
      </w:r>
      <w:r w:rsidRPr="00C271B5">
        <w:rPr>
          <w:i/>
        </w:rPr>
        <w:t>A</w:t>
      </w:r>
      <w:r w:rsidRPr="007E20F9">
        <w:rPr>
          <w:i/>
        </w:rPr>
        <w:t>ffid</w:t>
      </w:r>
      <w:r w:rsidRPr="00C271B5">
        <w:rPr>
          <w:i/>
        </w:rPr>
        <w:t>a</w:t>
      </w:r>
      <w:r w:rsidRPr="007E20F9">
        <w:rPr>
          <w:i/>
        </w:rPr>
        <w:t>vit</w:t>
      </w:r>
      <w:r w:rsidRPr="00C271B5">
        <w:t xml:space="preserve"> de Glen Renaldo Kingswijk de 10 de septiembre de 2008 (expediente de prueba, folio 362) y </w:t>
      </w:r>
      <w:r w:rsidRPr="00606243">
        <w:rPr>
          <w:i/>
        </w:rPr>
        <w:t>Affidavit</w:t>
      </w:r>
      <w:r w:rsidRPr="00606243">
        <w:t xml:space="preserve"> de </w:t>
      </w:r>
      <w:r>
        <w:t>Claudine</w:t>
      </w:r>
      <w:r w:rsidRPr="00606243">
        <w:t xml:space="preserve"> Sakimin de 27 de enero de 2015 (expediente de fondo, folios 483 y 484). Sin embargo, la Corte toma nota que de acuerdo con el </w:t>
      </w:r>
      <w:r>
        <w:t xml:space="preserve">Instituto de </w:t>
      </w:r>
      <w:r w:rsidRPr="00606243">
        <w:t>Bauxit</w:t>
      </w:r>
      <w:r>
        <w:t xml:space="preserve">a de </w:t>
      </w:r>
      <w:r w:rsidRPr="00606243">
        <w:t>Surinam, la sección denominada Wane 1 comenzó a ser explotada en 1998, y la sección denominada Wane 2 comenzó a ser explotad</w:t>
      </w:r>
      <w:r w:rsidRPr="001863DB">
        <w:t>a</w:t>
      </w:r>
      <w:r w:rsidRPr="00C271B5">
        <w:t xml:space="preserve"> en 1999. </w:t>
      </w:r>
      <w:r w:rsidRPr="00C271B5">
        <w:rPr>
          <w:i/>
        </w:rPr>
        <w:t>Cfr</w:t>
      </w:r>
      <w:r w:rsidRPr="00C271B5">
        <w:t>. Memorándum de 27 de agosto de 2015 del Director del Instituto de Bauxita de Surinam (expediente de prueba, folios 3071).</w:t>
      </w:r>
    </w:p>
  </w:footnote>
  <w:footnote w:id="118">
    <w:p w14:paraId="00C48DF3"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Affidavit</w:t>
      </w:r>
      <w:r w:rsidRPr="00C271B5">
        <w:t xml:space="preserve"> de Glen Renaldo Kingswijk de 10 de septiembre de 2008 (expediente de prueba, folio 362)</w:t>
      </w:r>
      <w:r w:rsidRPr="00606243">
        <w:t>.</w:t>
      </w:r>
    </w:p>
  </w:footnote>
  <w:footnote w:id="119">
    <w:p w14:paraId="0F8647C5"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Affid</w:t>
      </w:r>
      <w:r w:rsidRPr="00C271B5">
        <w:rPr>
          <w:i/>
        </w:rPr>
        <w:t>a</w:t>
      </w:r>
      <w:r w:rsidRPr="007E20F9">
        <w:rPr>
          <w:i/>
        </w:rPr>
        <w:t>vit</w:t>
      </w:r>
      <w:r w:rsidRPr="00C271B5">
        <w:t xml:space="preserve"> de Glen Renaldo Kingswijk de 10 de septiembre de 2008 (expediente de prueba, folio 362).</w:t>
      </w:r>
    </w:p>
  </w:footnote>
  <w:footnote w:id="120">
    <w:p w14:paraId="2D7C15A7"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Peritaje de Stuart Kirsh de 27 de enero de 2015 (expediente de fondo, folio 356).</w:t>
      </w:r>
    </w:p>
  </w:footnote>
  <w:footnote w:id="121">
    <w:p w14:paraId="0C5778C8" w14:textId="52269660" w:rsidR="00247DB8" w:rsidRPr="00C271B5" w:rsidRDefault="00247DB8" w:rsidP="005758E6">
      <w:pPr>
        <w:pStyle w:val="FootnoteText"/>
        <w:spacing w:afterLines="40" w:after="96"/>
      </w:pPr>
      <w:r w:rsidRPr="007E20F9">
        <w:rPr>
          <w:rStyle w:val="FootnoteReference"/>
          <w:sz w:val="16"/>
        </w:rPr>
        <w:footnoteRef/>
      </w:r>
      <w:r w:rsidRPr="00C271B5">
        <w:t xml:space="preserve"> </w:t>
      </w:r>
      <w:r w:rsidRPr="00C271B5">
        <w:tab/>
      </w:r>
      <w:r w:rsidRPr="00606243">
        <w:rPr>
          <w:i/>
        </w:rPr>
        <w:t>Cfr.</w:t>
      </w:r>
      <w:r w:rsidRPr="00606243">
        <w:t xml:space="preserve"> Estudio de Impacto Ambiental de Wane 4 de julio de 2005 (expediente de fondo, folio 388); </w:t>
      </w:r>
      <w:r w:rsidRPr="007E20F9">
        <w:rPr>
          <w:i/>
        </w:rPr>
        <w:t>Affidavit</w:t>
      </w:r>
      <w:r w:rsidRPr="00C271B5">
        <w:t xml:space="preserve"> de Glen Renaldo Kingswijk de 10 de septiembre de 2008 (expediente de prueba, folio 362) y </w:t>
      </w:r>
      <w:r w:rsidRPr="00606243">
        <w:rPr>
          <w:i/>
        </w:rPr>
        <w:t>Affidavit</w:t>
      </w:r>
      <w:r w:rsidRPr="00606243">
        <w:t xml:space="preserve"> de </w:t>
      </w:r>
      <w:r>
        <w:t>Claudine</w:t>
      </w:r>
      <w:r w:rsidRPr="00606243">
        <w:t xml:space="preserve"> Sakimin de 27 de enero de 2015 (expediente de fondo, folio 484). Sin embargo, la Corte toma nota que de acuerdo con el </w:t>
      </w:r>
      <w:r>
        <w:t xml:space="preserve">Instituto de </w:t>
      </w:r>
      <w:r w:rsidRPr="00606243">
        <w:t>Bauxit</w:t>
      </w:r>
      <w:r>
        <w:t>a</w:t>
      </w:r>
      <w:r w:rsidRPr="00606243">
        <w:t xml:space="preserve"> </w:t>
      </w:r>
      <w:r>
        <w:t>de</w:t>
      </w:r>
      <w:r w:rsidRPr="00606243">
        <w:t xml:space="preserve"> Surinam, las secciones de Wane 1 y Wane 2, abarcaban un territorio de 144 </w:t>
      </w:r>
      <w:r>
        <w:t>ha</w:t>
      </w:r>
      <w:r w:rsidRPr="00606243">
        <w:t xml:space="preserve">. </w:t>
      </w:r>
      <w:r w:rsidRPr="001863DB">
        <w:rPr>
          <w:i/>
        </w:rPr>
        <w:t>Cfr</w:t>
      </w:r>
      <w:r w:rsidRPr="001863DB">
        <w:t>. Memorándum de 27 de agosto de 2015 del Director del Insti</w:t>
      </w:r>
      <w:r w:rsidRPr="00C271B5">
        <w:t>tuto de Bauxita de Surinam (expediente de prueba, folio 3071).</w:t>
      </w:r>
    </w:p>
  </w:footnote>
  <w:footnote w:id="122">
    <w:p w14:paraId="12C148F8"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Peritaje de Stuart Kirsh de 27 de enero de 2015 (expediente de fondo, folio 358).</w:t>
      </w:r>
    </w:p>
  </w:footnote>
  <w:footnote w:id="123">
    <w:p w14:paraId="1C1905AF"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Peritaje de Stuart Kirsh de 27 de enero de 2015 (expediente de fondo, folios 357 y 358), y Estudio de Impacto Ambiental de</w:t>
      </w:r>
      <w:r w:rsidRPr="001863DB">
        <w:t xml:space="preserve"> Wane 4 </w:t>
      </w:r>
      <w:r w:rsidRPr="00C271B5">
        <w:t>de julio de 2005 (expediente de fondo, folio 388).</w:t>
      </w:r>
    </w:p>
  </w:footnote>
  <w:footnote w:id="124">
    <w:p w14:paraId="06FBD385"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Estudio de Impacto Ambiental de Wane 4 de julio de 2005  (expediente de fondo, folio 390).</w:t>
      </w:r>
    </w:p>
  </w:footnote>
  <w:footnote w:id="125">
    <w:p w14:paraId="05EE5559" w14:textId="77777777" w:rsidR="00247DB8" w:rsidRPr="00606243" w:rsidRDefault="00247DB8" w:rsidP="005758E6">
      <w:pPr>
        <w:pStyle w:val="FootnoteText"/>
        <w:spacing w:afterLines="40" w:after="96"/>
      </w:pPr>
      <w:r w:rsidRPr="007E20F9">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448); Declaración del Capitán Jona Gunther rendida durante la audiencia pública celebrada en el presente caso celebrada el 3 de febrero de 2015</w:t>
      </w:r>
      <w:r w:rsidRPr="00C271B5">
        <w:t xml:space="preserve">, y </w:t>
      </w:r>
      <w:r w:rsidRPr="007E20F9">
        <w:rPr>
          <w:i/>
        </w:rPr>
        <w:t>Affidavit</w:t>
      </w:r>
      <w:r w:rsidRPr="00C271B5">
        <w:t xml:space="preserve"> de Stuart Kirsh de </w:t>
      </w:r>
      <w:r w:rsidRPr="00606243">
        <w:t>27 de enero de 2015 (expediente de fondo, folio 359).</w:t>
      </w:r>
    </w:p>
  </w:footnote>
  <w:footnote w:id="126">
    <w:p w14:paraId="234CDFC2" w14:textId="77777777" w:rsidR="00247DB8" w:rsidRPr="00606243" w:rsidRDefault="00247DB8" w:rsidP="005758E6">
      <w:pPr>
        <w:pStyle w:val="FootnoteText"/>
        <w:spacing w:afterLines="40" w:after="96"/>
      </w:pPr>
      <w:r w:rsidRPr="007E20F9">
        <w:rPr>
          <w:rStyle w:val="FootnoteReference"/>
          <w:sz w:val="16"/>
        </w:rPr>
        <w:footnoteRef/>
      </w:r>
      <w:r w:rsidRPr="00C271B5">
        <w:t xml:space="preserve"> </w:t>
      </w:r>
      <w:r w:rsidRPr="00C271B5">
        <w:tab/>
      </w:r>
      <w:r w:rsidRPr="00C271B5">
        <w:rPr>
          <w:i/>
        </w:rPr>
        <w:t>Cfr.</w:t>
      </w:r>
      <w:r w:rsidRPr="00606243">
        <w:t xml:space="preserve"> </w:t>
      </w:r>
      <w:r w:rsidRPr="007E20F9">
        <w:rPr>
          <w:i/>
        </w:rPr>
        <w:t>Affidavit</w:t>
      </w:r>
      <w:r w:rsidRPr="00C271B5">
        <w:t xml:space="preserve"> de Glen Renaldo Kingswijk de 10 de septiembre de 2008 (expediente de prueba, folio 362) y </w:t>
      </w:r>
      <w:r w:rsidRPr="00606243">
        <w:rPr>
          <w:i/>
        </w:rPr>
        <w:t>Affidavit</w:t>
      </w:r>
      <w:r w:rsidRPr="00606243">
        <w:t xml:space="preserve"> de la Capitana Grace Watamaleo de 27 de enero de 2015 (expediente de fondo, folio 449).</w:t>
      </w:r>
    </w:p>
  </w:footnote>
  <w:footnote w:id="127">
    <w:p w14:paraId="5730DBF2"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Comunicación del Director de</w:t>
      </w:r>
      <w:r>
        <w:t xml:space="preserve">l Instituto de </w:t>
      </w:r>
      <w:r w:rsidRPr="00606243">
        <w:t>Bauxit</w:t>
      </w:r>
      <w:r>
        <w:t>a</w:t>
      </w:r>
      <w:r w:rsidRPr="00606243">
        <w:t xml:space="preserve"> </w:t>
      </w:r>
      <w:r>
        <w:t>de</w:t>
      </w:r>
      <w:r w:rsidRPr="00606243">
        <w:t xml:space="preserve"> Surinam</w:t>
      </w:r>
      <w:r w:rsidRPr="00C271B5">
        <w:t xml:space="preserve"> </w:t>
      </w:r>
      <w:r w:rsidRPr="00606243">
        <w:t>de 27 de Agosto de 2015 (expediente de prueba, folio 3071</w:t>
      </w:r>
      <w:r w:rsidRPr="001863DB">
        <w:t>).</w:t>
      </w:r>
    </w:p>
  </w:footnote>
  <w:footnote w:id="128">
    <w:p w14:paraId="0872B988"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xml:space="preserve">. Informe agosto de 2015 elaborado por el Instituto de Bauxita de Surinam sobre la rehabilitación de Wane 1 y Wane 2 </w:t>
      </w:r>
      <w:r w:rsidRPr="00606243">
        <w:t>(expediente de prueba, folio 3076).</w:t>
      </w:r>
    </w:p>
  </w:footnote>
  <w:footnote w:id="129">
    <w:p w14:paraId="344453C6" w14:textId="77777777" w:rsidR="00247DB8" w:rsidRPr="00606243" w:rsidRDefault="00247DB8" w:rsidP="005758E6">
      <w:pPr>
        <w:pStyle w:val="FootnoteText"/>
        <w:spacing w:afterLines="40" w:after="96"/>
      </w:pPr>
      <w:r w:rsidRPr="007E20F9">
        <w:rPr>
          <w:rStyle w:val="FootnoteReference"/>
          <w:sz w:val="16"/>
        </w:rPr>
        <w:footnoteRef/>
      </w:r>
      <w:r w:rsidRPr="00C271B5">
        <w:t xml:space="preserve"> </w:t>
      </w:r>
      <w:r w:rsidRPr="00C271B5">
        <w:tab/>
        <w:t xml:space="preserve">En este sentido, los árboles plantados han crecido poco y no son útiles para alimentar a los animales ya que no les proporcionan frutas y semillas. </w:t>
      </w:r>
      <w:r w:rsidRPr="00606243">
        <w:rPr>
          <w:i/>
        </w:rPr>
        <w:t>Cfr.</w:t>
      </w:r>
      <w:r w:rsidRPr="00606243">
        <w:t xml:space="preserve"> </w:t>
      </w:r>
      <w:r w:rsidRPr="00606243">
        <w:rPr>
          <w:i/>
        </w:rPr>
        <w:t>Affidavit</w:t>
      </w:r>
      <w:r w:rsidRPr="00606243">
        <w:t xml:space="preserve"> de la Capitana Grace Watamaleo de 27 de enero de 2015 (expediente de fondo, folio 449) </w:t>
      </w:r>
      <w:r w:rsidRPr="00C271B5">
        <w:t xml:space="preserve">y </w:t>
      </w:r>
      <w:r w:rsidRPr="007E20F9">
        <w:rPr>
          <w:i/>
        </w:rPr>
        <w:t>Affidavit</w:t>
      </w:r>
      <w:r w:rsidRPr="00C271B5">
        <w:t xml:space="preserve"> de Stuart Kirsh de </w:t>
      </w:r>
      <w:r w:rsidRPr="00606243">
        <w:t>27 de enero de 2015 (expediente de fondo, folios 360 y 361).</w:t>
      </w:r>
    </w:p>
  </w:footnote>
  <w:footnote w:id="130">
    <w:p w14:paraId="3C4EA3B4"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Peritaje de Stuart Kirsh de 27 de enero de 2015 (expediente de fondo, folios 353 y 360).</w:t>
      </w:r>
    </w:p>
  </w:footnote>
  <w:footnote w:id="131">
    <w:p w14:paraId="2FEB02E3"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Peritaje de Stuart Kirsh de 27 de enero de 2015 (expediente de fondo, folio 355).</w:t>
      </w:r>
    </w:p>
  </w:footnote>
  <w:footnote w:id="132">
    <w:p w14:paraId="65DA97C7"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folios </w:t>
      </w:r>
      <w:r w:rsidRPr="001863DB">
        <w:t>448 y 450).</w:t>
      </w:r>
    </w:p>
  </w:footnote>
  <w:footnote w:id="133">
    <w:p w14:paraId="0DFD9AEB" w14:textId="77777777" w:rsidR="00247DB8" w:rsidRPr="007E20F9" w:rsidRDefault="00247DB8" w:rsidP="005758E6">
      <w:pPr>
        <w:pStyle w:val="FootnoteText"/>
        <w:spacing w:afterLines="40" w:after="96"/>
        <w:rPr>
          <w:lang w:val="es-ES_tradnl"/>
        </w:rPr>
      </w:pPr>
      <w:r w:rsidRPr="00C271B5">
        <w:rPr>
          <w:rStyle w:val="FootnoteReference"/>
          <w:sz w:val="16"/>
        </w:rPr>
        <w:footnoteRef/>
      </w:r>
      <w:r w:rsidRPr="00C271B5">
        <w:t xml:space="preserve"> </w:t>
      </w:r>
      <w:r w:rsidRPr="00C271B5">
        <w:tab/>
      </w:r>
      <w:r w:rsidRPr="00C271B5">
        <w:rPr>
          <w:i/>
          <w:lang w:val="es-ES_tradnl"/>
        </w:rPr>
        <w:t>Cfr.</w:t>
      </w:r>
      <w:r w:rsidRPr="00606243">
        <w:rPr>
          <w:lang w:val="es-ES_tradnl"/>
        </w:rPr>
        <w:t xml:space="preserve"> </w:t>
      </w:r>
      <w:r w:rsidRPr="00606243">
        <w:t xml:space="preserve">Manifestación de 19 de agosto de 2015 rendida durante la diligencia </w:t>
      </w:r>
      <w:r w:rsidRPr="00606243">
        <w:rPr>
          <w:i/>
        </w:rPr>
        <w:t>in situ</w:t>
      </w:r>
      <w:r w:rsidRPr="00606243">
        <w:t xml:space="preserve"> por parte de Louis Biswane, Asistente del Capitán de Pierrekondre (expediente de fondo, folio 973)</w:t>
      </w:r>
      <w:r w:rsidRPr="00606243">
        <w:rPr>
          <w:lang w:val="es-ES_tradnl"/>
        </w:rPr>
        <w:t>.</w:t>
      </w:r>
    </w:p>
  </w:footnote>
  <w:footnote w:id="134">
    <w:p w14:paraId="552CD2E1"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443); Declaración del Capitán Jona Gunther rendida durante la audiencia pública celebrada en el presente caso el 3 de febrero de 2015</w:t>
      </w:r>
      <w:r w:rsidRPr="001863DB">
        <w:t xml:space="preserve">; </w:t>
      </w:r>
      <w:r w:rsidRPr="00C271B5">
        <w:rPr>
          <w:i/>
        </w:rPr>
        <w:t>Affidavit</w:t>
      </w:r>
      <w:r w:rsidRPr="00C271B5">
        <w:t xml:space="preserve"> de Max Sabajo de 25 de septiembre de 2008 (expediente de fondo, folio 161), y Traditional use and management of the Lower Marowijne área by the Kaliña and Lokono, </w:t>
      </w:r>
      <w:r w:rsidRPr="00C271B5">
        <w:rPr>
          <w:i/>
        </w:rPr>
        <w:t>supra</w:t>
      </w:r>
      <w:r w:rsidRPr="00C271B5">
        <w:t xml:space="preserve"> (expediente de prueba, folio 141). Al respecto, los representantes manifestaron que entre 1976 y 2008 fueron emitidos aproximadamente 20 títulos a personas no indígenas.</w:t>
      </w:r>
    </w:p>
  </w:footnote>
  <w:footnote w:id="135">
    <w:p w14:paraId="33A2F3B5"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443).</w:t>
      </w:r>
    </w:p>
  </w:footnote>
  <w:footnote w:id="136">
    <w:p w14:paraId="0D6C24CC" w14:textId="77777777" w:rsidR="00247DB8" w:rsidRPr="00606243"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Declaración del Capitan Jona Gunther rendida durante la audiencia pública celebrada en el presente caso el 3 de febrero de 2015.</w:t>
      </w:r>
    </w:p>
  </w:footnote>
  <w:footnote w:id="137">
    <w:p w14:paraId="08CC68E0" w14:textId="77777777" w:rsidR="00247DB8" w:rsidRPr="001863DB"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Max Sabajo de 25 de septiembre de 2008 (expediente de fondo</w:t>
      </w:r>
      <w:r w:rsidRPr="001863DB">
        <w:t>, folio 161).</w:t>
      </w:r>
    </w:p>
  </w:footnote>
  <w:footnote w:id="138">
    <w:p w14:paraId="24E006C9"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444); Declaración del Capitán Jona Gunther rendida durante la audiencia pública celebrada en el presente caso el 3 de febrero de 2015</w:t>
      </w:r>
      <w:r w:rsidRPr="001863DB">
        <w:t xml:space="preserve">, y </w:t>
      </w:r>
      <w:r w:rsidRPr="00C271B5">
        <w:t xml:space="preserve">Manifestación de 19 de agosto de 2015 rendida durante la diligencia </w:t>
      </w:r>
      <w:r w:rsidRPr="00C271B5">
        <w:rPr>
          <w:i/>
        </w:rPr>
        <w:t>in situ</w:t>
      </w:r>
      <w:r w:rsidRPr="00C271B5">
        <w:t xml:space="preserve"> por parte de Louis Biswane, Asistente del Capitán de Pierrekondre (expediente de fondo, folio 973)</w:t>
      </w:r>
      <w:r w:rsidRPr="00C271B5">
        <w:rPr>
          <w:lang w:val="es-ES_tradnl"/>
        </w:rPr>
        <w:t>.</w:t>
      </w:r>
    </w:p>
  </w:footnote>
  <w:footnote w:id="139">
    <w:p w14:paraId="41710358"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444), y manifestacio</w:t>
      </w:r>
      <w:r w:rsidRPr="001863DB">
        <w:t>nes</w:t>
      </w:r>
      <w:r w:rsidRPr="00C271B5">
        <w:t xml:space="preserve"> de 19 de agosto de 2015 rendida durante la diligencia </w:t>
      </w:r>
      <w:r w:rsidRPr="00C271B5">
        <w:rPr>
          <w:i/>
        </w:rPr>
        <w:t>in situ</w:t>
      </w:r>
      <w:r w:rsidRPr="00C271B5">
        <w:t xml:space="preserve"> por parte de Harold Malbons, asistente del Capitán de Tapuku, Louis Biswane, Asistente del Capitán de Pierrekondre, y la señora Leni Landveld, anciana de Marijkedorp (expediente de fondo, folio 973).</w:t>
      </w:r>
    </w:p>
  </w:footnote>
  <w:footnote w:id="140">
    <w:p w14:paraId="279A14E5" w14:textId="77777777" w:rsidR="00247DB8" w:rsidRPr="007E20F9" w:rsidRDefault="00247DB8" w:rsidP="005758E6">
      <w:pPr>
        <w:pStyle w:val="FootnoteText"/>
        <w:spacing w:afterLines="40" w:after="96"/>
        <w:rPr>
          <w:lang w:val="en-US"/>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141).</w:t>
      </w:r>
    </w:p>
  </w:footnote>
  <w:footnote w:id="141">
    <w:p w14:paraId="5D206B6F"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Comunicación de 22 de mayo de 2006 (expediente de prueba, folio 329); </w:t>
      </w:r>
      <w:r w:rsidRPr="00606243">
        <w:rPr>
          <w:i/>
        </w:rPr>
        <w:t>Affidavit</w:t>
      </w:r>
      <w:r w:rsidRPr="00606243">
        <w:t xml:space="preserve"> de la Capitana Grace Watamaleo de 27 de enero de 2015 (expediente de fondo, folio 444); Declaración del Capitán Jona Gunther rendida durante la audiencia pública celebrada en el presente caso el 3 de febrero de 2015</w:t>
      </w:r>
      <w:r w:rsidRPr="001863DB">
        <w:t xml:space="preserve">; </w:t>
      </w:r>
      <w:r w:rsidRPr="00C271B5">
        <w:rPr>
          <w:i/>
        </w:rPr>
        <w:t>Affidavit</w:t>
      </w:r>
      <w:r w:rsidRPr="00C271B5">
        <w:t xml:space="preserve"> de Max Sabajo de 25 de septiembre de 2008 (expediente de fondo, folio 160); </w:t>
      </w:r>
      <w:r w:rsidRPr="00C271B5">
        <w:rPr>
          <w:i/>
        </w:rPr>
        <w:t>Affidavit</w:t>
      </w:r>
      <w:r w:rsidRPr="00C271B5">
        <w:t xml:space="preserve"> de Loreen Jubitana de 27 de enero de 2015 (expediente de fondo, folio 428); y Manifestación de 19 de agosto de 2015 rendida durante la diligencia </w:t>
      </w:r>
      <w:r w:rsidRPr="00C271B5">
        <w:rPr>
          <w:i/>
        </w:rPr>
        <w:t>in situ</w:t>
      </w:r>
      <w:r w:rsidRPr="00C271B5">
        <w:t xml:space="preserve"> por parte de la señora Leni Landveld, anciana de Marijkedorp (expediente de fondo, folio 973)</w:t>
      </w:r>
      <w:r w:rsidRPr="00C271B5">
        <w:rPr>
          <w:lang w:val="es-ES_tradnl"/>
        </w:rPr>
        <w:t>.</w:t>
      </w:r>
    </w:p>
  </w:footnote>
  <w:footnote w:id="142">
    <w:p w14:paraId="3FC65DC9" w14:textId="77777777" w:rsidR="00247DB8" w:rsidRPr="00C271B5" w:rsidRDefault="00247DB8" w:rsidP="005758E6">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Affidavit</w:t>
      </w:r>
      <w:r w:rsidRPr="00606243">
        <w:t xml:space="preserve"> de la Capitana Grace Watamaleo de 27 de enero de 2015 (expediente de fondo, folio 445); Declaración del Capitán Jona Gunther rendida durante la audiencia pública celebrada en el presente caso el 3 de febrero de 2015</w:t>
      </w:r>
      <w:r w:rsidRPr="001863DB">
        <w:t xml:space="preserve">; </w:t>
      </w:r>
      <w:r w:rsidRPr="00C271B5">
        <w:rPr>
          <w:i/>
        </w:rPr>
        <w:t>Affidavit</w:t>
      </w:r>
      <w:r w:rsidRPr="00C271B5">
        <w:t xml:space="preserve"> de Max Sabajo de 25 de septiembre de 2008 (expediente de fondo, folio 160).</w:t>
      </w:r>
    </w:p>
  </w:footnote>
  <w:footnote w:id="143">
    <w:p w14:paraId="3808C767" w14:textId="77777777" w:rsidR="00247DB8" w:rsidRPr="001863DB" w:rsidRDefault="00247DB8" w:rsidP="00AA7575">
      <w:pPr>
        <w:pStyle w:val="FootnoteText"/>
        <w:spacing w:afterLines="40" w:after="96"/>
      </w:pPr>
      <w:r w:rsidRPr="007E20F9">
        <w:rPr>
          <w:rStyle w:val="FootnoteReference"/>
          <w:sz w:val="16"/>
        </w:rPr>
        <w:footnoteRef/>
      </w:r>
      <w:r w:rsidRPr="007E20F9">
        <w:rPr>
          <w:lang w:val="es-CR"/>
        </w:rPr>
        <w:t xml:space="preserve"> </w:t>
      </w:r>
      <w:r w:rsidRPr="00C271B5">
        <w:rPr>
          <w:lang w:val="es-CR"/>
        </w:rPr>
        <w:tab/>
      </w:r>
      <w:r w:rsidRPr="007E20F9">
        <w:rPr>
          <w:i/>
          <w:lang w:val="es-CR"/>
        </w:rPr>
        <w:t>Cfr.</w:t>
      </w:r>
      <w:r w:rsidRPr="00C271B5">
        <w:rPr>
          <w:lang w:val="es-CR"/>
        </w:rPr>
        <w:t xml:space="preserve"> </w:t>
      </w:r>
      <w:r w:rsidRPr="007E20F9">
        <w:rPr>
          <w:rStyle w:val="Strong"/>
          <w:b w:val="0"/>
          <w:i/>
        </w:rPr>
        <w:t>Caso de la Comunidad Moiwana</w:t>
      </w:r>
      <w:r w:rsidRPr="00C271B5">
        <w:rPr>
          <w:rStyle w:val="Strong"/>
          <w:b w:val="0"/>
          <w:i/>
        </w:rPr>
        <w:t>, supra,</w:t>
      </w:r>
      <w:r w:rsidRPr="007E20F9">
        <w:rPr>
          <w:rStyle w:val="Strong"/>
          <w:b w:val="0"/>
          <w:lang w:val="es-CR"/>
        </w:rPr>
        <w:t xml:space="preserve"> párr. 86.5</w:t>
      </w:r>
      <w:r w:rsidRPr="00C271B5">
        <w:rPr>
          <w:rStyle w:val="Strong"/>
          <w:b w:val="0"/>
          <w:lang w:val="es-CR"/>
        </w:rPr>
        <w:t>.</w:t>
      </w:r>
    </w:p>
  </w:footnote>
  <w:footnote w:id="144">
    <w:p w14:paraId="43D69D06" w14:textId="77777777" w:rsidR="00247DB8" w:rsidRPr="007E20F9" w:rsidRDefault="00247DB8" w:rsidP="00AA7575">
      <w:pPr>
        <w:pStyle w:val="FootnoteText"/>
        <w:spacing w:afterLines="40" w:after="96"/>
      </w:pPr>
      <w:r w:rsidRPr="00C271B5">
        <w:rPr>
          <w:rStyle w:val="FootnoteReference"/>
          <w:sz w:val="16"/>
        </w:rPr>
        <w:footnoteRef/>
      </w:r>
      <w:r w:rsidRPr="007E20F9">
        <w:rPr>
          <w:rStyle w:val="FootnoteReference"/>
          <w:sz w:val="16"/>
        </w:rPr>
        <w:t xml:space="preserve">  </w:t>
      </w:r>
      <w:r w:rsidRPr="00C271B5">
        <w:tab/>
      </w:r>
      <w:r w:rsidRPr="007E20F9">
        <w:rPr>
          <w:i/>
        </w:rPr>
        <w:t>Caso del Pueblo Saramaka, supra</w:t>
      </w:r>
      <w:r w:rsidRPr="007E20F9">
        <w:t>,</w:t>
      </w:r>
      <w:r w:rsidRPr="00C271B5">
        <w:t xml:space="preserve"> párr.</w:t>
      </w:r>
      <w:r w:rsidRPr="007E20F9">
        <w:t xml:space="preserve"> 172.</w:t>
      </w:r>
    </w:p>
  </w:footnote>
  <w:footnote w:id="145">
    <w:p w14:paraId="1B52CA85" w14:textId="77777777" w:rsidR="00247DB8" w:rsidRPr="007E20F9" w:rsidRDefault="00247DB8" w:rsidP="00AA7575">
      <w:pPr>
        <w:pStyle w:val="FootnoteText"/>
        <w:spacing w:afterLines="40" w:after="96"/>
      </w:pPr>
      <w:r w:rsidRPr="00C271B5">
        <w:rPr>
          <w:rStyle w:val="FootnoteReference"/>
          <w:sz w:val="16"/>
        </w:rPr>
        <w:footnoteRef/>
      </w:r>
      <w:r w:rsidRPr="007E20F9">
        <w:t xml:space="preserve"> </w:t>
      </w:r>
      <w:r w:rsidRPr="007E20F9">
        <w:tab/>
      </w:r>
      <w:r w:rsidRPr="007E20F9">
        <w:rPr>
          <w:i/>
        </w:rPr>
        <w:t>Cfr.</w:t>
      </w:r>
      <w:r w:rsidRPr="007E20F9">
        <w:t xml:space="preserve"> </w:t>
      </w:r>
      <w:r w:rsidRPr="007E20F9">
        <w:rPr>
          <w:i/>
        </w:rPr>
        <w:t>Caso del Pueblo Saramaka, supra</w:t>
      </w:r>
      <w:r w:rsidRPr="007E20F9">
        <w:t xml:space="preserve">, </w:t>
      </w:r>
      <w:r w:rsidRPr="00C271B5">
        <w:t>párr.</w:t>
      </w:r>
      <w:r w:rsidRPr="007E20F9">
        <w:t xml:space="preserve"> 174.</w:t>
      </w:r>
    </w:p>
  </w:footnote>
  <w:footnote w:id="146">
    <w:p w14:paraId="523013E7" w14:textId="77777777" w:rsidR="00247DB8" w:rsidRPr="007E20F9" w:rsidRDefault="00247DB8" w:rsidP="00AA7575">
      <w:pPr>
        <w:pStyle w:val="FootnoteText"/>
        <w:spacing w:afterLines="40" w:after="96"/>
        <w:rPr>
          <w:lang w:val="es-CR"/>
        </w:rPr>
      </w:pPr>
      <w:r w:rsidRPr="00C271B5">
        <w:rPr>
          <w:rStyle w:val="FootnoteReference"/>
          <w:sz w:val="16"/>
        </w:rPr>
        <w:footnoteRef/>
      </w:r>
      <w:r w:rsidRPr="007E20F9">
        <w:rPr>
          <w:rStyle w:val="FootnoteReference"/>
          <w:sz w:val="16"/>
        </w:rPr>
        <w:t xml:space="preserve"> </w:t>
      </w:r>
      <w:r w:rsidRPr="007E20F9">
        <w:t xml:space="preserve"> </w:t>
      </w:r>
      <w:r w:rsidRPr="007E20F9">
        <w:tab/>
      </w:r>
      <w:r w:rsidRPr="007E20F9">
        <w:rPr>
          <w:i/>
        </w:rPr>
        <w:t>Cfr.</w:t>
      </w:r>
      <w:r w:rsidRPr="007E20F9">
        <w:t xml:space="preserve"> </w:t>
      </w:r>
      <w:r w:rsidRPr="007E20F9">
        <w:rPr>
          <w:i/>
        </w:rPr>
        <w:t>Caso del Pueblo Saramaka, supra</w:t>
      </w:r>
      <w:r w:rsidRPr="00C271B5">
        <w:t>,</w:t>
      </w:r>
      <w:r w:rsidRPr="007E20F9">
        <w:t xml:space="preserve"> párr. </w:t>
      </w:r>
      <w:r w:rsidRPr="007E20F9">
        <w:rPr>
          <w:lang w:val="es-CR"/>
        </w:rPr>
        <w:t xml:space="preserve">168. </w:t>
      </w:r>
    </w:p>
  </w:footnote>
  <w:footnote w:id="147">
    <w:p w14:paraId="1978589E" w14:textId="77777777" w:rsidR="00247DB8" w:rsidRPr="00772D46" w:rsidRDefault="00247DB8" w:rsidP="00AA7575">
      <w:pPr>
        <w:pStyle w:val="FootnoteText"/>
        <w:spacing w:afterLines="40" w:after="96"/>
        <w:rPr>
          <w:lang w:val="es-CR"/>
        </w:rPr>
      </w:pPr>
      <w:r w:rsidRPr="00BA5FB7">
        <w:rPr>
          <w:rStyle w:val="FootnoteReference"/>
          <w:sz w:val="16"/>
        </w:rPr>
        <w:footnoteRef/>
      </w:r>
      <w:r w:rsidRPr="00C271B5">
        <w:t xml:space="preserve">  </w:t>
      </w:r>
      <w:r w:rsidRPr="00C271B5">
        <w:tab/>
      </w:r>
      <w:r w:rsidRPr="00C271B5">
        <w:rPr>
          <w:i/>
        </w:rPr>
        <w:t>Cfr.</w:t>
      </w:r>
      <w:r w:rsidRPr="00C271B5">
        <w:t xml:space="preserve"> </w:t>
      </w:r>
      <w:r w:rsidRPr="00606243">
        <w:rPr>
          <w:i/>
        </w:rPr>
        <w:t>Caso del Pueblo Saramaka, supra</w:t>
      </w:r>
      <w:r w:rsidRPr="00606243">
        <w:t xml:space="preserve">, párr. </w:t>
      </w:r>
      <w:r w:rsidRPr="00772D46">
        <w:rPr>
          <w:lang w:val="es-CR"/>
        </w:rPr>
        <w:t xml:space="preserve">171. </w:t>
      </w:r>
    </w:p>
  </w:footnote>
  <w:footnote w:id="148">
    <w:p w14:paraId="38EC54C1" w14:textId="77777777" w:rsidR="00247DB8" w:rsidRPr="00AC37CF" w:rsidRDefault="00247DB8" w:rsidP="00AA7575">
      <w:pPr>
        <w:pStyle w:val="FootnoteText"/>
        <w:spacing w:afterLines="40" w:after="96"/>
        <w:rPr>
          <w:lang w:val="es-MX"/>
        </w:rPr>
      </w:pPr>
      <w:r w:rsidRPr="00AC37CF">
        <w:rPr>
          <w:rStyle w:val="FootnoteReference"/>
          <w:sz w:val="16"/>
        </w:rPr>
        <w:footnoteRef/>
      </w:r>
      <w:r w:rsidRPr="00AC37CF">
        <w:rPr>
          <w:lang w:val="es-CR"/>
        </w:rPr>
        <w:t xml:space="preserve"> </w:t>
      </w:r>
      <w:r w:rsidRPr="00AC37CF">
        <w:rPr>
          <w:lang w:val="es-CR"/>
        </w:rPr>
        <w:tab/>
      </w:r>
      <w:r w:rsidRPr="00AC37CF">
        <w:rPr>
          <w:i/>
          <w:lang w:val="es-CR"/>
        </w:rPr>
        <w:t>Cfr.</w:t>
      </w:r>
      <w:r w:rsidRPr="00AC37CF">
        <w:rPr>
          <w:lang w:val="es-CR"/>
        </w:rPr>
        <w:t xml:space="preserve"> Convención Internacional sobre la Eliminación de todas las formas de Discriminación Racial (UNCERD), Consideraciones sobre los informes presentados por los Estados Partes de conformidad con el artículo 9 de la Convención, Observaciones finales sobre Surinam (64° periodo de sesiones, 2004), U.N. Doc. CERD/C/64/CO/9, 28 de abril de 2004, párr. 11. Disponible en: http://www.un.org/en/ga/search/view_doc.asp?symbol=CERD/C/64/CO/9&amp;referer=http://www.un.org/en/documents/index.html&amp;Lang=S.</w:t>
      </w:r>
    </w:p>
  </w:footnote>
  <w:footnote w:id="149">
    <w:p w14:paraId="5D7C4229" w14:textId="77777777" w:rsidR="00247DB8" w:rsidRPr="00AC37CF" w:rsidRDefault="00247DB8" w:rsidP="00AA7575">
      <w:pPr>
        <w:pStyle w:val="FootnoteText"/>
        <w:spacing w:afterLines="40" w:after="96"/>
        <w:rPr>
          <w:lang w:val="es-CR"/>
        </w:rPr>
      </w:pPr>
      <w:r w:rsidRPr="00AC37CF">
        <w:rPr>
          <w:rStyle w:val="FootnoteReference"/>
          <w:sz w:val="16"/>
        </w:rPr>
        <w:footnoteRef/>
      </w:r>
      <w:r w:rsidRPr="00AC37CF">
        <w:rPr>
          <w:lang w:val="es-CR"/>
        </w:rPr>
        <w:t xml:space="preserve"> </w:t>
      </w:r>
      <w:r w:rsidRPr="00AC37CF">
        <w:rPr>
          <w:lang w:val="es-CR"/>
        </w:rPr>
        <w:tab/>
      </w:r>
      <w:r w:rsidRPr="00AC37CF">
        <w:rPr>
          <w:i/>
          <w:lang w:val="es-CR"/>
        </w:rPr>
        <w:t>Cfr.</w:t>
      </w:r>
      <w:r w:rsidRPr="00AC37CF">
        <w:rPr>
          <w:lang w:val="es-CR"/>
        </w:rPr>
        <w:t xml:space="preserve"> Comité de Derechos Humanos, Consideraciones sobre los informes presentados por los Estados Partes en virtud del artículo 40 del Pacto, Observaciones finales sobre Surinam (80°periodo de sesiones, 2004), U.N. Doc. CCPR/CO/80/SUR, 4 de mayo de 2004, párr. 21. Disponible en: http://www.un.org/en/ga/search/view_doc.asp?symbol=CCPR/CO/80/SUR&amp;referer=http://www.un.org/en/documents/index.html&amp;Lang=S.</w:t>
      </w:r>
    </w:p>
  </w:footnote>
  <w:footnote w:id="150">
    <w:p w14:paraId="0302F4C4" w14:textId="77777777" w:rsidR="00247DB8" w:rsidRPr="00AC37CF" w:rsidRDefault="00247DB8" w:rsidP="00AA7575">
      <w:pPr>
        <w:pStyle w:val="FootnoteText"/>
        <w:spacing w:afterLines="40" w:after="96"/>
        <w:rPr>
          <w:lang w:val="es-ES_tradnl"/>
        </w:rPr>
      </w:pPr>
      <w:r w:rsidRPr="00AC37CF">
        <w:rPr>
          <w:rStyle w:val="FootnoteReference"/>
          <w:sz w:val="16"/>
        </w:rPr>
        <w:footnoteRef/>
      </w:r>
      <w:r w:rsidRPr="00AC37CF">
        <w:rPr>
          <w:lang w:val="es-CR"/>
        </w:rPr>
        <w:t xml:space="preserve"> </w:t>
      </w:r>
      <w:r w:rsidRPr="00AC37CF">
        <w:rPr>
          <w:lang w:val="es-CR"/>
        </w:rPr>
        <w:tab/>
      </w:r>
      <w:r w:rsidRPr="00AC37CF">
        <w:rPr>
          <w:i/>
          <w:lang w:val="es-CR"/>
        </w:rPr>
        <w:t>Cfr.</w:t>
      </w:r>
      <w:r w:rsidRPr="00AC37CF">
        <w:rPr>
          <w:lang w:val="es-CR"/>
        </w:rPr>
        <w:t xml:space="preserve"> Informe del Relator Especial sobre la situación de los derechos humanos y las libertades fundamentales de los indígenas, Rodolfo Stavenhagen, presentado de conformidad con la resolución 2002/65 de la Comisión (59° periodo de sesiones), U.N. Doc. E/CN.4/2003/90, 21 de enero de 2003, párr. 21. Disponible en: http://www.un.org/en/ga/search/view_doc.asp?symbol=E/CN.4/2003/90&amp;referer=http://www.un.org/en/documents/index.html&amp;Lang=S.</w:t>
      </w:r>
    </w:p>
  </w:footnote>
  <w:footnote w:id="151">
    <w:p w14:paraId="507CB848" w14:textId="77777777" w:rsidR="00247DB8" w:rsidRPr="00E97127" w:rsidRDefault="00247DB8" w:rsidP="00AA7575">
      <w:pPr>
        <w:pStyle w:val="FootnoteText"/>
        <w:spacing w:afterLines="40" w:after="96"/>
      </w:pPr>
      <w:r w:rsidRPr="00E97127">
        <w:rPr>
          <w:rStyle w:val="FootnoteReference"/>
          <w:sz w:val="16"/>
        </w:rPr>
        <w:footnoteRef/>
      </w:r>
      <w:r w:rsidRPr="00E97127">
        <w:t xml:space="preserve"> </w:t>
      </w:r>
      <w:r w:rsidRPr="00E97127">
        <w:tab/>
      </w:r>
      <w:r w:rsidRPr="00E97127">
        <w:rPr>
          <w:i/>
        </w:rPr>
        <w:t>Cfr.</w:t>
      </w:r>
      <w:r w:rsidRPr="00E97127">
        <w:t xml:space="preserve"> </w:t>
      </w:r>
      <w:r w:rsidRPr="00E97127">
        <w:rPr>
          <w:i/>
        </w:rPr>
        <w:t>Caso del Pueblo Saramaka, supra</w:t>
      </w:r>
      <w:r w:rsidRPr="00E97127">
        <w:t xml:space="preserve">, </w:t>
      </w:r>
      <w:r w:rsidRPr="00C271B5">
        <w:t xml:space="preserve">párr. </w:t>
      </w:r>
      <w:r w:rsidRPr="00E97127">
        <w:t xml:space="preserve">194. </w:t>
      </w:r>
    </w:p>
  </w:footnote>
  <w:footnote w:id="152">
    <w:p w14:paraId="5BB67387" w14:textId="77777777" w:rsidR="00247DB8" w:rsidRPr="00606243" w:rsidRDefault="00247DB8" w:rsidP="00AA7575">
      <w:pPr>
        <w:pStyle w:val="FootnoteText"/>
        <w:spacing w:afterLines="40" w:after="96"/>
      </w:pPr>
      <w:r w:rsidRPr="00E97127">
        <w:rPr>
          <w:rStyle w:val="FootnoteReference"/>
          <w:sz w:val="16"/>
        </w:rPr>
        <w:footnoteRef/>
      </w:r>
      <w:r w:rsidRPr="00E97127">
        <w:t xml:space="preserve"> </w:t>
      </w:r>
      <w:r w:rsidRPr="00E97127">
        <w:tab/>
      </w:r>
      <w:r w:rsidRPr="00E97127">
        <w:rPr>
          <w:i/>
        </w:rPr>
        <w:t>Cfr.</w:t>
      </w:r>
      <w:r w:rsidRPr="00E97127">
        <w:t xml:space="preserve"> </w:t>
      </w:r>
      <w:r w:rsidRPr="00E97127">
        <w:rPr>
          <w:i/>
        </w:rPr>
        <w:t>Caso del Pueblo Saramaka Vs. Surinam</w:t>
      </w:r>
      <w:r w:rsidRPr="00E97127">
        <w:t xml:space="preserve">. </w:t>
      </w:r>
      <w:r w:rsidRPr="00E97127">
        <w:rPr>
          <w:i/>
        </w:rPr>
        <w:t xml:space="preserve">Supervisión de Cumplimiento de Sentencia. </w:t>
      </w:r>
      <w:r w:rsidRPr="00E97127">
        <w:t xml:space="preserve">Resolución de la Corte Interamericana de Derechos Humanos de 23 de noviembre de 2011, punto declarativo 3.b). </w:t>
      </w:r>
    </w:p>
  </w:footnote>
  <w:footnote w:id="153">
    <w:p w14:paraId="017AE5ED" w14:textId="69F71815" w:rsidR="00247DB8" w:rsidRPr="000E6257" w:rsidRDefault="00247DB8" w:rsidP="00AA7575">
      <w:pPr>
        <w:pStyle w:val="FootnoteText"/>
        <w:spacing w:afterLines="40" w:after="96"/>
      </w:pPr>
      <w:r w:rsidRPr="00B22EC8">
        <w:rPr>
          <w:rStyle w:val="FootnoteReference"/>
          <w:sz w:val="16"/>
        </w:rPr>
        <w:footnoteRef/>
      </w:r>
      <w:r w:rsidRPr="00B22EC8">
        <w:t xml:space="preserve"> </w:t>
      </w:r>
      <w:r w:rsidRPr="00B22EC8">
        <w:tab/>
        <w:t>De</w:t>
      </w:r>
      <w:r w:rsidRPr="00606243">
        <w:t xml:space="preserve"> acuerdo con el Estado, los registros públicos muestran que, efectivamente, los títulos, en un número limitado de parcelas, fueron emitidos a individuos no indígenas, pero que también a personas indígenas como Cornelis Pierre quien solicitó y obtuvo un arrendamiento a largo plazo de dos parcelas en Erowarte de Tuinstad Albina</w:t>
      </w:r>
      <w:r w:rsidRPr="00620176">
        <w:t>.</w:t>
      </w:r>
    </w:p>
  </w:footnote>
  <w:footnote w:id="154">
    <w:p w14:paraId="62D36D71"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606243">
        <w:t>El Estado alegó que la tierra reclamada por los Pueblos Kaliña y Lokono está bajo la juris</w:t>
      </w:r>
      <w:r w:rsidRPr="001863DB">
        <w:t>dicción de 3 administraciones: Galibi, Albina y Patamacca. Galibi</w:t>
      </w:r>
      <w:r w:rsidRPr="00C271B5">
        <w:t xml:space="preserve"> alberga 677 personas de pueblos indígenas y 5 </w:t>
      </w:r>
      <w:r>
        <w:t>maroon</w:t>
      </w:r>
      <w:r w:rsidRPr="00C271B5">
        <w:t xml:space="preserve">s; Albina 915 personas indígenas y 3,082 </w:t>
      </w:r>
      <w:r>
        <w:t>maroon</w:t>
      </w:r>
      <w:r w:rsidRPr="00C271B5">
        <w:t xml:space="preserve">s, y Patamacca al sur del distrito de Marowijne, alberga 412 </w:t>
      </w:r>
      <w:r>
        <w:t>maroon</w:t>
      </w:r>
      <w:r w:rsidRPr="00C271B5">
        <w:t xml:space="preserve">s pero no tiene registros de personas indígenas viviendo en esa área </w:t>
      </w:r>
      <w:r w:rsidRPr="004B0145">
        <w:t>(expediente de fondo, folio 583)</w:t>
      </w:r>
      <w:r w:rsidRPr="00620176">
        <w:t>.</w:t>
      </w:r>
      <w:r w:rsidRPr="00C271B5">
        <w:t xml:space="preserve"> </w:t>
      </w:r>
    </w:p>
  </w:footnote>
  <w:footnote w:id="155">
    <w:p w14:paraId="641A78AB"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606243">
        <w:t xml:space="preserve">El Estado alegó que los indígenas pueden usar libremente los recursos de las tres reservas naturales en el área del Bajo Marowijne, ya que no se les aplican las restricciones de los otros habitantes surinameses, tales como las licencias oficiales para la pesca y caza </w:t>
      </w:r>
      <w:r w:rsidRPr="00CB6E04">
        <w:t>(</w:t>
      </w:r>
      <w:r w:rsidRPr="007E20F9">
        <w:t>expediente de fondo, folio</w:t>
      </w:r>
      <w:r w:rsidRPr="00CB6E04">
        <w:t xml:space="preserve"> 587).</w:t>
      </w:r>
      <w:r w:rsidRPr="00C271B5">
        <w:t xml:space="preserve"> Asimismo, afirmó que el Estado ha priorizado la participación de los miembros de los P</w:t>
      </w:r>
      <w:r w:rsidRPr="00606243">
        <w:t>ueblos Kaliña y Lokono en la administración de las actividades en las reservas en la región del Bajo Marowijne respetando e incluyendo su conocimiento tradicional. El Estado puso</w:t>
      </w:r>
      <w:r w:rsidRPr="001863DB">
        <w:t xml:space="preserve"> como ejemplo la promoción de actividades como el turismo en la reserva de Galibi, donde se contrata</w:t>
      </w:r>
      <w:r w:rsidRPr="00C271B5">
        <w:t xml:space="preserve">ba por tiempo completo o por temporada a miembros de los Pueblos Kaliña y Lokono, por tiempo completo o por temporadas, para el apoyo en el monitoreo de las tortugas marinas. Adicionalmente, el Estado afirma que renta botes y alojamiento de la comunidad </w:t>
      </w:r>
      <w:r w:rsidRPr="00ED2DB3">
        <w:t xml:space="preserve">local (expediente de fondo, folio 588). </w:t>
      </w:r>
      <w:r w:rsidRPr="00ED2DB3">
        <w:rPr>
          <w:i/>
        </w:rPr>
        <w:t>Cfr.</w:t>
      </w:r>
      <w:r w:rsidRPr="00ED2DB3">
        <w:t xml:space="preserve"> </w:t>
      </w:r>
      <w:r w:rsidRPr="00ED2DB3">
        <w:rPr>
          <w:i/>
        </w:rPr>
        <w:t>Affidavit</w:t>
      </w:r>
      <w:r w:rsidRPr="001863DB">
        <w:t xml:space="preserve"> de </w:t>
      </w:r>
      <w:r>
        <w:t>Claudine</w:t>
      </w:r>
      <w:r w:rsidRPr="001863DB">
        <w:t xml:space="preserve"> Sakimin de 27 de enero de 2015 </w:t>
      </w:r>
      <w:r>
        <w:t>(expediente de fondo, folios 479 y 480).</w:t>
      </w:r>
    </w:p>
  </w:footnote>
  <w:footnote w:id="156">
    <w:p w14:paraId="66941DA6"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El Estado </w:t>
      </w:r>
      <w:r w:rsidRPr="00606243">
        <w:t>destacó que el 85% de la economía dependía de los recursos naturales, por lo que requ</w:t>
      </w:r>
      <w:r w:rsidRPr="001863DB">
        <w:t>ería</w:t>
      </w:r>
      <w:r w:rsidRPr="00C271B5">
        <w:t xml:space="preserve"> de su control debido a que esto implicaba un asunto de seguridad nacional </w:t>
      </w:r>
      <w:r w:rsidRPr="00CB6E04">
        <w:t>(expediente de fondo, folio 604).</w:t>
      </w:r>
    </w:p>
  </w:footnote>
  <w:footnote w:id="157">
    <w:p w14:paraId="5B4247DD" w14:textId="77777777" w:rsidR="00247DB8" w:rsidRPr="007E20F9" w:rsidRDefault="00247DB8" w:rsidP="00AA7575">
      <w:pPr>
        <w:pStyle w:val="FootnoteText"/>
        <w:spacing w:afterLines="40" w:after="96"/>
        <w:rPr>
          <w:snapToGrid w:val="0"/>
        </w:rPr>
      </w:pPr>
      <w:r w:rsidRPr="00C271B5">
        <w:rPr>
          <w:rStyle w:val="FootnoteReference"/>
          <w:sz w:val="16"/>
        </w:rPr>
        <w:footnoteRef/>
      </w:r>
      <w:r w:rsidRPr="00C271B5">
        <w:t xml:space="preserve"> </w:t>
      </w:r>
      <w:r w:rsidRPr="00C271B5">
        <w:tab/>
      </w:r>
      <w:r w:rsidRPr="00C271B5">
        <w:rPr>
          <w:i/>
        </w:rPr>
        <w:t>Cfr.</w:t>
      </w:r>
      <w:r w:rsidRPr="00C271B5">
        <w:t xml:space="preserve"> Organización Internacional del Trabajo (OIT), Convenio No. 169 </w:t>
      </w:r>
      <w:r w:rsidRPr="00606243">
        <w:rPr>
          <w:snapToGrid w:val="0"/>
        </w:rPr>
        <w:t xml:space="preserve">sobre Pueblos Indígenas y Tribales en los Países Independientes, adoptado el 27 de junio de 1989 y vigente desde el 5 de septiembre de 1991. Disponible en: </w:t>
      </w:r>
      <w:hyperlink r:id="rId2" w:history="1">
        <w:r w:rsidRPr="007E20F9">
          <w:rPr>
            <w:rStyle w:val="Hyperlink"/>
          </w:rPr>
          <w:t>http://www.ilo.org/indigenous/Conventions/no169/lang--es/index.htm</w:t>
        </w:r>
      </w:hyperlink>
      <w:r w:rsidRPr="007E20F9">
        <w:t xml:space="preserve">. </w:t>
      </w:r>
      <w:r w:rsidRPr="00C271B5">
        <w:t xml:space="preserve">Sin embargo, la Declaración de Naciones Unidas sobre los Derechos de los Pueblos Indígenas </w:t>
      </w:r>
      <w:r w:rsidRPr="00606243">
        <w:t xml:space="preserve">fue aprobada con el apoyo del Estado de Surinam, cuyo artículo 32 reconoce el derecho a la consulta. </w:t>
      </w:r>
      <w:r w:rsidRPr="00606243">
        <w:rPr>
          <w:i/>
        </w:rPr>
        <w:t xml:space="preserve">Cfr. Caso del Pueblo Saramaka, supra, </w:t>
      </w:r>
      <w:r w:rsidRPr="00606243">
        <w:t xml:space="preserve">párr. 131, nota a </w:t>
      </w:r>
      <w:r w:rsidRPr="001863DB">
        <w:t>pie</w:t>
      </w:r>
      <w:r w:rsidRPr="00C271B5">
        <w:t xml:space="preserve"> de página 128</w:t>
      </w:r>
      <w:r>
        <w:t>,</w:t>
      </w:r>
      <w:r w:rsidRPr="00C271B5">
        <w:t xml:space="preserve"> y O</w:t>
      </w:r>
      <w:r w:rsidRPr="00606243">
        <w:t xml:space="preserve">rganización de Naciones Unidas (ONU), </w:t>
      </w:r>
      <w:r w:rsidRPr="006B5191">
        <w:t>Declaración de las Naciones Unidas sobre los Derechos de los Pueblos Indígenas, Resolución 61/295, 107ª sesión plenaria de la Asamblea General, 13 de septiembre de 2007. Disponible en: http://www.un.org/esa/socdev/unpfii/documents/DRIPS_es.pdf.</w:t>
      </w:r>
    </w:p>
  </w:footnote>
  <w:footnote w:id="158">
    <w:p w14:paraId="18CBCBF8"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Surinam ratificó ambos el 28 de diciembre</w:t>
      </w:r>
      <w:r w:rsidRPr="00606243">
        <w:t xml:space="preserve"> de 1976</w:t>
      </w:r>
      <w:r w:rsidRPr="001863DB">
        <w:rPr>
          <w:i/>
        </w:rPr>
        <w:t xml:space="preserve">. </w:t>
      </w:r>
      <w:r w:rsidRPr="00C271B5">
        <w:rPr>
          <w:i/>
        </w:rPr>
        <w:t xml:space="preserve">Pacto Internacional de Derechos Civiles y Políticos, </w:t>
      </w:r>
      <w:r w:rsidRPr="00C271B5">
        <w:t xml:space="preserve">19 Diciembre 1966, 99U.N.T.S. 171, Can T.S. 1976 No. 47, 6 I.L.M. 368 (entró en vigencia el 23 de marzo de 1976), y </w:t>
      </w:r>
      <w:r w:rsidRPr="00C271B5">
        <w:rPr>
          <w:i/>
        </w:rPr>
        <w:t xml:space="preserve">Pacto Internacional de Derechos Económicos, Sociales y Culturales, </w:t>
      </w:r>
      <w:r w:rsidRPr="00C271B5">
        <w:t>16 Diciembre 1966, 993 U.N.T.S. 3, 6 I.L.M. 368 (entró en vigencia el 3 de enero de 1976).</w:t>
      </w:r>
    </w:p>
  </w:footnote>
  <w:footnote w:id="159">
    <w:p w14:paraId="5D5CA509" w14:textId="77777777" w:rsidR="00247DB8" w:rsidRPr="007E20F9" w:rsidRDefault="00247DB8" w:rsidP="00AA7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hAnsi="Verdana"/>
          <w:i/>
          <w:sz w:val="16"/>
          <w:szCs w:val="16"/>
        </w:rPr>
        <w:t xml:space="preserve">Cfr. </w:t>
      </w:r>
      <w:r w:rsidRPr="00C271B5">
        <w:rPr>
          <w:rFonts w:ascii="Verdana" w:hAnsi="Verdana"/>
          <w:sz w:val="16"/>
          <w:szCs w:val="16"/>
        </w:rPr>
        <w:t xml:space="preserve">ONU, Comité de Derechos Económicos, Sociales y Culturales, </w:t>
      </w:r>
      <w:r w:rsidRPr="00606243">
        <w:rPr>
          <w:rFonts w:ascii="Verdana" w:hAnsi="Verdana"/>
          <w:i/>
          <w:sz w:val="16"/>
          <w:szCs w:val="16"/>
        </w:rPr>
        <w:t>Consideración de Informes presentados por Estados Partes bajo lo</w:t>
      </w:r>
      <w:r>
        <w:rPr>
          <w:rFonts w:ascii="Verdana" w:hAnsi="Verdana"/>
          <w:i/>
          <w:sz w:val="16"/>
          <w:szCs w:val="16"/>
        </w:rPr>
        <w:t xml:space="preserve">s Artículos 16 y 17 del Pacto. </w:t>
      </w:r>
      <w:r w:rsidRPr="00606243">
        <w:rPr>
          <w:rFonts w:ascii="Verdana" w:hAnsi="Verdana"/>
          <w:i/>
          <w:sz w:val="16"/>
          <w:szCs w:val="16"/>
        </w:rPr>
        <w:t xml:space="preserve">Observaciones Finales sobre la Federación Rusa (trigésimo primera sesión). N.U. Doc. </w:t>
      </w:r>
      <w:r w:rsidRPr="00606243">
        <w:rPr>
          <w:rFonts w:ascii="Verdana" w:hAnsi="Verdana"/>
          <w:sz w:val="16"/>
          <w:szCs w:val="16"/>
        </w:rPr>
        <w:t>E/C.12/1/Add.94, 12 de diciembre de 2003, párr. 11, en el cual el Comité expresó preocupación por la “situación precaria de las comunidades indígenas en el Estado Parte, las cuales afectan su derecho a la auto-determinación según el artículo 1 del Pacto”.</w:t>
      </w:r>
    </w:p>
  </w:footnote>
  <w:footnote w:id="160">
    <w:p w14:paraId="46343019"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El </w:t>
      </w:r>
      <w:r w:rsidRPr="00606243">
        <w:t>artículo 1.1 común del PIDCP y PIDESC</w:t>
      </w:r>
      <w:r w:rsidRPr="001863DB">
        <w:rPr>
          <w:rFonts w:cs="Tahoma"/>
        </w:rPr>
        <w:t>, establece que “</w:t>
      </w:r>
      <w:r w:rsidRPr="007E20F9">
        <w:t>[</w:t>
      </w:r>
      <w:r w:rsidRPr="00C271B5">
        <w:t>t</w:t>
      </w:r>
      <w:r w:rsidRPr="007E20F9">
        <w:t>]</w:t>
      </w:r>
      <w:r w:rsidRPr="00C271B5">
        <w:t>odos los pueblos tienen el derecho</w:t>
      </w:r>
      <w:r w:rsidRPr="00606243">
        <w:t xml:space="preserve"> de libre determinación. En virtud de este derecho establecen libremente su condición política y proveen asimismo a su desarrollo económico, social y cultural”.</w:t>
      </w:r>
      <w:r w:rsidRPr="00606243">
        <w:rPr>
          <w:rFonts w:cs="Tahoma"/>
        </w:rPr>
        <w:t xml:space="preserve"> </w:t>
      </w:r>
    </w:p>
  </w:footnote>
  <w:footnote w:id="161">
    <w:p w14:paraId="5B260326"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xml:space="preserve">. Artículo 29 de la Convención Americana sobre Derechos Humanos. </w:t>
      </w:r>
      <w:r w:rsidRPr="00606243">
        <w:rPr>
          <w:i/>
        </w:rPr>
        <w:t>Cfr. Caso del Pueblo Saramaka, supra</w:t>
      </w:r>
      <w:r w:rsidRPr="00606243">
        <w:t xml:space="preserve">, párrs. 93 </w:t>
      </w:r>
      <w:r w:rsidRPr="007E20F9">
        <w:rPr>
          <w:i/>
        </w:rPr>
        <w:t>Interpretación de la Declaración Americana de los Derechos y Deberes del Hombre en el Marco del Artículo 64 de la Convención Americana sobre Derechos Humanos.</w:t>
      </w:r>
      <w:r w:rsidRPr="00C271B5">
        <w:t xml:space="preserve"> Opinión Consultiva OC-10/89 de 14 de julio de 1989. Serie A No. 10, párr. 37, y </w:t>
      </w:r>
      <w:r w:rsidRPr="007E20F9">
        <w:rPr>
          <w:i/>
        </w:rPr>
        <w:t>El Derecho a la Información sobre la Asistencia Consular en el Marco de las Garantías del Debido Proceso Legal.</w:t>
      </w:r>
      <w:r w:rsidRPr="00C271B5">
        <w:t xml:space="preserve"> Opinión Consultiva OC-16/99 de 1 de octubre de 1999. Serie A No. 16, párrs. 113 </w:t>
      </w:r>
      <w:r w:rsidRPr="00606243">
        <w:t xml:space="preserve">a 115 (sosteniendo una interpretación de los instrumentos internacionales de derechos humanos que tenga en consideración el desarrollo progresivo del </w:t>
      </w:r>
      <w:r w:rsidRPr="007E20F9">
        <w:rPr>
          <w:i/>
        </w:rPr>
        <w:t>corpus juris gentium</w:t>
      </w:r>
      <w:r w:rsidRPr="00C271B5">
        <w:t xml:space="preserve"> del derecho internacional de los derechos humanos en el tiempo y en su estado actual)</w:t>
      </w:r>
      <w:r w:rsidRPr="00606243">
        <w:t>.</w:t>
      </w:r>
    </w:p>
  </w:footnote>
  <w:footnote w:id="162">
    <w:p w14:paraId="5C53C15D" w14:textId="58F237B6"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Caso del Pueblo Saramaka</w:t>
      </w:r>
      <w:r w:rsidRPr="00C271B5">
        <w:t xml:space="preserve">, </w:t>
      </w:r>
      <w:r w:rsidRPr="007E20F9">
        <w:rPr>
          <w:i/>
        </w:rPr>
        <w:t>supra,</w:t>
      </w:r>
      <w:r w:rsidRPr="00C271B5">
        <w:t xml:space="preserve"> párr. 94. </w:t>
      </w:r>
      <w:r w:rsidRPr="00606243">
        <w:t xml:space="preserve">ONU, Comité de Derechos Humanos, </w:t>
      </w:r>
      <w:r w:rsidRPr="007E20F9">
        <w:rPr>
          <w:i/>
        </w:rPr>
        <w:t>Comentario General No. 23. Los derechos de las minorías (Ar</w:t>
      </w:r>
      <w:r>
        <w:rPr>
          <w:i/>
        </w:rPr>
        <w:t>tículo</w:t>
      </w:r>
      <w:r w:rsidRPr="007E20F9">
        <w:rPr>
          <w:i/>
        </w:rPr>
        <w:t xml:space="preserve"> 27)</w:t>
      </w:r>
      <w:r w:rsidRPr="00C271B5">
        <w:t xml:space="preserve"> (quincuagésima sesión, 1994), ONU. Doc. CCPR/C/21Rev.1/Add.5, 4 de agosto de 1994, párrs. 1 y 3.2.</w:t>
      </w:r>
    </w:p>
  </w:footnote>
  <w:footnote w:id="163">
    <w:p w14:paraId="142DF098" w14:textId="607595A6"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del Pueblo Saramaka, supra</w:t>
      </w:r>
      <w:r w:rsidRPr="00C271B5">
        <w:t>, párr. 95</w:t>
      </w:r>
      <w:r>
        <w:t>.</w:t>
      </w:r>
    </w:p>
  </w:footnote>
  <w:footnote w:id="164">
    <w:p w14:paraId="4173A899"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del Pueblo Saramaka, supra</w:t>
      </w:r>
      <w:r w:rsidRPr="00C271B5">
        <w:t>, párr. 96.</w:t>
      </w:r>
    </w:p>
  </w:footnote>
  <w:footnote w:id="165">
    <w:p w14:paraId="0D17C3F6" w14:textId="2085AAE6" w:rsidR="00247DB8" w:rsidRPr="007E20F9" w:rsidRDefault="00247DB8" w:rsidP="00AA7575">
      <w:pPr>
        <w:pStyle w:val="ListParagraph"/>
        <w:tabs>
          <w:tab w:val="left" w:pos="567"/>
        </w:tabs>
        <w:spacing w:afterLines="40" w:after="96"/>
        <w:ind w:left="0"/>
        <w:jc w:val="both"/>
        <w:rPr>
          <w:rFonts w:ascii="Verdana" w:hAnsi="Verdana"/>
          <w:sz w:val="16"/>
          <w:szCs w:val="16"/>
        </w:rPr>
      </w:pPr>
      <w:r w:rsidRPr="00CB6E04">
        <w:rPr>
          <w:rStyle w:val="FootnoteReference"/>
          <w:sz w:val="16"/>
          <w:szCs w:val="16"/>
        </w:rPr>
        <w:footnoteRef/>
      </w:r>
      <w:r w:rsidRPr="007E20F9">
        <w:rPr>
          <w:rFonts w:ascii="Verdana" w:hAnsi="Verdana"/>
          <w:sz w:val="16"/>
          <w:szCs w:val="16"/>
        </w:rPr>
        <w:t xml:space="preserve">     </w:t>
      </w:r>
      <w:r w:rsidRPr="007E20F9">
        <w:rPr>
          <w:rFonts w:ascii="Verdana" w:hAnsi="Verdana"/>
          <w:sz w:val="16"/>
          <w:szCs w:val="16"/>
        </w:rPr>
        <w:tab/>
      </w:r>
      <w:r w:rsidRPr="007E20F9">
        <w:rPr>
          <w:rFonts w:ascii="Verdana" w:hAnsi="Verdana"/>
          <w:i/>
          <w:sz w:val="16"/>
          <w:szCs w:val="16"/>
        </w:rPr>
        <w:t>Cfr</w:t>
      </w:r>
      <w:r w:rsidRPr="00CB6E04">
        <w:rPr>
          <w:rFonts w:ascii="Verdana" w:hAnsi="Verdana"/>
          <w:i/>
          <w:sz w:val="16"/>
          <w:szCs w:val="16"/>
        </w:rPr>
        <w:t>. Caso</w:t>
      </w:r>
      <w:r w:rsidRPr="00C271B5">
        <w:rPr>
          <w:rFonts w:ascii="Verdana" w:hAnsi="Verdana"/>
          <w:i/>
          <w:sz w:val="16"/>
          <w:szCs w:val="16"/>
        </w:rPr>
        <w:t xml:space="preserve"> Velásquez Rodríguez</w:t>
      </w:r>
      <w:r w:rsidRPr="00606243">
        <w:rPr>
          <w:rFonts w:ascii="Verdana" w:hAnsi="Verdana"/>
          <w:i/>
          <w:sz w:val="16"/>
          <w:szCs w:val="16"/>
        </w:rPr>
        <w:t>. Fondo</w:t>
      </w:r>
      <w:r w:rsidRPr="00606243">
        <w:rPr>
          <w:rFonts w:ascii="Verdana" w:hAnsi="Verdana"/>
          <w:sz w:val="16"/>
          <w:szCs w:val="16"/>
          <w:lang w:val="es-PE"/>
        </w:rPr>
        <w:t xml:space="preserve">, </w:t>
      </w:r>
      <w:r w:rsidRPr="007E20F9">
        <w:rPr>
          <w:rFonts w:ascii="Verdana" w:hAnsi="Verdana"/>
          <w:i/>
          <w:sz w:val="16"/>
          <w:szCs w:val="16"/>
          <w:lang w:val="es-PE"/>
        </w:rPr>
        <w:t>supra,</w:t>
      </w:r>
      <w:r w:rsidRPr="00C271B5">
        <w:rPr>
          <w:rFonts w:ascii="Verdana" w:hAnsi="Verdana"/>
          <w:sz w:val="16"/>
          <w:szCs w:val="16"/>
          <w:lang w:val="es-PE"/>
        </w:rPr>
        <w:t xml:space="preserve"> </w:t>
      </w:r>
      <w:r w:rsidRPr="00606243">
        <w:rPr>
          <w:rFonts w:ascii="Verdana" w:hAnsi="Verdana"/>
          <w:sz w:val="16"/>
          <w:szCs w:val="16"/>
        </w:rPr>
        <w:t xml:space="preserve">párr. 163, y </w:t>
      </w:r>
      <w:r w:rsidRPr="00606243">
        <w:rPr>
          <w:rFonts w:ascii="Verdana" w:hAnsi="Verdana"/>
          <w:i/>
          <w:sz w:val="16"/>
          <w:szCs w:val="16"/>
        </w:rPr>
        <w:t xml:space="preserve">Caso de personas dominicanas y </w:t>
      </w:r>
      <w:r w:rsidRPr="001863DB">
        <w:rPr>
          <w:rFonts w:ascii="Verdana" w:hAnsi="Verdana"/>
          <w:i/>
          <w:sz w:val="16"/>
          <w:szCs w:val="16"/>
        </w:rPr>
        <w:t>haitianas</w:t>
      </w:r>
      <w:r w:rsidRPr="00C271B5">
        <w:rPr>
          <w:rFonts w:ascii="Verdana" w:hAnsi="Verdana"/>
          <w:i/>
          <w:sz w:val="16"/>
          <w:szCs w:val="16"/>
        </w:rPr>
        <w:t xml:space="preserve"> expulsadas Vs. República Dominicana. Excepciones Preliminares, Fondo, Reparaciones y Costas.</w:t>
      </w:r>
      <w:r w:rsidRPr="00C271B5">
        <w:rPr>
          <w:rFonts w:ascii="Verdana" w:hAnsi="Verdana"/>
          <w:sz w:val="16"/>
          <w:szCs w:val="16"/>
        </w:rPr>
        <w:t xml:space="preserve"> Sentencia de 28 de agosto de 2014. Serie C No.282, párr. 305.</w:t>
      </w:r>
      <w:r>
        <w:rPr>
          <w:rFonts w:ascii="Verdana" w:hAnsi="Verdana"/>
          <w:sz w:val="16"/>
          <w:szCs w:val="16"/>
        </w:rPr>
        <w:t xml:space="preserve"> </w:t>
      </w:r>
      <w:r w:rsidRPr="00C271B5">
        <w:rPr>
          <w:rFonts w:ascii="Verdana" w:hAnsi="Verdana"/>
          <w:sz w:val="16"/>
          <w:szCs w:val="16"/>
          <w:lang w:val="es-ES"/>
        </w:rPr>
        <w:t xml:space="preserve">El Estado no hizo ninguna observación con respecto a la alegada violación del derecho de acceso a la información durante la etapa de fondo ante la Comisión, a pesar de que dichas alegaciones hechas por los representantes fueron puestas en su conocimiento, por lo que el Estado tuvo la oportunidad de expresar su posición respecto a dichos hechos. Asimismo, durante la diligencia </w:t>
      </w:r>
      <w:r w:rsidRPr="00C271B5">
        <w:rPr>
          <w:rFonts w:ascii="Verdana" w:hAnsi="Verdana"/>
          <w:i/>
          <w:sz w:val="16"/>
          <w:szCs w:val="16"/>
          <w:lang w:val="es-ES"/>
        </w:rPr>
        <w:t>in situ</w:t>
      </w:r>
      <w:r w:rsidRPr="00C271B5">
        <w:rPr>
          <w:rFonts w:ascii="Verdana" w:hAnsi="Verdana"/>
          <w:sz w:val="16"/>
          <w:szCs w:val="16"/>
          <w:lang w:val="es-ES"/>
        </w:rPr>
        <w:t xml:space="preserve"> </w:t>
      </w:r>
      <w:r w:rsidRPr="00C271B5">
        <w:rPr>
          <w:rFonts w:ascii="Verdana" w:hAnsi="Verdana"/>
          <w:sz w:val="16"/>
          <w:szCs w:val="16"/>
          <w:lang w:val="es-PE"/>
        </w:rPr>
        <w:t>alegó que en Surinam no se negaba al acceso al Registro Público.</w:t>
      </w:r>
    </w:p>
  </w:footnote>
  <w:footnote w:id="166">
    <w:p w14:paraId="63C567B1" w14:textId="77777777" w:rsidR="00247DB8" w:rsidRDefault="00247DB8" w:rsidP="00AA7575">
      <w:pPr>
        <w:pStyle w:val="Footnotes"/>
        <w:spacing w:before="0" w:afterLines="40" w:after="96"/>
      </w:pPr>
      <w:r w:rsidRPr="00C271B5">
        <w:rPr>
          <w:rStyle w:val="FootnoteReference"/>
          <w:sz w:val="16"/>
        </w:rPr>
        <w:footnoteRef/>
      </w:r>
      <w:r w:rsidRPr="00C271B5">
        <w:t xml:space="preserve"> </w:t>
      </w:r>
      <w:r w:rsidRPr="00C271B5">
        <w:tab/>
      </w:r>
      <w:r w:rsidRPr="007E20F9">
        <w:rPr>
          <w:i/>
        </w:rPr>
        <w:t xml:space="preserve">Cfr. Caso Comunidad Indígena Sawhoyamaxa Vs. Paraguay. Fondo, Reparaciones y Costas. </w:t>
      </w:r>
      <w:r w:rsidRPr="00C271B5">
        <w:t xml:space="preserve">Sentencia de 29 de marzo de 2006. Serie C. 146, párr. 120, y </w:t>
      </w:r>
      <w:r w:rsidRPr="007E20F9">
        <w:rPr>
          <w:i/>
          <w:lang w:val="es-CR"/>
        </w:rPr>
        <w:t>Caso Comunidad Garífuna de Punta Piedra y sus</w:t>
      </w:r>
      <w:r w:rsidRPr="00C271B5">
        <w:rPr>
          <w:i/>
          <w:lang w:val="es-CR"/>
        </w:rPr>
        <w:t xml:space="preserve"> miembros</w:t>
      </w:r>
      <w:r>
        <w:rPr>
          <w:i/>
          <w:lang w:val="es-CR"/>
        </w:rPr>
        <w:t xml:space="preserve">, supra, </w:t>
      </w:r>
      <w:r w:rsidRPr="001863DB">
        <w:t>párr</w:t>
      </w:r>
      <w:r>
        <w:t xml:space="preserve">. </w:t>
      </w:r>
      <w:r w:rsidRPr="001863DB">
        <w:t>1</w:t>
      </w:r>
      <w:r w:rsidRPr="00BA5FB7">
        <w:t>65</w:t>
      </w:r>
      <w:r w:rsidRPr="006811FF">
        <w:t>.</w:t>
      </w:r>
    </w:p>
  </w:footnote>
  <w:footnote w:id="167">
    <w:p w14:paraId="2727DB67" w14:textId="42FA0EE6" w:rsidR="00247DB8" w:rsidRPr="00606243" w:rsidRDefault="00247DB8" w:rsidP="00AA7575">
      <w:pPr>
        <w:pStyle w:val="FootnoteText"/>
        <w:spacing w:afterLines="40" w:after="96"/>
        <w:rPr>
          <w:color w:val="000000"/>
        </w:rPr>
      </w:pPr>
      <w:r w:rsidRPr="00C271B5">
        <w:rPr>
          <w:rStyle w:val="FootnoteReference"/>
          <w:sz w:val="16"/>
        </w:rPr>
        <w:footnoteRef/>
      </w:r>
      <w:r w:rsidRPr="00C271B5">
        <w:t xml:space="preserve"> </w:t>
      </w:r>
      <w:r w:rsidRPr="00C271B5">
        <w:tab/>
      </w:r>
      <w:r w:rsidRPr="007E20F9">
        <w:rPr>
          <w:i/>
          <w:lang w:val="es-CL"/>
        </w:rPr>
        <w:t xml:space="preserve">Cfr. Caso de la Comunidad Mayagna (Sumo) Awas Tingni </w:t>
      </w:r>
      <w:r w:rsidRPr="00C271B5">
        <w:rPr>
          <w:rStyle w:val="apple-style-span"/>
          <w:bCs/>
          <w:i/>
          <w:color w:val="000000"/>
          <w:lang w:val="es-CR"/>
        </w:rPr>
        <w:t>Vs. Nicaragua.</w:t>
      </w:r>
      <w:r w:rsidRPr="00C271B5">
        <w:rPr>
          <w:rStyle w:val="apple-converted-space"/>
          <w:bCs/>
          <w:i/>
          <w:color w:val="000000"/>
          <w:lang w:val="es-CR"/>
        </w:rPr>
        <w:t xml:space="preserve"> </w:t>
      </w:r>
      <w:r w:rsidRPr="007E20F9">
        <w:rPr>
          <w:i/>
          <w:color w:val="000000"/>
        </w:rPr>
        <w:t>Fondo, Reparaciones y Costas.</w:t>
      </w:r>
      <w:r w:rsidRPr="00C271B5">
        <w:rPr>
          <w:color w:val="000000"/>
        </w:rPr>
        <w:t xml:space="preserve"> Sentencia de 31 de agosto de 2001. Serie C No. 79, </w:t>
      </w:r>
      <w:r w:rsidRPr="00C271B5">
        <w:rPr>
          <w:lang w:val="es-CL"/>
        </w:rPr>
        <w:t xml:space="preserve">párr. 149, y </w:t>
      </w:r>
      <w:r w:rsidRPr="007E20F9">
        <w:rPr>
          <w:i/>
        </w:rPr>
        <w:t xml:space="preserve">Caso Comunidad Garífuna de Punta Piedra y sus </w:t>
      </w:r>
      <w:r w:rsidRPr="00C271B5">
        <w:rPr>
          <w:i/>
        </w:rPr>
        <w:t>m</w:t>
      </w:r>
      <w:r w:rsidRPr="007E20F9">
        <w:rPr>
          <w:i/>
        </w:rPr>
        <w:t>iembro</w:t>
      </w:r>
      <w:r w:rsidRPr="00606243">
        <w:t>s</w:t>
      </w:r>
      <w:r w:rsidRPr="007E20F9">
        <w:rPr>
          <w:i/>
        </w:rPr>
        <w:t>, supra,</w:t>
      </w:r>
      <w:r w:rsidRPr="00C271B5">
        <w:t xml:space="preserve"> párr</w:t>
      </w:r>
      <w:r>
        <w:t>. 1</w:t>
      </w:r>
      <w:r w:rsidRPr="00C271B5">
        <w:t>66.</w:t>
      </w:r>
    </w:p>
  </w:footnote>
  <w:footnote w:id="168">
    <w:p w14:paraId="3F18B9B0" w14:textId="0E1A6320" w:rsidR="00247DB8" w:rsidRPr="00606243" w:rsidRDefault="00247DB8" w:rsidP="00AA7575">
      <w:pPr>
        <w:pStyle w:val="FootnoteText"/>
        <w:spacing w:afterLines="40" w:after="96"/>
      </w:pPr>
      <w:r w:rsidRPr="00C271B5">
        <w:rPr>
          <w:rStyle w:val="FootnoteReference"/>
          <w:sz w:val="16"/>
        </w:rPr>
        <w:footnoteRef/>
      </w:r>
      <w:r w:rsidRPr="00C271B5">
        <w:tab/>
      </w:r>
      <w:r w:rsidRPr="007E20F9">
        <w:rPr>
          <w:i/>
        </w:rPr>
        <w:t>Cfr. Caso Comunidad Indígena Yakye Axa Vs. Paraguay. Fondo, Reparaciones y Costas</w:t>
      </w:r>
      <w:r w:rsidRPr="00C271B5">
        <w:t xml:space="preserve">. Sentencia de 17 de junio de 2005. Serie C No. </w:t>
      </w:r>
      <w:r w:rsidRPr="00606243">
        <w:t xml:space="preserve">125, párr. 135, y </w:t>
      </w:r>
      <w:r w:rsidRPr="007E20F9">
        <w:rPr>
          <w:i/>
        </w:rPr>
        <w:t>Caso Comunidad Garífuna de Punta Piedra y sus</w:t>
      </w:r>
      <w:r w:rsidRPr="00C271B5">
        <w:rPr>
          <w:i/>
        </w:rPr>
        <w:t xml:space="preserve"> miembros</w:t>
      </w:r>
      <w:r w:rsidRPr="007E20F9">
        <w:rPr>
          <w:i/>
        </w:rPr>
        <w:t>, supra</w:t>
      </w:r>
      <w:r w:rsidRPr="00C271B5">
        <w:t>, párr</w:t>
      </w:r>
      <w:r>
        <w:t xml:space="preserve">. </w:t>
      </w:r>
      <w:r w:rsidRPr="00C271B5">
        <w:t>166.</w:t>
      </w:r>
    </w:p>
  </w:footnote>
  <w:footnote w:id="169">
    <w:p w14:paraId="3298626A"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 la Comunidad Indígena Yakye Axa, supra,</w:t>
      </w:r>
      <w:r w:rsidRPr="00C271B5">
        <w:t xml:space="preserve"> párrs. 124, 135 y 137, y </w:t>
      </w:r>
      <w:r w:rsidRPr="007E20F9">
        <w:rPr>
          <w:i/>
        </w:rPr>
        <w:t xml:space="preserve">Caso Comunidad Garífuna de Punta Piedra y sus </w:t>
      </w:r>
      <w:r w:rsidRPr="00C271B5">
        <w:rPr>
          <w:i/>
        </w:rPr>
        <w:t>m</w:t>
      </w:r>
      <w:r w:rsidRPr="007E20F9">
        <w:rPr>
          <w:i/>
        </w:rPr>
        <w:t>iembros, supra</w:t>
      </w:r>
      <w:r w:rsidRPr="00C271B5">
        <w:t>, párr.</w:t>
      </w:r>
      <w:r w:rsidRPr="00606243">
        <w:t xml:space="preserve"> 166. </w:t>
      </w:r>
    </w:p>
  </w:footnote>
  <w:footnote w:id="170">
    <w:p w14:paraId="1B044F4E" w14:textId="77777777" w:rsidR="00247DB8" w:rsidRPr="00C271B5" w:rsidRDefault="00247DB8" w:rsidP="00AA7575">
      <w:pPr>
        <w:tabs>
          <w:tab w:val="left" w:pos="567"/>
        </w:tabs>
        <w:spacing w:afterLines="40" w:after="96"/>
        <w:jc w:val="both"/>
        <w:rPr>
          <w:rFonts w:ascii="Verdana" w:eastAsiaTheme="minorEastAsia" w:hAnsi="Verdana"/>
          <w:sz w:val="16"/>
          <w:szCs w:val="16"/>
          <w:lang w:val="es-MX"/>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CR"/>
        </w:rPr>
        <w:t>Cfr.</w:t>
      </w:r>
      <w:r w:rsidRPr="00606243">
        <w:rPr>
          <w:rFonts w:ascii="Verdana" w:hAnsi="Verdana"/>
          <w:i/>
          <w:sz w:val="16"/>
          <w:szCs w:val="16"/>
          <w:lang w:val="es-CR"/>
        </w:rPr>
        <w:t xml:space="preserve"> Caso Comunidad Indígena Yakye Axa, supra, </w:t>
      </w:r>
      <w:r w:rsidRPr="007E20F9">
        <w:rPr>
          <w:rFonts w:ascii="Verdana" w:hAnsi="Verdana"/>
          <w:sz w:val="16"/>
          <w:szCs w:val="16"/>
          <w:lang w:val="es-CR"/>
        </w:rPr>
        <w:t>párrs. 131 y 137;</w:t>
      </w:r>
      <w:r w:rsidRPr="00C271B5">
        <w:rPr>
          <w:rFonts w:ascii="Verdana" w:hAnsi="Verdana"/>
          <w:i/>
          <w:sz w:val="16"/>
          <w:szCs w:val="16"/>
          <w:lang w:val="es-CR"/>
        </w:rPr>
        <w:t xml:space="preserve"> Caso Comunidad Indígena Sawhoyamaxa, supra, </w:t>
      </w:r>
      <w:r w:rsidRPr="007E20F9">
        <w:rPr>
          <w:rFonts w:ascii="Verdana" w:hAnsi="Verdana"/>
          <w:sz w:val="16"/>
          <w:szCs w:val="16"/>
          <w:lang w:val="es-CR"/>
        </w:rPr>
        <w:t>párr. 128, y</w:t>
      </w:r>
      <w:r w:rsidRPr="00C271B5">
        <w:rPr>
          <w:rFonts w:ascii="Verdana" w:hAnsi="Verdana"/>
          <w:i/>
          <w:sz w:val="16"/>
          <w:szCs w:val="16"/>
          <w:lang w:val="es-CR"/>
        </w:rPr>
        <w:t xml:space="preserve"> Caso Comunidad </w:t>
      </w:r>
      <w:r w:rsidRPr="00606243">
        <w:rPr>
          <w:rFonts w:ascii="Verdana" w:hAnsi="Verdana"/>
          <w:i/>
          <w:sz w:val="16"/>
          <w:szCs w:val="16"/>
          <w:lang w:val="es-CR"/>
        </w:rPr>
        <w:t>Indígena Xákmok Kásek Vs. Paraguay. Fondo, Reparaciones y Costas.</w:t>
      </w:r>
      <w:r w:rsidRPr="00606243">
        <w:rPr>
          <w:rFonts w:ascii="Verdana" w:hAnsi="Verdana"/>
          <w:sz w:val="16"/>
          <w:szCs w:val="16"/>
          <w:lang w:val="es-CR"/>
        </w:rPr>
        <w:t xml:space="preserve"> Sentencia de 24 de agosto de 2010. Serie C No. 214, párr. 109.</w:t>
      </w:r>
      <w:r w:rsidRPr="001863DB">
        <w:rPr>
          <w:rFonts w:ascii="Verdana" w:hAnsi="Verdana"/>
          <w:i/>
          <w:sz w:val="16"/>
          <w:szCs w:val="16"/>
          <w:lang w:val="es-CR"/>
        </w:rPr>
        <w:t xml:space="preserve">  </w:t>
      </w:r>
    </w:p>
  </w:footnote>
  <w:footnote w:id="171">
    <w:p w14:paraId="0F63322A"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 la Comunidad Mayagna (Sumo) Awas Tingni, supra,</w:t>
      </w:r>
      <w:r w:rsidRPr="00C271B5">
        <w:t xml:space="preserve"> párrs</w:t>
      </w:r>
      <w:r w:rsidRPr="00606243">
        <w:t>. 153 y 164.</w:t>
      </w:r>
      <w:r w:rsidRPr="00606243">
        <w:tab/>
      </w:r>
    </w:p>
  </w:footnote>
  <w:footnote w:id="172">
    <w:p w14:paraId="6B882C07"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del Pueblo Saramaka, supra</w:t>
      </w:r>
      <w:r w:rsidRPr="00C271B5">
        <w:t>, párr. 115.</w:t>
      </w:r>
    </w:p>
  </w:footnote>
  <w:footnote w:id="173">
    <w:p w14:paraId="620E0047"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xml:space="preserve"> </w:t>
      </w:r>
      <w:r w:rsidRPr="007E20F9">
        <w:rPr>
          <w:i/>
        </w:rPr>
        <w:t>Caso Pueblo Indígena Kichwa de Sarayaku, supra</w:t>
      </w:r>
      <w:r w:rsidRPr="00C271B5">
        <w:t>, párr. 146.</w:t>
      </w:r>
    </w:p>
    <w:p w14:paraId="4E2D87AC" w14:textId="77777777" w:rsidR="00247DB8" w:rsidRPr="00606243" w:rsidRDefault="00247DB8" w:rsidP="00AA7575">
      <w:pPr>
        <w:pStyle w:val="FootnoteText"/>
        <w:spacing w:afterLines="40" w:after="96"/>
      </w:pPr>
      <w:r w:rsidRPr="00606243">
        <w:t xml:space="preserve">Adicionalmente, en el caso de la </w:t>
      </w:r>
      <w:r w:rsidRPr="007E20F9">
        <w:rPr>
          <w:i/>
        </w:rPr>
        <w:t xml:space="preserve">Comunidad Garífuna de Punta Piedra y sus </w:t>
      </w:r>
      <w:r w:rsidRPr="00C271B5">
        <w:rPr>
          <w:i/>
        </w:rPr>
        <w:t>miembros</w:t>
      </w:r>
      <w:r w:rsidRPr="00C271B5">
        <w:t xml:space="preserve">, en el cual la comunidad tenía ya título de propiedad, la Corte </w:t>
      </w:r>
      <w:r w:rsidRPr="00606243">
        <w:t xml:space="preserve">estableció que el Estado debe garantizar el uso y goce efectivo de la propiedad indígena o tribal, para lo cual proceden diversas medidas, entre ellas </w:t>
      </w:r>
      <w:r w:rsidRPr="001863DB">
        <w:t xml:space="preserve">“el saneamiento, </w:t>
      </w:r>
      <w:r w:rsidRPr="00C271B5">
        <w:t>[el cual] consiste en un proceso que deriva en la obligación del Estado de remover cualquier tipo de interferencia sobre el territorio en cuestión […] a fin de que la Comunidad [en cuestión] pueda hacer uso y goce pacífico y efectivo de su dominio pleno de la propiedad colectiva”</w:t>
      </w:r>
      <w:r w:rsidRPr="00C271B5">
        <w:rPr>
          <w:i/>
        </w:rPr>
        <w:t xml:space="preserve">. Caso </w:t>
      </w:r>
      <w:r w:rsidRPr="007E20F9">
        <w:rPr>
          <w:i/>
        </w:rPr>
        <w:t xml:space="preserve">Comunidad Garífuna de Punta Piedra </w:t>
      </w:r>
      <w:r w:rsidRPr="00C271B5">
        <w:rPr>
          <w:i/>
        </w:rPr>
        <w:t xml:space="preserve">y sus </w:t>
      </w:r>
      <w:r w:rsidRPr="00606243">
        <w:rPr>
          <w:i/>
        </w:rPr>
        <w:t>miembros</w:t>
      </w:r>
      <w:r w:rsidRPr="007E20F9">
        <w:rPr>
          <w:i/>
        </w:rPr>
        <w:t>, supra,</w:t>
      </w:r>
      <w:r w:rsidRPr="00C271B5">
        <w:t xml:space="preserve"> párr. 18</w:t>
      </w:r>
      <w:r w:rsidRPr="00606243">
        <w:t>1.</w:t>
      </w:r>
    </w:p>
  </w:footnote>
  <w:footnote w:id="174">
    <w:p w14:paraId="43BAB032" w14:textId="77777777" w:rsidR="00247DB8" w:rsidRPr="00C271B5" w:rsidRDefault="00247DB8" w:rsidP="00AA7575">
      <w:pPr>
        <w:tabs>
          <w:tab w:val="left" w:pos="567"/>
        </w:tabs>
        <w:spacing w:afterLines="40" w:after="96"/>
        <w:jc w:val="both"/>
        <w:rPr>
          <w:rFonts w:ascii="Verdana" w:eastAsiaTheme="minorEastAsia" w:hAnsi="Verdana"/>
          <w:sz w:val="16"/>
          <w:szCs w:val="16"/>
          <w:lang w:val="es-MX"/>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eastAsiaTheme="minorEastAsia" w:hAnsi="Verdana"/>
          <w:i/>
          <w:sz w:val="16"/>
          <w:szCs w:val="16"/>
          <w:lang w:val="es-MX"/>
        </w:rPr>
        <w:t>Cfr.</w:t>
      </w:r>
      <w:r w:rsidRPr="00606243">
        <w:rPr>
          <w:rFonts w:ascii="Verdana" w:eastAsiaTheme="minorEastAsia" w:hAnsi="Verdana"/>
          <w:sz w:val="16"/>
          <w:szCs w:val="16"/>
          <w:lang w:val="es-MX"/>
        </w:rPr>
        <w:t xml:space="preserve"> </w:t>
      </w:r>
      <w:r w:rsidRPr="00606243">
        <w:rPr>
          <w:rFonts w:ascii="Verdana" w:eastAsiaTheme="minorEastAsia" w:hAnsi="Verdana"/>
          <w:i/>
          <w:sz w:val="16"/>
          <w:szCs w:val="16"/>
          <w:lang w:val="es-MX"/>
        </w:rPr>
        <w:t>Caso de la Comunidad Mayagna (Sumo) Awas Tingni, supra</w:t>
      </w:r>
      <w:r w:rsidRPr="00606243">
        <w:rPr>
          <w:rFonts w:ascii="Verdana" w:eastAsiaTheme="minorEastAsia" w:hAnsi="Verdana"/>
          <w:sz w:val="16"/>
          <w:szCs w:val="16"/>
          <w:lang w:val="es-MX"/>
        </w:rPr>
        <w:t xml:space="preserve">, párr. 153 y 164, y </w:t>
      </w:r>
      <w:r w:rsidRPr="00606243">
        <w:rPr>
          <w:rFonts w:ascii="Verdana" w:eastAsiaTheme="minorEastAsia" w:hAnsi="Verdana"/>
          <w:i/>
          <w:sz w:val="16"/>
          <w:szCs w:val="16"/>
          <w:lang w:val="es-MX"/>
        </w:rPr>
        <w:t xml:space="preserve">Caso de los Pueblos Indígenas Kuna de Madungandí y Emberá de Bayano y sus </w:t>
      </w:r>
      <w:r w:rsidRPr="001863DB">
        <w:rPr>
          <w:rFonts w:ascii="Verdana" w:eastAsiaTheme="minorEastAsia" w:hAnsi="Verdana"/>
          <w:i/>
          <w:sz w:val="16"/>
          <w:szCs w:val="16"/>
          <w:lang w:val="es-MX"/>
        </w:rPr>
        <w:t>miembros</w:t>
      </w:r>
      <w:r w:rsidRPr="00C271B5">
        <w:rPr>
          <w:rFonts w:ascii="Verdana" w:eastAsiaTheme="minorEastAsia" w:hAnsi="Verdana"/>
          <w:i/>
          <w:sz w:val="16"/>
          <w:szCs w:val="16"/>
          <w:lang w:val="es-MX"/>
        </w:rPr>
        <w:t xml:space="preserve"> Vs. Panamá. Excepciones Preliminares, fondo, Reparaciones y Costas.</w:t>
      </w:r>
      <w:r w:rsidRPr="00C271B5">
        <w:rPr>
          <w:rFonts w:ascii="Verdana" w:eastAsiaTheme="minorEastAsia" w:hAnsi="Verdana"/>
          <w:sz w:val="16"/>
          <w:szCs w:val="16"/>
          <w:lang w:val="es-MX"/>
        </w:rPr>
        <w:t xml:space="preserve"> Sentencia de 14 de octubre de 2014. Serie C No. 284, párr. 119.  </w:t>
      </w:r>
    </w:p>
  </w:footnote>
  <w:footnote w:id="175">
    <w:p w14:paraId="6C06386A" w14:textId="255986BD" w:rsidR="00247DB8" w:rsidRPr="00C271B5" w:rsidRDefault="00247DB8" w:rsidP="00AA7575">
      <w:pPr>
        <w:pStyle w:val="FootnoteText"/>
        <w:spacing w:afterLines="40" w:after="96"/>
      </w:pPr>
      <w:r w:rsidRPr="007E20F9">
        <w:rPr>
          <w:rStyle w:val="FootnoteReference"/>
          <w:sz w:val="16"/>
        </w:rPr>
        <w:footnoteRef/>
      </w:r>
      <w:r w:rsidRPr="007E20F9">
        <w:rPr>
          <w:rStyle w:val="FootnoteReference"/>
          <w:sz w:val="16"/>
        </w:rPr>
        <w:t xml:space="preserve"> </w:t>
      </w:r>
      <w:r w:rsidRPr="00C271B5">
        <w:tab/>
      </w:r>
      <w:r w:rsidRPr="007E20F9">
        <w:rPr>
          <w:i/>
        </w:rPr>
        <w:t>Caso Comunidad Indígena Yakye Axa</w:t>
      </w:r>
      <w:r w:rsidRPr="00C271B5">
        <w:t xml:space="preserve">, </w:t>
      </w:r>
      <w:r w:rsidRPr="00C271B5">
        <w:rPr>
          <w:i/>
        </w:rPr>
        <w:t>supra</w:t>
      </w:r>
      <w:r w:rsidRPr="00606243">
        <w:t xml:space="preserve">, párr. 143, y </w:t>
      </w:r>
      <w:r w:rsidRPr="004B0145">
        <w:rPr>
          <w:i/>
        </w:rPr>
        <w:t>Caso</w:t>
      </w:r>
      <w:r w:rsidRPr="001863DB">
        <w:t xml:space="preserve"> </w:t>
      </w:r>
      <w:r w:rsidRPr="001863DB">
        <w:rPr>
          <w:i/>
        </w:rPr>
        <w:t xml:space="preserve">Comunidad Garífuna de Punta Piedra y sus </w:t>
      </w:r>
      <w:r w:rsidRPr="00C271B5">
        <w:rPr>
          <w:i/>
        </w:rPr>
        <w:t xml:space="preserve">miembros, supra, </w:t>
      </w:r>
      <w:r w:rsidRPr="004B0145">
        <w:t>párr. 169.</w:t>
      </w:r>
      <w:r w:rsidRPr="00C271B5">
        <w:t xml:space="preserve"> </w:t>
      </w:r>
    </w:p>
  </w:footnote>
  <w:footnote w:id="176">
    <w:p w14:paraId="45AF3AEF" w14:textId="77777777" w:rsidR="00247DB8" w:rsidRPr="00606243" w:rsidRDefault="00247DB8" w:rsidP="00AA7575">
      <w:pPr>
        <w:pStyle w:val="FootnoteText"/>
        <w:spacing w:afterLines="40" w:after="96"/>
      </w:pPr>
      <w:r w:rsidRPr="007E20F9">
        <w:rPr>
          <w:rStyle w:val="FootnoteReference"/>
          <w:sz w:val="16"/>
        </w:rPr>
        <w:footnoteRef/>
      </w:r>
      <w:r w:rsidRPr="007E20F9">
        <w:rPr>
          <w:rStyle w:val="FootnoteReference"/>
          <w:sz w:val="16"/>
        </w:rPr>
        <w:t xml:space="preserve"> </w:t>
      </w:r>
      <w:r w:rsidRPr="00C271B5">
        <w:tab/>
      </w:r>
      <w:r w:rsidRPr="00606243">
        <w:rPr>
          <w:i/>
        </w:rPr>
        <w:t>Cfr.</w:t>
      </w:r>
      <w:r w:rsidRPr="00606243">
        <w:t xml:space="preserve"> </w:t>
      </w:r>
      <w:r w:rsidRPr="007E20F9">
        <w:rPr>
          <w:i/>
        </w:rPr>
        <w:t>Caso de la Comunidad Moiwana</w:t>
      </w:r>
      <w:r w:rsidRPr="00C271B5">
        <w:t xml:space="preserve">, </w:t>
      </w:r>
      <w:r w:rsidRPr="00C271B5">
        <w:rPr>
          <w:i/>
        </w:rPr>
        <w:t>supra</w:t>
      </w:r>
      <w:r w:rsidRPr="00606243">
        <w:t xml:space="preserve">, párr. 210, y </w:t>
      </w:r>
      <w:r w:rsidRPr="007E20F9">
        <w:rPr>
          <w:i/>
        </w:rPr>
        <w:t>Caso del Pueblo Saramaka</w:t>
      </w:r>
      <w:r w:rsidRPr="00C271B5">
        <w:t xml:space="preserve">, </w:t>
      </w:r>
      <w:r w:rsidRPr="007E20F9">
        <w:rPr>
          <w:i/>
        </w:rPr>
        <w:t>supra,</w:t>
      </w:r>
      <w:r w:rsidRPr="00C271B5">
        <w:t xml:space="preserve"> párr.</w:t>
      </w:r>
      <w:r w:rsidRPr="00606243">
        <w:t xml:space="preserve"> 115.   </w:t>
      </w:r>
    </w:p>
  </w:footnote>
  <w:footnote w:id="177">
    <w:p w14:paraId="6E74C966" w14:textId="77777777" w:rsidR="00247DB8" w:rsidRPr="00C271B5" w:rsidRDefault="00247DB8" w:rsidP="00AA7575">
      <w:pPr>
        <w:pStyle w:val="FootnoteText"/>
        <w:spacing w:afterLines="40" w:after="96"/>
      </w:pPr>
      <w:r w:rsidRPr="00C271B5">
        <w:rPr>
          <w:rStyle w:val="FootnoteReference"/>
          <w:sz w:val="16"/>
        </w:rPr>
        <w:footnoteRef/>
      </w:r>
      <w:r w:rsidRPr="007E20F9">
        <w:rPr>
          <w:rStyle w:val="FootnoteReference"/>
          <w:sz w:val="16"/>
        </w:rPr>
        <w:t xml:space="preserve"> </w:t>
      </w:r>
      <w:r w:rsidRPr="00C271B5">
        <w:tab/>
      </w:r>
      <w:r w:rsidRPr="007E20F9">
        <w:rPr>
          <w:i/>
        </w:rPr>
        <w:t>Caso Comunidad Indígena Yakye Axa, supra,</w:t>
      </w:r>
      <w:r w:rsidRPr="00C271B5">
        <w:t xml:space="preserve"> párr. 146, y </w:t>
      </w:r>
      <w:r w:rsidRPr="007E20F9">
        <w:rPr>
          <w:i/>
        </w:rPr>
        <w:t>Caso de los Pueblos Indígenas Kuna de Madungandí y Emberá de Bayano y sus miembros, supra,</w:t>
      </w:r>
      <w:r w:rsidRPr="00C271B5">
        <w:t xml:space="preserve"> párr. 143. </w:t>
      </w:r>
    </w:p>
  </w:footnote>
  <w:footnote w:id="178">
    <w:p w14:paraId="115F4173"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Caso Comunidad Indígena Yakye Axa, supra</w:t>
      </w:r>
      <w:r w:rsidRPr="00C271B5">
        <w:t>, párr. 146</w:t>
      </w:r>
      <w:r w:rsidRPr="00606243">
        <w:t>.</w:t>
      </w:r>
      <w:r w:rsidRPr="00C271B5">
        <w:t xml:space="preserve"> </w:t>
      </w:r>
    </w:p>
  </w:footnote>
  <w:footnote w:id="179">
    <w:p w14:paraId="0E5E81C4" w14:textId="77777777" w:rsidR="00247DB8" w:rsidRPr="00C271B5" w:rsidRDefault="00247DB8" w:rsidP="00AA7575">
      <w:pPr>
        <w:pStyle w:val="FootnoteText"/>
        <w:spacing w:afterLines="40" w:after="96"/>
        <w:rPr>
          <w:strike/>
        </w:rPr>
      </w:pPr>
      <w:r w:rsidRPr="00C271B5">
        <w:rPr>
          <w:rStyle w:val="FootnoteReference"/>
          <w:sz w:val="16"/>
        </w:rPr>
        <w:footnoteRef/>
      </w:r>
      <w:r w:rsidRPr="00C271B5">
        <w:t xml:space="preserve"> </w:t>
      </w:r>
      <w:r w:rsidRPr="00C271B5">
        <w:tab/>
      </w:r>
      <w:r w:rsidRPr="00606243">
        <w:t>En este mismo sentido, la Declaración sobre los Derechos de los Pueblos Indígenas de la ONU reconoce en su artículo 26 derecho a las tierras, territorios y recursos que tradicionalmente han poseído, ocupado o utilizado</w:t>
      </w:r>
      <w:r w:rsidRPr="001863DB">
        <w:t xml:space="preserve"> o adquirido</w:t>
      </w:r>
      <w:r w:rsidRPr="00C271B5">
        <w:t>, así como el derecho a poseer, utilizar, desarrollar y controlar esas tierras, por lo que los Estados deben asegurar el reconocimiento y protección jurídica de esos territorios respetando las costumbres, tradiciones y los sistemas de tenencia de la tierra de los pueblos indígenas. ONU</w:t>
      </w:r>
      <w:r w:rsidRPr="007E20F9">
        <w:t>,</w:t>
      </w:r>
      <w:r w:rsidRPr="00C271B5">
        <w:t xml:space="preserve"> Declaración de las Naciones Unidas sobre </w:t>
      </w:r>
      <w:r>
        <w:t xml:space="preserve">los </w:t>
      </w:r>
      <w:r w:rsidRPr="00C271B5">
        <w:t xml:space="preserve">Derechos de los Pueblos Indígenas, </w:t>
      </w:r>
      <w:r w:rsidRPr="007E20F9">
        <w:rPr>
          <w:i/>
        </w:rPr>
        <w:t>supra.</w:t>
      </w:r>
    </w:p>
  </w:footnote>
  <w:footnote w:id="180">
    <w:p w14:paraId="5AA4FD64" w14:textId="77777777" w:rsidR="00247DB8" w:rsidRPr="00606243" w:rsidRDefault="00247DB8" w:rsidP="00AA7575">
      <w:pPr>
        <w:pStyle w:val="FootnoteText"/>
        <w:spacing w:afterLines="40" w:after="96"/>
      </w:pPr>
      <w:r w:rsidRPr="00C271B5">
        <w:rPr>
          <w:rStyle w:val="FootnoteReference"/>
          <w:sz w:val="16"/>
        </w:rPr>
        <w:footnoteRef/>
      </w:r>
      <w:r w:rsidRPr="007E20F9">
        <w:t xml:space="preserve"> </w:t>
      </w:r>
      <w:r w:rsidRPr="007E20F9">
        <w:tab/>
      </w:r>
      <w:r w:rsidRPr="007E20F9">
        <w:rPr>
          <w:i/>
        </w:rPr>
        <w:t>Cfr. Caso de la Comunidad Mayagna (Sumo) Awas Tingni, supra,</w:t>
      </w:r>
      <w:r w:rsidRPr="00C271B5">
        <w:t xml:space="preserve"> párr. 153, y</w:t>
      </w:r>
      <w:r w:rsidRPr="00606243">
        <w:t xml:space="preserve"> </w:t>
      </w:r>
      <w:r w:rsidRPr="007E20F9">
        <w:rPr>
          <w:i/>
        </w:rPr>
        <w:t xml:space="preserve">Caso de los Pueblos Indígenas Kuna de Madungandí y Emberá de Bayano y sus </w:t>
      </w:r>
      <w:r w:rsidRPr="00C271B5">
        <w:rPr>
          <w:i/>
        </w:rPr>
        <w:t>miembros</w:t>
      </w:r>
      <w:r w:rsidRPr="007E20F9">
        <w:rPr>
          <w:i/>
        </w:rPr>
        <w:t>, supra</w:t>
      </w:r>
      <w:r w:rsidRPr="00C271B5">
        <w:t>, párr. 119</w:t>
      </w:r>
      <w:r w:rsidRPr="00606243">
        <w:t xml:space="preserve">. </w:t>
      </w:r>
    </w:p>
  </w:footnote>
  <w:footnote w:id="181">
    <w:p w14:paraId="0699C038" w14:textId="77777777" w:rsidR="00247DB8" w:rsidRPr="00606243" w:rsidRDefault="00247DB8" w:rsidP="00AA7575">
      <w:pPr>
        <w:pStyle w:val="FootnoteText"/>
        <w:spacing w:afterLines="40" w:after="96"/>
        <w:rPr>
          <w:lang w:val="en-US"/>
        </w:rPr>
      </w:pPr>
      <w:r w:rsidRPr="00C271B5">
        <w:rPr>
          <w:rStyle w:val="FootnoteReference"/>
          <w:sz w:val="16"/>
        </w:rPr>
        <w:footnoteRef/>
      </w:r>
      <w:r w:rsidRPr="00C271B5">
        <w:t xml:space="preserve"> </w:t>
      </w:r>
      <w:r w:rsidRPr="00C271B5">
        <w:tab/>
      </w:r>
      <w:r w:rsidRPr="007E20F9">
        <w:rPr>
          <w:i/>
        </w:rPr>
        <w:t xml:space="preserve">Cfr. Caso Comunidad Garífuna de Punta Piedra y sus </w:t>
      </w:r>
      <w:r w:rsidRPr="00606243">
        <w:rPr>
          <w:i/>
        </w:rPr>
        <w:t>miembros</w:t>
      </w:r>
      <w:r w:rsidRPr="007E20F9">
        <w:rPr>
          <w:i/>
        </w:rPr>
        <w:t>, supra</w:t>
      </w:r>
      <w:r w:rsidRPr="00C271B5">
        <w:t>, párr</w:t>
      </w:r>
      <w:r w:rsidRPr="00606243">
        <w:t xml:space="preserve">. </w:t>
      </w:r>
      <w:r w:rsidRPr="00606243">
        <w:rPr>
          <w:lang w:val="en-US"/>
        </w:rPr>
        <w:t xml:space="preserve">326. </w:t>
      </w:r>
    </w:p>
  </w:footnote>
  <w:footnote w:id="182">
    <w:p w14:paraId="536FE47B" w14:textId="77777777" w:rsidR="00247DB8" w:rsidRPr="00606243" w:rsidRDefault="00247DB8" w:rsidP="00AA7575">
      <w:pPr>
        <w:pStyle w:val="FootnoteText"/>
        <w:spacing w:afterLines="40" w:after="96"/>
        <w:rPr>
          <w:lang w:val="es-CR"/>
        </w:rPr>
      </w:pPr>
      <w:r w:rsidRPr="00C271B5">
        <w:rPr>
          <w:rStyle w:val="FootnoteReference"/>
          <w:sz w:val="16"/>
        </w:rPr>
        <w:footnoteRef/>
      </w:r>
      <w:r w:rsidRPr="007E20F9">
        <w:rPr>
          <w:lang w:val="en-US"/>
        </w:rPr>
        <w:t xml:space="preserve"> </w:t>
      </w:r>
      <w:r w:rsidRPr="007E20F9">
        <w:rPr>
          <w:lang w:val="en-US"/>
        </w:rPr>
        <w:tab/>
      </w:r>
      <w:r w:rsidRPr="007E20F9">
        <w:rPr>
          <w:i/>
          <w:lang w:val="en-US"/>
        </w:rPr>
        <w:t>Cfr.</w:t>
      </w:r>
      <w:r w:rsidRPr="007E20F9">
        <w:rPr>
          <w:lang w:val="en-US"/>
        </w:rPr>
        <w:t xml:space="preserve"> Traditional use and management of the Lower Marowijne area by the Kaliña and Lokono, </w:t>
      </w:r>
      <w:r w:rsidRPr="007E20F9">
        <w:rPr>
          <w:i/>
          <w:lang w:val="en-US"/>
        </w:rPr>
        <w:t>supra</w:t>
      </w:r>
      <w:r w:rsidRPr="007E20F9">
        <w:rPr>
          <w:lang w:val="en-US"/>
        </w:rPr>
        <w:t xml:space="preserve"> (expediente de prueba, folio 40). </w:t>
      </w:r>
      <w:r w:rsidRPr="00C271B5">
        <w:rPr>
          <w:lang w:val="es-CR"/>
        </w:rPr>
        <w:t xml:space="preserve">Asimismo, Grace Watamaleo señaló que su pueblo Wan Shi Sha estaba localizado en el margen izquierdo del río Marowijne, entre la ciudad de Albina y el pueblo indígena de Pierrekondre. </w:t>
      </w:r>
      <w:r w:rsidRPr="00606243">
        <w:rPr>
          <w:i/>
        </w:rPr>
        <w:t>Cfr.</w:t>
      </w:r>
      <w:r w:rsidRPr="00606243">
        <w:t xml:space="preserve"> </w:t>
      </w:r>
      <w:r w:rsidRPr="00743E86">
        <w:rPr>
          <w:i/>
        </w:rPr>
        <w:t>Affidavit</w:t>
      </w:r>
      <w:r w:rsidRPr="00606243">
        <w:t xml:space="preserve"> de la Capitana Grace Watamaleo de 27 de enero de 2015 (expediente de fondo, folio 442).</w:t>
      </w:r>
      <w:r w:rsidRPr="00606243">
        <w:rPr>
          <w:lang w:val="es-CR"/>
        </w:rPr>
        <w:t xml:space="preserve"> </w:t>
      </w:r>
    </w:p>
  </w:footnote>
  <w:footnote w:id="183">
    <w:p w14:paraId="069D2F1C" w14:textId="60CC6732" w:rsidR="00247DB8" w:rsidRPr="00247DB8" w:rsidRDefault="00247DB8" w:rsidP="00AA7575">
      <w:pPr>
        <w:pStyle w:val="FootnoteText"/>
        <w:spacing w:afterLines="40" w:after="96"/>
        <w:rPr>
          <w:lang w:val="en-US"/>
        </w:rPr>
      </w:pPr>
      <w:r w:rsidRPr="00C271B5">
        <w:rPr>
          <w:rStyle w:val="FootnoteReference"/>
          <w:sz w:val="16"/>
        </w:rPr>
        <w:footnoteRef/>
      </w:r>
      <w:r w:rsidRPr="00C271B5">
        <w:t xml:space="preserve"> </w:t>
      </w:r>
      <w:r w:rsidRPr="00C271B5">
        <w:tab/>
      </w:r>
      <w:r w:rsidRPr="00C271B5">
        <w:rPr>
          <w:i/>
        </w:rPr>
        <w:t>Cfr.</w:t>
      </w:r>
      <w:r w:rsidRPr="00606243">
        <w:t xml:space="preserve"> Lista parcial de personas no indígenas que ostentan títulos dentro del territorio indígena de Lower Marowijne (expediente de anexos al informe de fondo, folio 365). Dichas personas serían: a) en Pierrekondre: 1. Mr. Raml</w:t>
      </w:r>
      <w:r w:rsidRPr="001863DB">
        <w:t xml:space="preserve">al; 2. </w:t>
      </w:r>
      <w:r w:rsidRPr="001863DB">
        <w:rPr>
          <w:lang w:val="es-CR"/>
        </w:rPr>
        <w:t xml:space="preserve">Mr. Findlay; 3. </w:t>
      </w:r>
      <w:r w:rsidRPr="00C271B5">
        <w:rPr>
          <w:lang w:val="en-US"/>
        </w:rPr>
        <w:t xml:space="preserve">Mrs. Ramdath; 4. Mr. Tjon Tjin Joe; 5. Mr. Tjon a Tjoen; 6. Mr. Tjoe a Long; 7. Mr. Hee On; 8. Mr. De Vries; 9. Mr. Quartier, y 10. Mr. Ferreira, y b) en </w:t>
      </w:r>
      <w:r>
        <w:rPr>
          <w:lang w:val="en-US"/>
        </w:rPr>
        <w:t>Marijkedorp (Wan Shi Sha)</w:t>
      </w:r>
      <w:r w:rsidRPr="00C271B5">
        <w:rPr>
          <w:lang w:val="en-US"/>
        </w:rPr>
        <w:t>: 11. Mr. Tjon a Tjoen; 12. Mr. Tjon a Tjoen; 13. Mr. Tjanga-sin; 14. Mr. Liesdeck; 15. De Surinaamse Bank; 1</w:t>
      </w:r>
      <w:r>
        <w:rPr>
          <w:lang w:val="en-US"/>
        </w:rPr>
        <w:t>6</w:t>
      </w:r>
      <w:r w:rsidRPr="00C271B5">
        <w:rPr>
          <w:lang w:val="en-US"/>
        </w:rPr>
        <w:t xml:space="preserve">. </w:t>
      </w:r>
      <w:r w:rsidRPr="00247DB8">
        <w:rPr>
          <w:lang w:val="en-US"/>
        </w:rPr>
        <w:t xml:space="preserve">Mr. Tjon Sienki, y 17. Mr. Dinesh Boekha. </w:t>
      </w:r>
    </w:p>
  </w:footnote>
  <w:footnote w:id="184">
    <w:p w14:paraId="5724F247"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43E86">
        <w:rPr>
          <w:i/>
        </w:rPr>
        <w:t>Affidavit</w:t>
      </w:r>
      <w:r w:rsidRPr="00606243">
        <w:t xml:space="preserve"> de la Capitana Grace Watamaleo de 27 de enero de 2015 (expediente de fondo, folio 443) y Declaración del Capitán Jona Gunther rendida durante la audiencia pública celebrada en el presente caso.</w:t>
      </w:r>
    </w:p>
  </w:footnote>
  <w:footnote w:id="185">
    <w:p w14:paraId="3F6F74F8"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Si bien se constató la construcción del edificio, la delegación de la Corte no ha podido comprobar </w:t>
      </w:r>
      <w:r w:rsidRPr="00606243">
        <w:t xml:space="preserve">del material probatorio del expediente ante el Tribunal ni de la diligencia </w:t>
      </w:r>
      <w:r w:rsidRPr="00606243">
        <w:rPr>
          <w:i/>
        </w:rPr>
        <w:t>in situ</w:t>
      </w:r>
      <w:r w:rsidRPr="00606243">
        <w:t xml:space="preserve">, si dicha construcción estaría destinada a ser un hotel o casino. </w:t>
      </w:r>
    </w:p>
  </w:footnote>
  <w:footnote w:id="186">
    <w:p w14:paraId="31E72C81" w14:textId="77777777" w:rsidR="00247DB8" w:rsidRPr="00606243" w:rsidRDefault="00247DB8" w:rsidP="00AA7575">
      <w:pPr>
        <w:pStyle w:val="FootnoteText"/>
        <w:spacing w:afterLines="40" w:after="96"/>
      </w:pPr>
      <w:r w:rsidRPr="00C271B5">
        <w:rPr>
          <w:rStyle w:val="FootnoteReference"/>
          <w:sz w:val="16"/>
        </w:rPr>
        <w:footnoteRef/>
      </w:r>
      <w:r w:rsidRPr="00C271B5">
        <w:rPr>
          <w:lang w:val="es-PE"/>
        </w:rPr>
        <w:t xml:space="preserve"> </w:t>
      </w:r>
      <w:r w:rsidRPr="00C271B5">
        <w:rPr>
          <w:lang w:val="es-PE"/>
        </w:rPr>
        <w:tab/>
      </w:r>
      <w:r w:rsidRPr="00C271B5">
        <w:rPr>
          <w:i/>
        </w:rPr>
        <w:t>Cfr.</w:t>
      </w:r>
      <w:r w:rsidRPr="00606243">
        <w:t xml:space="preserve"> </w:t>
      </w:r>
      <w:r w:rsidRPr="00743E86">
        <w:rPr>
          <w:i/>
        </w:rPr>
        <w:t>Affidavit</w:t>
      </w:r>
      <w:r w:rsidRPr="00606243">
        <w:t xml:space="preserve"> de la Capitana Grace Watamaleo de 27 de enero de 2015 (expediente de fondo, folio 444).</w:t>
      </w:r>
    </w:p>
  </w:footnote>
  <w:footnote w:id="187">
    <w:p w14:paraId="0CA3259C"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La presunta víctima Grace Watamaleo señaló mediante </w:t>
      </w:r>
      <w:r w:rsidRPr="00C271B5">
        <w:rPr>
          <w:i/>
        </w:rPr>
        <w:t xml:space="preserve">affidávit </w:t>
      </w:r>
      <w:r w:rsidRPr="00606243">
        <w:t>que “[quería ser] muy clara respecto a que [esas] casas [de los terceros] [estaban] en sus pueblos y al costado de donde [los indígenas tenían] sus casas. [Era] como si alguien construyera una casa en [su] patio trasero. Muchas personas de [su] comunidad mira[ban] desde sus ventanas o puertas de entrada y [podían] ver esas casas. [Estaban] a metros de distancia de [s</w:t>
      </w:r>
      <w:r w:rsidRPr="001863DB">
        <w:t>us]</w:t>
      </w:r>
      <w:r w:rsidRPr="00C271B5">
        <w:t xml:space="preserve"> viviendas y no en una parte deshabitada de [sus] tierras”. De igual manera, la presunta víctima Capitán Jona Gunther declaró durante la audiencia pública que las casas de terceros habían sido construidas de cinco a diez metros de distancia de las viviendas indígenas. </w:t>
      </w:r>
      <w:r w:rsidRPr="00C271B5">
        <w:rPr>
          <w:i/>
        </w:rPr>
        <w:t>Cfr.</w:t>
      </w:r>
      <w:r w:rsidRPr="00C271B5">
        <w:t xml:space="preserve"> </w:t>
      </w:r>
      <w:r w:rsidRPr="00743E86">
        <w:rPr>
          <w:i/>
        </w:rPr>
        <w:t>Affidavit</w:t>
      </w:r>
      <w:r w:rsidRPr="00C271B5">
        <w:t xml:space="preserve"> de la Capitana Grace Watamaleo de 27 de enero de 2015 (expediente de fondo, folio 444) y Declaración del Capitán Jona Gunther rendida durante la audiencia pública celebrada en el presente caso.</w:t>
      </w:r>
    </w:p>
  </w:footnote>
  <w:footnote w:id="188">
    <w:p w14:paraId="69E695DB" w14:textId="77777777" w:rsidR="00247DB8" w:rsidRPr="00C271B5" w:rsidRDefault="00247DB8" w:rsidP="00AA7575">
      <w:pPr>
        <w:tabs>
          <w:tab w:val="left" w:pos="567"/>
        </w:tabs>
        <w:spacing w:afterLines="40" w:after="96"/>
        <w:jc w:val="both"/>
        <w:rPr>
          <w:rFonts w:ascii="Verdana" w:eastAsiaTheme="minorEastAsia" w:hAnsi="Verdana"/>
          <w:sz w:val="16"/>
          <w:szCs w:val="16"/>
          <w:lang w:val="es-MX"/>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CR"/>
        </w:rPr>
        <w:t>Cfr.</w:t>
      </w:r>
      <w:r w:rsidRPr="00606243">
        <w:rPr>
          <w:rFonts w:ascii="Verdana" w:hAnsi="Verdana"/>
          <w:i/>
          <w:sz w:val="16"/>
          <w:szCs w:val="16"/>
          <w:lang w:val="es-CR"/>
        </w:rPr>
        <w:t xml:space="preserve"> </w:t>
      </w:r>
      <w:r w:rsidRPr="00606243">
        <w:rPr>
          <w:rFonts w:ascii="Verdana" w:eastAsiaTheme="minorEastAsia" w:hAnsi="Verdana"/>
          <w:i/>
          <w:sz w:val="16"/>
          <w:szCs w:val="16"/>
          <w:lang w:val="es-MX"/>
        </w:rPr>
        <w:t xml:space="preserve">Caso Comunidad Indígena Sawhoyamaxa, supra, </w:t>
      </w:r>
      <w:r w:rsidRPr="001863DB">
        <w:rPr>
          <w:rFonts w:ascii="Verdana" w:eastAsiaTheme="minorEastAsia" w:hAnsi="Verdana"/>
          <w:sz w:val="16"/>
          <w:szCs w:val="16"/>
          <w:lang w:val="es-MX"/>
        </w:rPr>
        <w:t>párr. 128</w:t>
      </w:r>
      <w:r w:rsidRPr="00C271B5">
        <w:rPr>
          <w:rFonts w:ascii="Verdana" w:eastAsiaTheme="minorEastAsia" w:hAnsi="Verdana"/>
          <w:sz w:val="16"/>
          <w:szCs w:val="16"/>
          <w:lang w:val="es-MX"/>
        </w:rPr>
        <w:t>,</w:t>
      </w:r>
      <w:r w:rsidRPr="00C271B5">
        <w:rPr>
          <w:rFonts w:ascii="Verdana" w:eastAsiaTheme="minorEastAsia" w:hAnsi="Verdana"/>
          <w:i/>
          <w:sz w:val="16"/>
          <w:szCs w:val="16"/>
          <w:lang w:val="es-MX"/>
        </w:rPr>
        <w:t xml:space="preserve"> </w:t>
      </w:r>
      <w:r w:rsidRPr="00C271B5">
        <w:rPr>
          <w:rFonts w:ascii="Verdana" w:eastAsiaTheme="minorEastAsia" w:hAnsi="Verdana"/>
          <w:sz w:val="16"/>
          <w:szCs w:val="16"/>
          <w:lang w:val="es-MX"/>
        </w:rPr>
        <w:t>y</w:t>
      </w:r>
      <w:r w:rsidRPr="00C271B5">
        <w:rPr>
          <w:rFonts w:ascii="Verdana" w:eastAsiaTheme="minorEastAsia" w:hAnsi="Verdana"/>
          <w:i/>
          <w:sz w:val="16"/>
          <w:szCs w:val="16"/>
          <w:lang w:val="es-MX"/>
        </w:rPr>
        <w:t xml:space="preserve"> Caso Comunidad Garífuna de Punta Piedra y sus miembros, supra,</w:t>
      </w:r>
      <w:r w:rsidRPr="00C271B5">
        <w:rPr>
          <w:rFonts w:ascii="Verdana" w:eastAsiaTheme="minorEastAsia" w:hAnsi="Verdana"/>
          <w:sz w:val="16"/>
          <w:szCs w:val="16"/>
          <w:lang w:val="es-MX"/>
        </w:rPr>
        <w:t xml:space="preserve"> párr. 173.</w:t>
      </w:r>
    </w:p>
  </w:footnote>
  <w:footnote w:id="189">
    <w:p w14:paraId="4E0FD7A3" w14:textId="5E3E000A" w:rsidR="00247DB8" w:rsidRPr="00C271B5" w:rsidRDefault="00247DB8" w:rsidP="00AA7575">
      <w:pPr>
        <w:pStyle w:val="FootnoteText"/>
        <w:spacing w:afterLines="40" w:after="96"/>
        <w:rPr>
          <w:color w:val="000000"/>
        </w:rPr>
      </w:pPr>
      <w:r w:rsidRPr="00C271B5">
        <w:rPr>
          <w:rStyle w:val="FootnoteReference"/>
          <w:sz w:val="16"/>
        </w:rPr>
        <w:footnoteRef/>
      </w:r>
      <w:r w:rsidRPr="00C271B5">
        <w:t xml:space="preserve"> </w:t>
      </w:r>
      <w:r w:rsidRPr="00C271B5">
        <w:tab/>
      </w:r>
      <w:r w:rsidRPr="007E20F9">
        <w:rPr>
          <w:i/>
        </w:rPr>
        <w:t>Cfr. Caso de la Comunidad Moiwana, supra</w:t>
      </w:r>
      <w:r w:rsidRPr="00C271B5">
        <w:t>, párr</w:t>
      </w:r>
      <w:r>
        <w:t xml:space="preserve">s. </w:t>
      </w:r>
      <w:r w:rsidRPr="007021B4">
        <w:t xml:space="preserve">131 </w:t>
      </w:r>
      <w:r w:rsidRPr="004B0145">
        <w:t>y</w:t>
      </w:r>
      <w:r w:rsidRPr="007021B4">
        <w:t xml:space="preserve"> 133; </w:t>
      </w:r>
      <w:r w:rsidRPr="007021B4">
        <w:rPr>
          <w:i/>
          <w:color w:val="000000"/>
        </w:rPr>
        <w:t>Caso</w:t>
      </w:r>
      <w:r w:rsidRPr="007E20F9">
        <w:rPr>
          <w:i/>
          <w:color w:val="000000"/>
        </w:rPr>
        <w:t xml:space="preserve"> Comunidad Indígena Yakye Axa, </w:t>
      </w:r>
      <w:r w:rsidRPr="007E20F9">
        <w:rPr>
          <w:i/>
        </w:rPr>
        <w:t>supra</w:t>
      </w:r>
      <w:r w:rsidRPr="00C271B5">
        <w:rPr>
          <w:color w:val="000000"/>
        </w:rPr>
        <w:t xml:space="preserve">, párrs. 131, 135, 137 y 154; </w:t>
      </w:r>
      <w:r w:rsidRPr="007E20F9">
        <w:rPr>
          <w:i/>
        </w:rPr>
        <w:t>Caso Comunidad Indígena Sawhoyamaxa, supra</w:t>
      </w:r>
      <w:r w:rsidRPr="00C271B5">
        <w:t>, párrs. 127</w:t>
      </w:r>
      <w:r w:rsidRPr="00606243">
        <w:t xml:space="preserve">, 130 y 131, y </w:t>
      </w:r>
      <w:r w:rsidRPr="007E20F9">
        <w:rPr>
          <w:i/>
          <w:lang w:val="es-MX"/>
        </w:rPr>
        <w:t>Caso Comunidad Indígena Xákmok Kásek, supra,</w:t>
      </w:r>
      <w:r w:rsidRPr="00C271B5">
        <w:rPr>
          <w:lang w:val="es-MX"/>
        </w:rPr>
        <w:t xml:space="preserve"> </w:t>
      </w:r>
      <w:r w:rsidRPr="00C271B5">
        <w:t>párr</w:t>
      </w:r>
      <w:r w:rsidRPr="00606243">
        <w:t xml:space="preserve">. </w:t>
      </w:r>
      <w:r w:rsidRPr="001863DB">
        <w:rPr>
          <w:lang w:val="es-MX"/>
        </w:rPr>
        <w:t>112.</w:t>
      </w:r>
      <w:r w:rsidRPr="001863DB">
        <w:t xml:space="preserve"> </w:t>
      </w:r>
    </w:p>
  </w:footnote>
  <w:footnote w:id="190">
    <w:p w14:paraId="50D06354" w14:textId="77777777" w:rsidR="00247DB8" w:rsidRPr="00606243" w:rsidRDefault="00247DB8" w:rsidP="00AA7575">
      <w:pPr>
        <w:pStyle w:val="FootnoteText"/>
        <w:spacing w:afterLines="40" w:after="96"/>
        <w:rPr>
          <w:color w:val="000000"/>
        </w:rPr>
      </w:pPr>
      <w:r w:rsidRPr="00C271B5">
        <w:rPr>
          <w:rStyle w:val="FootnoteReference"/>
          <w:sz w:val="16"/>
        </w:rPr>
        <w:footnoteRef/>
      </w:r>
      <w:r w:rsidRPr="00C271B5">
        <w:tab/>
      </w:r>
      <w:r w:rsidRPr="007E20F9">
        <w:rPr>
          <w:i/>
        </w:rPr>
        <w:t xml:space="preserve">Cfr. </w:t>
      </w:r>
      <w:r w:rsidRPr="007E20F9">
        <w:rPr>
          <w:i/>
          <w:color w:val="000000"/>
        </w:rPr>
        <w:t xml:space="preserve">Caso Comunidad Indígena Yakye Axa, </w:t>
      </w:r>
      <w:r w:rsidRPr="007E20F9">
        <w:rPr>
          <w:i/>
        </w:rPr>
        <w:t>supra</w:t>
      </w:r>
      <w:r w:rsidRPr="00C271B5">
        <w:t xml:space="preserve">, </w:t>
      </w:r>
      <w:r w:rsidRPr="00C271B5">
        <w:rPr>
          <w:color w:val="000000"/>
        </w:rPr>
        <w:t xml:space="preserve">párr. 154, y </w:t>
      </w:r>
      <w:r w:rsidRPr="007E20F9">
        <w:rPr>
          <w:i/>
        </w:rPr>
        <w:t xml:space="preserve">Caso Pueblo </w:t>
      </w:r>
      <w:r w:rsidRPr="007E20F9">
        <w:rPr>
          <w:i/>
          <w:color w:val="000000"/>
        </w:rPr>
        <w:t>Indígena</w:t>
      </w:r>
      <w:r w:rsidRPr="007E20F9">
        <w:rPr>
          <w:i/>
        </w:rPr>
        <w:t xml:space="preserve"> Sarayaku, supra,</w:t>
      </w:r>
      <w:r w:rsidRPr="00C271B5">
        <w:t xml:space="preserve"> </w:t>
      </w:r>
      <w:r w:rsidRPr="00C271B5">
        <w:rPr>
          <w:color w:val="000000"/>
        </w:rPr>
        <w:t>pár</w:t>
      </w:r>
      <w:r w:rsidRPr="007E20F9">
        <w:t>r. 148.</w:t>
      </w:r>
      <w:r w:rsidRPr="00C271B5">
        <w:t xml:space="preserve"> </w:t>
      </w:r>
    </w:p>
  </w:footnote>
  <w:footnote w:id="191">
    <w:p w14:paraId="657F628F" w14:textId="77777777" w:rsidR="00247DB8" w:rsidRPr="00606243" w:rsidRDefault="00247DB8" w:rsidP="00AA7575">
      <w:pPr>
        <w:pStyle w:val="FootnoteText"/>
        <w:spacing w:afterLines="40" w:after="96"/>
      </w:pPr>
      <w:r w:rsidRPr="00C271B5">
        <w:rPr>
          <w:rStyle w:val="FootnoteReference"/>
          <w:sz w:val="16"/>
        </w:rPr>
        <w:footnoteRef/>
      </w:r>
      <w:r w:rsidRPr="00C271B5">
        <w:tab/>
      </w:r>
      <w:r w:rsidRPr="007E20F9">
        <w:rPr>
          <w:i/>
        </w:rPr>
        <w:t>Cfr. Caso Comunidad Indígena Sawhoyamaxa, supra</w:t>
      </w:r>
      <w:r w:rsidRPr="00C271B5">
        <w:t xml:space="preserve">, párr. 132, y </w:t>
      </w:r>
      <w:r w:rsidRPr="007E20F9">
        <w:rPr>
          <w:i/>
          <w:lang w:val="es-MX"/>
        </w:rPr>
        <w:t xml:space="preserve">Caso </w:t>
      </w:r>
      <w:r w:rsidRPr="007E20F9">
        <w:rPr>
          <w:i/>
        </w:rPr>
        <w:t xml:space="preserve">Pueblo </w:t>
      </w:r>
      <w:r w:rsidRPr="007E20F9">
        <w:rPr>
          <w:i/>
          <w:color w:val="000000"/>
        </w:rPr>
        <w:t>Indígena</w:t>
      </w:r>
      <w:r w:rsidRPr="007E20F9">
        <w:rPr>
          <w:i/>
        </w:rPr>
        <w:t xml:space="preserve"> Sarayaku, supra</w:t>
      </w:r>
      <w:r w:rsidRPr="00C271B5">
        <w:t xml:space="preserve">, </w:t>
      </w:r>
      <w:r w:rsidRPr="00C271B5">
        <w:rPr>
          <w:color w:val="000000"/>
        </w:rPr>
        <w:t>pár</w:t>
      </w:r>
      <w:r w:rsidRPr="00606243">
        <w:t>r. 148.</w:t>
      </w:r>
    </w:p>
  </w:footnote>
  <w:footnote w:id="192">
    <w:p w14:paraId="62F4E801" w14:textId="77777777" w:rsidR="00247DB8" w:rsidRPr="00606243" w:rsidRDefault="00247DB8" w:rsidP="00AA7575">
      <w:pPr>
        <w:pStyle w:val="FootnoteText"/>
        <w:spacing w:afterLines="40" w:after="96"/>
      </w:pPr>
      <w:r w:rsidRPr="00C271B5">
        <w:rPr>
          <w:rStyle w:val="FootnoteReference"/>
          <w:sz w:val="16"/>
        </w:rPr>
        <w:footnoteRef/>
      </w:r>
      <w:r w:rsidRPr="00C271B5">
        <w:rPr>
          <w:lang w:val="es-PE"/>
        </w:rPr>
        <w:t xml:space="preserve"> </w:t>
      </w:r>
      <w:r w:rsidRPr="00C271B5">
        <w:rPr>
          <w:lang w:val="es-PE"/>
        </w:rPr>
        <w:tab/>
      </w:r>
      <w:r w:rsidRPr="00C271B5">
        <w:rPr>
          <w:i/>
        </w:rPr>
        <w:t>Cfr.</w:t>
      </w:r>
      <w:r w:rsidRPr="00C271B5">
        <w:t xml:space="preserve"> </w:t>
      </w:r>
      <w:r w:rsidRPr="00743E86">
        <w:rPr>
          <w:i/>
        </w:rPr>
        <w:t>Affidavit</w:t>
      </w:r>
      <w:r w:rsidRPr="00606243">
        <w:t xml:space="preserve"> de la Capitana Grace Watamaleo de 27 de enero de 2015 (expediente de fondo, folio 444).</w:t>
      </w:r>
    </w:p>
  </w:footnote>
  <w:footnote w:id="193">
    <w:p w14:paraId="68756952" w14:textId="0CCA1AA0" w:rsidR="00247DB8" w:rsidRPr="00C271B5" w:rsidRDefault="00247DB8" w:rsidP="00AA7575">
      <w:pPr>
        <w:pStyle w:val="FootnoteText"/>
        <w:spacing w:afterLines="40" w:after="96"/>
        <w:rPr>
          <w:lang w:val="es-PE"/>
        </w:rPr>
      </w:pPr>
      <w:r w:rsidRPr="00C271B5">
        <w:rPr>
          <w:rStyle w:val="FootnoteReference"/>
          <w:sz w:val="16"/>
        </w:rPr>
        <w:footnoteRef/>
      </w:r>
      <w:r w:rsidRPr="00C271B5">
        <w:rPr>
          <w:lang w:val="es-PE"/>
        </w:rPr>
        <w:t xml:space="preserve">  </w:t>
      </w:r>
      <w:r w:rsidRPr="00C271B5">
        <w:rPr>
          <w:lang w:val="es-PE"/>
        </w:rPr>
        <w:tab/>
      </w:r>
      <w:r w:rsidRPr="00C271B5">
        <w:t xml:space="preserve">Dentro de las cuales se encuentran: a) peticiones a la Comisión de Independencia en 1972; b) interposición de tres demandas ante tribunales internos en 1975 y 1976; c) marcha de 142 Km. a Paramaribo para protestar en contra del proyecto de parcelación; d) denuncias debido a la existencia de propiedades privadas y concesiones </w:t>
      </w:r>
      <w:r w:rsidRPr="00606243">
        <w:rPr>
          <w:lang w:val="es-CR"/>
        </w:rPr>
        <w:t xml:space="preserve">en casos como </w:t>
      </w:r>
      <w:r w:rsidRPr="00606243">
        <w:rPr>
          <w:i/>
          <w:lang w:val="es-CR"/>
        </w:rPr>
        <w:t>Tjang A Sjin v.</w:t>
      </w:r>
      <w:r w:rsidRPr="001863DB">
        <w:rPr>
          <w:i/>
          <w:lang w:val="es-CR"/>
        </w:rPr>
        <w:t xml:space="preserve"> Zaalman</w:t>
      </w:r>
      <w:r w:rsidRPr="001863DB">
        <w:rPr>
          <w:lang w:val="es-CR"/>
        </w:rPr>
        <w:t xml:space="preserve"> </w:t>
      </w:r>
      <w:r w:rsidRPr="00C271B5">
        <w:rPr>
          <w:i/>
          <w:lang w:val="es-CR"/>
        </w:rPr>
        <w:t xml:space="preserve">y otros </w:t>
      </w:r>
      <w:r w:rsidRPr="00C271B5">
        <w:rPr>
          <w:lang w:val="es-CR"/>
        </w:rPr>
        <w:t xml:space="preserve">y </w:t>
      </w:r>
      <w:r w:rsidRPr="00C271B5">
        <w:rPr>
          <w:i/>
          <w:snapToGrid w:val="0"/>
          <w:lang w:val="es-CR"/>
        </w:rPr>
        <w:t xml:space="preserve">Celientje Martina Joeroeja-Koewie y otros v. Surinam </w:t>
      </w:r>
      <w:r w:rsidRPr="00C271B5">
        <w:rPr>
          <w:i/>
          <w:lang w:val="es-CR"/>
        </w:rPr>
        <w:t>&amp; Surinam Stone &amp; Industries N.V</w:t>
      </w:r>
      <w:r w:rsidRPr="00C271B5">
        <w:rPr>
          <w:i/>
          <w:snapToGrid w:val="0"/>
          <w:lang w:val="es-CR"/>
        </w:rPr>
        <w:t xml:space="preserve">.; </w:t>
      </w:r>
      <w:r w:rsidRPr="00C271B5">
        <w:rPr>
          <w:snapToGrid w:val="0"/>
          <w:lang w:val="es-CR"/>
        </w:rPr>
        <w:t>e) peticiones formales ante el Presidente de Surinam en tres oportunidades (2003, 2004 y 2005) con base en el artículo 22 de la Constitución (derecho de petición) para lograr el reconocimiento de su territorio; f) reuniones con altas autoridades en 2003, y g) peticiones interpuestas por la organización CLIM en nombre de los Pueblos y por los Capitanes de los ocho Pueblos del Bajo Marowijne en cuatro oportunidades (2004, 2006, 2007, 2013) solicitando la suspensión de entrega de títulos en la zona de Tuinstad Albina o de cualquier otra actividad que afectara su territorio, así como la impugnación de la construcción de una casa, una estación de gasolina, un centro comercial y un casino.</w:t>
      </w:r>
    </w:p>
  </w:footnote>
  <w:footnote w:id="194">
    <w:p w14:paraId="7B564B66" w14:textId="77777777" w:rsidR="00247DB8" w:rsidRPr="00C271B5" w:rsidRDefault="00247DB8" w:rsidP="00AA7575">
      <w:pPr>
        <w:tabs>
          <w:tab w:val="left" w:pos="567"/>
        </w:tabs>
        <w:spacing w:afterLines="40" w:after="96"/>
        <w:jc w:val="both"/>
        <w:rPr>
          <w:rFonts w:ascii="Verdana" w:hAnsi="Verdana"/>
          <w:sz w:val="16"/>
          <w:szCs w:val="16"/>
          <w:lang w:val="es-CR"/>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cs="Arial"/>
          <w:i/>
          <w:sz w:val="16"/>
          <w:szCs w:val="16"/>
          <w:lang w:val="es-CR"/>
        </w:rPr>
        <w:t>Cfr.</w:t>
      </w:r>
      <w:r w:rsidRPr="00C271B5">
        <w:rPr>
          <w:rFonts w:ascii="Verdana" w:hAnsi="Verdana" w:cs="Arial"/>
          <w:sz w:val="16"/>
          <w:szCs w:val="16"/>
          <w:lang w:val="es-CR"/>
        </w:rPr>
        <w:t xml:space="preserve"> </w:t>
      </w:r>
      <w:r w:rsidRPr="00606243">
        <w:rPr>
          <w:rFonts w:ascii="Verdana" w:hAnsi="Verdana" w:cs="Arial"/>
          <w:bCs/>
          <w:i/>
          <w:sz w:val="16"/>
          <w:szCs w:val="16"/>
          <w:lang w:val="es-CR"/>
        </w:rPr>
        <w:t xml:space="preserve">Caso de la Comunidad Mayagna (Sumo) Awas Tingni, supra, </w:t>
      </w:r>
      <w:r w:rsidRPr="00606243">
        <w:rPr>
          <w:rFonts w:ascii="Verdana" w:hAnsi="Verdana" w:cs="Arial"/>
          <w:bCs/>
          <w:sz w:val="16"/>
          <w:szCs w:val="16"/>
          <w:lang w:val="es-CR"/>
        </w:rPr>
        <w:t>párr. 153</w:t>
      </w:r>
      <w:r w:rsidRPr="00C271B5">
        <w:rPr>
          <w:rFonts w:ascii="Verdana" w:hAnsi="Verdana"/>
          <w:sz w:val="16"/>
          <w:szCs w:val="16"/>
          <w:lang w:val="es-CR"/>
        </w:rPr>
        <w:t xml:space="preserve">, y </w:t>
      </w:r>
      <w:r w:rsidRPr="00C271B5">
        <w:rPr>
          <w:rFonts w:ascii="Verdana" w:hAnsi="Verdana"/>
          <w:i/>
          <w:sz w:val="16"/>
          <w:szCs w:val="16"/>
          <w:lang w:val="es-CR"/>
        </w:rPr>
        <w:t>Caso Comunidad Garífuna de Punta Piedra y sus miembros, supra,</w:t>
      </w:r>
      <w:r w:rsidRPr="00C271B5">
        <w:rPr>
          <w:rFonts w:ascii="Verdana" w:hAnsi="Verdana"/>
          <w:sz w:val="16"/>
          <w:szCs w:val="16"/>
          <w:lang w:val="es-CR"/>
        </w:rPr>
        <w:t xml:space="preserve"> párr. 233. </w:t>
      </w:r>
    </w:p>
  </w:footnote>
  <w:footnote w:id="195">
    <w:p w14:paraId="38977560" w14:textId="77777777" w:rsidR="00247DB8" w:rsidRPr="00606243" w:rsidRDefault="00247DB8" w:rsidP="00AA7575">
      <w:pPr>
        <w:pStyle w:val="FootnoteText"/>
        <w:spacing w:afterLines="40" w:after="96"/>
        <w:rPr>
          <w:lang w:val="es-CR"/>
        </w:rPr>
      </w:pPr>
      <w:r w:rsidRPr="00C271B5">
        <w:rPr>
          <w:rStyle w:val="FootnoteReference"/>
          <w:sz w:val="16"/>
        </w:rPr>
        <w:footnoteRef/>
      </w:r>
      <w:r w:rsidRPr="00C271B5">
        <w:rPr>
          <w:lang w:val="es-CR"/>
        </w:rPr>
        <w:t xml:space="preserve"> </w:t>
      </w:r>
      <w:r w:rsidRPr="00C271B5">
        <w:rPr>
          <w:lang w:val="es-CR"/>
        </w:rPr>
        <w:tab/>
      </w:r>
      <w:r w:rsidRPr="007E20F9">
        <w:rPr>
          <w:i/>
          <w:lang w:val="es-CR"/>
        </w:rPr>
        <w:t xml:space="preserve">Cfr. </w:t>
      </w:r>
      <w:r w:rsidRPr="007E20F9">
        <w:rPr>
          <w:i/>
        </w:rPr>
        <w:t>Caso Comunidad Indígena Xákmok Kásek, supra,</w:t>
      </w:r>
      <w:r w:rsidRPr="00C271B5">
        <w:t xml:space="preserve"> párrs. 115 y</w:t>
      </w:r>
      <w:r w:rsidRPr="00606243">
        <w:t xml:space="preserve"> 116.</w:t>
      </w:r>
    </w:p>
  </w:footnote>
  <w:footnote w:id="196">
    <w:p w14:paraId="257EBE51"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lang w:val="es-MX"/>
        </w:rPr>
        <w:t xml:space="preserve">Cfr. </w:t>
      </w:r>
      <w:r w:rsidRPr="007E20F9">
        <w:rPr>
          <w:i/>
        </w:rPr>
        <w:t>Caso Comunidad Indígena Yakye Axa</w:t>
      </w:r>
      <w:r w:rsidRPr="00C271B5">
        <w:rPr>
          <w:rStyle w:val="Strong"/>
          <w:b w:val="0"/>
          <w:i/>
          <w:lang w:val="es-CR"/>
        </w:rPr>
        <w:t xml:space="preserve">, supra, </w:t>
      </w:r>
      <w:r w:rsidRPr="00C271B5">
        <w:t>párr. 143</w:t>
      </w:r>
      <w:r w:rsidRPr="00606243">
        <w:t xml:space="preserve">, y </w:t>
      </w:r>
      <w:r w:rsidRPr="007E20F9">
        <w:rPr>
          <w:i/>
        </w:rPr>
        <w:t>Caso del Pueblo Saramaka, supra,</w:t>
      </w:r>
      <w:r w:rsidRPr="00C271B5">
        <w:t xml:space="preserve"> </w:t>
      </w:r>
      <w:r w:rsidRPr="00C271B5">
        <w:rPr>
          <w:lang w:val="es-CR"/>
        </w:rPr>
        <w:t>párr. 89</w:t>
      </w:r>
      <w:r w:rsidRPr="00606243">
        <w:t>.</w:t>
      </w:r>
    </w:p>
  </w:footnote>
  <w:footnote w:id="197">
    <w:p w14:paraId="0A57E61F" w14:textId="77777777" w:rsidR="00247DB8" w:rsidRPr="00C271B5" w:rsidRDefault="00247DB8" w:rsidP="00AA7575">
      <w:pPr>
        <w:pStyle w:val="Default"/>
        <w:tabs>
          <w:tab w:val="left" w:pos="567"/>
        </w:tabs>
        <w:spacing w:afterLines="40" w:after="96"/>
        <w:jc w:val="both"/>
        <w:rPr>
          <w:rFonts w:ascii="Verdana" w:hAnsi="Verdana"/>
          <w:sz w:val="16"/>
          <w:szCs w:val="16"/>
          <w:lang w:val="es-MX"/>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ES_tradnl"/>
        </w:rPr>
        <w:t>Cfr.</w:t>
      </w:r>
      <w:r w:rsidRPr="00C271B5">
        <w:rPr>
          <w:rFonts w:ascii="Verdana" w:hAnsi="Verdana"/>
          <w:sz w:val="16"/>
          <w:szCs w:val="16"/>
          <w:lang w:val="es-ES_tradnl"/>
        </w:rPr>
        <w:t xml:space="preserve"> </w:t>
      </w:r>
      <w:r w:rsidRPr="00606243">
        <w:rPr>
          <w:rStyle w:val="Strong"/>
          <w:rFonts w:ascii="Verdana" w:hAnsi="Verdana"/>
          <w:b w:val="0"/>
          <w:i/>
          <w:sz w:val="16"/>
          <w:szCs w:val="16"/>
          <w:lang w:val="es-CR"/>
        </w:rPr>
        <w:t>Caso Comunidad Indígena Yakye Axa</w:t>
      </w:r>
      <w:r w:rsidRPr="00606243">
        <w:rPr>
          <w:rStyle w:val="Strong"/>
          <w:rFonts w:ascii="Verdana" w:hAnsi="Verdana"/>
          <w:b w:val="0"/>
          <w:sz w:val="16"/>
          <w:szCs w:val="16"/>
          <w:lang w:val="es-CR"/>
        </w:rPr>
        <w:t xml:space="preserve">, </w:t>
      </w:r>
      <w:r w:rsidRPr="00606243">
        <w:rPr>
          <w:rStyle w:val="Strong"/>
          <w:rFonts w:ascii="Verdana" w:hAnsi="Verdana"/>
          <w:b w:val="0"/>
          <w:i/>
          <w:sz w:val="16"/>
          <w:szCs w:val="16"/>
          <w:lang w:val="es-CR"/>
        </w:rPr>
        <w:t>supra,</w:t>
      </w:r>
      <w:r w:rsidRPr="00606243">
        <w:rPr>
          <w:rStyle w:val="Strong"/>
          <w:rFonts w:ascii="Verdana" w:hAnsi="Verdana"/>
          <w:b w:val="0"/>
          <w:sz w:val="16"/>
          <w:szCs w:val="16"/>
          <w:lang w:val="es-CR"/>
        </w:rPr>
        <w:t xml:space="preserve"> párr. 144 y 146, y</w:t>
      </w:r>
      <w:r w:rsidRPr="001863DB">
        <w:rPr>
          <w:rStyle w:val="Strong"/>
          <w:rFonts w:ascii="Verdana" w:hAnsi="Verdana"/>
          <w:b w:val="0"/>
          <w:sz w:val="16"/>
          <w:szCs w:val="16"/>
          <w:lang w:val="es-CR"/>
        </w:rPr>
        <w:t xml:space="preserve"> </w:t>
      </w:r>
      <w:r w:rsidRPr="001863DB">
        <w:rPr>
          <w:rStyle w:val="Strong"/>
          <w:rFonts w:ascii="Verdana" w:hAnsi="Verdana"/>
          <w:b w:val="0"/>
          <w:i/>
          <w:sz w:val="16"/>
          <w:szCs w:val="16"/>
          <w:lang w:val="es-CR"/>
        </w:rPr>
        <w:t>Caso Pueblo Indígena Kichwa de Sarayaku</w:t>
      </w:r>
      <w:r w:rsidRPr="00C271B5">
        <w:rPr>
          <w:rStyle w:val="Strong"/>
          <w:rFonts w:ascii="Verdana" w:hAnsi="Verdana"/>
          <w:b w:val="0"/>
          <w:sz w:val="16"/>
          <w:szCs w:val="16"/>
          <w:lang w:val="es-CR"/>
        </w:rPr>
        <w:t xml:space="preserve">, </w:t>
      </w:r>
      <w:r w:rsidRPr="007E20F9">
        <w:rPr>
          <w:rStyle w:val="Strong"/>
          <w:rFonts w:ascii="Verdana" w:hAnsi="Verdana"/>
          <w:b w:val="0"/>
          <w:i/>
          <w:sz w:val="16"/>
          <w:szCs w:val="16"/>
          <w:lang w:val="es-CR"/>
        </w:rPr>
        <w:t>supra</w:t>
      </w:r>
      <w:r>
        <w:rPr>
          <w:rStyle w:val="Strong"/>
          <w:rFonts w:ascii="Verdana" w:hAnsi="Verdana"/>
          <w:b w:val="0"/>
          <w:sz w:val="16"/>
          <w:szCs w:val="16"/>
          <w:lang w:val="es-CR"/>
        </w:rPr>
        <w:t>, párr. 156.</w:t>
      </w:r>
      <w:r w:rsidRPr="00C271B5">
        <w:rPr>
          <w:rStyle w:val="Strong"/>
          <w:rFonts w:ascii="Verdana" w:hAnsi="Verdana"/>
          <w:b w:val="0"/>
          <w:sz w:val="16"/>
          <w:szCs w:val="16"/>
          <w:lang w:val="es-CR"/>
        </w:rPr>
        <w:t xml:space="preserve"> Sobre el juicio de proporcionalidad puede verse en el mismo sentido: </w:t>
      </w:r>
      <w:r w:rsidRPr="00C271B5">
        <w:rPr>
          <w:rFonts w:ascii="Verdana" w:hAnsi="Verdana"/>
          <w:i/>
          <w:iCs/>
          <w:sz w:val="16"/>
          <w:szCs w:val="16"/>
          <w:lang w:val="es-MX"/>
        </w:rPr>
        <w:t xml:space="preserve">Caso Kimel Vs. Argentina. Fondo, Reparaciones y Costas. </w:t>
      </w:r>
      <w:r w:rsidRPr="00C271B5">
        <w:rPr>
          <w:rFonts w:ascii="Verdana" w:hAnsi="Verdana"/>
          <w:sz w:val="16"/>
          <w:szCs w:val="16"/>
          <w:lang w:val="es-MX"/>
        </w:rPr>
        <w:t xml:space="preserve">Sentencia de 2 de mayo de 2008. Serie C No. 177, párr. 51, y </w:t>
      </w:r>
      <w:r w:rsidRPr="00C271B5">
        <w:rPr>
          <w:rFonts w:ascii="Verdana" w:hAnsi="Verdana"/>
          <w:sz w:val="16"/>
          <w:szCs w:val="16"/>
          <w:lang w:val="es-CR"/>
        </w:rPr>
        <w:t>C</w:t>
      </w:r>
      <w:r w:rsidRPr="00C271B5">
        <w:rPr>
          <w:rStyle w:val="Strong"/>
          <w:rFonts w:ascii="Verdana" w:hAnsi="Verdana"/>
          <w:b w:val="0"/>
          <w:i/>
          <w:sz w:val="16"/>
          <w:szCs w:val="16"/>
          <w:lang w:val="es-CR"/>
        </w:rPr>
        <w:t>aso Mémoli Vs. Argentina. Excepciones Preliminares, Fondo, Reparaciones y Costas</w:t>
      </w:r>
      <w:r w:rsidRPr="00C271B5">
        <w:rPr>
          <w:rStyle w:val="Strong"/>
          <w:rFonts w:ascii="Verdana" w:hAnsi="Verdana"/>
          <w:b w:val="0"/>
          <w:sz w:val="16"/>
          <w:szCs w:val="16"/>
          <w:lang w:val="es-CR"/>
        </w:rPr>
        <w:t xml:space="preserve">. Sentencia de 22 de agosto de 2013. Serie C No. 265, párr. </w:t>
      </w:r>
      <w:r w:rsidRPr="00C271B5">
        <w:rPr>
          <w:rStyle w:val="Strong"/>
          <w:rFonts w:ascii="Verdana" w:hAnsi="Verdana"/>
          <w:b w:val="0"/>
          <w:sz w:val="16"/>
          <w:szCs w:val="16"/>
          <w:lang w:val="es-MX"/>
        </w:rPr>
        <w:t>127 y ss</w:t>
      </w:r>
      <w:r w:rsidRPr="00C271B5">
        <w:rPr>
          <w:rFonts w:ascii="Verdana" w:hAnsi="Verdana"/>
          <w:sz w:val="16"/>
          <w:szCs w:val="16"/>
          <w:lang w:val="es-MX"/>
        </w:rPr>
        <w:t xml:space="preserve">. </w:t>
      </w:r>
    </w:p>
  </w:footnote>
  <w:footnote w:id="198">
    <w:p w14:paraId="6923EBAE"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Comunidad Indígena Yakye Axa, supra,</w:t>
      </w:r>
      <w:r w:rsidRPr="00C271B5">
        <w:t xml:space="preserve"> párrs. 144</w:t>
      </w:r>
      <w:r w:rsidRPr="00606243">
        <w:t xml:space="preserve"> y 145</w:t>
      </w:r>
      <w:r w:rsidRPr="001863DB">
        <w:t xml:space="preserve">, y </w:t>
      </w:r>
      <w:r w:rsidRPr="00C271B5">
        <w:rPr>
          <w:rStyle w:val="Strong"/>
          <w:b w:val="0"/>
          <w:i/>
          <w:lang w:val="es-CR"/>
        </w:rPr>
        <w:t>Caso Pueblo Indígena Kichwa de Sarayaku, supra,</w:t>
      </w:r>
      <w:r w:rsidRPr="00C271B5">
        <w:t xml:space="preserve"> párr. 156.</w:t>
      </w:r>
    </w:p>
  </w:footnote>
  <w:footnote w:id="199">
    <w:p w14:paraId="221569CC"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 xml:space="preserve">Cfr. Caso Comunidad Indígena Yakye Axa, supra, </w:t>
      </w:r>
      <w:r w:rsidRPr="00C271B5">
        <w:t>párrs. 146 a 148</w:t>
      </w:r>
      <w:r w:rsidRPr="00606243">
        <w:t xml:space="preserve">, y </w:t>
      </w:r>
      <w:r w:rsidRPr="007E20F9">
        <w:rPr>
          <w:i/>
        </w:rPr>
        <w:t>Caso Pueblo Indígena Kichwa de Sarayaku, supra</w:t>
      </w:r>
      <w:r w:rsidRPr="00C271B5">
        <w:t>, párr. 156.</w:t>
      </w:r>
    </w:p>
  </w:footnote>
  <w:footnote w:id="200">
    <w:p w14:paraId="2A888D0E" w14:textId="77777777" w:rsidR="00247DB8" w:rsidRPr="00C271B5" w:rsidRDefault="00247DB8" w:rsidP="00AA7575">
      <w:pPr>
        <w:tabs>
          <w:tab w:val="left" w:pos="567"/>
        </w:tabs>
        <w:spacing w:afterLines="40" w:after="96"/>
        <w:jc w:val="both"/>
        <w:rPr>
          <w:rFonts w:ascii="Verdana" w:hAnsi="Verdana"/>
          <w:sz w:val="16"/>
          <w:szCs w:val="16"/>
          <w:lang w:val="es-MX"/>
        </w:rPr>
      </w:pPr>
      <w:r w:rsidRPr="00C271B5">
        <w:rPr>
          <w:rStyle w:val="FootnoteReference"/>
          <w:sz w:val="16"/>
          <w:szCs w:val="16"/>
        </w:rPr>
        <w:footnoteRef/>
      </w:r>
      <w:r w:rsidRPr="00C271B5">
        <w:rPr>
          <w:rFonts w:ascii="Verdana" w:hAnsi="Verdana"/>
          <w:sz w:val="16"/>
          <w:szCs w:val="16"/>
          <w:lang w:val="es-PE"/>
        </w:rPr>
        <w:t xml:space="preserve"> </w:t>
      </w:r>
      <w:r w:rsidRPr="00C271B5">
        <w:rPr>
          <w:rFonts w:ascii="Verdana" w:hAnsi="Verdana"/>
          <w:sz w:val="16"/>
          <w:szCs w:val="16"/>
          <w:lang w:val="es-PE"/>
        </w:rPr>
        <w:tab/>
        <w:t>E</w:t>
      </w:r>
      <w:r w:rsidRPr="00C271B5">
        <w:rPr>
          <w:rFonts w:ascii="Verdana" w:hAnsi="Verdana"/>
          <w:sz w:val="16"/>
          <w:szCs w:val="16"/>
          <w:lang w:val="es-CR"/>
        </w:rPr>
        <w:t>l artículo 21.1 de la Convención dispone que “[l]a ley puede subordinar [el] uso y goce [de los bienes] al interés social”. La necesidad de las restricciones legalmente contempladas d</w:t>
      </w:r>
      <w:r w:rsidRPr="00606243">
        <w:rPr>
          <w:rFonts w:ascii="Verdana" w:hAnsi="Verdana"/>
          <w:sz w:val="16"/>
          <w:szCs w:val="16"/>
          <w:lang w:val="es-CR"/>
        </w:rPr>
        <w:t>ependerá de que estén orientadas a satisfacer un interés público imperativo, siendo insuficiente que se demuestre, por ejemplo, que la ley cumple un propósito útil u oportuno. La proporcionalidad radica en que la restricción debe ajustarse estrechamente al logro de un legítimo objetivo, interfiriendo en la menor medida posible en el efectivo ejercicio del derecho restringido. Finalmente, para que sean compatibles con la Convención las restricciones deben justificarse según objetivos colectivos que, por su importancia, preponderen claramente sobre la necesidad del pleno goce del derecho restringido</w:t>
      </w:r>
      <w:r w:rsidRPr="00606243">
        <w:rPr>
          <w:rFonts w:ascii="Verdana" w:hAnsi="Verdana"/>
          <w:sz w:val="16"/>
          <w:szCs w:val="16"/>
          <w:lang w:val="es-PE"/>
        </w:rPr>
        <w:t xml:space="preserve">. </w:t>
      </w:r>
      <w:r w:rsidRPr="00606243">
        <w:rPr>
          <w:rFonts w:ascii="Verdana" w:hAnsi="Verdana"/>
          <w:i/>
          <w:sz w:val="16"/>
          <w:szCs w:val="16"/>
          <w:lang w:val="es-PE"/>
        </w:rPr>
        <w:t>Cfr.</w:t>
      </w:r>
      <w:r w:rsidRPr="001863DB">
        <w:rPr>
          <w:rFonts w:ascii="Verdana" w:hAnsi="Verdana"/>
          <w:sz w:val="16"/>
          <w:szCs w:val="16"/>
          <w:lang w:val="es-PE"/>
        </w:rPr>
        <w:t xml:space="preserve"> </w:t>
      </w:r>
      <w:r w:rsidRPr="001863DB">
        <w:rPr>
          <w:rFonts w:ascii="Verdana" w:hAnsi="Verdana"/>
          <w:i/>
          <w:color w:val="000000"/>
          <w:sz w:val="16"/>
          <w:szCs w:val="16"/>
          <w:lang w:val="es-PE"/>
        </w:rPr>
        <w:t>Caso Comunidad Indígena Yakye Axa</w:t>
      </w:r>
      <w:r w:rsidRPr="00C271B5">
        <w:rPr>
          <w:rFonts w:ascii="Verdana" w:hAnsi="Verdana"/>
          <w:color w:val="000000"/>
          <w:sz w:val="16"/>
          <w:szCs w:val="16"/>
          <w:lang w:val="es-PE"/>
        </w:rPr>
        <w:t xml:space="preserve">, </w:t>
      </w:r>
      <w:r w:rsidRPr="00C271B5">
        <w:rPr>
          <w:rFonts w:ascii="Verdana" w:hAnsi="Verdana"/>
          <w:i/>
          <w:color w:val="000000"/>
          <w:sz w:val="16"/>
          <w:szCs w:val="16"/>
          <w:lang w:val="es-PE"/>
        </w:rPr>
        <w:t>supra</w:t>
      </w:r>
      <w:r w:rsidRPr="00C271B5">
        <w:rPr>
          <w:rFonts w:ascii="Verdana" w:hAnsi="Verdana"/>
          <w:color w:val="000000"/>
          <w:sz w:val="16"/>
          <w:szCs w:val="16"/>
          <w:lang w:val="es-PE"/>
        </w:rPr>
        <w:t>, párr.145 y ss.</w:t>
      </w:r>
    </w:p>
  </w:footnote>
  <w:footnote w:id="201">
    <w:p w14:paraId="539812AC" w14:textId="10365135" w:rsidR="00247DB8" w:rsidRPr="00606243" w:rsidRDefault="00247DB8" w:rsidP="00AA7575">
      <w:pPr>
        <w:pStyle w:val="FootnoteText"/>
        <w:spacing w:afterLines="40" w:after="96"/>
        <w:rPr>
          <w:lang w:val="es-CR"/>
        </w:rPr>
      </w:pPr>
      <w:r w:rsidRPr="00C271B5">
        <w:rPr>
          <w:rStyle w:val="FootnoteReference"/>
          <w:sz w:val="16"/>
        </w:rPr>
        <w:footnoteRef/>
      </w:r>
      <w:r w:rsidRPr="00C271B5">
        <w:rPr>
          <w:lang w:val="es-CR"/>
        </w:rPr>
        <w:t xml:space="preserve"> </w:t>
      </w:r>
      <w:r w:rsidRPr="00C271B5">
        <w:rPr>
          <w:lang w:val="es-CR"/>
        </w:rPr>
        <w:tab/>
      </w:r>
      <w:r w:rsidRPr="007E20F9">
        <w:rPr>
          <w:i/>
        </w:rPr>
        <w:t>Cfr. Caso Comunidad Indígena Sawhoyamaxa, supra</w:t>
      </w:r>
      <w:r w:rsidRPr="00C271B5">
        <w:t xml:space="preserve">, párr. 136 y </w:t>
      </w:r>
      <w:r w:rsidRPr="007E20F9">
        <w:rPr>
          <w:i/>
        </w:rPr>
        <w:t>Caso de los Pueblos Indígenas Kuna de Madungandí y Emberá de Bayano y sus miembros, supra,</w:t>
      </w:r>
      <w:r w:rsidRPr="00C271B5">
        <w:t xml:space="preserve"> párr. 144</w:t>
      </w:r>
      <w:r w:rsidRPr="00606243">
        <w:t>.</w:t>
      </w:r>
    </w:p>
  </w:footnote>
  <w:footnote w:id="202">
    <w:p w14:paraId="0C11405B" w14:textId="77777777" w:rsidR="00247DB8" w:rsidRPr="00C271B5" w:rsidRDefault="00247DB8" w:rsidP="00AA7575">
      <w:pPr>
        <w:tabs>
          <w:tab w:val="left" w:pos="567"/>
        </w:tabs>
        <w:spacing w:afterLines="40" w:after="96"/>
        <w:jc w:val="both"/>
        <w:rPr>
          <w:rFonts w:ascii="Verdana" w:hAnsi="Verdana"/>
          <w:sz w:val="16"/>
          <w:szCs w:val="16"/>
          <w:lang w:val="es-MX"/>
        </w:rPr>
      </w:pPr>
      <w:r w:rsidRPr="00C271B5">
        <w:rPr>
          <w:rStyle w:val="FootnoteReference"/>
          <w:sz w:val="16"/>
          <w:szCs w:val="16"/>
        </w:rPr>
        <w:footnoteRef/>
      </w:r>
      <w:r w:rsidRPr="00C271B5">
        <w:rPr>
          <w:rFonts w:ascii="Verdana" w:hAnsi="Verdana"/>
          <w:sz w:val="16"/>
          <w:szCs w:val="16"/>
          <w:lang w:val="es-PE"/>
        </w:rPr>
        <w:t xml:space="preserve"> </w:t>
      </w:r>
      <w:r w:rsidRPr="00C271B5">
        <w:rPr>
          <w:rFonts w:ascii="Verdana" w:hAnsi="Verdana"/>
          <w:sz w:val="16"/>
          <w:szCs w:val="16"/>
          <w:lang w:val="es-PE"/>
        </w:rPr>
        <w:tab/>
      </w:r>
      <w:r w:rsidRPr="00C271B5">
        <w:rPr>
          <w:rFonts w:ascii="Verdana" w:hAnsi="Verdana"/>
          <w:sz w:val="16"/>
          <w:szCs w:val="16"/>
          <w:lang w:val="es-CR"/>
        </w:rPr>
        <w:t>Los Estados deben tener en cuenta que los derechos territoriales indígenas abarcan un concepto más amplio y diferente que está relacionado con el derecho colectivo a la supervivencia como pueblo organizado, con el control de su hábitat como una condición necesaria para la reproducción de su cultura, para su propio desarrollo y para llevar a cabo sus planes de vida. La propiedad sobre la tierra garantiza que los miembros de las comun</w:t>
      </w:r>
      <w:r w:rsidRPr="00606243">
        <w:rPr>
          <w:rFonts w:ascii="Verdana" w:hAnsi="Verdana"/>
          <w:sz w:val="16"/>
          <w:szCs w:val="16"/>
          <w:lang w:val="es-CR"/>
        </w:rPr>
        <w:t xml:space="preserve">idades indígenas conserven su patrimonio cultural. </w:t>
      </w:r>
      <w:r w:rsidRPr="00606243">
        <w:rPr>
          <w:rFonts w:ascii="Verdana" w:hAnsi="Verdana"/>
          <w:i/>
          <w:sz w:val="16"/>
          <w:szCs w:val="16"/>
          <w:lang w:val="es-CR"/>
        </w:rPr>
        <w:t>Cfr.</w:t>
      </w:r>
      <w:r w:rsidRPr="00606243">
        <w:rPr>
          <w:rFonts w:ascii="Verdana" w:hAnsi="Verdana"/>
          <w:sz w:val="16"/>
          <w:szCs w:val="16"/>
          <w:lang w:val="es-CR"/>
        </w:rPr>
        <w:t xml:space="preserve"> </w:t>
      </w:r>
      <w:r w:rsidRPr="00606243">
        <w:rPr>
          <w:rFonts w:ascii="Verdana" w:hAnsi="Verdana"/>
          <w:i/>
          <w:sz w:val="16"/>
          <w:szCs w:val="16"/>
          <w:lang w:val="es-MX"/>
        </w:rPr>
        <w:t>Caso Comunidad Indígena Yakye Axa</w:t>
      </w:r>
      <w:r w:rsidRPr="00606243">
        <w:rPr>
          <w:rFonts w:ascii="Verdana" w:hAnsi="Verdana"/>
          <w:sz w:val="16"/>
          <w:szCs w:val="16"/>
          <w:lang w:val="es-MX"/>
        </w:rPr>
        <w:t xml:space="preserve">, </w:t>
      </w:r>
      <w:r w:rsidRPr="001863DB">
        <w:rPr>
          <w:rFonts w:ascii="Verdana" w:hAnsi="Verdana"/>
          <w:i/>
          <w:sz w:val="16"/>
          <w:szCs w:val="16"/>
          <w:lang w:val="es-MX"/>
        </w:rPr>
        <w:t>supra</w:t>
      </w:r>
      <w:r w:rsidRPr="001863DB">
        <w:rPr>
          <w:rFonts w:ascii="Verdana" w:hAnsi="Verdana"/>
          <w:sz w:val="16"/>
          <w:szCs w:val="16"/>
          <w:lang w:val="es-MX"/>
        </w:rPr>
        <w:t>, párr. 146</w:t>
      </w:r>
      <w:r w:rsidRPr="00C271B5">
        <w:rPr>
          <w:rFonts w:ascii="Verdana" w:hAnsi="Verdana"/>
          <w:sz w:val="16"/>
          <w:szCs w:val="16"/>
          <w:lang w:val="es-MX"/>
        </w:rPr>
        <w:t xml:space="preserve">, y </w:t>
      </w:r>
      <w:r w:rsidRPr="004B0145">
        <w:rPr>
          <w:rFonts w:ascii="Verdana" w:eastAsia="Batang" w:hAnsi="Verdana"/>
          <w:i/>
          <w:sz w:val="16"/>
          <w:szCs w:val="16"/>
          <w:lang w:val="es-ES" w:eastAsia="es-ES"/>
        </w:rPr>
        <w:t>Caso Pueblo Indígena Kichwa de Sarayaku,</w:t>
      </w:r>
      <w:r w:rsidRPr="007E20F9">
        <w:rPr>
          <w:rFonts w:ascii="Verdana" w:eastAsia="Batang" w:hAnsi="Verdana"/>
          <w:sz w:val="16"/>
          <w:szCs w:val="16"/>
          <w:lang w:val="es-ES" w:eastAsia="es-ES"/>
        </w:rPr>
        <w:t xml:space="preserve"> </w:t>
      </w:r>
      <w:r w:rsidRPr="00FC757D">
        <w:rPr>
          <w:rFonts w:ascii="Verdana" w:eastAsia="Batang" w:hAnsi="Verdana"/>
          <w:i/>
          <w:sz w:val="16"/>
          <w:szCs w:val="16"/>
          <w:lang w:val="es-ES" w:eastAsia="es-ES"/>
        </w:rPr>
        <w:t>supra</w:t>
      </w:r>
      <w:r w:rsidRPr="007E20F9">
        <w:rPr>
          <w:rFonts w:ascii="Verdana" w:eastAsia="Batang" w:hAnsi="Verdana"/>
          <w:sz w:val="16"/>
          <w:szCs w:val="16"/>
          <w:lang w:val="es-ES" w:eastAsia="es-ES"/>
        </w:rPr>
        <w:t>,</w:t>
      </w:r>
      <w:r w:rsidRPr="007E20F9">
        <w:rPr>
          <w:rFonts w:ascii="Verdana" w:hAnsi="Verdana"/>
          <w:sz w:val="16"/>
          <w:szCs w:val="16"/>
        </w:rPr>
        <w:t xml:space="preserve"> </w:t>
      </w:r>
      <w:r w:rsidRPr="007E20F9">
        <w:rPr>
          <w:rFonts w:ascii="Verdana" w:eastAsia="Batang" w:hAnsi="Verdana"/>
          <w:sz w:val="16"/>
          <w:szCs w:val="16"/>
          <w:lang w:val="es-ES" w:eastAsia="es-ES"/>
        </w:rPr>
        <w:t>párrs. 145 y 146.</w:t>
      </w:r>
    </w:p>
  </w:footnote>
  <w:footnote w:id="203">
    <w:p w14:paraId="0CDE9DCE"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En caso contrario, el derecho a la devolución carecería de sentido y no ofrecería una posibilidad real de recuperar las tierras tradicionales, limitándose únicamente a esperar la voluntad de los tenedores actuales, y forzando a los indígenas a aceptar tierras alternativas o indemnizaciones pecuniarias. </w:t>
      </w:r>
      <w:r w:rsidRPr="00606243">
        <w:rPr>
          <w:i/>
        </w:rPr>
        <w:t>Cfr.</w:t>
      </w:r>
      <w:r w:rsidRPr="00606243">
        <w:t xml:space="preserve"> </w:t>
      </w:r>
      <w:r w:rsidRPr="00606243">
        <w:rPr>
          <w:i/>
        </w:rPr>
        <w:t>Caso Comunidad Indígena Sawhoyamaxa,</w:t>
      </w:r>
      <w:r w:rsidRPr="00606243">
        <w:t xml:space="preserve"> </w:t>
      </w:r>
      <w:r w:rsidRPr="00606243">
        <w:rPr>
          <w:i/>
        </w:rPr>
        <w:t>supra</w:t>
      </w:r>
      <w:r w:rsidRPr="00606243">
        <w:t>, párr. 138</w:t>
      </w:r>
      <w:r w:rsidRPr="001863DB">
        <w:t xml:space="preserve">, y </w:t>
      </w:r>
      <w:r w:rsidRPr="00C271B5">
        <w:rPr>
          <w:i/>
        </w:rPr>
        <w:t>Caso Comunidad Indígena Xákmok Kásek, supra,</w:t>
      </w:r>
      <w:r w:rsidRPr="00C271B5">
        <w:t xml:space="preserve"> párr. 310.</w:t>
      </w:r>
    </w:p>
  </w:footnote>
  <w:footnote w:id="204">
    <w:p w14:paraId="5358AAE5"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del Pueblo Saramaka, supra,</w:t>
      </w:r>
      <w:r w:rsidRPr="00C271B5">
        <w:t xml:space="preserve"> párr. 173.</w:t>
      </w:r>
    </w:p>
  </w:footnote>
  <w:footnote w:id="205">
    <w:p w14:paraId="0BA102D7"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7E20F9">
        <w:rPr>
          <w:i/>
        </w:rPr>
        <w:t>Cfr. Caso Comunidad Indígena Yakye Axa, supra</w:t>
      </w:r>
      <w:r w:rsidRPr="00C271B5">
        <w:t>, párr. 149.</w:t>
      </w:r>
    </w:p>
  </w:footnote>
  <w:footnote w:id="206">
    <w:p w14:paraId="3AF697F2"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Comunidad Indígena Yakye Axa, supra</w:t>
      </w:r>
      <w:r w:rsidRPr="00C271B5">
        <w:t xml:space="preserve">, párr. 149, y </w:t>
      </w:r>
      <w:r w:rsidRPr="007E20F9">
        <w:rPr>
          <w:i/>
        </w:rPr>
        <w:t xml:space="preserve">Caso Comunidad Garífuna de Punta Piedra y sus </w:t>
      </w:r>
      <w:r w:rsidRPr="00606243">
        <w:rPr>
          <w:i/>
        </w:rPr>
        <w:t>miembros</w:t>
      </w:r>
      <w:r w:rsidRPr="007E20F9">
        <w:rPr>
          <w:i/>
        </w:rPr>
        <w:t>, supra</w:t>
      </w:r>
      <w:r w:rsidRPr="00C271B5">
        <w:t>, párr. 325</w:t>
      </w:r>
      <w:r w:rsidRPr="00606243">
        <w:t>.</w:t>
      </w:r>
    </w:p>
  </w:footnote>
  <w:footnote w:id="207">
    <w:p w14:paraId="212FEE57" w14:textId="77777777" w:rsidR="00247DB8" w:rsidRPr="00606243" w:rsidRDefault="00247DB8" w:rsidP="00AA7575">
      <w:pPr>
        <w:pStyle w:val="FootnoteText"/>
        <w:spacing w:afterLines="40" w:after="96"/>
        <w:rPr>
          <w:lang w:val="es-CR"/>
        </w:rPr>
      </w:pPr>
      <w:r w:rsidRPr="00C271B5">
        <w:rPr>
          <w:rStyle w:val="FootnoteReference"/>
          <w:sz w:val="16"/>
        </w:rPr>
        <w:footnoteRef/>
      </w:r>
      <w:r w:rsidRPr="00C271B5">
        <w:rPr>
          <w:lang w:val="es-CR"/>
        </w:rPr>
        <w:t xml:space="preserve"> </w:t>
      </w:r>
      <w:r w:rsidRPr="00C271B5">
        <w:rPr>
          <w:lang w:val="es-CR"/>
        </w:rPr>
        <w:tab/>
      </w:r>
      <w:r w:rsidRPr="007E20F9">
        <w:rPr>
          <w:i/>
        </w:rPr>
        <w:t>Cfr. Caso Comunidad Indígena Yakye Axa, supra,</w:t>
      </w:r>
      <w:r w:rsidRPr="00C271B5">
        <w:t xml:space="preserve"> párr. 217, y </w:t>
      </w:r>
      <w:r w:rsidRPr="007E20F9">
        <w:rPr>
          <w:i/>
        </w:rPr>
        <w:t xml:space="preserve">Caso Comunidad Garífuna de Punta Piedra y sus </w:t>
      </w:r>
      <w:r w:rsidRPr="00606243">
        <w:rPr>
          <w:i/>
        </w:rPr>
        <w:t>miembros</w:t>
      </w:r>
      <w:r w:rsidRPr="007E20F9">
        <w:rPr>
          <w:i/>
        </w:rPr>
        <w:t>, supra</w:t>
      </w:r>
      <w:r w:rsidRPr="00C271B5">
        <w:t xml:space="preserve">, párr. 324. </w:t>
      </w:r>
    </w:p>
  </w:footnote>
  <w:footnote w:id="208">
    <w:p w14:paraId="46D747C3"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lang w:val="es-CR"/>
        </w:rPr>
        <w:t xml:space="preserve">Cfr. </w:t>
      </w:r>
      <w:r w:rsidRPr="007E20F9">
        <w:rPr>
          <w:i/>
        </w:rPr>
        <w:t>Caso Comunidad Indígena Yakye Axa, supra</w:t>
      </w:r>
      <w:r w:rsidRPr="00C271B5">
        <w:t>, párr. 149</w:t>
      </w:r>
      <w:r w:rsidRPr="00606243">
        <w:t xml:space="preserve"> y 151, y </w:t>
      </w:r>
      <w:r w:rsidRPr="007E20F9">
        <w:rPr>
          <w:i/>
        </w:rPr>
        <w:t xml:space="preserve">Caso Comunidad Garífuna de Punta Piedra y sus </w:t>
      </w:r>
      <w:r w:rsidRPr="00606243">
        <w:rPr>
          <w:i/>
        </w:rPr>
        <w:t>miembros</w:t>
      </w:r>
      <w:r w:rsidRPr="007E20F9">
        <w:rPr>
          <w:i/>
        </w:rPr>
        <w:t>, supra,</w:t>
      </w:r>
      <w:r w:rsidRPr="00C271B5">
        <w:t xml:space="preserve"> párr. 325.</w:t>
      </w:r>
    </w:p>
  </w:footnote>
  <w:footnote w:id="209">
    <w:p w14:paraId="4BE8DA9B" w14:textId="0F7A5CB1" w:rsidR="00247DB8" w:rsidRPr="00606243" w:rsidRDefault="00247DB8" w:rsidP="00AA7575">
      <w:pPr>
        <w:pStyle w:val="FootnoteText"/>
        <w:spacing w:afterLines="40" w:after="96"/>
      </w:pPr>
      <w:r w:rsidRPr="00C271B5">
        <w:rPr>
          <w:rStyle w:val="FootnoteReference"/>
          <w:sz w:val="16"/>
        </w:rPr>
        <w:footnoteRef/>
      </w:r>
      <w:r w:rsidRPr="00C271B5">
        <w:t xml:space="preserve"> </w:t>
      </w:r>
      <w:r>
        <w:tab/>
      </w:r>
      <w:r w:rsidRPr="004B0145">
        <w:rPr>
          <w:i/>
        </w:rPr>
        <w:t>Caso Heliodoro Portugal Vs. Panamá. Excepciones Preliminares, Fondo, Reparaciones y Costas.</w:t>
      </w:r>
      <w:r w:rsidRPr="004B0145">
        <w:t xml:space="preserve"> Sentencia de 12 de agosto de 2008. Serie C No. 186, párr. 27, y </w:t>
      </w:r>
      <w:r w:rsidRPr="007021B4">
        <w:rPr>
          <w:i/>
        </w:rPr>
        <w:t>Caso de los Pueblos Indígenas Kuna de Madungandí y Emberá de Bayano y sus miembros, supra</w:t>
      </w:r>
      <w:r w:rsidRPr="007021B4">
        <w:t>, párr. 30</w:t>
      </w:r>
      <w:r w:rsidRPr="004B0145">
        <w:t>.</w:t>
      </w:r>
    </w:p>
  </w:footnote>
  <w:footnote w:id="210">
    <w:p w14:paraId="3F17532F" w14:textId="77777777" w:rsidR="00247DB8" w:rsidRPr="00C271B5" w:rsidRDefault="00247DB8" w:rsidP="00AA7575">
      <w:pPr>
        <w:pStyle w:val="FootnoteText"/>
        <w:spacing w:afterLines="40" w:after="96"/>
        <w:rPr>
          <w:rFonts w:eastAsiaTheme="minorHAnsi" w:cs="Arial"/>
          <w:highlight w:val="yellow"/>
        </w:rPr>
      </w:pPr>
      <w:r w:rsidRPr="00C271B5">
        <w:rPr>
          <w:rStyle w:val="FootnoteReference"/>
          <w:sz w:val="16"/>
        </w:rPr>
        <w:footnoteRef/>
      </w:r>
      <w:r w:rsidRPr="00C271B5">
        <w:t xml:space="preserve"> </w:t>
      </w:r>
      <w:r w:rsidRPr="00C271B5">
        <w:tab/>
      </w:r>
      <w:r w:rsidRPr="007E20F9">
        <w:rPr>
          <w:i/>
        </w:rPr>
        <w:t>Cfr.</w:t>
      </w:r>
      <w:r w:rsidRPr="00C271B5">
        <w:t xml:space="preserve"> </w:t>
      </w:r>
      <w:r w:rsidRPr="007E20F9">
        <w:rPr>
          <w:i/>
        </w:rPr>
        <w:t>Caso de la Comunidad Indígena Yakye Axa, supra,</w:t>
      </w:r>
      <w:r w:rsidRPr="00C271B5">
        <w:t xml:space="preserve"> </w:t>
      </w:r>
      <w:r w:rsidRPr="00606243">
        <w:t xml:space="preserve">párrs. 124, 135 y 137, y </w:t>
      </w:r>
      <w:r w:rsidRPr="007E20F9">
        <w:rPr>
          <w:i/>
        </w:rPr>
        <w:t xml:space="preserve">Caso Comunidad Garífuna de Punta Piedra y sus </w:t>
      </w:r>
      <w:r w:rsidRPr="00606243">
        <w:rPr>
          <w:i/>
        </w:rPr>
        <w:t>miembros</w:t>
      </w:r>
      <w:r w:rsidRPr="007E20F9">
        <w:rPr>
          <w:i/>
        </w:rPr>
        <w:t xml:space="preserve">, supra, </w:t>
      </w:r>
      <w:r w:rsidRPr="007E20F9">
        <w:t>párr. 167.</w:t>
      </w:r>
      <w:r w:rsidRPr="007E20F9">
        <w:rPr>
          <w:i/>
        </w:rPr>
        <w:t xml:space="preserve"> </w:t>
      </w:r>
    </w:p>
  </w:footnote>
  <w:footnote w:id="211">
    <w:p w14:paraId="7CDF1AF8"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7E20F9">
        <w:rPr>
          <w:i/>
        </w:rPr>
        <w:t>Cfr. Comunidad Indígena Yakye Axa, supra,</w:t>
      </w:r>
      <w:r w:rsidRPr="00C271B5">
        <w:t xml:space="preserve"> párrs. 135 y 137, y </w:t>
      </w:r>
      <w:r w:rsidRPr="007E20F9">
        <w:rPr>
          <w:i/>
        </w:rPr>
        <w:t xml:space="preserve">Caso Comunidad Garífuna de Punta Piedra y sus </w:t>
      </w:r>
      <w:r w:rsidRPr="00606243">
        <w:rPr>
          <w:i/>
        </w:rPr>
        <w:t>miembros</w:t>
      </w:r>
      <w:r w:rsidRPr="007E20F9">
        <w:rPr>
          <w:i/>
        </w:rPr>
        <w:t>, supra,</w:t>
      </w:r>
      <w:r w:rsidRPr="00C271B5">
        <w:t xml:space="preserve"> párrs. 165 a</w:t>
      </w:r>
      <w:r w:rsidRPr="00606243">
        <w:t xml:space="preserve"> 167 y 172. </w:t>
      </w:r>
    </w:p>
  </w:footnote>
  <w:footnote w:id="212">
    <w:p w14:paraId="161AA7B0"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Caso Comunidad Indígena Xákmok Kásek, supra,</w:t>
      </w:r>
      <w:r w:rsidRPr="00C271B5">
        <w:t xml:space="preserve"> </w:t>
      </w:r>
      <w:r w:rsidRPr="00606243">
        <w:t>párr. 313.</w:t>
      </w:r>
    </w:p>
  </w:footnote>
  <w:footnote w:id="213">
    <w:p w14:paraId="179FCDB4" w14:textId="20F50EC9" w:rsidR="00247DB8" w:rsidRPr="001863DB"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Caso Salvador Chiriboga Vs Ecuador.</w:t>
      </w:r>
      <w:r w:rsidRPr="00C271B5">
        <w:rPr>
          <w:i/>
        </w:rPr>
        <w:t xml:space="preserve"> </w:t>
      </w:r>
      <w:r w:rsidRPr="007E20F9">
        <w:rPr>
          <w:i/>
        </w:rPr>
        <w:t>Excepción Preliminar y Fondo</w:t>
      </w:r>
      <w:r w:rsidRPr="00C271B5">
        <w:t>. Sentencia de 6 de mayo de 2008. Serie C No</w:t>
      </w:r>
      <w:r w:rsidRPr="00606243">
        <w:t>. 179, párr. 76</w:t>
      </w:r>
      <w:r>
        <w:t>.</w:t>
      </w:r>
      <w:r w:rsidRPr="001863DB">
        <w:t xml:space="preserve"> </w:t>
      </w:r>
    </w:p>
  </w:footnote>
  <w:footnote w:id="214">
    <w:p w14:paraId="68A31FCC"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t>El artículo 11 de dicho instrumento estipula que: “1.   Toda persona tiene derecho a vivir en un medio ambiente sano y a contar con servicios públicos básico</w:t>
      </w:r>
      <w:r w:rsidRPr="00606243">
        <w:t>; y 2. […] Los Estados partes promoverán la protección, preservación y mejoramiento del medio ambiente”. Surinam ratificó el Protocolo de San Salvador el 28 de febrero de 1990. El Protocolo entró en vigencia internacional el 16 de noviembre de 1999.</w:t>
      </w:r>
    </w:p>
  </w:footnote>
  <w:footnote w:id="215">
    <w:p w14:paraId="5507B1CB"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Comunidad indígena Yakye Axa supra</w:t>
      </w:r>
      <w:r w:rsidRPr="00C271B5">
        <w:t>, párr. 163</w:t>
      </w:r>
      <w:r w:rsidRPr="00606243">
        <w:t xml:space="preserve">, y </w:t>
      </w:r>
      <w:r w:rsidRPr="007E20F9">
        <w:rPr>
          <w:i/>
        </w:rPr>
        <w:t>Caso Comunidad Indígena Xákmok Kásek, supra,</w:t>
      </w:r>
      <w:r w:rsidRPr="00C271B5">
        <w:t xml:space="preserve"> párr. 187</w:t>
      </w:r>
      <w:r w:rsidRPr="00606243">
        <w:t xml:space="preserve">. </w:t>
      </w:r>
    </w:p>
  </w:footnote>
  <w:footnote w:id="216">
    <w:p w14:paraId="233CAD09"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F360B">
        <w:rPr>
          <w:i/>
        </w:rPr>
        <w:t>Cfr.</w:t>
      </w:r>
      <w:r w:rsidRPr="00C271B5">
        <w:t xml:space="preserve"> </w:t>
      </w:r>
      <w:r w:rsidRPr="007E20F9">
        <w:rPr>
          <w:i/>
        </w:rPr>
        <w:t>Caso Comunidad Indígena Xákmok Kásek</w:t>
      </w:r>
      <w:r w:rsidRPr="00C271B5">
        <w:rPr>
          <w:i/>
        </w:rPr>
        <w:t>, supra,</w:t>
      </w:r>
      <w:r w:rsidRPr="00C271B5">
        <w:t xml:space="preserve"> </w:t>
      </w:r>
      <w:r>
        <w:t>párr</w:t>
      </w:r>
      <w:r w:rsidRPr="00606243">
        <w:t>. 313.</w:t>
      </w:r>
    </w:p>
  </w:footnote>
  <w:footnote w:id="217">
    <w:p w14:paraId="69C70883"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7E20F9">
        <w:t>. Secretaría del Convenio sobre la Diversidad Biológica (2004) Principios y directrices de Addis Abeba para la utilización sostenible de la diversidad biológica (Directrices del CDB) Montreal: Secretaría del Convenio sobre la Diversidad Biológica</w:t>
      </w:r>
      <w:r w:rsidRPr="00606243">
        <w:t xml:space="preserve">, </w:t>
      </w:r>
      <w:r>
        <w:t>Principio</w:t>
      </w:r>
      <w:r w:rsidRPr="00606243">
        <w:t xml:space="preserve"> práctico 9, </w:t>
      </w:r>
      <w:r w:rsidRPr="001863DB">
        <w:t xml:space="preserve">p. 16. Disponible en: </w:t>
      </w:r>
      <w:hyperlink r:id="rId3" w:history="1">
        <w:r w:rsidRPr="00C271B5">
          <w:rPr>
            <w:rStyle w:val="Hyperlink"/>
          </w:rPr>
          <w:t>https://www.cbd.int/doc/publications/addis-gdl-es.pdf</w:t>
        </w:r>
      </w:hyperlink>
      <w:r w:rsidRPr="00C271B5">
        <w:rPr>
          <w:i/>
        </w:rPr>
        <w:t xml:space="preserve">, </w:t>
      </w:r>
      <w:r w:rsidRPr="00C271B5">
        <w:t>y</w:t>
      </w:r>
      <w:r w:rsidRPr="00606243">
        <w:t xml:space="preserve"> Acuerdo Durban: Plan de Acción, adoptado en el V Congreso Mundial de Parques, Durban, Sudáfrica, 2003, p. 25. En este congreso, convocado por la Unión Internacional para la Conservación de la Naturaleza (IUCN) y la Comisión Mundial de Áreas Protegidas</w:t>
      </w:r>
      <w:r w:rsidRPr="00606243">
        <w:rPr>
          <w:rFonts w:cs="Arial"/>
          <w:color w:val="333333"/>
          <w:shd w:val="clear" w:color="auto" w:fill="FFFFFF"/>
        </w:rPr>
        <w:t>,</w:t>
      </w:r>
      <w:r w:rsidRPr="001863DB">
        <w:t xml:space="preserve"> se adopta un nuevo paradigma de área protegida que deja atrás la consideración de reserva como mero espacio de conservación nacional, y se hace cargo de reclamos científicos, económicos y culturales e implementa políticas de gestión y financiación protagonizadas por varios socios. Este nuevo paradigma ha sido posteriormente incorporado por numerosos organismos y entidades internacionales. Disponible en</w:t>
      </w:r>
      <w:r w:rsidRPr="00C271B5">
        <w:t xml:space="preserve">: </w:t>
      </w:r>
      <w:hyperlink r:id="rId4" w:history="1">
        <w:r w:rsidRPr="00C271B5">
          <w:rPr>
            <w:rStyle w:val="Hyperlink"/>
          </w:rPr>
          <w:t>http://www.redeuroparc.</w:t>
        </w:r>
        <w:r w:rsidRPr="00606243">
          <w:rPr>
            <w:rStyle w:val="Hyperlink"/>
          </w:rPr>
          <w:t>org/biblioteca_virtual/durbanactionplan_sp.pdf</w:t>
        </w:r>
      </w:hyperlink>
      <w:r w:rsidRPr="00C271B5">
        <w:t>.</w:t>
      </w:r>
    </w:p>
  </w:footnote>
  <w:footnote w:id="218">
    <w:p w14:paraId="139E660E"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 xml:space="preserve">Cfr. </w:t>
      </w:r>
      <w:r w:rsidRPr="00606243">
        <w:t xml:space="preserve">Declaración de Río sobre el Medioambiente y el Desarrollo, </w:t>
      </w:r>
      <w:r>
        <w:t>Principio</w:t>
      </w:r>
      <w:r w:rsidRPr="00606243">
        <w:t xml:space="preserve"> 22, apr</w:t>
      </w:r>
      <w:r w:rsidRPr="001863DB">
        <w:t>obada en la Conferencia sobre Medioambiente y Desarrollo de las Naciones Unidas, celebrada en Río de Janeiro del 3 al 14 de junio de 1992, en la que Surinam</w:t>
      </w:r>
      <w:r w:rsidRPr="00C271B5">
        <w:t xml:space="preserve"> adoptó sin formular reserva alguna. Disponible en: </w:t>
      </w:r>
      <w:hyperlink r:id="rId5" w:history="1">
        <w:r w:rsidRPr="00C271B5">
          <w:rPr>
            <w:rStyle w:val="Hyperlink"/>
          </w:rPr>
          <w:t>http://www.un.org/spanish/esa/sustdev/agenda21/riodeclaration.htm</w:t>
        </w:r>
      </w:hyperlink>
      <w:r w:rsidRPr="00C271B5">
        <w:t>; Conferencia Mundial sobre los Pueblos Indígenas</w:t>
      </w:r>
      <w:r w:rsidRPr="00606243">
        <w:t xml:space="preserve">, reunión plenaria de alto nivel de la Asamblea General de las Naciones Unidas </w:t>
      </w:r>
      <w:r w:rsidRPr="00C271B5">
        <w:t xml:space="preserve">en la que Surinam tomó parte, Resolución aprobada por la Asamblea General el 22 de septiembre de 2014, párrs. 22, 26, 34 y 35. Disponible en: http://www.acnur.org/t3/fileadmin/Documentos/BDL/2015/9817.pdf?view=1. Disponible en: </w:t>
      </w:r>
      <w:hyperlink r:id="rId6" w:history="1">
        <w:r w:rsidRPr="00C271B5">
          <w:rPr>
            <w:rStyle w:val="Hyperlink"/>
          </w:rPr>
          <w:t>http://www.un.org/es/comun/docs/?symbol=A/RES/69/2</w:t>
        </w:r>
      </w:hyperlink>
      <w:r w:rsidRPr="00C271B5">
        <w:t>.</w:t>
      </w:r>
    </w:p>
  </w:footnote>
  <w:footnote w:id="219">
    <w:p w14:paraId="3EBDE01B" w14:textId="3676DA8E" w:rsidR="00247DB8" w:rsidRPr="007E20F9" w:rsidRDefault="00247DB8" w:rsidP="00AA7575">
      <w:pPr>
        <w:pStyle w:val="FootnoteText"/>
        <w:spacing w:afterLines="40" w:after="96"/>
      </w:pPr>
      <w:r w:rsidRPr="00C271B5">
        <w:rPr>
          <w:rStyle w:val="FootnoteReference"/>
          <w:sz w:val="16"/>
        </w:rPr>
        <w:footnoteRef/>
      </w:r>
      <w:r w:rsidRPr="007E20F9">
        <w:t xml:space="preserve"> </w:t>
      </w:r>
      <w:r w:rsidRPr="007E20F9">
        <w:tab/>
      </w:r>
      <w:r w:rsidRPr="00CF360B">
        <w:rPr>
          <w:i/>
        </w:rPr>
        <w:t>Cfr.</w:t>
      </w:r>
      <w:r w:rsidRPr="007E20F9">
        <w:rPr>
          <w:rFonts w:eastAsia="Calibri"/>
          <w:lang w:eastAsia="en-US"/>
        </w:rPr>
        <w:t xml:space="preserve"> </w:t>
      </w:r>
      <w:r w:rsidRPr="00C271B5">
        <w:t xml:space="preserve">WWF </w:t>
      </w:r>
      <w:r w:rsidRPr="007E20F9">
        <w:t>Internacional</w:t>
      </w:r>
      <w:r w:rsidRPr="00C271B5">
        <w:t>,</w:t>
      </w:r>
      <w:r w:rsidRPr="007E20F9">
        <w:t xml:space="preserve"> 2008</w:t>
      </w:r>
      <w:r w:rsidRPr="00C271B5">
        <w:t xml:space="preserve">. Los Pueblos Indígenas y la Conservación: Declaración de Principios del WWF. </w:t>
      </w:r>
      <w:r w:rsidRPr="007E20F9">
        <w:t>Gland, Suiza</w:t>
      </w:r>
      <w:r w:rsidRPr="00C271B5">
        <w:t>: WWF Internacional., p.</w:t>
      </w:r>
      <w:r w:rsidRPr="007E20F9">
        <w:t xml:space="preserve"> 5, 9. Disponible en: </w:t>
      </w:r>
      <w:hyperlink r:id="rId7" w:history="1">
        <w:r w:rsidRPr="00EF7778">
          <w:rPr>
            <w:rStyle w:val="Hyperlink"/>
          </w:rPr>
          <w:t>http://awsassets.panda.org/downloads/183113_wwf_policyrpt_sp_f_1.pdf</w:t>
        </w:r>
      </w:hyperlink>
      <w:r>
        <w:t xml:space="preserve">. </w:t>
      </w:r>
    </w:p>
  </w:footnote>
  <w:footnote w:id="220">
    <w:p w14:paraId="154B4E6B"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Unión Mundial para la Naturaleza y WWF-Internacional, </w:t>
      </w:r>
      <w:r w:rsidRPr="007E20F9">
        <w:rPr>
          <w:i/>
        </w:rPr>
        <w:t>Pueblos Indígenas y Tradicionales y Áreas Protegidas: Principios, Directrices y Casos de Estudio</w:t>
      </w:r>
      <w:r w:rsidRPr="00C271B5">
        <w:t xml:space="preserve">. UICN, Gland, Suiza y </w:t>
      </w:r>
      <w:r w:rsidRPr="00BC3DF8">
        <w:t>Cambridge</w:t>
      </w:r>
      <w:r w:rsidRPr="00C271B5">
        <w:t>, UK y WWF Internacional, Gland, Suiza</w:t>
      </w:r>
      <w:r w:rsidRPr="00606243">
        <w:t xml:space="preserve">, </w:t>
      </w:r>
      <w:r>
        <w:t>Principio</w:t>
      </w:r>
      <w:r w:rsidRPr="00606243">
        <w:t xml:space="preserve"> 1</w:t>
      </w:r>
      <w:r w:rsidRPr="00C271B5">
        <w:rPr>
          <w:i/>
        </w:rPr>
        <w:t>.</w:t>
      </w:r>
      <w:r w:rsidRPr="007E20F9">
        <w:rPr>
          <w:rFonts w:eastAsia="Calibri"/>
          <w:lang w:eastAsia="en-US"/>
        </w:rPr>
        <w:t xml:space="preserve"> </w:t>
      </w:r>
      <w:r w:rsidRPr="007E20F9">
        <w:t xml:space="preserve">Los principios, las directrices y los casos </w:t>
      </w:r>
      <w:r w:rsidRPr="00C271B5">
        <w:t>de estudio que se presentan en este estudio</w:t>
      </w:r>
      <w:r w:rsidRPr="007E20F9">
        <w:t xml:space="preserve"> responden a la Resolución 1.53 del Congreso Mundial de la Naturaleza (CMN) sobre los Pueblos Indígenas y las Áreas Protegidas aprobada en el CMN en Montreal, en octubre de 1996</w:t>
      </w:r>
      <w:r w:rsidRPr="00C271B5">
        <w:t>.</w:t>
      </w:r>
    </w:p>
  </w:footnote>
  <w:footnote w:id="221">
    <w:p w14:paraId="050C13D9" w14:textId="6A718563"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t>Declaración pericial rendida por la señora Victoria Tauli</w:t>
      </w:r>
      <w:r w:rsidRPr="00606243">
        <w:t>-Corpuz durante la audiencia pública celebrada el 3 y el 4 de febrero de 2015</w:t>
      </w:r>
      <w:r>
        <w:t>.</w:t>
      </w:r>
    </w:p>
  </w:footnote>
  <w:footnote w:id="222">
    <w:p w14:paraId="3B622F6B" w14:textId="6A54611D"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606243">
        <w:t>Declaración rendida por el perito Jeremie Gilbert en la audiencia pública celebrada en este caso</w:t>
      </w:r>
      <w:r>
        <w:t>.</w:t>
      </w:r>
    </w:p>
  </w:footnote>
  <w:footnote w:id="223">
    <w:p w14:paraId="40C1EF91" w14:textId="77777777" w:rsidR="00247DB8" w:rsidRPr="00C271B5" w:rsidRDefault="00247DB8" w:rsidP="00AA7575">
      <w:pPr>
        <w:pStyle w:val="FootnoteText"/>
        <w:spacing w:afterLines="40" w:after="96"/>
      </w:pPr>
      <w:r w:rsidRPr="00BA5FB7">
        <w:rPr>
          <w:rStyle w:val="FootnoteReference"/>
          <w:sz w:val="16"/>
        </w:rPr>
        <w:footnoteRef/>
      </w:r>
      <w:r w:rsidRPr="00C271B5">
        <w:t xml:space="preserve"> </w:t>
      </w:r>
      <w:r w:rsidRPr="00C271B5">
        <w:tab/>
        <w:t>El 22 de mayo de 1992 se aprob</w:t>
      </w:r>
      <w:r w:rsidRPr="00606243">
        <w:t xml:space="preserve">ó el texto de la Convención sobre la Diversidad Biológica, en el marco de la Conferencia de Nairobi, propiciada por el Programa de Naciones Unidas para el Desarrollo (UNEP). </w:t>
      </w:r>
      <w:r w:rsidRPr="00606243">
        <w:rPr>
          <w:shd w:val="clear" w:color="auto" w:fill="FFFFFF"/>
          <w:lang w:val="es-ES_tradnl"/>
        </w:rPr>
        <w:t>La Convención, que entró en vigor el 29 de diciembre de 1993, supone un paso significativo en la consecución de la conservación de la diversidad biológica. Surinam la ratificó el 12 de enero de 1996. Disponible en:</w:t>
      </w:r>
      <w:r w:rsidRPr="00606243">
        <w:rPr>
          <w:lang w:val="es-ES_tradnl"/>
        </w:rPr>
        <w:t xml:space="preserve"> </w:t>
      </w:r>
      <w:hyperlink r:id="rId8" w:history="1">
        <w:r w:rsidRPr="00C271B5">
          <w:rPr>
            <w:rStyle w:val="Hyperlink"/>
            <w:shd w:val="clear" w:color="auto" w:fill="FFFFFF"/>
            <w:lang w:val="es-ES_tradnl"/>
          </w:rPr>
          <w:t>https://www.cbd.int/convention/text/default.shtml</w:t>
        </w:r>
      </w:hyperlink>
      <w:r>
        <w:rPr>
          <w:rStyle w:val="Hyperlink"/>
          <w:shd w:val="clear" w:color="auto" w:fill="FFFFFF"/>
          <w:lang w:val="es-ES_tradnl"/>
        </w:rPr>
        <w:t>.</w:t>
      </w:r>
    </w:p>
  </w:footnote>
  <w:footnote w:id="224">
    <w:p w14:paraId="6B106364" w14:textId="4FA29B49" w:rsidR="00247DB8" w:rsidRPr="001863DB" w:rsidRDefault="00247DB8" w:rsidP="00AA7575">
      <w:pPr>
        <w:tabs>
          <w:tab w:val="left" w:pos="567"/>
        </w:tabs>
        <w:autoSpaceDE w:val="0"/>
        <w:autoSpaceDN w:val="0"/>
        <w:adjustRightInd w:val="0"/>
        <w:spacing w:afterLines="40" w:after="96"/>
        <w:jc w:val="both"/>
        <w:rPr>
          <w:rFonts w:ascii="Verdana" w:hAnsi="Verdana"/>
          <w:sz w:val="16"/>
          <w:szCs w:val="16"/>
        </w:rPr>
      </w:pPr>
      <w:r w:rsidRPr="007E20F9">
        <w:rPr>
          <w:rStyle w:val="FootnoteReference"/>
          <w:sz w:val="16"/>
          <w:szCs w:val="16"/>
        </w:rPr>
        <w:footnoteRef/>
      </w:r>
      <w:r w:rsidRPr="007E20F9">
        <w:rPr>
          <w:rFonts w:ascii="Verdana" w:hAnsi="Verdana"/>
          <w:sz w:val="16"/>
          <w:szCs w:val="16"/>
        </w:rPr>
        <w:t xml:space="preserve"> </w:t>
      </w:r>
      <w:r w:rsidRPr="007E20F9">
        <w:rPr>
          <w:rFonts w:ascii="Verdana" w:hAnsi="Verdana"/>
          <w:sz w:val="16"/>
          <w:szCs w:val="16"/>
        </w:rPr>
        <w:tab/>
      </w:r>
      <w:r w:rsidRPr="00C271B5">
        <w:rPr>
          <w:rFonts w:ascii="Verdana" w:hAnsi="Verdana"/>
          <w:sz w:val="16"/>
          <w:szCs w:val="16"/>
        </w:rPr>
        <w:t>Convención Ramsar, Convención Relativa a los Humedales de Importancia Internacional Especialmente como Hábitat de Aves Acuáticas, firmada en Ramsar</w:t>
      </w:r>
      <w:r>
        <w:rPr>
          <w:rFonts w:ascii="Verdana" w:hAnsi="Verdana"/>
          <w:sz w:val="16"/>
          <w:szCs w:val="16"/>
        </w:rPr>
        <w:t>, Iran,</w:t>
      </w:r>
      <w:r w:rsidRPr="00C271B5">
        <w:rPr>
          <w:rFonts w:ascii="Verdana" w:hAnsi="Verdana"/>
          <w:sz w:val="16"/>
          <w:szCs w:val="16"/>
        </w:rPr>
        <w:t xml:space="preserve"> el 18 de enero de 1971, que </w:t>
      </w:r>
      <w:r w:rsidRPr="00606243">
        <w:rPr>
          <w:rFonts w:ascii="Verdana" w:hAnsi="Verdana"/>
          <w:sz w:val="16"/>
          <w:szCs w:val="16"/>
        </w:rPr>
        <w:t>entró en vigor el 21 de diciembre de 1975 y fue ratificada</w:t>
      </w:r>
      <w:r w:rsidRPr="001863DB">
        <w:rPr>
          <w:rFonts w:ascii="Verdana" w:hAnsi="Verdana"/>
          <w:sz w:val="16"/>
          <w:szCs w:val="16"/>
        </w:rPr>
        <w:t xml:space="preserve"> por Surinam el 22 de noviembre de 1985.</w:t>
      </w:r>
    </w:p>
  </w:footnote>
  <w:footnote w:id="225">
    <w:p w14:paraId="6EC1EBBC" w14:textId="77777777" w:rsidR="00247DB8" w:rsidRPr="00C271B5" w:rsidRDefault="00247DB8" w:rsidP="00AA7575">
      <w:pPr>
        <w:pStyle w:val="FootnoteText"/>
        <w:spacing w:afterLines="40" w:after="96"/>
      </w:pPr>
      <w:r w:rsidRPr="00C271B5">
        <w:rPr>
          <w:rStyle w:val="FootnoteReference"/>
          <w:sz w:val="16"/>
        </w:rPr>
        <w:footnoteRef/>
      </w:r>
      <w:r>
        <w:tab/>
      </w:r>
      <w:r w:rsidRPr="00606243">
        <w:t xml:space="preserve">La Convención sobre la Protección del Patrimonio Mundial, Cultural y Natural </w:t>
      </w:r>
      <w:r w:rsidRPr="001863DB">
        <w:rPr>
          <w:rStyle w:val="Ttulo1"/>
          <w:bCs/>
          <w:color w:val="000000"/>
          <w:shd w:val="clear" w:color="auto" w:fill="FFFFFF"/>
          <w:lang w:val="es-ES_tradnl"/>
        </w:rPr>
        <w:t xml:space="preserve">fue adoptada </w:t>
      </w:r>
      <w:r w:rsidRPr="00C271B5">
        <w:t>el 16 de noviembre de 1972, en el marco de la Conferencia General de la UNESCO celebrada del 17 de octubre al 21 de noviembre en París. La característica más importante de esta Convención es que aúna en un mismo documento los conceptos de la conservación de la naturaleza y la preservación del patrimonio cultural. La Convención reconoce la manera en la que la gente interactúa con la naturaleza y los fundamentos necesarios para asegurar el equilibrio entre ambos. Surinam la aceptó el 23 de octubre de 1997. Disponible en: http://portal.unesco.org/es/ev.php-URL_ID=13055&amp;URL_DO=DO_TOPIC&amp;URL_SECTION=201.html</w:t>
      </w:r>
      <w:r>
        <w:t>.</w:t>
      </w:r>
    </w:p>
  </w:footnote>
  <w:footnote w:id="226">
    <w:p w14:paraId="207D879B"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La </w:t>
      </w:r>
      <w:hyperlink r:id="rId9" w:tgtFrame="_blank" w:history="1">
        <w:r w:rsidRPr="00CF360B">
          <w:rPr>
            <w:rFonts w:cs="Arial"/>
            <w:shd w:val="clear" w:color="auto" w:fill="FFFFFF"/>
          </w:rPr>
          <w:t>Convención Marco de las Naciones Unidas sobre el Cambio Climático</w:t>
        </w:r>
      </w:hyperlink>
      <w:r w:rsidRPr="00CC6DF0">
        <w:t xml:space="preserve"> </w:t>
      </w:r>
      <w:r w:rsidRPr="00C271B5">
        <w:t>se aprobó e</w:t>
      </w:r>
      <w:r w:rsidRPr="00606243">
        <w:t xml:space="preserve">l 9 de mayo de 1992 en la sede de las Naciones Unidas en Nueva York y </w:t>
      </w:r>
      <w:r w:rsidRPr="00C271B5">
        <w:t xml:space="preserve">entró en vigor el 21 de marzo 1993. Su fin era considerar qué opciones se daban para limitar el aumento del calentamiento global medio y, por tanto, el cambio climático, así como para enfrentar los impactos nocivos, cuando estos fueran inevitables. Surinam la ratificó el 14 de octubre de 1997. Disponible en: </w:t>
      </w:r>
      <w:hyperlink r:id="rId10" w:history="1">
        <w:r w:rsidRPr="00E3683D">
          <w:rPr>
            <w:rStyle w:val="Hyperlink"/>
          </w:rPr>
          <w:t>http://unfccc.int/portal_espanol/informacion_basica/la_convencion/items/6196.php</w:t>
        </w:r>
      </w:hyperlink>
      <w:r>
        <w:t xml:space="preserve">. </w:t>
      </w:r>
      <w:r w:rsidRPr="00C271B5" w:rsidDel="00C06ECD">
        <w:t xml:space="preserve"> </w:t>
      </w:r>
    </w:p>
  </w:footnote>
  <w:footnote w:id="227">
    <w:p w14:paraId="0AC805FA" w14:textId="421E9510" w:rsidR="00247DB8" w:rsidRPr="007E20F9" w:rsidRDefault="00247DB8" w:rsidP="00AA7575">
      <w:pPr>
        <w:pStyle w:val="Heading1"/>
        <w:tabs>
          <w:tab w:val="left" w:pos="567"/>
        </w:tabs>
        <w:spacing w:before="0" w:afterLines="40" w:after="96"/>
        <w:jc w:val="both"/>
        <w:rPr>
          <w:rFonts w:ascii="Verdana" w:hAnsi="Verdana"/>
          <w:b w:val="0"/>
          <w:color w:val="auto"/>
          <w:sz w:val="16"/>
          <w:szCs w:val="16"/>
          <w:lang w:val="es-CR"/>
        </w:rPr>
      </w:pPr>
      <w:r w:rsidRPr="007E20F9">
        <w:rPr>
          <w:rStyle w:val="FootnoteReference"/>
          <w:b w:val="0"/>
          <w:color w:val="auto"/>
          <w:sz w:val="16"/>
          <w:szCs w:val="16"/>
        </w:rPr>
        <w:footnoteRef/>
      </w:r>
      <w:r w:rsidRPr="007E20F9">
        <w:rPr>
          <w:rFonts w:ascii="Verdana" w:hAnsi="Verdana"/>
          <w:b w:val="0"/>
          <w:color w:val="auto"/>
          <w:sz w:val="16"/>
          <w:szCs w:val="16"/>
        </w:rPr>
        <w:t xml:space="preserve"> </w:t>
      </w:r>
      <w:r w:rsidRPr="007E20F9">
        <w:rPr>
          <w:rFonts w:ascii="Verdana" w:hAnsi="Verdana"/>
          <w:sz w:val="16"/>
          <w:szCs w:val="16"/>
        </w:rPr>
        <w:tab/>
      </w:r>
      <w:bookmarkStart w:id="56" w:name="OLE_LINK4"/>
      <w:bookmarkStart w:id="57" w:name="OLE_LINK3"/>
      <w:r w:rsidRPr="007E20F9">
        <w:rPr>
          <w:rFonts w:ascii="Verdana" w:hAnsi="Verdana"/>
          <w:b w:val="0"/>
          <w:color w:val="auto"/>
          <w:sz w:val="16"/>
          <w:szCs w:val="16"/>
        </w:rPr>
        <w:t xml:space="preserve">Decisiones adoptadas por la Conferencia de las Partes </w:t>
      </w:r>
      <w:r w:rsidRPr="00C271B5">
        <w:rPr>
          <w:rFonts w:ascii="Verdana" w:hAnsi="Verdana"/>
          <w:b w:val="0"/>
          <w:color w:val="auto"/>
          <w:sz w:val="16"/>
          <w:szCs w:val="16"/>
        </w:rPr>
        <w:t xml:space="preserve">en el Convenio sobre la Diversidad </w:t>
      </w:r>
      <w:r>
        <w:rPr>
          <w:rFonts w:ascii="Verdana" w:hAnsi="Verdana"/>
          <w:b w:val="0"/>
          <w:color w:val="auto"/>
          <w:sz w:val="16"/>
          <w:szCs w:val="16"/>
        </w:rPr>
        <w:t>Biológica en su séptima reunión,</w:t>
      </w:r>
      <w:r w:rsidRPr="007E20F9">
        <w:rPr>
          <w:rFonts w:ascii="Verdana" w:hAnsi="Verdana"/>
          <w:b w:val="0"/>
          <w:color w:val="auto"/>
          <w:sz w:val="16"/>
          <w:szCs w:val="16"/>
        </w:rPr>
        <w:t xml:space="preserve"> </w:t>
      </w:r>
      <w:r>
        <w:rPr>
          <w:rFonts w:ascii="Verdana" w:hAnsi="Verdana"/>
          <w:b w:val="0"/>
          <w:color w:val="auto"/>
          <w:sz w:val="16"/>
          <w:szCs w:val="16"/>
        </w:rPr>
        <w:t>D</w:t>
      </w:r>
      <w:r w:rsidRPr="00C271B5">
        <w:rPr>
          <w:rFonts w:ascii="Verdana" w:hAnsi="Verdana"/>
          <w:b w:val="0"/>
          <w:color w:val="auto"/>
          <w:sz w:val="16"/>
          <w:szCs w:val="16"/>
        </w:rPr>
        <w:t>ecisión</w:t>
      </w:r>
      <w:r w:rsidRPr="007E20F9">
        <w:rPr>
          <w:rFonts w:ascii="Verdana" w:hAnsi="Verdana"/>
          <w:sz w:val="16"/>
          <w:szCs w:val="16"/>
        </w:rPr>
        <w:t xml:space="preserve"> </w:t>
      </w:r>
      <w:r w:rsidRPr="00C271B5">
        <w:rPr>
          <w:rFonts w:ascii="Verdana" w:hAnsi="Verdana"/>
          <w:b w:val="0"/>
          <w:color w:val="auto"/>
          <w:sz w:val="16"/>
          <w:szCs w:val="16"/>
        </w:rPr>
        <w:t>VII/28,</w:t>
      </w:r>
      <w:r w:rsidRPr="007E20F9">
        <w:rPr>
          <w:rFonts w:ascii="Verdana" w:eastAsia="Calibri" w:hAnsi="Verdana"/>
          <w:b w:val="0"/>
          <w:bCs w:val="0"/>
          <w:color w:val="auto"/>
          <w:sz w:val="16"/>
          <w:szCs w:val="16"/>
        </w:rPr>
        <w:t xml:space="preserve"> á</w:t>
      </w:r>
      <w:r w:rsidRPr="00C271B5">
        <w:rPr>
          <w:rFonts w:ascii="Verdana" w:hAnsi="Verdana"/>
          <w:b w:val="0"/>
          <w:color w:val="auto"/>
          <w:sz w:val="16"/>
          <w:szCs w:val="16"/>
        </w:rPr>
        <w:t>reas p</w:t>
      </w:r>
      <w:r>
        <w:rPr>
          <w:rFonts w:ascii="Verdana" w:hAnsi="Verdana"/>
          <w:b w:val="0"/>
          <w:color w:val="auto"/>
          <w:sz w:val="16"/>
          <w:szCs w:val="16"/>
        </w:rPr>
        <w:t>rotegidas (Artículo 8 (a) a (e</w:t>
      </w:r>
      <w:r w:rsidRPr="00C271B5">
        <w:rPr>
          <w:rFonts w:ascii="Verdana" w:hAnsi="Verdana"/>
          <w:b w:val="0"/>
          <w:color w:val="auto"/>
          <w:sz w:val="16"/>
          <w:szCs w:val="16"/>
        </w:rPr>
        <w:t xml:space="preserve">), párr. 22. </w:t>
      </w:r>
      <w:bookmarkEnd w:id="56"/>
      <w:bookmarkEnd w:id="57"/>
      <w:r w:rsidRPr="00C271B5">
        <w:rPr>
          <w:rFonts w:ascii="Verdana" w:hAnsi="Verdana"/>
          <w:b w:val="0"/>
          <w:color w:val="auto"/>
          <w:sz w:val="16"/>
          <w:szCs w:val="16"/>
          <w:lang w:val="es-CR"/>
        </w:rPr>
        <w:t xml:space="preserve">Disponible en: </w:t>
      </w:r>
      <w:hyperlink r:id="rId11" w:history="1">
        <w:r w:rsidRPr="000E107F">
          <w:rPr>
            <w:rStyle w:val="Hyperlink"/>
            <w:rFonts w:ascii="Verdana" w:hAnsi="Verdana"/>
            <w:b w:val="0"/>
            <w:sz w:val="16"/>
            <w:szCs w:val="16"/>
            <w:lang w:val="es-CR"/>
          </w:rPr>
          <w:t>https://www.cbd.int/doc/decisions/cop-07/full/cop-07-dec-es.pdf</w:t>
        </w:r>
      </w:hyperlink>
      <w:r>
        <w:rPr>
          <w:rFonts w:ascii="Verdana" w:hAnsi="Verdana"/>
          <w:b w:val="0"/>
          <w:color w:val="auto"/>
          <w:sz w:val="16"/>
          <w:szCs w:val="16"/>
          <w:lang w:val="es-CR"/>
        </w:rPr>
        <w:t xml:space="preserve">. </w:t>
      </w:r>
    </w:p>
  </w:footnote>
  <w:footnote w:id="228">
    <w:p w14:paraId="3699F1EE" w14:textId="77777777" w:rsidR="00247DB8" w:rsidRPr="001863DB" w:rsidRDefault="00247DB8" w:rsidP="00AA7575">
      <w:pPr>
        <w:pStyle w:val="FootnoteText"/>
        <w:spacing w:afterLines="40" w:after="96"/>
      </w:pPr>
      <w:r w:rsidRPr="00606243">
        <w:rPr>
          <w:rStyle w:val="FootnoteReference"/>
          <w:sz w:val="16"/>
        </w:rPr>
        <w:footnoteRef/>
      </w:r>
      <w:r w:rsidRPr="00C271B5">
        <w:t xml:space="preserve"> </w:t>
      </w:r>
      <w:r w:rsidRPr="00C271B5">
        <w:tab/>
      </w:r>
      <w:r w:rsidRPr="00606243">
        <w:t xml:space="preserve">Declaración de Río sobre el Medioambiente y el Desarrollo, </w:t>
      </w:r>
      <w:r w:rsidRPr="00606243">
        <w:rPr>
          <w:i/>
        </w:rPr>
        <w:t>supra</w:t>
      </w:r>
      <w:r>
        <w:t>, Principio 22.</w:t>
      </w:r>
    </w:p>
  </w:footnote>
  <w:footnote w:id="229">
    <w:p w14:paraId="4AE31472" w14:textId="77777777" w:rsidR="00247DB8" w:rsidRPr="00C271B5" w:rsidRDefault="00247DB8" w:rsidP="00AA7575">
      <w:pPr>
        <w:pStyle w:val="FootnoteText"/>
        <w:spacing w:afterLines="40" w:after="96"/>
        <w:rPr>
          <w:strike/>
        </w:rPr>
      </w:pPr>
      <w:r w:rsidRPr="00BA5FB7">
        <w:rPr>
          <w:rStyle w:val="FootnoteReference"/>
          <w:sz w:val="16"/>
        </w:rPr>
        <w:footnoteRef/>
      </w:r>
      <w:r w:rsidRPr="00C271B5">
        <w:t xml:space="preserve"> </w:t>
      </w:r>
      <w:r w:rsidRPr="00C271B5">
        <w:tab/>
      </w:r>
      <w:r w:rsidRPr="00C271B5">
        <w:rPr>
          <w:color w:val="000000"/>
        </w:rPr>
        <w:t xml:space="preserve">Esta </w:t>
      </w:r>
      <w:r>
        <w:rPr>
          <w:color w:val="000000"/>
        </w:rPr>
        <w:t>D</w:t>
      </w:r>
      <w:r w:rsidRPr="00C271B5">
        <w:rPr>
          <w:color w:val="000000"/>
        </w:rPr>
        <w:t xml:space="preserve">eclaración fue </w:t>
      </w:r>
      <w:r w:rsidRPr="00C271B5">
        <w:t xml:space="preserve">ampliamente aceptada al haber sido adoptada en el órgano respectivo con la firma de 144 Estados, entre ellos Surinam. Desde su aprobación, Australia, Nueva Zelanda, Canadá y los Estados Unidos de Norte América </w:t>
      </w:r>
      <w:r w:rsidRPr="00606243">
        <w:t xml:space="preserve">han revertido su decisión y ahora se han adherido a la Declaración. Colombia y Samoa también han revertido su posición y han indicado su apoyo a </w:t>
      </w:r>
      <w:r>
        <w:t>misma</w:t>
      </w:r>
      <w:r w:rsidRPr="00606243">
        <w:t xml:space="preserve">. </w:t>
      </w:r>
      <w:r w:rsidRPr="007E20F9">
        <w:t>Véase</w:t>
      </w:r>
      <w:r>
        <w:rPr>
          <w:i/>
        </w:rPr>
        <w:t xml:space="preserve"> </w:t>
      </w:r>
      <w:r w:rsidRPr="00606243">
        <w:t xml:space="preserve">también </w:t>
      </w:r>
      <w:r>
        <w:t>el</w:t>
      </w:r>
      <w:r w:rsidRPr="00606243">
        <w:t xml:space="preserve"> artículo 23 de la </w:t>
      </w:r>
      <w:r>
        <w:t>D</w:t>
      </w:r>
      <w:r w:rsidRPr="00606243">
        <w:t>eclaración</w:t>
      </w:r>
      <w:r w:rsidRPr="008740D1">
        <w:t>.</w:t>
      </w:r>
    </w:p>
  </w:footnote>
  <w:footnote w:id="230">
    <w:p w14:paraId="04944337" w14:textId="77777777" w:rsidR="00247DB8" w:rsidRPr="00606243" w:rsidRDefault="00247DB8" w:rsidP="00AA7575">
      <w:pPr>
        <w:pStyle w:val="FootnoteText"/>
        <w:spacing w:afterLines="40" w:after="96"/>
      </w:pPr>
      <w:r w:rsidRPr="00BA5FB7">
        <w:rPr>
          <w:rStyle w:val="FootnoteReference"/>
          <w:sz w:val="16"/>
        </w:rPr>
        <w:footnoteRef/>
      </w:r>
      <w:r>
        <w:t xml:space="preserve"> </w:t>
      </w:r>
      <w:r>
        <w:tab/>
        <w:t>Artículos 8.</w:t>
      </w:r>
      <w:r w:rsidRPr="00C271B5">
        <w:t xml:space="preserve">j) y 10 del Convenio sobre Diversidad Biológica, </w:t>
      </w:r>
      <w:r w:rsidRPr="00C271B5">
        <w:rPr>
          <w:i/>
        </w:rPr>
        <w:t>supra.</w:t>
      </w:r>
    </w:p>
  </w:footnote>
  <w:footnote w:id="231">
    <w:p w14:paraId="46E35ABD" w14:textId="5CEDEE40" w:rsidR="00247DB8" w:rsidRPr="00C271B5" w:rsidRDefault="00247DB8" w:rsidP="00AA7575">
      <w:pPr>
        <w:pStyle w:val="FootnoteText"/>
        <w:spacing w:afterLines="40" w:after="96"/>
      </w:pPr>
      <w:r w:rsidRPr="00606243">
        <w:rPr>
          <w:rStyle w:val="FootnoteReference"/>
          <w:sz w:val="16"/>
        </w:rPr>
        <w:footnoteRef/>
      </w:r>
      <w:r w:rsidRPr="00C271B5">
        <w:t xml:space="preserve"> </w:t>
      </w:r>
      <w:r w:rsidRPr="00C271B5">
        <w:tab/>
        <w:t>Por ejemplo, a través de la participación en decisiones que impacten en el mismo pueblo o en su</w:t>
      </w:r>
      <w:r w:rsidRPr="00606243">
        <w:t>s recursos naturales: Para ello, es necesario: i) reconocer el derecho de los pueblos indígenas a utilizar sus propias instituciones y representantes para el manejo, la administración</w:t>
      </w:r>
      <w:r w:rsidRPr="001863DB">
        <w:t xml:space="preserve"> y protección de sus territorios tradicionales ; ii) asegurar un sistema de decisiones que cuente con la participación plena y efectiv</w:t>
      </w:r>
      <w:r w:rsidRPr="00C271B5">
        <w:t xml:space="preserve">a y de los pueblos indígenas en la toma de decisiones; iii) buscar acuerdos entre las respectivas comunidades y las agencias de conservación que establezcan la gestión, el compromiso, las responsabilidades y los objetivos del área;, y iv) garantizar el acceso a la información de toda medida respecto de dichas áreas. </w:t>
      </w:r>
      <w:r w:rsidRPr="00C271B5">
        <w:rPr>
          <w:i/>
        </w:rPr>
        <w:t>Cfr.</w:t>
      </w:r>
      <w:r w:rsidRPr="00C271B5">
        <w:t xml:space="preserve"> artículos 8 y 10 del Convenio de Diversidad Biológica</w:t>
      </w:r>
      <w:r w:rsidRPr="00C271B5">
        <w:rPr>
          <w:i/>
        </w:rPr>
        <w:t>, supra;</w:t>
      </w:r>
      <w:r w:rsidRPr="00C271B5">
        <w:t xml:space="preserve"> </w:t>
      </w:r>
      <w:r>
        <w:t>D</w:t>
      </w:r>
      <w:r w:rsidRPr="007E20F9">
        <w:t>ecisiones adoptadas por la Conferencia de las Partes en el Convenio sobre la Diversidad Biológica en su séptima r</w:t>
      </w:r>
      <w:r w:rsidRPr="00C271B5">
        <w:t>eunión</w:t>
      </w:r>
      <w:r>
        <w:t>.</w:t>
      </w:r>
      <w:r w:rsidRPr="00C271B5">
        <w:t xml:space="preserve"> </w:t>
      </w:r>
      <w:r>
        <w:t>D</w:t>
      </w:r>
      <w:r w:rsidRPr="007E20F9">
        <w:t>ecisión VII/28</w:t>
      </w:r>
      <w:r w:rsidRPr="00C271B5">
        <w:t xml:space="preserve">, </w:t>
      </w:r>
      <w:r w:rsidRPr="00C271B5">
        <w:rPr>
          <w:i/>
        </w:rPr>
        <w:t>supra</w:t>
      </w:r>
      <w:r>
        <w:rPr>
          <w:i/>
        </w:rPr>
        <w:t xml:space="preserve">, </w:t>
      </w:r>
      <w:r w:rsidRPr="00606243">
        <w:t>párr.22</w:t>
      </w:r>
      <w:r w:rsidRPr="00C271B5">
        <w:t xml:space="preserve">; </w:t>
      </w:r>
      <w:r w:rsidRPr="00C271B5">
        <w:rPr>
          <w:rFonts w:cs="Verdana"/>
        </w:rPr>
        <w:t xml:space="preserve">Declaración de Rio sobre el Medio Ambiente y el Desarrollo, </w:t>
      </w:r>
      <w:r w:rsidRPr="00C271B5">
        <w:rPr>
          <w:rFonts w:cs="Verdana"/>
          <w:i/>
        </w:rPr>
        <w:t>supra,</w:t>
      </w:r>
      <w:r w:rsidRPr="007E20F9">
        <w:rPr>
          <w:rFonts w:eastAsia="Calibri" w:cs="Verdana"/>
          <w:lang w:val="es-ES_tradnl" w:eastAsia="en-US"/>
        </w:rPr>
        <w:t xml:space="preserve"> </w:t>
      </w:r>
      <w:r>
        <w:rPr>
          <w:rFonts w:cs="Verdana"/>
          <w:lang w:val="es-ES_tradnl"/>
        </w:rPr>
        <w:t>Principio</w:t>
      </w:r>
      <w:r w:rsidRPr="007E20F9">
        <w:rPr>
          <w:rFonts w:cs="Verdana"/>
          <w:lang w:val="es-ES_tradnl"/>
        </w:rPr>
        <w:t xml:space="preserve"> 10</w:t>
      </w:r>
      <w:r>
        <w:rPr>
          <w:lang w:val="es-ES_tradnl"/>
        </w:rPr>
        <w:t xml:space="preserve">, y </w:t>
      </w:r>
      <w:r w:rsidRPr="00606243">
        <w:t>artículo 4 de</w:t>
      </w:r>
      <w:r w:rsidRPr="001863DB">
        <w:t xml:space="preserve"> la Convención </w:t>
      </w:r>
      <w:r w:rsidRPr="00C271B5">
        <w:t xml:space="preserve">de Aarhus sobre el acceso a la información, la participación de los ciudadanos y el acceso a la justicia, </w:t>
      </w:r>
      <w:r w:rsidRPr="00C271B5">
        <w:rPr>
          <w:rStyle w:val="apple-converted-space"/>
          <w:rFonts w:cs="Arial"/>
          <w:shd w:val="clear" w:color="auto" w:fill="FFFFFF"/>
        </w:rPr>
        <w:t>t</w:t>
      </w:r>
      <w:hyperlink r:id="rId12" w:tooltip="Tratado internacional" w:history="1">
        <w:r w:rsidRPr="00C271B5">
          <w:rPr>
            <w:rStyle w:val="Hyperlink"/>
            <w:rFonts w:cs="Arial"/>
            <w:color w:val="auto"/>
            <w:u w:val="none"/>
            <w:shd w:val="clear" w:color="auto" w:fill="FFFFFF"/>
          </w:rPr>
          <w:t>ratado internacional</w:t>
        </w:r>
      </w:hyperlink>
      <w:r w:rsidRPr="00C271B5">
        <w:t xml:space="preserve"> </w:t>
      </w:r>
      <w:r w:rsidRPr="00C271B5">
        <w:rPr>
          <w:rFonts w:cs="Arial"/>
          <w:shd w:val="clear" w:color="auto" w:fill="FFFFFF"/>
        </w:rPr>
        <w:t xml:space="preserve">que regula los derechos de participación ciudadana en relación con el medio ambiente. Disponible en: </w:t>
      </w:r>
      <w:hyperlink r:id="rId13" w:history="1">
        <w:r w:rsidRPr="00C271B5">
          <w:rPr>
            <w:rStyle w:val="Hyperlink"/>
            <w:rFonts w:cs="Arial"/>
            <w:shd w:val="clear" w:color="auto" w:fill="FFFFFF"/>
          </w:rPr>
          <w:t>http://eur-lex.europa.eu/legal-content/ES/TXT/HTML/?uri=URISERV:l28056&amp;from=ES</w:t>
        </w:r>
      </w:hyperlink>
      <w:r>
        <w:rPr>
          <w:rFonts w:cs="Arial"/>
          <w:shd w:val="clear" w:color="auto" w:fill="FFFFFF"/>
        </w:rPr>
        <w:t>.</w:t>
      </w:r>
      <w:r w:rsidRPr="00C271B5">
        <w:rPr>
          <w:rFonts w:cs="Arial"/>
          <w:shd w:val="clear" w:color="auto" w:fill="FFFFFF"/>
        </w:rPr>
        <w:t xml:space="preserve"> </w:t>
      </w:r>
      <w:r>
        <w:rPr>
          <w:rFonts w:cs="Arial"/>
          <w:i/>
          <w:shd w:val="clear" w:color="auto" w:fill="FFFFFF"/>
        </w:rPr>
        <w:t>C</w:t>
      </w:r>
      <w:r w:rsidRPr="00C271B5">
        <w:rPr>
          <w:rFonts w:cs="Arial"/>
          <w:i/>
          <w:shd w:val="clear" w:color="auto" w:fill="FFFFFF"/>
        </w:rPr>
        <w:t xml:space="preserve">fr. </w:t>
      </w:r>
      <w:r w:rsidRPr="00606243">
        <w:rPr>
          <w:i/>
        </w:rPr>
        <w:t xml:space="preserve">Caso Claude Reyes y otros Vs Chile. Fondo, Reparaciones y Costas. </w:t>
      </w:r>
      <w:r w:rsidRPr="00606243">
        <w:t xml:space="preserve">Sentencia de 19 de septiembre de 2006. </w:t>
      </w:r>
      <w:r w:rsidRPr="001863DB">
        <w:t>Serie C. No.</w:t>
      </w:r>
      <w:r w:rsidRPr="00C271B5">
        <w:t xml:space="preserve"> 151, párrs. 79 y 84.</w:t>
      </w:r>
    </w:p>
  </w:footnote>
  <w:footnote w:id="232">
    <w:p w14:paraId="1B1CE29F" w14:textId="418106D2" w:rsidR="00247DB8" w:rsidRPr="00C271B5" w:rsidRDefault="00247DB8" w:rsidP="00AA7575">
      <w:pPr>
        <w:pStyle w:val="FootnoteText"/>
        <w:spacing w:afterLines="40" w:after="96"/>
        <w:rPr>
          <w:lang w:val="es-PR"/>
        </w:rPr>
      </w:pPr>
      <w:r w:rsidRPr="00BA5FB7">
        <w:rPr>
          <w:rStyle w:val="FootnoteReference"/>
          <w:sz w:val="16"/>
        </w:rPr>
        <w:footnoteRef/>
      </w:r>
      <w:r w:rsidRPr="00C271B5">
        <w:t xml:space="preserve"> </w:t>
      </w:r>
      <w:r w:rsidRPr="00C271B5">
        <w:tab/>
        <w:t xml:space="preserve">Por ejemplo, a fin de que puedan usar y disfrutar de los recursos naturales que se encuentran en los mismos, necesarios para procurar su subsistencia mediante sus actividades tradicionales, acceder a los sistemas </w:t>
      </w:r>
      <w:r w:rsidRPr="00606243">
        <w:t xml:space="preserve">tradicionales de salud y otras funciones socioculturales, y preservar su forma de vida, costumbres e idioma , así como acceder, mantener y proteger sus lugares religiosos y culturales. Además, deberán mantener, proteger y promover las prácticas tradicionales de los pueblos indígenas que colaboren con el cuidado y protección del medio natural y sostenibilidad. En este sentido, resulta pertinente apoyar los conocimientos, instituciones, prácticas, estrategias y planes de gestión relacionados con la conservación de los pueblos indígenas. </w:t>
      </w:r>
      <w:r w:rsidRPr="001863DB">
        <w:rPr>
          <w:i/>
        </w:rPr>
        <w:t>Cfr.</w:t>
      </w:r>
      <w:r w:rsidRPr="001863DB">
        <w:t xml:space="preserve"> Artículo 12 de la </w:t>
      </w:r>
      <w:r w:rsidRPr="003C5DE4">
        <w:t xml:space="preserve">Declaración de las Naciones Unidas sobre </w:t>
      </w:r>
      <w:r>
        <w:t xml:space="preserve">los </w:t>
      </w:r>
      <w:r w:rsidRPr="003C5DE4">
        <w:t>Derechos de los P</w:t>
      </w:r>
      <w:r>
        <w:t>ueblos Indígenas,</w:t>
      </w:r>
      <w:r w:rsidRPr="001863DB">
        <w:t xml:space="preserve"> </w:t>
      </w:r>
      <w:r w:rsidRPr="00C271B5">
        <w:rPr>
          <w:i/>
        </w:rPr>
        <w:t>supra</w:t>
      </w:r>
      <w:r>
        <w:t>, y</w:t>
      </w:r>
      <w:r w:rsidRPr="00C271B5">
        <w:t xml:space="preserve"> </w:t>
      </w:r>
      <w:r>
        <w:t>D</w:t>
      </w:r>
      <w:r w:rsidRPr="00C271B5">
        <w:t xml:space="preserve">ecisiones adoptadas por la Conferencia de las Partes en el Convenio sobre la Diversidad Biológica en su </w:t>
      </w:r>
      <w:r w:rsidRPr="00D97182">
        <w:t>décima segunda reunión, Decisión XII</w:t>
      </w:r>
      <w:r w:rsidRPr="004B0145">
        <w:t xml:space="preserve"> </w:t>
      </w:r>
      <w:r w:rsidRPr="00D97182">
        <w:t>/12, párrs. 8 y 9.</w:t>
      </w:r>
    </w:p>
  </w:footnote>
  <w:footnote w:id="233">
    <w:p w14:paraId="3E2EBF0F" w14:textId="77777777" w:rsidR="00247DB8" w:rsidRPr="00C271B5" w:rsidRDefault="00247DB8" w:rsidP="00AA7575">
      <w:pPr>
        <w:pStyle w:val="FootnoteText"/>
        <w:spacing w:afterLines="40" w:after="96"/>
      </w:pPr>
      <w:r w:rsidRPr="00BA5FB7">
        <w:rPr>
          <w:rStyle w:val="FootnoteReference"/>
          <w:sz w:val="16"/>
        </w:rPr>
        <w:footnoteRef/>
      </w:r>
      <w:r w:rsidRPr="00C271B5">
        <w:t xml:space="preserve"> </w:t>
      </w:r>
      <w:r w:rsidRPr="00C271B5">
        <w:tab/>
      </w:r>
      <w:r w:rsidRPr="00C271B5">
        <w:rPr>
          <w:i/>
        </w:rPr>
        <w:t>Cfr.</w:t>
      </w:r>
      <w:r w:rsidRPr="00C271B5">
        <w:t xml:space="preserve"> Artículo 8</w:t>
      </w:r>
      <w:r>
        <w:t>.</w:t>
      </w:r>
      <w:r w:rsidRPr="00C271B5">
        <w:t>j</w:t>
      </w:r>
      <w:r w:rsidRPr="00606243">
        <w:t>) del Convenio sobre la Diversidad Biológica</w:t>
      </w:r>
      <w:r w:rsidRPr="001863DB">
        <w:t xml:space="preserve">; </w:t>
      </w:r>
      <w:r w:rsidRPr="00C271B5">
        <w:t>ONU</w:t>
      </w:r>
      <w:r>
        <w:t>,</w:t>
      </w:r>
      <w:r w:rsidRPr="00C271B5">
        <w:t xml:space="preserve"> Protocolo de Nagoya sobre Acceso a los Recursos Genéticos y Participación Justa y Equitativa en los Beneficios que se deriven de su Utilización al Convenio sobre la Diversidad Biológica, de 29 de octubre de 2010. Artículos 5 a 16 y 21, </w:t>
      </w:r>
      <w:r w:rsidRPr="00C271B5">
        <w:rPr>
          <w:lang w:val="es-ES_tradnl"/>
        </w:rPr>
        <w:t>tratado internacional que se basa y apoya la aplicación del CDB, en particular de uno de sus tres objetivos, la participación justa y equitativa en los beneficios derivados de la utilización de los recursos genéticos</w:t>
      </w:r>
      <w:r w:rsidRPr="00C271B5">
        <w:t xml:space="preserve"> Disponible en: </w:t>
      </w:r>
      <w:hyperlink r:id="rId14" w:history="1">
        <w:r w:rsidRPr="00C271B5">
          <w:rPr>
            <w:rStyle w:val="Hyperlink"/>
          </w:rPr>
          <w:t>https://www.cbd.int/abs/doc/protocol/nagoya-protocol-es.pdf</w:t>
        </w:r>
      </w:hyperlink>
      <w:r w:rsidRPr="00C271B5">
        <w:t xml:space="preserve">; </w:t>
      </w:r>
      <w:r w:rsidRPr="00606243">
        <w:t xml:space="preserve">artículo 12 </w:t>
      </w:r>
      <w:r w:rsidRPr="001863DB">
        <w:t>de la Declaración Americana de los Derechos y Deberes del Hombre.</w:t>
      </w:r>
      <w:r w:rsidRPr="00C271B5">
        <w:t xml:space="preserve"> Disponible en: </w:t>
      </w:r>
      <w:hyperlink r:id="rId15" w:history="1">
        <w:r w:rsidRPr="00E3683D">
          <w:rPr>
            <w:rStyle w:val="Hyperlink"/>
          </w:rPr>
          <w:t>http://www.oas.org/es/cidh/mandato/Basicos/declaracion.asp</w:t>
        </w:r>
      </w:hyperlink>
      <w:r>
        <w:t xml:space="preserve">. </w:t>
      </w:r>
    </w:p>
    <w:p w14:paraId="22647F5D" w14:textId="77777777" w:rsidR="00247DB8" w:rsidRPr="00C271B5" w:rsidRDefault="00247DB8" w:rsidP="00AA7575">
      <w:pPr>
        <w:pStyle w:val="FootnoteText"/>
        <w:spacing w:afterLines="40" w:after="96"/>
      </w:pPr>
    </w:p>
  </w:footnote>
  <w:footnote w:id="234">
    <w:p w14:paraId="0476CF42" w14:textId="77777777" w:rsidR="00247DB8" w:rsidRPr="001863DB"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Declaración de Glenn Renaldo Kingswijk </w:t>
      </w:r>
      <w:r w:rsidRPr="00606243">
        <w:t>ante la CIDH (expediente de prueba, folio 362)</w:t>
      </w:r>
      <w:r>
        <w:t>.</w:t>
      </w:r>
    </w:p>
  </w:footnote>
  <w:footnote w:id="235">
    <w:p w14:paraId="5CF9BA7E" w14:textId="0DEF7664"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Entre ellas alegaron que</w:t>
      </w:r>
      <w:r w:rsidRPr="00606243">
        <w:t>: i) los Pueblos Kaliña y Lokono tienen una capacidad limitada para llevar a cabo tareas en relación a las áreas clasificadas por las IUCN como reservas de categoría IV, ya que estas requieren unos conocimientos especiales, que no están en condiciones de ofrecer (expediente de fondo,</w:t>
      </w:r>
      <w:r w:rsidRPr="001863DB">
        <w:t xml:space="preserve"> f</w:t>
      </w:r>
      <w:r w:rsidRPr="00C271B5">
        <w:t>olio 589); ii) el Estado observa que las poblaciones de Kaliña y Lokono se encuentran en un proceso de aculturización y que están más interesados en actividades modernas que en el conocimiento tradicional. Son, por tanto, incapaces de adaptarse a los cambios de la naturaleza, como vientos e inundaciones (expediente de fondo, folio 589); iii) no poseen la capacidad de coordinar los esfuerzos para la conservación natural más allá del nivel local, no tienen conocimientos para la evaluación de los sistemas biológicos integrados en el país como un todo. mientras que el Estado, como dispone la ley, sí (expediente de fondo, folios 589 y 590), y iv) el Surinam debe posicionarse en el sistema mundial de la protección de la naturaleza y dialogar con una amplia gama de interesados, el Convenio sobre la Diversidad Biológica, la Convención Ramsar y otros (expediente de fondo, folio 590). Por todo esto, bajo ningún concepto el Estado dejará en manos de los indígenas la supervisión de las tres reservas, no obstante respeta sus derechos para asegurar sus medios de subsistencia y supervivencia y de hecho estos grupos han cobrado más protagonismo en la protección de la naturaleza en R</w:t>
      </w:r>
      <w:r>
        <w:t>í</w:t>
      </w:r>
      <w:r w:rsidRPr="00C271B5">
        <w:t>o Bajo Marowijne (expediente de fondo, folio 590).</w:t>
      </w:r>
    </w:p>
  </w:footnote>
  <w:footnote w:id="236">
    <w:p w14:paraId="7374515B"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 xml:space="preserve">Cfr. </w:t>
      </w:r>
      <w:r w:rsidRPr="00606243">
        <w:t>Artículo 18 de la Declaración de las Naciones Unidas sobre los Derechos de los Pueblos Indígenas</w:t>
      </w:r>
      <w:r w:rsidRPr="001863DB">
        <w:t xml:space="preserve">, </w:t>
      </w:r>
      <w:r w:rsidRPr="001863DB">
        <w:rPr>
          <w:i/>
        </w:rPr>
        <w:t>supra.</w:t>
      </w:r>
    </w:p>
  </w:footnote>
  <w:footnote w:id="237">
    <w:p w14:paraId="50620B3D" w14:textId="77777777" w:rsidR="00247DB8" w:rsidRPr="001863DB" w:rsidRDefault="00247DB8" w:rsidP="00AA7575">
      <w:pPr>
        <w:pStyle w:val="FootnoteText"/>
        <w:spacing w:afterLines="40" w:after="96"/>
      </w:pPr>
      <w:r w:rsidRPr="00C271B5">
        <w:rPr>
          <w:rStyle w:val="FootnoteReference"/>
          <w:sz w:val="16"/>
        </w:rPr>
        <w:footnoteRef/>
      </w:r>
      <w:r w:rsidRPr="00C271B5">
        <w:t xml:space="preserve"> </w:t>
      </w:r>
      <w:r w:rsidRPr="00C271B5">
        <w:tab/>
      </w:r>
      <w:r w:rsidRPr="008740D1">
        <w:rPr>
          <w:i/>
        </w:rPr>
        <w:t>Cfr. Inter alia,</w:t>
      </w:r>
      <w:r w:rsidRPr="00606243">
        <w:t xml:space="preserve"> </w:t>
      </w:r>
      <w:r w:rsidRPr="00606243">
        <w:rPr>
          <w:rStyle w:val="Strong"/>
          <w:b w:val="0"/>
          <w:i/>
          <w:lang w:val="es-CR"/>
        </w:rPr>
        <w:t>Caso de los Pueblos Indígenas Kuna de Madungandí y Emberá de Bayano y sus m</w:t>
      </w:r>
      <w:r w:rsidRPr="001863DB">
        <w:rPr>
          <w:rStyle w:val="Strong"/>
          <w:b w:val="0"/>
          <w:i/>
          <w:lang w:val="es-CR"/>
        </w:rPr>
        <w:t>iembros</w:t>
      </w:r>
      <w:r w:rsidRPr="001863DB">
        <w:t>, supra, párr. 30.</w:t>
      </w:r>
    </w:p>
  </w:footnote>
  <w:footnote w:id="238">
    <w:p w14:paraId="5C5614AD" w14:textId="77777777" w:rsidR="00247DB8" w:rsidRPr="007E20F9" w:rsidRDefault="00247DB8" w:rsidP="00AA7575">
      <w:pPr>
        <w:tabs>
          <w:tab w:val="left" w:pos="540"/>
          <w:tab w:val="left" w:pos="720"/>
        </w:tabs>
        <w:spacing w:afterLines="40" w:after="96"/>
        <w:ind w:right="4"/>
        <w:jc w:val="both"/>
        <w:rPr>
          <w:rFonts w:ascii="Verdana" w:hAnsi="Verdana"/>
          <w:b/>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t xml:space="preserve">El caso </w:t>
      </w:r>
      <w:r w:rsidRPr="007E20F9">
        <w:rPr>
          <w:rFonts w:ascii="Verdana" w:hAnsi="Verdana"/>
          <w:i/>
          <w:sz w:val="16"/>
          <w:szCs w:val="16"/>
        </w:rPr>
        <w:t xml:space="preserve">Saramaka </w:t>
      </w:r>
      <w:r w:rsidRPr="00C271B5">
        <w:rPr>
          <w:rFonts w:ascii="Verdana" w:hAnsi="Verdana"/>
          <w:sz w:val="16"/>
          <w:szCs w:val="16"/>
        </w:rPr>
        <w:t xml:space="preserve">señaló que “al garantizar la participación efectiva de los integrantes de [los pueblos indígenas y tribales] en los planes de desarrollo o inversión dentro de su territorio, el Estado tiene el deber de consultar[les], activamente, […] </w:t>
      </w:r>
      <w:r w:rsidRPr="00606243">
        <w:rPr>
          <w:rFonts w:ascii="Verdana" w:hAnsi="Verdana"/>
          <w:sz w:val="16"/>
          <w:szCs w:val="16"/>
        </w:rPr>
        <w:t>según sus costumbres y tradiciones. Este deber requiere que el Estado acepte y brinde información, e implica una comunicación constante entre las partes. Las consultas deben realizarse de buena fe, a través de procedimientos culturalmente adecuados y deben tener como fin llegar a un acuerdo. Asimismo, se debe consultar con [dichos pueblos], de conformidad con sus propias tradiciones, en las primeras etapas del plan de desarrollo o inversión […]. El aviso temprano proporciona un tiempo para la discusión interna dentro de las comunidades y para brindar una adecuada respuesta al Estado. El Estado, asimismo, debe asegurarse [de] que los miembros de [los pueblos indí</w:t>
      </w:r>
      <w:r w:rsidRPr="001863DB">
        <w:rPr>
          <w:rFonts w:ascii="Verdana" w:hAnsi="Verdana"/>
          <w:sz w:val="16"/>
          <w:szCs w:val="16"/>
        </w:rPr>
        <w:t>genas y tribales] tengan conocimiento de los posibles riesgos, inclu[yendo]</w:t>
      </w:r>
      <w:r w:rsidRPr="00C271B5">
        <w:rPr>
          <w:rFonts w:ascii="Verdana" w:hAnsi="Verdana"/>
          <w:sz w:val="16"/>
          <w:szCs w:val="16"/>
        </w:rPr>
        <w:t xml:space="preserve"> los riesgos ambientales y de salubridad, a fin de que acepten el plan de desarrollo o inversión propuesto con conocimiento y de forma voluntaria. Por último, la consulta debería tener en cuenta [sus] métodos tradicionales para la toma de decisiones”.</w:t>
      </w:r>
      <w:r w:rsidRPr="007E20F9">
        <w:rPr>
          <w:rFonts w:ascii="Verdana" w:hAnsi="Verdana"/>
          <w:i/>
          <w:sz w:val="16"/>
          <w:szCs w:val="16"/>
        </w:rPr>
        <w:t xml:space="preserve"> </w:t>
      </w:r>
      <w:r w:rsidRPr="00C271B5">
        <w:rPr>
          <w:rFonts w:ascii="Verdana" w:hAnsi="Verdana"/>
          <w:i/>
          <w:sz w:val="16"/>
          <w:szCs w:val="16"/>
        </w:rPr>
        <w:t>Caso del Pueblo Saramaka</w:t>
      </w:r>
      <w:r w:rsidRPr="00606243">
        <w:rPr>
          <w:rFonts w:ascii="Verdana" w:hAnsi="Verdana"/>
          <w:i/>
          <w:sz w:val="16"/>
          <w:szCs w:val="16"/>
        </w:rPr>
        <w:t>,</w:t>
      </w:r>
      <w:r w:rsidRPr="00606243">
        <w:rPr>
          <w:rFonts w:ascii="Verdana" w:hAnsi="Verdana"/>
          <w:sz w:val="16"/>
          <w:szCs w:val="16"/>
        </w:rPr>
        <w:t xml:space="preserve"> </w:t>
      </w:r>
      <w:r w:rsidRPr="00606243">
        <w:rPr>
          <w:rFonts w:ascii="Verdana" w:hAnsi="Verdana"/>
          <w:i/>
          <w:sz w:val="16"/>
          <w:szCs w:val="16"/>
        </w:rPr>
        <w:t>supra</w:t>
      </w:r>
      <w:r w:rsidRPr="00606243">
        <w:rPr>
          <w:rFonts w:ascii="Verdana" w:hAnsi="Verdana"/>
          <w:sz w:val="16"/>
          <w:szCs w:val="16"/>
        </w:rPr>
        <w:t>,</w:t>
      </w:r>
      <w:r w:rsidRPr="00606243">
        <w:rPr>
          <w:rFonts w:ascii="Verdana" w:hAnsi="Verdana"/>
          <w:i/>
          <w:sz w:val="16"/>
          <w:szCs w:val="16"/>
        </w:rPr>
        <w:t xml:space="preserve"> </w:t>
      </w:r>
      <w:r w:rsidRPr="00C271B5">
        <w:rPr>
          <w:rFonts w:ascii="Verdana" w:hAnsi="Verdana"/>
          <w:sz w:val="16"/>
          <w:szCs w:val="16"/>
        </w:rPr>
        <w:t xml:space="preserve">párr. 133, y </w:t>
      </w:r>
      <w:r w:rsidRPr="00C271B5">
        <w:rPr>
          <w:rFonts w:ascii="Verdana" w:hAnsi="Verdana"/>
          <w:i/>
          <w:sz w:val="16"/>
          <w:szCs w:val="16"/>
        </w:rPr>
        <w:t>Caso Pueblo Indígena Kichwa de Sarayaku, supra,</w:t>
      </w:r>
      <w:r w:rsidRPr="00C271B5">
        <w:rPr>
          <w:rFonts w:ascii="Verdana" w:hAnsi="Verdana"/>
          <w:sz w:val="16"/>
          <w:szCs w:val="16"/>
        </w:rPr>
        <w:t xml:space="preserve"> párr. 178.</w:t>
      </w:r>
    </w:p>
  </w:footnote>
  <w:footnote w:id="239">
    <w:p w14:paraId="6D6411CD" w14:textId="77777777" w:rsidR="00247DB8" w:rsidRDefault="00247DB8" w:rsidP="00AA7575">
      <w:pPr>
        <w:pStyle w:val="Footnotes"/>
        <w:spacing w:before="0" w:afterLines="40" w:after="96"/>
        <w:rPr>
          <w:rFonts w:eastAsia="Times New Roman"/>
        </w:rPr>
      </w:pPr>
      <w:r w:rsidRPr="00C271B5">
        <w:rPr>
          <w:rStyle w:val="FootnoteReference"/>
          <w:sz w:val="16"/>
        </w:rPr>
        <w:footnoteRef/>
      </w:r>
      <w:r w:rsidRPr="00C271B5">
        <w:t xml:space="preserve"> </w:t>
      </w:r>
      <w:r w:rsidRPr="00C271B5">
        <w:tab/>
      </w:r>
      <w:r w:rsidRPr="007E20F9">
        <w:rPr>
          <w:i/>
        </w:rPr>
        <w:t>Caso del Pueblo Saramaka, supra,</w:t>
      </w:r>
      <w:r w:rsidRPr="00C271B5">
        <w:t xml:space="preserve"> párr. 129, y</w:t>
      </w:r>
      <w:r w:rsidRPr="00606243">
        <w:t xml:space="preserve"> </w:t>
      </w:r>
      <w:r w:rsidRPr="007E20F9">
        <w:rPr>
          <w:i/>
        </w:rPr>
        <w:t>Caso de la Comunidad Garífuna de Punta Piedra y sus</w:t>
      </w:r>
      <w:r w:rsidRPr="00C271B5">
        <w:t xml:space="preserve"> </w:t>
      </w:r>
      <w:r w:rsidRPr="00606243">
        <w:rPr>
          <w:i/>
        </w:rPr>
        <w:t>miembros</w:t>
      </w:r>
      <w:r w:rsidRPr="007E20F9">
        <w:rPr>
          <w:i/>
        </w:rPr>
        <w:t>, supra,</w:t>
      </w:r>
      <w:r w:rsidRPr="00C271B5">
        <w:t xml:space="preserve"> párr. 215.</w:t>
      </w:r>
    </w:p>
  </w:footnote>
  <w:footnote w:id="240">
    <w:p w14:paraId="330BE753" w14:textId="77777777" w:rsidR="00247DB8" w:rsidRPr="007E20F9" w:rsidRDefault="00247DB8" w:rsidP="00AA7575">
      <w:pPr>
        <w:pStyle w:val="NormalWeb"/>
        <w:tabs>
          <w:tab w:val="left" w:pos="567"/>
        </w:tabs>
        <w:spacing w:before="0" w:beforeAutospacing="0" w:afterLines="40" w:after="96" w:afterAutospacing="0"/>
        <w:jc w:val="both"/>
        <w:rPr>
          <w:rFonts w:ascii="Verdana" w:hAnsi="Verdana"/>
          <w:color w:val="000000"/>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hAnsi="Verdana"/>
          <w:i/>
          <w:sz w:val="16"/>
          <w:szCs w:val="16"/>
        </w:rPr>
        <w:t xml:space="preserve">Cfr. </w:t>
      </w:r>
      <w:r>
        <w:rPr>
          <w:rFonts w:ascii="Verdana" w:hAnsi="Verdana"/>
          <w:sz w:val="16"/>
          <w:szCs w:val="16"/>
          <w:lang w:val="es-ES_tradnl"/>
        </w:rPr>
        <w:t>A</w:t>
      </w:r>
      <w:r w:rsidRPr="00606243">
        <w:rPr>
          <w:rFonts w:ascii="Verdana" w:hAnsi="Verdana"/>
          <w:sz w:val="16"/>
          <w:szCs w:val="16"/>
          <w:lang w:val="es-ES_tradnl"/>
        </w:rPr>
        <w:t xml:space="preserve">rtículo 29 de la </w:t>
      </w:r>
      <w:r w:rsidRPr="00606243">
        <w:rPr>
          <w:rFonts w:ascii="Verdana" w:hAnsi="Verdana"/>
          <w:color w:val="000000"/>
          <w:sz w:val="16"/>
          <w:szCs w:val="16"/>
        </w:rPr>
        <w:t xml:space="preserve">Declaración de las Naciones Unidas sobre los Derechos de los </w:t>
      </w:r>
      <w:r w:rsidRPr="001863DB">
        <w:rPr>
          <w:rFonts w:ascii="Verdana" w:hAnsi="Verdana"/>
          <w:color w:val="000000"/>
          <w:sz w:val="16"/>
          <w:szCs w:val="16"/>
        </w:rPr>
        <w:t>P</w:t>
      </w:r>
      <w:r w:rsidRPr="00BA5FB7">
        <w:rPr>
          <w:rFonts w:ascii="Verdana" w:hAnsi="Verdana"/>
          <w:color w:val="000000"/>
          <w:sz w:val="16"/>
          <w:szCs w:val="16"/>
        </w:rPr>
        <w:t>ueblos Indígenas</w:t>
      </w:r>
      <w:r w:rsidRPr="006811FF">
        <w:rPr>
          <w:rFonts w:ascii="Verdana" w:hAnsi="Verdana"/>
          <w:color w:val="000000"/>
          <w:sz w:val="16"/>
          <w:szCs w:val="16"/>
        </w:rPr>
        <w:t xml:space="preserve">, </w:t>
      </w:r>
      <w:r w:rsidRPr="006C44DC">
        <w:rPr>
          <w:rFonts w:ascii="Verdana" w:hAnsi="Verdana"/>
          <w:i/>
          <w:color w:val="000000"/>
          <w:sz w:val="16"/>
          <w:szCs w:val="16"/>
        </w:rPr>
        <w:t>supra</w:t>
      </w:r>
      <w:r w:rsidRPr="006C44DC">
        <w:rPr>
          <w:rFonts w:ascii="Verdana" w:hAnsi="Verdana"/>
          <w:color w:val="000000"/>
          <w:sz w:val="16"/>
          <w:szCs w:val="16"/>
        </w:rPr>
        <w:t>;</w:t>
      </w:r>
      <w:r>
        <w:rPr>
          <w:rFonts w:ascii="Verdana" w:hAnsi="Verdana"/>
          <w:i/>
          <w:color w:val="000000"/>
          <w:sz w:val="16"/>
        </w:rPr>
        <w:t xml:space="preserve"> </w:t>
      </w:r>
      <w:r w:rsidRPr="00C271B5">
        <w:rPr>
          <w:rFonts w:ascii="Verdana" w:hAnsi="Verdana"/>
          <w:sz w:val="16"/>
          <w:szCs w:val="16"/>
        </w:rPr>
        <w:t xml:space="preserve">artículo 6 de la Carta Democrática Interamericana, que señala que </w:t>
      </w:r>
      <w:r w:rsidRPr="00C271B5">
        <w:rPr>
          <w:rFonts w:ascii="Verdana" w:hAnsi="Verdana"/>
          <w:color w:val="000000"/>
          <w:sz w:val="16"/>
          <w:szCs w:val="16"/>
        </w:rPr>
        <w:t xml:space="preserve">“la participación de la ciudadanía en las decisiones relativas a su propio desarrollo es un derecho y una responsabilidad […]”. </w:t>
      </w:r>
    </w:p>
  </w:footnote>
  <w:footnote w:id="241">
    <w:p w14:paraId="6AB62CBF" w14:textId="77777777" w:rsidR="00247DB8" w:rsidRPr="007E20F9" w:rsidRDefault="00247DB8" w:rsidP="00AA7575">
      <w:pPr>
        <w:pStyle w:val="FootnoteText"/>
        <w:spacing w:afterLines="40" w:after="96"/>
        <w:rPr>
          <w:b/>
        </w:rPr>
      </w:pPr>
      <w:r w:rsidRPr="00C271B5">
        <w:rPr>
          <w:rStyle w:val="FootnoteReference"/>
          <w:sz w:val="16"/>
        </w:rPr>
        <w:footnoteRef/>
      </w:r>
      <w:r w:rsidRPr="007E20F9">
        <w:t xml:space="preserve">  </w:t>
      </w:r>
      <w:r w:rsidRPr="007E20F9">
        <w:tab/>
      </w:r>
      <w:r w:rsidRPr="007E20F9">
        <w:rPr>
          <w:i/>
        </w:rPr>
        <w:t>Cfr. Mutatis mutandi</w:t>
      </w:r>
      <w:r w:rsidRPr="007E20F9">
        <w:t xml:space="preserve">, </w:t>
      </w:r>
      <w:r w:rsidRPr="007E20F9">
        <w:rPr>
          <w:i/>
        </w:rPr>
        <w:t>Caso Yatama Vs. Nicaragua, Excepciones Preliminares, Fondo, Reparaciones y Costas</w:t>
      </w:r>
      <w:r w:rsidRPr="00C271B5">
        <w:t xml:space="preserve">. </w:t>
      </w:r>
      <w:r w:rsidRPr="007E20F9">
        <w:t>Sentencia de</w:t>
      </w:r>
      <w:r w:rsidRPr="00C271B5">
        <w:t xml:space="preserve"> 23 de junio de 2005. Serie C No. 127</w:t>
      </w:r>
      <w:r w:rsidRPr="007E20F9">
        <w:t>, párr</w:t>
      </w:r>
      <w:r w:rsidRPr="00C271B5">
        <w:t>.</w:t>
      </w:r>
      <w:r>
        <w:t xml:space="preserve"> </w:t>
      </w:r>
      <w:r w:rsidRPr="007E20F9">
        <w:t>225.</w:t>
      </w:r>
    </w:p>
  </w:footnote>
  <w:footnote w:id="242">
    <w:p w14:paraId="69DF942B" w14:textId="5655BDFF" w:rsidR="00247DB8" w:rsidRPr="00C271B5" w:rsidRDefault="00247DB8" w:rsidP="00AA7575">
      <w:pPr>
        <w:pStyle w:val="FootnoteText"/>
        <w:spacing w:afterLines="40" w:after="96"/>
      </w:pPr>
      <w:r w:rsidRPr="00AE3C94">
        <w:rPr>
          <w:rStyle w:val="FootnoteReference"/>
          <w:sz w:val="16"/>
        </w:rPr>
        <w:footnoteRef/>
      </w:r>
      <w:r w:rsidRPr="00C271B5">
        <w:t xml:space="preserve"> </w:t>
      </w:r>
      <w:r w:rsidRPr="00C271B5">
        <w:tab/>
      </w:r>
      <w:r w:rsidRPr="00C271B5">
        <w:rPr>
          <w:i/>
        </w:rPr>
        <w:t>Cfr.</w:t>
      </w:r>
      <w:r w:rsidRPr="00606243">
        <w:t xml:space="preserve"> </w:t>
      </w:r>
      <w:r w:rsidRPr="00606243">
        <w:rPr>
          <w:i/>
        </w:rPr>
        <w:t xml:space="preserve">Caso del </w:t>
      </w:r>
      <w:r w:rsidRPr="00606243">
        <w:rPr>
          <w:i/>
          <w:snapToGrid w:val="0"/>
        </w:rPr>
        <w:t>Pueblo Saramaka,</w:t>
      </w:r>
      <w:r w:rsidRPr="00606243">
        <w:rPr>
          <w:snapToGrid w:val="0"/>
        </w:rPr>
        <w:t xml:space="preserve"> </w:t>
      </w:r>
      <w:r w:rsidRPr="00606243">
        <w:rPr>
          <w:i/>
          <w:snapToGrid w:val="0"/>
        </w:rPr>
        <w:t>supra</w:t>
      </w:r>
      <w:r w:rsidRPr="00606243">
        <w:rPr>
          <w:snapToGrid w:val="0"/>
        </w:rPr>
        <w:t xml:space="preserve">, párr. 129. </w:t>
      </w:r>
      <w:r w:rsidRPr="001863DB">
        <w:t>En este mismo sentido en el caso de la Comunidad Garífuna de Punta Piedra</w:t>
      </w:r>
      <w:r w:rsidRPr="00C271B5">
        <w:t xml:space="preserve"> y sus miembros, </w:t>
      </w:r>
      <w:r w:rsidRPr="00C271B5">
        <w:rPr>
          <w:lang w:val="es-CR"/>
        </w:rPr>
        <w:t xml:space="preserve">la Corte señaló que la consulta debe ser previa y debe realizarse desde las primeras etapas del plan de desarrollo o inversión, a fin de que los </w:t>
      </w:r>
      <w:r>
        <w:rPr>
          <w:lang w:val="es-CR"/>
        </w:rPr>
        <w:t>pueblos indígenas y tribales</w:t>
      </w:r>
      <w:r w:rsidRPr="00C271B5">
        <w:rPr>
          <w:lang w:val="es-CR"/>
        </w:rPr>
        <w:t xml:space="preserve"> puedan verdaderamente participar e influir en el proceso de adopción de decisiones</w:t>
      </w:r>
      <w:r w:rsidRPr="00C271B5">
        <w:rPr>
          <w:i/>
        </w:rPr>
        <w:t xml:space="preserve"> Cfr.</w:t>
      </w:r>
      <w:r w:rsidRPr="00C271B5">
        <w:t xml:space="preserve"> </w:t>
      </w:r>
      <w:r w:rsidRPr="00C271B5">
        <w:rPr>
          <w:i/>
        </w:rPr>
        <w:t>Caso Comunidad Garífuna de Punta Piedra y sus miembros, supra</w:t>
      </w:r>
      <w:r w:rsidRPr="00C271B5">
        <w:t xml:space="preserve">, párr. 217. </w:t>
      </w:r>
    </w:p>
  </w:footnote>
  <w:footnote w:id="243">
    <w:p w14:paraId="41442E55"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C271B5">
        <w:rPr>
          <w:i/>
          <w:lang w:val="es-ES_tradnl"/>
        </w:rPr>
        <w:t xml:space="preserve">Caso </w:t>
      </w:r>
      <w:r w:rsidRPr="00C271B5">
        <w:rPr>
          <w:i/>
        </w:rPr>
        <w:t>del Pueblo de Saramaka, supra,</w:t>
      </w:r>
      <w:r w:rsidRPr="00606243">
        <w:t xml:space="preserve"> párr. 129</w:t>
      </w:r>
      <w:r>
        <w:t>.</w:t>
      </w:r>
      <w:r w:rsidRPr="00606243">
        <w:t xml:space="preserve"> La Corte entiende,</w:t>
      </w:r>
      <w:r w:rsidRPr="001863DB">
        <w:t xml:space="preserve"> además,</w:t>
      </w:r>
      <w:r w:rsidRPr="00C271B5">
        <w:t xml:space="preserve"> que un proyecto minero está conformado por distintas etapas,</w:t>
      </w:r>
      <w:r w:rsidRPr="00C271B5">
        <w:rPr>
          <w:lang w:val="es-MX"/>
        </w:rPr>
        <w:t xml:space="preserve"> entre ellas principalmente la etapa de exploración, la etapa de explotación y la del cierre del proyecto. </w:t>
      </w:r>
      <w:r w:rsidRPr="007E20F9">
        <w:rPr>
          <w:i/>
          <w:lang w:val="es-MX"/>
        </w:rPr>
        <w:t>Cfr</w:t>
      </w:r>
      <w:r w:rsidRPr="00C271B5">
        <w:rPr>
          <w:lang w:val="es-MX"/>
        </w:rPr>
        <w:t xml:space="preserve">. </w:t>
      </w:r>
      <w:r w:rsidRPr="00C271B5">
        <w:t xml:space="preserve">Decreto </w:t>
      </w:r>
      <w:r>
        <w:t>de Minería</w:t>
      </w:r>
      <w:r w:rsidRPr="00C271B5">
        <w:t xml:space="preserve"> (Mining Decree)</w:t>
      </w:r>
      <w:r w:rsidRPr="00606243">
        <w:rPr>
          <w:i/>
        </w:rPr>
        <w:t xml:space="preserve"> </w:t>
      </w:r>
      <w:r w:rsidRPr="00606243">
        <w:t>de 8 de mayo de 1986, artículos 21, 25 y 30, los cuales señalan como etapas en un proyecto minero a mayor escala a la etapa de reconocimiento, exploración y explotación en Surinam (expediente de prueba, folios 428, 431 y 435).</w:t>
      </w:r>
    </w:p>
  </w:footnote>
  <w:footnote w:id="244">
    <w:p w14:paraId="6FB23E41" w14:textId="71127F75" w:rsidR="00247DB8" w:rsidRPr="00606243" w:rsidRDefault="00247DB8" w:rsidP="00AA7575">
      <w:pPr>
        <w:pStyle w:val="FootnoteText"/>
        <w:spacing w:afterLines="40" w:after="96"/>
        <w:rPr>
          <w:lang w:val="es-CR"/>
        </w:rPr>
      </w:pPr>
      <w:r w:rsidRPr="00BA5FB7">
        <w:rPr>
          <w:rStyle w:val="FootnoteReference"/>
          <w:sz w:val="16"/>
        </w:rPr>
        <w:footnoteRef/>
      </w:r>
      <w:r w:rsidRPr="004B0145">
        <w:rPr>
          <w:lang w:val="es-CR"/>
        </w:rPr>
        <w:t xml:space="preserve"> </w:t>
      </w:r>
      <w:r w:rsidRPr="004B0145">
        <w:rPr>
          <w:lang w:val="es-CR"/>
        </w:rPr>
        <w:tab/>
        <w:t>Ley de Gestión Forestal (Forest Management Act) de 18 de setiembre de 1992, artículo 41. (</w:t>
      </w:r>
      <w:r w:rsidRPr="00D97182">
        <w:rPr>
          <w:lang w:val="es-CR"/>
        </w:rPr>
        <w:t>expediente</w:t>
      </w:r>
      <w:r w:rsidRPr="00C271B5">
        <w:rPr>
          <w:lang w:val="es-CR"/>
        </w:rPr>
        <w:t xml:space="preserve"> de prueba</w:t>
      </w:r>
      <w:r w:rsidRPr="00606243">
        <w:rPr>
          <w:lang w:val="es-CR"/>
        </w:rPr>
        <w:t>, folio 2727).</w:t>
      </w:r>
    </w:p>
  </w:footnote>
  <w:footnote w:id="245">
    <w:p w14:paraId="240B397A" w14:textId="042BB0AC" w:rsidR="00247DB8" w:rsidRPr="004B0145" w:rsidRDefault="00247DB8" w:rsidP="00AA7575">
      <w:pPr>
        <w:tabs>
          <w:tab w:val="left" w:pos="567"/>
        </w:tabs>
        <w:spacing w:afterLines="40" w:after="96"/>
        <w:jc w:val="both"/>
        <w:rPr>
          <w:rFonts w:ascii="Verdana" w:hAnsi="Verdana"/>
          <w:sz w:val="16"/>
          <w:szCs w:val="16"/>
          <w:lang w:val="es-CR"/>
        </w:rPr>
      </w:pPr>
      <w:r w:rsidRPr="008740D1">
        <w:rPr>
          <w:rStyle w:val="FootnoteReference"/>
          <w:sz w:val="16"/>
          <w:szCs w:val="16"/>
        </w:rPr>
        <w:footnoteRef/>
      </w:r>
      <w:r w:rsidRPr="008740D1">
        <w:rPr>
          <w:rFonts w:ascii="Verdana" w:hAnsi="Verdana"/>
          <w:sz w:val="16"/>
          <w:szCs w:val="16"/>
          <w:lang w:val="es-ES"/>
        </w:rPr>
        <w:t xml:space="preserve"> </w:t>
      </w:r>
      <w:r w:rsidRPr="008740D1">
        <w:rPr>
          <w:rFonts w:ascii="Verdana" w:hAnsi="Verdana"/>
          <w:sz w:val="16"/>
          <w:szCs w:val="16"/>
          <w:lang w:val="es-ES"/>
        </w:rPr>
        <w:tab/>
        <w:t xml:space="preserve">Decreto de Minería </w:t>
      </w:r>
      <w:r w:rsidRPr="007E20F9">
        <w:rPr>
          <w:rFonts w:ascii="Verdana" w:hAnsi="Verdana"/>
          <w:sz w:val="16"/>
          <w:lang w:val="es-ES"/>
        </w:rPr>
        <w:t>de</w:t>
      </w:r>
      <w:r>
        <w:rPr>
          <w:rFonts w:ascii="Verdana" w:hAnsi="Verdana"/>
          <w:sz w:val="16"/>
          <w:lang w:val="es-ES"/>
        </w:rPr>
        <w:t xml:space="preserve"> 8 de mayo de 1986, artículo 25 </w:t>
      </w:r>
      <w:r w:rsidRPr="004B0145">
        <w:rPr>
          <w:rFonts w:ascii="Verdana" w:hAnsi="Verdana"/>
          <w:sz w:val="16"/>
          <w:szCs w:val="16"/>
          <w:lang w:val="es-CR"/>
        </w:rPr>
        <w:t xml:space="preserve">(expediente de prueba, folio 431). </w:t>
      </w:r>
    </w:p>
  </w:footnote>
  <w:footnote w:id="246">
    <w:p w14:paraId="5DA8CC85" w14:textId="77777777" w:rsidR="00247DB8" w:rsidRPr="00606243" w:rsidRDefault="00247DB8" w:rsidP="00AA7575">
      <w:pPr>
        <w:pStyle w:val="FootnoteText"/>
        <w:spacing w:afterLines="40" w:after="96"/>
      </w:pPr>
      <w:r w:rsidRPr="007E20F9">
        <w:rPr>
          <w:rStyle w:val="FootnoteReference"/>
          <w:rFonts w:eastAsia="Calibri"/>
          <w:sz w:val="16"/>
          <w:lang w:val="es-ES_tradnl" w:eastAsia="en-US"/>
        </w:rPr>
        <w:footnoteRef/>
      </w:r>
      <w:r w:rsidRPr="00C271B5">
        <w:t xml:space="preserve"> </w:t>
      </w:r>
      <w:r w:rsidRPr="00C271B5">
        <w:tab/>
      </w:r>
      <w:r w:rsidRPr="00C271B5">
        <w:rPr>
          <w:i/>
        </w:rPr>
        <w:t>Cfr.</w:t>
      </w:r>
      <w:r w:rsidRPr="00C271B5">
        <w:t xml:space="preserve"> Peritaje de Mariska Muskie</w:t>
      </w:r>
      <w:r w:rsidRPr="00606243">
        <w:t>t de 30 de abril de 2007 (expediente de fondo, folios 452 y ss).</w:t>
      </w:r>
    </w:p>
  </w:footnote>
  <w:footnote w:id="247">
    <w:p w14:paraId="2FBAE3EF" w14:textId="1B256A90" w:rsidR="00247DB8" w:rsidRPr="007E20F9" w:rsidRDefault="00247DB8" w:rsidP="00AA7575">
      <w:pPr>
        <w:tabs>
          <w:tab w:val="left" w:pos="567"/>
        </w:tabs>
        <w:spacing w:afterLines="40" w:after="96"/>
        <w:jc w:val="both"/>
        <w:rPr>
          <w:rFonts w:ascii="Verdana" w:eastAsiaTheme="minorEastAsia" w:hAnsi="Verdana" w:cstheme="minorBidi"/>
          <w:sz w:val="16"/>
          <w:szCs w:val="16"/>
          <w:lang w:val="es-CR"/>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hAnsi="Verdana"/>
          <w:sz w:val="16"/>
          <w:szCs w:val="16"/>
          <w:lang w:val="es-CR"/>
        </w:rPr>
        <w:t>Conforme a diversas declaraciones y al peritaje de Stuart Kirsch,</w:t>
      </w:r>
      <w:r w:rsidRPr="007E20F9">
        <w:rPr>
          <w:rFonts w:ascii="Verdana" w:hAnsi="Verdana"/>
          <w:sz w:val="16"/>
          <w:szCs w:val="16"/>
        </w:rPr>
        <w:t xml:space="preserve"> (</w:t>
      </w:r>
      <w:r w:rsidRPr="00C271B5">
        <w:rPr>
          <w:rFonts w:ascii="Verdana" w:hAnsi="Verdana"/>
          <w:sz w:val="16"/>
          <w:szCs w:val="16"/>
        </w:rPr>
        <w:t>expediente de fondo, folio 357)</w:t>
      </w:r>
      <w:r w:rsidRPr="00606243">
        <w:rPr>
          <w:rFonts w:ascii="Verdana" w:hAnsi="Verdana"/>
          <w:sz w:val="16"/>
          <w:szCs w:val="16"/>
          <w:lang w:val="es-CR"/>
        </w:rPr>
        <w:t xml:space="preserve"> existirían dentro de la </w:t>
      </w:r>
      <w:r>
        <w:rPr>
          <w:rFonts w:ascii="Verdana" w:hAnsi="Verdana"/>
          <w:sz w:val="16"/>
          <w:szCs w:val="16"/>
          <w:lang w:val="es-CR"/>
        </w:rPr>
        <w:t>R</w:t>
      </w:r>
      <w:r w:rsidRPr="00606243">
        <w:rPr>
          <w:rFonts w:ascii="Verdana" w:hAnsi="Verdana"/>
          <w:sz w:val="16"/>
          <w:szCs w:val="16"/>
          <w:lang w:val="es-CR"/>
        </w:rPr>
        <w:t>eserva de Wane Kreek concesiones madereras otorgadas a terceros no indígenas, así como nuevas actividades de exploración en Wa</w:t>
      </w:r>
      <w:r w:rsidRPr="001863DB">
        <w:rPr>
          <w:rFonts w:ascii="Verdana" w:hAnsi="Verdana"/>
          <w:sz w:val="16"/>
          <w:szCs w:val="16"/>
          <w:lang w:val="es-CR"/>
        </w:rPr>
        <w:t>ne Kreek Hills que se habrían iniciado desde el 2014 derivadas de la concesión otorgada en 1958 hasta el año 2033,</w:t>
      </w:r>
      <w:r w:rsidRPr="00BA5FB7">
        <w:rPr>
          <w:rFonts w:ascii="Verdana" w:hAnsi="Verdana"/>
          <w:sz w:val="16"/>
          <w:szCs w:val="16"/>
          <w:lang w:val="es-CR"/>
        </w:rPr>
        <w:t xml:space="preserve"> según el Instituto de Bauxita de Surinam, </w:t>
      </w:r>
      <w:r w:rsidRPr="006811FF">
        <w:rPr>
          <w:rFonts w:ascii="Verdana" w:hAnsi="Verdana"/>
          <w:sz w:val="16"/>
          <w:szCs w:val="16"/>
          <w:lang w:val="es-CR"/>
        </w:rPr>
        <w:t>(</w:t>
      </w:r>
      <w:r w:rsidRPr="006C44DC">
        <w:rPr>
          <w:rFonts w:ascii="Verdana" w:hAnsi="Verdana"/>
          <w:sz w:val="16"/>
          <w:szCs w:val="16"/>
          <w:lang w:val="es-CR"/>
        </w:rPr>
        <w:t>expediente de prueba, folio 3076).</w:t>
      </w:r>
      <w:r w:rsidRPr="00762A46">
        <w:rPr>
          <w:rFonts w:ascii="Verdana" w:hAnsi="Verdana"/>
          <w:b/>
          <w:sz w:val="16"/>
          <w:szCs w:val="16"/>
          <w:lang w:val="es-CR"/>
        </w:rPr>
        <w:t xml:space="preserve"> </w:t>
      </w:r>
      <w:r w:rsidRPr="00762A46">
        <w:rPr>
          <w:rFonts w:ascii="Verdana" w:hAnsi="Verdana"/>
          <w:sz w:val="16"/>
          <w:szCs w:val="16"/>
          <w:lang w:val="es-CR"/>
        </w:rPr>
        <w:t>La Corte no cuenta con prueba suficiente para establecer la fecha, ubicación, cantidad de concesiones, personas o empresas a las cuales se las hubieran otorgado concesiones madereras o si, efectivamente, actividades de exploración se han retomado en el año 2014.</w:t>
      </w:r>
    </w:p>
  </w:footnote>
  <w:footnote w:id="248">
    <w:p w14:paraId="2FC70498" w14:textId="77777777" w:rsidR="00247DB8" w:rsidRPr="00C271B5" w:rsidRDefault="00247DB8" w:rsidP="00AA7575">
      <w:pPr>
        <w:tabs>
          <w:tab w:val="left" w:pos="567"/>
        </w:tabs>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t xml:space="preserve"> </w:t>
      </w:r>
      <w:r w:rsidRPr="00C271B5">
        <w:rPr>
          <w:rFonts w:ascii="Verdana" w:hAnsi="Verdana"/>
          <w:i/>
          <w:sz w:val="16"/>
          <w:szCs w:val="16"/>
        </w:rPr>
        <w:t>Cfr.</w:t>
      </w:r>
      <w:r w:rsidRPr="00C271B5">
        <w:rPr>
          <w:rFonts w:ascii="Verdana" w:hAnsi="Verdana"/>
          <w:sz w:val="16"/>
          <w:szCs w:val="16"/>
        </w:rPr>
        <w:t xml:space="preserve"> </w:t>
      </w:r>
      <w:r w:rsidRPr="007E20F9">
        <w:rPr>
          <w:rFonts w:ascii="Verdana" w:hAnsi="Verdana"/>
          <w:i/>
          <w:sz w:val="16"/>
          <w:szCs w:val="16"/>
        </w:rPr>
        <w:t>Caso del Pueblo Saramaka</w:t>
      </w:r>
      <w:r w:rsidRPr="00C271B5">
        <w:rPr>
          <w:rFonts w:ascii="Verdana" w:hAnsi="Verdana"/>
          <w:sz w:val="16"/>
          <w:szCs w:val="16"/>
        </w:rPr>
        <w:t xml:space="preserve">, </w:t>
      </w:r>
      <w:r w:rsidRPr="00C271B5">
        <w:rPr>
          <w:rFonts w:ascii="Verdana" w:hAnsi="Verdana"/>
          <w:i/>
          <w:sz w:val="16"/>
          <w:szCs w:val="16"/>
        </w:rPr>
        <w:t>supra</w:t>
      </w:r>
      <w:r w:rsidRPr="00606243">
        <w:rPr>
          <w:rFonts w:ascii="Verdana" w:hAnsi="Verdana"/>
          <w:sz w:val="16"/>
          <w:szCs w:val="16"/>
        </w:rPr>
        <w:t xml:space="preserve">, párr. 129, y </w:t>
      </w:r>
      <w:r w:rsidRPr="007E20F9">
        <w:rPr>
          <w:rFonts w:ascii="Verdana" w:hAnsi="Verdana"/>
          <w:i/>
          <w:sz w:val="16"/>
          <w:szCs w:val="16"/>
        </w:rPr>
        <w:t>Caso Pueblo Indígena Kichwa de Sarayaku, supra,</w:t>
      </w:r>
      <w:r>
        <w:rPr>
          <w:rFonts w:ascii="Verdana" w:hAnsi="Verdana"/>
          <w:sz w:val="16"/>
          <w:szCs w:val="16"/>
        </w:rPr>
        <w:t xml:space="preserve"> párr. 205. C</w:t>
      </w:r>
      <w:r w:rsidRPr="00606243">
        <w:rPr>
          <w:rFonts w:ascii="Verdana" w:hAnsi="Verdana"/>
          <w:i/>
          <w:sz w:val="16"/>
          <w:szCs w:val="16"/>
        </w:rPr>
        <w:t>fr.</w:t>
      </w:r>
      <w:r w:rsidRPr="00606243">
        <w:rPr>
          <w:rFonts w:ascii="Verdana" w:hAnsi="Verdana"/>
          <w:sz w:val="16"/>
          <w:szCs w:val="16"/>
        </w:rPr>
        <w:t xml:space="preserve"> artículo 14 del Convenio sobre la Diversidad Biológica, </w:t>
      </w:r>
      <w:r>
        <w:rPr>
          <w:rFonts w:ascii="Verdana" w:hAnsi="Verdana"/>
          <w:i/>
          <w:sz w:val="16"/>
          <w:szCs w:val="16"/>
        </w:rPr>
        <w:t xml:space="preserve">supra: </w:t>
      </w:r>
      <w:r>
        <w:rPr>
          <w:rFonts w:ascii="Verdana" w:hAnsi="Verdana"/>
          <w:sz w:val="16"/>
          <w:szCs w:val="16"/>
        </w:rPr>
        <w:t>“</w:t>
      </w:r>
      <w:r w:rsidRPr="007E20F9">
        <w:rPr>
          <w:rFonts w:ascii="Verdana" w:hAnsi="Verdana"/>
          <w:sz w:val="16"/>
          <w:szCs w:val="16"/>
        </w:rPr>
        <w:t>Evaluación del impacto y reducción al mínimo del impacto adverso 1. Cada Parte Contratante, en la medida de lo posible y según proceda: a) Establecerá procedimientos apropiados por los que se exija la evaluación del impacto ambiental de sus proyectos propuestos que puedan tener efectos adversos importantes para la diversidad biológica con miras a evitar o reducir al mínimo esos efectos y, cuando proceda, permitirá la participación del público en esos procedimientos. b) Establecerá arreglos apropiados para asegurarse de que se tengan debidamente en cuenta las consecuencias ambientales de sus programas y políticas que puedan tener efectos adversos importantes para la diversidad biológica; […]”</w:t>
      </w:r>
      <w:r w:rsidRPr="00606243">
        <w:rPr>
          <w:rFonts w:ascii="Verdana" w:hAnsi="Verdana"/>
          <w:sz w:val="16"/>
          <w:szCs w:val="16"/>
        </w:rPr>
        <w:t xml:space="preserve">, y </w:t>
      </w:r>
      <w:r w:rsidRPr="00C271B5">
        <w:rPr>
          <w:rFonts w:ascii="Verdana" w:hAnsi="Verdana"/>
          <w:sz w:val="16"/>
          <w:szCs w:val="16"/>
        </w:rPr>
        <w:t xml:space="preserve">Declaración de Río sobre el Medioambiente y el Desarrollo, </w:t>
      </w:r>
      <w:r w:rsidRPr="00C271B5">
        <w:rPr>
          <w:rFonts w:ascii="Verdana" w:hAnsi="Verdana"/>
          <w:i/>
          <w:sz w:val="16"/>
          <w:szCs w:val="16"/>
        </w:rPr>
        <w:t xml:space="preserve">supra, </w:t>
      </w:r>
      <w:r>
        <w:rPr>
          <w:rFonts w:ascii="Verdana" w:hAnsi="Verdana"/>
          <w:sz w:val="16"/>
          <w:szCs w:val="16"/>
        </w:rPr>
        <w:t>P</w:t>
      </w:r>
      <w:r w:rsidRPr="00C271B5">
        <w:rPr>
          <w:rFonts w:ascii="Verdana" w:hAnsi="Verdana"/>
          <w:sz w:val="16"/>
          <w:szCs w:val="16"/>
        </w:rPr>
        <w:t xml:space="preserve">rincipio 17 que señala que </w:t>
      </w:r>
      <w:r w:rsidRPr="00606243">
        <w:rPr>
          <w:rFonts w:ascii="Verdana" w:hAnsi="Verdana" w:cs="Arial"/>
          <w:sz w:val="16"/>
          <w:szCs w:val="16"/>
        </w:rPr>
        <w:t>“[d]eberá emprenderse una evaluación del impacto ambiental, en calidad de instrumento nacional, respecto de cualquier actividad propuesta que probablemente haya de producir un impacto negativo considerable en el medio ambiente y que esté sujeta a la decisión de una autoridad nacional competente”</w:t>
      </w:r>
      <w:r>
        <w:rPr>
          <w:rFonts w:ascii="Verdana" w:hAnsi="Verdana" w:cs="Arial"/>
          <w:sz w:val="16"/>
          <w:szCs w:val="16"/>
        </w:rPr>
        <w:t>.</w:t>
      </w:r>
      <w:r w:rsidRPr="00606243">
        <w:rPr>
          <w:rFonts w:ascii="Verdana" w:hAnsi="Verdana" w:cs="Arial"/>
          <w:sz w:val="16"/>
          <w:szCs w:val="16"/>
        </w:rPr>
        <w:t xml:space="preserve"> </w:t>
      </w:r>
    </w:p>
  </w:footnote>
  <w:footnote w:id="249">
    <w:p w14:paraId="0107FA9D" w14:textId="77777777" w:rsidR="00247DB8" w:rsidRDefault="00247DB8" w:rsidP="00AA7575">
      <w:pPr>
        <w:pStyle w:val="Footnotes"/>
        <w:spacing w:before="0" w:afterLines="40" w:after="96"/>
      </w:pPr>
      <w:r w:rsidRPr="00606243">
        <w:rPr>
          <w:rStyle w:val="FootnoteReference"/>
          <w:sz w:val="16"/>
        </w:rPr>
        <w:footnoteRef/>
      </w:r>
      <w:r w:rsidRPr="00606243">
        <w:rPr>
          <w:lang w:val="es-ES_tradnl"/>
        </w:rPr>
        <w:t xml:space="preserve"> </w:t>
      </w:r>
      <w:r w:rsidRPr="00606243">
        <w:rPr>
          <w:lang w:val="es-ES_tradnl"/>
        </w:rPr>
        <w:tab/>
      </w:r>
      <w:r w:rsidRPr="007E20F9">
        <w:rPr>
          <w:i/>
        </w:rPr>
        <w:t>Cfr. Caso del Pueblo Saramaka, supra,</w:t>
      </w:r>
      <w:r w:rsidRPr="00C271B5">
        <w:t xml:space="preserve"> párr. 133, y </w:t>
      </w:r>
      <w:r w:rsidRPr="007E20F9">
        <w:rPr>
          <w:i/>
        </w:rPr>
        <w:t>Caso del Pueblo Saramaka Vs. Surinam. Interpretación de la Sentencia de Excepciones Preliminares, Fondo, Reparaciones y Costas.</w:t>
      </w:r>
      <w:r w:rsidRPr="00C271B5">
        <w:t xml:space="preserve"> Sentencia de 12 de agosto de 2008. Serie C No. </w:t>
      </w:r>
      <w:r w:rsidRPr="00606243">
        <w:t xml:space="preserve">185, párrs. 40 y 41, y </w:t>
      </w:r>
      <w:r w:rsidRPr="007E20F9">
        <w:rPr>
          <w:i/>
        </w:rPr>
        <w:t>Caso Pueblo Indígena Kichwa de Sarayaku, supra</w:t>
      </w:r>
      <w:r w:rsidRPr="00C271B5">
        <w:t>, párr. 205</w:t>
      </w:r>
      <w:r w:rsidRPr="00606243">
        <w:t>.</w:t>
      </w:r>
    </w:p>
  </w:footnote>
  <w:footnote w:id="250">
    <w:p w14:paraId="2A25FFC6" w14:textId="77777777" w:rsidR="00247DB8" w:rsidRPr="00C271B5" w:rsidRDefault="00247DB8" w:rsidP="00AA7575">
      <w:pPr>
        <w:pStyle w:val="FootnoteText"/>
        <w:spacing w:afterLines="40" w:after="96"/>
        <w:rPr>
          <w:lang w:val="es-PE"/>
        </w:rPr>
      </w:pPr>
      <w:r w:rsidRPr="00C271B5">
        <w:rPr>
          <w:rStyle w:val="FootnoteReference"/>
          <w:sz w:val="16"/>
        </w:rPr>
        <w:footnoteRef/>
      </w:r>
      <w:r w:rsidRPr="00C271B5">
        <w:t xml:space="preserve"> </w:t>
      </w:r>
      <w:r w:rsidRPr="00C271B5">
        <w:tab/>
      </w:r>
      <w:r w:rsidRPr="007E20F9">
        <w:rPr>
          <w:i/>
        </w:rPr>
        <w:t>Cfr. Caso del Pueblo Saramaka. Interpretación de la Sentencia</w:t>
      </w:r>
      <w:r>
        <w:rPr>
          <w:i/>
        </w:rPr>
        <w:t xml:space="preserve">, </w:t>
      </w:r>
      <w:r w:rsidRPr="007E20F9">
        <w:rPr>
          <w:i/>
        </w:rPr>
        <w:t>supra,</w:t>
      </w:r>
      <w:r w:rsidRPr="00C271B5">
        <w:t xml:space="preserve"> párr. 42.</w:t>
      </w:r>
    </w:p>
  </w:footnote>
  <w:footnote w:id="251">
    <w:p w14:paraId="0ED22540" w14:textId="0B0378FE" w:rsidR="00247DB8" w:rsidRDefault="00247DB8" w:rsidP="00AA7575">
      <w:pPr>
        <w:pStyle w:val="Footnotes"/>
        <w:spacing w:before="0" w:afterLines="40" w:after="96"/>
      </w:pPr>
      <w:r w:rsidRPr="00606243">
        <w:rPr>
          <w:rStyle w:val="FootnoteReference"/>
          <w:sz w:val="16"/>
        </w:rPr>
        <w:footnoteRef/>
      </w:r>
      <w:r w:rsidRPr="00606243">
        <w:t xml:space="preserve"> </w:t>
      </w:r>
      <w:r w:rsidRPr="00606243">
        <w:tab/>
      </w:r>
      <w:r w:rsidRPr="007E20F9">
        <w:rPr>
          <w:i/>
        </w:rPr>
        <w:t>Cfr. Caso del Pueblo Saramaka. Interpretación de la Sentencia</w:t>
      </w:r>
      <w:r>
        <w:rPr>
          <w:i/>
        </w:rPr>
        <w:t>,</w:t>
      </w:r>
      <w:r w:rsidRPr="007E20F9">
        <w:rPr>
          <w:i/>
        </w:rPr>
        <w:t xml:space="preserve"> supra,</w:t>
      </w:r>
      <w:r w:rsidRPr="00C271B5">
        <w:t xml:space="preserve"> párr. 41, y </w:t>
      </w:r>
      <w:r w:rsidRPr="007E20F9">
        <w:rPr>
          <w:i/>
        </w:rPr>
        <w:t>Caso Pueblo Indígena Kichwa de Sarayaku, supra,</w:t>
      </w:r>
      <w:r w:rsidRPr="00C271B5">
        <w:t xml:space="preserve"> párr. 206</w:t>
      </w:r>
      <w:r>
        <w:t xml:space="preserve">. </w:t>
      </w:r>
      <w:r w:rsidRPr="007E20F9">
        <w:rPr>
          <w:i/>
        </w:rPr>
        <w:t>Cfr.</w:t>
      </w:r>
      <w:r w:rsidRPr="00606243">
        <w:t xml:space="preserve"> Declaración de Río sobre el Medioambiente y el Desarrollo, </w:t>
      </w:r>
      <w:r w:rsidRPr="007E20F9">
        <w:rPr>
          <w:i/>
        </w:rPr>
        <w:t>supra,</w:t>
      </w:r>
      <w:r w:rsidRPr="007E20F9">
        <w:rPr>
          <w:rFonts w:eastAsia="Calibri" w:cs="Times New Roman"/>
          <w:iCs w:val="0"/>
          <w:lang w:val="es-ES_tradnl"/>
        </w:rPr>
        <w:t xml:space="preserve"> </w:t>
      </w:r>
      <w:r>
        <w:rPr>
          <w:lang w:val="es-ES_tradnl"/>
        </w:rPr>
        <w:t>Principio</w:t>
      </w:r>
      <w:r w:rsidRPr="00C271B5">
        <w:rPr>
          <w:lang w:val="es-ES_tradnl"/>
        </w:rPr>
        <w:t xml:space="preserve"> 10 </w:t>
      </w:r>
      <w:r w:rsidRPr="00C271B5">
        <w:t xml:space="preserve">que </w:t>
      </w:r>
      <w:r w:rsidRPr="00606243">
        <w:t>señala que</w:t>
      </w:r>
      <w:r>
        <w:t>:</w:t>
      </w:r>
      <w:r w:rsidRPr="00606243">
        <w:t xml:space="preserve"> </w:t>
      </w:r>
      <w:r w:rsidRPr="00606243">
        <w:rPr>
          <w:rFonts w:cs="Arial"/>
        </w:rPr>
        <w:t xml:space="preserve">“[e]l 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 Deberá proporcionarse acceso efectivo a los procedimientos judiciales y administrativos, entre éstos el resarcimiento de daños y los recursos pertinentes”. </w:t>
      </w:r>
    </w:p>
  </w:footnote>
  <w:footnote w:id="252">
    <w:p w14:paraId="2EEBD0D2" w14:textId="77777777" w:rsidR="00247DB8" w:rsidRPr="007E20F9" w:rsidRDefault="00247DB8" w:rsidP="00AA7575">
      <w:pPr>
        <w:tabs>
          <w:tab w:val="left" w:pos="567"/>
        </w:tabs>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hAnsi="Verdana"/>
          <w:i/>
          <w:sz w:val="16"/>
          <w:szCs w:val="16"/>
        </w:rPr>
        <w:t>Cfr.</w:t>
      </w:r>
      <w:r w:rsidRPr="00606243">
        <w:rPr>
          <w:rFonts w:ascii="Verdana" w:hAnsi="Verdana"/>
          <w:sz w:val="16"/>
          <w:szCs w:val="16"/>
        </w:rPr>
        <w:t xml:space="preserve"> </w:t>
      </w:r>
      <w:r w:rsidRPr="007E20F9">
        <w:rPr>
          <w:rFonts w:ascii="Verdana" w:hAnsi="Verdana"/>
          <w:i/>
          <w:sz w:val="16"/>
          <w:szCs w:val="16"/>
        </w:rPr>
        <w:t>Caso del Pueblo Saramaka</w:t>
      </w:r>
      <w:r w:rsidRPr="00C271B5">
        <w:rPr>
          <w:rFonts w:ascii="Verdana" w:hAnsi="Verdana"/>
          <w:sz w:val="16"/>
          <w:szCs w:val="16"/>
        </w:rPr>
        <w:t xml:space="preserve">. </w:t>
      </w:r>
      <w:r w:rsidRPr="007E20F9">
        <w:rPr>
          <w:rFonts w:ascii="Verdana" w:hAnsi="Verdana"/>
          <w:i/>
          <w:sz w:val="16"/>
          <w:szCs w:val="16"/>
        </w:rPr>
        <w:t>Interpretación de la Sentencia</w:t>
      </w:r>
      <w:r>
        <w:rPr>
          <w:rFonts w:ascii="Verdana" w:hAnsi="Verdana"/>
          <w:sz w:val="16"/>
          <w:szCs w:val="16"/>
        </w:rPr>
        <w:t xml:space="preserve">, </w:t>
      </w:r>
      <w:r w:rsidRPr="00C271B5">
        <w:rPr>
          <w:rFonts w:ascii="Verdana" w:hAnsi="Verdana"/>
          <w:i/>
          <w:sz w:val="16"/>
          <w:szCs w:val="16"/>
        </w:rPr>
        <w:t>supra</w:t>
      </w:r>
      <w:r w:rsidRPr="00606243">
        <w:rPr>
          <w:rFonts w:ascii="Verdana" w:hAnsi="Verdana"/>
          <w:sz w:val="16"/>
          <w:szCs w:val="16"/>
        </w:rPr>
        <w:t xml:space="preserve">, párr. 41, y </w:t>
      </w:r>
      <w:r w:rsidRPr="007E20F9">
        <w:rPr>
          <w:rFonts w:ascii="Verdana" w:eastAsia="Batang" w:hAnsi="Verdana" w:cs="Palatino-Italic"/>
          <w:i/>
          <w:iCs/>
          <w:sz w:val="16"/>
          <w:szCs w:val="16"/>
          <w:lang w:val="es-ES"/>
        </w:rPr>
        <w:t>Caso Pueblo Indígena Kichwa de Sarayaku, supra</w:t>
      </w:r>
      <w:r w:rsidRPr="007E20F9">
        <w:rPr>
          <w:rFonts w:ascii="Verdana" w:hAnsi="Verdana"/>
          <w:i/>
          <w:sz w:val="16"/>
          <w:szCs w:val="16"/>
        </w:rPr>
        <w:t>,</w:t>
      </w:r>
      <w:r w:rsidRPr="007E20F9">
        <w:rPr>
          <w:rFonts w:ascii="Verdana" w:hAnsi="Verdana"/>
          <w:sz w:val="16"/>
          <w:szCs w:val="16"/>
        </w:rPr>
        <w:t xml:space="preserve"> </w:t>
      </w:r>
      <w:r w:rsidRPr="007E20F9">
        <w:rPr>
          <w:rFonts w:ascii="Verdana" w:eastAsia="Batang" w:hAnsi="Verdana" w:cs="Palatino-Italic"/>
          <w:iCs/>
          <w:sz w:val="16"/>
          <w:szCs w:val="16"/>
          <w:lang w:val="es-ES"/>
        </w:rPr>
        <w:t>párr. 206</w:t>
      </w:r>
      <w:r w:rsidRPr="00C271B5">
        <w:rPr>
          <w:rFonts w:ascii="Verdana" w:eastAsia="Batang" w:hAnsi="Verdana" w:cs="Palatino-Italic"/>
          <w:iCs/>
          <w:sz w:val="16"/>
          <w:szCs w:val="16"/>
          <w:lang w:val="es-ES"/>
        </w:rPr>
        <w:t>, y</w:t>
      </w:r>
      <w:r w:rsidRPr="00606243">
        <w:rPr>
          <w:rFonts w:ascii="Verdana" w:hAnsi="Verdana"/>
          <w:sz w:val="16"/>
          <w:szCs w:val="16"/>
        </w:rPr>
        <w:t xml:space="preserve"> Declaración de Río sobre el Medioambiente y el Desarrollo,</w:t>
      </w:r>
      <w:r>
        <w:rPr>
          <w:rFonts w:ascii="Verdana" w:hAnsi="Verdana"/>
          <w:sz w:val="16"/>
          <w:szCs w:val="16"/>
        </w:rPr>
        <w:t xml:space="preserve"> </w:t>
      </w:r>
      <w:r w:rsidRPr="00606243">
        <w:rPr>
          <w:rFonts w:ascii="Verdana" w:hAnsi="Verdana"/>
          <w:i/>
          <w:sz w:val="16"/>
          <w:szCs w:val="16"/>
        </w:rPr>
        <w:t>supra,</w:t>
      </w:r>
      <w:r w:rsidRPr="00606243">
        <w:rPr>
          <w:rFonts w:ascii="Verdana" w:hAnsi="Verdana"/>
          <w:sz w:val="16"/>
          <w:szCs w:val="16"/>
        </w:rPr>
        <w:t xml:space="preserve"> </w:t>
      </w:r>
      <w:r>
        <w:rPr>
          <w:rFonts w:ascii="Verdana" w:hAnsi="Verdana"/>
          <w:sz w:val="16"/>
          <w:szCs w:val="16"/>
        </w:rPr>
        <w:t>Principio</w:t>
      </w:r>
      <w:r w:rsidRPr="00606243">
        <w:rPr>
          <w:rFonts w:ascii="Verdana" w:hAnsi="Verdana"/>
          <w:sz w:val="16"/>
          <w:szCs w:val="16"/>
        </w:rPr>
        <w:t xml:space="preserve"> 22 que </w:t>
      </w:r>
      <w:r w:rsidRPr="001863DB">
        <w:rPr>
          <w:rFonts w:ascii="Verdana" w:hAnsi="Verdana"/>
          <w:sz w:val="16"/>
          <w:szCs w:val="16"/>
        </w:rPr>
        <w:t>señala que</w:t>
      </w:r>
      <w:r w:rsidRPr="00C271B5">
        <w:rPr>
          <w:rFonts w:ascii="Verdana" w:hAnsi="Verdana" w:cs="Arial"/>
          <w:sz w:val="16"/>
          <w:szCs w:val="16"/>
          <w:shd w:val="clear" w:color="auto" w:fill="FFFFFF"/>
        </w:rPr>
        <w:t xml:space="preserve"> “[l]as poblaciones indígenas y sus comunidades, así como otras comunidades locales, desempeñan un papel fundamental en la ordenación del medio ambiente y en el desarrollo debido a sus conocimientos y prácticas tradicionales. Los Estados deberían reconocer y apoyar debidamente su identidad, cultura e intereses y hacer posible su participación efectiva en el logro del desarrollo sostenible”. </w:t>
      </w:r>
    </w:p>
  </w:footnote>
  <w:footnote w:id="253">
    <w:p w14:paraId="27B6CBD7"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C271B5">
        <w:rPr>
          <w:i/>
        </w:rPr>
        <w:t>Cfr.</w:t>
      </w:r>
      <w:r w:rsidRPr="00C271B5">
        <w:t xml:space="preserve"> Peritaje de Stuart Kirsh de </w:t>
      </w:r>
      <w:r w:rsidRPr="00606243">
        <w:t>27 de enero de 2015 (expediente de fondo, folio 357). El perito señaló que mediante una comunicación personal de 10 de febrero de 2009, el Vicepresidente de Desarrollo Sostenible de BHP Billiton le informó de que el ordenamiento interno de Surinam no exigía la realización de estudios de impacto ambiental y social, razón por la cual éstos no fueron realizados hasta el 2005.</w:t>
      </w:r>
    </w:p>
  </w:footnote>
  <w:footnote w:id="254">
    <w:p w14:paraId="2AB6B423"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 De acuerdo con el peritaje del Dr. Stuart Kirsh, la Reserva de Wane Kreek se ha convertido, </w:t>
      </w:r>
      <w:r w:rsidRPr="007E20F9">
        <w:rPr>
          <w:i/>
        </w:rPr>
        <w:t>de facto</w:t>
      </w:r>
      <w:r w:rsidRPr="00C271B5">
        <w:t xml:space="preserve">, en una zona de extracciones de recursos naturales con efectos negativos para el medio ambiente y con consecuencias perjudiciales para los pueblos indígenas. </w:t>
      </w:r>
      <w:r w:rsidRPr="00606243">
        <w:rPr>
          <w:i/>
        </w:rPr>
        <w:t>Cfr.</w:t>
      </w:r>
      <w:r w:rsidRPr="00606243">
        <w:t xml:space="preserve"> Peritaje de Stuart Kirsh de 27 de enero de 2015 (expediente de fondo, folios 357 a 360).</w:t>
      </w:r>
    </w:p>
  </w:footnote>
  <w:footnote w:id="255">
    <w:p w14:paraId="3E296750" w14:textId="77777777" w:rsidR="00247DB8" w:rsidRPr="00C271B5" w:rsidRDefault="00247DB8" w:rsidP="00AA7575">
      <w:pPr>
        <w:pStyle w:val="FootnoteText"/>
        <w:spacing w:afterLines="40" w:after="96"/>
        <w:rPr>
          <w:lang w:val="es-CR"/>
        </w:rPr>
      </w:pPr>
      <w:r w:rsidRPr="00C271B5">
        <w:rPr>
          <w:rStyle w:val="FootnoteReference"/>
          <w:sz w:val="16"/>
        </w:rPr>
        <w:footnoteRef/>
      </w:r>
      <w:r w:rsidRPr="00C271B5">
        <w:rPr>
          <w:lang w:val="es-CR"/>
        </w:rPr>
        <w:t xml:space="preserve"> </w:t>
      </w:r>
      <w:r w:rsidRPr="00C271B5">
        <w:rPr>
          <w:lang w:val="es-CR"/>
        </w:rPr>
        <w:tab/>
      </w:r>
      <w:r w:rsidRPr="00C271B5">
        <w:rPr>
          <w:i/>
        </w:rPr>
        <w:t>Cfr.</w:t>
      </w:r>
      <w:r w:rsidRPr="00C271B5">
        <w:t xml:space="preserve"> </w:t>
      </w:r>
      <w:r w:rsidRPr="00606243">
        <w:rPr>
          <w:i/>
        </w:rPr>
        <w:t>Affidavit</w:t>
      </w:r>
      <w:r w:rsidRPr="00606243">
        <w:t xml:space="preserve"> de la Capitana Grace Watamaleo de 27 de enero de 2015 (expediente de fondo, folio 450), y Peritaje de Stuart Kirsh de </w:t>
      </w:r>
      <w:r w:rsidRPr="001863DB">
        <w:t>27 de enero de 2015 (expediente de fondo, folio 360).</w:t>
      </w:r>
    </w:p>
  </w:footnote>
  <w:footnote w:id="256">
    <w:p w14:paraId="556D39EC" w14:textId="77777777" w:rsidR="00247DB8" w:rsidRPr="00606243" w:rsidRDefault="00247DB8" w:rsidP="00AA7575">
      <w:pPr>
        <w:spacing w:afterLines="40" w:after="96"/>
        <w:jc w:val="both"/>
        <w:rPr>
          <w:rFonts w:ascii="Verdana" w:hAnsi="Verdana"/>
          <w:color w:val="333333"/>
          <w:sz w:val="16"/>
          <w:szCs w:val="16"/>
          <w:shd w:val="clear" w:color="auto" w:fill="FFFFFF"/>
          <w:lang w:val="es-CR"/>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eastAsia="Batang" w:hAnsi="Verdana"/>
          <w:sz w:val="16"/>
          <w:szCs w:val="16"/>
          <w:lang w:eastAsia="es-ES"/>
        </w:rPr>
        <w:t>Por ejemplo,</w:t>
      </w:r>
      <w:r w:rsidRPr="00606243">
        <w:rPr>
          <w:rFonts w:ascii="Verdana" w:eastAsia="Batang" w:hAnsi="Verdana"/>
          <w:sz w:val="16"/>
          <w:szCs w:val="16"/>
          <w:lang w:eastAsia="es-ES"/>
        </w:rPr>
        <w:t xml:space="preserve"> </w:t>
      </w:r>
      <w:r>
        <w:rPr>
          <w:rFonts w:ascii="Verdana" w:eastAsia="Batang" w:hAnsi="Verdana"/>
          <w:sz w:val="16"/>
          <w:szCs w:val="16"/>
          <w:lang w:eastAsia="es-ES"/>
        </w:rPr>
        <w:t xml:space="preserve">se habrían incrementado las </w:t>
      </w:r>
      <w:r w:rsidRPr="00606243">
        <w:rPr>
          <w:rFonts w:ascii="Verdana" w:eastAsia="Batang" w:hAnsi="Verdana"/>
          <w:sz w:val="16"/>
          <w:szCs w:val="16"/>
          <w:lang w:val="es-ES" w:eastAsia="es-ES"/>
        </w:rPr>
        <w:t xml:space="preserve">actividades </w:t>
      </w:r>
      <w:r w:rsidRPr="001863DB">
        <w:rPr>
          <w:rFonts w:ascii="Verdana" w:eastAsia="Batang" w:hAnsi="Verdana"/>
          <w:sz w:val="16"/>
          <w:szCs w:val="16"/>
          <w:lang w:val="es-ES" w:eastAsia="es-ES"/>
        </w:rPr>
        <w:t xml:space="preserve">legales e ilegales de explotación forestal, de caza ilegal, de la </w:t>
      </w:r>
      <w:r w:rsidRPr="00C271B5">
        <w:rPr>
          <w:rFonts w:ascii="Verdana" w:eastAsia="Batang" w:hAnsi="Verdana"/>
          <w:sz w:val="16"/>
          <w:szCs w:val="16"/>
          <w:lang w:val="es-ES" w:eastAsia="es-ES"/>
        </w:rPr>
        <w:t>minería de arena y grava, y recientemente de la minería de caolín</w:t>
      </w:r>
      <w:r w:rsidRPr="00C271B5">
        <w:rPr>
          <w:rFonts w:ascii="Verdana" w:hAnsi="Verdana"/>
          <w:sz w:val="16"/>
          <w:szCs w:val="16"/>
        </w:rPr>
        <w:t xml:space="preserve"> </w:t>
      </w:r>
      <w:r w:rsidRPr="00CC6DF0">
        <w:rPr>
          <w:rFonts w:ascii="Verdana" w:hAnsi="Verdana"/>
          <w:i/>
          <w:sz w:val="16"/>
          <w:szCs w:val="16"/>
        </w:rPr>
        <w:t>Cfr</w:t>
      </w:r>
      <w:r w:rsidRPr="00C271B5">
        <w:rPr>
          <w:rFonts w:ascii="Verdana" w:hAnsi="Verdana"/>
          <w:sz w:val="16"/>
          <w:szCs w:val="16"/>
        </w:rPr>
        <w:t xml:space="preserve">. </w:t>
      </w:r>
      <w:r w:rsidRPr="007E20F9">
        <w:rPr>
          <w:rFonts w:ascii="Verdana" w:hAnsi="Verdana"/>
          <w:i/>
          <w:sz w:val="16"/>
          <w:szCs w:val="16"/>
        </w:rPr>
        <w:t>Affid</w:t>
      </w:r>
      <w:r w:rsidRPr="00C271B5">
        <w:rPr>
          <w:rFonts w:ascii="Verdana" w:hAnsi="Verdana"/>
          <w:i/>
          <w:sz w:val="16"/>
          <w:szCs w:val="16"/>
        </w:rPr>
        <w:t>a</w:t>
      </w:r>
      <w:r w:rsidRPr="007E20F9">
        <w:rPr>
          <w:rFonts w:ascii="Verdana" w:hAnsi="Verdana"/>
          <w:i/>
          <w:sz w:val="16"/>
          <w:szCs w:val="16"/>
        </w:rPr>
        <w:t>vit</w:t>
      </w:r>
      <w:r w:rsidRPr="00C271B5">
        <w:rPr>
          <w:rFonts w:ascii="Verdana" w:hAnsi="Verdana"/>
          <w:sz w:val="16"/>
          <w:szCs w:val="16"/>
        </w:rPr>
        <w:t xml:space="preserve"> de la Capitana Grace Watamaleo de 27 de enero de 2015 (expediente de fondo, folio 450).</w:t>
      </w:r>
    </w:p>
  </w:footnote>
  <w:footnote w:id="257">
    <w:p w14:paraId="5A53EA66"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C271B5">
        <w:rPr>
          <w:i/>
        </w:rPr>
        <w:t>Cfr.</w:t>
      </w:r>
      <w:r w:rsidRPr="00C271B5">
        <w:t xml:space="preserve"> </w:t>
      </w:r>
      <w:r w:rsidRPr="00606243">
        <w:t>Ánalisis de afectación al medioambiente en la Concesión Wane 4</w:t>
      </w:r>
      <w:r>
        <w:t xml:space="preserve"> </w:t>
      </w:r>
      <w:r w:rsidRPr="00606243">
        <w:t>de julio de 2005 (expediente de fondo, folio 390).</w:t>
      </w:r>
    </w:p>
  </w:footnote>
  <w:footnote w:id="258">
    <w:p w14:paraId="605438D3"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7E20F9">
        <w:rPr>
          <w:i/>
        </w:rPr>
        <w:t>Cfr.</w:t>
      </w:r>
      <w:r w:rsidRPr="00C271B5">
        <w:t xml:space="preserve"> Memorándum preparado por el Instituto de </w:t>
      </w:r>
      <w:r>
        <w:t>B</w:t>
      </w:r>
      <w:r w:rsidRPr="00C271B5">
        <w:t>auxita en Surinam</w:t>
      </w:r>
      <w:r w:rsidRPr="00606243">
        <w:t xml:space="preserve"> referente a la rehabilitación en la zona de Wane Kreek Hills de agosto de 2015 (expediente de prueba, folio 3076).</w:t>
      </w:r>
    </w:p>
  </w:footnote>
  <w:footnote w:id="259">
    <w:p w14:paraId="1A14D477" w14:textId="77777777" w:rsidR="00247DB8" w:rsidRPr="001863DB" w:rsidRDefault="00247DB8" w:rsidP="00AA7575">
      <w:pPr>
        <w:pStyle w:val="FootnoteText"/>
        <w:spacing w:afterLines="40" w:after="96"/>
      </w:pPr>
      <w:r w:rsidRPr="00BA5FB7">
        <w:rPr>
          <w:rStyle w:val="FootnoteReference"/>
          <w:sz w:val="16"/>
        </w:rPr>
        <w:footnoteRef/>
      </w:r>
      <w:r w:rsidRPr="00C271B5">
        <w:t xml:space="preserve"> </w:t>
      </w:r>
      <w:r w:rsidRPr="00C271B5">
        <w:tab/>
      </w:r>
      <w:r w:rsidRPr="00CC6DF0">
        <w:rPr>
          <w:i/>
        </w:rPr>
        <w:t>Cfr</w:t>
      </w:r>
      <w:r w:rsidRPr="00C271B5">
        <w:t xml:space="preserve">. Memorándum preparado por el Instituto de </w:t>
      </w:r>
      <w:r>
        <w:t>B</w:t>
      </w:r>
      <w:r w:rsidRPr="00C271B5">
        <w:t>auxita en Surinam</w:t>
      </w:r>
      <w:r w:rsidRPr="00606243">
        <w:t xml:space="preserve"> referente a la rehabilitación en la zona de Wane Kreek Hills de agosto de 2015, </w:t>
      </w:r>
      <w:r w:rsidRPr="00606243">
        <w:rPr>
          <w:i/>
        </w:rPr>
        <w:t>supra</w:t>
      </w:r>
      <w:r w:rsidRPr="00606243">
        <w:t xml:space="preserve"> (expediente de prueba</w:t>
      </w:r>
      <w:r w:rsidRPr="001863DB">
        <w:t>, folio 3076).</w:t>
      </w:r>
    </w:p>
  </w:footnote>
  <w:footnote w:id="260">
    <w:p w14:paraId="2C279C98" w14:textId="77777777" w:rsidR="00247DB8" w:rsidRPr="00606243" w:rsidRDefault="00247DB8" w:rsidP="00AA7575">
      <w:pPr>
        <w:tabs>
          <w:tab w:val="left" w:pos="567"/>
        </w:tabs>
        <w:spacing w:afterLines="40" w:after="96"/>
        <w:jc w:val="both"/>
        <w:rPr>
          <w:rFonts w:ascii="Verdana" w:hAnsi="Verdana"/>
          <w:sz w:val="16"/>
          <w:szCs w:val="16"/>
          <w:lang w:val="es-CR"/>
        </w:rPr>
      </w:pPr>
      <w:r w:rsidRPr="00C271B5">
        <w:rPr>
          <w:rStyle w:val="FootnoteReference"/>
          <w:sz w:val="16"/>
          <w:szCs w:val="16"/>
        </w:rPr>
        <w:footnoteRef/>
      </w:r>
      <w:r w:rsidRPr="00C271B5">
        <w:rPr>
          <w:rFonts w:ascii="Verdana" w:hAnsi="Verdana"/>
          <w:sz w:val="16"/>
          <w:szCs w:val="16"/>
          <w:lang w:val="es-MX"/>
        </w:rPr>
        <w:t xml:space="preserve"> </w:t>
      </w:r>
      <w:r w:rsidRPr="00C271B5">
        <w:rPr>
          <w:rFonts w:ascii="Verdana" w:hAnsi="Verdana"/>
          <w:sz w:val="16"/>
          <w:szCs w:val="16"/>
          <w:lang w:val="es-MX"/>
        </w:rPr>
        <w:tab/>
      </w:r>
      <w:r w:rsidRPr="00C271B5">
        <w:rPr>
          <w:rFonts w:ascii="Verdana" w:hAnsi="Verdana"/>
          <w:i/>
          <w:sz w:val="16"/>
          <w:szCs w:val="16"/>
          <w:lang w:val="es-MX"/>
        </w:rPr>
        <w:t>Cfr.</w:t>
      </w:r>
      <w:r w:rsidRPr="00C271B5">
        <w:rPr>
          <w:rFonts w:ascii="Verdana" w:hAnsi="Verdana"/>
          <w:sz w:val="16"/>
          <w:szCs w:val="16"/>
          <w:lang w:val="es-MX"/>
        </w:rPr>
        <w:t xml:space="preserve"> </w:t>
      </w:r>
      <w:r w:rsidRPr="00606243">
        <w:rPr>
          <w:rFonts w:ascii="Verdana" w:hAnsi="Verdana"/>
          <w:sz w:val="16"/>
          <w:szCs w:val="16"/>
        </w:rPr>
        <w:t>Peritaje de Stuart Kirsh de 27 de enero de 2015 (expediente de fondo, folios 359 a 362).</w:t>
      </w:r>
    </w:p>
  </w:footnote>
  <w:footnote w:id="261">
    <w:p w14:paraId="06AF3203" w14:textId="77777777" w:rsidR="00247DB8" w:rsidRPr="00606243" w:rsidRDefault="00247DB8" w:rsidP="00AA7575">
      <w:pPr>
        <w:pStyle w:val="FootnoteText"/>
        <w:spacing w:afterLines="40" w:after="96"/>
      </w:pPr>
      <w:r w:rsidRPr="00BA5FB7">
        <w:rPr>
          <w:rStyle w:val="FootnoteReference"/>
          <w:sz w:val="16"/>
        </w:rPr>
        <w:footnoteRef/>
      </w:r>
      <w:r w:rsidRPr="007E20F9">
        <w:rPr>
          <w:rStyle w:val="FootnoteReference"/>
          <w:sz w:val="16"/>
        </w:rPr>
        <w:t xml:space="preserve"> </w:t>
      </w:r>
      <w:r w:rsidRPr="007E20F9">
        <w:rPr>
          <w:lang w:val="es-CR"/>
        </w:rPr>
        <w:tab/>
      </w:r>
      <w:r w:rsidRPr="008740D1">
        <w:rPr>
          <w:i/>
          <w:lang w:val="es-CR"/>
        </w:rPr>
        <w:t>Cfr.</w:t>
      </w:r>
      <w:r w:rsidRPr="007E20F9">
        <w:rPr>
          <w:lang w:val="es-CR"/>
        </w:rPr>
        <w:t xml:space="preserve"> </w:t>
      </w:r>
      <w:r w:rsidRPr="007E20F9">
        <w:rPr>
          <w:i/>
        </w:rPr>
        <w:t>Caso Suárez Peralta Vs. Ecuador. Excepciones Preliminares, Fondo, Reparaciones y Costas.</w:t>
      </w:r>
      <w:r w:rsidRPr="00C271B5">
        <w:t xml:space="preserve"> Sentencia de 21 de mayo de 2013. Serie C No. 261, párr. 133, y </w:t>
      </w:r>
      <w:r w:rsidRPr="007E20F9">
        <w:rPr>
          <w:i/>
        </w:rPr>
        <w:t>Caso Gonzales Lluy y otros Vs. Ecuador.</w:t>
      </w:r>
      <w:r w:rsidRPr="00C271B5">
        <w:t xml:space="preserve"> </w:t>
      </w:r>
      <w:r w:rsidRPr="008740D1">
        <w:rPr>
          <w:i/>
        </w:rPr>
        <w:t xml:space="preserve">Excepciones Preliminares, Fondo, Reparaciones y Costas. </w:t>
      </w:r>
      <w:r w:rsidRPr="00C271B5">
        <w:t>Sentencia de 1 de septiembre de 2015. Serie C No. 298, párr. 184.</w:t>
      </w:r>
    </w:p>
  </w:footnote>
  <w:footnote w:id="262">
    <w:p w14:paraId="0A1E58D0" w14:textId="709545C3" w:rsidR="00247DB8" w:rsidRPr="00B22EC8" w:rsidRDefault="00247DB8" w:rsidP="00AA7575">
      <w:pPr>
        <w:tabs>
          <w:tab w:val="left" w:pos="567"/>
        </w:tabs>
        <w:spacing w:afterLines="40" w:after="96"/>
        <w:jc w:val="both"/>
        <w:rPr>
          <w:rFonts w:ascii="Verdana" w:hAnsi="Verdana"/>
          <w:sz w:val="16"/>
          <w:szCs w:val="16"/>
          <w:lang w:val="es-PE"/>
        </w:rPr>
      </w:pPr>
      <w:r w:rsidRPr="00C271B5">
        <w:rPr>
          <w:rStyle w:val="FootnoteReference"/>
          <w:sz w:val="16"/>
          <w:szCs w:val="16"/>
        </w:rPr>
        <w:footnoteRef/>
      </w:r>
      <w:r w:rsidRPr="00C271B5">
        <w:rPr>
          <w:rFonts w:ascii="Verdana" w:hAnsi="Verdana"/>
          <w:sz w:val="16"/>
          <w:szCs w:val="16"/>
          <w:lang w:val="es-PE"/>
        </w:rPr>
        <w:t xml:space="preserve"> </w:t>
      </w:r>
      <w:r w:rsidRPr="00C271B5">
        <w:rPr>
          <w:rFonts w:ascii="Verdana" w:hAnsi="Verdana"/>
          <w:sz w:val="16"/>
          <w:szCs w:val="16"/>
          <w:lang w:val="es-PE"/>
        </w:rPr>
        <w:tab/>
      </w:r>
      <w:r w:rsidRPr="00C271B5">
        <w:rPr>
          <w:rFonts w:ascii="Verdana" w:hAnsi="Verdana"/>
          <w:i/>
          <w:sz w:val="16"/>
          <w:szCs w:val="16"/>
          <w:lang w:val="es-PE"/>
        </w:rPr>
        <w:t>Cfr.</w:t>
      </w:r>
      <w:r w:rsidRPr="00C271B5">
        <w:rPr>
          <w:rFonts w:ascii="Verdana" w:hAnsi="Verdana"/>
          <w:sz w:val="16"/>
          <w:szCs w:val="16"/>
          <w:lang w:val="es-PE"/>
        </w:rPr>
        <w:t xml:space="preserve"> ONU, </w:t>
      </w:r>
      <w:r w:rsidRPr="004E0159">
        <w:rPr>
          <w:rFonts w:ascii="Verdana" w:hAnsi="Verdana"/>
          <w:sz w:val="16"/>
          <w:szCs w:val="16"/>
          <w:lang w:val="es-CR"/>
        </w:rPr>
        <w:t xml:space="preserve">Principios Rectores sobre las empresas y los derechos humanos: puesta en práctica del marco de las Naciones Unidas para </w:t>
      </w:r>
      <w:r w:rsidRPr="00D20E25">
        <w:rPr>
          <w:rFonts w:ascii="Verdana" w:hAnsi="Verdana"/>
          <w:sz w:val="16"/>
          <w:szCs w:val="16"/>
          <w:lang w:val="es-CR"/>
        </w:rPr>
        <w:t xml:space="preserve">“proteger, respetar y remediar”. Informe del Representantes Especial del Secretario General para la cuestión de los derechos humanos y las empresas transnacionales y otras empresas, John Ruggie. Presentado durante el </w:t>
      </w:r>
      <w:r w:rsidRPr="00D20E25">
        <w:rPr>
          <w:rFonts w:ascii="Verdana" w:hAnsi="Verdana"/>
          <w:sz w:val="16"/>
          <w:szCs w:val="16"/>
        </w:rPr>
        <w:t>17º período de sesiones del Consejo de Derechos Humanos</w:t>
      </w:r>
      <w:r w:rsidRPr="000E612F">
        <w:rPr>
          <w:rFonts w:ascii="Verdana" w:hAnsi="Verdana"/>
          <w:sz w:val="16"/>
          <w:szCs w:val="16"/>
          <w:lang w:val="es-PE"/>
        </w:rPr>
        <w:t xml:space="preserve"> </w:t>
      </w:r>
      <w:r w:rsidRPr="00D20E25">
        <w:rPr>
          <w:rFonts w:ascii="Verdana" w:hAnsi="Verdana"/>
          <w:sz w:val="16"/>
          <w:szCs w:val="16"/>
          <w:lang w:val="es-PE"/>
        </w:rPr>
        <w:t>de las Naciones Unidas</w:t>
      </w:r>
      <w:r w:rsidRPr="00D20E25">
        <w:rPr>
          <w:rFonts w:ascii="Verdana" w:hAnsi="Verdana"/>
          <w:sz w:val="16"/>
          <w:szCs w:val="16"/>
        </w:rPr>
        <w:t xml:space="preserve">, </w:t>
      </w:r>
      <w:r w:rsidRPr="00D20E25">
        <w:rPr>
          <w:rFonts w:ascii="Verdana" w:eastAsia="Times New Roman" w:hAnsi="Verdana" w:cs="Arial"/>
          <w:sz w:val="16"/>
          <w:szCs w:val="16"/>
          <w:lang w:val="es-CR"/>
        </w:rPr>
        <w:t xml:space="preserve">A/HRC/17/31, </w:t>
      </w:r>
      <w:r w:rsidRPr="00D20E25">
        <w:rPr>
          <w:rFonts w:ascii="Verdana" w:hAnsi="Verdana"/>
          <w:sz w:val="16"/>
          <w:szCs w:val="16"/>
        </w:rPr>
        <w:t>21 de marzo de 2011</w:t>
      </w:r>
      <w:r w:rsidRPr="004E0159">
        <w:rPr>
          <w:rFonts w:ascii="Verdana" w:hAnsi="Verdana"/>
          <w:sz w:val="16"/>
          <w:szCs w:val="16"/>
        </w:rPr>
        <w:t xml:space="preserve">. Disponible </w:t>
      </w:r>
      <w:r w:rsidRPr="00B22EC8">
        <w:rPr>
          <w:rFonts w:ascii="Verdana" w:hAnsi="Verdana"/>
          <w:sz w:val="16"/>
          <w:szCs w:val="16"/>
        </w:rPr>
        <w:t xml:space="preserve">en: </w:t>
      </w:r>
      <w:hyperlink r:id="rId16" w:history="1">
        <w:r w:rsidRPr="00B22EC8">
          <w:rPr>
            <w:rStyle w:val="Hyperlink"/>
            <w:rFonts w:ascii="Verdana" w:hAnsi="Verdana"/>
            <w:sz w:val="16"/>
            <w:szCs w:val="16"/>
            <w:u w:val="none"/>
            <w:lang w:val="es-PE"/>
          </w:rPr>
          <w:t>http://www.ohchr.org/Documents/Publications/GuidingPrinciplesBusinessHR_SP.pdf</w:t>
        </w:r>
      </w:hyperlink>
      <w:r w:rsidRPr="00B22EC8">
        <w:rPr>
          <w:rFonts w:ascii="Verdana" w:hAnsi="Verdana"/>
          <w:sz w:val="16"/>
          <w:szCs w:val="16"/>
          <w:lang w:val="es-PE"/>
        </w:rPr>
        <w:t xml:space="preserve">, y </w:t>
      </w:r>
      <w:hyperlink r:id="rId17" w:history="1">
        <w:r w:rsidRPr="00B22EC8">
          <w:rPr>
            <w:rStyle w:val="Hyperlink"/>
            <w:rFonts w:ascii="Verdana" w:hAnsi="Verdana"/>
            <w:sz w:val="16"/>
            <w:szCs w:val="16"/>
            <w:u w:val="none"/>
            <w:lang w:val="es-PE"/>
          </w:rPr>
          <w:t>http://www.ohchr.org/EN/Issues/TransnationalCorporations/Pages/Reports.aspx</w:t>
        </w:r>
      </w:hyperlink>
      <w:r w:rsidRPr="00B22EC8">
        <w:rPr>
          <w:rFonts w:ascii="Verdana" w:hAnsi="Verdana"/>
          <w:sz w:val="16"/>
          <w:szCs w:val="16"/>
          <w:lang w:val="es-PE"/>
        </w:rPr>
        <w:t xml:space="preserve">. El Consejo de Derechos Humanos avaló dichos principios y creó un comité para promover su implementación. </w:t>
      </w:r>
      <w:r w:rsidRPr="00B22EC8">
        <w:rPr>
          <w:rFonts w:ascii="Verdana" w:hAnsi="Verdana"/>
          <w:i/>
          <w:sz w:val="16"/>
          <w:szCs w:val="16"/>
          <w:lang w:val="es-PE"/>
        </w:rPr>
        <w:t>Cfr.</w:t>
      </w:r>
      <w:r w:rsidRPr="00B22EC8">
        <w:rPr>
          <w:rFonts w:ascii="Verdana" w:hAnsi="Verdana"/>
          <w:sz w:val="16"/>
          <w:szCs w:val="16"/>
          <w:lang w:val="es-PE"/>
        </w:rPr>
        <w:t xml:space="preserve"> Consejo de Derechos</w:t>
      </w:r>
      <w:r w:rsidRPr="00D20E25">
        <w:rPr>
          <w:rFonts w:ascii="Verdana" w:hAnsi="Verdana"/>
          <w:sz w:val="16"/>
          <w:szCs w:val="16"/>
          <w:lang w:val="es-PE"/>
        </w:rPr>
        <w:t xml:space="preserve"> H</w:t>
      </w:r>
      <w:r>
        <w:rPr>
          <w:rFonts w:ascii="Verdana" w:hAnsi="Verdana"/>
          <w:sz w:val="16"/>
          <w:szCs w:val="16"/>
          <w:lang w:val="es-PE"/>
        </w:rPr>
        <w:t xml:space="preserve">umanos, </w:t>
      </w:r>
      <w:r w:rsidRPr="00B22EC8">
        <w:rPr>
          <w:rFonts w:ascii="Verdana" w:hAnsi="Verdana"/>
          <w:sz w:val="16"/>
          <w:szCs w:val="16"/>
          <w:lang w:val="es-PE"/>
        </w:rPr>
        <w:t xml:space="preserve">Resolución 17/4, </w:t>
      </w:r>
      <w:r w:rsidRPr="00B22EC8">
        <w:rPr>
          <w:rFonts w:ascii="Verdana" w:hAnsi="Verdana"/>
          <w:bCs/>
          <w:sz w:val="16"/>
          <w:szCs w:val="16"/>
          <w:lang w:val="es-ES"/>
        </w:rPr>
        <w:t>UN Doc. A/HRC/</w:t>
      </w:r>
      <w:r w:rsidRPr="00B22EC8">
        <w:rPr>
          <w:rFonts w:ascii="Verdana" w:hAnsi="Verdana"/>
          <w:sz w:val="16"/>
          <w:szCs w:val="16"/>
          <w:lang w:val="es-ES"/>
        </w:rPr>
        <w:t xml:space="preserve">17/4, </w:t>
      </w:r>
      <w:r w:rsidRPr="00B22EC8">
        <w:rPr>
          <w:rFonts w:ascii="Verdana" w:hAnsi="Verdana"/>
          <w:sz w:val="16"/>
          <w:szCs w:val="16"/>
          <w:lang w:val="es-PE"/>
        </w:rPr>
        <w:t xml:space="preserve">6 de julio de 2011. Disponible en: </w:t>
      </w:r>
      <w:hyperlink r:id="rId18" w:history="1">
        <w:r w:rsidRPr="00B22EC8">
          <w:rPr>
            <w:rStyle w:val="Hyperlink"/>
            <w:rFonts w:ascii="Verdana" w:hAnsi="Verdana"/>
            <w:sz w:val="16"/>
            <w:szCs w:val="16"/>
            <w:u w:val="none"/>
            <w:lang w:val="es-PE"/>
          </w:rPr>
          <w:t>http://daccess-dds-ny.un.org/doc/RESOLUTION/GEN/G11/144/74/PDF/G1114474.pdf?OpenElement</w:t>
        </w:r>
      </w:hyperlink>
      <w:r w:rsidRPr="00B22EC8">
        <w:rPr>
          <w:rFonts w:ascii="Verdana" w:hAnsi="Verdana"/>
          <w:sz w:val="16"/>
          <w:szCs w:val="16"/>
          <w:lang w:val="es-PE"/>
        </w:rPr>
        <w:t xml:space="preserve">. Asimismo, </w:t>
      </w:r>
      <w:r w:rsidRPr="00B22EC8">
        <w:rPr>
          <w:rFonts w:ascii="Verdana" w:hAnsi="Verdana"/>
          <w:i/>
          <w:sz w:val="16"/>
          <w:szCs w:val="16"/>
          <w:lang w:val="es-PE"/>
        </w:rPr>
        <w:t>Cfr.</w:t>
      </w:r>
      <w:r w:rsidRPr="00B22EC8">
        <w:rPr>
          <w:rFonts w:ascii="Verdana" w:hAnsi="Verdana"/>
          <w:sz w:val="16"/>
          <w:szCs w:val="16"/>
          <w:lang w:val="es-PE"/>
        </w:rPr>
        <w:t xml:space="preserve"> La Responsabilidad de las Empresas de Respetar los Derechos Humanos: Guía para la interpretación. Disponible en: </w:t>
      </w:r>
      <w:hyperlink r:id="rId19" w:history="1">
        <w:r w:rsidRPr="00B22EC8">
          <w:rPr>
            <w:rStyle w:val="Hyperlink"/>
            <w:rFonts w:ascii="Verdana" w:hAnsi="Verdana"/>
            <w:sz w:val="16"/>
            <w:szCs w:val="16"/>
            <w:u w:val="none"/>
            <w:lang w:val="es-PE"/>
          </w:rPr>
          <w:t>http://www.ohchr.org/Documents/Publications/HR.PUB.12.2_sp.pdf</w:t>
        </w:r>
      </w:hyperlink>
      <w:r w:rsidRPr="00B22EC8">
        <w:rPr>
          <w:rFonts w:ascii="Verdana" w:hAnsi="Verdana"/>
          <w:sz w:val="16"/>
          <w:szCs w:val="16"/>
          <w:lang w:val="es-PE"/>
        </w:rPr>
        <w:t xml:space="preserve">. En similar sentido, la Organización de Estados Americanos en su resolución del 4 de junio de 2014 hace evidente la necesidad de continuar implementando instrumentos que sean jurídicamente vinculantes sobre las empresas y el “desarrollo de mecanismos que permitan el intercambio de buenas prácticas y experiencias en cuanto a la promoción y protección de los derechos humanos en el ámbito empresarial”. </w:t>
      </w:r>
      <w:r w:rsidRPr="00B22EC8">
        <w:rPr>
          <w:rFonts w:ascii="Verdana" w:hAnsi="Verdana"/>
          <w:i/>
          <w:sz w:val="16"/>
          <w:szCs w:val="16"/>
          <w:lang w:val="es-PE"/>
        </w:rPr>
        <w:t>Cfr.</w:t>
      </w:r>
      <w:r w:rsidRPr="00B22EC8">
        <w:rPr>
          <w:rFonts w:ascii="Verdana" w:hAnsi="Verdana"/>
          <w:sz w:val="16"/>
          <w:szCs w:val="16"/>
          <w:lang w:val="es-PE"/>
        </w:rPr>
        <w:t xml:space="preserve"> </w:t>
      </w:r>
      <w:r w:rsidRPr="00B22EC8">
        <w:rPr>
          <w:rFonts w:ascii="Verdana" w:hAnsi="Verdana"/>
          <w:sz w:val="16"/>
          <w:szCs w:val="16"/>
          <w:lang w:val="es-CO"/>
        </w:rPr>
        <w:t xml:space="preserve">Resolución AG/RES. 2840 (XLIV-O/14), sobre la Promoción y Protección de los Derechos Humanos en el Ámbito Empresarial. Aprobada en la segunda sesión plenaria celebrada el 4 de junio de 2014. </w:t>
      </w:r>
      <w:r w:rsidRPr="00B22EC8">
        <w:rPr>
          <w:rFonts w:ascii="Verdana" w:hAnsi="Verdana"/>
          <w:sz w:val="16"/>
          <w:szCs w:val="16"/>
          <w:lang w:val="es-CR"/>
        </w:rPr>
        <w:t xml:space="preserve">Disponible en: </w:t>
      </w:r>
      <w:hyperlink r:id="rId20" w:history="1">
        <w:r w:rsidRPr="00B22EC8">
          <w:rPr>
            <w:rStyle w:val="Hyperlink"/>
            <w:rFonts w:ascii="Verdana" w:hAnsi="Verdana"/>
            <w:sz w:val="16"/>
            <w:szCs w:val="16"/>
            <w:u w:val="none"/>
            <w:lang w:val="es-CR"/>
          </w:rPr>
          <w:t>http://www.oas.org/es/sla/ddi/docs/AG-RES_2840_XLIV-O-14.pdf</w:t>
        </w:r>
      </w:hyperlink>
      <w:r w:rsidRPr="00B22EC8">
        <w:rPr>
          <w:rFonts w:ascii="Verdana" w:hAnsi="Verdana"/>
          <w:sz w:val="16"/>
          <w:szCs w:val="16"/>
          <w:lang w:val="es-CR"/>
        </w:rPr>
        <w:t>.</w:t>
      </w:r>
    </w:p>
  </w:footnote>
  <w:footnote w:id="263">
    <w:p w14:paraId="4941CE1F" w14:textId="77777777" w:rsidR="00247DB8" w:rsidRPr="00B22EC8" w:rsidRDefault="00247DB8" w:rsidP="00AA7575">
      <w:pPr>
        <w:tabs>
          <w:tab w:val="left" w:pos="567"/>
        </w:tabs>
        <w:spacing w:afterLines="40" w:after="96"/>
        <w:jc w:val="both"/>
        <w:rPr>
          <w:rFonts w:ascii="Verdana" w:hAnsi="Verdana"/>
          <w:sz w:val="16"/>
          <w:szCs w:val="16"/>
          <w:lang w:val="es-PE"/>
        </w:rPr>
      </w:pPr>
      <w:r w:rsidRPr="00B22EC8">
        <w:rPr>
          <w:rStyle w:val="FootnoteReference"/>
          <w:sz w:val="16"/>
          <w:szCs w:val="16"/>
        </w:rPr>
        <w:footnoteRef/>
      </w:r>
      <w:r w:rsidRPr="00B22EC8">
        <w:rPr>
          <w:rFonts w:ascii="Verdana" w:hAnsi="Verdana"/>
          <w:sz w:val="16"/>
          <w:szCs w:val="16"/>
          <w:lang w:val="es-PE"/>
        </w:rPr>
        <w:t xml:space="preserve"> </w:t>
      </w:r>
      <w:r w:rsidRPr="00B22EC8">
        <w:rPr>
          <w:rFonts w:ascii="Verdana" w:hAnsi="Verdana"/>
          <w:sz w:val="16"/>
          <w:szCs w:val="16"/>
          <w:lang w:val="es-PE"/>
        </w:rPr>
        <w:tab/>
      </w:r>
      <w:r w:rsidRPr="00B22EC8">
        <w:rPr>
          <w:rFonts w:ascii="Verdana" w:hAnsi="Verdana"/>
          <w:i/>
          <w:sz w:val="16"/>
          <w:szCs w:val="16"/>
          <w:lang w:val="es-PE"/>
        </w:rPr>
        <w:t>Cfr.</w:t>
      </w:r>
      <w:r w:rsidRPr="00B22EC8">
        <w:rPr>
          <w:rFonts w:ascii="Verdana" w:hAnsi="Verdana"/>
          <w:sz w:val="16"/>
          <w:szCs w:val="16"/>
          <w:lang w:val="es-PE"/>
        </w:rPr>
        <w:t xml:space="preserve"> </w:t>
      </w:r>
      <w:r w:rsidRPr="00B22EC8">
        <w:rPr>
          <w:rFonts w:ascii="Verdana" w:hAnsi="Verdana"/>
          <w:sz w:val="16"/>
          <w:szCs w:val="16"/>
          <w:lang w:val="es-CR"/>
        </w:rPr>
        <w:t xml:space="preserve">Principios rectores sobre las empresas y los derechos humanos, </w:t>
      </w:r>
      <w:r w:rsidRPr="00B22EC8">
        <w:rPr>
          <w:rFonts w:ascii="Verdana" w:hAnsi="Verdana"/>
          <w:i/>
          <w:sz w:val="16"/>
          <w:szCs w:val="16"/>
          <w:lang w:val="es-CR"/>
        </w:rPr>
        <w:t xml:space="preserve">supra, </w:t>
      </w:r>
      <w:r w:rsidRPr="00B22EC8">
        <w:rPr>
          <w:rFonts w:ascii="Verdana" w:hAnsi="Verdana"/>
          <w:sz w:val="16"/>
          <w:szCs w:val="16"/>
          <w:lang w:val="es-CR"/>
        </w:rPr>
        <w:t>P</w:t>
      </w:r>
      <w:r w:rsidRPr="00B22EC8">
        <w:rPr>
          <w:rFonts w:ascii="Verdana" w:hAnsi="Verdana"/>
          <w:sz w:val="16"/>
          <w:szCs w:val="16"/>
          <w:lang w:val="es-PE"/>
        </w:rPr>
        <w:t>rincipios 1, 11, 12, 13, 14, 15, 17, 18, 22, 25.</w:t>
      </w:r>
    </w:p>
  </w:footnote>
  <w:footnote w:id="264">
    <w:p w14:paraId="7C8D5BB1" w14:textId="77777777" w:rsidR="00247DB8" w:rsidRPr="00B22EC8" w:rsidRDefault="00247DB8" w:rsidP="00AA7575">
      <w:pPr>
        <w:pStyle w:val="FootnoteText"/>
        <w:spacing w:afterLines="40" w:after="96"/>
      </w:pPr>
      <w:r w:rsidRPr="00B22EC8">
        <w:rPr>
          <w:rStyle w:val="FootnoteReference"/>
          <w:sz w:val="16"/>
        </w:rPr>
        <w:footnoteRef/>
      </w:r>
      <w:r w:rsidRPr="00B22EC8">
        <w:t xml:space="preserve"> </w:t>
      </w:r>
      <w:r w:rsidRPr="00B22EC8">
        <w:tab/>
      </w:r>
      <w:r w:rsidRPr="00B22EC8">
        <w:rPr>
          <w:i/>
          <w:lang w:val="es-PE"/>
        </w:rPr>
        <w:t xml:space="preserve">Cfr. </w:t>
      </w:r>
      <w:r w:rsidRPr="00B22EC8">
        <w:t xml:space="preserve">Principios rectores sobre las empresas y los derechos humanos, </w:t>
      </w:r>
      <w:r w:rsidRPr="00B22EC8">
        <w:rPr>
          <w:i/>
        </w:rPr>
        <w:t>supra,</w:t>
      </w:r>
      <w:r w:rsidRPr="00B22EC8">
        <w:t xml:space="preserve"> Principio 1.</w:t>
      </w:r>
    </w:p>
  </w:footnote>
  <w:footnote w:id="265">
    <w:p w14:paraId="6816A69F" w14:textId="382A15B6" w:rsidR="00247DB8" w:rsidRPr="004B0145" w:rsidRDefault="00247DB8" w:rsidP="00AA7575">
      <w:pPr>
        <w:tabs>
          <w:tab w:val="left" w:pos="567"/>
        </w:tabs>
        <w:spacing w:afterLines="40" w:after="96"/>
        <w:jc w:val="both"/>
        <w:rPr>
          <w:rFonts w:ascii="Verdana" w:hAnsi="Verdana" w:cs="Arial"/>
          <w:color w:val="202020"/>
          <w:sz w:val="16"/>
          <w:szCs w:val="16"/>
          <w:lang w:val="es-PE"/>
        </w:rPr>
      </w:pPr>
      <w:r w:rsidRPr="00B22EC8">
        <w:rPr>
          <w:rStyle w:val="FootnoteReference"/>
          <w:sz w:val="16"/>
          <w:szCs w:val="16"/>
        </w:rPr>
        <w:footnoteRef/>
      </w:r>
      <w:r w:rsidRPr="00B22EC8">
        <w:rPr>
          <w:rFonts w:ascii="Verdana" w:hAnsi="Verdana"/>
          <w:sz w:val="16"/>
          <w:szCs w:val="16"/>
          <w:lang w:val="es-PE"/>
        </w:rPr>
        <w:t xml:space="preserve"> </w:t>
      </w:r>
      <w:r w:rsidRPr="00B22EC8">
        <w:rPr>
          <w:rFonts w:ascii="Verdana" w:hAnsi="Verdana"/>
          <w:sz w:val="16"/>
          <w:szCs w:val="16"/>
          <w:lang w:val="es-PE"/>
        </w:rPr>
        <w:tab/>
        <w:t xml:space="preserve">Según el </w:t>
      </w:r>
      <w:r w:rsidRPr="00B22EC8">
        <w:rPr>
          <w:rFonts w:ascii="Verdana" w:hAnsi="Verdana"/>
          <w:sz w:val="16"/>
          <w:szCs w:val="16"/>
          <w:lang w:val="es-MX"/>
        </w:rPr>
        <w:t>Informe del Representante Especial del Secretario</w:t>
      </w:r>
      <w:r w:rsidRPr="00C271B5">
        <w:rPr>
          <w:rFonts w:ascii="Verdana" w:hAnsi="Verdana"/>
          <w:sz w:val="16"/>
          <w:szCs w:val="16"/>
          <w:lang w:val="es-MX"/>
        </w:rPr>
        <w:t xml:space="preserve"> General para la cuestión de los derechos humanos y las empresas transnacionales y otras empresas, John Ruggie</w:t>
      </w:r>
      <w:r w:rsidRPr="00606243">
        <w:rPr>
          <w:rFonts w:ascii="Verdana" w:hAnsi="Verdana"/>
          <w:sz w:val="16"/>
          <w:szCs w:val="16"/>
          <w:lang w:val="es-MX"/>
        </w:rPr>
        <w:t xml:space="preserve"> en su párr. 18: </w:t>
      </w:r>
      <w:r w:rsidRPr="00606243">
        <w:rPr>
          <w:rFonts w:ascii="Verdana" w:hAnsi="Verdana"/>
          <w:sz w:val="16"/>
          <w:szCs w:val="16"/>
          <w:lang w:val="es-PE"/>
        </w:rPr>
        <w:t xml:space="preserve">“Para ello, </w:t>
      </w:r>
      <w:r w:rsidRPr="00606243">
        <w:rPr>
          <w:rFonts w:ascii="Verdana" w:hAnsi="Verdana"/>
          <w:sz w:val="16"/>
          <w:szCs w:val="16"/>
          <w:lang w:val="es-MX"/>
        </w:rPr>
        <w:t xml:space="preserve">el primer paso en el proceso de debida diligencia en materia de derechos humanos es identificar y evaluar la naturaleza de las consecuencias negativas actuales y potenciales sobre los derechos humanos en los que pueda verse implicada una empresa. El objetivo es comprender las consecuencias concretas sobre personas específicas en un </w:t>
      </w:r>
      <w:r w:rsidRPr="001863DB">
        <w:rPr>
          <w:rFonts w:ascii="Verdana" w:hAnsi="Verdana"/>
          <w:sz w:val="16"/>
          <w:szCs w:val="16"/>
          <w:lang w:val="es-MX"/>
        </w:rPr>
        <w:t>contexto de operaciones determinado. Por lo general, esto implica evaluar el contexto de derechos humanos antes de emprender una actividad empresarial propuesta, siempre que sea posible, identificar a los posibles afectados, catalogar las normas y cuestiones pertinentes de derechos humanos, y proyectar las consecuencias de la actividad propuesta y de las relaciones comerciales correspondientes sobre los derechos humanos de las personas identificadas. En este proceso, las empresas deben prestar especial</w:t>
      </w:r>
      <w:r w:rsidRPr="00C271B5">
        <w:rPr>
          <w:rFonts w:ascii="Verdana" w:hAnsi="Verdana"/>
          <w:sz w:val="16"/>
          <w:szCs w:val="16"/>
          <w:lang w:val="es-MX"/>
        </w:rPr>
        <w:t xml:space="preserve"> atención a las consecuencias concretas sobre los derechos humanos de las personas pertenecientes a grupos o poblaciones expuestos a un mayor riesgo de vulnerabilidad o de marginación, y tener presentes los diferentes riesgos que pueden enfrentar las mujeres y los hombres”. Disponible en </w:t>
      </w:r>
      <w:hyperlink r:id="rId21" w:history="1">
        <w:r w:rsidRPr="00C271B5">
          <w:rPr>
            <w:rFonts w:ascii="Verdana" w:hAnsi="Verdana" w:cs="Arial"/>
            <w:color w:val="1A0DAB"/>
            <w:sz w:val="16"/>
            <w:szCs w:val="16"/>
            <w:lang w:val="es-PE"/>
          </w:rPr>
          <w:t>http://www2.ohchr.org/SPdocs/Business/A-HRC-17-31_sp.doc</w:t>
        </w:r>
      </w:hyperlink>
      <w:r w:rsidRPr="00C271B5">
        <w:rPr>
          <w:rFonts w:ascii="Verdana" w:hAnsi="Verdana" w:cs="Arial"/>
          <w:color w:val="202020"/>
          <w:sz w:val="16"/>
          <w:szCs w:val="16"/>
          <w:lang w:val="es-PE"/>
        </w:rPr>
        <w:t>.</w:t>
      </w:r>
    </w:p>
  </w:footnote>
  <w:footnote w:id="266">
    <w:p w14:paraId="613AF6AA" w14:textId="77777777"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7E20F9">
        <w:rPr>
          <w:i/>
        </w:rPr>
        <w:t>Cfr.</w:t>
      </w:r>
      <w:r w:rsidRPr="00C271B5">
        <w:t xml:space="preserve"> </w:t>
      </w:r>
      <w:r w:rsidRPr="00C271B5">
        <w:rPr>
          <w:rStyle w:val="Strong"/>
          <w:b w:val="0"/>
          <w:i/>
          <w:lang w:val="es-CR"/>
        </w:rPr>
        <w:t>Caso del Pueblo Saramaka, supra</w:t>
      </w:r>
      <w:r w:rsidRPr="00C271B5">
        <w:rPr>
          <w:rStyle w:val="Strong"/>
          <w:b w:val="0"/>
          <w:lang w:val="es-CR"/>
        </w:rPr>
        <w:t>,</w:t>
      </w:r>
      <w:r w:rsidRPr="00606243">
        <w:rPr>
          <w:rStyle w:val="Strong"/>
          <w:lang w:val="es-CR"/>
        </w:rPr>
        <w:t xml:space="preserve"> </w:t>
      </w:r>
      <w:r w:rsidRPr="00606243">
        <w:t>párrs. 138 a 139.</w:t>
      </w:r>
    </w:p>
  </w:footnote>
  <w:footnote w:id="267">
    <w:p w14:paraId="2E15C6F4" w14:textId="77777777" w:rsidR="00247DB8" w:rsidRPr="00C271B5" w:rsidRDefault="00247DB8" w:rsidP="00AA7575">
      <w:pPr>
        <w:tabs>
          <w:tab w:val="left" w:pos="567"/>
        </w:tabs>
        <w:spacing w:afterLines="40" w:after="96"/>
        <w:jc w:val="both"/>
        <w:rPr>
          <w:rFonts w:ascii="Verdana" w:hAnsi="Verdana"/>
          <w:b/>
          <w:sz w:val="16"/>
          <w:szCs w:val="16"/>
          <w:lang w:val="es-CR"/>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CR"/>
        </w:rPr>
        <w:t xml:space="preserve">Cfr. </w:t>
      </w:r>
      <w:r w:rsidRPr="00C271B5">
        <w:rPr>
          <w:rFonts w:ascii="Verdana" w:hAnsi="Verdana"/>
          <w:i/>
          <w:sz w:val="16"/>
          <w:szCs w:val="16"/>
        </w:rPr>
        <w:t>Caso</w:t>
      </w:r>
      <w:r>
        <w:rPr>
          <w:rFonts w:ascii="Verdana" w:hAnsi="Verdana"/>
          <w:i/>
          <w:sz w:val="16"/>
          <w:szCs w:val="16"/>
        </w:rPr>
        <w:t xml:space="preserve"> Velásquez Rodríguez Vs. Honduras. </w:t>
      </w:r>
      <w:r w:rsidRPr="00606243">
        <w:rPr>
          <w:rFonts w:ascii="Verdana" w:hAnsi="Verdana"/>
          <w:i/>
          <w:spacing w:val="-6"/>
          <w:sz w:val="16"/>
          <w:szCs w:val="16"/>
          <w:lang w:val="es-CR"/>
        </w:rPr>
        <w:t>Excepciones Preliminares</w:t>
      </w:r>
      <w:r>
        <w:rPr>
          <w:rFonts w:ascii="Verdana" w:hAnsi="Verdana"/>
          <w:i/>
          <w:spacing w:val="-6"/>
          <w:sz w:val="16"/>
          <w:szCs w:val="16"/>
          <w:lang w:val="es-CR"/>
        </w:rPr>
        <w:t xml:space="preserve">. </w:t>
      </w:r>
      <w:r w:rsidRPr="00AD439C">
        <w:rPr>
          <w:rFonts w:ascii="Verdana" w:hAnsi="Verdana"/>
          <w:spacing w:val="-6"/>
          <w:sz w:val="16"/>
          <w:szCs w:val="16"/>
          <w:lang w:val="es-CR"/>
        </w:rPr>
        <w:t>Sentencia de 26 de junio de 1987. Serie C No.1</w:t>
      </w:r>
      <w:r w:rsidRPr="00AD439C">
        <w:rPr>
          <w:rFonts w:ascii="Verdana" w:hAnsi="Verdana"/>
          <w:sz w:val="16"/>
          <w:szCs w:val="16"/>
        </w:rPr>
        <w:t>,</w:t>
      </w:r>
      <w:r w:rsidRPr="00606243">
        <w:rPr>
          <w:rFonts w:ascii="Verdana" w:hAnsi="Verdana"/>
          <w:i/>
          <w:sz w:val="16"/>
          <w:szCs w:val="16"/>
        </w:rPr>
        <w:t xml:space="preserve"> </w:t>
      </w:r>
      <w:r w:rsidRPr="00606243">
        <w:rPr>
          <w:rFonts w:ascii="Verdana" w:hAnsi="Verdana"/>
          <w:sz w:val="16"/>
          <w:szCs w:val="16"/>
        </w:rPr>
        <w:t xml:space="preserve">párr. 91, y </w:t>
      </w:r>
      <w:r w:rsidRPr="00606243">
        <w:rPr>
          <w:rStyle w:val="Strong"/>
          <w:rFonts w:ascii="Verdana" w:hAnsi="Verdana"/>
          <w:b w:val="0"/>
          <w:i/>
          <w:sz w:val="16"/>
          <w:szCs w:val="16"/>
        </w:rPr>
        <w:t>Caso López Lone, supra</w:t>
      </w:r>
      <w:r w:rsidRPr="001863DB">
        <w:rPr>
          <w:rStyle w:val="Strong"/>
          <w:rFonts w:ascii="Verdana" w:hAnsi="Verdana"/>
          <w:b w:val="0"/>
          <w:sz w:val="16"/>
          <w:szCs w:val="16"/>
        </w:rPr>
        <w:t>, párr. 245.</w:t>
      </w:r>
    </w:p>
  </w:footnote>
  <w:footnote w:id="268">
    <w:p w14:paraId="147E4766"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 Caso de la Comunidad Mayagna (Sumo) Awas Tingni, supra,</w:t>
      </w:r>
      <w:r w:rsidRPr="00C271B5">
        <w:t xml:space="preserve"> párr. 113, y </w:t>
      </w:r>
      <w:r w:rsidRPr="007E20F9">
        <w:rPr>
          <w:i/>
        </w:rPr>
        <w:t>Caso de los Pueblos Indígenas Kuna de Madungandí y Embera de Bayano y sus miembros, supra</w:t>
      </w:r>
      <w:r w:rsidRPr="00C271B5">
        <w:t>, párrs. 193 y 198.</w:t>
      </w:r>
    </w:p>
  </w:footnote>
  <w:footnote w:id="269">
    <w:p w14:paraId="4B85D5D7" w14:textId="77777777" w:rsidR="00247DB8" w:rsidRPr="001863DB" w:rsidRDefault="00247DB8" w:rsidP="00AA7575">
      <w:pPr>
        <w:pStyle w:val="FootnoteText"/>
        <w:spacing w:afterLines="40" w:after="96"/>
        <w:rPr>
          <w:lang w:val="es-ES_tradnl"/>
        </w:rPr>
      </w:pPr>
      <w:r w:rsidRPr="00C271B5">
        <w:rPr>
          <w:rStyle w:val="FootnoteReference"/>
          <w:sz w:val="16"/>
        </w:rPr>
        <w:footnoteRef/>
      </w:r>
      <w:r w:rsidRPr="00C271B5">
        <w:t xml:space="preserve"> </w:t>
      </w:r>
      <w:r w:rsidRPr="00C271B5">
        <w:tab/>
      </w:r>
      <w:r w:rsidRPr="007E20F9">
        <w:rPr>
          <w:i/>
        </w:rPr>
        <w:t>Cfr. Caso Velásquez Rodríguez, Fondo, supra</w:t>
      </w:r>
      <w:r w:rsidRPr="00AD439C">
        <w:t>,</w:t>
      </w:r>
      <w:r w:rsidRPr="00C271B5">
        <w:t xml:space="preserve"> párrs. 63, 68 y 81 y </w:t>
      </w:r>
      <w:r w:rsidRPr="00C271B5">
        <w:rPr>
          <w:rStyle w:val="Strong"/>
          <w:b w:val="0"/>
          <w:i/>
        </w:rPr>
        <w:t xml:space="preserve">Caso de los Pueblos Indígenas Kuna de Madungandí y Emberá de Bayano y sus </w:t>
      </w:r>
      <w:r w:rsidRPr="00606243">
        <w:rPr>
          <w:rStyle w:val="Strong"/>
          <w:b w:val="0"/>
          <w:i/>
        </w:rPr>
        <w:t>miembros</w:t>
      </w:r>
      <w:r w:rsidRPr="00AD439C">
        <w:t>,</w:t>
      </w:r>
      <w:r w:rsidRPr="007E20F9">
        <w:rPr>
          <w:b/>
        </w:rPr>
        <w:t xml:space="preserve"> </w:t>
      </w:r>
      <w:r w:rsidRPr="007E20F9">
        <w:rPr>
          <w:i/>
        </w:rPr>
        <w:t>supra</w:t>
      </w:r>
      <w:r w:rsidRPr="00AD439C">
        <w:t xml:space="preserve">, </w:t>
      </w:r>
      <w:r w:rsidRPr="00C271B5">
        <w:t>párr. 165.</w:t>
      </w:r>
      <w:r w:rsidRPr="001863DB">
        <w:t xml:space="preserve"> </w:t>
      </w:r>
    </w:p>
  </w:footnote>
  <w:footnote w:id="270">
    <w:p w14:paraId="68698560" w14:textId="77777777" w:rsidR="00247DB8" w:rsidRPr="007E20F9" w:rsidRDefault="00247DB8" w:rsidP="00AA7575">
      <w:pPr>
        <w:pStyle w:val="FootnoteText"/>
        <w:spacing w:afterLines="40" w:after="96"/>
      </w:pPr>
      <w:r w:rsidRPr="00762A46">
        <w:rPr>
          <w:rStyle w:val="FootnoteReference"/>
          <w:sz w:val="16"/>
        </w:rPr>
        <w:footnoteRef/>
      </w:r>
      <w:r w:rsidRPr="00762A46">
        <w:t xml:space="preserve"> </w:t>
      </w:r>
      <w:r w:rsidRPr="00762A46">
        <w:tab/>
      </w:r>
      <w:r w:rsidRPr="007E20F9">
        <w:rPr>
          <w:i/>
        </w:rPr>
        <w:t>Cfr. Caso de los “Niños de la Calle” (Villagrán Morales y otros) Vs. Guatemala. Fondo</w:t>
      </w:r>
      <w:r w:rsidRPr="00C271B5">
        <w:t xml:space="preserve">. Sentencia de 19 de noviembre de 1999. Serie C No. 63, párr. 237, y </w:t>
      </w:r>
      <w:r w:rsidRPr="007E20F9">
        <w:rPr>
          <w:rStyle w:val="Strong"/>
          <w:b w:val="0"/>
          <w:i/>
          <w:color w:val="000000"/>
          <w:shd w:val="clear" w:color="auto" w:fill="FFFFFF"/>
        </w:rPr>
        <w:t>Caso Wong Ho Wing Vs. Perú. Excepción Preliminar, Fondo, Reparaciones y Costas.</w:t>
      </w:r>
      <w:r w:rsidRPr="00C271B5">
        <w:rPr>
          <w:rStyle w:val="Strong"/>
          <w:b w:val="0"/>
          <w:color w:val="000000"/>
          <w:shd w:val="clear" w:color="auto" w:fill="FFFFFF"/>
        </w:rPr>
        <w:t xml:space="preserve"> Sentencia de 30 de junio de 2015. Serie C No. 297, </w:t>
      </w:r>
      <w:r w:rsidRPr="00C271B5">
        <w:rPr>
          <w:lang w:val="es-MX"/>
        </w:rPr>
        <w:t>párr. 196.</w:t>
      </w:r>
    </w:p>
  </w:footnote>
  <w:footnote w:id="271">
    <w:p w14:paraId="332E9FC6" w14:textId="77777777" w:rsidR="00247DB8" w:rsidRPr="00C271B5" w:rsidRDefault="00247DB8" w:rsidP="00AA7575">
      <w:pPr>
        <w:tabs>
          <w:tab w:val="left" w:pos="567"/>
        </w:tabs>
        <w:spacing w:afterLines="40" w:after="96"/>
        <w:jc w:val="both"/>
        <w:rPr>
          <w:rFonts w:ascii="Verdana" w:hAnsi="Verdana"/>
          <w:sz w:val="16"/>
          <w:szCs w:val="16"/>
          <w:lang w:val="es-ES"/>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rPr>
        <w:t>Cfr.</w:t>
      </w:r>
      <w:r w:rsidRPr="00606243">
        <w:rPr>
          <w:rFonts w:ascii="Verdana" w:hAnsi="Verdana"/>
          <w:sz w:val="16"/>
          <w:szCs w:val="16"/>
        </w:rPr>
        <w:t xml:space="preserve"> </w:t>
      </w:r>
      <w:r w:rsidRPr="00606243">
        <w:rPr>
          <w:rFonts w:ascii="Verdana" w:hAnsi="Verdana"/>
          <w:i/>
          <w:sz w:val="16"/>
          <w:szCs w:val="16"/>
        </w:rPr>
        <w:t>Caso Comunidad Indígena Yakye Axa, supra,</w:t>
      </w:r>
      <w:r w:rsidRPr="00606243">
        <w:rPr>
          <w:rStyle w:val="Strong"/>
          <w:rFonts w:ascii="Verdana" w:hAnsi="Verdana"/>
          <w:sz w:val="16"/>
          <w:szCs w:val="16"/>
          <w:lang w:val="es-ES"/>
        </w:rPr>
        <w:t xml:space="preserve"> </w:t>
      </w:r>
      <w:r w:rsidRPr="00606243">
        <w:rPr>
          <w:rFonts w:ascii="Verdana" w:hAnsi="Verdana"/>
          <w:sz w:val="16"/>
          <w:szCs w:val="16"/>
        </w:rPr>
        <w:t xml:space="preserve">párr. 102, y </w:t>
      </w:r>
      <w:r w:rsidRPr="00606243">
        <w:rPr>
          <w:rFonts w:ascii="Verdana" w:hAnsi="Verdana" w:cs="Arial"/>
          <w:bCs/>
          <w:i/>
          <w:sz w:val="16"/>
          <w:szCs w:val="16"/>
        </w:rPr>
        <w:t>Caso Comunidad Indígena Sawhoyamaxa, supra</w:t>
      </w:r>
      <w:r w:rsidRPr="001C2D93">
        <w:rPr>
          <w:rFonts w:ascii="Verdana" w:hAnsi="Verdana" w:cs="Arial"/>
          <w:sz w:val="16"/>
          <w:szCs w:val="16"/>
        </w:rPr>
        <w:t>, párr. 109.</w:t>
      </w:r>
    </w:p>
  </w:footnote>
  <w:footnote w:id="272">
    <w:p w14:paraId="1EB437FD"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7E20F9">
        <w:rPr>
          <w:bCs/>
          <w:i/>
        </w:rPr>
        <w:t xml:space="preserve"> </w:t>
      </w:r>
      <w:r w:rsidRPr="007E20F9">
        <w:rPr>
          <w:i/>
        </w:rPr>
        <w:t>Caso del Tribunal Constitucional Vs. Perú. Competencia.</w:t>
      </w:r>
      <w:r w:rsidRPr="00C271B5">
        <w:t xml:space="preserve"> Sentencia de 24 de septiembre de 1999. Serie C No. 55, párr. 90,</w:t>
      </w:r>
      <w:r w:rsidRPr="00606243">
        <w:t xml:space="preserve"> y </w:t>
      </w:r>
      <w:r w:rsidRPr="007E20F9">
        <w:rPr>
          <w:i/>
        </w:rPr>
        <w:t>Caso Comunidad Indígena Xákmok Kásek, supra,</w:t>
      </w:r>
      <w:r w:rsidRPr="00C271B5">
        <w:t xml:space="preserve"> párr. 144.</w:t>
      </w:r>
    </w:p>
  </w:footnote>
  <w:footnote w:id="273">
    <w:p w14:paraId="02D49C36" w14:textId="77777777" w:rsidR="00247DB8" w:rsidRPr="001C2D93" w:rsidRDefault="00247DB8" w:rsidP="00AA7575">
      <w:pPr>
        <w:tabs>
          <w:tab w:val="left" w:pos="567"/>
        </w:tabs>
        <w:spacing w:afterLines="40" w:after="96"/>
        <w:jc w:val="both"/>
        <w:rPr>
          <w:rFonts w:ascii="Verdana" w:hAnsi="Verdana"/>
          <w:sz w:val="16"/>
          <w:szCs w:val="16"/>
          <w:lang w:val="es-CR"/>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cs="Arial"/>
          <w:i/>
          <w:sz w:val="16"/>
          <w:szCs w:val="16"/>
        </w:rPr>
        <w:t>Cfr.</w:t>
      </w:r>
      <w:r w:rsidRPr="00606243">
        <w:rPr>
          <w:rFonts w:ascii="Verdana" w:hAnsi="Verdana" w:cs="Arial"/>
          <w:sz w:val="16"/>
          <w:szCs w:val="16"/>
        </w:rPr>
        <w:t xml:space="preserve"> </w:t>
      </w:r>
      <w:r w:rsidRPr="00606243">
        <w:rPr>
          <w:rFonts w:ascii="Verdana" w:hAnsi="Verdana" w:cs="Arial"/>
          <w:bCs/>
          <w:i/>
          <w:sz w:val="16"/>
          <w:szCs w:val="16"/>
        </w:rPr>
        <w:t xml:space="preserve">Caso de la Comunidad Mayagna (Sumo) Awas Tingni, supra, </w:t>
      </w:r>
      <w:r w:rsidRPr="00606243">
        <w:rPr>
          <w:rFonts w:ascii="Verdana" w:hAnsi="Verdana" w:cs="Arial"/>
          <w:bCs/>
          <w:sz w:val="16"/>
          <w:szCs w:val="16"/>
        </w:rPr>
        <w:t xml:space="preserve">párrs. 148 a 153 y </w:t>
      </w:r>
      <w:r w:rsidRPr="00606243">
        <w:rPr>
          <w:rFonts w:ascii="Verdana" w:hAnsi="Verdana" w:cs="Arial"/>
          <w:bCs/>
          <w:i/>
          <w:sz w:val="16"/>
          <w:szCs w:val="16"/>
        </w:rPr>
        <w:t xml:space="preserve">Caso de los Pueblos Indígenas Kuna de Madungandí y Embera de Bayano y sus miembros, supra, </w:t>
      </w:r>
      <w:r w:rsidRPr="00606243">
        <w:rPr>
          <w:rFonts w:ascii="Verdana" w:hAnsi="Verdana" w:cs="Arial"/>
          <w:bCs/>
          <w:sz w:val="16"/>
          <w:szCs w:val="16"/>
        </w:rPr>
        <w:t>párr. 112.</w:t>
      </w:r>
    </w:p>
  </w:footnote>
  <w:footnote w:id="274">
    <w:p w14:paraId="3179790B" w14:textId="77777777" w:rsidR="00247DB8" w:rsidRPr="001C2D9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w:t>
      </w:r>
      <w:r w:rsidRPr="00606243">
        <w:t xml:space="preserve"> </w:t>
      </w:r>
      <w:r w:rsidRPr="00606243">
        <w:rPr>
          <w:rStyle w:val="Strong"/>
          <w:b w:val="0"/>
          <w:i/>
          <w:lang w:val="es-CR"/>
        </w:rPr>
        <w:t xml:space="preserve">Caso del Pueblo Saramaka, </w:t>
      </w:r>
      <w:r w:rsidRPr="007E20F9">
        <w:rPr>
          <w:rStyle w:val="Strong"/>
          <w:b w:val="0"/>
          <w:i/>
          <w:lang w:val="es-CR"/>
        </w:rPr>
        <w:t xml:space="preserve">supra, </w:t>
      </w:r>
      <w:r w:rsidRPr="007E20F9">
        <w:rPr>
          <w:rStyle w:val="Strong"/>
          <w:b w:val="0"/>
          <w:lang w:val="es-CR"/>
        </w:rPr>
        <w:t>párrs.</w:t>
      </w:r>
      <w:r w:rsidRPr="007E20F9">
        <w:rPr>
          <w:rStyle w:val="Strong"/>
          <w:b w:val="0"/>
          <w:i/>
          <w:lang w:val="es-CR"/>
        </w:rPr>
        <w:t xml:space="preserve"> </w:t>
      </w:r>
      <w:r w:rsidRPr="007E20F9">
        <w:rPr>
          <w:rStyle w:val="Strong"/>
          <w:b w:val="0"/>
          <w:lang w:val="es-CR"/>
        </w:rPr>
        <w:t>179 a 184.</w:t>
      </w:r>
    </w:p>
  </w:footnote>
  <w:footnote w:id="275">
    <w:p w14:paraId="1C256208" w14:textId="77777777" w:rsidR="00247DB8" w:rsidRPr="001C2D93" w:rsidRDefault="00247DB8" w:rsidP="00AA7575">
      <w:pPr>
        <w:pStyle w:val="FootnoteText"/>
        <w:spacing w:afterLines="40" w:after="96"/>
      </w:pPr>
      <w:r w:rsidRPr="007E20F9">
        <w:rPr>
          <w:rStyle w:val="FootnoteReference"/>
          <w:sz w:val="16"/>
        </w:rPr>
        <w:footnoteRef/>
      </w:r>
      <w:r w:rsidRPr="001C2D93">
        <w:t xml:space="preserve"> </w:t>
      </w:r>
      <w:r w:rsidRPr="00C271B5">
        <w:tab/>
      </w:r>
      <w:r w:rsidRPr="007E20F9">
        <w:rPr>
          <w:i/>
        </w:rPr>
        <w:t>Cfr.</w:t>
      </w:r>
      <w:r w:rsidRPr="00606243">
        <w:t xml:space="preserve"> </w:t>
      </w:r>
      <w:r w:rsidRPr="00606243">
        <w:rPr>
          <w:rStyle w:val="Strong"/>
          <w:b w:val="0"/>
          <w:i/>
          <w:lang w:val="es-CR"/>
        </w:rPr>
        <w:t xml:space="preserve">Caso del Pueblo Saramaka, supra, </w:t>
      </w:r>
      <w:r w:rsidRPr="00606243">
        <w:rPr>
          <w:rStyle w:val="Strong"/>
          <w:b w:val="0"/>
          <w:lang w:val="es-CR"/>
        </w:rPr>
        <w:t>párr. 179.</w:t>
      </w:r>
    </w:p>
  </w:footnote>
  <w:footnote w:id="276">
    <w:p w14:paraId="612E9EE0" w14:textId="77777777" w:rsidR="00247DB8" w:rsidRPr="00606243" w:rsidRDefault="00247DB8" w:rsidP="00AA7575">
      <w:pPr>
        <w:pStyle w:val="FootnoteText"/>
        <w:spacing w:afterLines="40" w:after="96"/>
      </w:pPr>
      <w:r w:rsidRPr="007E20F9">
        <w:rPr>
          <w:rStyle w:val="FootnoteReference"/>
          <w:sz w:val="16"/>
        </w:rPr>
        <w:footnoteRef/>
      </w:r>
      <w:r w:rsidRPr="00C271B5">
        <w:t xml:space="preserve"> </w:t>
      </w:r>
      <w:r w:rsidRPr="00C271B5">
        <w:tab/>
      </w:r>
      <w:r w:rsidRPr="007E20F9">
        <w:rPr>
          <w:i/>
        </w:rPr>
        <w:t>Cfr.</w:t>
      </w:r>
      <w:r w:rsidRPr="00606243">
        <w:t xml:space="preserve"> </w:t>
      </w:r>
      <w:r w:rsidRPr="00606243">
        <w:rPr>
          <w:rStyle w:val="Strong"/>
          <w:b w:val="0"/>
          <w:i/>
          <w:lang w:val="es-CR"/>
        </w:rPr>
        <w:t xml:space="preserve">Caso del Pueblo Saramaka, supra, </w:t>
      </w:r>
      <w:r w:rsidRPr="00606243">
        <w:rPr>
          <w:rStyle w:val="Strong"/>
          <w:b w:val="0"/>
          <w:lang w:val="es-CR"/>
        </w:rPr>
        <w:t>párr. 183.</w:t>
      </w:r>
    </w:p>
  </w:footnote>
  <w:footnote w:id="277">
    <w:p w14:paraId="5491ECA3" w14:textId="77777777" w:rsidR="00247DB8" w:rsidRPr="001C2D93" w:rsidRDefault="00247DB8" w:rsidP="00AA7575">
      <w:pPr>
        <w:pStyle w:val="FootnoteText"/>
        <w:spacing w:afterLines="40" w:after="96"/>
      </w:pPr>
      <w:r w:rsidRPr="00C271B5">
        <w:rPr>
          <w:rStyle w:val="FootnoteReference"/>
          <w:i/>
          <w:sz w:val="16"/>
        </w:rPr>
        <w:footnoteRef/>
      </w:r>
      <w:r w:rsidRPr="00C271B5">
        <w:t xml:space="preserve"> </w:t>
      </w:r>
      <w:r w:rsidRPr="00C271B5">
        <w:tab/>
      </w:r>
      <w:r w:rsidRPr="007E20F9">
        <w:rPr>
          <w:i/>
        </w:rPr>
        <w:t>Cfr.</w:t>
      </w:r>
      <w:r w:rsidRPr="00C271B5">
        <w:t xml:space="preserve"> </w:t>
      </w:r>
      <w:r w:rsidRPr="00606243">
        <w:rPr>
          <w:rStyle w:val="Strong"/>
          <w:b w:val="0"/>
          <w:i/>
          <w:lang w:val="es-CR"/>
        </w:rPr>
        <w:t xml:space="preserve">Caso del Pueblo Saramaka. </w:t>
      </w:r>
      <w:r w:rsidRPr="00606243">
        <w:rPr>
          <w:rStyle w:val="Strong"/>
          <w:b w:val="0"/>
          <w:lang w:val="es-CR"/>
        </w:rPr>
        <w:t>s</w:t>
      </w:r>
      <w:r w:rsidRPr="00606243">
        <w:rPr>
          <w:rStyle w:val="Strong"/>
          <w:b w:val="0"/>
          <w:i/>
          <w:lang w:val="es-CR"/>
        </w:rPr>
        <w:t>upra</w:t>
      </w:r>
      <w:r w:rsidRPr="00606243">
        <w:rPr>
          <w:rStyle w:val="Strong"/>
          <w:b w:val="0"/>
          <w:lang w:val="es-CR"/>
        </w:rPr>
        <w:t>, párr. 184.</w:t>
      </w:r>
    </w:p>
  </w:footnote>
  <w:footnote w:id="278">
    <w:p w14:paraId="7D300D51"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 1 del Decreto sobre Otorgamiento de Territorios Estatales de 15 de junio de 1982 (expediente de prueba, folio 2691).</w:t>
      </w:r>
    </w:p>
  </w:footnote>
  <w:footnote w:id="279">
    <w:p w14:paraId="377BD00A"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 5 del Decreto sobre Otorgamiento de Territorios Estatales de 15 de junio de 1982 (expediente de prueba, folio 2692).</w:t>
      </w:r>
    </w:p>
  </w:footnote>
  <w:footnote w:id="280">
    <w:p w14:paraId="23E8F3F7"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 7 del Decreto sobre Otorgamiento de Territorios Estatales de 15 de junio de 1982 (expediente de prueba, folio 2693).</w:t>
      </w:r>
    </w:p>
  </w:footnote>
  <w:footnote w:id="281">
    <w:p w14:paraId="3AE40686"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Artículos 8, 9 y 10 del Decreto sobre Otorgamiento de Territorios Estatales de 15 de junio de 1982 (expediente de prueba, folio 2693).</w:t>
      </w:r>
    </w:p>
  </w:footnote>
  <w:footnote w:id="282">
    <w:p w14:paraId="58DB1A92"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Artículo 2 del Decreto sobre Otorgamiento de Territorios Estatales de 15 de junio de 1982 (expediente de prueba, folio 2691).</w:t>
      </w:r>
    </w:p>
  </w:footnote>
  <w:footnote w:id="283">
    <w:p w14:paraId="68972F59"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Informe del ex Relator Especial sobre los derechos de los pueblos indígenas, James Anaya, emitido el 18 de agosto de 2011, párrs. 17, 34 y 35. Disponible en: </w:t>
      </w:r>
      <w:hyperlink r:id="rId22" w:history="1">
        <w:r w:rsidRPr="00E3683D">
          <w:rPr>
            <w:rStyle w:val="Hyperlink"/>
          </w:rPr>
          <w:t>http://www.ohchr.org/Documents/Issues/IPeoples/SR/A-HRC-18-35-Add7_en.pdf</w:t>
        </w:r>
      </w:hyperlink>
      <w:r>
        <w:t xml:space="preserve">. </w:t>
      </w:r>
    </w:p>
  </w:footnote>
  <w:footnote w:id="284">
    <w:p w14:paraId="0B006125"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lang w:val="es-ES_tradnl"/>
        </w:rPr>
        <w:t xml:space="preserve">Cfr. </w:t>
      </w:r>
      <w:r w:rsidRPr="007E20F9">
        <w:rPr>
          <w:i/>
        </w:rPr>
        <w:t>Caso del Pueblo Saramaka, supra</w:t>
      </w:r>
      <w:r w:rsidRPr="00C271B5">
        <w:t>, párr</w:t>
      </w:r>
      <w:r w:rsidRPr="00606243">
        <w:t>. 172.</w:t>
      </w:r>
    </w:p>
  </w:footnote>
  <w:footnote w:id="285">
    <w:p w14:paraId="289B8CED"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lang w:val="es-ES_tradnl"/>
        </w:rPr>
        <w:t>Cfr. Caso Comunidad Indígena Sawhoyamaxa, supra</w:t>
      </w:r>
      <w:r w:rsidRPr="00C271B5">
        <w:rPr>
          <w:lang w:val="es-ES_tradnl"/>
        </w:rPr>
        <w:t xml:space="preserve">, párr. 188, y </w:t>
      </w:r>
      <w:r w:rsidRPr="007E20F9">
        <w:rPr>
          <w:i/>
        </w:rPr>
        <w:t>Caso Comunidad Indígena Xákmok Kásek, supra</w:t>
      </w:r>
      <w:r w:rsidRPr="00C271B5">
        <w:t>, párr</w:t>
      </w:r>
      <w:r w:rsidRPr="00606243">
        <w:t>. 249.</w:t>
      </w:r>
    </w:p>
  </w:footnote>
  <w:footnote w:id="286">
    <w:p w14:paraId="727A3AAF" w14:textId="77777777" w:rsidR="00247DB8" w:rsidRPr="001C2D9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606243">
        <w:rPr>
          <w:i/>
        </w:rPr>
        <w:t>Caso del Pueblo Saramaka</w:t>
      </w:r>
      <w:r w:rsidRPr="00606243">
        <w:t xml:space="preserve">, </w:t>
      </w:r>
      <w:r w:rsidRPr="00606243">
        <w:rPr>
          <w:i/>
        </w:rPr>
        <w:t xml:space="preserve">supra, </w:t>
      </w:r>
      <w:r w:rsidRPr="00606243">
        <w:t>párrs. 173 y</w:t>
      </w:r>
      <w:r w:rsidRPr="001C2D93">
        <w:t xml:space="preserve"> 174. </w:t>
      </w:r>
    </w:p>
  </w:footnote>
  <w:footnote w:id="287">
    <w:p w14:paraId="562A3C91" w14:textId="22DAC5C4" w:rsidR="00247DB8" w:rsidRPr="001C2D9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7E20F9">
        <w:rPr>
          <w:i/>
        </w:rPr>
        <w:t>Cfr.</w:t>
      </w:r>
      <w:r w:rsidRPr="00C271B5">
        <w:t xml:space="preserve"> </w:t>
      </w:r>
      <w:r w:rsidRPr="00C271B5">
        <w:rPr>
          <w:rStyle w:val="Strong"/>
          <w:b w:val="0"/>
          <w:i/>
        </w:rPr>
        <w:t xml:space="preserve">Caso Tiu Tojín Vs. </w:t>
      </w:r>
      <w:r w:rsidRPr="00606243">
        <w:rPr>
          <w:rStyle w:val="Strong"/>
          <w:b w:val="0"/>
          <w:i/>
          <w:lang w:val="es-ES_tradnl"/>
        </w:rPr>
        <w:t>Guatemala, supra</w:t>
      </w:r>
      <w:r w:rsidRPr="00606243">
        <w:rPr>
          <w:rStyle w:val="Strong"/>
          <w:b w:val="0"/>
          <w:lang w:val="es-ES_tradnl"/>
        </w:rPr>
        <w:t>, párr. 100, y</w:t>
      </w:r>
      <w:r w:rsidRPr="001C2D93">
        <w:t xml:space="preserve"> </w:t>
      </w:r>
      <w:r w:rsidRPr="007E20F9">
        <w:rPr>
          <w:i/>
        </w:rPr>
        <w:t xml:space="preserve">Caso </w:t>
      </w:r>
      <w:r w:rsidRPr="007E20F9">
        <w:rPr>
          <w:i/>
          <w:shd w:val="clear" w:color="auto" w:fill="FFFFFF"/>
        </w:rPr>
        <w:t>Norín Catrimán</w:t>
      </w:r>
      <w:r w:rsidRPr="007E20F9">
        <w:rPr>
          <w:i/>
          <w:u w:val="single"/>
        </w:rPr>
        <w:t xml:space="preserve"> </w:t>
      </w:r>
      <w:r w:rsidRPr="007E20F9">
        <w:rPr>
          <w:i/>
        </w:rPr>
        <w:t>y otros (Dirigentes, miembros y activista del Pueblo Indígena Mapuche</w:t>
      </w:r>
      <w:r w:rsidRPr="00476486">
        <w:rPr>
          <w:i/>
        </w:rPr>
        <w:t>)</w:t>
      </w:r>
      <w:r w:rsidRPr="00B4017E">
        <w:rPr>
          <w:i/>
        </w:rPr>
        <w:t xml:space="preserve"> Vs. </w:t>
      </w:r>
      <w:r w:rsidRPr="007F4E4C">
        <w:rPr>
          <w:i/>
        </w:rPr>
        <w:t>Chile</w:t>
      </w:r>
      <w:r w:rsidRPr="004B0145">
        <w:rPr>
          <w:i/>
        </w:rPr>
        <w:t xml:space="preserve">. Fondo, Reparaciones y Costas. </w:t>
      </w:r>
      <w:r w:rsidRPr="00B4017E">
        <w:t>Sentencia de</w:t>
      </w:r>
      <w:r w:rsidRPr="007F4E4C">
        <w:t xml:space="preserve"> 29 de mayo de</w:t>
      </w:r>
      <w:r w:rsidRPr="002E2E48">
        <w:t xml:space="preserve"> 2014. Serie C </w:t>
      </w:r>
      <w:r w:rsidRPr="00476486">
        <w:t>No. 279,</w:t>
      </w:r>
      <w:r>
        <w:t xml:space="preserve"> </w:t>
      </w:r>
      <w:r w:rsidRPr="00C271B5">
        <w:t xml:space="preserve">párrs. 202, 203 y 206. Asimismo, </w:t>
      </w:r>
      <w:r w:rsidRPr="00606243">
        <w:t xml:space="preserve">la Declaración de las Naciones Unidas sobre los Derechos de los Pueblos Indígenas reafirma en el párrafo quinto de su preámbulo “que, en el ejercicio de sus derechos, los pueblos </w:t>
      </w:r>
      <w:r w:rsidRPr="00B22EC8">
        <w:t>indígenas deben estar libres de toda forma de discriminación”, y dispone en el artículo 2 que “[l]os pueblos y los individuos indígenas son libres e iguales a todos los demás pueblos y personas y tienen derecho a no ser objeto de ningún tipo de discriminación en el ejercicio</w:t>
      </w:r>
      <w:r w:rsidRPr="00606243">
        <w:t xml:space="preserve"> de sus derechos, en particular la fundada en su origen o identidad indígenas”. </w:t>
      </w:r>
      <w:r w:rsidRPr="007E20F9">
        <w:rPr>
          <w:i/>
        </w:rPr>
        <w:t>Cfr.</w:t>
      </w:r>
      <w:r w:rsidRPr="006B297B">
        <w:t xml:space="preserve"> Declaración de las Naciones Unidas sobre los Derechos de los Pueblos Indígenas</w:t>
      </w:r>
      <w:r w:rsidRPr="007E20F9">
        <w:t xml:space="preserve">, </w:t>
      </w:r>
      <w:r w:rsidRPr="007E20F9">
        <w:rPr>
          <w:i/>
        </w:rPr>
        <w:t>supra.</w:t>
      </w:r>
    </w:p>
  </w:footnote>
  <w:footnote w:id="288">
    <w:p w14:paraId="2D625D38" w14:textId="77777777" w:rsidR="00247DB8" w:rsidRPr="00116F0A" w:rsidRDefault="00247DB8" w:rsidP="00AA7575">
      <w:pPr>
        <w:pStyle w:val="FootnoteText"/>
        <w:spacing w:afterLines="40" w:after="96"/>
      </w:pPr>
      <w:r w:rsidRPr="00116F0A">
        <w:rPr>
          <w:rStyle w:val="FootnoteReference"/>
          <w:sz w:val="16"/>
        </w:rPr>
        <w:footnoteRef/>
      </w:r>
      <w:r w:rsidRPr="00116F0A">
        <w:t xml:space="preserve"> </w:t>
      </w:r>
      <w:r w:rsidRPr="00116F0A">
        <w:tab/>
      </w:r>
      <w:r w:rsidRPr="00116F0A">
        <w:rPr>
          <w:i/>
        </w:rPr>
        <w:t>Cfr. Caso Comunidad Indígena Yakye Axa, supra,</w:t>
      </w:r>
      <w:r w:rsidRPr="00116F0A">
        <w:rPr>
          <w:rStyle w:val="Strong"/>
        </w:rPr>
        <w:t xml:space="preserve"> </w:t>
      </w:r>
      <w:r w:rsidRPr="00116F0A">
        <w:t>párrs. 62 y 96</w:t>
      </w:r>
      <w:r w:rsidRPr="00116F0A">
        <w:rPr>
          <w:rFonts w:cs="Arial"/>
        </w:rPr>
        <w:t xml:space="preserve">, y </w:t>
      </w:r>
      <w:r w:rsidRPr="00116F0A">
        <w:rPr>
          <w:i/>
          <w:lang w:val="es-CR"/>
        </w:rPr>
        <w:t>Caso de los Pueblos Indígenas Kuna de Madungandí y Emberá de Bayano y sus miembros</w:t>
      </w:r>
      <w:r w:rsidRPr="00116F0A">
        <w:rPr>
          <w:i/>
        </w:rPr>
        <w:t>, supra</w:t>
      </w:r>
      <w:r w:rsidRPr="00116F0A">
        <w:t>, párr. 166.</w:t>
      </w:r>
    </w:p>
  </w:footnote>
  <w:footnote w:id="289">
    <w:p w14:paraId="319EFF51" w14:textId="77777777" w:rsidR="00247DB8" w:rsidRPr="001863DB" w:rsidRDefault="00247DB8" w:rsidP="00AA7575">
      <w:pPr>
        <w:pStyle w:val="NoSpacing"/>
        <w:tabs>
          <w:tab w:val="left" w:pos="567"/>
        </w:tabs>
        <w:spacing w:afterLines="40" w:after="96"/>
        <w:jc w:val="both"/>
        <w:rPr>
          <w:rFonts w:ascii="Verdana" w:hAnsi="Verdana"/>
          <w:sz w:val="16"/>
          <w:szCs w:val="16"/>
          <w:lang w:val="es-MX"/>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CR"/>
        </w:rPr>
        <w:t>Cfr.</w:t>
      </w:r>
      <w:r w:rsidRPr="00C271B5">
        <w:rPr>
          <w:rFonts w:ascii="Verdana" w:hAnsi="Verdana"/>
          <w:sz w:val="16"/>
          <w:szCs w:val="16"/>
          <w:lang w:val="es-CR"/>
        </w:rPr>
        <w:t xml:space="preserve"> </w:t>
      </w:r>
      <w:r w:rsidRPr="00606243">
        <w:rPr>
          <w:rFonts w:ascii="Verdana" w:hAnsi="Verdana"/>
          <w:bCs/>
          <w:i/>
          <w:sz w:val="16"/>
          <w:szCs w:val="16"/>
          <w:lang w:val="es-MX"/>
        </w:rPr>
        <w:t>Caso Comunidad Indígena Yakye Axa</w:t>
      </w:r>
      <w:r w:rsidRPr="00606243">
        <w:rPr>
          <w:rFonts w:ascii="Verdana" w:hAnsi="Verdana"/>
          <w:bCs/>
          <w:sz w:val="16"/>
          <w:szCs w:val="16"/>
          <w:lang w:val="es-MX"/>
        </w:rPr>
        <w:t xml:space="preserve">, </w:t>
      </w:r>
      <w:r w:rsidRPr="00606243">
        <w:rPr>
          <w:rFonts w:ascii="Verdana" w:hAnsi="Verdana"/>
          <w:bCs/>
          <w:i/>
          <w:sz w:val="16"/>
          <w:szCs w:val="16"/>
          <w:lang w:val="es-MX"/>
        </w:rPr>
        <w:t>supra,</w:t>
      </w:r>
      <w:r w:rsidRPr="00606243">
        <w:rPr>
          <w:rFonts w:ascii="Verdana" w:hAnsi="Verdana"/>
          <w:bCs/>
          <w:sz w:val="16"/>
          <w:szCs w:val="16"/>
          <w:lang w:val="es-MX"/>
        </w:rPr>
        <w:t xml:space="preserve"> párr. 102, y </w:t>
      </w:r>
      <w:r w:rsidRPr="00606243">
        <w:rPr>
          <w:rFonts w:ascii="Verdana" w:hAnsi="Verdana"/>
          <w:bCs/>
          <w:i/>
          <w:sz w:val="16"/>
          <w:szCs w:val="16"/>
          <w:lang w:val="es-MX"/>
        </w:rPr>
        <w:t>Caso Comunidad Indígena Sawhoyamaxa, supra,</w:t>
      </w:r>
      <w:r w:rsidRPr="001C2D93">
        <w:rPr>
          <w:rFonts w:ascii="Verdana" w:hAnsi="Verdana"/>
          <w:bCs/>
          <w:sz w:val="16"/>
          <w:szCs w:val="16"/>
          <w:lang w:val="es-MX"/>
        </w:rPr>
        <w:t xml:space="preserve"> párr. 109.</w:t>
      </w:r>
    </w:p>
  </w:footnote>
  <w:footnote w:id="290">
    <w:p w14:paraId="3BB59553" w14:textId="77777777" w:rsidR="00247DB8" w:rsidRPr="00C271B5" w:rsidRDefault="00247DB8" w:rsidP="00AA7575">
      <w:pPr>
        <w:pStyle w:val="NoSpacing"/>
        <w:tabs>
          <w:tab w:val="left" w:pos="567"/>
        </w:tabs>
        <w:spacing w:afterLines="40" w:after="96"/>
        <w:jc w:val="both"/>
        <w:rPr>
          <w:rFonts w:ascii="Verdana" w:hAnsi="Verdana"/>
          <w:sz w:val="16"/>
          <w:szCs w:val="16"/>
          <w:lang w:val="es-MX"/>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CR"/>
        </w:rPr>
        <w:t>Cfr.</w:t>
      </w:r>
      <w:r w:rsidRPr="00C271B5">
        <w:rPr>
          <w:rFonts w:ascii="Verdana" w:hAnsi="Verdana"/>
          <w:sz w:val="16"/>
          <w:szCs w:val="16"/>
          <w:lang w:val="es-CR"/>
        </w:rPr>
        <w:t xml:space="preserve"> </w:t>
      </w:r>
      <w:r w:rsidRPr="00606243">
        <w:rPr>
          <w:rFonts w:ascii="Verdana" w:hAnsi="Verdana"/>
          <w:bCs/>
          <w:i/>
          <w:sz w:val="16"/>
          <w:szCs w:val="16"/>
          <w:lang w:val="es-MX"/>
        </w:rPr>
        <w:t>Caso de la Comunidad Mayagna (Sumo) Awas Tingni</w:t>
      </w:r>
      <w:r w:rsidRPr="00606243">
        <w:rPr>
          <w:rFonts w:ascii="Verdana" w:hAnsi="Verdana"/>
          <w:bCs/>
          <w:sz w:val="16"/>
          <w:szCs w:val="16"/>
          <w:lang w:val="es-MX"/>
        </w:rPr>
        <w:t xml:space="preserve">, </w:t>
      </w:r>
      <w:r w:rsidRPr="00606243">
        <w:rPr>
          <w:rFonts w:ascii="Verdana" w:hAnsi="Verdana"/>
          <w:bCs/>
          <w:i/>
          <w:sz w:val="16"/>
          <w:szCs w:val="16"/>
          <w:lang w:val="es-MX"/>
        </w:rPr>
        <w:t>supra,</w:t>
      </w:r>
      <w:r w:rsidRPr="00606243">
        <w:rPr>
          <w:rFonts w:ascii="Verdana" w:hAnsi="Verdana"/>
          <w:bCs/>
          <w:sz w:val="16"/>
          <w:szCs w:val="16"/>
          <w:lang w:val="es-MX"/>
        </w:rPr>
        <w:t xml:space="preserve"> párrs. 112 y 134, y</w:t>
      </w:r>
      <w:r w:rsidRPr="00606243">
        <w:rPr>
          <w:rFonts w:ascii="Verdana" w:hAnsi="Verdana"/>
          <w:sz w:val="16"/>
          <w:szCs w:val="16"/>
          <w:lang w:val="es-MX"/>
        </w:rPr>
        <w:t xml:space="preserve"> </w:t>
      </w:r>
      <w:r w:rsidRPr="001C2D93">
        <w:rPr>
          <w:rFonts w:ascii="Verdana" w:hAnsi="Verdana"/>
          <w:bCs/>
          <w:i/>
          <w:sz w:val="16"/>
          <w:szCs w:val="16"/>
          <w:lang w:val="es-MX"/>
        </w:rPr>
        <w:t>Caso Pueblo Indígena Kichwa de Sarayaku</w:t>
      </w:r>
      <w:r w:rsidRPr="001863DB">
        <w:rPr>
          <w:rFonts w:ascii="Verdana" w:hAnsi="Verdana"/>
          <w:bCs/>
          <w:sz w:val="16"/>
          <w:szCs w:val="16"/>
          <w:lang w:val="es-MX"/>
        </w:rPr>
        <w:t xml:space="preserve">, </w:t>
      </w:r>
      <w:r w:rsidRPr="001863DB">
        <w:rPr>
          <w:rFonts w:ascii="Verdana" w:hAnsi="Verdana"/>
          <w:bCs/>
          <w:i/>
          <w:sz w:val="16"/>
          <w:szCs w:val="16"/>
          <w:lang w:val="es-MX"/>
        </w:rPr>
        <w:t>supra,</w:t>
      </w:r>
      <w:r w:rsidRPr="00C271B5">
        <w:rPr>
          <w:rFonts w:ascii="Verdana" w:hAnsi="Verdana"/>
          <w:bCs/>
          <w:sz w:val="16"/>
          <w:szCs w:val="16"/>
          <w:lang w:val="es-MX"/>
        </w:rPr>
        <w:t xml:space="preserve"> párr. 262.</w:t>
      </w:r>
    </w:p>
  </w:footnote>
  <w:footnote w:id="291">
    <w:p w14:paraId="402E7542" w14:textId="77777777" w:rsidR="00247DB8" w:rsidRPr="001863DB" w:rsidRDefault="00247DB8" w:rsidP="00AA7575">
      <w:pPr>
        <w:tabs>
          <w:tab w:val="left" w:pos="567"/>
        </w:tabs>
        <w:autoSpaceDE w:val="0"/>
        <w:autoSpaceDN w:val="0"/>
        <w:adjustRightInd w:val="0"/>
        <w:spacing w:afterLines="40" w:after="96"/>
        <w:jc w:val="both"/>
        <w:rPr>
          <w:rFonts w:ascii="Verdana" w:hAnsi="Verdana" w:cs="Verdana"/>
          <w:sz w:val="16"/>
          <w:szCs w:val="16"/>
          <w:lang w:val="es-MX"/>
        </w:rPr>
      </w:pPr>
      <w:r w:rsidRPr="00C271B5">
        <w:rPr>
          <w:rStyle w:val="FootnoteReference"/>
          <w:sz w:val="16"/>
          <w:szCs w:val="16"/>
        </w:rPr>
        <w:footnoteRef/>
      </w:r>
      <w:r w:rsidRPr="00115175">
        <w:rPr>
          <w:rFonts w:ascii="Verdana" w:hAnsi="Verdana"/>
          <w:sz w:val="16"/>
          <w:szCs w:val="16"/>
          <w:lang w:val="es-CR"/>
        </w:rPr>
        <w:t xml:space="preserve"> </w:t>
      </w:r>
      <w:r w:rsidRPr="00115175">
        <w:rPr>
          <w:rFonts w:ascii="Verdana" w:hAnsi="Verdana"/>
          <w:sz w:val="16"/>
          <w:szCs w:val="16"/>
          <w:lang w:val="es-CR"/>
        </w:rPr>
        <w:tab/>
      </w:r>
      <w:r w:rsidRPr="00115175">
        <w:rPr>
          <w:rStyle w:val="Strong"/>
          <w:rFonts w:ascii="Verdana" w:hAnsi="Verdana"/>
          <w:b w:val="0"/>
          <w:i/>
          <w:sz w:val="16"/>
          <w:szCs w:val="16"/>
          <w:lang w:val="es-CR"/>
        </w:rPr>
        <w:t>Cfr.</w:t>
      </w:r>
      <w:r w:rsidRPr="00115175">
        <w:rPr>
          <w:rStyle w:val="Strong"/>
          <w:rFonts w:ascii="Verdana" w:hAnsi="Verdana"/>
          <w:b w:val="0"/>
          <w:sz w:val="16"/>
          <w:szCs w:val="16"/>
          <w:lang w:val="es-CR"/>
        </w:rPr>
        <w:t xml:space="preserve"> </w:t>
      </w:r>
      <w:r w:rsidRPr="00115175">
        <w:rPr>
          <w:rStyle w:val="Strong"/>
          <w:rFonts w:ascii="Verdana" w:hAnsi="Verdana"/>
          <w:b w:val="0"/>
          <w:i/>
          <w:sz w:val="16"/>
          <w:szCs w:val="16"/>
          <w:lang w:val="es-CR"/>
        </w:rPr>
        <w:t>Caso Tiu Tojín</w:t>
      </w:r>
      <w:r w:rsidRPr="00115175">
        <w:rPr>
          <w:rStyle w:val="Strong"/>
          <w:rFonts w:ascii="Verdana" w:hAnsi="Verdana"/>
          <w:b w:val="0"/>
          <w:sz w:val="16"/>
          <w:szCs w:val="16"/>
          <w:lang w:val="es-CR"/>
        </w:rPr>
        <w:t xml:space="preserve">, </w:t>
      </w:r>
      <w:r w:rsidRPr="00115175">
        <w:rPr>
          <w:rStyle w:val="Strong"/>
          <w:rFonts w:ascii="Verdana" w:hAnsi="Verdana"/>
          <w:b w:val="0"/>
          <w:i/>
          <w:sz w:val="16"/>
          <w:szCs w:val="16"/>
          <w:lang w:val="es-CR"/>
        </w:rPr>
        <w:t>supra</w:t>
      </w:r>
      <w:r w:rsidRPr="00115175">
        <w:rPr>
          <w:rStyle w:val="Strong"/>
          <w:rFonts w:ascii="Verdana" w:hAnsi="Verdana"/>
          <w:b w:val="0"/>
          <w:sz w:val="16"/>
          <w:szCs w:val="16"/>
          <w:lang w:val="es-CR"/>
        </w:rPr>
        <w:t xml:space="preserve">, párr. </w:t>
      </w:r>
      <w:r w:rsidRPr="00606243">
        <w:rPr>
          <w:rStyle w:val="Strong"/>
          <w:rFonts w:ascii="Verdana" w:hAnsi="Verdana"/>
          <w:b w:val="0"/>
          <w:sz w:val="16"/>
          <w:szCs w:val="16"/>
          <w:lang w:val="es-CR"/>
        </w:rPr>
        <w:t xml:space="preserve">100, y </w:t>
      </w:r>
      <w:r w:rsidRPr="001C2D93">
        <w:rPr>
          <w:rStyle w:val="Strong"/>
          <w:rFonts w:ascii="Verdana" w:hAnsi="Verdana"/>
          <w:b w:val="0"/>
          <w:i/>
          <w:sz w:val="16"/>
          <w:szCs w:val="16"/>
          <w:lang w:val="es-CR"/>
        </w:rPr>
        <w:t>Caso Pueblo Indígena Kichwa de Sarayaku,</w:t>
      </w:r>
      <w:r w:rsidRPr="001C2D93">
        <w:rPr>
          <w:rStyle w:val="Strong"/>
          <w:rFonts w:ascii="Verdana" w:hAnsi="Verdana"/>
          <w:b w:val="0"/>
          <w:sz w:val="16"/>
          <w:szCs w:val="16"/>
          <w:lang w:val="es-CR"/>
        </w:rPr>
        <w:t xml:space="preserve"> </w:t>
      </w:r>
      <w:r w:rsidRPr="001C2D93">
        <w:rPr>
          <w:rStyle w:val="Strong"/>
          <w:rFonts w:ascii="Verdana" w:hAnsi="Verdana"/>
          <w:b w:val="0"/>
          <w:i/>
          <w:sz w:val="16"/>
          <w:szCs w:val="16"/>
          <w:lang w:val="es-CR"/>
        </w:rPr>
        <w:t>supra</w:t>
      </w:r>
      <w:r w:rsidRPr="001C2D93">
        <w:rPr>
          <w:rStyle w:val="Strong"/>
          <w:rFonts w:ascii="Verdana" w:hAnsi="Verdana"/>
          <w:b w:val="0"/>
          <w:sz w:val="16"/>
          <w:szCs w:val="16"/>
          <w:lang w:val="es-CR"/>
        </w:rPr>
        <w:t>, párr. 201</w:t>
      </w:r>
    </w:p>
  </w:footnote>
  <w:footnote w:id="292">
    <w:p w14:paraId="5155323A" w14:textId="77777777" w:rsidR="00247DB8" w:rsidRPr="00C271B5" w:rsidRDefault="00247DB8" w:rsidP="00AA7575">
      <w:pPr>
        <w:tabs>
          <w:tab w:val="left" w:pos="567"/>
        </w:tabs>
        <w:autoSpaceDE w:val="0"/>
        <w:autoSpaceDN w:val="0"/>
        <w:adjustRightInd w:val="0"/>
        <w:spacing w:afterLines="40" w:after="96"/>
        <w:jc w:val="both"/>
        <w:rPr>
          <w:rFonts w:ascii="Verdana" w:eastAsiaTheme="minorHAnsi" w:hAnsi="Verdana" w:cs="TimesNewRoman"/>
          <w:sz w:val="16"/>
          <w:szCs w:val="16"/>
          <w:lang w:val="es-CR"/>
        </w:rPr>
      </w:pPr>
      <w:r w:rsidRPr="00C271B5">
        <w:rPr>
          <w:rStyle w:val="FootnoteReference"/>
          <w:sz w:val="16"/>
          <w:szCs w:val="16"/>
        </w:rPr>
        <w:footnoteRef/>
      </w:r>
      <w:r w:rsidRPr="00C271B5">
        <w:rPr>
          <w:rFonts w:ascii="Verdana" w:hAnsi="Verdana"/>
          <w:sz w:val="16"/>
          <w:szCs w:val="16"/>
          <w:lang w:val="es-CR"/>
        </w:rPr>
        <w:t xml:space="preserve"> </w:t>
      </w:r>
      <w:r w:rsidRPr="00C271B5">
        <w:rPr>
          <w:rFonts w:ascii="Verdana" w:hAnsi="Verdana"/>
          <w:sz w:val="16"/>
          <w:szCs w:val="16"/>
          <w:lang w:val="es-CR"/>
        </w:rPr>
        <w:tab/>
      </w:r>
      <w:r w:rsidRPr="00C271B5">
        <w:rPr>
          <w:rFonts w:ascii="Verdana" w:hAnsi="Verdana"/>
          <w:i/>
          <w:sz w:val="16"/>
          <w:szCs w:val="16"/>
          <w:lang w:val="es-CR"/>
        </w:rPr>
        <w:t>Cfr.</w:t>
      </w:r>
      <w:r w:rsidRPr="00C271B5">
        <w:rPr>
          <w:rFonts w:ascii="Verdana" w:hAnsi="Verdana"/>
          <w:sz w:val="16"/>
          <w:szCs w:val="16"/>
          <w:lang w:val="es-CR"/>
        </w:rPr>
        <w:t xml:space="preserve"> O</w:t>
      </w:r>
      <w:r>
        <w:rPr>
          <w:rFonts w:ascii="Verdana" w:hAnsi="Verdana"/>
          <w:sz w:val="16"/>
          <w:szCs w:val="16"/>
          <w:lang w:val="es-CR"/>
        </w:rPr>
        <w:t>NU,</w:t>
      </w:r>
      <w:r w:rsidRPr="00C271B5">
        <w:rPr>
          <w:rFonts w:ascii="Verdana" w:hAnsi="Verdana"/>
          <w:sz w:val="16"/>
          <w:szCs w:val="16"/>
          <w:lang w:val="es-CR"/>
        </w:rPr>
        <w:t xml:space="preserve"> </w:t>
      </w:r>
      <w:r w:rsidRPr="00606243">
        <w:rPr>
          <w:rFonts w:ascii="Verdana" w:hAnsi="Verdana"/>
          <w:sz w:val="16"/>
          <w:szCs w:val="16"/>
          <w:lang w:val="es-CR"/>
        </w:rPr>
        <w:t xml:space="preserve">Foro Permanente para las Cuestiones Indígenas. Informe sobre el sexto periodo de sesiones (14 a 25 de mayo de 2007).  </w:t>
      </w:r>
      <w:r w:rsidRPr="00606243">
        <w:rPr>
          <w:rFonts w:ascii="Verdana" w:eastAsiaTheme="minorHAnsi" w:hAnsi="Verdana" w:cs="TimesNewRoman"/>
          <w:sz w:val="16"/>
          <w:szCs w:val="16"/>
          <w:lang w:val="es-CR"/>
        </w:rPr>
        <w:t>E/2007/43. E/C.19/2007/12</w:t>
      </w:r>
      <w:r w:rsidRPr="00606243">
        <w:rPr>
          <w:rFonts w:ascii="Verdana" w:hAnsi="Verdana"/>
          <w:sz w:val="16"/>
          <w:szCs w:val="16"/>
          <w:lang w:val="es-CR"/>
        </w:rPr>
        <w:t xml:space="preserve">. El Foro Permanente, en la recomendación No. 23 del citado informe, recomendó a los Estados que en consulta con los pueblos indígenas interesados, </w:t>
      </w:r>
      <w:r w:rsidRPr="00606243">
        <w:rPr>
          <w:rFonts w:ascii="Verdana" w:hAnsi="Verdana"/>
          <w:iCs/>
          <w:sz w:val="16"/>
          <w:szCs w:val="16"/>
          <w:lang w:val="es-CR"/>
        </w:rPr>
        <w:t>presten asistencia financiera y técnica a los pue</w:t>
      </w:r>
      <w:r w:rsidRPr="001C2D93">
        <w:rPr>
          <w:rFonts w:ascii="Verdana" w:hAnsi="Verdana"/>
          <w:iCs/>
          <w:sz w:val="16"/>
          <w:szCs w:val="16"/>
          <w:lang w:val="es-CR"/>
        </w:rPr>
        <w:t xml:space="preserve">blos indígenas a fin de que se demarquen los límites de sus tierras comunitarias </w:t>
      </w:r>
      <w:r w:rsidRPr="001863DB">
        <w:rPr>
          <w:rFonts w:ascii="Verdana" w:hAnsi="Verdana"/>
          <w:sz w:val="16"/>
          <w:szCs w:val="16"/>
          <w:lang w:val="es-CR"/>
        </w:rPr>
        <w:t xml:space="preserve">y que, con carácter de urgencia, terminen la elaboración del marco jurídico y normativo necesario para el registro de los títulos de propiedad colectivos; también les recomendó que </w:t>
      </w:r>
      <w:r w:rsidRPr="00C271B5">
        <w:rPr>
          <w:rFonts w:ascii="Verdana" w:hAnsi="Verdana"/>
          <w:iCs/>
          <w:sz w:val="16"/>
          <w:szCs w:val="16"/>
          <w:lang w:val="es-CR"/>
        </w:rPr>
        <w:t>presten apoyo a los pueblos indígenas en la preparación de sus solicitudes para obtener títulos de propiedad colectivos</w:t>
      </w:r>
      <w:r w:rsidRPr="00C271B5">
        <w:rPr>
          <w:rFonts w:ascii="Verdana" w:hAnsi="Verdana"/>
          <w:sz w:val="16"/>
          <w:szCs w:val="16"/>
          <w:lang w:val="es-CR"/>
        </w:rPr>
        <w:t xml:space="preserve">. </w:t>
      </w:r>
      <w:r w:rsidRPr="00C271B5">
        <w:rPr>
          <w:rFonts w:ascii="Verdana" w:hAnsi="Verdana"/>
          <w:i/>
          <w:sz w:val="16"/>
          <w:szCs w:val="16"/>
          <w:lang w:val="es-CR"/>
        </w:rPr>
        <w:t>Cfr. Mutatis mutandi</w:t>
      </w:r>
      <w:r w:rsidRPr="00C271B5">
        <w:rPr>
          <w:rFonts w:ascii="Verdana" w:hAnsi="Verdana"/>
          <w:sz w:val="16"/>
          <w:szCs w:val="16"/>
          <w:lang w:val="es-CR"/>
        </w:rPr>
        <w:t xml:space="preserve">, </w:t>
      </w:r>
      <w:r w:rsidRPr="00C271B5">
        <w:rPr>
          <w:rFonts w:ascii="Verdana" w:hAnsi="Verdana"/>
          <w:i/>
          <w:sz w:val="16"/>
          <w:szCs w:val="16"/>
        </w:rPr>
        <w:t>Excepciones al Agotamiento de los Recursos Internos</w:t>
      </w:r>
      <w:r w:rsidRPr="00C271B5">
        <w:rPr>
          <w:rFonts w:ascii="Verdana" w:hAnsi="Verdana"/>
          <w:sz w:val="16"/>
          <w:szCs w:val="16"/>
        </w:rPr>
        <w:t xml:space="preserve"> (arts. 46.1, 46.2.a y 46.2.b Convención Americana sobre Derechos Humanos). Opinión Consultiva OC-11/90 del 10 de agosto de 1990. Serie A No. 11, párrs. 25 a 28.</w:t>
      </w:r>
    </w:p>
  </w:footnote>
  <w:footnote w:id="293">
    <w:p w14:paraId="4C74BF53" w14:textId="77777777" w:rsidR="00247DB8" w:rsidRPr="00606243" w:rsidRDefault="00247DB8" w:rsidP="00AA7575">
      <w:pPr>
        <w:pStyle w:val="FootnoteText"/>
        <w:spacing w:afterLines="40" w:after="96"/>
        <w:rPr>
          <w:lang w:val="es-CR"/>
        </w:rPr>
      </w:pPr>
      <w:r w:rsidRPr="00C271B5">
        <w:rPr>
          <w:rStyle w:val="FootnoteReference"/>
          <w:sz w:val="16"/>
          <w:lang w:val="es-ES_tradnl"/>
        </w:rPr>
        <w:footnoteRef/>
      </w:r>
      <w:r w:rsidRPr="00115175">
        <w:rPr>
          <w:lang w:val="es-CR"/>
        </w:rPr>
        <w:t xml:space="preserve"> </w:t>
      </w:r>
      <w:r w:rsidRPr="00115175">
        <w:rPr>
          <w:lang w:val="es-CR"/>
        </w:rPr>
        <w:tab/>
      </w:r>
      <w:r w:rsidRPr="00115175">
        <w:rPr>
          <w:rStyle w:val="Strong"/>
          <w:b w:val="0"/>
          <w:i/>
          <w:lang w:val="es-CR"/>
        </w:rPr>
        <w:t>Cfr. Caso Tiu Tojín, supra</w:t>
      </w:r>
      <w:r w:rsidRPr="00115175">
        <w:rPr>
          <w:rStyle w:val="Strong"/>
          <w:b w:val="0"/>
          <w:lang w:val="es-CR"/>
        </w:rPr>
        <w:t xml:space="preserve">, párr. </w:t>
      </w:r>
      <w:r w:rsidRPr="00606243">
        <w:rPr>
          <w:rStyle w:val="Strong"/>
          <w:b w:val="0"/>
          <w:lang w:val="es-ES_tradnl"/>
        </w:rPr>
        <w:t>100.</w:t>
      </w:r>
    </w:p>
  </w:footnote>
  <w:footnote w:id="294">
    <w:p w14:paraId="35DCAE57" w14:textId="77777777" w:rsidR="00247DB8" w:rsidRPr="00C271B5" w:rsidRDefault="00247DB8" w:rsidP="00AA7575">
      <w:pPr>
        <w:pStyle w:val="FootnoteText"/>
        <w:spacing w:afterLines="40" w:after="96"/>
        <w:rPr>
          <w:lang w:val="es-CR"/>
        </w:rPr>
      </w:pPr>
      <w:r w:rsidRPr="00C271B5">
        <w:rPr>
          <w:rStyle w:val="FootnoteReference"/>
          <w:sz w:val="16"/>
        </w:rPr>
        <w:footnoteRef/>
      </w:r>
      <w:r w:rsidRPr="00C271B5">
        <w:rPr>
          <w:lang w:val="es-CR"/>
        </w:rPr>
        <w:t xml:space="preserve"> </w:t>
      </w:r>
      <w:r w:rsidRPr="00C271B5">
        <w:rPr>
          <w:lang w:val="es-CR"/>
        </w:rPr>
        <w:tab/>
      </w:r>
      <w:r w:rsidRPr="00C271B5">
        <w:rPr>
          <w:rStyle w:val="Strong"/>
          <w:b w:val="0"/>
          <w:i/>
          <w:lang w:val="es-ES_tradnl"/>
        </w:rPr>
        <w:t>Cfr. Mutatis mutandi</w:t>
      </w:r>
      <w:r>
        <w:rPr>
          <w:rStyle w:val="Strong"/>
          <w:b w:val="0"/>
          <w:i/>
          <w:lang w:val="es-ES_tradnl"/>
        </w:rPr>
        <w:t xml:space="preserve">, </w:t>
      </w:r>
      <w:r w:rsidRPr="007E20F9">
        <w:rPr>
          <w:i/>
        </w:rPr>
        <w:t>Caso Cantos Vs. Argentina. Fondo, Reparaciones y Costas.</w:t>
      </w:r>
      <w:r w:rsidRPr="00C271B5">
        <w:t xml:space="preserve"> Sentencia de 28 de noviembre de 2002. Serie C No. 97, párrs. 54 a 55</w:t>
      </w:r>
      <w:r w:rsidRPr="00606243">
        <w:rPr>
          <w:rStyle w:val="Strong"/>
          <w:b w:val="0"/>
          <w:lang w:val="es-ES_tradnl"/>
        </w:rPr>
        <w:t xml:space="preserve">, y </w:t>
      </w:r>
      <w:r w:rsidRPr="00606243">
        <w:t xml:space="preserve">Excepciones al Agotamiento de los Recursos Internos, Opinión Consultiva. OC-11/90, supra, párrs. 29 a 31. Asimismo, </w:t>
      </w:r>
      <w:r w:rsidRPr="007E20F9">
        <w:rPr>
          <w:i/>
        </w:rPr>
        <w:t>Cfr.</w:t>
      </w:r>
      <w:r w:rsidRPr="00606243">
        <w:t xml:space="preserve"> CIDH, Acceso a la justicia como garantía de los derechos económicos, sociales y culturales. Estudio </w:t>
      </w:r>
      <w:r w:rsidRPr="001C2D93">
        <w:t xml:space="preserve">de los estándares fijados por el Sistema Interamericano de Derechos Humanos. </w:t>
      </w:r>
      <w:r w:rsidRPr="001C2D93">
        <w:rPr>
          <w:color w:val="000000"/>
        </w:rPr>
        <w:t>OEA/Ser.L/V/II.129. Doc. 4 de 7 de septiembre de 2007</w:t>
      </w:r>
      <w:r w:rsidRPr="001863DB">
        <w:rPr>
          <w:color w:val="000000"/>
        </w:rPr>
        <w:t>, párrs. 66</w:t>
      </w:r>
      <w:r>
        <w:rPr>
          <w:color w:val="000000"/>
        </w:rPr>
        <w:t xml:space="preserve"> a </w:t>
      </w:r>
      <w:r w:rsidRPr="001C2D93">
        <w:rPr>
          <w:color w:val="000000"/>
        </w:rPr>
        <w:t xml:space="preserve">80. Disponible en: </w:t>
      </w:r>
      <w:hyperlink r:id="rId23" w:history="1">
        <w:r w:rsidRPr="00C271B5">
          <w:rPr>
            <w:rStyle w:val="Hyperlink"/>
          </w:rPr>
          <w:t>http://www.cidh.org/countryrep/AccesoDESC07sp/Accesodescindice.sp.htm</w:t>
        </w:r>
      </w:hyperlink>
      <w:r w:rsidRPr="00C271B5">
        <w:t>, y Acceso a la justicia para mujeres v</w:t>
      </w:r>
      <w:r w:rsidRPr="00606243">
        <w:t xml:space="preserve">íctimas de violencia en las Américas. </w:t>
      </w:r>
      <w:r w:rsidRPr="00606243">
        <w:rPr>
          <w:color w:val="000000"/>
        </w:rPr>
        <w:t xml:space="preserve">OEA/Ser.L/V/II. Doc. 68 de 20 de enero de 2007, párr. 112. Disponible en: </w:t>
      </w:r>
      <w:hyperlink r:id="rId24" w:history="1">
        <w:r w:rsidRPr="00C271B5">
          <w:rPr>
            <w:rStyle w:val="Hyperlink"/>
          </w:rPr>
          <w:t>http://www.cidh.oas.org/women/Acceso07/indiceacceso.htm</w:t>
        </w:r>
      </w:hyperlink>
      <w:r w:rsidRPr="00C271B5">
        <w:rPr>
          <w:color w:val="000000"/>
        </w:rPr>
        <w:t>.</w:t>
      </w:r>
      <w:r w:rsidRPr="007E20F9">
        <w:rPr>
          <w:color w:val="000000"/>
        </w:rPr>
        <w:t xml:space="preserve"> </w:t>
      </w:r>
    </w:p>
  </w:footnote>
  <w:footnote w:id="295">
    <w:p w14:paraId="6E191B9D" w14:textId="77777777" w:rsidR="00247DB8" w:rsidRPr="00116F0A" w:rsidRDefault="00247DB8" w:rsidP="00AA7575">
      <w:pPr>
        <w:pStyle w:val="FootnoteText"/>
        <w:spacing w:afterLines="40" w:after="96"/>
      </w:pPr>
      <w:r w:rsidRPr="00116F0A">
        <w:rPr>
          <w:rStyle w:val="FootnoteReference"/>
          <w:rFonts w:cs="Arial"/>
          <w:sz w:val="16"/>
        </w:rPr>
        <w:footnoteRef/>
      </w:r>
      <w:r w:rsidRPr="00116F0A">
        <w:t xml:space="preserve"> </w:t>
      </w:r>
      <w:r w:rsidRPr="00116F0A">
        <w:tab/>
      </w:r>
      <w:r w:rsidRPr="00116F0A">
        <w:rPr>
          <w:i/>
        </w:rPr>
        <w:t>Cfr. Caso de la Comunidad Mayagna (Sumo) Awas Tingni, supra,</w:t>
      </w:r>
      <w:r w:rsidRPr="00116F0A">
        <w:t xml:space="preserve"> párr. 138, y </w:t>
      </w:r>
      <w:r w:rsidRPr="00116F0A">
        <w:rPr>
          <w:i/>
          <w:lang w:val="es-CR"/>
        </w:rPr>
        <w:t>Caso de los Pueblos Indígenas Kuna de Madungandí y Emberá de Bayano y sus miembros</w:t>
      </w:r>
      <w:r w:rsidRPr="00116F0A">
        <w:rPr>
          <w:i/>
        </w:rPr>
        <w:t>, supra,</w:t>
      </w:r>
      <w:r w:rsidRPr="00116F0A">
        <w:t xml:space="preserve"> párr. 157.</w:t>
      </w:r>
    </w:p>
  </w:footnote>
  <w:footnote w:id="296">
    <w:p w14:paraId="54455856" w14:textId="77777777" w:rsidR="00247DB8" w:rsidRPr="00116F0A" w:rsidRDefault="00247DB8" w:rsidP="00AA7575">
      <w:pPr>
        <w:pStyle w:val="FootnoteText"/>
        <w:spacing w:afterLines="40" w:after="96"/>
      </w:pPr>
      <w:r w:rsidRPr="00116F0A">
        <w:rPr>
          <w:rStyle w:val="FootnoteReference"/>
          <w:sz w:val="16"/>
        </w:rPr>
        <w:footnoteRef/>
      </w:r>
      <w:r w:rsidRPr="00116F0A">
        <w:t xml:space="preserve"> </w:t>
      </w:r>
      <w:r w:rsidRPr="00116F0A">
        <w:tab/>
      </w:r>
      <w:r w:rsidRPr="00116F0A">
        <w:rPr>
          <w:i/>
        </w:rPr>
        <w:t>Cfr.</w:t>
      </w:r>
      <w:r w:rsidRPr="00116F0A">
        <w:t xml:space="preserve"> </w:t>
      </w:r>
      <w:r w:rsidRPr="00116F0A">
        <w:rPr>
          <w:rStyle w:val="Strong"/>
          <w:b w:val="0"/>
          <w:i/>
          <w:lang w:val="es-ES_tradnl"/>
        </w:rPr>
        <w:t>Caso Comunidad Indígena Yakye Axa, supra,</w:t>
      </w:r>
      <w:r w:rsidRPr="00116F0A">
        <w:rPr>
          <w:rStyle w:val="Strong"/>
          <w:b w:val="0"/>
          <w:lang w:val="es-ES_tradnl"/>
        </w:rPr>
        <w:t xml:space="preserve"> párr. 51, y </w:t>
      </w:r>
      <w:r w:rsidRPr="00116F0A">
        <w:rPr>
          <w:i/>
        </w:rPr>
        <w:t>Caso de los Pueblos Indígenas Kuna de Madungandí y Emberá de Bayano y sus miembros, supra</w:t>
      </w:r>
      <w:r w:rsidRPr="00116F0A">
        <w:t>, párr. 112.</w:t>
      </w:r>
    </w:p>
  </w:footnote>
  <w:footnote w:id="297">
    <w:p w14:paraId="035AB04A" w14:textId="77777777" w:rsidR="00247DB8" w:rsidRPr="00116F0A" w:rsidRDefault="00247DB8" w:rsidP="00AA7575">
      <w:pPr>
        <w:tabs>
          <w:tab w:val="left" w:pos="567"/>
        </w:tabs>
        <w:spacing w:afterLines="40" w:after="96"/>
        <w:jc w:val="both"/>
        <w:rPr>
          <w:rFonts w:ascii="Verdana" w:eastAsia="Times New Roman" w:hAnsi="Verdana"/>
          <w:spacing w:val="-2"/>
          <w:sz w:val="16"/>
          <w:szCs w:val="16"/>
          <w:lang w:val="es-CR" w:eastAsia="es-ES"/>
        </w:rPr>
      </w:pPr>
      <w:r w:rsidRPr="00116F0A">
        <w:rPr>
          <w:rStyle w:val="FootnoteReference"/>
          <w:sz w:val="16"/>
          <w:szCs w:val="16"/>
        </w:rPr>
        <w:footnoteRef/>
      </w:r>
      <w:r w:rsidRPr="00116F0A">
        <w:rPr>
          <w:rFonts w:ascii="Verdana" w:hAnsi="Verdana"/>
          <w:sz w:val="16"/>
          <w:szCs w:val="16"/>
          <w:lang w:val="es-CR"/>
        </w:rPr>
        <w:t xml:space="preserve"> </w:t>
      </w:r>
      <w:r w:rsidRPr="00116F0A">
        <w:rPr>
          <w:rFonts w:ascii="Verdana" w:hAnsi="Verdana"/>
          <w:sz w:val="16"/>
          <w:szCs w:val="16"/>
          <w:lang w:val="es-CR"/>
        </w:rPr>
        <w:tab/>
      </w:r>
      <w:r w:rsidRPr="00116F0A">
        <w:rPr>
          <w:rFonts w:ascii="Verdana" w:hAnsi="Verdana"/>
          <w:i/>
          <w:sz w:val="16"/>
          <w:szCs w:val="16"/>
          <w:lang w:val="es-CR"/>
        </w:rPr>
        <w:t xml:space="preserve">Cfr. </w:t>
      </w:r>
      <w:r w:rsidRPr="00116F0A">
        <w:rPr>
          <w:rStyle w:val="Strong"/>
          <w:rFonts w:ascii="Verdana" w:hAnsi="Verdana"/>
          <w:b w:val="0"/>
          <w:i/>
          <w:sz w:val="16"/>
          <w:szCs w:val="16"/>
          <w:lang w:val="es-CR"/>
        </w:rPr>
        <w:t>Caso Comunidad Indígena Yakye Axa, supra</w:t>
      </w:r>
      <w:r w:rsidRPr="00116F0A">
        <w:rPr>
          <w:rStyle w:val="Strong"/>
          <w:rFonts w:ascii="Verdana" w:hAnsi="Verdana"/>
          <w:b w:val="0"/>
          <w:sz w:val="16"/>
          <w:szCs w:val="16"/>
          <w:lang w:val="es-CR"/>
        </w:rPr>
        <w:t xml:space="preserve">, párr. 63, y </w:t>
      </w:r>
      <w:r w:rsidRPr="00116F0A">
        <w:rPr>
          <w:rFonts w:ascii="Verdana" w:hAnsi="Verdana"/>
          <w:i/>
          <w:sz w:val="16"/>
          <w:szCs w:val="16"/>
          <w:lang w:val="es-CR"/>
        </w:rPr>
        <w:t>Caso de los Pueblos Indígenas Kuna de Madungandí y Emberá de Bayano y sus miembros</w:t>
      </w:r>
      <w:r w:rsidRPr="00116F0A">
        <w:rPr>
          <w:rFonts w:ascii="Verdana" w:hAnsi="Verdana" w:cs="Arial"/>
          <w:sz w:val="16"/>
          <w:szCs w:val="16"/>
        </w:rPr>
        <w:t xml:space="preserve">, </w:t>
      </w:r>
      <w:r w:rsidRPr="00116F0A">
        <w:rPr>
          <w:rFonts w:ascii="Verdana" w:hAnsi="Verdana"/>
          <w:i/>
          <w:sz w:val="16"/>
          <w:szCs w:val="16"/>
        </w:rPr>
        <w:t>supra</w:t>
      </w:r>
      <w:r w:rsidRPr="00116F0A">
        <w:rPr>
          <w:rFonts w:ascii="Verdana" w:hAnsi="Verdana"/>
          <w:sz w:val="16"/>
          <w:szCs w:val="16"/>
        </w:rPr>
        <w:t>, párr. 167.</w:t>
      </w:r>
    </w:p>
  </w:footnote>
  <w:footnote w:id="298">
    <w:p w14:paraId="4929C094" w14:textId="77777777" w:rsidR="00247DB8" w:rsidRPr="00BA5FB7" w:rsidRDefault="00247DB8" w:rsidP="00AA7575">
      <w:pPr>
        <w:pStyle w:val="NoSpacing"/>
        <w:tabs>
          <w:tab w:val="left" w:pos="567"/>
        </w:tabs>
        <w:spacing w:afterLines="40" w:after="96"/>
        <w:jc w:val="both"/>
        <w:rPr>
          <w:rFonts w:ascii="Verdana" w:hAnsi="Verdana"/>
          <w:i/>
          <w:strike/>
          <w:sz w:val="16"/>
          <w:szCs w:val="16"/>
          <w:lang w:val="es-MX"/>
        </w:rPr>
      </w:pPr>
      <w:r w:rsidRPr="00116F0A">
        <w:rPr>
          <w:rStyle w:val="FootnoteReference"/>
          <w:sz w:val="16"/>
          <w:szCs w:val="16"/>
        </w:rPr>
        <w:footnoteRef/>
      </w:r>
      <w:r w:rsidRPr="00116F0A">
        <w:rPr>
          <w:rFonts w:ascii="Verdana" w:eastAsia="Times New Roman" w:hAnsi="Verdana"/>
          <w:sz w:val="16"/>
          <w:szCs w:val="16"/>
          <w:lang w:val="es-CR"/>
        </w:rPr>
        <w:t xml:space="preserve"> </w:t>
      </w:r>
      <w:r w:rsidRPr="00116F0A">
        <w:rPr>
          <w:rFonts w:ascii="Verdana" w:eastAsia="Times New Roman" w:hAnsi="Verdana"/>
          <w:sz w:val="16"/>
          <w:szCs w:val="16"/>
          <w:lang w:val="es-CR"/>
        </w:rPr>
        <w:tab/>
      </w:r>
      <w:r w:rsidRPr="00116F0A">
        <w:rPr>
          <w:rFonts w:ascii="Verdana" w:hAnsi="Verdana"/>
          <w:i/>
          <w:sz w:val="16"/>
          <w:szCs w:val="16"/>
          <w:lang w:val="es-CR"/>
        </w:rPr>
        <w:t>Cfr. Caso de la Comunidad Mayagna (Sumo) Awas Tingni, supra</w:t>
      </w:r>
      <w:r w:rsidRPr="00116F0A">
        <w:rPr>
          <w:rFonts w:ascii="Verdana" w:hAnsi="Verdana"/>
          <w:sz w:val="16"/>
          <w:szCs w:val="16"/>
          <w:lang w:val="es-CR"/>
        </w:rPr>
        <w:t>, párr. 149</w:t>
      </w:r>
      <w:r w:rsidRPr="00116F0A">
        <w:rPr>
          <w:rFonts w:ascii="Verdana" w:hAnsi="Verdana"/>
          <w:sz w:val="16"/>
          <w:szCs w:val="16"/>
          <w:lang w:val="es-PE"/>
        </w:rPr>
        <w:t xml:space="preserve">, y </w:t>
      </w:r>
      <w:r w:rsidRPr="00116F0A">
        <w:rPr>
          <w:rFonts w:ascii="Verdana" w:hAnsi="Verdana"/>
          <w:i/>
          <w:sz w:val="16"/>
          <w:szCs w:val="16"/>
          <w:lang w:val="es-CR"/>
        </w:rPr>
        <w:t>Caso de los Pueblos Indígenas Kuna de Madungandí y Emberá de Bayano y sus miembros, supra</w:t>
      </w:r>
      <w:r w:rsidRPr="00116F0A">
        <w:rPr>
          <w:rFonts w:ascii="Verdana" w:hAnsi="Verdana"/>
          <w:sz w:val="16"/>
          <w:szCs w:val="16"/>
          <w:lang w:val="es-CR"/>
        </w:rPr>
        <w:t>, párr. 111.</w:t>
      </w:r>
    </w:p>
  </w:footnote>
  <w:footnote w:id="299">
    <w:p w14:paraId="61CDC25C"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C271B5">
        <w:t xml:space="preserve"> </w:t>
      </w:r>
      <w:r w:rsidRPr="00606243">
        <w:rPr>
          <w:rStyle w:val="Strong"/>
          <w:b w:val="0"/>
          <w:lang w:val="es-CR"/>
        </w:rPr>
        <w:t xml:space="preserve">Artículos 27 y 33.2 de la </w:t>
      </w:r>
      <w:r w:rsidRPr="00606243">
        <w:t xml:space="preserve">Declaración de las Naciones Unidas sobre los Derechos de los Pueblos Indígenas, </w:t>
      </w:r>
      <w:r w:rsidRPr="007E20F9">
        <w:rPr>
          <w:i/>
        </w:rPr>
        <w:t>supra</w:t>
      </w:r>
      <w:r w:rsidRPr="00C271B5">
        <w:t>.</w:t>
      </w:r>
      <w:r w:rsidRPr="00606243">
        <w:rPr>
          <w:rStyle w:val="Strong"/>
          <w:b w:val="0"/>
          <w:lang w:val="es-CR"/>
        </w:rPr>
        <w:t xml:space="preserve"> </w:t>
      </w:r>
    </w:p>
  </w:footnote>
  <w:footnote w:id="300">
    <w:p w14:paraId="2DA62009"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Affidavit</w:t>
      </w:r>
      <w:r w:rsidRPr="00C271B5">
        <w:t xml:space="preserve"> de Loreen Jubitana de 27 de enero de 2015 (expediente de fondo, folio 434).</w:t>
      </w:r>
    </w:p>
  </w:footnote>
  <w:footnote w:id="301">
    <w:p w14:paraId="5927C03A"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w:t>
      </w:r>
      <w:r w:rsidRPr="007E20F9">
        <w:rPr>
          <w:i/>
        </w:rPr>
        <w:t>Affidavit</w:t>
      </w:r>
      <w:r w:rsidRPr="00C271B5">
        <w:t xml:space="preserve"> de Stuart Kirsh de 27 de enero de 2015 (expediente de fondo, folio</w:t>
      </w:r>
      <w:r w:rsidRPr="00606243">
        <w:t xml:space="preserve"> 351).</w:t>
      </w:r>
    </w:p>
  </w:footnote>
  <w:footnote w:id="302">
    <w:p w14:paraId="65064B6F" w14:textId="32DBAA34" w:rsidR="00247DB8" w:rsidRPr="007E20F9" w:rsidRDefault="00247DB8" w:rsidP="00AA7575">
      <w:pPr>
        <w:pStyle w:val="ListParagraph"/>
        <w:tabs>
          <w:tab w:val="left" w:pos="567"/>
        </w:tabs>
        <w:spacing w:afterLines="40" w:after="96"/>
        <w:ind w:left="0"/>
        <w:jc w:val="both"/>
        <w:rPr>
          <w:rFonts w:ascii="Verdana" w:hAnsi="Verdana"/>
          <w:sz w:val="16"/>
          <w:szCs w:val="16"/>
        </w:rPr>
      </w:pPr>
      <w:r w:rsidRPr="00C271B5">
        <w:rPr>
          <w:rStyle w:val="FootnoteReference"/>
          <w:sz w:val="16"/>
          <w:szCs w:val="16"/>
        </w:rPr>
        <w:footnoteRef/>
      </w:r>
      <w:r>
        <w:rPr>
          <w:rFonts w:ascii="Verdana" w:hAnsi="Verdana"/>
          <w:sz w:val="16"/>
          <w:szCs w:val="16"/>
        </w:rPr>
        <w:t xml:space="preserve"> </w:t>
      </w:r>
      <w:r>
        <w:rPr>
          <w:rFonts w:ascii="Verdana" w:hAnsi="Verdana"/>
          <w:sz w:val="16"/>
          <w:szCs w:val="16"/>
        </w:rPr>
        <w:tab/>
      </w:r>
      <w:r w:rsidRPr="00C271B5">
        <w:rPr>
          <w:rFonts w:ascii="Verdana" w:hAnsi="Verdana"/>
          <w:i/>
          <w:sz w:val="16"/>
          <w:szCs w:val="16"/>
        </w:rPr>
        <w:t>Cfr. Caso Velásquez Rodríguez Vs Honduras. Fondo</w:t>
      </w:r>
      <w:r w:rsidRPr="00606243">
        <w:rPr>
          <w:rFonts w:ascii="Verdana" w:hAnsi="Verdana"/>
          <w:sz w:val="16"/>
          <w:szCs w:val="16"/>
          <w:lang w:val="es-PE"/>
        </w:rPr>
        <w:t xml:space="preserve">, </w:t>
      </w:r>
      <w:r w:rsidRPr="007E20F9">
        <w:rPr>
          <w:rFonts w:ascii="Verdana" w:hAnsi="Verdana"/>
          <w:i/>
          <w:sz w:val="16"/>
          <w:szCs w:val="16"/>
          <w:lang w:val="es-PE"/>
        </w:rPr>
        <w:t>supra</w:t>
      </w:r>
      <w:r w:rsidRPr="00C271B5">
        <w:rPr>
          <w:rFonts w:ascii="Verdana" w:hAnsi="Verdana"/>
          <w:sz w:val="16"/>
          <w:szCs w:val="16"/>
          <w:lang w:val="es-PE"/>
        </w:rPr>
        <w:t xml:space="preserve">, </w:t>
      </w:r>
      <w:r w:rsidRPr="00606243">
        <w:rPr>
          <w:rFonts w:ascii="Verdana" w:hAnsi="Verdana"/>
          <w:sz w:val="16"/>
          <w:szCs w:val="16"/>
        </w:rPr>
        <w:t xml:space="preserve">párr. 163, y </w:t>
      </w:r>
      <w:r w:rsidRPr="007E20F9">
        <w:rPr>
          <w:rStyle w:val="Strong"/>
          <w:rFonts w:ascii="Verdana" w:hAnsi="Verdana"/>
          <w:b w:val="0"/>
          <w:i/>
          <w:color w:val="000000"/>
          <w:sz w:val="16"/>
          <w:szCs w:val="16"/>
          <w:shd w:val="clear" w:color="auto" w:fill="FFFFFF"/>
        </w:rPr>
        <w:t>Caso Comunidad Campesina de Santa Bárbara</w:t>
      </w:r>
      <w:r>
        <w:rPr>
          <w:rFonts w:ascii="Verdana" w:hAnsi="Verdana"/>
          <w:sz w:val="16"/>
          <w:szCs w:val="16"/>
          <w:lang w:val="es-ES"/>
        </w:rPr>
        <w:t xml:space="preserve"> </w:t>
      </w:r>
      <w:r w:rsidRPr="004B0145">
        <w:rPr>
          <w:rFonts w:ascii="Verdana" w:hAnsi="Verdana"/>
          <w:i/>
          <w:sz w:val="16"/>
          <w:szCs w:val="16"/>
          <w:lang w:val="es-ES"/>
        </w:rPr>
        <w:t>Vs. Perú.</w:t>
      </w:r>
      <w:r w:rsidRPr="00646A0E">
        <w:rPr>
          <w:rFonts w:ascii="Verdana" w:hAnsi="Verdana"/>
          <w:sz w:val="16"/>
          <w:szCs w:val="16"/>
          <w:lang w:val="es-ES"/>
        </w:rPr>
        <w:t xml:space="preserve"> </w:t>
      </w:r>
      <w:r w:rsidRPr="004B0145">
        <w:rPr>
          <w:rStyle w:val="Strong"/>
          <w:rFonts w:ascii="Verdana" w:hAnsi="Verdana"/>
          <w:b w:val="0"/>
          <w:i/>
          <w:color w:val="000000"/>
          <w:sz w:val="16"/>
          <w:szCs w:val="16"/>
          <w:shd w:val="clear" w:color="auto" w:fill="FFFFFF"/>
        </w:rPr>
        <w:t>Excepciones Preliminares, Fondo, Reparaciones y Costas.</w:t>
      </w:r>
      <w:r w:rsidRPr="00646A0E">
        <w:rPr>
          <w:rStyle w:val="Strong"/>
          <w:rFonts w:ascii="Verdana" w:hAnsi="Verdana"/>
          <w:b w:val="0"/>
          <w:color w:val="000000"/>
          <w:sz w:val="16"/>
          <w:szCs w:val="16"/>
          <w:shd w:val="clear" w:color="auto" w:fill="FFFFFF"/>
        </w:rPr>
        <w:t xml:space="preserve"> Sentencia de </w:t>
      </w:r>
      <w:r>
        <w:rPr>
          <w:rStyle w:val="Strong"/>
          <w:rFonts w:ascii="Verdana" w:hAnsi="Verdana"/>
          <w:b w:val="0"/>
          <w:color w:val="000000"/>
          <w:sz w:val="16"/>
          <w:szCs w:val="16"/>
          <w:shd w:val="clear" w:color="auto" w:fill="FFFFFF"/>
        </w:rPr>
        <w:t xml:space="preserve">1 </w:t>
      </w:r>
      <w:r w:rsidRPr="004B0145">
        <w:rPr>
          <w:rStyle w:val="Strong"/>
          <w:rFonts w:ascii="Verdana" w:hAnsi="Verdana"/>
          <w:b w:val="0"/>
          <w:color w:val="000000"/>
          <w:sz w:val="16"/>
          <w:szCs w:val="16"/>
          <w:shd w:val="clear" w:color="auto" w:fill="FFFFFF"/>
        </w:rPr>
        <w:t xml:space="preserve">de </w:t>
      </w:r>
      <w:r>
        <w:rPr>
          <w:rStyle w:val="Strong"/>
          <w:rFonts w:ascii="Verdana" w:hAnsi="Verdana"/>
          <w:b w:val="0"/>
          <w:color w:val="000000"/>
          <w:sz w:val="16"/>
          <w:szCs w:val="16"/>
          <w:shd w:val="clear" w:color="auto" w:fill="FFFFFF"/>
        </w:rPr>
        <w:t>septiembre d</w:t>
      </w:r>
      <w:r w:rsidRPr="00646A0E">
        <w:rPr>
          <w:rStyle w:val="Strong"/>
          <w:rFonts w:ascii="Verdana" w:hAnsi="Verdana"/>
          <w:b w:val="0"/>
          <w:color w:val="000000"/>
          <w:sz w:val="16"/>
          <w:szCs w:val="16"/>
          <w:shd w:val="clear" w:color="auto" w:fill="FFFFFF"/>
        </w:rPr>
        <w:t>e 201</w:t>
      </w:r>
      <w:r>
        <w:rPr>
          <w:rStyle w:val="Strong"/>
          <w:rFonts w:ascii="Verdana" w:hAnsi="Verdana"/>
          <w:b w:val="0"/>
          <w:color w:val="000000"/>
          <w:sz w:val="16"/>
          <w:szCs w:val="16"/>
          <w:shd w:val="clear" w:color="auto" w:fill="FFFFFF"/>
        </w:rPr>
        <w:t>5</w:t>
      </w:r>
      <w:r w:rsidRPr="00646A0E">
        <w:rPr>
          <w:rStyle w:val="Strong"/>
          <w:rFonts w:ascii="Verdana" w:hAnsi="Verdana"/>
          <w:b w:val="0"/>
          <w:color w:val="000000"/>
          <w:sz w:val="16"/>
          <w:szCs w:val="16"/>
          <w:shd w:val="clear" w:color="auto" w:fill="FFFFFF"/>
        </w:rPr>
        <w:t>. Serie C No. 2</w:t>
      </w:r>
      <w:r>
        <w:rPr>
          <w:rStyle w:val="Strong"/>
          <w:rFonts w:ascii="Verdana" w:hAnsi="Verdana"/>
          <w:b w:val="0"/>
          <w:color w:val="000000"/>
          <w:sz w:val="16"/>
          <w:szCs w:val="16"/>
          <w:shd w:val="clear" w:color="auto" w:fill="FFFFFF"/>
        </w:rPr>
        <w:t>9</w:t>
      </w:r>
      <w:r w:rsidRPr="004B0145">
        <w:rPr>
          <w:rStyle w:val="Strong"/>
          <w:rFonts w:ascii="Verdana" w:hAnsi="Verdana"/>
          <w:b w:val="0"/>
          <w:color w:val="000000"/>
          <w:sz w:val="16"/>
          <w:szCs w:val="16"/>
          <w:shd w:val="clear" w:color="auto" w:fill="FFFFFF"/>
        </w:rPr>
        <w:t>9,</w:t>
      </w:r>
      <w:r>
        <w:rPr>
          <w:rStyle w:val="Strong"/>
          <w:b w:val="0"/>
          <w:color w:val="000000"/>
          <w:shd w:val="clear" w:color="auto" w:fill="FFFFFF"/>
        </w:rPr>
        <w:t xml:space="preserve"> </w:t>
      </w:r>
      <w:r w:rsidRPr="00606243">
        <w:rPr>
          <w:rFonts w:ascii="Verdana" w:hAnsi="Verdana"/>
          <w:sz w:val="16"/>
          <w:szCs w:val="16"/>
          <w:lang w:val="es-ES"/>
        </w:rPr>
        <w:t>párr. 194</w:t>
      </w:r>
      <w:r>
        <w:rPr>
          <w:rFonts w:ascii="Verdana" w:hAnsi="Verdana"/>
          <w:sz w:val="16"/>
          <w:szCs w:val="16"/>
          <w:lang w:val="es-ES"/>
        </w:rPr>
        <w:t>.</w:t>
      </w:r>
      <w:r w:rsidRPr="007E20F9">
        <w:rPr>
          <w:rFonts w:ascii="Verdana" w:hAnsi="Verdana"/>
          <w:sz w:val="16"/>
          <w:szCs w:val="16"/>
          <w:lang w:val="es-ES"/>
        </w:rPr>
        <w:t xml:space="preserve"> </w:t>
      </w:r>
      <w:r w:rsidRPr="00C271B5">
        <w:rPr>
          <w:rFonts w:ascii="Verdana" w:hAnsi="Verdana"/>
          <w:sz w:val="16"/>
          <w:szCs w:val="16"/>
          <w:lang w:val="es-ES"/>
        </w:rPr>
        <w:t>El Estado no hizo ninguna observación con respecto a la alegada violación del derecho de acceso a la información durante la etapa de fondo ante la Comisión</w:t>
      </w:r>
      <w:r w:rsidRPr="00606243">
        <w:rPr>
          <w:rFonts w:ascii="Verdana" w:hAnsi="Verdana"/>
          <w:sz w:val="16"/>
          <w:szCs w:val="16"/>
          <w:lang w:val="es-ES"/>
        </w:rPr>
        <w:t xml:space="preserve">, a pesar de que dichas alegaciones hechas por los representantes fueron puestas en su conocimiento, por lo que el Estado tuvo la oportunidad de expresar su posición respecto a dichos hechos. Asimismo, durante la diligencia </w:t>
      </w:r>
      <w:r w:rsidRPr="00606243">
        <w:rPr>
          <w:rFonts w:ascii="Verdana" w:hAnsi="Verdana"/>
          <w:i/>
          <w:sz w:val="16"/>
          <w:szCs w:val="16"/>
          <w:lang w:val="es-ES"/>
        </w:rPr>
        <w:t>in situ</w:t>
      </w:r>
      <w:r w:rsidRPr="00606243">
        <w:rPr>
          <w:rFonts w:ascii="Verdana" w:hAnsi="Verdana"/>
          <w:sz w:val="16"/>
          <w:szCs w:val="16"/>
          <w:lang w:val="es-ES"/>
        </w:rPr>
        <w:t xml:space="preserve"> </w:t>
      </w:r>
      <w:r w:rsidRPr="00606243">
        <w:rPr>
          <w:rFonts w:ascii="Verdana" w:hAnsi="Verdana"/>
          <w:sz w:val="16"/>
          <w:szCs w:val="16"/>
          <w:lang w:val="es-PE"/>
        </w:rPr>
        <w:t>alegó que en Surinam no se negaba al acceso al Registro Público</w:t>
      </w:r>
      <w:r w:rsidRPr="001C2D93">
        <w:rPr>
          <w:rFonts w:ascii="Verdana" w:hAnsi="Verdana"/>
          <w:sz w:val="16"/>
          <w:szCs w:val="16"/>
          <w:lang w:val="es-PE"/>
        </w:rPr>
        <w:t>.</w:t>
      </w:r>
    </w:p>
  </w:footnote>
  <w:footnote w:id="303">
    <w:p w14:paraId="3D88BD69"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r>
      <w:r w:rsidRPr="00C271B5">
        <w:rPr>
          <w:i/>
        </w:rPr>
        <w:t>Cfr.</w:t>
      </w:r>
      <w:r w:rsidRPr="00606243">
        <w:t xml:space="preserve"> La colegiación obligatoria de periodistas (artículos 13 y 29 de la Convención Americana sobre Derechos Humanos). </w:t>
      </w:r>
      <w:r w:rsidRPr="004B0145">
        <w:rPr>
          <w:i/>
        </w:rPr>
        <w:t>Opinión Consultiva OC-5/85</w:t>
      </w:r>
      <w:r w:rsidRPr="00606243">
        <w:t xml:space="preserve"> de 13 de noviembre de 1985. Serie A No. 5, párr. 30, y </w:t>
      </w:r>
      <w:r w:rsidRPr="007E20F9">
        <w:rPr>
          <w:rStyle w:val="Strong"/>
          <w:b w:val="0"/>
          <w:i/>
          <w:color w:val="000000"/>
          <w:shd w:val="clear" w:color="auto" w:fill="FFFFFF"/>
        </w:rPr>
        <w:t>Caso Granier y otros (Radio Caracas Televisión) Vs. Venezuela. Excepciones Preliminares, Fondo, Reparaciones y Costas.</w:t>
      </w:r>
      <w:r w:rsidRPr="00C271B5">
        <w:rPr>
          <w:rStyle w:val="Strong"/>
          <w:b w:val="0"/>
          <w:color w:val="000000"/>
          <w:shd w:val="clear" w:color="auto" w:fill="FFFFFF"/>
        </w:rPr>
        <w:t xml:space="preserve"> Sentencia de 22 de junio de 2015. Serie C No. 293, párr.135.</w:t>
      </w:r>
    </w:p>
  </w:footnote>
  <w:footnote w:id="304">
    <w:p w14:paraId="41D7480D" w14:textId="77777777" w:rsidR="00247DB8" w:rsidRPr="00606243" w:rsidRDefault="00247DB8" w:rsidP="00AA7575">
      <w:pPr>
        <w:pStyle w:val="FootnoteText"/>
        <w:spacing w:afterLines="40" w:after="96"/>
      </w:pPr>
      <w:r w:rsidRPr="00C271B5">
        <w:rPr>
          <w:rStyle w:val="FootnoteReference"/>
          <w:sz w:val="16"/>
        </w:rPr>
        <w:footnoteRef/>
      </w:r>
      <w:r w:rsidRPr="00C271B5">
        <w:rPr>
          <w:lang w:val="es-PE"/>
        </w:rPr>
        <w:t xml:space="preserve"> </w:t>
      </w:r>
      <w:r w:rsidRPr="00C271B5">
        <w:tab/>
      </w:r>
      <w:r w:rsidRPr="007E20F9">
        <w:rPr>
          <w:i/>
        </w:rPr>
        <w:t>Cfr. Caso Claude Reyes y otros Vs. Chile. Fondo, Reparaciones y Costas.</w:t>
      </w:r>
      <w:r w:rsidRPr="00C271B5">
        <w:t xml:space="preserve"> Sentencia de 19 de septiembre de 2006. Serie C No. 151, párr.77, y </w:t>
      </w:r>
      <w:r w:rsidRPr="007E20F9">
        <w:rPr>
          <w:rStyle w:val="Strong"/>
          <w:b w:val="0"/>
          <w:i/>
          <w:color w:val="000000"/>
          <w:shd w:val="clear" w:color="auto" w:fill="FFFFFF"/>
        </w:rPr>
        <w:t>Caso Gomes Lund y otros ("Guerrilha do Araguaia") Vs. Brasil. Excepciones Preliminares, Fondo, Reparaciones y Costas.</w:t>
      </w:r>
      <w:r w:rsidRPr="00C271B5">
        <w:rPr>
          <w:rStyle w:val="Strong"/>
          <w:b w:val="0"/>
          <w:color w:val="000000"/>
          <w:shd w:val="clear" w:color="auto" w:fill="FFFFFF"/>
        </w:rPr>
        <w:t xml:space="preserve"> Sentencia de 24 de noviembre de 2010. Serie C No. 219,</w:t>
      </w:r>
      <w:r w:rsidRPr="00606243">
        <w:rPr>
          <w:rStyle w:val="Strong"/>
          <w:b w:val="0"/>
          <w:color w:val="000000"/>
          <w:shd w:val="clear" w:color="auto" w:fill="FFFFFF"/>
        </w:rPr>
        <w:t xml:space="preserve"> párr. 211.</w:t>
      </w:r>
    </w:p>
  </w:footnote>
  <w:footnote w:id="305">
    <w:p w14:paraId="7AF3EB91" w14:textId="0CEB05EA" w:rsidR="00247DB8" w:rsidRPr="00606243" w:rsidRDefault="00247DB8" w:rsidP="00AA7575">
      <w:pPr>
        <w:pStyle w:val="FootnoteText"/>
        <w:spacing w:afterLines="40" w:after="96"/>
      </w:pPr>
      <w:r w:rsidRPr="00BA5FB7">
        <w:rPr>
          <w:rStyle w:val="FootnoteReference"/>
          <w:sz w:val="16"/>
        </w:rPr>
        <w:footnoteRef/>
      </w:r>
      <w:r w:rsidRPr="00C271B5">
        <w:t xml:space="preserve"> </w:t>
      </w:r>
      <w:r w:rsidRPr="00C271B5">
        <w:tab/>
      </w:r>
      <w:r w:rsidRPr="00C271B5">
        <w:rPr>
          <w:i/>
        </w:rPr>
        <w:t>Cfr.</w:t>
      </w:r>
      <w:r w:rsidRPr="00606243">
        <w:t xml:space="preserve"> </w:t>
      </w:r>
      <w:r w:rsidRPr="00606243">
        <w:rPr>
          <w:i/>
        </w:rPr>
        <w:t xml:space="preserve">Caso Claude Reyes y otros, supra, </w:t>
      </w:r>
      <w:r w:rsidRPr="007E20F9">
        <w:t xml:space="preserve">párr. 77, y </w:t>
      </w:r>
      <w:r w:rsidRPr="007E20F9">
        <w:rPr>
          <w:i/>
        </w:rPr>
        <w:t>Caso Omar Humberto Maldonado Vargas y otros</w:t>
      </w:r>
      <w:r>
        <w:t xml:space="preserve"> </w:t>
      </w:r>
      <w:r w:rsidRPr="004B0145">
        <w:rPr>
          <w:i/>
        </w:rPr>
        <w:t>Vs. Chile.</w:t>
      </w:r>
      <w:r>
        <w:t xml:space="preserve"> </w:t>
      </w:r>
      <w:r w:rsidRPr="007E20F9">
        <w:rPr>
          <w:rStyle w:val="Strong"/>
          <w:b w:val="0"/>
          <w:i/>
          <w:color w:val="000000"/>
          <w:shd w:val="clear" w:color="auto" w:fill="FFFFFF"/>
        </w:rPr>
        <w:t>Fondo, Reparaciones y Costas.</w:t>
      </w:r>
      <w:r>
        <w:rPr>
          <w:rStyle w:val="Strong"/>
          <w:b w:val="0"/>
          <w:color w:val="000000"/>
          <w:shd w:val="clear" w:color="auto" w:fill="FFFFFF"/>
        </w:rPr>
        <w:t xml:space="preserve"> Sentencia de 2 de septiembre de 2015. Serie C No. 300</w:t>
      </w:r>
      <w:r w:rsidRPr="00C271B5">
        <w:rPr>
          <w:rStyle w:val="Strong"/>
          <w:b w:val="0"/>
          <w:color w:val="000000"/>
          <w:shd w:val="clear" w:color="auto" w:fill="FFFFFF"/>
        </w:rPr>
        <w:t>,</w:t>
      </w:r>
      <w:r>
        <w:rPr>
          <w:rStyle w:val="Strong"/>
          <w:b w:val="0"/>
          <w:color w:val="000000"/>
          <w:shd w:val="clear" w:color="auto" w:fill="FFFFFF"/>
        </w:rPr>
        <w:t xml:space="preserve"> </w:t>
      </w:r>
      <w:r w:rsidRPr="00606243">
        <w:t>párr. 90.</w:t>
      </w:r>
    </w:p>
  </w:footnote>
  <w:footnote w:id="306">
    <w:p w14:paraId="7AA11980" w14:textId="77777777" w:rsidR="00247DB8" w:rsidRPr="00C271B5" w:rsidRDefault="00247DB8" w:rsidP="00AA7575">
      <w:pPr>
        <w:pStyle w:val="FootnoteText"/>
        <w:spacing w:afterLines="40" w:after="96"/>
      </w:pPr>
      <w:r w:rsidRPr="00C271B5">
        <w:rPr>
          <w:rStyle w:val="FootnoteReference"/>
          <w:sz w:val="16"/>
        </w:rPr>
        <w:footnoteRef/>
      </w:r>
      <w:r w:rsidRPr="00C271B5">
        <w:rPr>
          <w:lang w:val="es-PE"/>
        </w:rPr>
        <w:t xml:space="preserve"> </w:t>
      </w:r>
      <w:r w:rsidRPr="00C271B5">
        <w:tab/>
      </w:r>
      <w:r w:rsidRPr="007E20F9">
        <w:rPr>
          <w:i/>
        </w:rPr>
        <w:t>Cfr. Caso Claude Reyes y otros, supra</w:t>
      </w:r>
      <w:r w:rsidRPr="00C271B5">
        <w:t xml:space="preserve">, párr. </w:t>
      </w:r>
      <w:r w:rsidRPr="004B0145">
        <w:rPr>
          <w:lang w:val="pt-BR"/>
        </w:rPr>
        <w:t xml:space="preserve">77, y </w:t>
      </w:r>
      <w:r w:rsidRPr="004B0145">
        <w:rPr>
          <w:rStyle w:val="Strong"/>
          <w:b w:val="0"/>
          <w:i/>
          <w:color w:val="000000"/>
          <w:shd w:val="clear" w:color="auto" w:fill="FFFFFF"/>
          <w:lang w:val="pt-BR"/>
        </w:rPr>
        <w:t xml:space="preserve">Caso Gomes Lund y otros ("Guerrilha do Araguaia"), supra, </w:t>
      </w:r>
      <w:r w:rsidRPr="004B0145">
        <w:rPr>
          <w:rStyle w:val="Strong"/>
          <w:b w:val="0"/>
          <w:color w:val="000000"/>
          <w:shd w:val="clear" w:color="auto" w:fill="FFFFFF"/>
          <w:lang w:val="pt-BR"/>
        </w:rPr>
        <w:t xml:space="preserve">párr. </w:t>
      </w:r>
      <w:r w:rsidRPr="004B0145">
        <w:rPr>
          <w:rStyle w:val="Strong"/>
          <w:b w:val="0"/>
          <w:color w:val="000000"/>
          <w:shd w:val="clear" w:color="auto" w:fill="FFFFFF"/>
        </w:rPr>
        <w:t>211.</w:t>
      </w:r>
      <w:r w:rsidRPr="007E20F9">
        <w:rPr>
          <w:rStyle w:val="Strong"/>
          <w:b w:val="0"/>
          <w:i/>
          <w:color w:val="000000"/>
          <w:shd w:val="clear" w:color="auto" w:fill="FFFFFF"/>
        </w:rPr>
        <w:t xml:space="preserve"> </w:t>
      </w:r>
    </w:p>
  </w:footnote>
  <w:footnote w:id="307">
    <w:p w14:paraId="115C3F0F"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r>
      <w:r w:rsidRPr="007E20F9">
        <w:rPr>
          <w:i/>
        </w:rPr>
        <w:t>Cfr</w:t>
      </w:r>
      <w:r w:rsidRPr="00C271B5">
        <w:t>. Comité Jurídico Interamericano. Resolución 147 del 73° Período Ordinario de Sesiones: Principios sobre el Derecho de Acceso a la Información. 7 de agos</w:t>
      </w:r>
      <w:r w:rsidRPr="00606243">
        <w:t xml:space="preserve">to de 2008. Punto resolutivo 7. Disponible en: </w:t>
      </w:r>
      <w:hyperlink r:id="rId25" w:history="1">
        <w:r w:rsidRPr="00C271B5">
          <w:rPr>
            <w:rStyle w:val="Hyperlink"/>
          </w:rPr>
          <w:t>http://www.oas.org/cji/CJI-RES_147_LXXII-O-08_esp.pdf</w:t>
        </w:r>
      </w:hyperlink>
      <w:r w:rsidRPr="00C271B5">
        <w:t>.</w:t>
      </w:r>
    </w:p>
  </w:footnote>
  <w:footnote w:id="308">
    <w:p w14:paraId="1AEBEA28" w14:textId="77777777" w:rsidR="00247DB8" w:rsidRPr="001C2D93" w:rsidRDefault="00247DB8" w:rsidP="00AA7575">
      <w:pPr>
        <w:tabs>
          <w:tab w:val="left" w:pos="567"/>
        </w:tabs>
        <w:autoSpaceDE w:val="0"/>
        <w:autoSpaceDN w:val="0"/>
        <w:adjustRightInd w:val="0"/>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t>Los jefes de los pueblos indígenas que firmaron la solicitud fueron: Ricardo Pané, jefe de la comunidad Christ</w:t>
      </w:r>
      <w:r w:rsidRPr="00606243">
        <w:rPr>
          <w:rFonts w:ascii="Verdana" w:hAnsi="Verdana"/>
          <w:sz w:val="16"/>
          <w:szCs w:val="16"/>
        </w:rPr>
        <w:t xml:space="preserve">iaankondre; Henry Zalman, jefe de Wan Shia Sha; Jona Gunther, jefe de Erowate; Harold Galgren, jefe de Alfonsdorp; Ramses Kajoeramari, jefe de Langamankondre; Romeo Pierre, Jefe de </w:t>
      </w:r>
      <w:r w:rsidRPr="00231093">
        <w:rPr>
          <w:rFonts w:ascii="Verdana" w:hAnsi="Verdana"/>
          <w:sz w:val="16"/>
          <w:szCs w:val="16"/>
        </w:rPr>
        <w:t>Pierrekondre; Frans Perre, jefe</w:t>
      </w:r>
      <w:r w:rsidRPr="001C2D93">
        <w:rPr>
          <w:rFonts w:ascii="Verdana" w:hAnsi="Verdana"/>
          <w:sz w:val="16"/>
          <w:szCs w:val="16"/>
        </w:rPr>
        <w:t xml:space="preserve"> de Tapuku, y Leo Maipio, jefe de Bigiston.</w:t>
      </w:r>
    </w:p>
  </w:footnote>
  <w:footnote w:id="309">
    <w:p w14:paraId="6782D3D9" w14:textId="77777777" w:rsidR="00247DB8" w:rsidRPr="00C271B5"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Representada por Grace Watamaleo, Coordinadora de la Comisión de Derechos </w:t>
      </w:r>
      <w:r>
        <w:t xml:space="preserve">de </w:t>
      </w:r>
      <w:r w:rsidRPr="00C271B5">
        <w:t>Tierra</w:t>
      </w:r>
      <w:r>
        <w:t>s</w:t>
      </w:r>
      <w:r w:rsidRPr="00C271B5">
        <w:t xml:space="preserve"> del Río Bajo Marowijne. </w:t>
      </w:r>
    </w:p>
  </w:footnote>
  <w:footnote w:id="310">
    <w:p w14:paraId="21062B70" w14:textId="77777777" w:rsidR="00247DB8" w:rsidRPr="00606243" w:rsidRDefault="00247DB8" w:rsidP="00AA7575">
      <w:pPr>
        <w:pStyle w:val="FootnoteText"/>
        <w:spacing w:afterLines="40" w:after="96"/>
      </w:pPr>
      <w:r w:rsidRPr="00C271B5">
        <w:rPr>
          <w:rStyle w:val="FootnoteReference"/>
          <w:sz w:val="16"/>
        </w:rPr>
        <w:footnoteRef/>
      </w:r>
      <w:r w:rsidRPr="00C271B5">
        <w:t xml:space="preserve"> </w:t>
      </w:r>
      <w:r w:rsidRPr="00C271B5">
        <w:tab/>
        <w:t xml:space="preserve">Representada por Loreen </w:t>
      </w:r>
      <w:r w:rsidRPr="00606243">
        <w:t xml:space="preserve">Jubitana, Directora de la Asociación de Líderes </w:t>
      </w:r>
      <w:r>
        <w:t xml:space="preserve">de Pueblos </w:t>
      </w:r>
      <w:r w:rsidRPr="00606243">
        <w:t xml:space="preserve">Indígenas de Surinam. </w:t>
      </w:r>
    </w:p>
  </w:footnote>
  <w:footnote w:id="311">
    <w:p w14:paraId="04BD27FB" w14:textId="77777777" w:rsidR="00247DB8" w:rsidRPr="001C2D93" w:rsidRDefault="00247DB8" w:rsidP="00AA7575">
      <w:pPr>
        <w:tabs>
          <w:tab w:val="left" w:pos="567"/>
        </w:tabs>
        <w:autoSpaceDE w:val="0"/>
        <w:autoSpaceDN w:val="0"/>
        <w:adjustRightInd w:val="0"/>
        <w:spacing w:afterLines="40" w:after="96"/>
        <w:jc w:val="both"/>
        <w:rPr>
          <w:rFonts w:ascii="Verdana" w:hAnsi="Verdana"/>
          <w:sz w:val="16"/>
          <w:szCs w:val="16"/>
        </w:rPr>
      </w:pPr>
      <w:r w:rsidRPr="00C271B5">
        <w:rPr>
          <w:rStyle w:val="FootnoteReference"/>
          <w:sz w:val="16"/>
          <w:szCs w:val="16"/>
        </w:rPr>
        <w:footnoteRef/>
      </w:r>
      <w:r w:rsidRPr="00C271B5">
        <w:rPr>
          <w:rFonts w:ascii="Verdana" w:hAnsi="Verdana"/>
          <w:sz w:val="16"/>
          <w:szCs w:val="16"/>
        </w:rPr>
        <w:t xml:space="preserve"> </w:t>
      </w:r>
      <w:r w:rsidRPr="00C271B5">
        <w:rPr>
          <w:rFonts w:ascii="Verdana" w:hAnsi="Verdana"/>
          <w:sz w:val="16"/>
          <w:szCs w:val="16"/>
        </w:rPr>
        <w:tab/>
      </w:r>
      <w:r w:rsidRPr="00C271B5">
        <w:rPr>
          <w:rFonts w:ascii="Verdana" w:hAnsi="Verdana"/>
          <w:i/>
          <w:sz w:val="16"/>
          <w:szCs w:val="16"/>
        </w:rPr>
        <w:t>Cfr.</w:t>
      </w:r>
      <w:r w:rsidRPr="00606243">
        <w:rPr>
          <w:rFonts w:ascii="Verdana" w:hAnsi="Verdana"/>
          <w:sz w:val="16"/>
          <w:szCs w:val="16"/>
        </w:rPr>
        <w:t xml:space="preserve"> Petición formal presentada en virtud del art. 22 de la Constitución de 1987 de la República de Surinam, 7 de octubre de 2007 (</w:t>
      </w:r>
      <w:r w:rsidRPr="001C2D93">
        <w:rPr>
          <w:rFonts w:ascii="Verdana" w:hAnsi="Verdana"/>
          <w:sz w:val="16"/>
          <w:szCs w:val="16"/>
        </w:rPr>
        <w:t>expediente de prueba, folios 332 a 333).</w:t>
      </w:r>
    </w:p>
  </w:footnote>
  <w:footnote w:id="312">
    <w:p w14:paraId="67B375D0" w14:textId="77777777" w:rsidR="00247DB8" w:rsidRPr="00C271B5" w:rsidRDefault="00247DB8" w:rsidP="00AA7575">
      <w:pPr>
        <w:pStyle w:val="FootnoteText"/>
        <w:spacing w:afterLines="40" w:after="96"/>
      </w:pPr>
      <w:r w:rsidRPr="00C271B5">
        <w:rPr>
          <w:rStyle w:val="FootnoteReference"/>
          <w:sz w:val="16"/>
        </w:rPr>
        <w:footnoteRef/>
      </w:r>
      <w:r w:rsidRPr="00C271B5">
        <w:rPr>
          <w:lang w:val="es-PE"/>
        </w:rPr>
        <w:t xml:space="preserve"> </w:t>
      </w:r>
      <w:r w:rsidRPr="00C271B5">
        <w:tab/>
      </w:r>
      <w:r w:rsidRPr="00606243">
        <w:rPr>
          <w:i/>
        </w:rPr>
        <w:t xml:space="preserve">Cfr. </w:t>
      </w:r>
      <w:r w:rsidRPr="00606243">
        <w:t xml:space="preserve">Escrito de 28 de mayo de 2008 (expediente de </w:t>
      </w:r>
      <w:r w:rsidRPr="001C2D93">
        <w:t>prueba, folio 570), y Escrito de 29 de octubre de 2008 (expediente de prueba</w:t>
      </w:r>
      <w:r w:rsidRPr="001863DB">
        <w:t>, folio 1258</w:t>
      </w:r>
      <w:r w:rsidRPr="00C271B5">
        <w:t>).</w:t>
      </w:r>
    </w:p>
  </w:footnote>
  <w:footnote w:id="313">
    <w:p w14:paraId="6ABB9E27" w14:textId="73AA14A6" w:rsidR="00247DB8" w:rsidRPr="00C271B5" w:rsidRDefault="00247DB8" w:rsidP="00AA7575">
      <w:pPr>
        <w:pStyle w:val="FootnoteText"/>
        <w:spacing w:afterLines="40" w:after="96"/>
      </w:pPr>
      <w:r w:rsidRPr="00C271B5">
        <w:rPr>
          <w:rStyle w:val="FootnoteReference"/>
          <w:sz w:val="16"/>
        </w:rPr>
        <w:footnoteRef/>
      </w:r>
      <w:r w:rsidRPr="00C271B5">
        <w:rPr>
          <w:lang w:val="es-PE"/>
        </w:rPr>
        <w:t xml:space="preserve"> </w:t>
      </w:r>
      <w:r w:rsidRPr="00C271B5">
        <w:tab/>
        <w:t xml:space="preserve">En este sentido, la Corte solicitó durante la audiencia pública la entrega de </w:t>
      </w:r>
      <w:r w:rsidRPr="00606243">
        <w:t>dichos documentos, como parte de la prueba para mejor resolver. El 14 de marzo el Estado entregó unos anexos a los alegatos finales, los cuales no incluyeron la información respecto de los títulos de terceros solicitados durante la audiencia. En este sentido, el 26 de marzo y el 15 de abril de 2015</w:t>
      </w:r>
      <w:r w:rsidRPr="001863DB">
        <w:t xml:space="preserve">, la Corte volvió a requerir al gobierno de Surinam la información antes solicitada. El Estado, inicialmente, informó a la Corte que la investigación sobre los títulos requeridos se estaba llevando a cabo, pero no adjuntó ningún documento que acreditase tal </w:t>
      </w:r>
      <w:r w:rsidRPr="00C271B5">
        <w:t>información. Finalmente, el 22 de septiembre de 2015 el Estado proporcionó dicha información a la Corte, pero en el idioma holandés, luego de haberle sido requerida con posterioridad a la visita</w:t>
      </w:r>
      <w:r>
        <w:t>.</w:t>
      </w:r>
    </w:p>
  </w:footnote>
  <w:footnote w:id="314">
    <w:p w14:paraId="3AAF2618" w14:textId="77777777" w:rsidR="00247DB8" w:rsidRPr="00606243" w:rsidRDefault="00247DB8" w:rsidP="00AA7575">
      <w:pPr>
        <w:pStyle w:val="FootnoteText"/>
        <w:spacing w:afterLines="40" w:after="96"/>
      </w:pPr>
      <w:r w:rsidRPr="00C271B5">
        <w:rPr>
          <w:rStyle w:val="FootnoteReference"/>
          <w:sz w:val="16"/>
        </w:rPr>
        <w:footnoteRef/>
      </w:r>
      <w:r w:rsidRPr="007E20F9">
        <w:rPr>
          <w:lang w:val="es-CR"/>
        </w:rPr>
        <w:t xml:space="preserve"> </w:t>
      </w:r>
      <w:r w:rsidRPr="007E20F9">
        <w:rPr>
          <w:lang w:val="es-CR"/>
        </w:rPr>
        <w:tab/>
      </w:r>
      <w:r w:rsidRPr="007E20F9">
        <w:rPr>
          <w:i/>
          <w:lang w:val="es-CR"/>
        </w:rPr>
        <w:t xml:space="preserve">Cfr. </w:t>
      </w:r>
      <w:r w:rsidRPr="007E20F9">
        <w:rPr>
          <w:i/>
        </w:rPr>
        <w:t>Caso Claude Reyes y otros, supra,</w:t>
      </w:r>
      <w:r w:rsidRPr="00C271B5">
        <w:t xml:space="preserve"> párr. </w:t>
      </w:r>
      <w:r w:rsidRPr="007E20F9">
        <w:rPr>
          <w:lang w:val="pt-BR"/>
        </w:rPr>
        <w:t xml:space="preserve">77, y </w:t>
      </w:r>
      <w:r w:rsidRPr="007E20F9">
        <w:rPr>
          <w:i/>
          <w:lang w:val="pt-BR"/>
        </w:rPr>
        <w:t>Caso Gomes Lund y otros (“Guerrilha do Araguaia”), supra</w:t>
      </w:r>
      <w:r w:rsidRPr="007E20F9">
        <w:rPr>
          <w:lang w:val="pt-BR"/>
        </w:rPr>
        <w:t xml:space="preserve">, párr. </w:t>
      </w:r>
      <w:r w:rsidRPr="00606243">
        <w:t>211.</w:t>
      </w:r>
    </w:p>
  </w:footnote>
  <w:footnote w:id="315">
    <w:p w14:paraId="6C553E15" w14:textId="77777777" w:rsidR="00247DB8" w:rsidRPr="00606243" w:rsidRDefault="00247DB8" w:rsidP="00AA7575">
      <w:pPr>
        <w:tabs>
          <w:tab w:val="left" w:pos="567"/>
        </w:tabs>
        <w:spacing w:after="80"/>
        <w:jc w:val="both"/>
        <w:rPr>
          <w:rFonts w:ascii="Verdana" w:hAnsi="Verdana"/>
          <w:sz w:val="16"/>
          <w:szCs w:val="16"/>
          <w:lang w:val="es-CR"/>
        </w:rPr>
      </w:pPr>
      <w:r w:rsidRPr="00C271B5">
        <w:rPr>
          <w:rFonts w:ascii="Verdana" w:hAnsi="Verdana"/>
          <w:sz w:val="16"/>
          <w:szCs w:val="16"/>
          <w:vertAlign w:val="superscript"/>
        </w:rPr>
        <w:footnoteRef/>
      </w:r>
      <w:r w:rsidRPr="00C271B5">
        <w:rPr>
          <w:rFonts w:ascii="Verdana" w:hAnsi="Verdana"/>
          <w:sz w:val="16"/>
          <w:szCs w:val="16"/>
          <w:vertAlign w:val="superscript"/>
          <w:lang w:val="es-CR"/>
        </w:rPr>
        <w:t xml:space="preserve"> </w:t>
      </w:r>
      <w:r w:rsidRPr="00C271B5">
        <w:rPr>
          <w:rFonts w:ascii="Verdana" w:hAnsi="Verdana"/>
          <w:sz w:val="16"/>
          <w:szCs w:val="16"/>
          <w:lang w:val="es-CR"/>
        </w:rPr>
        <w:tab/>
        <w:t xml:space="preserve">El artículo 63.1 de la Convención Americana establece que “[c]uando decida que hubo violación de un derecho o libertad protegidos en [la] Convención, la Corte </w:t>
      </w:r>
      <w:r w:rsidRPr="00606243">
        <w:rPr>
          <w:rFonts w:ascii="Verdana" w:hAnsi="Verdana"/>
          <w:sz w:val="16"/>
          <w:szCs w:val="16"/>
          <w:lang w:val="es-CR"/>
        </w:rPr>
        <w:t>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footnote>
  <w:footnote w:id="316">
    <w:p w14:paraId="1D3BA3E4" w14:textId="77777777" w:rsidR="00247DB8" w:rsidRPr="00606243" w:rsidRDefault="00247DB8" w:rsidP="00AA7575">
      <w:pPr>
        <w:tabs>
          <w:tab w:val="left" w:pos="567"/>
        </w:tabs>
        <w:spacing w:after="80"/>
        <w:jc w:val="both"/>
        <w:rPr>
          <w:rFonts w:ascii="Verdana" w:hAnsi="Verdana"/>
          <w:sz w:val="16"/>
          <w:szCs w:val="16"/>
          <w:lang w:val="es-CR"/>
        </w:rPr>
      </w:pPr>
      <w:r w:rsidRPr="00C271B5">
        <w:rPr>
          <w:rFonts w:ascii="Verdana" w:hAnsi="Verdana"/>
          <w:sz w:val="16"/>
          <w:szCs w:val="16"/>
          <w:vertAlign w:val="superscript"/>
        </w:rPr>
        <w:footnoteRef/>
      </w:r>
      <w:r w:rsidRPr="00C271B5">
        <w:rPr>
          <w:rFonts w:ascii="Verdana" w:hAnsi="Verdana"/>
          <w:sz w:val="16"/>
          <w:szCs w:val="16"/>
          <w:vertAlign w:val="superscript"/>
          <w:lang w:val="es-CR"/>
        </w:rPr>
        <w:t xml:space="preserve"> </w:t>
      </w:r>
      <w:r w:rsidRPr="00C271B5">
        <w:rPr>
          <w:rFonts w:ascii="Verdana" w:hAnsi="Verdana"/>
          <w:sz w:val="16"/>
          <w:szCs w:val="16"/>
          <w:lang w:val="es-CR"/>
        </w:rPr>
        <w:tab/>
      </w:r>
      <w:r w:rsidRPr="00606243">
        <w:rPr>
          <w:rFonts w:ascii="Verdana" w:hAnsi="Verdana"/>
          <w:i/>
          <w:sz w:val="16"/>
          <w:szCs w:val="16"/>
          <w:lang w:val="es-CR"/>
        </w:rPr>
        <w:t>Cfr. Caso Velásquez Rodríguez Vs. Honduras. Reparaciones y Costas.</w:t>
      </w:r>
      <w:r w:rsidRPr="00606243">
        <w:rPr>
          <w:rFonts w:ascii="Verdana" w:hAnsi="Verdana"/>
          <w:sz w:val="16"/>
          <w:szCs w:val="16"/>
          <w:lang w:val="es-CR"/>
        </w:rPr>
        <w:t xml:space="preserve"> Sentencia de 21 de julio de 1989. Serie C No. 7, párr. </w:t>
      </w:r>
      <w:r w:rsidRPr="001C2D93">
        <w:rPr>
          <w:rFonts w:ascii="Verdana" w:hAnsi="Verdana"/>
          <w:sz w:val="16"/>
          <w:szCs w:val="16"/>
          <w:lang w:val="es-CR"/>
        </w:rPr>
        <w:t>25, y</w:t>
      </w:r>
      <w:r>
        <w:rPr>
          <w:rFonts w:ascii="Verdana" w:hAnsi="Verdana"/>
          <w:sz w:val="16"/>
          <w:szCs w:val="16"/>
          <w:lang w:val="es-CR"/>
        </w:rPr>
        <w:t xml:space="preserve"> </w:t>
      </w:r>
      <w:r w:rsidRPr="001C2D93">
        <w:rPr>
          <w:rFonts w:ascii="Verdana" w:hAnsi="Verdana"/>
          <w:i/>
          <w:sz w:val="16"/>
          <w:szCs w:val="16"/>
          <w:lang w:val="es-CR"/>
        </w:rPr>
        <w:t xml:space="preserve">Caso </w:t>
      </w:r>
      <w:r w:rsidRPr="007E20F9">
        <w:rPr>
          <w:rFonts w:ascii="Verdana" w:hAnsi="Verdana"/>
          <w:i/>
          <w:sz w:val="16"/>
          <w:szCs w:val="16"/>
          <w:lang w:val="es-CR"/>
        </w:rPr>
        <w:t xml:space="preserve">Comunidad Garífuna de Punta Piedra y sus </w:t>
      </w:r>
      <w:r w:rsidRPr="00C271B5">
        <w:rPr>
          <w:rFonts w:ascii="Verdana" w:hAnsi="Verdana"/>
          <w:i/>
          <w:sz w:val="16"/>
          <w:szCs w:val="16"/>
          <w:lang w:val="es-CR"/>
        </w:rPr>
        <w:t>m</w:t>
      </w:r>
      <w:r w:rsidRPr="007E20F9">
        <w:rPr>
          <w:rFonts w:ascii="Verdana" w:hAnsi="Verdana"/>
          <w:i/>
          <w:sz w:val="16"/>
          <w:szCs w:val="16"/>
          <w:lang w:val="es-CR"/>
        </w:rPr>
        <w:t>iembros, supra,</w:t>
      </w:r>
      <w:r w:rsidRPr="007E20F9">
        <w:rPr>
          <w:rFonts w:ascii="Verdana" w:hAnsi="Verdana"/>
          <w:sz w:val="16"/>
          <w:szCs w:val="16"/>
        </w:rPr>
        <w:t xml:space="preserve"> </w:t>
      </w:r>
      <w:r w:rsidRPr="007E20F9">
        <w:rPr>
          <w:rFonts w:ascii="Verdana" w:hAnsi="Verdana"/>
          <w:sz w:val="16"/>
          <w:szCs w:val="16"/>
          <w:lang w:val="es-CR"/>
        </w:rPr>
        <w:t>párr.</w:t>
      </w:r>
      <w:r w:rsidRPr="00C271B5">
        <w:rPr>
          <w:rFonts w:ascii="Verdana" w:hAnsi="Verdana"/>
          <w:sz w:val="16"/>
          <w:szCs w:val="16"/>
          <w:lang w:val="es-CR"/>
        </w:rPr>
        <w:t xml:space="preserve"> 313.</w:t>
      </w:r>
    </w:p>
  </w:footnote>
  <w:footnote w:id="317">
    <w:p w14:paraId="140B29D6" w14:textId="77777777" w:rsidR="00247DB8" w:rsidRPr="00606243" w:rsidRDefault="00247DB8" w:rsidP="00AA7575">
      <w:pPr>
        <w:tabs>
          <w:tab w:val="left" w:pos="567"/>
        </w:tabs>
        <w:spacing w:after="80"/>
        <w:jc w:val="both"/>
        <w:rPr>
          <w:rFonts w:ascii="Verdana" w:hAnsi="Verdana"/>
          <w:sz w:val="16"/>
          <w:szCs w:val="16"/>
          <w:lang w:val="es-CR"/>
        </w:rPr>
      </w:pPr>
      <w:r w:rsidRPr="00C271B5">
        <w:rPr>
          <w:rFonts w:ascii="Verdana" w:hAnsi="Verdana"/>
          <w:sz w:val="16"/>
          <w:szCs w:val="16"/>
          <w:vertAlign w:val="superscript"/>
        </w:rPr>
        <w:footnoteRef/>
      </w:r>
      <w:r w:rsidRPr="00C271B5">
        <w:rPr>
          <w:rFonts w:ascii="Verdana" w:hAnsi="Verdana"/>
          <w:sz w:val="16"/>
          <w:szCs w:val="16"/>
          <w:vertAlign w:val="superscript"/>
          <w:lang w:val="es-CR"/>
        </w:rPr>
        <w:t xml:space="preserve"> </w:t>
      </w:r>
      <w:r w:rsidRPr="00C271B5">
        <w:rPr>
          <w:rFonts w:ascii="Verdana" w:hAnsi="Verdana"/>
          <w:sz w:val="16"/>
          <w:szCs w:val="16"/>
          <w:lang w:val="es-CR"/>
        </w:rPr>
        <w:tab/>
      </w:r>
      <w:r w:rsidRPr="00606243">
        <w:rPr>
          <w:rFonts w:ascii="Verdana" w:hAnsi="Verdana"/>
          <w:i/>
          <w:sz w:val="16"/>
          <w:szCs w:val="16"/>
          <w:lang w:val="es-CR"/>
        </w:rPr>
        <w:t xml:space="preserve">Cfr. Caso Ticona Estrada y otros Vs. Bolivia. Fondo, Reparaciones y Costas. </w:t>
      </w:r>
      <w:r w:rsidRPr="00606243">
        <w:rPr>
          <w:rFonts w:ascii="Verdana" w:hAnsi="Verdana"/>
          <w:sz w:val="16"/>
          <w:szCs w:val="16"/>
          <w:lang w:val="es-CR"/>
        </w:rPr>
        <w:t>Sentencia de 27 de noviembre de 2008. Serie C No. 191, párr. 110, y</w:t>
      </w:r>
      <w:r w:rsidRPr="00606243">
        <w:rPr>
          <w:rFonts w:ascii="Verdana" w:hAnsi="Verdana"/>
          <w:i/>
          <w:sz w:val="16"/>
          <w:szCs w:val="16"/>
          <w:lang w:val="es-CR"/>
        </w:rPr>
        <w:t xml:space="preserve"> Caso Comunidad Garífuna de Punta Piedra y sus miembros, supra,</w:t>
      </w:r>
      <w:r w:rsidRPr="007E20F9">
        <w:rPr>
          <w:rFonts w:ascii="Verdana" w:hAnsi="Verdana"/>
          <w:sz w:val="16"/>
          <w:szCs w:val="16"/>
        </w:rPr>
        <w:t xml:space="preserve"> </w:t>
      </w:r>
      <w:r w:rsidRPr="00C271B5">
        <w:rPr>
          <w:rFonts w:ascii="Verdana" w:hAnsi="Verdana"/>
          <w:sz w:val="16"/>
          <w:szCs w:val="16"/>
          <w:lang w:val="es-CR"/>
        </w:rPr>
        <w:t>párr.</w:t>
      </w:r>
      <w:r w:rsidRPr="00606243">
        <w:rPr>
          <w:rFonts w:ascii="Verdana" w:hAnsi="Verdana"/>
          <w:sz w:val="16"/>
          <w:szCs w:val="16"/>
          <w:lang w:val="es-CR"/>
        </w:rPr>
        <w:t xml:space="preserve"> 314.</w:t>
      </w:r>
    </w:p>
  </w:footnote>
  <w:footnote w:id="318">
    <w:p w14:paraId="0B50BF93" w14:textId="77777777" w:rsidR="00247DB8" w:rsidRPr="00606243" w:rsidRDefault="00247DB8" w:rsidP="00AA7575">
      <w:pPr>
        <w:tabs>
          <w:tab w:val="left" w:pos="567"/>
        </w:tabs>
        <w:spacing w:after="80"/>
        <w:jc w:val="both"/>
        <w:rPr>
          <w:rFonts w:ascii="Verdana" w:hAnsi="Verdana"/>
          <w:sz w:val="16"/>
          <w:szCs w:val="16"/>
          <w:lang w:val="es-CR"/>
        </w:rPr>
      </w:pPr>
      <w:r w:rsidRPr="00C271B5">
        <w:rPr>
          <w:rFonts w:ascii="Verdana" w:hAnsi="Verdana"/>
          <w:sz w:val="16"/>
          <w:szCs w:val="16"/>
          <w:vertAlign w:val="superscript"/>
        </w:rPr>
        <w:footnoteRef/>
      </w:r>
      <w:r w:rsidRPr="00C271B5">
        <w:rPr>
          <w:rFonts w:ascii="Verdana" w:hAnsi="Verdana"/>
          <w:sz w:val="16"/>
          <w:szCs w:val="16"/>
          <w:vertAlign w:val="superscript"/>
          <w:lang w:val="es-CR"/>
        </w:rPr>
        <w:t xml:space="preserve"> </w:t>
      </w:r>
      <w:r w:rsidRPr="00C271B5">
        <w:rPr>
          <w:rFonts w:ascii="Verdana" w:hAnsi="Verdana"/>
          <w:sz w:val="16"/>
          <w:szCs w:val="16"/>
          <w:lang w:val="es-CR"/>
        </w:rPr>
        <w:tab/>
      </w:r>
      <w:r w:rsidRPr="00606243">
        <w:rPr>
          <w:rFonts w:ascii="Verdana" w:hAnsi="Verdana"/>
          <w:i/>
          <w:sz w:val="16"/>
          <w:szCs w:val="16"/>
          <w:lang w:val="es-CR"/>
        </w:rPr>
        <w:t>Cfr. Caso Velásquez Rodríguez. Reparaciones y Costas, supra</w:t>
      </w:r>
      <w:r w:rsidRPr="00606243">
        <w:rPr>
          <w:rFonts w:ascii="Verdana" w:hAnsi="Verdana"/>
          <w:sz w:val="16"/>
          <w:szCs w:val="16"/>
          <w:lang w:val="es-CR"/>
        </w:rPr>
        <w:t>,</w:t>
      </w:r>
      <w:r w:rsidRPr="00606243">
        <w:rPr>
          <w:rFonts w:ascii="Verdana" w:hAnsi="Verdana"/>
          <w:i/>
          <w:sz w:val="16"/>
          <w:szCs w:val="16"/>
          <w:lang w:val="es-CR"/>
        </w:rPr>
        <w:t xml:space="preserve"> </w:t>
      </w:r>
      <w:r w:rsidRPr="00606243">
        <w:rPr>
          <w:rFonts w:ascii="Verdana" w:hAnsi="Verdana"/>
          <w:sz w:val="16"/>
          <w:szCs w:val="16"/>
          <w:lang w:val="es-CR"/>
        </w:rPr>
        <w:t xml:space="preserve">párrs. 25 y 26, y </w:t>
      </w:r>
      <w:r w:rsidRPr="00606243">
        <w:rPr>
          <w:rFonts w:ascii="Verdana" w:hAnsi="Verdana"/>
          <w:i/>
          <w:sz w:val="16"/>
          <w:szCs w:val="16"/>
          <w:lang w:val="es-CR"/>
        </w:rPr>
        <w:t>Caso</w:t>
      </w:r>
      <w:r w:rsidRPr="001C2D93">
        <w:rPr>
          <w:rFonts w:ascii="Verdana" w:hAnsi="Verdana"/>
          <w:i/>
          <w:sz w:val="16"/>
          <w:szCs w:val="16"/>
          <w:lang w:val="es-CR"/>
        </w:rPr>
        <w:t xml:space="preserve"> Comunidad Garífuna de Punta Piedra y sus miembros, supra,</w:t>
      </w:r>
      <w:r w:rsidRPr="007E20F9">
        <w:rPr>
          <w:rFonts w:ascii="Verdana" w:hAnsi="Verdana"/>
          <w:sz w:val="16"/>
          <w:szCs w:val="16"/>
        </w:rPr>
        <w:t xml:space="preserve"> </w:t>
      </w:r>
      <w:r w:rsidRPr="00C271B5">
        <w:rPr>
          <w:rFonts w:ascii="Verdana" w:hAnsi="Verdana"/>
          <w:sz w:val="16"/>
          <w:szCs w:val="16"/>
          <w:lang w:val="es-CR"/>
        </w:rPr>
        <w:t>párr.</w:t>
      </w:r>
      <w:r>
        <w:rPr>
          <w:rFonts w:ascii="Verdana" w:hAnsi="Verdana"/>
          <w:sz w:val="16"/>
          <w:szCs w:val="16"/>
          <w:lang w:val="es-CR"/>
        </w:rPr>
        <w:t xml:space="preserve"> </w:t>
      </w:r>
      <w:r w:rsidRPr="00606243">
        <w:rPr>
          <w:rFonts w:ascii="Verdana" w:hAnsi="Verdana"/>
          <w:sz w:val="16"/>
          <w:szCs w:val="16"/>
          <w:lang w:val="es-CR"/>
        </w:rPr>
        <w:t>315.</w:t>
      </w:r>
    </w:p>
  </w:footnote>
  <w:footnote w:id="319">
    <w:p w14:paraId="33D23329" w14:textId="77777777" w:rsidR="00247DB8" w:rsidRPr="00606243" w:rsidRDefault="00247DB8" w:rsidP="00AA7575">
      <w:pPr>
        <w:pStyle w:val="FootnoteText"/>
        <w:spacing w:after="80"/>
      </w:pPr>
      <w:r w:rsidRPr="00BA5FB7">
        <w:rPr>
          <w:rStyle w:val="FootnoteReference"/>
          <w:sz w:val="16"/>
        </w:rPr>
        <w:footnoteRef/>
      </w:r>
      <w:r w:rsidRPr="00C271B5">
        <w:t xml:space="preserve"> </w:t>
      </w:r>
      <w:r w:rsidRPr="00C271B5">
        <w:tab/>
      </w:r>
      <w:r w:rsidRPr="007E20F9">
        <w:rPr>
          <w:i/>
        </w:rPr>
        <w:t>Cfr.</w:t>
      </w:r>
      <w:r w:rsidRPr="00606243">
        <w:t xml:space="preserve"> </w:t>
      </w:r>
      <w:r w:rsidRPr="007E20F9">
        <w:rPr>
          <w:i/>
        </w:rPr>
        <w:t>Caso Comunidad Garífuna de Punta Piedra y sus miembros</w:t>
      </w:r>
      <w:r w:rsidRPr="00C271B5">
        <w:t xml:space="preserve">, </w:t>
      </w:r>
      <w:r w:rsidRPr="007E20F9">
        <w:rPr>
          <w:i/>
        </w:rPr>
        <w:t>supra,</w:t>
      </w:r>
      <w:r w:rsidRPr="00606243">
        <w:t xml:space="preserve"> párr. 316.</w:t>
      </w:r>
    </w:p>
  </w:footnote>
  <w:footnote w:id="320">
    <w:p w14:paraId="22016DAF" w14:textId="62E3B2D2" w:rsidR="00247DB8" w:rsidRPr="00606243" w:rsidRDefault="00247DB8" w:rsidP="00AA7575">
      <w:pPr>
        <w:pStyle w:val="FootnoteText"/>
        <w:spacing w:after="80"/>
        <w:rPr>
          <w:lang w:val="es-ES_tradnl"/>
        </w:rPr>
      </w:pPr>
      <w:r w:rsidRPr="00BA5FB7">
        <w:rPr>
          <w:rStyle w:val="FootnoteReference"/>
          <w:sz w:val="16"/>
        </w:rPr>
        <w:footnoteRef/>
      </w:r>
      <w:r w:rsidRPr="00C271B5">
        <w:t xml:space="preserve"> </w:t>
      </w:r>
      <w:r w:rsidRPr="00C271B5">
        <w:rPr>
          <w:lang w:val="es-ES_tradnl"/>
        </w:rPr>
        <w:tab/>
      </w:r>
      <w:r w:rsidRPr="00C271B5">
        <w:t>El Estado</w:t>
      </w:r>
      <w:r w:rsidRPr="00606243">
        <w:t xml:space="preserve"> señaló que tendría que compensar económicamente a los terceros expropiados, asumiendo un costo demasiado alto. Por otro lado, supondría consecuencias para la economía local, ya que al estar cerca de la frontera con la Guayana Francesa se dan muchas actividades económicas en torno a comercios y provisión de servicios que se verían alteradas negativamente por la restricción de determinadas facilidades</w:t>
      </w:r>
      <w:r>
        <w:t>.</w:t>
      </w:r>
    </w:p>
  </w:footnote>
  <w:footnote w:id="321">
    <w:p w14:paraId="2BD9987C" w14:textId="0C91A21E" w:rsidR="00247DB8" w:rsidRPr="00606243" w:rsidRDefault="00247DB8" w:rsidP="00AA7575">
      <w:pPr>
        <w:pStyle w:val="FootnoteText"/>
        <w:spacing w:after="80"/>
      </w:pPr>
      <w:r w:rsidRPr="00BA5FB7">
        <w:rPr>
          <w:rStyle w:val="FootnoteReference"/>
          <w:sz w:val="16"/>
        </w:rPr>
        <w:footnoteRef/>
      </w:r>
      <w:r w:rsidRPr="00C271B5">
        <w:t xml:space="preserve"> </w:t>
      </w:r>
      <w:r w:rsidRPr="00C271B5">
        <w:tab/>
        <w:t>En particular, la bauxita supuso en 2013 un 15% del total de las ganancias del Estado</w:t>
      </w:r>
      <w:r w:rsidRPr="00606243">
        <w:t>.</w:t>
      </w:r>
    </w:p>
  </w:footnote>
  <w:footnote w:id="322">
    <w:p w14:paraId="17F32730" w14:textId="6B9F0457" w:rsidR="00247DB8" w:rsidRPr="007E20F9" w:rsidRDefault="00247DB8" w:rsidP="00AA7575">
      <w:pPr>
        <w:pStyle w:val="FootnoteText"/>
        <w:spacing w:after="80"/>
        <w:rPr>
          <w:lang w:val="es-CR"/>
        </w:rPr>
      </w:pPr>
      <w:r w:rsidRPr="00BA5FB7">
        <w:rPr>
          <w:rStyle w:val="FootnoteReference"/>
          <w:sz w:val="16"/>
        </w:rPr>
        <w:footnoteRef/>
      </w:r>
      <w:r w:rsidRPr="00606243">
        <w:t xml:space="preserve"> </w:t>
      </w:r>
      <w:r w:rsidRPr="00606243">
        <w:tab/>
      </w:r>
      <w:r w:rsidRPr="00606243">
        <w:rPr>
          <w:i/>
          <w:lang w:val="es-CR"/>
        </w:rPr>
        <w:t>Cfr.</w:t>
      </w:r>
      <w:r w:rsidRPr="001863DB">
        <w:t xml:space="preserve"> </w:t>
      </w:r>
      <w:r w:rsidRPr="001863DB">
        <w:rPr>
          <w:i/>
        </w:rPr>
        <w:t xml:space="preserve">Caso Comunidad Indígena Yakye Axa, supra, </w:t>
      </w:r>
      <w:r w:rsidRPr="00606243">
        <w:t xml:space="preserve">párrs. 148 y 217, y </w:t>
      </w:r>
      <w:r w:rsidRPr="00606243">
        <w:rPr>
          <w:i/>
        </w:rPr>
        <w:t>Caso</w:t>
      </w:r>
      <w:r w:rsidRPr="00606243">
        <w:t xml:space="preserve"> </w:t>
      </w:r>
      <w:r w:rsidRPr="00606243">
        <w:rPr>
          <w:i/>
        </w:rPr>
        <w:t>Comunidad Garífuna de Punta Piedra y sus miembros, supra</w:t>
      </w:r>
      <w:r w:rsidRPr="00606243">
        <w:t>, párr. 324</w:t>
      </w:r>
      <w:r w:rsidRPr="00606243">
        <w:rPr>
          <w:lang w:val="es-CR"/>
        </w:rPr>
        <w:t xml:space="preserve">. Al respecto, la Corte recuerda su jurisprudencia según la cual “la restricción que se haga al derecho a la propiedad privada de particulares pudiera ser necesaria para lograr el objetivo colectivo de preservar las identidades culturales en una sociedad democrática y pluralista en el sentido de la Convención Americana; </w:t>
      </w:r>
      <w:r w:rsidRPr="00B4017E">
        <w:rPr>
          <w:lang w:val="es-CR"/>
        </w:rPr>
        <w:t>y proporciona</w:t>
      </w:r>
      <w:r w:rsidRPr="004B0145">
        <w:rPr>
          <w:lang w:val="es-CR"/>
        </w:rPr>
        <w:t xml:space="preserve">l, </w:t>
      </w:r>
      <w:r w:rsidRPr="00B4017E">
        <w:rPr>
          <w:lang w:val="es-CR"/>
        </w:rPr>
        <w:t>si se hace el pago de</w:t>
      </w:r>
      <w:r>
        <w:rPr>
          <w:lang w:val="es-CR"/>
        </w:rPr>
        <w:t xml:space="preserve"> </w:t>
      </w:r>
      <w:r w:rsidRPr="00606243">
        <w:rPr>
          <w:lang w:val="es-CR"/>
        </w:rPr>
        <w:t>una justa indemnización a los perjudicados, de conformidad con el artículo 21.2 de la Convención”.</w:t>
      </w:r>
    </w:p>
  </w:footnote>
  <w:footnote w:id="323">
    <w:p w14:paraId="663313BC" w14:textId="77777777" w:rsidR="00247DB8" w:rsidRPr="007E20F9" w:rsidRDefault="00247DB8" w:rsidP="00AA7575">
      <w:pPr>
        <w:pStyle w:val="FootnoteText"/>
        <w:spacing w:after="80"/>
        <w:rPr>
          <w:lang w:val="es-CR"/>
        </w:rPr>
      </w:pPr>
      <w:r w:rsidRPr="00BA5FB7">
        <w:rPr>
          <w:rStyle w:val="FootnoteReference"/>
          <w:sz w:val="16"/>
        </w:rPr>
        <w:footnoteRef/>
      </w:r>
      <w:r w:rsidRPr="00606243">
        <w:t xml:space="preserve"> </w:t>
      </w:r>
      <w:r w:rsidRPr="00606243">
        <w:tab/>
      </w:r>
      <w:r w:rsidRPr="00606243">
        <w:rPr>
          <w:i/>
        </w:rPr>
        <w:t>Cfr.</w:t>
      </w:r>
      <w:r w:rsidRPr="001863DB">
        <w:t xml:space="preserve"> </w:t>
      </w:r>
      <w:r w:rsidRPr="001863DB">
        <w:rPr>
          <w:i/>
        </w:rPr>
        <w:t>Caso Comunidad Indígena Yakye Axa, supra</w:t>
      </w:r>
      <w:r w:rsidRPr="001863DB">
        <w:rPr>
          <w:b/>
          <w:bCs/>
          <w:i/>
        </w:rPr>
        <w:t>,</w:t>
      </w:r>
      <w:r w:rsidRPr="00606243">
        <w:rPr>
          <w:rStyle w:val="Strong"/>
          <w:color w:val="000000"/>
          <w:shd w:val="clear" w:color="auto" w:fill="FFFFFF"/>
        </w:rPr>
        <w:t xml:space="preserve"> </w:t>
      </w:r>
      <w:r w:rsidRPr="00606243">
        <w:rPr>
          <w:rStyle w:val="Strong"/>
          <w:b w:val="0"/>
          <w:color w:val="000000"/>
          <w:shd w:val="clear" w:color="auto" w:fill="FFFFFF"/>
        </w:rPr>
        <w:t>párr. 217</w:t>
      </w:r>
      <w:r w:rsidRPr="00606243">
        <w:rPr>
          <w:i/>
        </w:rPr>
        <w:t xml:space="preserve">, </w:t>
      </w:r>
      <w:r w:rsidRPr="00606243">
        <w:t>y</w:t>
      </w:r>
      <w:r w:rsidRPr="00606243">
        <w:rPr>
          <w:i/>
        </w:rPr>
        <w:t xml:space="preserve"> Caso Comunidad Indígena Xákmok Kásek, supra,</w:t>
      </w:r>
      <w:r w:rsidRPr="00606243">
        <w:t xml:space="preserve"> párr. 284.</w:t>
      </w:r>
    </w:p>
  </w:footnote>
  <w:footnote w:id="324">
    <w:p w14:paraId="5088EF15" w14:textId="77777777" w:rsidR="00247DB8" w:rsidRPr="007E20F9" w:rsidRDefault="00247DB8" w:rsidP="00AA7575">
      <w:pPr>
        <w:pStyle w:val="FootnoteText"/>
        <w:spacing w:after="80"/>
        <w:rPr>
          <w:lang w:val="es-CR"/>
        </w:rPr>
      </w:pPr>
      <w:r w:rsidRPr="00BA5FB7">
        <w:rPr>
          <w:rStyle w:val="FootnoteReference"/>
          <w:sz w:val="16"/>
        </w:rPr>
        <w:footnoteRef/>
      </w:r>
      <w:r w:rsidRPr="00606243">
        <w:t xml:space="preserve"> </w:t>
      </w:r>
      <w:r w:rsidRPr="00606243">
        <w:tab/>
      </w:r>
      <w:r w:rsidRPr="00606243">
        <w:rPr>
          <w:i/>
        </w:rPr>
        <w:t>Cfr.</w:t>
      </w:r>
      <w:r w:rsidRPr="001863DB">
        <w:t xml:space="preserve"> </w:t>
      </w:r>
      <w:r w:rsidRPr="001863DB">
        <w:rPr>
          <w:i/>
        </w:rPr>
        <w:t>Caso Comunidad Indígena Yakye Axa, supra,</w:t>
      </w:r>
      <w:r w:rsidRPr="001863DB">
        <w:rPr>
          <w:rStyle w:val="Strong"/>
          <w:color w:val="000000"/>
          <w:shd w:val="clear" w:color="auto" w:fill="FFFFFF"/>
        </w:rPr>
        <w:t xml:space="preserve"> </w:t>
      </w:r>
      <w:r w:rsidRPr="00606243">
        <w:rPr>
          <w:rStyle w:val="Strong"/>
          <w:b w:val="0"/>
          <w:color w:val="000000"/>
          <w:shd w:val="clear" w:color="auto" w:fill="FFFFFF"/>
        </w:rPr>
        <w:t>párr. 217</w:t>
      </w:r>
      <w:r w:rsidRPr="00606243">
        <w:rPr>
          <w:i/>
        </w:rPr>
        <w:t xml:space="preserve">, </w:t>
      </w:r>
      <w:r w:rsidRPr="00606243">
        <w:t xml:space="preserve">y </w:t>
      </w:r>
      <w:r w:rsidRPr="00606243">
        <w:rPr>
          <w:i/>
        </w:rPr>
        <w:t>Caso Comunidad Garífuna de Punta Piedra y sus miembros, supra</w:t>
      </w:r>
      <w:r w:rsidRPr="00606243">
        <w:t>, párr. 325.</w:t>
      </w:r>
    </w:p>
  </w:footnote>
  <w:footnote w:id="325">
    <w:p w14:paraId="3048E607" w14:textId="32C2FC5B" w:rsidR="00247DB8" w:rsidRPr="007E20F9" w:rsidRDefault="00247DB8" w:rsidP="00AA7575">
      <w:pPr>
        <w:pStyle w:val="FootnoteText"/>
        <w:spacing w:after="80"/>
        <w:rPr>
          <w:lang w:val="es-CR"/>
        </w:rPr>
      </w:pPr>
      <w:r w:rsidRPr="00BA5FB7">
        <w:rPr>
          <w:rStyle w:val="FootnoteReference"/>
          <w:sz w:val="16"/>
        </w:rPr>
        <w:footnoteRef/>
      </w:r>
      <w:r w:rsidRPr="00606243">
        <w:t xml:space="preserve"> </w:t>
      </w:r>
      <w:r w:rsidRPr="00606243">
        <w:tab/>
      </w:r>
      <w:r w:rsidRPr="00606243">
        <w:rPr>
          <w:i/>
        </w:rPr>
        <w:t>Cfr.</w:t>
      </w:r>
      <w:r w:rsidRPr="001863DB">
        <w:t xml:space="preserve"> </w:t>
      </w:r>
      <w:r w:rsidRPr="001863DB">
        <w:rPr>
          <w:i/>
        </w:rPr>
        <w:t>Caso de la Comunidad Mayagna (Sumo) Awas Tingni</w:t>
      </w:r>
      <w:r w:rsidRPr="007E20F9">
        <w:rPr>
          <w:i/>
          <w:lang w:val="es-CR"/>
        </w:rPr>
        <w:t xml:space="preserve">, </w:t>
      </w:r>
      <w:r w:rsidRPr="007E20F9">
        <w:rPr>
          <w:rStyle w:val="apple-style-span"/>
          <w:i/>
          <w:color w:val="000000"/>
          <w:lang w:val="es-CR"/>
        </w:rPr>
        <w:t>supra</w:t>
      </w:r>
      <w:r w:rsidRPr="007E20F9">
        <w:rPr>
          <w:lang w:val="es-CR"/>
        </w:rPr>
        <w:t xml:space="preserve">, párr. 153.2, y </w:t>
      </w:r>
      <w:r w:rsidRPr="00606243">
        <w:rPr>
          <w:i/>
        </w:rPr>
        <w:t>Caso Comunidad Garífuna de Punta Piedra y sus miembros, supra,</w:t>
      </w:r>
      <w:r>
        <w:t xml:space="preserve"> párr. </w:t>
      </w:r>
      <w:r w:rsidRPr="00606243">
        <w:t>324</w:t>
      </w:r>
      <w:r w:rsidRPr="007E20F9">
        <w:rPr>
          <w:lang w:val="es-CR"/>
        </w:rPr>
        <w:t>.</w:t>
      </w:r>
      <w:r>
        <w:rPr>
          <w:lang w:val="es-CR"/>
        </w:rPr>
        <w:t xml:space="preserve"> </w:t>
      </w:r>
      <w:r w:rsidRPr="007E20F9">
        <w:rPr>
          <w:lang w:val="es-CR"/>
        </w:rPr>
        <w:t>b.</w:t>
      </w:r>
    </w:p>
  </w:footnote>
  <w:footnote w:id="326">
    <w:p w14:paraId="77AD5582" w14:textId="77777777" w:rsidR="00247DB8" w:rsidRPr="00606243" w:rsidRDefault="00247DB8" w:rsidP="00AA7575">
      <w:pPr>
        <w:pStyle w:val="FootnoteText"/>
        <w:spacing w:after="80"/>
      </w:pPr>
      <w:r w:rsidRPr="00BA5FB7">
        <w:rPr>
          <w:rStyle w:val="FootnoteReference"/>
          <w:sz w:val="16"/>
        </w:rPr>
        <w:footnoteRef/>
      </w:r>
      <w:r w:rsidRPr="00C271B5">
        <w:t xml:space="preserve"> </w:t>
      </w:r>
      <w:r w:rsidRPr="00C271B5">
        <w:tab/>
      </w:r>
      <w:r w:rsidRPr="00C271B5">
        <w:rPr>
          <w:i/>
        </w:rPr>
        <w:t>Cfr.</w:t>
      </w:r>
      <w:r w:rsidRPr="00C271B5">
        <w:t xml:space="preserve"> </w:t>
      </w:r>
      <w:r w:rsidRPr="007E20F9">
        <w:rPr>
          <w:i/>
        </w:rPr>
        <w:t>Caso Comunidad Garífuna de Punta Piedra y sus miembros</w:t>
      </w:r>
      <w:r w:rsidRPr="00C271B5">
        <w:t xml:space="preserve">, </w:t>
      </w:r>
      <w:r w:rsidRPr="007E20F9">
        <w:rPr>
          <w:i/>
        </w:rPr>
        <w:t>supra,</w:t>
      </w:r>
      <w:r w:rsidRPr="00C271B5">
        <w:t xml:space="preserve"> párr. 328</w:t>
      </w:r>
      <w:r w:rsidRPr="00606243">
        <w:t xml:space="preserve">. </w:t>
      </w:r>
    </w:p>
  </w:footnote>
  <w:footnote w:id="327">
    <w:p w14:paraId="4FB65A8E" w14:textId="77777777" w:rsidR="00247DB8" w:rsidRPr="00C271B5" w:rsidRDefault="00247DB8" w:rsidP="00AA7575">
      <w:pPr>
        <w:pStyle w:val="FootnoteText"/>
        <w:spacing w:after="80"/>
        <w:rPr>
          <w:lang w:val="es-CR"/>
        </w:rPr>
      </w:pPr>
      <w:r w:rsidRPr="00BA5FB7">
        <w:rPr>
          <w:rStyle w:val="FootnoteReference"/>
          <w:sz w:val="16"/>
        </w:rPr>
        <w:footnoteRef/>
      </w:r>
      <w:r w:rsidRPr="00C271B5">
        <w:t xml:space="preserve"> </w:t>
      </w:r>
      <w:r w:rsidRPr="00C271B5">
        <w:tab/>
      </w:r>
      <w:r w:rsidRPr="00C271B5">
        <w:rPr>
          <w:i/>
        </w:rPr>
        <w:t>Cfr.</w:t>
      </w:r>
      <w:r w:rsidRPr="00C271B5">
        <w:t xml:space="preserve"> </w:t>
      </w:r>
      <w:r w:rsidRPr="00C271B5">
        <w:rPr>
          <w:i/>
        </w:rPr>
        <w:t>Caso</w:t>
      </w:r>
      <w:r w:rsidRPr="007E20F9">
        <w:t xml:space="preserve"> </w:t>
      </w:r>
      <w:r w:rsidRPr="007E20F9">
        <w:rPr>
          <w:i/>
        </w:rPr>
        <w:t>Comunidad Indígena Xákmok Kásek</w:t>
      </w:r>
      <w:r w:rsidRPr="007E20F9">
        <w:t>,</w:t>
      </w:r>
      <w:r w:rsidRPr="00C271B5">
        <w:t xml:space="preserve"> </w:t>
      </w:r>
      <w:r w:rsidRPr="00C271B5">
        <w:rPr>
          <w:i/>
        </w:rPr>
        <w:t>supra</w:t>
      </w:r>
      <w:r w:rsidRPr="00C271B5">
        <w:t xml:space="preserve">, párr. </w:t>
      </w:r>
      <w:r w:rsidRPr="00C271B5">
        <w:rPr>
          <w:lang w:val="es-CR"/>
        </w:rPr>
        <w:t>313.</w:t>
      </w:r>
    </w:p>
  </w:footnote>
  <w:footnote w:id="328">
    <w:p w14:paraId="21BCDCDE" w14:textId="321896BB" w:rsidR="00247DB8" w:rsidRPr="00C271B5" w:rsidRDefault="00247DB8" w:rsidP="00AA7575">
      <w:pPr>
        <w:pStyle w:val="FootnoteText"/>
        <w:spacing w:after="80"/>
      </w:pPr>
      <w:r w:rsidRPr="00BA5FB7">
        <w:rPr>
          <w:rStyle w:val="FootnoteReference"/>
          <w:sz w:val="16"/>
        </w:rPr>
        <w:footnoteRef/>
      </w:r>
      <w:r w:rsidRPr="00C271B5">
        <w:t xml:space="preserve"> </w:t>
      </w:r>
      <w:r w:rsidRPr="00C271B5">
        <w:tab/>
      </w:r>
      <w:r w:rsidRPr="007E20F9">
        <w:rPr>
          <w:i/>
        </w:rPr>
        <w:t>Cfr. Caso Pueblo Indígena Kichwa de Sarayaku, supra,</w:t>
      </w:r>
      <w:r w:rsidRPr="00C271B5">
        <w:t xml:space="preserve"> párr. 299, y</w:t>
      </w:r>
      <w:r w:rsidRPr="007E20F9">
        <w:rPr>
          <w:i/>
        </w:rPr>
        <w:t xml:space="preserve"> Caso Comunidad Garífuna de Punta Piedra y sus miembros, supra, </w:t>
      </w:r>
      <w:r w:rsidRPr="00C271B5">
        <w:t>párr. 327.</w:t>
      </w:r>
    </w:p>
  </w:footnote>
  <w:footnote w:id="329">
    <w:p w14:paraId="6571FDF9" w14:textId="77777777" w:rsidR="00247DB8" w:rsidRPr="00C271B5" w:rsidRDefault="00247DB8" w:rsidP="005758E6">
      <w:pPr>
        <w:pStyle w:val="FootnoteText"/>
        <w:spacing w:after="80"/>
      </w:pPr>
      <w:r w:rsidRPr="00BA5FB7">
        <w:rPr>
          <w:rStyle w:val="FootnoteReference"/>
          <w:sz w:val="16"/>
        </w:rPr>
        <w:footnoteRef/>
      </w:r>
      <w:r w:rsidRPr="00C271B5">
        <w:t xml:space="preserve"> </w:t>
      </w:r>
      <w:r w:rsidRPr="00C271B5">
        <w:tab/>
      </w:r>
      <w:r w:rsidRPr="007E20F9">
        <w:rPr>
          <w:i/>
          <w:lang w:val="es-MX"/>
        </w:rPr>
        <w:t>Cfr.</w:t>
      </w:r>
      <w:r w:rsidRPr="00C271B5">
        <w:rPr>
          <w:lang w:val="es-MX"/>
        </w:rPr>
        <w:t xml:space="preserve"> </w:t>
      </w:r>
      <w:r w:rsidRPr="00C271B5">
        <w:rPr>
          <w:rStyle w:val="Strong"/>
          <w:b w:val="0"/>
          <w:i/>
          <w:lang w:val="es-CR"/>
        </w:rPr>
        <w:t>Caso Pueblo Indígena Kichwa de Sarayaku, supra</w:t>
      </w:r>
      <w:r w:rsidRPr="00C271B5">
        <w:t>, párr. 293.</w:t>
      </w:r>
    </w:p>
  </w:footnote>
  <w:footnote w:id="330">
    <w:p w14:paraId="612924AD" w14:textId="77777777" w:rsidR="00247DB8" w:rsidRPr="00606243" w:rsidRDefault="00247DB8" w:rsidP="005758E6">
      <w:pPr>
        <w:pStyle w:val="FootnoteText"/>
        <w:spacing w:after="80"/>
        <w:rPr>
          <w:lang w:val="es-MX"/>
        </w:rPr>
      </w:pPr>
      <w:r w:rsidRPr="00BA5FB7">
        <w:rPr>
          <w:rStyle w:val="FootnoteReference"/>
          <w:sz w:val="16"/>
        </w:rPr>
        <w:footnoteRef/>
      </w:r>
      <w:r w:rsidRPr="00C271B5">
        <w:t xml:space="preserve"> </w:t>
      </w:r>
      <w:r w:rsidRPr="00C271B5">
        <w:tab/>
      </w:r>
      <w:r w:rsidRPr="007E20F9">
        <w:rPr>
          <w:i/>
          <w:lang w:val="es-MX"/>
        </w:rPr>
        <w:t>Cfr.</w:t>
      </w:r>
      <w:r w:rsidRPr="00C271B5">
        <w:rPr>
          <w:lang w:val="es-MX"/>
        </w:rPr>
        <w:t xml:space="preserve"> </w:t>
      </w:r>
      <w:r w:rsidRPr="00C271B5">
        <w:rPr>
          <w:rStyle w:val="Strong"/>
          <w:b w:val="0"/>
          <w:i/>
          <w:lang w:val="es-CR"/>
        </w:rPr>
        <w:t xml:space="preserve">Caso Pueblo Indígena Kichwa de Sarayaku, supra, </w:t>
      </w:r>
      <w:r w:rsidRPr="00C271B5">
        <w:rPr>
          <w:rStyle w:val="Strong"/>
          <w:b w:val="0"/>
          <w:lang w:val="es-CR"/>
        </w:rPr>
        <w:t>párrs</w:t>
      </w:r>
      <w:r w:rsidRPr="00606243">
        <w:rPr>
          <w:rStyle w:val="Strong"/>
          <w:b w:val="0"/>
          <w:lang w:val="es-CR"/>
        </w:rPr>
        <w:t>. 294 y</w:t>
      </w:r>
      <w:r w:rsidRPr="00606243">
        <w:t xml:space="preserve"> 295.</w:t>
      </w:r>
    </w:p>
  </w:footnote>
  <w:footnote w:id="331">
    <w:p w14:paraId="0270FE48" w14:textId="77777777" w:rsidR="00247DB8" w:rsidRPr="00606243" w:rsidRDefault="00247DB8" w:rsidP="005758E6">
      <w:pPr>
        <w:pStyle w:val="FootnoteText"/>
        <w:spacing w:after="80"/>
      </w:pPr>
      <w:r w:rsidRPr="00BA5FB7">
        <w:rPr>
          <w:rStyle w:val="FootnoteReference"/>
          <w:sz w:val="16"/>
        </w:rPr>
        <w:footnoteRef/>
      </w:r>
      <w:r w:rsidRPr="00C271B5">
        <w:t xml:space="preserve"> </w:t>
      </w:r>
      <w:r w:rsidRPr="00C271B5">
        <w:tab/>
      </w:r>
      <w:r w:rsidRPr="00C271B5">
        <w:rPr>
          <w:i/>
          <w:lang w:val="es-MX"/>
        </w:rPr>
        <w:t>Cfr.</w:t>
      </w:r>
      <w:r w:rsidRPr="00C271B5">
        <w:rPr>
          <w:lang w:val="es-MX"/>
        </w:rPr>
        <w:t xml:space="preserve"> </w:t>
      </w:r>
      <w:r w:rsidRPr="00C271B5">
        <w:rPr>
          <w:rStyle w:val="Strong"/>
          <w:b w:val="0"/>
          <w:i/>
          <w:lang w:val="es-CR"/>
        </w:rPr>
        <w:t>Caso Pueblo Indígena Kichwa de Sarayaku, supra</w:t>
      </w:r>
      <w:r w:rsidRPr="00606243">
        <w:t>, párr. 295.</w:t>
      </w:r>
    </w:p>
  </w:footnote>
  <w:footnote w:id="332">
    <w:p w14:paraId="43D7C62E" w14:textId="77777777" w:rsidR="00247DB8" w:rsidRPr="00606243" w:rsidRDefault="00247DB8" w:rsidP="005758E6">
      <w:pPr>
        <w:pStyle w:val="FootnoteText"/>
        <w:spacing w:after="80"/>
      </w:pPr>
      <w:r w:rsidRPr="00BA5FB7">
        <w:rPr>
          <w:rStyle w:val="FootnoteReference"/>
          <w:sz w:val="16"/>
        </w:rPr>
        <w:footnoteRef/>
      </w:r>
      <w:r w:rsidRPr="00C271B5">
        <w:t xml:space="preserve"> </w:t>
      </w:r>
      <w:r w:rsidRPr="00C271B5">
        <w:tab/>
      </w:r>
      <w:r w:rsidRPr="007E20F9">
        <w:rPr>
          <w:i/>
        </w:rPr>
        <w:t>Cfr.</w:t>
      </w:r>
      <w:r w:rsidRPr="00C271B5">
        <w:t xml:space="preserve"> </w:t>
      </w:r>
      <w:r w:rsidRPr="00C271B5">
        <w:rPr>
          <w:rStyle w:val="Strong"/>
          <w:b w:val="0"/>
          <w:i/>
        </w:rPr>
        <w:t>Caso de la Comunidad Moiwana, supra</w:t>
      </w:r>
      <w:r w:rsidRPr="00C271B5">
        <w:rPr>
          <w:rStyle w:val="Strong"/>
          <w:b w:val="0"/>
        </w:rPr>
        <w:t>, párrs. 213 a 215.</w:t>
      </w:r>
    </w:p>
  </w:footnote>
  <w:footnote w:id="333">
    <w:p w14:paraId="47DAAB21" w14:textId="77777777" w:rsidR="00247DB8" w:rsidRPr="00C271B5" w:rsidRDefault="00247DB8" w:rsidP="005758E6">
      <w:pPr>
        <w:pStyle w:val="FootnoteText"/>
        <w:spacing w:after="80"/>
      </w:pPr>
      <w:r w:rsidRPr="00BA5FB7">
        <w:rPr>
          <w:rStyle w:val="FootnoteReference"/>
          <w:sz w:val="16"/>
        </w:rPr>
        <w:footnoteRef/>
      </w:r>
      <w:r w:rsidRPr="00C271B5">
        <w:t xml:space="preserve"> </w:t>
      </w:r>
      <w:r w:rsidRPr="00C271B5">
        <w:tab/>
      </w:r>
      <w:r w:rsidRPr="007E20F9">
        <w:rPr>
          <w:i/>
        </w:rPr>
        <w:t xml:space="preserve">Cfr. </w:t>
      </w:r>
      <w:r w:rsidRPr="00C271B5">
        <w:rPr>
          <w:rStyle w:val="Strong"/>
          <w:b w:val="0"/>
          <w:i/>
        </w:rPr>
        <w:t xml:space="preserve">Caso del Pueblo Saramaka, supra, </w:t>
      </w:r>
      <w:r w:rsidRPr="00C271B5">
        <w:rPr>
          <w:rStyle w:val="Strong"/>
          <w:b w:val="0"/>
        </w:rPr>
        <w:t>párrs. 201 y 202.</w:t>
      </w:r>
    </w:p>
  </w:footnote>
  <w:footnote w:id="334">
    <w:p w14:paraId="2AE3E85B" w14:textId="77777777" w:rsidR="00247DB8" w:rsidRPr="00C271B5" w:rsidRDefault="00247DB8" w:rsidP="005758E6">
      <w:pPr>
        <w:pStyle w:val="FootnoteText"/>
        <w:spacing w:after="80"/>
        <w:rPr>
          <w:lang w:val="es-ES_tradnl"/>
        </w:rPr>
      </w:pPr>
      <w:r w:rsidRPr="00BA5FB7">
        <w:rPr>
          <w:rStyle w:val="FootnoteReference"/>
          <w:sz w:val="16"/>
        </w:rPr>
        <w:footnoteRef/>
      </w:r>
      <w:r w:rsidRPr="00C271B5">
        <w:t xml:space="preserve"> </w:t>
      </w:r>
      <w:r w:rsidRPr="00C271B5">
        <w:tab/>
      </w:r>
      <w:r w:rsidRPr="007E20F9">
        <w:rPr>
          <w:i/>
        </w:rPr>
        <w:t>Cfr.</w:t>
      </w:r>
      <w:r w:rsidRPr="00C271B5">
        <w:t xml:space="preserve">  </w:t>
      </w:r>
      <w:r w:rsidRPr="007E20F9">
        <w:rPr>
          <w:i/>
        </w:rPr>
        <w:t>Caso Comunidad Indígena Yakye Axa</w:t>
      </w:r>
      <w:r w:rsidRPr="00C271B5">
        <w:t xml:space="preserve">, </w:t>
      </w:r>
      <w:r w:rsidRPr="007E20F9">
        <w:rPr>
          <w:i/>
        </w:rPr>
        <w:t>supra</w:t>
      </w:r>
      <w:r w:rsidRPr="00C271B5">
        <w:t xml:space="preserve">, párr. 205  y </w:t>
      </w:r>
      <w:r w:rsidRPr="00C271B5">
        <w:rPr>
          <w:i/>
        </w:rPr>
        <w:t>Caso</w:t>
      </w:r>
      <w:r w:rsidRPr="00C271B5">
        <w:t xml:space="preserve"> </w:t>
      </w:r>
      <w:r w:rsidRPr="007E20F9">
        <w:rPr>
          <w:i/>
        </w:rPr>
        <w:t xml:space="preserve">Comunidad Garífuna de Punta Piedra y sus miembros, supra, </w:t>
      </w:r>
      <w:r w:rsidRPr="00C271B5">
        <w:t>párr. 332.</w:t>
      </w:r>
    </w:p>
  </w:footnote>
  <w:footnote w:id="335">
    <w:p w14:paraId="0455BCF6" w14:textId="77777777" w:rsidR="00247DB8" w:rsidRPr="00606243" w:rsidRDefault="00247DB8" w:rsidP="005758E6">
      <w:pPr>
        <w:pStyle w:val="FootnoteText"/>
        <w:spacing w:after="80"/>
      </w:pPr>
      <w:r w:rsidRPr="00BA5FB7">
        <w:rPr>
          <w:rStyle w:val="FootnoteReference"/>
          <w:sz w:val="16"/>
        </w:rPr>
        <w:footnoteRef/>
      </w:r>
      <w:r w:rsidRPr="00C271B5">
        <w:t xml:space="preserve"> </w:t>
      </w:r>
      <w:r w:rsidRPr="00C271B5">
        <w:tab/>
      </w:r>
      <w:r w:rsidRPr="007E20F9">
        <w:rPr>
          <w:i/>
        </w:rPr>
        <w:t xml:space="preserve">Cfr. Caso Comunidad Garífuna de Punta Piedra y sus </w:t>
      </w:r>
      <w:r w:rsidRPr="00C271B5">
        <w:rPr>
          <w:i/>
        </w:rPr>
        <w:t>miembros</w:t>
      </w:r>
      <w:r w:rsidRPr="00C271B5">
        <w:t xml:space="preserve">, </w:t>
      </w:r>
      <w:r w:rsidRPr="007E20F9">
        <w:t>s</w:t>
      </w:r>
      <w:r w:rsidRPr="007E20F9">
        <w:rPr>
          <w:i/>
        </w:rPr>
        <w:t>upra</w:t>
      </w:r>
      <w:r w:rsidRPr="00C271B5">
        <w:t>, párrs. 332 a 336.</w:t>
      </w:r>
    </w:p>
  </w:footnote>
  <w:footnote w:id="336">
    <w:p w14:paraId="683ECAEF" w14:textId="77777777" w:rsidR="00247DB8" w:rsidRPr="00606243" w:rsidRDefault="00247DB8" w:rsidP="005758E6">
      <w:pPr>
        <w:pStyle w:val="FootnoteText"/>
        <w:spacing w:after="80"/>
        <w:rPr>
          <w:lang w:val="es-ES_tradnl"/>
        </w:rPr>
      </w:pPr>
      <w:r w:rsidRPr="00BA5FB7">
        <w:rPr>
          <w:rStyle w:val="FootnoteReference"/>
          <w:sz w:val="16"/>
        </w:rPr>
        <w:footnoteRef/>
      </w:r>
      <w:r w:rsidRPr="00C271B5">
        <w:t xml:space="preserve"> </w:t>
      </w:r>
      <w:r w:rsidRPr="00C271B5">
        <w:tab/>
      </w:r>
      <w:r w:rsidRPr="00C271B5">
        <w:rPr>
          <w:i/>
        </w:rPr>
        <w:t>Cfr.</w:t>
      </w:r>
      <w:r w:rsidRPr="00C271B5">
        <w:t xml:space="preserve"> Artículo 29</w:t>
      </w:r>
      <w:r>
        <w:t>,</w:t>
      </w:r>
      <w:r w:rsidRPr="00C271B5">
        <w:t xml:space="preserve"> inciso 1 de la Declaración de las Naciones Unidas sobre los </w:t>
      </w:r>
      <w:r>
        <w:t>D</w:t>
      </w:r>
      <w:r w:rsidRPr="00C271B5">
        <w:t>erechos de los Pueblos Indígenas</w:t>
      </w:r>
      <w:r>
        <w:t xml:space="preserve">, </w:t>
      </w:r>
      <w:r w:rsidRPr="007E20F9">
        <w:rPr>
          <w:i/>
        </w:rPr>
        <w:t>supra.</w:t>
      </w:r>
    </w:p>
  </w:footnote>
  <w:footnote w:id="337">
    <w:p w14:paraId="4BFC1B0D" w14:textId="77777777" w:rsidR="00247DB8" w:rsidRPr="00606243" w:rsidRDefault="00247DB8" w:rsidP="005758E6">
      <w:pPr>
        <w:pStyle w:val="FootnoteText"/>
        <w:spacing w:after="80"/>
      </w:pPr>
      <w:r w:rsidRPr="00BA5FB7">
        <w:rPr>
          <w:rStyle w:val="FootnoteReference"/>
          <w:sz w:val="16"/>
        </w:rPr>
        <w:footnoteRef/>
      </w:r>
      <w:r w:rsidRPr="00C271B5">
        <w:t xml:space="preserve"> </w:t>
      </w:r>
      <w:r w:rsidRPr="00C271B5">
        <w:tab/>
      </w:r>
      <w:r w:rsidRPr="007E20F9">
        <w:rPr>
          <w:i/>
        </w:rPr>
        <w:t xml:space="preserve">Cfr. </w:t>
      </w:r>
      <w:r w:rsidRPr="00C271B5">
        <w:rPr>
          <w:i/>
        </w:rPr>
        <w:t>Caso</w:t>
      </w:r>
      <w:r w:rsidRPr="007E20F9">
        <w:rPr>
          <w:i/>
        </w:rPr>
        <w:t xml:space="preserve"> Comunidad Garífuna de Punta Piedra y sus </w:t>
      </w:r>
      <w:r w:rsidRPr="00C271B5">
        <w:rPr>
          <w:i/>
        </w:rPr>
        <w:t>miembros</w:t>
      </w:r>
      <w:r w:rsidRPr="007E20F9">
        <w:rPr>
          <w:i/>
        </w:rPr>
        <w:t>, supra</w:t>
      </w:r>
      <w:r w:rsidRPr="007E20F9">
        <w:t>,</w:t>
      </w:r>
      <w:r w:rsidRPr="00C271B5">
        <w:t xml:space="preserve"> </w:t>
      </w:r>
      <w:r w:rsidRPr="00606243">
        <w:t xml:space="preserve">párr. 334. </w:t>
      </w:r>
    </w:p>
  </w:footnote>
  <w:footnote w:id="338">
    <w:p w14:paraId="21A68E9A" w14:textId="77777777" w:rsidR="00247DB8" w:rsidRPr="00C271B5" w:rsidRDefault="00247DB8" w:rsidP="005758E6">
      <w:pPr>
        <w:pStyle w:val="FootnoteText"/>
        <w:spacing w:after="80"/>
      </w:pPr>
      <w:r w:rsidRPr="00C271B5">
        <w:rPr>
          <w:rStyle w:val="FootnoteReference"/>
          <w:sz w:val="16"/>
        </w:rPr>
        <w:footnoteRef/>
      </w:r>
      <w:r w:rsidRPr="00C271B5">
        <w:t xml:space="preserve"> </w:t>
      </w:r>
      <w:r>
        <w:tab/>
      </w:r>
      <w:r w:rsidRPr="006B5191">
        <w:rPr>
          <w:i/>
        </w:rPr>
        <w:t>Cfr. Caso</w:t>
      </w:r>
      <w:r>
        <w:t xml:space="preserve"> </w:t>
      </w:r>
      <w:r w:rsidRPr="006B5191">
        <w:rPr>
          <w:i/>
        </w:rPr>
        <w:t>Pacheco Teruel y otros Vs. Honduras.</w:t>
      </w:r>
      <w:r>
        <w:rPr>
          <w:i/>
        </w:rPr>
        <w:t xml:space="preserve"> Fondo, Reparaciones y Costas.</w:t>
      </w:r>
      <w:r w:rsidRPr="00C271B5">
        <w:t xml:space="preserve"> </w:t>
      </w:r>
      <w:r>
        <w:t xml:space="preserve">Sentencia de 27 de abril de 2012. Serie C No. 241, párr. 92. </w:t>
      </w:r>
      <w:r w:rsidRPr="00C271B5">
        <w:t xml:space="preserve">“Las garantías de no repetición […] contribuirán a la prevención”. </w:t>
      </w:r>
      <w:r w:rsidRPr="007E20F9">
        <w:rPr>
          <w:i/>
        </w:rPr>
        <w:t>Cfr.</w:t>
      </w:r>
      <w:r>
        <w:t xml:space="preserve"> </w:t>
      </w:r>
      <w:r w:rsidRPr="00C271B5">
        <w:t>Directriz 23 de los Principios y directrices básicos sobre el derecho de las víctimas de violaciones manifiestas de las normas internacionales de derechos humanos y de violaciones graves del derecho internacional humanitario a interponer recursos y obtener reparaciones. UN Doc. A/Res/60/147. Resolución aprobada por la Asamblea General de las Naciones Unidas el 16 de diciembre de 2005, Directriz 23.</w:t>
      </w:r>
    </w:p>
  </w:footnote>
  <w:footnote w:id="339">
    <w:p w14:paraId="0DB96B5C" w14:textId="745B632A" w:rsidR="00247DB8" w:rsidRPr="00C271B5" w:rsidRDefault="00247DB8" w:rsidP="005758E6">
      <w:pPr>
        <w:tabs>
          <w:tab w:val="left" w:pos="567"/>
        </w:tabs>
        <w:spacing w:after="80"/>
        <w:ind w:right="-90"/>
        <w:jc w:val="both"/>
        <w:rPr>
          <w:rFonts w:ascii="Verdana" w:hAnsi="Verdana"/>
          <w:sz w:val="16"/>
          <w:szCs w:val="16"/>
          <w:lang w:val="es-CR"/>
        </w:rPr>
      </w:pPr>
      <w:r w:rsidRPr="001566AF">
        <w:rPr>
          <w:rStyle w:val="FootnoteReference"/>
          <w:sz w:val="16"/>
          <w:szCs w:val="16"/>
        </w:rPr>
        <w:footnoteRef/>
      </w:r>
      <w:r w:rsidRPr="007E20F9">
        <w:rPr>
          <w:rFonts w:ascii="Verdana" w:hAnsi="Verdana"/>
          <w:sz w:val="16"/>
          <w:szCs w:val="16"/>
          <w:lang w:val="es-CR"/>
        </w:rPr>
        <w:t xml:space="preserve"> </w:t>
      </w:r>
      <w:r w:rsidRPr="007E20F9">
        <w:rPr>
          <w:rFonts w:ascii="Verdana" w:hAnsi="Verdana"/>
          <w:sz w:val="16"/>
          <w:szCs w:val="16"/>
          <w:lang w:val="es-CR"/>
        </w:rPr>
        <w:tab/>
      </w:r>
      <w:r w:rsidRPr="007E20F9">
        <w:rPr>
          <w:rFonts w:ascii="Verdana" w:hAnsi="Verdana"/>
          <w:i/>
          <w:color w:val="000000"/>
          <w:sz w:val="16"/>
          <w:szCs w:val="16"/>
          <w:lang w:val="es-CR"/>
        </w:rPr>
        <w:t>Cfr.</w:t>
      </w:r>
      <w:r w:rsidRPr="00C271B5">
        <w:rPr>
          <w:rFonts w:ascii="Verdana" w:hAnsi="Verdana"/>
          <w:i/>
          <w:color w:val="000000"/>
          <w:sz w:val="16"/>
          <w:szCs w:val="16"/>
          <w:lang w:val="es-CR"/>
        </w:rPr>
        <w:t xml:space="preserve"> </w:t>
      </w:r>
      <w:r w:rsidRPr="00C271B5">
        <w:rPr>
          <w:rFonts w:ascii="Verdana" w:hAnsi="Verdana"/>
          <w:bCs/>
          <w:i/>
          <w:color w:val="000000"/>
          <w:sz w:val="16"/>
          <w:szCs w:val="16"/>
          <w:lang w:val="es-CR"/>
        </w:rPr>
        <w:t>Caso Velásquez Rodríguez. Fondo, supra</w:t>
      </w:r>
      <w:r w:rsidRPr="00C271B5">
        <w:rPr>
          <w:rFonts w:ascii="Verdana" w:hAnsi="Verdana"/>
          <w:bCs/>
          <w:color w:val="000000"/>
          <w:sz w:val="16"/>
          <w:szCs w:val="16"/>
          <w:lang w:val="es-CR"/>
        </w:rPr>
        <w:t>, párr</w:t>
      </w:r>
      <w:r w:rsidRPr="00C271B5">
        <w:rPr>
          <w:rFonts w:ascii="Verdana" w:hAnsi="Verdana"/>
          <w:bCs/>
          <w:i/>
          <w:color w:val="000000"/>
          <w:sz w:val="16"/>
          <w:szCs w:val="16"/>
          <w:lang w:val="es-CR"/>
        </w:rPr>
        <w:t xml:space="preserve">. </w:t>
      </w:r>
      <w:r w:rsidRPr="00C271B5">
        <w:rPr>
          <w:rFonts w:ascii="Verdana" w:hAnsi="Verdana"/>
          <w:bCs/>
          <w:color w:val="000000"/>
          <w:sz w:val="16"/>
          <w:szCs w:val="16"/>
          <w:lang w:val="es-CR"/>
        </w:rPr>
        <w:t>166</w:t>
      </w:r>
      <w:r w:rsidRPr="00C271B5">
        <w:rPr>
          <w:rFonts w:ascii="Verdana" w:hAnsi="Verdana"/>
          <w:color w:val="000000"/>
          <w:sz w:val="16"/>
          <w:szCs w:val="16"/>
          <w:lang w:val="es-CR"/>
        </w:rPr>
        <w:t>,</w:t>
      </w:r>
      <w:r w:rsidRPr="00C271B5">
        <w:rPr>
          <w:rFonts w:ascii="Verdana" w:hAnsi="Verdana"/>
          <w:bCs/>
          <w:color w:val="000000"/>
          <w:sz w:val="16"/>
          <w:szCs w:val="16"/>
          <w:lang w:val="es-CR"/>
        </w:rPr>
        <w:t xml:space="preserve"> y </w:t>
      </w:r>
      <w:r w:rsidRPr="00C271B5">
        <w:rPr>
          <w:rFonts w:ascii="Verdana" w:hAnsi="Verdana"/>
          <w:bCs/>
          <w:i/>
          <w:color w:val="000000"/>
          <w:sz w:val="16"/>
          <w:szCs w:val="16"/>
          <w:lang w:val="es-CR"/>
        </w:rPr>
        <w:t>Caso Granier y otros (Radio Caracas</w:t>
      </w:r>
      <w:r w:rsidRPr="00C271B5">
        <w:rPr>
          <w:rFonts w:ascii="Verdana" w:hAnsi="Verdana"/>
          <w:i/>
          <w:color w:val="000000"/>
          <w:sz w:val="16"/>
          <w:szCs w:val="16"/>
          <w:lang w:val="es-CR"/>
        </w:rPr>
        <w:t xml:space="preserve"> </w:t>
      </w:r>
      <w:r w:rsidRPr="007E20F9">
        <w:rPr>
          <w:rFonts w:ascii="Verdana" w:hAnsi="Verdana"/>
          <w:i/>
          <w:color w:val="000000"/>
          <w:sz w:val="16"/>
          <w:szCs w:val="16"/>
          <w:lang w:val="es-CR"/>
        </w:rPr>
        <w:t xml:space="preserve">Televisión) Vs. Venezuela. Excepciones Preliminares, Fondo, Reparaciones y Costas. </w:t>
      </w:r>
      <w:r w:rsidRPr="007E20F9">
        <w:rPr>
          <w:rFonts w:ascii="Verdana" w:hAnsi="Verdana"/>
          <w:bCs/>
          <w:color w:val="000000"/>
          <w:sz w:val="16"/>
          <w:szCs w:val="16"/>
          <w:lang w:val="es-CR"/>
        </w:rPr>
        <w:t>Sentencia de 22 de junio de 2005. Serie C No. 293, párr. 389.</w:t>
      </w:r>
    </w:p>
  </w:footnote>
  <w:footnote w:id="340">
    <w:p w14:paraId="1D5871DB" w14:textId="77777777" w:rsidR="00247DB8" w:rsidRPr="00C271B5" w:rsidRDefault="00247DB8" w:rsidP="005758E6">
      <w:pPr>
        <w:pStyle w:val="FootnoteText"/>
        <w:spacing w:after="80"/>
        <w:rPr>
          <w:lang w:val="es-CR"/>
        </w:rPr>
      </w:pPr>
      <w:r w:rsidRPr="00C271B5">
        <w:rPr>
          <w:rStyle w:val="FootnoteReference"/>
          <w:sz w:val="16"/>
        </w:rPr>
        <w:footnoteRef/>
      </w:r>
      <w:r w:rsidRPr="00C271B5">
        <w:rPr>
          <w:lang w:val="es-CR"/>
        </w:rPr>
        <w:t xml:space="preserve"> </w:t>
      </w:r>
      <w:r w:rsidRPr="00C271B5">
        <w:rPr>
          <w:lang w:val="es-CR"/>
        </w:rPr>
        <w:tab/>
      </w:r>
      <w:r w:rsidRPr="00C271B5">
        <w:rPr>
          <w:i/>
        </w:rPr>
        <w:t>Cfr.</w:t>
      </w:r>
      <w:r w:rsidRPr="00C271B5">
        <w:t xml:space="preserve"> </w:t>
      </w:r>
      <w:r w:rsidRPr="007E20F9">
        <w:rPr>
          <w:i/>
          <w:lang w:val="es-CR"/>
        </w:rPr>
        <w:t>Caso de la Comunidad Mayagna (Sumo) Awas Tingni</w:t>
      </w:r>
      <w:r w:rsidRPr="007E20F9">
        <w:rPr>
          <w:lang w:val="es-CR"/>
        </w:rPr>
        <w:t xml:space="preserve">, </w:t>
      </w:r>
      <w:r w:rsidRPr="00C271B5">
        <w:rPr>
          <w:rFonts w:cs="Arial"/>
          <w:bCs/>
          <w:i/>
          <w:lang w:val="es-CR"/>
        </w:rPr>
        <w:t>supra</w:t>
      </w:r>
      <w:r w:rsidRPr="00C271B5">
        <w:rPr>
          <w:rFonts w:cs="Arial"/>
          <w:bCs/>
          <w:lang w:val="es-CR"/>
        </w:rPr>
        <w:t xml:space="preserve">, párr. 164; </w:t>
      </w:r>
      <w:r w:rsidRPr="00C271B5">
        <w:rPr>
          <w:i/>
        </w:rPr>
        <w:t>Caso</w:t>
      </w:r>
      <w:r w:rsidRPr="00606243">
        <w:rPr>
          <w:i/>
        </w:rPr>
        <w:t xml:space="preserve"> </w:t>
      </w:r>
      <w:r w:rsidRPr="007E20F9">
        <w:t xml:space="preserve">de </w:t>
      </w:r>
      <w:r w:rsidRPr="007E20F9">
        <w:rPr>
          <w:i/>
        </w:rPr>
        <w:t xml:space="preserve">los Pueblos indígenas Kuna de Madungandí y </w:t>
      </w:r>
      <w:r w:rsidRPr="00C271B5">
        <w:rPr>
          <w:i/>
        </w:rPr>
        <w:t>E</w:t>
      </w:r>
      <w:r w:rsidRPr="007E20F9">
        <w:rPr>
          <w:i/>
        </w:rPr>
        <w:t>mberá de Bayanó y sus miembros, supra,</w:t>
      </w:r>
      <w:r w:rsidRPr="00C271B5">
        <w:t xml:space="preserve"> párr. 232.</w:t>
      </w:r>
    </w:p>
  </w:footnote>
  <w:footnote w:id="341">
    <w:p w14:paraId="65149255" w14:textId="77777777" w:rsidR="00247DB8" w:rsidRPr="00C271B5" w:rsidRDefault="00247DB8" w:rsidP="005758E6">
      <w:pPr>
        <w:pStyle w:val="FootnoteText"/>
        <w:spacing w:after="80"/>
      </w:pPr>
      <w:r w:rsidRPr="00BA5FB7">
        <w:rPr>
          <w:rStyle w:val="FootnoteReference"/>
          <w:sz w:val="16"/>
        </w:rPr>
        <w:footnoteRef/>
      </w:r>
      <w:r w:rsidRPr="007E20F9">
        <w:rPr>
          <w:lang w:val="es-CR"/>
        </w:rPr>
        <w:t xml:space="preserve"> </w:t>
      </w:r>
      <w:r w:rsidRPr="007E20F9">
        <w:rPr>
          <w:lang w:val="es-CR"/>
        </w:rPr>
        <w:tab/>
      </w:r>
      <w:r w:rsidRPr="007E20F9">
        <w:rPr>
          <w:i/>
          <w:lang w:val="es-CR"/>
        </w:rPr>
        <w:t>Cfr.</w:t>
      </w:r>
      <w:r w:rsidRPr="007E20F9">
        <w:rPr>
          <w:lang w:val="es-CR"/>
        </w:rPr>
        <w:t xml:space="preserve"> </w:t>
      </w:r>
      <w:r w:rsidRPr="007E20F9">
        <w:rPr>
          <w:i/>
        </w:rPr>
        <w:t xml:space="preserve">Caso del Pueblo Saramaka, supra, </w:t>
      </w:r>
      <w:r w:rsidRPr="00C271B5">
        <w:t xml:space="preserve">párr. </w:t>
      </w:r>
      <w:r w:rsidRPr="007E20F9">
        <w:rPr>
          <w:lang w:val="es-CR"/>
        </w:rPr>
        <w:t>194 d) y e</w:t>
      </w:r>
      <w:r w:rsidRPr="00C271B5">
        <w:rPr>
          <w:lang w:val="es-CR"/>
        </w:rPr>
        <w:t>)</w:t>
      </w:r>
      <w:r w:rsidRPr="007E20F9">
        <w:rPr>
          <w:lang w:val="es-CR"/>
        </w:rPr>
        <w:t xml:space="preserve"> y </w:t>
      </w:r>
      <w:r w:rsidRPr="007E20F9">
        <w:rPr>
          <w:i/>
          <w:lang w:val="es-CR"/>
        </w:rPr>
        <w:t>Caso Pueblo Indígena Kichwa de Sarayaku, supra</w:t>
      </w:r>
      <w:r w:rsidRPr="007E20F9">
        <w:rPr>
          <w:lang w:val="es-CR"/>
        </w:rPr>
        <w:t>, párrs. 299 y 300.</w:t>
      </w:r>
    </w:p>
  </w:footnote>
  <w:footnote w:id="342">
    <w:p w14:paraId="613EB46C" w14:textId="77777777" w:rsidR="00247DB8" w:rsidRPr="007E20F9" w:rsidRDefault="00247DB8" w:rsidP="005758E6">
      <w:pPr>
        <w:pStyle w:val="FootnoteText"/>
        <w:spacing w:after="80"/>
        <w:rPr>
          <w:lang w:val="es-CR"/>
        </w:rPr>
      </w:pPr>
      <w:r w:rsidRPr="00BA5FB7">
        <w:rPr>
          <w:rStyle w:val="FootnoteReference"/>
          <w:sz w:val="16"/>
        </w:rPr>
        <w:footnoteRef/>
      </w:r>
      <w:r w:rsidRPr="00C271B5">
        <w:t xml:space="preserve"> </w:t>
      </w:r>
      <w:r w:rsidRPr="00C271B5">
        <w:tab/>
      </w:r>
      <w:r w:rsidRPr="00C271B5">
        <w:rPr>
          <w:i/>
        </w:rPr>
        <w:t>Cfr. Caso Pueblo Indígena Kichwa de Sarayaku, supra,</w:t>
      </w:r>
      <w:r w:rsidRPr="00C271B5">
        <w:t xml:space="preserve"> párr. 302, y </w:t>
      </w:r>
      <w:r w:rsidRPr="007E20F9">
        <w:rPr>
          <w:i/>
        </w:rPr>
        <w:t>mutatis mutandis</w:t>
      </w:r>
      <w:r>
        <w:t xml:space="preserve">, </w:t>
      </w:r>
      <w:r w:rsidRPr="00C271B5">
        <w:rPr>
          <w:i/>
        </w:rPr>
        <w:t>Caso Mendoza y otros Vs. Argentina. Excepciones Preliminares, Fondo y Reparaciones.</w:t>
      </w:r>
      <w:r w:rsidRPr="00C271B5">
        <w:t xml:space="preserve"> Sentencia de 14 de mayo de 2013, párr. 337.</w:t>
      </w:r>
    </w:p>
  </w:footnote>
  <w:footnote w:id="343">
    <w:p w14:paraId="3D9C8281" w14:textId="6612C33F" w:rsidR="00247DB8" w:rsidRPr="00C271B5" w:rsidRDefault="00247DB8" w:rsidP="005758E6">
      <w:pPr>
        <w:pStyle w:val="FootnoteText"/>
        <w:spacing w:after="80"/>
        <w:rPr>
          <w:lang w:val="es-ES_tradnl"/>
        </w:rPr>
      </w:pPr>
      <w:r w:rsidRPr="00606243">
        <w:rPr>
          <w:rStyle w:val="FootnoteReference"/>
          <w:sz w:val="16"/>
        </w:rPr>
        <w:footnoteRef/>
      </w:r>
      <w:r w:rsidRPr="00C271B5">
        <w:t xml:space="preserve">  </w:t>
      </w:r>
      <w:r w:rsidRPr="00C271B5">
        <w:rPr>
          <w:lang w:val="es-CR"/>
        </w:rPr>
        <w:tab/>
      </w:r>
      <w:r w:rsidRPr="00C271B5">
        <w:rPr>
          <w:i/>
        </w:rPr>
        <w:t>Cfr.</w:t>
      </w:r>
      <w:r w:rsidRPr="00C271B5">
        <w:t xml:space="preserve"> </w:t>
      </w:r>
      <w:r w:rsidRPr="007E20F9">
        <w:rPr>
          <w:i/>
        </w:rPr>
        <w:t>Caso Cantoral Benavides Vs. Perú. Reparaciones y Costas.</w:t>
      </w:r>
      <w:r w:rsidRPr="00C271B5">
        <w:t xml:space="preserve"> Sentencia de 3 de diciembr</w:t>
      </w:r>
      <w:r>
        <w:t>e de 2001. Serie C No. 88, párr.</w:t>
      </w:r>
      <w:r w:rsidRPr="00C271B5">
        <w:t xml:space="preserve"> 79, y </w:t>
      </w:r>
      <w:r w:rsidRPr="007E20F9">
        <w:rPr>
          <w:i/>
        </w:rPr>
        <w:t>Caso Comunidad Garífuna de Punta Piedra y sus</w:t>
      </w:r>
      <w:r w:rsidRPr="007E20F9">
        <w:t xml:space="preserve"> </w:t>
      </w:r>
      <w:r w:rsidRPr="007E20F9">
        <w:rPr>
          <w:i/>
        </w:rPr>
        <w:t>miembro</w:t>
      </w:r>
      <w:r w:rsidRPr="00C271B5">
        <w:t xml:space="preserve">s, </w:t>
      </w:r>
      <w:r w:rsidRPr="00C271B5">
        <w:rPr>
          <w:i/>
        </w:rPr>
        <w:t>supra</w:t>
      </w:r>
      <w:r w:rsidRPr="00C271B5">
        <w:t>, párr</w:t>
      </w:r>
      <w:r w:rsidRPr="007E20F9">
        <w:t>. 33</w:t>
      </w:r>
      <w:r w:rsidRPr="00C271B5">
        <w:t>8</w:t>
      </w:r>
      <w:r w:rsidRPr="007E20F9">
        <w:t>.</w:t>
      </w:r>
    </w:p>
  </w:footnote>
  <w:footnote w:id="344">
    <w:p w14:paraId="38475E96" w14:textId="77777777" w:rsidR="00247DB8" w:rsidRPr="00606243" w:rsidRDefault="00247DB8" w:rsidP="005758E6">
      <w:pPr>
        <w:pStyle w:val="FootnoteText"/>
        <w:spacing w:after="80"/>
        <w:rPr>
          <w:lang w:val="es-ES_tradnl"/>
        </w:rPr>
      </w:pPr>
      <w:r w:rsidRPr="00606243">
        <w:rPr>
          <w:rStyle w:val="FootnoteReference"/>
          <w:sz w:val="16"/>
        </w:rPr>
        <w:footnoteRef/>
      </w:r>
      <w:r w:rsidRPr="00C271B5">
        <w:t xml:space="preserve"> </w:t>
      </w:r>
      <w:r w:rsidRPr="00C271B5">
        <w:tab/>
      </w:r>
      <w:r w:rsidRPr="00C271B5">
        <w:rPr>
          <w:i/>
        </w:rPr>
        <w:t>Cfr.</w:t>
      </w:r>
      <w:r w:rsidRPr="00C271B5">
        <w:t xml:space="preserve"> </w:t>
      </w:r>
      <w:r w:rsidRPr="007E20F9">
        <w:rPr>
          <w:i/>
        </w:rPr>
        <w:t>Caso Nadege Dorzema y otros Vs. República Dominicana. Fondo, Reparaciones y Costas.</w:t>
      </w:r>
      <w:r w:rsidRPr="007E20F9">
        <w:t xml:space="preserve"> </w:t>
      </w:r>
      <w:r w:rsidRPr="00C271B5">
        <w:t xml:space="preserve">Sentencia de 24 de octubre de 2012. Serie C. No. 251, párr. 263, y </w:t>
      </w:r>
      <w:r w:rsidRPr="007E20F9">
        <w:rPr>
          <w:i/>
        </w:rPr>
        <w:t>Caso Comunidad Garífuna de Punta Piedra y sus</w:t>
      </w:r>
      <w:r w:rsidRPr="007E20F9">
        <w:t xml:space="preserve"> </w:t>
      </w:r>
      <w:r w:rsidRPr="007E20F9">
        <w:rPr>
          <w:i/>
        </w:rPr>
        <w:t>miembros</w:t>
      </w:r>
      <w:r w:rsidRPr="00C271B5">
        <w:t xml:space="preserve">, </w:t>
      </w:r>
      <w:r w:rsidRPr="00C271B5">
        <w:rPr>
          <w:i/>
        </w:rPr>
        <w:t>supra</w:t>
      </w:r>
      <w:r w:rsidRPr="00C271B5">
        <w:t>, párr. 338</w:t>
      </w:r>
      <w:r w:rsidRPr="00606243">
        <w:t xml:space="preserve">.   </w:t>
      </w:r>
    </w:p>
  </w:footnote>
  <w:footnote w:id="345">
    <w:p w14:paraId="25048486" w14:textId="21186BC0" w:rsidR="00247DB8" w:rsidRPr="00606243" w:rsidRDefault="00247DB8" w:rsidP="005758E6">
      <w:pPr>
        <w:pStyle w:val="FootnoteText"/>
        <w:spacing w:after="80"/>
        <w:rPr>
          <w:lang w:val="es-ES_tradnl"/>
        </w:rPr>
      </w:pPr>
      <w:r w:rsidRPr="00606243">
        <w:rPr>
          <w:rStyle w:val="FootnoteReference"/>
          <w:sz w:val="16"/>
        </w:rPr>
        <w:footnoteRef/>
      </w:r>
      <w:r w:rsidRPr="00C271B5">
        <w:t xml:space="preserve"> </w:t>
      </w:r>
      <w:r w:rsidRPr="00C271B5">
        <w:tab/>
      </w:r>
      <w:r w:rsidRPr="00C271B5">
        <w:rPr>
          <w:i/>
          <w:lang w:val="es-ES_tradnl"/>
        </w:rPr>
        <w:t>Cfr.</w:t>
      </w:r>
      <w:r w:rsidRPr="00C271B5">
        <w:rPr>
          <w:lang w:val="es-ES_tradnl"/>
        </w:rPr>
        <w:t xml:space="preserve"> </w:t>
      </w:r>
      <w:r w:rsidRPr="007E20F9">
        <w:rPr>
          <w:i/>
          <w:lang w:val="es-ES_tradnl"/>
        </w:rPr>
        <w:t xml:space="preserve">Caso Comunidad Indígena Yakye Axa, </w:t>
      </w:r>
      <w:r w:rsidRPr="00C271B5">
        <w:rPr>
          <w:i/>
          <w:lang w:val="es-ES_tradnl"/>
        </w:rPr>
        <w:t>supra</w:t>
      </w:r>
      <w:r w:rsidRPr="00C271B5">
        <w:rPr>
          <w:lang w:val="es-ES_tradnl"/>
        </w:rPr>
        <w:t>, párr. 227</w:t>
      </w:r>
      <w:r w:rsidRPr="00C271B5">
        <w:t xml:space="preserve">, y </w:t>
      </w:r>
      <w:r w:rsidRPr="007E20F9">
        <w:rPr>
          <w:i/>
        </w:rPr>
        <w:t xml:space="preserve">Caso Comunidad Garífuna de Punta Piedra y sus </w:t>
      </w:r>
      <w:r w:rsidRPr="00C271B5">
        <w:rPr>
          <w:i/>
        </w:rPr>
        <w:t>miembros</w:t>
      </w:r>
      <w:r w:rsidRPr="00C271B5">
        <w:t xml:space="preserve">, </w:t>
      </w:r>
      <w:r w:rsidRPr="00C271B5">
        <w:rPr>
          <w:i/>
        </w:rPr>
        <w:t>supra</w:t>
      </w:r>
      <w:r w:rsidRPr="00C271B5">
        <w:t>, párr. 339</w:t>
      </w:r>
      <w:r>
        <w:t>.</w:t>
      </w:r>
      <w:r w:rsidRPr="00606243">
        <w:rPr>
          <w:lang w:val="es-ES_tradnl"/>
        </w:rPr>
        <w:t xml:space="preserve"> </w:t>
      </w:r>
    </w:p>
  </w:footnote>
  <w:footnote w:id="346">
    <w:p w14:paraId="395CCEF7" w14:textId="77777777" w:rsidR="00247DB8" w:rsidRDefault="00247DB8" w:rsidP="005758E6">
      <w:pPr>
        <w:pStyle w:val="2Footnotes"/>
        <w:tabs>
          <w:tab w:val="left" w:pos="567"/>
        </w:tabs>
        <w:spacing w:before="0" w:after="80"/>
        <w:rPr>
          <w:szCs w:val="16"/>
        </w:rPr>
      </w:pPr>
      <w:r w:rsidRPr="00C271B5">
        <w:rPr>
          <w:rStyle w:val="FootnoteReference"/>
          <w:rFonts w:eastAsia="Calibri"/>
          <w:sz w:val="16"/>
          <w:szCs w:val="16"/>
        </w:rPr>
        <w:footnoteRef/>
      </w:r>
      <w:r w:rsidRPr="00C271B5">
        <w:rPr>
          <w:szCs w:val="16"/>
        </w:rPr>
        <w:t xml:space="preserve"> </w:t>
      </w:r>
      <w:r w:rsidRPr="00C271B5">
        <w:rPr>
          <w:szCs w:val="16"/>
        </w:rPr>
        <w:tab/>
      </w:r>
      <w:r w:rsidRPr="00C271B5">
        <w:rPr>
          <w:i/>
          <w:szCs w:val="16"/>
        </w:rPr>
        <w:t>Cfr.</w:t>
      </w:r>
      <w:r w:rsidRPr="00C271B5">
        <w:rPr>
          <w:szCs w:val="16"/>
        </w:rPr>
        <w:t xml:space="preserve"> </w:t>
      </w:r>
      <w:r w:rsidRPr="007E20F9">
        <w:rPr>
          <w:i/>
          <w:szCs w:val="16"/>
        </w:rPr>
        <w:t>Caso</w:t>
      </w:r>
      <w:r w:rsidRPr="00C271B5">
        <w:rPr>
          <w:szCs w:val="16"/>
        </w:rPr>
        <w:t xml:space="preserve"> </w:t>
      </w:r>
      <w:r w:rsidRPr="00C271B5">
        <w:rPr>
          <w:i/>
          <w:szCs w:val="16"/>
        </w:rPr>
        <w:t xml:space="preserve">Velásquez Rodríguez. Reparaciones y Costas, supra, </w:t>
      </w:r>
      <w:r w:rsidRPr="00C271B5">
        <w:rPr>
          <w:szCs w:val="16"/>
        </w:rPr>
        <w:t xml:space="preserve">párr. 42, y </w:t>
      </w:r>
      <w:r w:rsidRPr="007E20F9">
        <w:rPr>
          <w:i/>
          <w:szCs w:val="16"/>
        </w:rPr>
        <w:t>Caso Comunidad Garífuna de Punta Puedra y sus miembros, supra,</w:t>
      </w:r>
      <w:r w:rsidRPr="00C271B5">
        <w:rPr>
          <w:szCs w:val="16"/>
        </w:rPr>
        <w:t xml:space="preserve"> párr. 361.  </w:t>
      </w:r>
    </w:p>
  </w:footnote>
  <w:footnote w:id="347">
    <w:p w14:paraId="387C9BBE" w14:textId="77777777" w:rsidR="00247DB8" w:rsidRDefault="00247DB8" w:rsidP="005758E6">
      <w:pPr>
        <w:pStyle w:val="2Footnotes"/>
        <w:tabs>
          <w:tab w:val="left" w:pos="567"/>
        </w:tabs>
        <w:spacing w:before="0" w:after="80"/>
        <w:rPr>
          <w:i/>
          <w:szCs w:val="16"/>
        </w:rPr>
      </w:pPr>
      <w:r w:rsidRPr="00C271B5">
        <w:rPr>
          <w:rStyle w:val="FootnoteReference"/>
          <w:rFonts w:eastAsia="Calibri"/>
          <w:sz w:val="16"/>
          <w:szCs w:val="16"/>
        </w:rPr>
        <w:footnoteRef/>
      </w:r>
      <w:r w:rsidRPr="00C271B5">
        <w:rPr>
          <w:szCs w:val="16"/>
        </w:rPr>
        <w:t xml:space="preserve"> </w:t>
      </w:r>
      <w:r w:rsidRPr="00C271B5">
        <w:rPr>
          <w:szCs w:val="16"/>
        </w:rPr>
        <w:tab/>
      </w:r>
      <w:r w:rsidRPr="00C271B5">
        <w:rPr>
          <w:i/>
          <w:szCs w:val="16"/>
        </w:rPr>
        <w:t xml:space="preserve">Cfr. </w:t>
      </w:r>
      <w:r w:rsidRPr="00C271B5">
        <w:rPr>
          <w:bCs/>
          <w:i/>
          <w:szCs w:val="16"/>
        </w:rPr>
        <w:t>Caso Garrido y Baigorria Vs. Argentina. Reparaciones y Costas</w:t>
      </w:r>
      <w:r w:rsidRPr="00C271B5">
        <w:rPr>
          <w:szCs w:val="16"/>
        </w:rPr>
        <w:t xml:space="preserve">. Sentencia de 27 de agosto de 1998. Serie C No. 39, párr. 82, y </w:t>
      </w:r>
      <w:r w:rsidRPr="007E20F9">
        <w:rPr>
          <w:rFonts w:eastAsia="Batang"/>
          <w:szCs w:val="16"/>
        </w:rPr>
        <w:t xml:space="preserve">Caso </w:t>
      </w:r>
      <w:r w:rsidRPr="007E20F9">
        <w:rPr>
          <w:rFonts w:eastAsia="Batang"/>
          <w:i/>
          <w:szCs w:val="16"/>
        </w:rPr>
        <w:t>Comunidad Garífuna de Punta Piedra y sus miembros, supra,</w:t>
      </w:r>
      <w:r w:rsidRPr="00C271B5">
        <w:rPr>
          <w:rFonts w:eastAsia="Batang"/>
          <w:szCs w:val="16"/>
        </w:rPr>
        <w:t xml:space="preserve"> párr. 361.</w:t>
      </w:r>
      <w:r w:rsidRPr="00C271B5">
        <w:rPr>
          <w:bCs/>
          <w:szCs w:val="16"/>
        </w:rPr>
        <w:t xml:space="preserve"> </w:t>
      </w:r>
    </w:p>
  </w:footnote>
  <w:footnote w:id="348">
    <w:p w14:paraId="1F6FA2D7" w14:textId="77777777" w:rsidR="00247DB8" w:rsidRPr="00606243" w:rsidRDefault="00247DB8" w:rsidP="005758E6">
      <w:pPr>
        <w:pStyle w:val="FootnoteText"/>
        <w:spacing w:after="80"/>
        <w:rPr>
          <w:lang w:val="es-CR"/>
        </w:rPr>
      </w:pPr>
      <w:r w:rsidRPr="00C271B5">
        <w:rPr>
          <w:rStyle w:val="FootnoteReference"/>
          <w:sz w:val="16"/>
        </w:rPr>
        <w:footnoteRef/>
      </w:r>
      <w:r w:rsidRPr="00C271B5">
        <w:t xml:space="preserve"> </w:t>
      </w:r>
      <w:r w:rsidRPr="00C271B5">
        <w:tab/>
      </w:r>
      <w:r w:rsidRPr="00C271B5">
        <w:rPr>
          <w:i/>
        </w:rPr>
        <w:t xml:space="preserve">Cfr. </w:t>
      </w:r>
      <w:r w:rsidRPr="007E20F9">
        <w:rPr>
          <w:i/>
        </w:rPr>
        <w:t>Caso Chaparro Álvarez y Lapo Íñiguez Vs. Ecuador</w:t>
      </w:r>
      <w:r w:rsidRPr="00C271B5">
        <w:rPr>
          <w:i/>
        </w:rPr>
        <w:t xml:space="preserve">. Excepciones Preliminares, Fondo, Reparaciones y Costas. </w:t>
      </w:r>
      <w:r w:rsidRPr="00C271B5">
        <w:t xml:space="preserve">Sentencia de 21 de noviembre de 2007. Serie C No. 170, párr. 277, y </w:t>
      </w:r>
      <w:r w:rsidRPr="007E20F9">
        <w:rPr>
          <w:i/>
        </w:rPr>
        <w:t>Caso</w:t>
      </w:r>
      <w:r w:rsidRPr="00C271B5">
        <w:t xml:space="preserve"> </w:t>
      </w:r>
      <w:r w:rsidRPr="00C271B5">
        <w:rPr>
          <w:i/>
        </w:rPr>
        <w:t>Comunidad Garífuna de Punta Piedra y sus miembros, supra,</w:t>
      </w:r>
      <w:r w:rsidRPr="00C271B5">
        <w:t xml:space="preserve"> párr. 362.</w:t>
      </w:r>
    </w:p>
  </w:footnote>
  <w:footnote w:id="349">
    <w:p w14:paraId="18C6CB47" w14:textId="77777777" w:rsidR="00247DB8" w:rsidRPr="00C271B5" w:rsidRDefault="00247DB8" w:rsidP="005758E6">
      <w:pPr>
        <w:pStyle w:val="FootnoteText"/>
        <w:spacing w:after="80"/>
      </w:pPr>
      <w:r w:rsidRPr="00606243">
        <w:rPr>
          <w:rStyle w:val="FootnoteReference"/>
          <w:sz w:val="16"/>
        </w:rPr>
        <w:footnoteRef/>
      </w:r>
      <w:r w:rsidRPr="00C271B5">
        <w:t xml:space="preserve"> </w:t>
      </w:r>
      <w:r w:rsidRPr="00C271B5">
        <w:tab/>
      </w:r>
      <w:r w:rsidRPr="007E20F9">
        <w:rPr>
          <w:i/>
        </w:rPr>
        <w:t>Caso Chaparro Álvarez y Lapo Íñiguez</w:t>
      </w:r>
      <w:r w:rsidRPr="007E20F9">
        <w:t xml:space="preserve">, </w:t>
      </w:r>
      <w:r w:rsidRPr="007E20F9">
        <w:rPr>
          <w:i/>
        </w:rPr>
        <w:t>supra,</w:t>
      </w:r>
      <w:r w:rsidRPr="00C271B5">
        <w:t xml:space="preserve"> párr. 275, y </w:t>
      </w:r>
      <w:r w:rsidRPr="007E20F9">
        <w:rPr>
          <w:i/>
        </w:rPr>
        <w:t>Caso</w:t>
      </w:r>
      <w:r w:rsidRPr="00C271B5">
        <w:t xml:space="preserve"> </w:t>
      </w:r>
      <w:r w:rsidRPr="007E20F9">
        <w:rPr>
          <w:i/>
        </w:rPr>
        <w:t xml:space="preserve">Comunidad Garífuna de Punta Piedra y sus </w:t>
      </w:r>
      <w:r w:rsidRPr="00C271B5">
        <w:rPr>
          <w:i/>
        </w:rPr>
        <w:t>miembros</w:t>
      </w:r>
      <w:r w:rsidRPr="007E20F9">
        <w:rPr>
          <w:i/>
        </w:rPr>
        <w:t>, supra,</w:t>
      </w:r>
      <w:r w:rsidRPr="00C271B5">
        <w:t xml:space="preserve"> párr. 362. </w:t>
      </w:r>
    </w:p>
  </w:footnote>
  <w:footnote w:id="350">
    <w:p w14:paraId="1D712CF9" w14:textId="2A42235F" w:rsidR="00247DB8" w:rsidRPr="00C271B5" w:rsidRDefault="00247DB8" w:rsidP="005758E6">
      <w:pPr>
        <w:pStyle w:val="FootnoteText"/>
        <w:spacing w:after="80"/>
      </w:pPr>
      <w:r w:rsidRPr="00606243">
        <w:rPr>
          <w:rStyle w:val="FootnoteReference"/>
          <w:sz w:val="16"/>
        </w:rPr>
        <w:footnoteRef/>
      </w:r>
      <w:r w:rsidRPr="00C271B5">
        <w:t xml:space="preserve"> </w:t>
      </w:r>
      <w:r w:rsidRPr="00C271B5">
        <w:tab/>
      </w:r>
      <w:r w:rsidRPr="00C271B5">
        <w:rPr>
          <w:i/>
        </w:rPr>
        <w:t xml:space="preserve">Cfr. </w:t>
      </w:r>
      <w:r w:rsidRPr="00C271B5">
        <w:t xml:space="preserve">Anexo A </w:t>
      </w:r>
      <w:r>
        <w:t xml:space="preserve">de </w:t>
      </w:r>
      <w:r w:rsidRPr="00C271B5">
        <w:t>los alegatos finales escritos de los representantes (expediente de fondo, folios 731 a</w:t>
      </w:r>
      <w:r w:rsidRPr="00606243">
        <w:t xml:space="preserve"> 752), y Anexo 9 a las observaciones de los representantes a la diligencia </w:t>
      </w:r>
      <w:r w:rsidRPr="007E20F9">
        <w:rPr>
          <w:i/>
        </w:rPr>
        <w:t>in situ</w:t>
      </w:r>
      <w:r w:rsidRPr="00C271B5">
        <w:t xml:space="preserve"> (expediente de prueba, folios 2906 a 2917).</w:t>
      </w:r>
    </w:p>
  </w:footnote>
  <w:footnote w:id="351">
    <w:p w14:paraId="0746BFD5" w14:textId="77777777" w:rsidR="00907AD9" w:rsidRPr="001C303C" w:rsidRDefault="00907AD9" w:rsidP="00907AD9">
      <w:pPr>
        <w:pStyle w:val="FootnoteText"/>
        <w:spacing w:after="120"/>
      </w:pPr>
      <w:r w:rsidRPr="001C303C">
        <w:rPr>
          <w:rStyle w:val="FootnoteReference"/>
        </w:rPr>
        <w:footnoteRef/>
      </w:r>
      <w:r w:rsidRPr="001C303C">
        <w:t xml:space="preserve"> </w:t>
      </w:r>
      <w:r w:rsidRPr="00313166">
        <w:tab/>
        <w:t xml:space="preserve">Este Tribunal ha determinado que “[l]os indígenas por el hecho de su propia existencia tienen derecho a vivir libremente en sus propios territorios; la estrecha relación que los indígenas mantienen con la tierra debe </w:t>
      </w:r>
      <w:r w:rsidRPr="001C303C">
        <w:t xml:space="preserve">de ser reconocida y comprendida como la base fundamental de sus culturas, su vida espiritual, su integridad y su supervivencia económica.  Para las comunidades indígenas la relación con la tierra no es meramente una cuestión de posesión y producción sino un elemento material y espiritual del que deben gozar plenamente, inclusive para preservar su legado cultural y transmitirlo a las generaciones futuras”. </w:t>
      </w:r>
      <w:r w:rsidRPr="001C303C">
        <w:rPr>
          <w:rStyle w:val="apple-converted-space"/>
          <w:bCs/>
          <w:i/>
          <w:color w:val="000000"/>
        </w:rPr>
        <w:t xml:space="preserve">Caso </w:t>
      </w:r>
      <w:r w:rsidRPr="00220267">
        <w:rPr>
          <w:rStyle w:val="Strong"/>
          <w:b w:val="0"/>
          <w:i/>
          <w:color w:val="000000"/>
        </w:rPr>
        <w:t>de la Comunidad Mayagna (Sumo) Awas Tingni Vs. Nicaragua. Fondo, Reparaciones y Costas.</w:t>
      </w:r>
      <w:r w:rsidRPr="00220267">
        <w:rPr>
          <w:rStyle w:val="Strong"/>
          <w:b w:val="0"/>
          <w:color w:val="000000"/>
        </w:rPr>
        <w:t xml:space="preserve"> Sentencia de 31 de agosto de 2001. Serie C No. 79,</w:t>
      </w:r>
      <w:r w:rsidRPr="001C303C">
        <w:rPr>
          <w:rStyle w:val="Strong"/>
          <w:color w:val="000000"/>
        </w:rPr>
        <w:t xml:space="preserve"> </w:t>
      </w:r>
      <w:r w:rsidRPr="001C303C">
        <w:rPr>
          <w:lang w:val="es-MX"/>
        </w:rPr>
        <w:t xml:space="preserve"> párr. 149.</w:t>
      </w:r>
    </w:p>
  </w:footnote>
  <w:footnote w:id="352">
    <w:p w14:paraId="4039F5CB" w14:textId="77777777" w:rsidR="00907AD9" w:rsidRPr="001C303C" w:rsidRDefault="00907AD9" w:rsidP="00907AD9">
      <w:pPr>
        <w:pStyle w:val="FootnoteText"/>
        <w:spacing w:after="120"/>
        <w:rPr>
          <w:i/>
        </w:rPr>
      </w:pPr>
      <w:r w:rsidRPr="00300069">
        <w:rPr>
          <w:rStyle w:val="FootnoteReference"/>
        </w:rPr>
        <w:footnoteRef/>
      </w:r>
      <w:r w:rsidRPr="001C303C">
        <w:t xml:space="preserve"> </w:t>
      </w:r>
      <w:r w:rsidRPr="001C303C">
        <w:tab/>
      </w:r>
      <w:r w:rsidRPr="00313166">
        <w:rPr>
          <w:i/>
        </w:rPr>
        <w:t xml:space="preserve">Cfr. </w:t>
      </w:r>
      <w:r w:rsidRPr="00220267">
        <w:rPr>
          <w:rStyle w:val="Strong"/>
          <w:b w:val="0"/>
          <w:i/>
          <w:color w:val="000000"/>
        </w:rPr>
        <w:t xml:space="preserve">Caso del Pueblo Saramaka. Vs. Surinam. Excepciones Preliminares, Fondo, Reparaciones y Costas. </w:t>
      </w:r>
      <w:r w:rsidRPr="00220267">
        <w:rPr>
          <w:rStyle w:val="Strong"/>
          <w:b w:val="0"/>
          <w:color w:val="000000"/>
        </w:rPr>
        <w:t>Sentencia de 28 de noviembre de 2007. Serie C No. 172</w:t>
      </w:r>
      <w:r w:rsidRPr="001C303C">
        <w:t xml:space="preserve">, </w:t>
      </w:r>
      <w:r w:rsidRPr="00300069">
        <w:t>párr. 133.</w:t>
      </w:r>
    </w:p>
  </w:footnote>
  <w:footnote w:id="353">
    <w:p w14:paraId="0A97350E" w14:textId="77777777" w:rsidR="00907AD9" w:rsidRPr="001C303C" w:rsidRDefault="00907AD9" w:rsidP="00907AD9">
      <w:pPr>
        <w:pStyle w:val="Footnotes"/>
        <w:spacing w:before="0" w:after="120"/>
        <w:rPr>
          <w:rFonts w:cs="Verdana"/>
          <w:bCs/>
          <w:snapToGrid w:val="0"/>
          <w:lang w:eastAsia="es-ES"/>
        </w:rPr>
      </w:pPr>
      <w:r w:rsidRPr="001C303C">
        <w:rPr>
          <w:rStyle w:val="FootnoteReference"/>
        </w:rPr>
        <w:footnoteRef/>
      </w:r>
      <w:r w:rsidRPr="001C303C">
        <w:t xml:space="preserve"> </w:t>
      </w:r>
      <w:r w:rsidRPr="001C303C">
        <w:tab/>
      </w:r>
      <w:r w:rsidRPr="00313166">
        <w:rPr>
          <w:i/>
        </w:rPr>
        <w:t xml:space="preserve">Caso del </w:t>
      </w:r>
      <w:r w:rsidRPr="00313166">
        <w:rPr>
          <w:rFonts w:cs="Verdana"/>
          <w:bCs/>
          <w:i/>
          <w:snapToGrid w:val="0"/>
          <w:lang w:eastAsia="es-ES"/>
        </w:rPr>
        <w:t xml:space="preserve">Pueblo Indígena Kichwa de Sarayaku </w:t>
      </w:r>
      <w:r w:rsidRPr="00D34002">
        <w:rPr>
          <w:i/>
        </w:rPr>
        <w:t xml:space="preserve">Vs. Ecuador. Fondo y Reparaciones. Sentencia de 27 de junio de 2012. </w:t>
      </w:r>
      <w:r w:rsidRPr="00300069">
        <w:t>Serie C No. 245</w:t>
      </w:r>
      <w:r w:rsidRPr="001C303C">
        <w:rPr>
          <w:rFonts w:cs="Verdana"/>
          <w:bCs/>
          <w:snapToGrid w:val="0"/>
          <w:lang w:eastAsia="es-ES"/>
        </w:rPr>
        <w:t>,</w:t>
      </w:r>
      <w:r w:rsidRPr="00D34002">
        <w:rPr>
          <w:rFonts w:cs="Verdana"/>
          <w:bCs/>
          <w:snapToGrid w:val="0"/>
          <w:lang w:eastAsia="es-ES"/>
        </w:rPr>
        <w:t xml:space="preserve"> párr. 157</w:t>
      </w:r>
      <w:r w:rsidRPr="001C303C">
        <w:rPr>
          <w:rFonts w:cs="Verdana"/>
          <w:bCs/>
          <w:snapToGrid w:val="0"/>
          <w:lang w:eastAsia="es-ES"/>
        </w:rPr>
        <w:t xml:space="preserve">, y </w:t>
      </w:r>
      <w:r w:rsidRPr="001C303C">
        <w:rPr>
          <w:i/>
        </w:rPr>
        <w:t xml:space="preserve">Caso Comunidad Garífuna Triunfo de la Cruz </w:t>
      </w:r>
      <w:r w:rsidRPr="001C303C">
        <w:rPr>
          <w:i/>
          <w:lang w:val="es-CR"/>
        </w:rPr>
        <w:t>y sus miembros Vs. Honduras. Fondo, Reparaciones y Costas.</w:t>
      </w:r>
      <w:r w:rsidRPr="001C303C">
        <w:rPr>
          <w:lang w:val="es-CR"/>
        </w:rPr>
        <w:t xml:space="preserve"> Sentencia de 8 de octubre de 2015. Serie C No. 305</w:t>
      </w:r>
      <w:r w:rsidRPr="001C303C">
        <w:rPr>
          <w:i/>
        </w:rPr>
        <w:t>,</w:t>
      </w:r>
      <w:r w:rsidRPr="001C303C">
        <w:t xml:space="preserve"> párr. 156.</w:t>
      </w:r>
    </w:p>
  </w:footnote>
  <w:footnote w:id="354">
    <w:p w14:paraId="65DB186D" w14:textId="77777777" w:rsidR="00907AD9" w:rsidRPr="001C303C" w:rsidRDefault="00907AD9" w:rsidP="00907AD9">
      <w:pPr>
        <w:pStyle w:val="Footnotes"/>
        <w:spacing w:before="0" w:after="120"/>
      </w:pPr>
      <w:r w:rsidRPr="001C303C">
        <w:rPr>
          <w:rStyle w:val="FootnoteReference"/>
        </w:rPr>
        <w:footnoteRef/>
      </w:r>
      <w:r w:rsidRPr="001C303C">
        <w:t xml:space="preserve"> </w:t>
      </w:r>
      <w:r w:rsidRPr="001C303C">
        <w:tab/>
      </w:r>
      <w:r w:rsidRPr="00313166">
        <w:rPr>
          <w:i/>
          <w:lang w:val="es-CR"/>
        </w:rPr>
        <w:t>Caso Comunidad Garífuna de Punta Piedra y sus miembros Vs. Honduras. Excepciones Preliminares, Fondo, Reparaciones y Costas.</w:t>
      </w:r>
      <w:r w:rsidRPr="00D34002">
        <w:rPr>
          <w:lang w:val="es-CR"/>
        </w:rPr>
        <w:t xml:space="preserve"> Sentencia de </w:t>
      </w:r>
      <w:r w:rsidRPr="001C303C">
        <w:rPr>
          <w:lang w:val="es-CR"/>
        </w:rPr>
        <w:t>8 de octubre de 2015. Serie C No. 304</w:t>
      </w:r>
      <w:r w:rsidRPr="001C303C">
        <w:t>, párr. 215.</w:t>
      </w:r>
    </w:p>
  </w:footnote>
  <w:footnote w:id="355">
    <w:p w14:paraId="2144EC3C" w14:textId="77777777" w:rsidR="00907AD9" w:rsidRPr="001C303C" w:rsidRDefault="00907AD9" w:rsidP="00907AD9">
      <w:pPr>
        <w:pStyle w:val="FootnoteText"/>
        <w:spacing w:after="120"/>
        <w:rPr>
          <w:lang w:val="es-CR"/>
        </w:rPr>
      </w:pPr>
      <w:r w:rsidRPr="00300069">
        <w:rPr>
          <w:rStyle w:val="FootnoteReference"/>
        </w:rPr>
        <w:footnoteRef/>
      </w:r>
      <w:r w:rsidRPr="00300069">
        <w:t xml:space="preserve"> </w:t>
      </w:r>
      <w:r w:rsidRPr="00300069">
        <w:tab/>
      </w:r>
      <w:r w:rsidRPr="00300069">
        <w:rPr>
          <w:i/>
        </w:rPr>
        <w:t>Cfr.</w:t>
      </w:r>
      <w:r w:rsidRPr="001C303C">
        <w:t xml:space="preserve"> </w:t>
      </w:r>
      <w:r w:rsidRPr="001C303C">
        <w:rPr>
          <w:i/>
        </w:rPr>
        <w:t xml:space="preserve">Caso </w:t>
      </w:r>
      <w:r>
        <w:rPr>
          <w:i/>
        </w:rPr>
        <w:t xml:space="preserve">del </w:t>
      </w:r>
      <w:r w:rsidRPr="001C303C">
        <w:rPr>
          <w:i/>
        </w:rPr>
        <w:t>Pueblo Saramaka</w:t>
      </w:r>
      <w:r>
        <w:rPr>
          <w:i/>
        </w:rPr>
        <w:t xml:space="preserve">, </w:t>
      </w:r>
      <w:r w:rsidRPr="001C303C">
        <w:rPr>
          <w:i/>
        </w:rPr>
        <w:t>supra,</w:t>
      </w:r>
      <w:r w:rsidRPr="00313166">
        <w:rPr>
          <w:i/>
        </w:rPr>
        <w:t xml:space="preserve"> </w:t>
      </w:r>
      <w:r w:rsidRPr="00D34002">
        <w:t>párr. 95</w:t>
      </w:r>
      <w:r w:rsidRPr="001C303C">
        <w:t>.</w:t>
      </w:r>
    </w:p>
  </w:footnote>
  <w:footnote w:id="356">
    <w:p w14:paraId="6C277D15" w14:textId="77777777" w:rsidR="00907AD9" w:rsidRPr="00313166" w:rsidRDefault="00907AD9" w:rsidP="00907AD9">
      <w:pPr>
        <w:pStyle w:val="FootnoteText"/>
        <w:spacing w:after="120"/>
      </w:pPr>
      <w:r w:rsidRPr="001C303C">
        <w:rPr>
          <w:rStyle w:val="FootnoteReference"/>
        </w:rPr>
        <w:footnoteRef/>
      </w:r>
      <w:r w:rsidRPr="001C303C">
        <w:t xml:space="preserve"> </w:t>
      </w:r>
      <w:r w:rsidRPr="001C303C">
        <w:tab/>
      </w:r>
      <w:r w:rsidRPr="00300069">
        <w:rPr>
          <w:i/>
        </w:rPr>
        <w:t>Cfr.</w:t>
      </w:r>
      <w:r w:rsidRPr="001C303C">
        <w:t xml:space="preserve"> Párrafos 122, 123 y 124 de la Sentencia. </w:t>
      </w:r>
    </w:p>
  </w:footnote>
  <w:footnote w:id="357">
    <w:p w14:paraId="41F66CD0" w14:textId="77777777" w:rsidR="00907AD9" w:rsidRPr="002A6AE0" w:rsidRDefault="00907AD9" w:rsidP="00907AD9">
      <w:pPr>
        <w:pStyle w:val="FootnoteText"/>
        <w:spacing w:after="120"/>
      </w:pPr>
      <w:r w:rsidRPr="001C303C">
        <w:rPr>
          <w:rStyle w:val="FootnoteReference"/>
        </w:rPr>
        <w:footnoteRef/>
      </w:r>
      <w:r w:rsidRPr="001C303C">
        <w:t xml:space="preserve"> </w:t>
      </w:r>
      <w:r w:rsidRPr="001C303C">
        <w:tab/>
        <w:t>Párrafo 125 de la Sentencia.</w:t>
      </w:r>
    </w:p>
  </w:footnote>
  <w:footnote w:id="358">
    <w:p w14:paraId="25B94DD7" w14:textId="77777777" w:rsidR="00907AD9" w:rsidRPr="00300069" w:rsidRDefault="00907AD9" w:rsidP="00907AD9">
      <w:pPr>
        <w:pStyle w:val="NormalWeb"/>
        <w:tabs>
          <w:tab w:val="left" w:pos="567"/>
        </w:tabs>
        <w:spacing w:before="0" w:beforeAutospacing="0" w:after="120" w:afterAutospacing="0"/>
        <w:jc w:val="both"/>
        <w:rPr>
          <w:rFonts w:ascii="Verdana" w:hAnsi="Verdana"/>
          <w:color w:val="000000"/>
          <w:sz w:val="16"/>
          <w:szCs w:val="16"/>
        </w:rPr>
      </w:pPr>
      <w:r w:rsidRPr="00300069">
        <w:rPr>
          <w:rStyle w:val="FootnoteReference"/>
          <w:rFonts w:eastAsia="MS Mincho"/>
          <w:sz w:val="16"/>
          <w:szCs w:val="16"/>
        </w:rPr>
        <w:footnoteRef/>
      </w:r>
      <w:r w:rsidRPr="001C303C">
        <w:rPr>
          <w:rFonts w:ascii="Verdana" w:hAnsi="Verdana"/>
          <w:sz w:val="16"/>
          <w:szCs w:val="16"/>
        </w:rPr>
        <w:t xml:space="preserve"> </w:t>
      </w:r>
      <w:r w:rsidRPr="001C303C">
        <w:rPr>
          <w:rFonts w:ascii="Verdana" w:hAnsi="Verdana"/>
          <w:sz w:val="16"/>
          <w:szCs w:val="16"/>
        </w:rPr>
        <w:tab/>
        <w:t xml:space="preserve">Artículo 18 y 32 de la </w:t>
      </w:r>
      <w:r w:rsidRPr="001C303C">
        <w:rPr>
          <w:rFonts w:ascii="Verdana" w:hAnsi="Verdana"/>
          <w:color w:val="000000"/>
          <w:sz w:val="16"/>
          <w:szCs w:val="16"/>
        </w:rPr>
        <w:t>Declaración de las Naciones Unidas sobre los derechos de los pueblos indígenas (A/RES/61/295</w:t>
      </w:r>
      <w:r w:rsidRPr="002A6AE0">
        <w:rPr>
          <w:rFonts w:ascii="Verdana" w:hAnsi="Verdana" w:cs="Arial"/>
          <w:color w:val="000000"/>
          <w:sz w:val="16"/>
          <w:szCs w:val="16"/>
        </w:rPr>
        <w:t>)</w:t>
      </w:r>
      <w:r w:rsidRPr="002A6AE0">
        <w:rPr>
          <w:rFonts w:ascii="Verdana" w:hAnsi="Verdana"/>
          <w:i/>
          <w:color w:val="000000"/>
          <w:sz w:val="16"/>
          <w:szCs w:val="16"/>
        </w:rPr>
        <w:t>.</w:t>
      </w:r>
      <w:r w:rsidRPr="002A6AE0">
        <w:rPr>
          <w:rFonts w:ascii="Verdana" w:hAnsi="Verdana"/>
          <w:color w:val="000000"/>
          <w:sz w:val="16"/>
          <w:szCs w:val="16"/>
        </w:rPr>
        <w:t xml:space="preserve"> </w:t>
      </w:r>
      <w:r w:rsidRPr="002A6AE0">
        <w:rPr>
          <w:rFonts w:ascii="Verdana" w:hAnsi="Verdana"/>
          <w:sz w:val="16"/>
          <w:szCs w:val="16"/>
        </w:rPr>
        <w:t xml:space="preserve">Ver también el artículo 29 de la misma Declaración. Asimismo, el artículo 6 de la Carta Democrática señala que </w:t>
      </w:r>
      <w:r w:rsidRPr="00313166">
        <w:rPr>
          <w:rFonts w:ascii="Verdana" w:hAnsi="Verdana"/>
          <w:color w:val="000000"/>
          <w:sz w:val="16"/>
          <w:szCs w:val="16"/>
        </w:rPr>
        <w:t xml:space="preserve">“La participación de la </w:t>
      </w:r>
      <w:r w:rsidRPr="00D34002">
        <w:rPr>
          <w:rFonts w:ascii="Verdana" w:hAnsi="Verdana"/>
          <w:color w:val="000000"/>
          <w:sz w:val="16"/>
          <w:szCs w:val="16"/>
        </w:rPr>
        <w:t>ciudadanía en las decisiones relativas a su propio desarrollo es un derecho y una responsabilidad […]”.</w:t>
      </w:r>
    </w:p>
  </w:footnote>
  <w:footnote w:id="359">
    <w:p w14:paraId="50EC089F" w14:textId="77777777" w:rsidR="00907AD9" w:rsidRPr="002A6AE0" w:rsidRDefault="00907AD9" w:rsidP="00907AD9">
      <w:pPr>
        <w:pStyle w:val="FootnoteText"/>
        <w:spacing w:after="120"/>
      </w:pPr>
      <w:r w:rsidRPr="001C303C">
        <w:rPr>
          <w:rStyle w:val="FootnoteReference"/>
        </w:rPr>
        <w:footnoteRef/>
      </w:r>
      <w:r w:rsidRPr="001C303C">
        <w:t xml:space="preserve"> </w:t>
      </w:r>
      <w:r w:rsidRPr="001C303C">
        <w:tab/>
        <w:t>Párrafo 203 de la Sentencia.</w:t>
      </w:r>
    </w:p>
  </w:footnote>
  <w:footnote w:id="360">
    <w:p w14:paraId="0A139B99" w14:textId="77777777" w:rsidR="00907AD9" w:rsidRPr="001C303C" w:rsidRDefault="00907AD9" w:rsidP="00907AD9">
      <w:pPr>
        <w:pStyle w:val="FootnoteText"/>
        <w:spacing w:after="120"/>
      </w:pPr>
      <w:r w:rsidRPr="00300069">
        <w:rPr>
          <w:rStyle w:val="FootnoteReference"/>
        </w:rPr>
        <w:footnoteRef/>
      </w:r>
      <w:r w:rsidRPr="00300069">
        <w:t xml:space="preserve"> </w:t>
      </w:r>
      <w:r w:rsidRPr="00300069">
        <w:tab/>
      </w:r>
      <w:r w:rsidRPr="001C303C">
        <w:rPr>
          <w:i/>
        </w:rPr>
        <w:t>Cfr.</w:t>
      </w:r>
      <w:r w:rsidRPr="001C303C">
        <w:t xml:space="preserve"> </w:t>
      </w:r>
      <w:r w:rsidRPr="002A6AE0">
        <w:rPr>
          <w:i/>
        </w:rPr>
        <w:t xml:space="preserve">Caso del </w:t>
      </w:r>
      <w:r w:rsidRPr="00EA2E54">
        <w:rPr>
          <w:i/>
          <w:snapToGrid w:val="0"/>
        </w:rPr>
        <w:t>Pueblo Saramaka,</w:t>
      </w:r>
      <w:r w:rsidRPr="00EA2E54">
        <w:rPr>
          <w:snapToGrid w:val="0"/>
        </w:rPr>
        <w:t xml:space="preserve"> </w:t>
      </w:r>
      <w:r w:rsidRPr="00EA2E54">
        <w:rPr>
          <w:i/>
          <w:snapToGrid w:val="0"/>
        </w:rPr>
        <w:t>supra</w:t>
      </w:r>
      <w:r w:rsidRPr="00EA2E54">
        <w:rPr>
          <w:snapToGrid w:val="0"/>
        </w:rPr>
        <w:t xml:space="preserve">, párr. 129. </w:t>
      </w:r>
      <w:r w:rsidRPr="00EA2E54">
        <w:t xml:space="preserve">En este mismo sentido en el caso de la </w:t>
      </w:r>
      <w:r w:rsidRPr="00EA2E54">
        <w:rPr>
          <w:i/>
        </w:rPr>
        <w:t xml:space="preserve">Comunidad Garífuna de </w:t>
      </w:r>
      <w:r w:rsidRPr="001C303C">
        <w:rPr>
          <w:i/>
        </w:rPr>
        <w:t>Punta Piedra</w:t>
      </w:r>
      <w:r w:rsidRPr="001C303C">
        <w:t xml:space="preserve">, </w:t>
      </w:r>
      <w:r w:rsidRPr="001C303C">
        <w:rPr>
          <w:lang w:val="es-CR"/>
        </w:rPr>
        <w:t>la Corte señaló que la consulta debe ser previa y debe realizarse desde las primeras etapas del plan de desarrollo o inversión, a fin de que los pueblos indígenas o tribales puedan verdaderamente participar e influir en el proceso de adopción de decisiones.</w:t>
      </w:r>
      <w:r w:rsidRPr="001C303C">
        <w:rPr>
          <w:i/>
        </w:rPr>
        <w:t xml:space="preserve"> Cfr.</w:t>
      </w:r>
      <w:r w:rsidRPr="001C303C">
        <w:t xml:space="preserve"> </w:t>
      </w:r>
      <w:r w:rsidRPr="001C303C">
        <w:rPr>
          <w:i/>
        </w:rPr>
        <w:t>Caso de la Comunidad Garífuna de Punta Piedra</w:t>
      </w:r>
      <w:r>
        <w:rPr>
          <w:i/>
        </w:rPr>
        <w:t xml:space="preserve"> y sus miembros</w:t>
      </w:r>
      <w:r w:rsidRPr="001C303C">
        <w:rPr>
          <w:i/>
        </w:rPr>
        <w:t>, supra</w:t>
      </w:r>
      <w:r w:rsidRPr="001C303C">
        <w:t>, párr. 217.</w:t>
      </w:r>
    </w:p>
  </w:footnote>
  <w:footnote w:id="361">
    <w:p w14:paraId="2D44FC46" w14:textId="77777777" w:rsidR="00907AD9" w:rsidRPr="00EA2E54" w:rsidRDefault="00907AD9" w:rsidP="00907AD9">
      <w:pPr>
        <w:pStyle w:val="FootnoteText"/>
        <w:spacing w:after="120"/>
      </w:pPr>
      <w:r w:rsidRPr="001C303C">
        <w:rPr>
          <w:rStyle w:val="FootnoteReference"/>
        </w:rPr>
        <w:footnoteRef/>
      </w:r>
      <w:r w:rsidRPr="001C303C">
        <w:t xml:space="preserve"> </w:t>
      </w:r>
      <w:r w:rsidRPr="001C303C">
        <w:tab/>
      </w:r>
      <w:r w:rsidRPr="001C303C">
        <w:rPr>
          <w:i/>
        </w:rPr>
        <w:t>Caso del Pueblo Saramaka, supra,</w:t>
      </w:r>
      <w:r w:rsidRPr="002A6AE0">
        <w:t xml:space="preserve"> párr. 129.</w:t>
      </w:r>
    </w:p>
  </w:footnote>
  <w:footnote w:id="362">
    <w:p w14:paraId="4A8ECC0A" w14:textId="77777777" w:rsidR="00907AD9" w:rsidRPr="00300069" w:rsidRDefault="00907AD9" w:rsidP="00907AD9">
      <w:pPr>
        <w:pStyle w:val="ListParagraph"/>
        <w:tabs>
          <w:tab w:val="left" w:pos="567"/>
        </w:tabs>
        <w:spacing w:after="120"/>
        <w:ind w:left="0"/>
        <w:jc w:val="both"/>
        <w:rPr>
          <w:rFonts w:ascii="Verdana" w:hAnsi="Verdana"/>
          <w:sz w:val="16"/>
          <w:szCs w:val="16"/>
          <w:lang w:val="es-CR"/>
        </w:rPr>
      </w:pPr>
      <w:r w:rsidRPr="00EA2E54">
        <w:rPr>
          <w:rStyle w:val="FootnoteReference"/>
          <w:sz w:val="16"/>
          <w:szCs w:val="16"/>
        </w:rPr>
        <w:footnoteRef/>
      </w:r>
      <w:r w:rsidRPr="00300069">
        <w:rPr>
          <w:rFonts w:ascii="Verdana" w:hAnsi="Verdana"/>
          <w:sz w:val="16"/>
          <w:szCs w:val="16"/>
          <w:lang w:val="es-CR"/>
        </w:rPr>
        <w:t xml:space="preserve"> </w:t>
      </w:r>
      <w:r w:rsidRPr="00300069">
        <w:rPr>
          <w:rFonts w:ascii="Verdana" w:hAnsi="Verdana"/>
          <w:sz w:val="16"/>
          <w:szCs w:val="16"/>
          <w:lang w:val="es-CR"/>
        </w:rPr>
        <w:tab/>
      </w:r>
      <w:r w:rsidRPr="00300069">
        <w:rPr>
          <w:rFonts w:ascii="Verdana" w:hAnsi="Verdana"/>
          <w:i/>
          <w:sz w:val="16"/>
          <w:szCs w:val="16"/>
          <w:lang w:val="es-CR"/>
        </w:rPr>
        <w:t>Cfr.</w:t>
      </w:r>
      <w:r>
        <w:rPr>
          <w:rFonts w:ascii="Verdana" w:hAnsi="Verdana"/>
          <w:sz w:val="16"/>
          <w:szCs w:val="16"/>
        </w:rPr>
        <w:t xml:space="preserve"> </w:t>
      </w:r>
      <w:r w:rsidRPr="00EA2E54">
        <w:rPr>
          <w:rFonts w:ascii="Verdana" w:hAnsi="Verdana"/>
          <w:sz w:val="16"/>
          <w:szCs w:val="16"/>
        </w:rPr>
        <w:t xml:space="preserve"> Párrafos 216 a 222 de la Sentencia.</w:t>
      </w:r>
    </w:p>
  </w:footnote>
  <w:footnote w:id="363">
    <w:p w14:paraId="633687D4" w14:textId="77777777" w:rsidR="00907AD9" w:rsidRPr="00313166" w:rsidRDefault="00907AD9" w:rsidP="00907AD9">
      <w:pPr>
        <w:pStyle w:val="FootnoteText"/>
        <w:spacing w:after="120"/>
        <w:rPr>
          <w:lang w:val="es-CR"/>
        </w:rPr>
      </w:pPr>
      <w:r w:rsidRPr="001C303C">
        <w:rPr>
          <w:rStyle w:val="FootnoteReference"/>
        </w:rPr>
        <w:footnoteRef/>
      </w:r>
      <w:r w:rsidRPr="001C303C">
        <w:t xml:space="preserve"> </w:t>
      </w:r>
      <w:r w:rsidRPr="00BE187A">
        <w:rPr>
          <w:lang w:val="es-CR"/>
        </w:rPr>
        <w:tab/>
      </w:r>
      <w:r w:rsidRPr="00E2432E">
        <w:rPr>
          <w:i/>
          <w:lang w:val="es-CR"/>
        </w:rPr>
        <w:t>Cfr. Caso de la Comunidad Moiwana Vs. Surinam. Excepciones Preliminares, Fondo, Reparaciones y Costas.</w:t>
      </w:r>
      <w:r w:rsidRPr="00313166">
        <w:rPr>
          <w:lang w:val="es-CR"/>
        </w:rPr>
        <w:t xml:space="preserve"> Sentencia 15 de junio de 2005. Serie C No. 124, párr. 86.5,  </w:t>
      </w:r>
      <w:r>
        <w:rPr>
          <w:lang w:val="pt-BR"/>
        </w:rPr>
        <w:t xml:space="preserve">y </w:t>
      </w:r>
      <w:r w:rsidRPr="00313166">
        <w:rPr>
          <w:i/>
          <w:lang w:val="pt-BR"/>
        </w:rPr>
        <w:t xml:space="preserve">Caso </w:t>
      </w:r>
      <w:r>
        <w:rPr>
          <w:i/>
          <w:lang w:val="pt-BR"/>
        </w:rPr>
        <w:t xml:space="preserve">del Pueblo </w:t>
      </w:r>
      <w:r w:rsidRPr="00313166">
        <w:rPr>
          <w:i/>
          <w:lang w:val="pt-BR"/>
        </w:rPr>
        <w:t>Saramaka, supra,</w:t>
      </w:r>
      <w:r w:rsidRPr="00313166">
        <w:rPr>
          <w:lang w:val="pt-BR"/>
        </w:rPr>
        <w:t xml:space="preserve"> p</w:t>
      </w:r>
      <w:r w:rsidRPr="00313166">
        <w:t>á</w:t>
      </w:r>
      <w:r w:rsidRPr="00313166">
        <w:rPr>
          <w:lang w:val="pt-BR"/>
        </w:rPr>
        <w:t>rr</w:t>
      </w:r>
      <w:r>
        <w:rPr>
          <w:lang w:val="pt-BR"/>
        </w:rPr>
        <w:t>s</w:t>
      </w:r>
      <w:r w:rsidRPr="00313166">
        <w:rPr>
          <w:lang w:val="pt-BR"/>
        </w:rPr>
        <w:t xml:space="preserve">. 173 </w:t>
      </w:r>
      <w:r>
        <w:rPr>
          <w:lang w:val="pt-BR"/>
        </w:rPr>
        <w:t>a</w:t>
      </w:r>
      <w:r w:rsidRPr="00313166">
        <w:rPr>
          <w:lang w:val="pt-BR"/>
        </w:rPr>
        <w:t xml:space="preserve"> 174.</w:t>
      </w:r>
    </w:p>
  </w:footnote>
  <w:footnote w:id="364">
    <w:p w14:paraId="3E05B4F2" w14:textId="77777777" w:rsidR="00907AD9" w:rsidRPr="00D0529A" w:rsidRDefault="00907AD9" w:rsidP="00907AD9">
      <w:pPr>
        <w:pStyle w:val="FootnoteText"/>
        <w:spacing w:after="120"/>
      </w:pPr>
      <w:r w:rsidRPr="001C303C">
        <w:rPr>
          <w:rStyle w:val="FootnoteReference"/>
        </w:rPr>
        <w:footnoteRef/>
      </w:r>
      <w:r w:rsidRPr="001C303C">
        <w:t xml:space="preserve"> </w:t>
      </w:r>
      <w:r w:rsidRPr="001C303C">
        <w:tab/>
      </w:r>
      <w:r w:rsidRPr="00300069">
        <w:rPr>
          <w:i/>
        </w:rPr>
        <w:t>Cfr.</w:t>
      </w:r>
      <w:r>
        <w:t xml:space="preserve"> </w:t>
      </w:r>
      <w:r w:rsidRPr="001C303C">
        <w:t xml:space="preserve">Párrafo 113 de la Sentencia. </w:t>
      </w:r>
    </w:p>
  </w:footnote>
  <w:footnote w:id="365">
    <w:p w14:paraId="7BFB7516" w14:textId="77777777" w:rsidR="00907AD9" w:rsidRPr="00D0529A" w:rsidRDefault="00907AD9" w:rsidP="00907AD9">
      <w:pPr>
        <w:pStyle w:val="FootnoteText"/>
        <w:spacing w:after="120"/>
      </w:pPr>
      <w:r w:rsidRPr="00D0529A">
        <w:rPr>
          <w:rStyle w:val="FootnoteReference"/>
        </w:rPr>
        <w:footnoteRef/>
      </w:r>
      <w:r w:rsidRPr="00D0529A">
        <w:t xml:space="preserve"> </w:t>
      </w:r>
      <w:r w:rsidRPr="00D0529A">
        <w:tab/>
      </w:r>
      <w:r w:rsidRPr="00300069">
        <w:rPr>
          <w:i/>
        </w:rPr>
        <w:t>Cfr.</w:t>
      </w:r>
      <w:r>
        <w:t xml:space="preserve"> </w:t>
      </w:r>
      <w:r w:rsidRPr="00D0529A">
        <w:t xml:space="preserve">Párrafo 279 a) de la Sentencia. </w:t>
      </w:r>
    </w:p>
  </w:footnote>
  <w:footnote w:id="366">
    <w:p w14:paraId="78C7D0A3" w14:textId="77777777" w:rsidR="00907AD9" w:rsidRPr="00D0529A" w:rsidRDefault="00907AD9" w:rsidP="00907AD9">
      <w:pPr>
        <w:pStyle w:val="FootnoteText"/>
        <w:spacing w:after="120"/>
      </w:pPr>
      <w:r w:rsidRPr="00D0529A">
        <w:rPr>
          <w:rStyle w:val="FootnoteReference"/>
        </w:rPr>
        <w:footnoteRef/>
      </w:r>
      <w:r w:rsidRPr="00D0529A">
        <w:tab/>
      </w:r>
      <w:r w:rsidRPr="00300069">
        <w:rPr>
          <w:i/>
        </w:rPr>
        <w:t>Cfr.</w:t>
      </w:r>
      <w:r>
        <w:t xml:space="preserve"> </w:t>
      </w:r>
      <w:r w:rsidRPr="00D0529A">
        <w:t xml:space="preserve">Párrafo 305 de la Sentencia. </w:t>
      </w:r>
    </w:p>
  </w:footnote>
  <w:footnote w:id="367">
    <w:p w14:paraId="249C02F7" w14:textId="77777777" w:rsidR="00907AD9" w:rsidRPr="00120F47" w:rsidRDefault="00907AD9" w:rsidP="00907AD9">
      <w:pPr>
        <w:jc w:val="both"/>
        <w:rPr>
          <w:rFonts w:ascii="Verdana" w:hAnsi="Verdana"/>
          <w:bCs/>
          <w:color w:val="000000"/>
          <w:sz w:val="16"/>
          <w:szCs w:val="16"/>
          <w:shd w:val="clear" w:color="auto" w:fill="FFFFFF"/>
        </w:rPr>
      </w:pPr>
      <w:r w:rsidRPr="006431C8">
        <w:rPr>
          <w:rStyle w:val="FootnoteReference"/>
          <w:sz w:val="16"/>
          <w:szCs w:val="16"/>
        </w:rPr>
        <w:footnoteRef/>
      </w:r>
      <w:r w:rsidRPr="006431C8">
        <w:rPr>
          <w:rFonts w:ascii="Verdana" w:hAnsi="Verdana"/>
          <w:sz w:val="16"/>
          <w:szCs w:val="16"/>
        </w:rPr>
        <w:t xml:space="preserve"> </w:t>
      </w:r>
      <w:r w:rsidRPr="006431C8">
        <w:rPr>
          <w:rFonts w:ascii="Verdana" w:hAnsi="Verdana"/>
          <w:sz w:val="16"/>
          <w:szCs w:val="16"/>
        </w:rPr>
        <w:tab/>
      </w:r>
      <w:r w:rsidRPr="00520604">
        <w:rPr>
          <w:rStyle w:val="Strong"/>
          <w:rFonts w:ascii="Verdana" w:hAnsi="Verdana"/>
          <w:b w:val="0"/>
          <w:i/>
          <w:color w:val="000000"/>
          <w:sz w:val="16"/>
          <w:szCs w:val="16"/>
          <w:shd w:val="clear" w:color="auto" w:fill="FFFFFF"/>
        </w:rPr>
        <w:t>Caso Comunidad Indígena Sawhoyamaxa Vs. Paraguay. Fondo, Reparaciones y Costas.</w:t>
      </w:r>
      <w:r w:rsidRPr="00520604">
        <w:rPr>
          <w:rStyle w:val="Strong"/>
          <w:rFonts w:ascii="Verdana" w:hAnsi="Verdana"/>
          <w:b w:val="0"/>
          <w:color w:val="000000"/>
          <w:sz w:val="16"/>
          <w:szCs w:val="16"/>
          <w:shd w:val="clear" w:color="auto" w:fill="FFFFFF"/>
        </w:rPr>
        <w:t xml:space="preserve"> Sentencia de 29 de marzo de 2006. Serie C No. 146, párrs. 188 a 190 y 194.</w:t>
      </w:r>
    </w:p>
  </w:footnote>
  <w:footnote w:id="368">
    <w:p w14:paraId="102A7A0D" w14:textId="77777777" w:rsidR="00907AD9" w:rsidRPr="00120F47" w:rsidRDefault="00907AD9" w:rsidP="00907AD9">
      <w:pPr>
        <w:jc w:val="both"/>
        <w:rPr>
          <w:rFonts w:ascii="Verdana" w:hAnsi="Verdana"/>
          <w:bCs/>
          <w:color w:val="000000"/>
          <w:sz w:val="16"/>
          <w:szCs w:val="16"/>
          <w:shd w:val="clear" w:color="auto" w:fill="FFFFFF"/>
        </w:rPr>
      </w:pPr>
      <w:r w:rsidRPr="006431C8">
        <w:rPr>
          <w:rStyle w:val="FootnoteReference"/>
          <w:sz w:val="16"/>
          <w:szCs w:val="16"/>
        </w:rPr>
        <w:footnoteRef/>
      </w:r>
      <w:r w:rsidRPr="006431C8">
        <w:rPr>
          <w:rFonts w:ascii="Verdana" w:hAnsi="Verdana"/>
          <w:sz w:val="16"/>
          <w:szCs w:val="16"/>
        </w:rPr>
        <w:t xml:space="preserve"> </w:t>
      </w:r>
      <w:r w:rsidRPr="006431C8">
        <w:rPr>
          <w:rFonts w:ascii="Verdana" w:hAnsi="Verdana"/>
          <w:sz w:val="16"/>
          <w:szCs w:val="16"/>
        </w:rPr>
        <w:tab/>
      </w:r>
      <w:r w:rsidRPr="00520604">
        <w:rPr>
          <w:rStyle w:val="Strong"/>
          <w:rFonts w:ascii="Verdana" w:hAnsi="Verdana"/>
          <w:b w:val="0"/>
          <w:i/>
          <w:color w:val="000000"/>
          <w:sz w:val="16"/>
          <w:szCs w:val="16"/>
          <w:shd w:val="clear" w:color="auto" w:fill="FFFFFF"/>
        </w:rPr>
        <w:t>Caso de las Niñas Yean y Bosico Vs. República Dominicana. Excepciones Preliminares, Fondo, Reparaciones y Costas</w:t>
      </w:r>
      <w:r w:rsidRPr="00520604">
        <w:rPr>
          <w:rStyle w:val="Strong"/>
          <w:rFonts w:ascii="Verdana" w:hAnsi="Verdana"/>
          <w:b w:val="0"/>
          <w:color w:val="000000"/>
          <w:sz w:val="16"/>
          <w:szCs w:val="16"/>
          <w:shd w:val="clear" w:color="auto" w:fill="FFFFFF"/>
        </w:rPr>
        <w:t xml:space="preserve">. Sentencia de 8 de septiembre de 2005. Serie C No. 130, párrs. 178 a 180, y </w:t>
      </w:r>
      <w:r w:rsidRPr="00520604">
        <w:rPr>
          <w:rStyle w:val="Strong"/>
          <w:rFonts w:ascii="Verdana" w:hAnsi="Verdana"/>
          <w:b w:val="0"/>
          <w:i/>
          <w:color w:val="000000"/>
          <w:sz w:val="16"/>
          <w:szCs w:val="16"/>
          <w:shd w:val="clear" w:color="auto" w:fill="FFFFFF"/>
        </w:rPr>
        <w:t>Caso de personas dominicanas y haitianas expulsadas Vs. República Dominicana. Excepciones Preliminares, Fondo, Reparaciones y Costas.</w:t>
      </w:r>
      <w:r w:rsidRPr="00520604">
        <w:rPr>
          <w:rStyle w:val="Strong"/>
          <w:rFonts w:ascii="Verdana" w:hAnsi="Verdana"/>
          <w:b w:val="0"/>
          <w:color w:val="000000"/>
          <w:sz w:val="16"/>
          <w:szCs w:val="16"/>
          <w:shd w:val="clear" w:color="auto" w:fill="FFFFFF"/>
        </w:rPr>
        <w:t xml:space="preserve"> Sentencia de 28 de agosto de 2014. Serie C No. 282, párrs. 265 a 268.</w:t>
      </w:r>
    </w:p>
  </w:footnote>
  <w:footnote w:id="369">
    <w:p w14:paraId="489900AA" w14:textId="77777777" w:rsidR="00907AD9" w:rsidRPr="00120F47" w:rsidRDefault="00907AD9" w:rsidP="00907AD9">
      <w:pPr>
        <w:pStyle w:val="FootnoteText"/>
        <w:rPr>
          <w:lang w:val="es-CR"/>
        </w:rPr>
      </w:pPr>
      <w:r>
        <w:rPr>
          <w:rStyle w:val="FootnoteReference"/>
        </w:rPr>
        <w:footnoteRef/>
      </w:r>
      <w:r>
        <w:t xml:space="preserve"> </w:t>
      </w:r>
      <w:r>
        <w:rPr>
          <w:lang w:val="es-CR"/>
        </w:rPr>
        <w:tab/>
      </w:r>
      <w:r w:rsidRPr="00907AD9">
        <w:rPr>
          <w:rStyle w:val="Strong"/>
          <w:b w:val="0"/>
          <w:i/>
          <w:color w:val="000000"/>
          <w:shd w:val="clear" w:color="auto" w:fill="FFFFFF"/>
        </w:rPr>
        <w:t xml:space="preserve">Caso Anzualdo Castro Vs. Perú. Excepción Preliminar, Fondo, Reparaciones y Costas. </w:t>
      </w:r>
      <w:r w:rsidRPr="00907AD9">
        <w:rPr>
          <w:rStyle w:val="Strong"/>
          <w:b w:val="0"/>
          <w:color w:val="000000"/>
          <w:shd w:val="clear" w:color="auto" w:fill="FFFFFF"/>
        </w:rPr>
        <w:t>Sentencia de 22 de Septiembre de 2009. Serie C No. 202, párrs. 87 a 91, y 101.</w:t>
      </w:r>
    </w:p>
  </w:footnote>
  <w:footnote w:id="370">
    <w:p w14:paraId="30BB5F96" w14:textId="77777777" w:rsidR="00907AD9" w:rsidRPr="006431C8" w:rsidRDefault="00907AD9" w:rsidP="00907AD9">
      <w:pPr>
        <w:pStyle w:val="FootnoteText"/>
      </w:pPr>
      <w:r w:rsidRPr="006431C8">
        <w:rPr>
          <w:rStyle w:val="FootnoteReference"/>
        </w:rPr>
        <w:footnoteRef/>
      </w:r>
      <w:r w:rsidRPr="006431C8">
        <w:t xml:space="preserve"> </w:t>
      </w:r>
      <w:r w:rsidRPr="006431C8">
        <w:tab/>
        <w:t>Considero preferible reservar el uso de la expresión “</w:t>
      </w:r>
      <w:r w:rsidRPr="006431C8">
        <w:rPr>
          <w:i/>
        </w:rPr>
        <w:t>personalidad</w:t>
      </w:r>
      <w:r w:rsidRPr="006431C8">
        <w:t xml:space="preserve"> jurídica” para las situaciones abarcadas por el artículo 3 de la Convención (derecho de todo ser humano al reconocimiento de su personalidad jurídica), y en cambio hablar de “</w:t>
      </w:r>
      <w:r w:rsidRPr="006431C8">
        <w:rPr>
          <w:i/>
        </w:rPr>
        <w:t>personería</w:t>
      </w:r>
      <w:r w:rsidRPr="006431C8">
        <w:t xml:space="preserve"> jurídica” para los casos en que se atribuye la calidad de sujeto de derechos y obligaciones a un grupo, comunidad o pueblo.</w:t>
      </w:r>
    </w:p>
  </w:footnote>
  <w:footnote w:id="371">
    <w:p w14:paraId="1F4ED190" w14:textId="77777777" w:rsidR="00907AD9" w:rsidRPr="00120F47" w:rsidRDefault="00907AD9" w:rsidP="00907AD9">
      <w:pPr>
        <w:jc w:val="both"/>
        <w:rPr>
          <w:rFonts w:ascii="Verdana" w:hAnsi="Verdana"/>
          <w:bCs/>
          <w:color w:val="000000"/>
          <w:sz w:val="16"/>
          <w:szCs w:val="16"/>
          <w:shd w:val="clear" w:color="auto" w:fill="FFFFFF"/>
        </w:rPr>
      </w:pPr>
      <w:r w:rsidRPr="006431C8">
        <w:rPr>
          <w:rStyle w:val="FootnoteReference"/>
          <w:sz w:val="16"/>
          <w:szCs w:val="16"/>
        </w:rPr>
        <w:footnoteRef/>
      </w:r>
      <w:r w:rsidRPr="006431C8">
        <w:rPr>
          <w:rFonts w:ascii="Verdana" w:hAnsi="Verdana"/>
          <w:sz w:val="16"/>
          <w:szCs w:val="16"/>
        </w:rPr>
        <w:t xml:space="preserve"> </w:t>
      </w:r>
      <w:r w:rsidRPr="006431C8">
        <w:rPr>
          <w:rFonts w:ascii="Verdana" w:hAnsi="Verdana"/>
          <w:sz w:val="16"/>
          <w:szCs w:val="16"/>
        </w:rPr>
        <w:tab/>
      </w:r>
      <w:r w:rsidRPr="00907AD9">
        <w:rPr>
          <w:rStyle w:val="Strong"/>
          <w:rFonts w:ascii="Verdana" w:hAnsi="Verdana"/>
          <w:b w:val="0"/>
          <w:i/>
          <w:color w:val="000000"/>
          <w:sz w:val="16"/>
          <w:szCs w:val="16"/>
          <w:shd w:val="clear" w:color="auto" w:fill="FFFFFF"/>
        </w:rPr>
        <w:t>Caso del Pueblo Saramaka. Vs. Surinam. Excepciones Preliminares, Fondo, Reparaciones y Costas.</w:t>
      </w:r>
      <w:r w:rsidRPr="00907AD9">
        <w:rPr>
          <w:rStyle w:val="Strong"/>
          <w:rFonts w:ascii="Verdana" w:hAnsi="Verdana"/>
          <w:b w:val="0"/>
          <w:color w:val="000000"/>
          <w:sz w:val="16"/>
          <w:szCs w:val="16"/>
          <w:shd w:val="clear" w:color="auto" w:fill="FFFFFF"/>
        </w:rPr>
        <w:t xml:space="preserve"> Sentencia de 28 de noviembre de 2007. Serie C No. 172, párrs. 171 y 172.</w:t>
      </w:r>
    </w:p>
  </w:footnote>
  <w:footnote w:id="372">
    <w:p w14:paraId="2DCA5383" w14:textId="77777777" w:rsidR="00907AD9" w:rsidRPr="006431C8" w:rsidRDefault="00907AD9" w:rsidP="00907AD9">
      <w:pPr>
        <w:pStyle w:val="FootnoteText"/>
      </w:pPr>
      <w:r w:rsidRPr="006431C8">
        <w:rPr>
          <w:rStyle w:val="FootnoteReference"/>
        </w:rPr>
        <w:footnoteRef/>
      </w:r>
      <w:r w:rsidRPr="006431C8">
        <w:t xml:space="preserve"> </w:t>
      </w:r>
      <w:r w:rsidRPr="006431C8">
        <w:tab/>
        <w:t>En el caso del Pueblo Saramaka, incongruentemente, se terminó declarando “la violación del derecho de los miembros del pueblo Saramaka al reconocimiento de su personalidad jurídica conforme al artículo 3 de la Convención en relación con su derecho a la propiedad de acuerdo con el artículo 21 de dicho instrumento y el derecho a la protección judicial conforme al artículo 25 del mismo cuerpo legal, así como respecto de la obligación general de los Estados de adoptar las medidas legislativas o de otra índole que sean necesarias para hacer efectivo esos derechos y respetar y asegurar su libre y pleno ejercicio sin discriminación, de conformidad con los artículos 2 y 1.1 de la Convención, respectivamente”. Fue una clara inconsecuencia en la que no debe volver a incurrir la Corte.</w:t>
      </w:r>
    </w:p>
  </w:footnote>
  <w:footnote w:id="373">
    <w:p w14:paraId="45F28608" w14:textId="77777777" w:rsidR="00907AD9" w:rsidRPr="00520604" w:rsidRDefault="00907AD9" w:rsidP="00907AD9">
      <w:pPr>
        <w:jc w:val="both"/>
        <w:rPr>
          <w:rFonts w:ascii="Verdana" w:hAnsi="Verdana"/>
          <w:bCs/>
          <w:color w:val="000000"/>
          <w:sz w:val="16"/>
          <w:szCs w:val="16"/>
          <w:shd w:val="clear" w:color="auto" w:fill="FFFFFF"/>
        </w:rPr>
      </w:pPr>
      <w:r w:rsidRPr="006431C8">
        <w:rPr>
          <w:rStyle w:val="FootnoteReference"/>
          <w:sz w:val="16"/>
          <w:szCs w:val="16"/>
        </w:rPr>
        <w:footnoteRef/>
      </w:r>
      <w:r w:rsidRPr="006431C8">
        <w:rPr>
          <w:rFonts w:ascii="Verdana" w:hAnsi="Verdana"/>
          <w:sz w:val="16"/>
          <w:szCs w:val="16"/>
        </w:rPr>
        <w:t xml:space="preserve"> </w:t>
      </w:r>
      <w:r w:rsidRPr="006431C8">
        <w:rPr>
          <w:rFonts w:ascii="Verdana" w:hAnsi="Verdana"/>
          <w:sz w:val="16"/>
          <w:szCs w:val="16"/>
        </w:rPr>
        <w:tab/>
      </w:r>
      <w:r w:rsidRPr="00520604">
        <w:rPr>
          <w:rStyle w:val="Strong"/>
          <w:rFonts w:ascii="Verdana" w:hAnsi="Verdana"/>
          <w:b w:val="0"/>
          <w:i/>
          <w:color w:val="000000"/>
          <w:sz w:val="16"/>
          <w:szCs w:val="16"/>
          <w:shd w:val="clear" w:color="auto" w:fill="FFFFFF"/>
        </w:rPr>
        <w:t>Caso Pueblo Indígena Kichwa de Sarayaku Vs. Ecuador. Fondo y Reparaciones.</w:t>
      </w:r>
      <w:r w:rsidRPr="00520604">
        <w:rPr>
          <w:rStyle w:val="Strong"/>
          <w:rFonts w:ascii="Verdana" w:hAnsi="Verdana"/>
          <w:b w:val="0"/>
          <w:color w:val="000000"/>
          <w:sz w:val="16"/>
          <w:szCs w:val="16"/>
          <w:shd w:val="clear" w:color="auto" w:fill="FFFFFF"/>
        </w:rPr>
        <w:t xml:space="preserve"> Sentencia de 27 de junio de 2012. Serie C No. 245, párr. 230.</w:t>
      </w:r>
    </w:p>
  </w:footnote>
  <w:footnote w:id="374">
    <w:p w14:paraId="040CB8A7" w14:textId="77777777" w:rsidR="00907AD9" w:rsidRPr="006431C8" w:rsidRDefault="00907AD9" w:rsidP="00907AD9">
      <w:pPr>
        <w:jc w:val="both"/>
        <w:rPr>
          <w:rFonts w:ascii="Verdana" w:hAnsi="Verdana"/>
          <w:sz w:val="16"/>
          <w:szCs w:val="16"/>
        </w:rPr>
      </w:pPr>
      <w:r w:rsidRPr="00520604">
        <w:rPr>
          <w:rStyle w:val="FootnoteReference"/>
          <w:sz w:val="16"/>
          <w:szCs w:val="16"/>
        </w:rPr>
        <w:footnoteRef/>
      </w:r>
      <w:r w:rsidRPr="00520604">
        <w:rPr>
          <w:rFonts w:ascii="Verdana" w:hAnsi="Verdana"/>
          <w:sz w:val="16"/>
          <w:szCs w:val="16"/>
        </w:rPr>
        <w:t xml:space="preserve"> </w:t>
      </w:r>
      <w:r w:rsidRPr="00520604">
        <w:rPr>
          <w:rFonts w:ascii="Verdana" w:hAnsi="Verdana"/>
          <w:sz w:val="16"/>
          <w:szCs w:val="16"/>
        </w:rPr>
        <w:tab/>
      </w:r>
      <w:r w:rsidRPr="00520604">
        <w:rPr>
          <w:rStyle w:val="Strong"/>
          <w:rFonts w:ascii="Verdana" w:hAnsi="Verdana"/>
          <w:b w:val="0"/>
          <w:i/>
          <w:color w:val="000000"/>
          <w:sz w:val="16"/>
          <w:szCs w:val="16"/>
          <w:shd w:val="clear" w:color="auto" w:fill="FFFFFF"/>
        </w:rPr>
        <w:t>Caso Pueblos Kaliña y Lokono Vs. Suriname. Fondo, Reparaciones y Costas.</w:t>
      </w:r>
      <w:r w:rsidRPr="00520604">
        <w:rPr>
          <w:rStyle w:val="Strong"/>
          <w:rFonts w:ascii="Verdana" w:hAnsi="Verdana"/>
          <w:b w:val="0"/>
          <w:color w:val="000000"/>
          <w:sz w:val="16"/>
          <w:szCs w:val="16"/>
          <w:shd w:val="clear" w:color="auto" w:fill="FFFFFF"/>
        </w:rPr>
        <w:t xml:space="preserve"> Sentencia de 25 de noviembre de 2015, párr. 259.</w:t>
      </w:r>
    </w:p>
  </w:footnote>
  <w:footnote w:id="375">
    <w:p w14:paraId="771486AD" w14:textId="77777777" w:rsidR="00907AD9" w:rsidRPr="00520604" w:rsidRDefault="00907AD9" w:rsidP="00907AD9">
      <w:pPr>
        <w:pStyle w:val="FootnoteText"/>
      </w:pPr>
      <w:r w:rsidRPr="00120F47">
        <w:rPr>
          <w:rStyle w:val="FootnoteReference"/>
        </w:rPr>
        <w:footnoteRef/>
      </w:r>
      <w:r w:rsidRPr="00120F47">
        <w:t xml:space="preserve"> </w:t>
      </w:r>
      <w:r w:rsidRPr="00120F47">
        <w:tab/>
      </w:r>
      <w:r w:rsidRPr="00520604">
        <w:rPr>
          <w:rStyle w:val="Strong"/>
          <w:b w:val="0"/>
          <w:i/>
          <w:color w:val="000000"/>
          <w:shd w:val="clear" w:color="auto" w:fill="FFFFFF"/>
        </w:rPr>
        <w:t>Caso Pueblos Kaliña y Lokono Vs. Suriname, supra</w:t>
      </w:r>
      <w:r w:rsidRPr="00520604">
        <w:rPr>
          <w:rStyle w:val="Strong"/>
          <w:b w:val="0"/>
          <w:color w:val="000000"/>
          <w:shd w:val="clear" w:color="auto" w:fill="FFFFFF"/>
        </w:rPr>
        <w:t>, párr. 260.</w:t>
      </w:r>
    </w:p>
  </w:footnote>
  <w:footnote w:id="376">
    <w:p w14:paraId="697F9AE6" w14:textId="77777777" w:rsidR="00907AD9" w:rsidRPr="00520604" w:rsidRDefault="00907AD9" w:rsidP="00907AD9">
      <w:pPr>
        <w:pStyle w:val="FootnoteText"/>
        <w:rPr>
          <w:lang w:val="es-CR"/>
        </w:rPr>
      </w:pPr>
      <w:r w:rsidRPr="00520604">
        <w:rPr>
          <w:rStyle w:val="FootnoteReference"/>
        </w:rPr>
        <w:footnoteRef/>
      </w:r>
      <w:r w:rsidRPr="00520604">
        <w:t xml:space="preserve"> </w:t>
      </w:r>
      <w:r w:rsidRPr="00520604">
        <w:tab/>
      </w:r>
      <w:r w:rsidRPr="00520604">
        <w:rPr>
          <w:rStyle w:val="Strong"/>
          <w:b w:val="0"/>
          <w:i/>
          <w:color w:val="000000"/>
          <w:shd w:val="clear" w:color="auto" w:fill="FFFFFF"/>
        </w:rPr>
        <w:t xml:space="preserve">Caso Pueblos Kaliña y Lokono Vs. </w:t>
      </w:r>
      <w:r w:rsidRPr="00520604">
        <w:rPr>
          <w:rStyle w:val="Strong"/>
          <w:b w:val="0"/>
          <w:i/>
          <w:color w:val="000000"/>
          <w:shd w:val="clear" w:color="auto" w:fill="FFFFFF"/>
          <w:lang w:val="es-CR"/>
        </w:rPr>
        <w:t>Suriname, supra</w:t>
      </w:r>
      <w:r w:rsidRPr="00520604">
        <w:rPr>
          <w:rStyle w:val="Strong"/>
          <w:b w:val="0"/>
          <w:color w:val="000000"/>
          <w:shd w:val="clear" w:color="auto" w:fill="FFFFFF"/>
          <w:lang w:val="es-CR"/>
        </w:rPr>
        <w:t>, párr. 263.</w:t>
      </w:r>
    </w:p>
  </w:footnote>
  <w:footnote w:id="377">
    <w:p w14:paraId="5F6653BA" w14:textId="77777777" w:rsidR="00907AD9" w:rsidRPr="00880A93" w:rsidRDefault="00907AD9" w:rsidP="00907AD9">
      <w:pPr>
        <w:pStyle w:val="FootnoteText"/>
      </w:pPr>
      <w:r w:rsidRPr="00520604">
        <w:rPr>
          <w:rStyle w:val="FootnoteReference"/>
        </w:rPr>
        <w:footnoteRef/>
      </w:r>
      <w:r w:rsidRPr="00520604">
        <w:t xml:space="preserve"> </w:t>
      </w:r>
      <w:r w:rsidRPr="00520604">
        <w:tab/>
      </w:r>
      <w:r w:rsidRPr="00520604">
        <w:rPr>
          <w:rStyle w:val="Strong"/>
          <w:b w:val="0"/>
          <w:i/>
          <w:color w:val="000000"/>
          <w:shd w:val="clear" w:color="auto" w:fill="FFFFFF"/>
        </w:rPr>
        <w:t xml:space="preserve">Caso Pueblos Kaliña y Lokono Vs. </w:t>
      </w:r>
      <w:r w:rsidRPr="00520604">
        <w:rPr>
          <w:rStyle w:val="Strong"/>
          <w:b w:val="0"/>
          <w:i/>
          <w:color w:val="000000"/>
          <w:shd w:val="clear" w:color="auto" w:fill="FFFFFF"/>
          <w:lang w:val="es-CR"/>
        </w:rPr>
        <w:t>Suriname, supra</w:t>
      </w:r>
      <w:r w:rsidRPr="00520604">
        <w:rPr>
          <w:rStyle w:val="Strong"/>
          <w:b w:val="0"/>
          <w:color w:val="000000"/>
          <w:shd w:val="clear" w:color="auto" w:fill="FFFFFF"/>
          <w:lang w:val="es-CR"/>
        </w:rPr>
        <w:t>, párr.</w:t>
      </w:r>
      <w:r w:rsidRPr="00520604">
        <w:rPr>
          <w:lang w:val="es-CR"/>
        </w:rPr>
        <w:t xml:space="preserve"> </w:t>
      </w:r>
      <w:r w:rsidRPr="00520604">
        <w:t>267.</w:t>
      </w:r>
    </w:p>
  </w:footnote>
  <w:footnote w:id="378">
    <w:p w14:paraId="73A6EF2B" w14:textId="77777777" w:rsidR="00907AD9" w:rsidRDefault="00907AD9" w:rsidP="00907AD9">
      <w:pPr>
        <w:pStyle w:val="FootnoteText"/>
      </w:pPr>
      <w:r w:rsidRPr="006431C8">
        <w:rPr>
          <w:rStyle w:val="FootnoteReference"/>
        </w:rPr>
        <w:footnoteRef/>
      </w:r>
      <w:r w:rsidRPr="006431C8">
        <w:t xml:space="preserve"> </w:t>
      </w:r>
      <w:r w:rsidRPr="006431C8">
        <w:tab/>
        <w:t xml:space="preserve">“En vista de lo anterior, a la luz de los alegatos de las partes, la Corte constata que las violaciones alegadas se relacionan con cuatro controversias principales: a) la falta de reconocimiento del derecho a la propiedad colectiva y la ausencia de delimitación, demarcación y titulación de las tierras ancestrales de los pueblos indígenas Kaliña y Lokono; b) el otorgamiento de títulos de propiedad y de otra naturaleza a personas no indígenas dentro del territorio reclamado por los Pueblos Kaliña y Lokono; c) las afectaciones en el uso y goce de las áreas de las reservas naturales dentro de los alegados territorios tradicionales, y d) la falta de participación efectiva, a través de un proceso de consulta frente a las concesiones mineras dentro de una de las reservas naturales en el territorio ancestral”. </w:t>
      </w:r>
      <w:r w:rsidRPr="00520604">
        <w:rPr>
          <w:rStyle w:val="Strong"/>
          <w:b w:val="0"/>
          <w:i/>
          <w:color w:val="000000"/>
          <w:shd w:val="clear" w:color="auto" w:fill="FFFFFF"/>
        </w:rPr>
        <w:t>Caso Pueblos Kaliña y Lokono Vs. Suriname, supra</w:t>
      </w:r>
      <w:r w:rsidRPr="00520604">
        <w:rPr>
          <w:rStyle w:val="Strong"/>
          <w:b w:val="0"/>
          <w:color w:val="000000"/>
          <w:shd w:val="clear" w:color="auto" w:fill="FFFFFF"/>
        </w:rPr>
        <w:t>, párr. 127.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8A3BB" w14:textId="0EB86D45" w:rsidR="00247DB8" w:rsidRPr="004B0145" w:rsidRDefault="00247DB8" w:rsidP="006B78D6">
    <w:pPr>
      <w:pStyle w:val="Header"/>
      <w:jc w:val="right"/>
      <w:rPr>
        <w:strik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23456" w14:textId="77777777" w:rsidR="00907AD9" w:rsidRDefault="00907A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93D77" w14:textId="77777777" w:rsidR="00907AD9" w:rsidRDefault="00907A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164E9" w14:textId="77777777" w:rsidR="00907AD9" w:rsidRDefault="00907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984"/>
    <w:multiLevelType w:val="hybridMultilevel"/>
    <w:tmpl w:val="FC12CDA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11A674A"/>
    <w:multiLevelType w:val="hybridMultilevel"/>
    <w:tmpl w:val="A878B0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2854F72"/>
    <w:multiLevelType w:val="hybridMultilevel"/>
    <w:tmpl w:val="3D80C9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F538B"/>
    <w:multiLevelType w:val="hybridMultilevel"/>
    <w:tmpl w:val="5106D1A6"/>
    <w:lvl w:ilvl="0" w:tplc="86CA5A68">
      <w:start w:val="1"/>
      <w:numFmt w:val="lowerLetter"/>
      <w:lvlText w:val="%1)"/>
      <w:lvlJc w:val="left"/>
      <w:pPr>
        <w:ind w:left="975" w:hanging="615"/>
      </w:pPr>
      <w:rPr>
        <w:rFonts w:asciiTheme="minorHAnsi" w:eastAsiaTheme="minorHAnsi" w:hAnsiTheme="minorHAnsi" w:cstheme="minorBid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E68B8"/>
    <w:multiLevelType w:val="hybridMultilevel"/>
    <w:tmpl w:val="7544287C"/>
    <w:lvl w:ilvl="0" w:tplc="43EAE734">
      <w:start w:val="1"/>
      <w:numFmt w:val="lowerRoman"/>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5">
    <w:nsid w:val="06DB2FC9"/>
    <w:multiLevelType w:val="hybridMultilevel"/>
    <w:tmpl w:val="E5FA3584"/>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08D7543E"/>
    <w:multiLevelType w:val="hybridMultilevel"/>
    <w:tmpl w:val="C7DE11A8"/>
    <w:lvl w:ilvl="0" w:tplc="7FBA8BD0">
      <w:start w:val="1"/>
      <w:numFmt w:val="lowerLetter"/>
      <w:lvlText w:val="%1)"/>
      <w:lvlJc w:val="left"/>
      <w:pPr>
        <w:ind w:left="942" w:hanging="360"/>
      </w:pPr>
      <w:rPr>
        <w:rFonts w:cs="Arial" w:hint="default"/>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7">
    <w:nsid w:val="09E420C8"/>
    <w:multiLevelType w:val="hybridMultilevel"/>
    <w:tmpl w:val="13C4B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72C89"/>
    <w:multiLevelType w:val="hybridMultilevel"/>
    <w:tmpl w:val="55423018"/>
    <w:lvl w:ilvl="0" w:tplc="849CC154">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9">
    <w:nsid w:val="0C4975F6"/>
    <w:multiLevelType w:val="hybridMultilevel"/>
    <w:tmpl w:val="2580F6CA"/>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nsid w:val="0C7E7081"/>
    <w:multiLevelType w:val="hybridMultilevel"/>
    <w:tmpl w:val="B0FC63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0FFA1D53"/>
    <w:multiLevelType w:val="hybridMultilevel"/>
    <w:tmpl w:val="5106D1A6"/>
    <w:lvl w:ilvl="0" w:tplc="86CA5A68">
      <w:start w:val="1"/>
      <w:numFmt w:val="lowerLetter"/>
      <w:lvlText w:val="%1)"/>
      <w:lvlJc w:val="left"/>
      <w:pPr>
        <w:ind w:left="975" w:hanging="615"/>
      </w:pPr>
      <w:rPr>
        <w:rFonts w:asciiTheme="minorHAnsi" w:eastAsiaTheme="minorHAnsi" w:hAnsiTheme="minorHAnsi" w:cstheme="minorBid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61086E"/>
    <w:multiLevelType w:val="hybridMultilevel"/>
    <w:tmpl w:val="3704E16C"/>
    <w:lvl w:ilvl="0" w:tplc="F0A69672">
      <w:start w:val="1"/>
      <w:numFmt w:val="decimal"/>
      <w:pStyle w:val="Estilo1"/>
      <w:lvlText w:val="%1."/>
      <w:lvlJc w:val="left"/>
      <w:pPr>
        <w:ind w:left="720" w:hanging="360"/>
      </w:pPr>
      <w:rPr>
        <w:rFonts w:hint="default"/>
      </w:rPr>
    </w:lvl>
    <w:lvl w:ilvl="1" w:tplc="870EC26C">
      <w:start w:val="1"/>
      <w:numFmt w:val="lowerLetter"/>
      <w:lvlText w:val="%2)"/>
      <w:lvlJc w:val="left"/>
      <w:pPr>
        <w:ind w:left="1440" w:hanging="360"/>
      </w:pPr>
      <w:rPr>
        <w:rFonts w:ascii="Times New Roman" w:hAnsi="Times New Roman" w:cs="Times New Roman" w:hint="default"/>
        <w:b w:val="0"/>
        <w:i/>
        <w:sz w:val="24"/>
        <w:szCs w:val="24"/>
      </w:r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nsid w:val="12381AF9"/>
    <w:multiLevelType w:val="hybridMultilevel"/>
    <w:tmpl w:val="F2F8B30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1543646F"/>
    <w:multiLevelType w:val="hybridMultilevel"/>
    <w:tmpl w:val="60BA482A"/>
    <w:lvl w:ilvl="0" w:tplc="0298BCC2">
      <w:start w:val="1"/>
      <w:numFmt w:val="decimal"/>
      <w:lvlText w:val="%1."/>
      <w:lvlJc w:val="left"/>
      <w:pPr>
        <w:ind w:left="720" w:hanging="360"/>
      </w:pPr>
      <w:rPr>
        <w:rFonts w:ascii="Verdana" w:hAnsi="Verdana"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F6269C"/>
    <w:multiLevelType w:val="hybridMultilevel"/>
    <w:tmpl w:val="84505068"/>
    <w:lvl w:ilvl="0" w:tplc="48D8DC2E">
      <w:start w:val="1"/>
      <w:numFmt w:val="lowerLetter"/>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16">
    <w:nsid w:val="176B131F"/>
    <w:multiLevelType w:val="hybridMultilevel"/>
    <w:tmpl w:val="1A48B480"/>
    <w:lvl w:ilvl="0" w:tplc="140A0015">
      <w:start w:val="1"/>
      <w:numFmt w:val="upperLetter"/>
      <w:lvlText w:val="%1."/>
      <w:lvlJc w:val="left"/>
      <w:pPr>
        <w:ind w:left="360" w:hanging="360"/>
      </w:pPr>
      <w:rPr>
        <w:rFonts w:hint="default"/>
        <w:color w:val="auto"/>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nsid w:val="1BA665FF"/>
    <w:multiLevelType w:val="hybridMultilevel"/>
    <w:tmpl w:val="6020336E"/>
    <w:lvl w:ilvl="0" w:tplc="E170453C">
      <w:start w:val="206"/>
      <w:numFmt w:val="decimal"/>
      <w:lvlText w:val="%1."/>
      <w:lvlJc w:val="left"/>
      <w:pPr>
        <w:ind w:left="1003" w:hanging="435"/>
      </w:pPr>
      <w:rPr>
        <w:rFonts w:hint="defaul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8">
    <w:nsid w:val="1CE77853"/>
    <w:multiLevelType w:val="hybridMultilevel"/>
    <w:tmpl w:val="81BC84D4"/>
    <w:lvl w:ilvl="0" w:tplc="4CA26230">
      <w:start w:val="1"/>
      <w:numFmt w:val="decimal"/>
      <w:lvlText w:val="%1."/>
      <w:lvlJc w:val="left"/>
      <w:pPr>
        <w:tabs>
          <w:tab w:val="num" w:pos="1080"/>
        </w:tabs>
        <w:ind w:left="360"/>
      </w:pPr>
      <w:rPr>
        <w:rFonts w:ascii="Verdana" w:hAnsi="Verdana" w:cs="Times New Roman" w:hint="default"/>
        <w:b w:val="0"/>
        <w:i w:val="0"/>
        <w:strike w:val="0"/>
        <w:color w:val="auto"/>
        <w:sz w:val="20"/>
      </w:rPr>
    </w:lvl>
    <w:lvl w:ilvl="1" w:tplc="340A0003">
      <w:start w:val="1"/>
      <w:numFmt w:val="lowerLetter"/>
      <w:lvlText w:val="%2."/>
      <w:lvlJc w:val="left"/>
      <w:pPr>
        <w:tabs>
          <w:tab w:val="num" w:pos="1440"/>
        </w:tabs>
        <w:ind w:left="1440" w:hanging="360"/>
      </w:pPr>
      <w:rPr>
        <w:rFonts w:cs="Times New Roman"/>
      </w:rPr>
    </w:lvl>
    <w:lvl w:ilvl="2" w:tplc="340A0005" w:tentative="1">
      <w:start w:val="1"/>
      <w:numFmt w:val="lowerRoman"/>
      <w:lvlText w:val="%3."/>
      <w:lvlJc w:val="right"/>
      <w:pPr>
        <w:tabs>
          <w:tab w:val="num" w:pos="2160"/>
        </w:tabs>
        <w:ind w:left="2160" w:hanging="180"/>
      </w:pPr>
      <w:rPr>
        <w:rFonts w:cs="Times New Roman"/>
      </w:rPr>
    </w:lvl>
    <w:lvl w:ilvl="3" w:tplc="340A0001" w:tentative="1">
      <w:start w:val="1"/>
      <w:numFmt w:val="decimal"/>
      <w:lvlText w:val="%4."/>
      <w:lvlJc w:val="left"/>
      <w:pPr>
        <w:tabs>
          <w:tab w:val="num" w:pos="2880"/>
        </w:tabs>
        <w:ind w:left="2880" w:hanging="360"/>
      </w:pPr>
      <w:rPr>
        <w:rFonts w:cs="Times New Roman"/>
      </w:rPr>
    </w:lvl>
    <w:lvl w:ilvl="4" w:tplc="340A0003" w:tentative="1">
      <w:start w:val="1"/>
      <w:numFmt w:val="lowerLetter"/>
      <w:lvlText w:val="%5."/>
      <w:lvlJc w:val="left"/>
      <w:pPr>
        <w:tabs>
          <w:tab w:val="num" w:pos="3600"/>
        </w:tabs>
        <w:ind w:left="3600" w:hanging="360"/>
      </w:pPr>
      <w:rPr>
        <w:rFonts w:cs="Times New Roman"/>
      </w:rPr>
    </w:lvl>
    <w:lvl w:ilvl="5" w:tplc="340A0005" w:tentative="1">
      <w:start w:val="1"/>
      <w:numFmt w:val="lowerRoman"/>
      <w:lvlText w:val="%6."/>
      <w:lvlJc w:val="right"/>
      <w:pPr>
        <w:tabs>
          <w:tab w:val="num" w:pos="4320"/>
        </w:tabs>
        <w:ind w:left="4320" w:hanging="180"/>
      </w:pPr>
      <w:rPr>
        <w:rFonts w:cs="Times New Roman"/>
      </w:rPr>
    </w:lvl>
    <w:lvl w:ilvl="6" w:tplc="340A0001" w:tentative="1">
      <w:start w:val="1"/>
      <w:numFmt w:val="decimal"/>
      <w:lvlText w:val="%7."/>
      <w:lvlJc w:val="left"/>
      <w:pPr>
        <w:tabs>
          <w:tab w:val="num" w:pos="5040"/>
        </w:tabs>
        <w:ind w:left="5040" w:hanging="360"/>
      </w:pPr>
      <w:rPr>
        <w:rFonts w:cs="Times New Roman"/>
      </w:rPr>
    </w:lvl>
    <w:lvl w:ilvl="7" w:tplc="340A0003" w:tentative="1">
      <w:start w:val="1"/>
      <w:numFmt w:val="lowerLetter"/>
      <w:lvlText w:val="%8."/>
      <w:lvlJc w:val="left"/>
      <w:pPr>
        <w:tabs>
          <w:tab w:val="num" w:pos="5760"/>
        </w:tabs>
        <w:ind w:left="5760" w:hanging="360"/>
      </w:pPr>
      <w:rPr>
        <w:rFonts w:cs="Times New Roman"/>
      </w:rPr>
    </w:lvl>
    <w:lvl w:ilvl="8" w:tplc="340A0005" w:tentative="1">
      <w:start w:val="1"/>
      <w:numFmt w:val="lowerRoman"/>
      <w:lvlText w:val="%9."/>
      <w:lvlJc w:val="right"/>
      <w:pPr>
        <w:tabs>
          <w:tab w:val="num" w:pos="6480"/>
        </w:tabs>
        <w:ind w:left="6480" w:hanging="180"/>
      </w:pPr>
      <w:rPr>
        <w:rFonts w:cs="Times New Roman"/>
      </w:rPr>
    </w:lvl>
  </w:abstractNum>
  <w:abstractNum w:abstractNumId="19">
    <w:nsid w:val="1D184A4C"/>
    <w:multiLevelType w:val="hybridMultilevel"/>
    <w:tmpl w:val="1AB28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7F42AD"/>
    <w:multiLevelType w:val="hybridMultilevel"/>
    <w:tmpl w:val="5DE23424"/>
    <w:lvl w:ilvl="0" w:tplc="B436282A">
      <w:start w:val="1"/>
      <w:numFmt w:val="upp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nsid w:val="26CB695B"/>
    <w:multiLevelType w:val="hybridMultilevel"/>
    <w:tmpl w:val="EBBC1030"/>
    <w:lvl w:ilvl="0" w:tplc="8A50A8F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DC6263"/>
    <w:multiLevelType w:val="hybridMultilevel"/>
    <w:tmpl w:val="841EDCF8"/>
    <w:lvl w:ilvl="0" w:tplc="140A000F">
      <w:start w:val="1"/>
      <w:numFmt w:val="decimal"/>
      <w:lvlText w:val="%1."/>
      <w:lvlJc w:val="left"/>
      <w:pPr>
        <w:ind w:left="720" w:hanging="360"/>
      </w:pPr>
      <w:rPr>
        <w:rFonts w:hint="default"/>
        <w:strike w:val="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2BF74E96"/>
    <w:multiLevelType w:val="hybridMultilevel"/>
    <w:tmpl w:val="11729A48"/>
    <w:lvl w:ilvl="0" w:tplc="3AA4EEEA">
      <w:start w:val="1"/>
      <w:numFmt w:val="lowerRoman"/>
      <w:lvlText w:val="%1)"/>
      <w:lvlJc w:val="left"/>
      <w:pPr>
        <w:ind w:left="2880" w:hanging="720"/>
      </w:pPr>
      <w:rPr>
        <w:rFonts w:hint="default"/>
      </w:rPr>
    </w:lvl>
    <w:lvl w:ilvl="1" w:tplc="140A0019" w:tentative="1">
      <w:start w:val="1"/>
      <w:numFmt w:val="lowerLetter"/>
      <w:lvlText w:val="%2."/>
      <w:lvlJc w:val="left"/>
      <w:pPr>
        <w:ind w:left="3240" w:hanging="360"/>
      </w:pPr>
    </w:lvl>
    <w:lvl w:ilvl="2" w:tplc="140A001B" w:tentative="1">
      <w:start w:val="1"/>
      <w:numFmt w:val="lowerRoman"/>
      <w:lvlText w:val="%3."/>
      <w:lvlJc w:val="right"/>
      <w:pPr>
        <w:ind w:left="3960" w:hanging="180"/>
      </w:pPr>
    </w:lvl>
    <w:lvl w:ilvl="3" w:tplc="140A000F" w:tentative="1">
      <w:start w:val="1"/>
      <w:numFmt w:val="decimal"/>
      <w:lvlText w:val="%4."/>
      <w:lvlJc w:val="left"/>
      <w:pPr>
        <w:ind w:left="4680" w:hanging="360"/>
      </w:pPr>
    </w:lvl>
    <w:lvl w:ilvl="4" w:tplc="140A0019" w:tentative="1">
      <w:start w:val="1"/>
      <w:numFmt w:val="lowerLetter"/>
      <w:lvlText w:val="%5."/>
      <w:lvlJc w:val="left"/>
      <w:pPr>
        <w:ind w:left="5400" w:hanging="360"/>
      </w:pPr>
    </w:lvl>
    <w:lvl w:ilvl="5" w:tplc="140A001B" w:tentative="1">
      <w:start w:val="1"/>
      <w:numFmt w:val="lowerRoman"/>
      <w:lvlText w:val="%6."/>
      <w:lvlJc w:val="right"/>
      <w:pPr>
        <w:ind w:left="6120" w:hanging="180"/>
      </w:pPr>
    </w:lvl>
    <w:lvl w:ilvl="6" w:tplc="140A000F" w:tentative="1">
      <w:start w:val="1"/>
      <w:numFmt w:val="decimal"/>
      <w:lvlText w:val="%7."/>
      <w:lvlJc w:val="left"/>
      <w:pPr>
        <w:ind w:left="6840" w:hanging="360"/>
      </w:pPr>
    </w:lvl>
    <w:lvl w:ilvl="7" w:tplc="140A0019" w:tentative="1">
      <w:start w:val="1"/>
      <w:numFmt w:val="lowerLetter"/>
      <w:lvlText w:val="%8."/>
      <w:lvlJc w:val="left"/>
      <w:pPr>
        <w:ind w:left="7560" w:hanging="360"/>
      </w:pPr>
    </w:lvl>
    <w:lvl w:ilvl="8" w:tplc="140A001B" w:tentative="1">
      <w:start w:val="1"/>
      <w:numFmt w:val="lowerRoman"/>
      <w:lvlText w:val="%9."/>
      <w:lvlJc w:val="right"/>
      <w:pPr>
        <w:ind w:left="8280" w:hanging="180"/>
      </w:pPr>
    </w:lvl>
  </w:abstractNum>
  <w:abstractNum w:abstractNumId="24">
    <w:nsid w:val="32977C93"/>
    <w:multiLevelType w:val="hybridMultilevel"/>
    <w:tmpl w:val="7890CDE6"/>
    <w:lvl w:ilvl="0" w:tplc="DEB453AC">
      <w:start w:val="1"/>
      <w:numFmt w:val="decimal"/>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33AE5ED6"/>
    <w:multiLevelType w:val="hybridMultilevel"/>
    <w:tmpl w:val="EA64A472"/>
    <w:lvl w:ilvl="0" w:tplc="830CF32E">
      <w:start w:val="1"/>
      <w:numFmt w:val="lowerRoman"/>
      <w:lvlText w:val="%1)"/>
      <w:lvlJc w:val="left"/>
      <w:pPr>
        <w:ind w:left="1440" w:hanging="720"/>
      </w:pPr>
      <w:rPr>
        <w:rFonts w:eastAsia="Calibri"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6">
    <w:nsid w:val="3C0250A6"/>
    <w:multiLevelType w:val="hybridMultilevel"/>
    <w:tmpl w:val="A928CDDE"/>
    <w:lvl w:ilvl="0" w:tplc="F57071B4">
      <w:start w:val="1"/>
      <w:numFmt w:val="lowerRoman"/>
      <w:lvlText w:val="%1)"/>
      <w:lvlJc w:val="left"/>
      <w:pPr>
        <w:ind w:left="4485" w:hanging="720"/>
      </w:pPr>
      <w:rPr>
        <w:rFonts w:hint="default"/>
      </w:rPr>
    </w:lvl>
    <w:lvl w:ilvl="1" w:tplc="140A0019" w:tentative="1">
      <w:start w:val="1"/>
      <w:numFmt w:val="lowerLetter"/>
      <w:lvlText w:val="%2."/>
      <w:lvlJc w:val="left"/>
      <w:pPr>
        <w:ind w:left="4845" w:hanging="360"/>
      </w:pPr>
    </w:lvl>
    <w:lvl w:ilvl="2" w:tplc="140A001B" w:tentative="1">
      <w:start w:val="1"/>
      <w:numFmt w:val="lowerRoman"/>
      <w:lvlText w:val="%3."/>
      <w:lvlJc w:val="right"/>
      <w:pPr>
        <w:ind w:left="5565" w:hanging="180"/>
      </w:pPr>
    </w:lvl>
    <w:lvl w:ilvl="3" w:tplc="140A000F" w:tentative="1">
      <w:start w:val="1"/>
      <w:numFmt w:val="decimal"/>
      <w:lvlText w:val="%4."/>
      <w:lvlJc w:val="left"/>
      <w:pPr>
        <w:ind w:left="6285" w:hanging="360"/>
      </w:pPr>
    </w:lvl>
    <w:lvl w:ilvl="4" w:tplc="140A0019" w:tentative="1">
      <w:start w:val="1"/>
      <w:numFmt w:val="lowerLetter"/>
      <w:lvlText w:val="%5."/>
      <w:lvlJc w:val="left"/>
      <w:pPr>
        <w:ind w:left="7005" w:hanging="360"/>
      </w:pPr>
    </w:lvl>
    <w:lvl w:ilvl="5" w:tplc="140A001B" w:tentative="1">
      <w:start w:val="1"/>
      <w:numFmt w:val="lowerRoman"/>
      <w:lvlText w:val="%6."/>
      <w:lvlJc w:val="right"/>
      <w:pPr>
        <w:ind w:left="7725" w:hanging="180"/>
      </w:pPr>
    </w:lvl>
    <w:lvl w:ilvl="6" w:tplc="140A000F" w:tentative="1">
      <w:start w:val="1"/>
      <w:numFmt w:val="decimal"/>
      <w:lvlText w:val="%7."/>
      <w:lvlJc w:val="left"/>
      <w:pPr>
        <w:ind w:left="8445" w:hanging="360"/>
      </w:pPr>
    </w:lvl>
    <w:lvl w:ilvl="7" w:tplc="140A0019" w:tentative="1">
      <w:start w:val="1"/>
      <w:numFmt w:val="lowerLetter"/>
      <w:lvlText w:val="%8."/>
      <w:lvlJc w:val="left"/>
      <w:pPr>
        <w:ind w:left="9165" w:hanging="360"/>
      </w:pPr>
    </w:lvl>
    <w:lvl w:ilvl="8" w:tplc="140A001B" w:tentative="1">
      <w:start w:val="1"/>
      <w:numFmt w:val="lowerRoman"/>
      <w:lvlText w:val="%9."/>
      <w:lvlJc w:val="right"/>
      <w:pPr>
        <w:ind w:left="9885" w:hanging="180"/>
      </w:pPr>
    </w:lvl>
  </w:abstractNum>
  <w:abstractNum w:abstractNumId="27">
    <w:nsid w:val="3F7E0F2A"/>
    <w:multiLevelType w:val="hybridMultilevel"/>
    <w:tmpl w:val="A4D4CE4E"/>
    <w:lvl w:ilvl="0" w:tplc="290AA9AA">
      <w:start w:val="1"/>
      <w:numFmt w:val="upp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nsid w:val="40997726"/>
    <w:multiLevelType w:val="hybridMultilevel"/>
    <w:tmpl w:val="E5FA3584"/>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nsid w:val="46416587"/>
    <w:multiLevelType w:val="hybridMultilevel"/>
    <w:tmpl w:val="F1BA09C2"/>
    <w:lvl w:ilvl="0" w:tplc="4998A7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F052AB"/>
    <w:multiLevelType w:val="hybridMultilevel"/>
    <w:tmpl w:val="112E739A"/>
    <w:lvl w:ilvl="0" w:tplc="4670A31A">
      <w:start w:val="1"/>
      <w:numFmt w:val="lowerRoman"/>
      <w:lvlText w:val="%1)"/>
      <w:lvlJc w:val="left"/>
      <w:pPr>
        <w:ind w:left="927" w:hanging="360"/>
      </w:pPr>
      <w:rPr>
        <w:rFonts w:hint="default"/>
        <w:b w:val="0"/>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1">
    <w:nsid w:val="4ED213CF"/>
    <w:multiLevelType w:val="hybridMultilevel"/>
    <w:tmpl w:val="C156A4C0"/>
    <w:lvl w:ilvl="0" w:tplc="C38C8926">
      <w:start w:val="1"/>
      <w:numFmt w:val="lowerLetter"/>
      <w:lvlText w:val="%1)"/>
      <w:lvlJc w:val="left"/>
      <w:pPr>
        <w:ind w:left="720" w:hanging="360"/>
      </w:pPr>
      <w:rPr>
        <w:rFonts w:ascii="Verdana" w:hAnsi="Verdana" w:hint="default"/>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111E55"/>
    <w:multiLevelType w:val="hybridMultilevel"/>
    <w:tmpl w:val="3988995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591C61C4"/>
    <w:multiLevelType w:val="hybridMultilevel"/>
    <w:tmpl w:val="11821C96"/>
    <w:lvl w:ilvl="0" w:tplc="75884E1C">
      <w:start w:val="1"/>
      <w:numFmt w:val="lowerRoman"/>
      <w:lvlText w:val="%1)"/>
      <w:lvlJc w:val="left"/>
      <w:pPr>
        <w:ind w:left="1080" w:hanging="720"/>
      </w:pPr>
      <w:rPr>
        <w:rFonts w:cs="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591E1C50"/>
    <w:multiLevelType w:val="hybridMultilevel"/>
    <w:tmpl w:val="9D0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6377A8"/>
    <w:multiLevelType w:val="hybridMultilevel"/>
    <w:tmpl w:val="D16CD84A"/>
    <w:lvl w:ilvl="0" w:tplc="8C10D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857A55"/>
    <w:multiLevelType w:val="hybridMultilevel"/>
    <w:tmpl w:val="E5FA3584"/>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nsid w:val="5AD202C7"/>
    <w:multiLevelType w:val="hybridMultilevel"/>
    <w:tmpl w:val="DAA6C6D2"/>
    <w:lvl w:ilvl="0" w:tplc="3AA4EEEA">
      <w:start w:val="1"/>
      <w:numFmt w:val="lowerRoman"/>
      <w:lvlText w:val="%1)"/>
      <w:lvlJc w:val="left"/>
      <w:pPr>
        <w:ind w:left="2880" w:hanging="720"/>
      </w:pPr>
      <w:rPr>
        <w:rFonts w:hint="default"/>
      </w:rPr>
    </w:lvl>
    <w:lvl w:ilvl="1" w:tplc="140A0019" w:tentative="1">
      <w:start w:val="1"/>
      <w:numFmt w:val="lowerLetter"/>
      <w:lvlText w:val="%2."/>
      <w:lvlJc w:val="left"/>
      <w:pPr>
        <w:ind w:left="3240" w:hanging="360"/>
      </w:pPr>
    </w:lvl>
    <w:lvl w:ilvl="2" w:tplc="140A001B" w:tentative="1">
      <w:start w:val="1"/>
      <w:numFmt w:val="lowerRoman"/>
      <w:lvlText w:val="%3."/>
      <w:lvlJc w:val="right"/>
      <w:pPr>
        <w:ind w:left="3960" w:hanging="180"/>
      </w:pPr>
    </w:lvl>
    <w:lvl w:ilvl="3" w:tplc="140A000F" w:tentative="1">
      <w:start w:val="1"/>
      <w:numFmt w:val="decimal"/>
      <w:lvlText w:val="%4."/>
      <w:lvlJc w:val="left"/>
      <w:pPr>
        <w:ind w:left="4680" w:hanging="360"/>
      </w:pPr>
    </w:lvl>
    <w:lvl w:ilvl="4" w:tplc="140A0019" w:tentative="1">
      <w:start w:val="1"/>
      <w:numFmt w:val="lowerLetter"/>
      <w:lvlText w:val="%5."/>
      <w:lvlJc w:val="left"/>
      <w:pPr>
        <w:ind w:left="5400" w:hanging="360"/>
      </w:pPr>
    </w:lvl>
    <w:lvl w:ilvl="5" w:tplc="140A001B" w:tentative="1">
      <w:start w:val="1"/>
      <w:numFmt w:val="lowerRoman"/>
      <w:lvlText w:val="%6."/>
      <w:lvlJc w:val="right"/>
      <w:pPr>
        <w:ind w:left="6120" w:hanging="180"/>
      </w:pPr>
    </w:lvl>
    <w:lvl w:ilvl="6" w:tplc="140A000F" w:tentative="1">
      <w:start w:val="1"/>
      <w:numFmt w:val="decimal"/>
      <w:lvlText w:val="%7."/>
      <w:lvlJc w:val="left"/>
      <w:pPr>
        <w:ind w:left="6840" w:hanging="360"/>
      </w:pPr>
    </w:lvl>
    <w:lvl w:ilvl="7" w:tplc="140A0019" w:tentative="1">
      <w:start w:val="1"/>
      <w:numFmt w:val="lowerLetter"/>
      <w:lvlText w:val="%8."/>
      <w:lvlJc w:val="left"/>
      <w:pPr>
        <w:ind w:left="7560" w:hanging="360"/>
      </w:pPr>
    </w:lvl>
    <w:lvl w:ilvl="8" w:tplc="140A001B" w:tentative="1">
      <w:start w:val="1"/>
      <w:numFmt w:val="lowerRoman"/>
      <w:lvlText w:val="%9."/>
      <w:lvlJc w:val="right"/>
      <w:pPr>
        <w:ind w:left="8280" w:hanging="180"/>
      </w:pPr>
    </w:lvl>
  </w:abstractNum>
  <w:abstractNum w:abstractNumId="38">
    <w:nsid w:val="5B9B0885"/>
    <w:multiLevelType w:val="hybridMultilevel"/>
    <w:tmpl w:val="20E088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5C284559"/>
    <w:multiLevelType w:val="hybridMultilevel"/>
    <w:tmpl w:val="B4689BF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61413F7C"/>
    <w:multiLevelType w:val="hybridMultilevel"/>
    <w:tmpl w:val="5D2CB55E"/>
    <w:lvl w:ilvl="0" w:tplc="89AAC014">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nsid w:val="61680C15"/>
    <w:multiLevelType w:val="hybridMultilevel"/>
    <w:tmpl w:val="AE4E5A92"/>
    <w:lvl w:ilvl="0" w:tplc="E76EE724">
      <w:start w:val="1"/>
      <w:numFmt w:val="decimal"/>
      <w:lvlText w:val="%1."/>
      <w:lvlJc w:val="left"/>
      <w:pPr>
        <w:ind w:left="720" w:hanging="360"/>
      </w:pPr>
      <w:rPr>
        <w:rFonts w:ascii="Verdana" w:hAnsi="Verdana" w:hint="default"/>
        <w:b w:val="0"/>
        <w:i w:val="0"/>
        <w:strike w:val="0"/>
        <w:dstrike w:val="0"/>
        <w:sz w:val="20"/>
        <w:szCs w:val="20"/>
        <w:u w:val="none"/>
        <w:effect w:val="none"/>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2">
    <w:nsid w:val="61B36A3B"/>
    <w:multiLevelType w:val="hybridMultilevel"/>
    <w:tmpl w:val="989AF976"/>
    <w:lvl w:ilvl="0" w:tplc="E924A7B0">
      <w:start w:val="1"/>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nsid w:val="6450298B"/>
    <w:multiLevelType w:val="hybridMultilevel"/>
    <w:tmpl w:val="5DF0310C"/>
    <w:lvl w:ilvl="0" w:tplc="0922DE9A">
      <w:start w:val="1"/>
      <w:numFmt w:val="decimal"/>
      <w:lvlText w:val="%1."/>
      <w:lvlJc w:val="left"/>
      <w:pPr>
        <w:ind w:left="1530" w:hanging="360"/>
      </w:pPr>
      <w:rPr>
        <w:rFonts w:ascii="Verdana" w:hAnsi="Verdana" w:hint="default"/>
        <w:b w:val="0"/>
        <w:i w:val="0"/>
        <w:strike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nsid w:val="6BE328A5"/>
    <w:multiLevelType w:val="hybridMultilevel"/>
    <w:tmpl w:val="5DE23424"/>
    <w:lvl w:ilvl="0" w:tplc="F6D4D042">
      <w:start w:val="1"/>
      <w:numFmt w:val="upp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5">
    <w:nsid w:val="6F001C76"/>
    <w:multiLevelType w:val="hybridMultilevel"/>
    <w:tmpl w:val="3BF8E89C"/>
    <w:lvl w:ilvl="0" w:tplc="F448F914">
      <w:start w:val="1"/>
      <w:numFmt w:val="decimal"/>
      <w:lvlText w:val="%1."/>
      <w:lvlJc w:val="left"/>
      <w:pPr>
        <w:ind w:left="1144" w:hanging="360"/>
      </w:pPr>
      <w:rPr>
        <w:rFonts w:hint="default"/>
      </w:rPr>
    </w:lvl>
    <w:lvl w:ilvl="1" w:tplc="140A0019" w:tentative="1">
      <w:start w:val="1"/>
      <w:numFmt w:val="lowerLetter"/>
      <w:lvlText w:val="%2."/>
      <w:lvlJc w:val="left"/>
      <w:pPr>
        <w:ind w:left="1864" w:hanging="360"/>
      </w:pPr>
    </w:lvl>
    <w:lvl w:ilvl="2" w:tplc="140A001B" w:tentative="1">
      <w:start w:val="1"/>
      <w:numFmt w:val="lowerRoman"/>
      <w:lvlText w:val="%3."/>
      <w:lvlJc w:val="right"/>
      <w:pPr>
        <w:ind w:left="2584" w:hanging="180"/>
      </w:pPr>
    </w:lvl>
    <w:lvl w:ilvl="3" w:tplc="140A000F" w:tentative="1">
      <w:start w:val="1"/>
      <w:numFmt w:val="decimal"/>
      <w:lvlText w:val="%4."/>
      <w:lvlJc w:val="left"/>
      <w:pPr>
        <w:ind w:left="3304" w:hanging="360"/>
      </w:pPr>
    </w:lvl>
    <w:lvl w:ilvl="4" w:tplc="140A0019" w:tentative="1">
      <w:start w:val="1"/>
      <w:numFmt w:val="lowerLetter"/>
      <w:lvlText w:val="%5."/>
      <w:lvlJc w:val="left"/>
      <w:pPr>
        <w:ind w:left="4024" w:hanging="360"/>
      </w:pPr>
    </w:lvl>
    <w:lvl w:ilvl="5" w:tplc="140A001B" w:tentative="1">
      <w:start w:val="1"/>
      <w:numFmt w:val="lowerRoman"/>
      <w:lvlText w:val="%6."/>
      <w:lvlJc w:val="right"/>
      <w:pPr>
        <w:ind w:left="4744" w:hanging="180"/>
      </w:pPr>
    </w:lvl>
    <w:lvl w:ilvl="6" w:tplc="140A000F" w:tentative="1">
      <w:start w:val="1"/>
      <w:numFmt w:val="decimal"/>
      <w:lvlText w:val="%7."/>
      <w:lvlJc w:val="left"/>
      <w:pPr>
        <w:ind w:left="5464" w:hanging="360"/>
      </w:pPr>
    </w:lvl>
    <w:lvl w:ilvl="7" w:tplc="140A0019" w:tentative="1">
      <w:start w:val="1"/>
      <w:numFmt w:val="lowerLetter"/>
      <w:lvlText w:val="%8."/>
      <w:lvlJc w:val="left"/>
      <w:pPr>
        <w:ind w:left="6184" w:hanging="360"/>
      </w:pPr>
    </w:lvl>
    <w:lvl w:ilvl="8" w:tplc="140A001B" w:tentative="1">
      <w:start w:val="1"/>
      <w:numFmt w:val="lowerRoman"/>
      <w:lvlText w:val="%9."/>
      <w:lvlJc w:val="right"/>
      <w:pPr>
        <w:ind w:left="6904" w:hanging="180"/>
      </w:pPr>
    </w:lvl>
  </w:abstractNum>
  <w:abstractNum w:abstractNumId="46">
    <w:nsid w:val="71243DE0"/>
    <w:multiLevelType w:val="hybridMultilevel"/>
    <w:tmpl w:val="C59C8EB2"/>
    <w:lvl w:ilvl="0" w:tplc="12BE5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83733E"/>
    <w:multiLevelType w:val="hybridMultilevel"/>
    <w:tmpl w:val="2580F6CA"/>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8">
    <w:nsid w:val="736E03B1"/>
    <w:multiLevelType w:val="hybridMultilevel"/>
    <w:tmpl w:val="223251D8"/>
    <w:lvl w:ilvl="0" w:tplc="2B6AF94A">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49">
    <w:nsid w:val="753A0437"/>
    <w:multiLevelType w:val="hybridMultilevel"/>
    <w:tmpl w:val="1A48B480"/>
    <w:lvl w:ilvl="0" w:tplc="140A0015">
      <w:start w:val="1"/>
      <w:numFmt w:val="upperLetter"/>
      <w:lvlText w:val="%1."/>
      <w:lvlJc w:val="left"/>
      <w:pPr>
        <w:ind w:left="360" w:hanging="360"/>
      </w:pPr>
      <w:rPr>
        <w:rFonts w:hint="default"/>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0">
    <w:nsid w:val="75C671F8"/>
    <w:multiLevelType w:val="hybridMultilevel"/>
    <w:tmpl w:val="AE383896"/>
    <w:lvl w:ilvl="0" w:tplc="140A0017">
      <w:start w:val="1"/>
      <w:numFmt w:val="lowerLetter"/>
      <w:lvlText w:val="%1)"/>
      <w:lvlJc w:val="left"/>
      <w:pPr>
        <w:ind w:left="78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nsid w:val="76753A80"/>
    <w:multiLevelType w:val="hybridMultilevel"/>
    <w:tmpl w:val="0ECC1800"/>
    <w:lvl w:ilvl="0" w:tplc="22267BCC">
      <w:start w:val="1"/>
      <w:numFmt w:val="decimal"/>
      <w:lvlText w:val="%1."/>
      <w:lvlJc w:val="left"/>
      <w:pPr>
        <w:ind w:left="0" w:firstLine="0"/>
      </w:pPr>
      <w:rPr>
        <w:rFonts w:ascii="Verdana" w:hAnsi="Verdana" w:hint="default"/>
        <w:b w:val="0"/>
        <w:i w:val="0"/>
        <w:strike w:val="0"/>
        <w:color w:val="auto"/>
        <w:sz w:val="20"/>
        <w:szCs w:val="20"/>
        <w:lang w:val="es-CR"/>
      </w:rPr>
    </w:lvl>
    <w:lvl w:ilvl="1" w:tplc="2C0A0019">
      <w:start w:val="1"/>
      <w:numFmt w:val="lowerLetter"/>
      <w:lvlText w:val="%2."/>
      <w:lvlJc w:val="left"/>
      <w:pPr>
        <w:ind w:left="1298" w:hanging="360"/>
      </w:pPr>
      <w:rPr>
        <w:rFonts w:hint="default"/>
        <w:lang w:val="es-CR"/>
      </w:rPr>
    </w:lvl>
    <w:lvl w:ilvl="2" w:tplc="4202A1AC">
      <w:start w:val="1"/>
      <w:numFmt w:val="lowerRoman"/>
      <w:lvlText w:val="%3."/>
      <w:lvlJc w:val="right"/>
      <w:pPr>
        <w:ind w:left="2018" w:hanging="180"/>
      </w:pPr>
      <w:rPr>
        <w:i/>
      </w:rPr>
    </w:lvl>
    <w:lvl w:ilvl="3" w:tplc="3F0893E6" w:tentative="1">
      <w:start w:val="1"/>
      <w:numFmt w:val="decimal"/>
      <w:lvlText w:val="%4."/>
      <w:lvlJc w:val="left"/>
      <w:pPr>
        <w:ind w:left="2738" w:hanging="360"/>
      </w:pPr>
    </w:lvl>
    <w:lvl w:ilvl="4" w:tplc="E7BA4BB6" w:tentative="1">
      <w:start w:val="1"/>
      <w:numFmt w:val="lowerLetter"/>
      <w:lvlText w:val="%5."/>
      <w:lvlJc w:val="left"/>
      <w:pPr>
        <w:ind w:left="3458" w:hanging="360"/>
      </w:pPr>
    </w:lvl>
    <w:lvl w:ilvl="5" w:tplc="2C0A001B" w:tentative="1">
      <w:start w:val="1"/>
      <w:numFmt w:val="lowerRoman"/>
      <w:lvlText w:val="%6."/>
      <w:lvlJc w:val="right"/>
      <w:pPr>
        <w:ind w:left="4178" w:hanging="180"/>
      </w:pPr>
    </w:lvl>
    <w:lvl w:ilvl="6" w:tplc="2C0A000F" w:tentative="1">
      <w:start w:val="1"/>
      <w:numFmt w:val="decimal"/>
      <w:lvlText w:val="%7."/>
      <w:lvlJc w:val="left"/>
      <w:pPr>
        <w:ind w:left="4898" w:hanging="360"/>
      </w:pPr>
    </w:lvl>
    <w:lvl w:ilvl="7" w:tplc="2C0A0019" w:tentative="1">
      <w:start w:val="1"/>
      <w:numFmt w:val="lowerLetter"/>
      <w:lvlText w:val="%8."/>
      <w:lvlJc w:val="left"/>
      <w:pPr>
        <w:ind w:left="5618" w:hanging="360"/>
      </w:pPr>
    </w:lvl>
    <w:lvl w:ilvl="8" w:tplc="2C0A001B" w:tentative="1">
      <w:start w:val="1"/>
      <w:numFmt w:val="lowerRoman"/>
      <w:lvlText w:val="%9."/>
      <w:lvlJc w:val="right"/>
      <w:pPr>
        <w:ind w:left="6338" w:hanging="180"/>
      </w:pPr>
    </w:lvl>
  </w:abstractNum>
  <w:abstractNum w:abstractNumId="52">
    <w:nsid w:val="79481F10"/>
    <w:multiLevelType w:val="hybridMultilevel"/>
    <w:tmpl w:val="DAA6C6D2"/>
    <w:lvl w:ilvl="0" w:tplc="3AA4EEEA">
      <w:start w:val="1"/>
      <w:numFmt w:val="lowerRoman"/>
      <w:lvlText w:val="%1)"/>
      <w:lvlJc w:val="left"/>
      <w:pPr>
        <w:ind w:left="2880" w:hanging="720"/>
      </w:pPr>
      <w:rPr>
        <w:rFonts w:hint="default"/>
      </w:rPr>
    </w:lvl>
    <w:lvl w:ilvl="1" w:tplc="140A0019" w:tentative="1">
      <w:start w:val="1"/>
      <w:numFmt w:val="lowerLetter"/>
      <w:lvlText w:val="%2."/>
      <w:lvlJc w:val="left"/>
      <w:pPr>
        <w:ind w:left="3240" w:hanging="360"/>
      </w:pPr>
    </w:lvl>
    <w:lvl w:ilvl="2" w:tplc="140A001B" w:tentative="1">
      <w:start w:val="1"/>
      <w:numFmt w:val="lowerRoman"/>
      <w:lvlText w:val="%3."/>
      <w:lvlJc w:val="right"/>
      <w:pPr>
        <w:ind w:left="3960" w:hanging="180"/>
      </w:pPr>
    </w:lvl>
    <w:lvl w:ilvl="3" w:tplc="140A000F" w:tentative="1">
      <w:start w:val="1"/>
      <w:numFmt w:val="decimal"/>
      <w:lvlText w:val="%4."/>
      <w:lvlJc w:val="left"/>
      <w:pPr>
        <w:ind w:left="4680" w:hanging="360"/>
      </w:pPr>
    </w:lvl>
    <w:lvl w:ilvl="4" w:tplc="140A0019" w:tentative="1">
      <w:start w:val="1"/>
      <w:numFmt w:val="lowerLetter"/>
      <w:lvlText w:val="%5."/>
      <w:lvlJc w:val="left"/>
      <w:pPr>
        <w:ind w:left="5400" w:hanging="360"/>
      </w:pPr>
    </w:lvl>
    <w:lvl w:ilvl="5" w:tplc="140A001B" w:tentative="1">
      <w:start w:val="1"/>
      <w:numFmt w:val="lowerRoman"/>
      <w:lvlText w:val="%6."/>
      <w:lvlJc w:val="right"/>
      <w:pPr>
        <w:ind w:left="6120" w:hanging="180"/>
      </w:pPr>
    </w:lvl>
    <w:lvl w:ilvl="6" w:tplc="140A000F" w:tentative="1">
      <w:start w:val="1"/>
      <w:numFmt w:val="decimal"/>
      <w:lvlText w:val="%7."/>
      <w:lvlJc w:val="left"/>
      <w:pPr>
        <w:ind w:left="6840" w:hanging="360"/>
      </w:pPr>
    </w:lvl>
    <w:lvl w:ilvl="7" w:tplc="140A0019" w:tentative="1">
      <w:start w:val="1"/>
      <w:numFmt w:val="lowerLetter"/>
      <w:lvlText w:val="%8."/>
      <w:lvlJc w:val="left"/>
      <w:pPr>
        <w:ind w:left="7560" w:hanging="360"/>
      </w:pPr>
    </w:lvl>
    <w:lvl w:ilvl="8" w:tplc="140A001B" w:tentative="1">
      <w:start w:val="1"/>
      <w:numFmt w:val="lowerRoman"/>
      <w:lvlText w:val="%9."/>
      <w:lvlJc w:val="right"/>
      <w:pPr>
        <w:ind w:left="8280" w:hanging="180"/>
      </w:pPr>
    </w:lvl>
  </w:abstractNum>
  <w:abstractNum w:abstractNumId="53">
    <w:nsid w:val="7EC814E1"/>
    <w:multiLevelType w:val="hybridMultilevel"/>
    <w:tmpl w:val="6548DAA8"/>
    <w:lvl w:ilvl="0" w:tplc="9DC0651C">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num w:numId="1">
    <w:abstractNumId w:val="49"/>
  </w:num>
  <w:num w:numId="2">
    <w:abstractNumId w:val="43"/>
  </w:num>
  <w:num w:numId="3">
    <w:abstractNumId w:val="4"/>
  </w:num>
  <w:num w:numId="4">
    <w:abstractNumId w:val="27"/>
  </w:num>
  <w:num w:numId="5">
    <w:abstractNumId w:val="14"/>
  </w:num>
  <w:num w:numId="6">
    <w:abstractNumId w:val="21"/>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num>
  <w:num w:numId="12">
    <w:abstractNumId w:val="39"/>
  </w:num>
  <w:num w:numId="13">
    <w:abstractNumId w:val="18"/>
  </w:num>
  <w:num w:numId="14">
    <w:abstractNumId w:val="10"/>
  </w:num>
  <w:num w:numId="15">
    <w:abstractNumId w:val="38"/>
  </w:num>
  <w:num w:numId="16">
    <w:abstractNumId w:val="15"/>
  </w:num>
  <w:num w:numId="17">
    <w:abstractNumId w:val="3"/>
  </w:num>
  <w:num w:numId="18">
    <w:abstractNumId w:val="29"/>
  </w:num>
  <w:num w:numId="19">
    <w:abstractNumId w:val="26"/>
  </w:num>
  <w:num w:numId="20">
    <w:abstractNumId w:val="40"/>
  </w:num>
  <w:num w:numId="21">
    <w:abstractNumId w:val="11"/>
  </w:num>
  <w:num w:numId="22">
    <w:abstractNumId w:val="52"/>
  </w:num>
  <w:num w:numId="23">
    <w:abstractNumId w:val="31"/>
  </w:num>
  <w:num w:numId="24">
    <w:abstractNumId w:val="25"/>
  </w:num>
  <w:num w:numId="25">
    <w:abstractNumId w:val="34"/>
  </w:num>
  <w:num w:numId="26">
    <w:abstractNumId w:val="51"/>
  </w:num>
  <w:num w:numId="27">
    <w:abstractNumId w:val="28"/>
  </w:num>
  <w:num w:numId="28">
    <w:abstractNumId w:val="20"/>
  </w:num>
  <w:num w:numId="29">
    <w:abstractNumId w:val="36"/>
  </w:num>
  <w:num w:numId="30">
    <w:abstractNumId w:val="44"/>
  </w:num>
  <w:num w:numId="31">
    <w:abstractNumId w:val="22"/>
  </w:num>
  <w:num w:numId="32">
    <w:abstractNumId w:val="46"/>
  </w:num>
  <w:num w:numId="33">
    <w:abstractNumId w:val="35"/>
  </w:num>
  <w:num w:numId="34">
    <w:abstractNumId w:val="47"/>
  </w:num>
  <w:num w:numId="35">
    <w:abstractNumId w:val="19"/>
  </w:num>
  <w:num w:numId="36">
    <w:abstractNumId w:val="2"/>
  </w:num>
  <w:num w:numId="37">
    <w:abstractNumId w:val="48"/>
  </w:num>
  <w:num w:numId="38">
    <w:abstractNumId w:val="16"/>
  </w:num>
  <w:num w:numId="39">
    <w:abstractNumId w:val="32"/>
  </w:num>
  <w:num w:numId="40">
    <w:abstractNumId w:val="13"/>
  </w:num>
  <w:num w:numId="41">
    <w:abstractNumId w:val="6"/>
  </w:num>
  <w:num w:numId="42">
    <w:abstractNumId w:val="9"/>
  </w:num>
  <w:num w:numId="43">
    <w:abstractNumId w:val="53"/>
  </w:num>
  <w:num w:numId="44">
    <w:abstractNumId w:val="50"/>
  </w:num>
  <w:num w:numId="45">
    <w:abstractNumId w:val="33"/>
  </w:num>
  <w:num w:numId="46">
    <w:abstractNumId w:val="8"/>
  </w:num>
  <w:num w:numId="47">
    <w:abstractNumId w:val="30"/>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37"/>
  </w:num>
  <w:num w:numId="52">
    <w:abstractNumId w:val="17"/>
  </w:num>
  <w:num w:numId="53">
    <w:abstractNumId w:val="12"/>
  </w:num>
  <w:num w:numId="54">
    <w:abstractNumId w:val="42"/>
  </w:num>
  <w:num w:numId="55">
    <w:abstractNumId w:val="45"/>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nny">
    <w15:presenceInfo w15:providerId="None" w15:userId="P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33A"/>
    <w:rsid w:val="00002891"/>
    <w:rsid w:val="00002D4E"/>
    <w:rsid w:val="00002D77"/>
    <w:rsid w:val="0000306A"/>
    <w:rsid w:val="00003D1F"/>
    <w:rsid w:val="00006488"/>
    <w:rsid w:val="00011114"/>
    <w:rsid w:val="00011A37"/>
    <w:rsid w:val="00011ED0"/>
    <w:rsid w:val="00014B9A"/>
    <w:rsid w:val="00020007"/>
    <w:rsid w:val="00020823"/>
    <w:rsid w:val="00023CC4"/>
    <w:rsid w:val="00025D07"/>
    <w:rsid w:val="00027F86"/>
    <w:rsid w:val="00031333"/>
    <w:rsid w:val="000321EA"/>
    <w:rsid w:val="000323BE"/>
    <w:rsid w:val="00033C8A"/>
    <w:rsid w:val="00033F08"/>
    <w:rsid w:val="00034689"/>
    <w:rsid w:val="0003553C"/>
    <w:rsid w:val="000361E2"/>
    <w:rsid w:val="00037478"/>
    <w:rsid w:val="0004056B"/>
    <w:rsid w:val="0004537E"/>
    <w:rsid w:val="000453EB"/>
    <w:rsid w:val="000463AB"/>
    <w:rsid w:val="00046EA9"/>
    <w:rsid w:val="00050600"/>
    <w:rsid w:val="00052CDB"/>
    <w:rsid w:val="00052F76"/>
    <w:rsid w:val="00055113"/>
    <w:rsid w:val="00056271"/>
    <w:rsid w:val="00057DB5"/>
    <w:rsid w:val="00060EFD"/>
    <w:rsid w:val="00061828"/>
    <w:rsid w:val="000646BD"/>
    <w:rsid w:val="00065894"/>
    <w:rsid w:val="00065B86"/>
    <w:rsid w:val="000675D1"/>
    <w:rsid w:val="00071654"/>
    <w:rsid w:val="00071B86"/>
    <w:rsid w:val="00071DE8"/>
    <w:rsid w:val="00073B1B"/>
    <w:rsid w:val="00077064"/>
    <w:rsid w:val="000771A6"/>
    <w:rsid w:val="00077642"/>
    <w:rsid w:val="00077908"/>
    <w:rsid w:val="000819A3"/>
    <w:rsid w:val="00082621"/>
    <w:rsid w:val="000849CD"/>
    <w:rsid w:val="00084A2C"/>
    <w:rsid w:val="00084BD1"/>
    <w:rsid w:val="00086426"/>
    <w:rsid w:val="00087D64"/>
    <w:rsid w:val="000901EA"/>
    <w:rsid w:val="00093AF9"/>
    <w:rsid w:val="000946F4"/>
    <w:rsid w:val="00094D6F"/>
    <w:rsid w:val="000A0311"/>
    <w:rsid w:val="000A1661"/>
    <w:rsid w:val="000A4EA1"/>
    <w:rsid w:val="000A580D"/>
    <w:rsid w:val="000A6C20"/>
    <w:rsid w:val="000B07BB"/>
    <w:rsid w:val="000B11A0"/>
    <w:rsid w:val="000B1239"/>
    <w:rsid w:val="000B133E"/>
    <w:rsid w:val="000B16AE"/>
    <w:rsid w:val="000B1B9D"/>
    <w:rsid w:val="000B1FC8"/>
    <w:rsid w:val="000B276F"/>
    <w:rsid w:val="000B415F"/>
    <w:rsid w:val="000C101D"/>
    <w:rsid w:val="000C251D"/>
    <w:rsid w:val="000C38F8"/>
    <w:rsid w:val="000C45FD"/>
    <w:rsid w:val="000C4E54"/>
    <w:rsid w:val="000C642B"/>
    <w:rsid w:val="000C6698"/>
    <w:rsid w:val="000C7635"/>
    <w:rsid w:val="000D1B0B"/>
    <w:rsid w:val="000D3370"/>
    <w:rsid w:val="000D4D99"/>
    <w:rsid w:val="000D6E72"/>
    <w:rsid w:val="000D7B24"/>
    <w:rsid w:val="000D7C76"/>
    <w:rsid w:val="000D7ED1"/>
    <w:rsid w:val="000E01E1"/>
    <w:rsid w:val="000E1036"/>
    <w:rsid w:val="000E1E3F"/>
    <w:rsid w:val="000E3E0B"/>
    <w:rsid w:val="000E3E71"/>
    <w:rsid w:val="000E3E7F"/>
    <w:rsid w:val="000E4A72"/>
    <w:rsid w:val="000E612F"/>
    <w:rsid w:val="000E6257"/>
    <w:rsid w:val="000E6259"/>
    <w:rsid w:val="000E6FD4"/>
    <w:rsid w:val="000E7243"/>
    <w:rsid w:val="000E7440"/>
    <w:rsid w:val="000F0638"/>
    <w:rsid w:val="000F38B6"/>
    <w:rsid w:val="000F4E39"/>
    <w:rsid w:val="000F52B7"/>
    <w:rsid w:val="001049A0"/>
    <w:rsid w:val="00110C65"/>
    <w:rsid w:val="0011273E"/>
    <w:rsid w:val="00115175"/>
    <w:rsid w:val="00115DCE"/>
    <w:rsid w:val="00116F0A"/>
    <w:rsid w:val="0012029A"/>
    <w:rsid w:val="00123C6C"/>
    <w:rsid w:val="001248C4"/>
    <w:rsid w:val="00124B30"/>
    <w:rsid w:val="001263F1"/>
    <w:rsid w:val="00127AF5"/>
    <w:rsid w:val="00127C7F"/>
    <w:rsid w:val="0013575D"/>
    <w:rsid w:val="00136F90"/>
    <w:rsid w:val="0014074B"/>
    <w:rsid w:val="00140871"/>
    <w:rsid w:val="001420FF"/>
    <w:rsid w:val="00142C32"/>
    <w:rsid w:val="001431EC"/>
    <w:rsid w:val="0014427B"/>
    <w:rsid w:val="001444BD"/>
    <w:rsid w:val="00145555"/>
    <w:rsid w:val="0014568C"/>
    <w:rsid w:val="0014586E"/>
    <w:rsid w:val="001469A8"/>
    <w:rsid w:val="00147144"/>
    <w:rsid w:val="001505EE"/>
    <w:rsid w:val="001530AA"/>
    <w:rsid w:val="0015380E"/>
    <w:rsid w:val="00154264"/>
    <w:rsid w:val="00155E10"/>
    <w:rsid w:val="001566AF"/>
    <w:rsid w:val="00156905"/>
    <w:rsid w:val="00156EEE"/>
    <w:rsid w:val="001575D4"/>
    <w:rsid w:val="00160073"/>
    <w:rsid w:val="00160FD2"/>
    <w:rsid w:val="00161542"/>
    <w:rsid w:val="001617A5"/>
    <w:rsid w:val="0016353F"/>
    <w:rsid w:val="001635AC"/>
    <w:rsid w:val="00164133"/>
    <w:rsid w:val="00164F52"/>
    <w:rsid w:val="00164F9C"/>
    <w:rsid w:val="00166C9C"/>
    <w:rsid w:val="0017213D"/>
    <w:rsid w:val="001758D6"/>
    <w:rsid w:val="00176327"/>
    <w:rsid w:val="001775A4"/>
    <w:rsid w:val="001803FD"/>
    <w:rsid w:val="00181972"/>
    <w:rsid w:val="00181C18"/>
    <w:rsid w:val="00184615"/>
    <w:rsid w:val="00185682"/>
    <w:rsid w:val="001863DB"/>
    <w:rsid w:val="00190A28"/>
    <w:rsid w:val="00190AD3"/>
    <w:rsid w:val="001920C5"/>
    <w:rsid w:val="001930C4"/>
    <w:rsid w:val="0019351F"/>
    <w:rsid w:val="001A189C"/>
    <w:rsid w:val="001A1D99"/>
    <w:rsid w:val="001A22BD"/>
    <w:rsid w:val="001A2884"/>
    <w:rsid w:val="001A2AD2"/>
    <w:rsid w:val="001A420C"/>
    <w:rsid w:val="001A4213"/>
    <w:rsid w:val="001A660D"/>
    <w:rsid w:val="001B0124"/>
    <w:rsid w:val="001B1728"/>
    <w:rsid w:val="001B19DD"/>
    <w:rsid w:val="001B40EC"/>
    <w:rsid w:val="001B5BDB"/>
    <w:rsid w:val="001C1A33"/>
    <w:rsid w:val="001C1DD4"/>
    <w:rsid w:val="001C2D93"/>
    <w:rsid w:val="001C4960"/>
    <w:rsid w:val="001C4C53"/>
    <w:rsid w:val="001D1013"/>
    <w:rsid w:val="001D25DC"/>
    <w:rsid w:val="001D44FB"/>
    <w:rsid w:val="001D4A8F"/>
    <w:rsid w:val="001D70DF"/>
    <w:rsid w:val="001E0F01"/>
    <w:rsid w:val="001E178F"/>
    <w:rsid w:val="001E221C"/>
    <w:rsid w:val="001E2901"/>
    <w:rsid w:val="001E2F08"/>
    <w:rsid w:val="001E44EF"/>
    <w:rsid w:val="001E5C2A"/>
    <w:rsid w:val="001E6E97"/>
    <w:rsid w:val="001E7281"/>
    <w:rsid w:val="001F1AB1"/>
    <w:rsid w:val="001F214B"/>
    <w:rsid w:val="001F226F"/>
    <w:rsid w:val="001F345B"/>
    <w:rsid w:val="001F4ACB"/>
    <w:rsid w:val="001F4DBD"/>
    <w:rsid w:val="001F6C57"/>
    <w:rsid w:val="002032F4"/>
    <w:rsid w:val="00203A69"/>
    <w:rsid w:val="00204495"/>
    <w:rsid w:val="00204504"/>
    <w:rsid w:val="002048FC"/>
    <w:rsid w:val="00205771"/>
    <w:rsid w:val="00205921"/>
    <w:rsid w:val="00206475"/>
    <w:rsid w:val="002079C8"/>
    <w:rsid w:val="002109E0"/>
    <w:rsid w:val="0021225D"/>
    <w:rsid w:val="00213026"/>
    <w:rsid w:val="002159F0"/>
    <w:rsid w:val="00216D0F"/>
    <w:rsid w:val="00216F93"/>
    <w:rsid w:val="002206AC"/>
    <w:rsid w:val="00221AD1"/>
    <w:rsid w:val="002228DD"/>
    <w:rsid w:val="00222DE9"/>
    <w:rsid w:val="002242E4"/>
    <w:rsid w:val="002251C4"/>
    <w:rsid w:val="00226C52"/>
    <w:rsid w:val="0022709B"/>
    <w:rsid w:val="00230709"/>
    <w:rsid w:val="00231093"/>
    <w:rsid w:val="00231B50"/>
    <w:rsid w:val="002322B9"/>
    <w:rsid w:val="0023331A"/>
    <w:rsid w:val="00233B35"/>
    <w:rsid w:val="00234679"/>
    <w:rsid w:val="0023478B"/>
    <w:rsid w:val="00234B38"/>
    <w:rsid w:val="002350A4"/>
    <w:rsid w:val="00236EF8"/>
    <w:rsid w:val="00237BC5"/>
    <w:rsid w:val="002413E9"/>
    <w:rsid w:val="00241621"/>
    <w:rsid w:val="0024200E"/>
    <w:rsid w:val="00242D22"/>
    <w:rsid w:val="00243E73"/>
    <w:rsid w:val="00245147"/>
    <w:rsid w:val="00245A27"/>
    <w:rsid w:val="00247DB8"/>
    <w:rsid w:val="0025025B"/>
    <w:rsid w:val="0025095F"/>
    <w:rsid w:val="002547E0"/>
    <w:rsid w:val="00256BD1"/>
    <w:rsid w:val="00257936"/>
    <w:rsid w:val="00261627"/>
    <w:rsid w:val="00264CEB"/>
    <w:rsid w:val="00264D1A"/>
    <w:rsid w:val="002706DE"/>
    <w:rsid w:val="00273732"/>
    <w:rsid w:val="00275235"/>
    <w:rsid w:val="002760DB"/>
    <w:rsid w:val="00280689"/>
    <w:rsid w:val="00281D2A"/>
    <w:rsid w:val="0028313B"/>
    <w:rsid w:val="00283205"/>
    <w:rsid w:val="00285205"/>
    <w:rsid w:val="00285494"/>
    <w:rsid w:val="00285F52"/>
    <w:rsid w:val="00287DCC"/>
    <w:rsid w:val="002924C8"/>
    <w:rsid w:val="00292D5E"/>
    <w:rsid w:val="00292E51"/>
    <w:rsid w:val="00293AEF"/>
    <w:rsid w:val="002956E6"/>
    <w:rsid w:val="0029611B"/>
    <w:rsid w:val="00296523"/>
    <w:rsid w:val="00297D54"/>
    <w:rsid w:val="002A0097"/>
    <w:rsid w:val="002A2DF4"/>
    <w:rsid w:val="002A3470"/>
    <w:rsid w:val="002A6C21"/>
    <w:rsid w:val="002A6F19"/>
    <w:rsid w:val="002B22FE"/>
    <w:rsid w:val="002B23DF"/>
    <w:rsid w:val="002B2F80"/>
    <w:rsid w:val="002B39BD"/>
    <w:rsid w:val="002B530B"/>
    <w:rsid w:val="002B6439"/>
    <w:rsid w:val="002C0317"/>
    <w:rsid w:val="002C05D8"/>
    <w:rsid w:val="002C16BA"/>
    <w:rsid w:val="002C307F"/>
    <w:rsid w:val="002C323A"/>
    <w:rsid w:val="002C50BE"/>
    <w:rsid w:val="002C6A38"/>
    <w:rsid w:val="002C6B42"/>
    <w:rsid w:val="002C6BFD"/>
    <w:rsid w:val="002D0F97"/>
    <w:rsid w:val="002D4764"/>
    <w:rsid w:val="002D4D5C"/>
    <w:rsid w:val="002D6733"/>
    <w:rsid w:val="002E1879"/>
    <w:rsid w:val="002E1C80"/>
    <w:rsid w:val="002E261C"/>
    <w:rsid w:val="002E2E48"/>
    <w:rsid w:val="002E4040"/>
    <w:rsid w:val="002E4580"/>
    <w:rsid w:val="002E4F7F"/>
    <w:rsid w:val="002E5777"/>
    <w:rsid w:val="002F055E"/>
    <w:rsid w:val="002F15E0"/>
    <w:rsid w:val="002F18CA"/>
    <w:rsid w:val="002F19A0"/>
    <w:rsid w:val="002F315E"/>
    <w:rsid w:val="002F3E4B"/>
    <w:rsid w:val="002F40F0"/>
    <w:rsid w:val="002F6B39"/>
    <w:rsid w:val="002F76E9"/>
    <w:rsid w:val="00301085"/>
    <w:rsid w:val="00301A0D"/>
    <w:rsid w:val="003033BC"/>
    <w:rsid w:val="003035A2"/>
    <w:rsid w:val="00304E96"/>
    <w:rsid w:val="00306756"/>
    <w:rsid w:val="0031375C"/>
    <w:rsid w:val="003145EE"/>
    <w:rsid w:val="00314C52"/>
    <w:rsid w:val="00316A49"/>
    <w:rsid w:val="0032075F"/>
    <w:rsid w:val="00320B43"/>
    <w:rsid w:val="003214FF"/>
    <w:rsid w:val="003223F4"/>
    <w:rsid w:val="00323B7B"/>
    <w:rsid w:val="00326B44"/>
    <w:rsid w:val="00331A01"/>
    <w:rsid w:val="00331ED0"/>
    <w:rsid w:val="00331F0B"/>
    <w:rsid w:val="00331FD3"/>
    <w:rsid w:val="00332D04"/>
    <w:rsid w:val="00334883"/>
    <w:rsid w:val="00335C11"/>
    <w:rsid w:val="00336969"/>
    <w:rsid w:val="003372B6"/>
    <w:rsid w:val="0035178E"/>
    <w:rsid w:val="0035511B"/>
    <w:rsid w:val="00360728"/>
    <w:rsid w:val="00360BE8"/>
    <w:rsid w:val="00363764"/>
    <w:rsid w:val="00364173"/>
    <w:rsid w:val="003644A0"/>
    <w:rsid w:val="00364CD1"/>
    <w:rsid w:val="00364E08"/>
    <w:rsid w:val="00366D91"/>
    <w:rsid w:val="00366ECD"/>
    <w:rsid w:val="00367E2C"/>
    <w:rsid w:val="00370C57"/>
    <w:rsid w:val="003723B0"/>
    <w:rsid w:val="00374B40"/>
    <w:rsid w:val="00377CC2"/>
    <w:rsid w:val="003806AD"/>
    <w:rsid w:val="0038087C"/>
    <w:rsid w:val="00381F18"/>
    <w:rsid w:val="00382F4D"/>
    <w:rsid w:val="00382FBE"/>
    <w:rsid w:val="00382FE1"/>
    <w:rsid w:val="00383023"/>
    <w:rsid w:val="00383FE6"/>
    <w:rsid w:val="003847EB"/>
    <w:rsid w:val="003855FE"/>
    <w:rsid w:val="00385902"/>
    <w:rsid w:val="00385C68"/>
    <w:rsid w:val="003865DF"/>
    <w:rsid w:val="003876C7"/>
    <w:rsid w:val="0039012A"/>
    <w:rsid w:val="00390F65"/>
    <w:rsid w:val="003945D9"/>
    <w:rsid w:val="003946ED"/>
    <w:rsid w:val="00394D35"/>
    <w:rsid w:val="003966ED"/>
    <w:rsid w:val="00397624"/>
    <w:rsid w:val="003A04EA"/>
    <w:rsid w:val="003A0B87"/>
    <w:rsid w:val="003A1187"/>
    <w:rsid w:val="003A22D9"/>
    <w:rsid w:val="003A3587"/>
    <w:rsid w:val="003A3D1A"/>
    <w:rsid w:val="003A3EB4"/>
    <w:rsid w:val="003A42A5"/>
    <w:rsid w:val="003A48E3"/>
    <w:rsid w:val="003A5559"/>
    <w:rsid w:val="003A5749"/>
    <w:rsid w:val="003A5864"/>
    <w:rsid w:val="003B2F8F"/>
    <w:rsid w:val="003B334C"/>
    <w:rsid w:val="003B3BE0"/>
    <w:rsid w:val="003B50B0"/>
    <w:rsid w:val="003B7137"/>
    <w:rsid w:val="003B7367"/>
    <w:rsid w:val="003C0536"/>
    <w:rsid w:val="003C0B4E"/>
    <w:rsid w:val="003C1665"/>
    <w:rsid w:val="003C1B17"/>
    <w:rsid w:val="003C5693"/>
    <w:rsid w:val="003C56CB"/>
    <w:rsid w:val="003C5DE4"/>
    <w:rsid w:val="003C61AC"/>
    <w:rsid w:val="003D0981"/>
    <w:rsid w:val="003D184B"/>
    <w:rsid w:val="003D1E1A"/>
    <w:rsid w:val="003D224F"/>
    <w:rsid w:val="003D2C97"/>
    <w:rsid w:val="003D58E6"/>
    <w:rsid w:val="003D6C28"/>
    <w:rsid w:val="003D6FD6"/>
    <w:rsid w:val="003D75CF"/>
    <w:rsid w:val="003E05BA"/>
    <w:rsid w:val="003E07A9"/>
    <w:rsid w:val="003E28CB"/>
    <w:rsid w:val="003E4A05"/>
    <w:rsid w:val="003E5A99"/>
    <w:rsid w:val="003E6F59"/>
    <w:rsid w:val="003F0781"/>
    <w:rsid w:val="003F245C"/>
    <w:rsid w:val="003F3419"/>
    <w:rsid w:val="003F72F0"/>
    <w:rsid w:val="003F7C57"/>
    <w:rsid w:val="00400A3D"/>
    <w:rsid w:val="00402A02"/>
    <w:rsid w:val="0040301C"/>
    <w:rsid w:val="00403E34"/>
    <w:rsid w:val="004062C2"/>
    <w:rsid w:val="0040632F"/>
    <w:rsid w:val="00407605"/>
    <w:rsid w:val="00412FAD"/>
    <w:rsid w:val="00414D80"/>
    <w:rsid w:val="00415A21"/>
    <w:rsid w:val="00415FDF"/>
    <w:rsid w:val="00416061"/>
    <w:rsid w:val="004165B1"/>
    <w:rsid w:val="00416746"/>
    <w:rsid w:val="004167E6"/>
    <w:rsid w:val="00416C16"/>
    <w:rsid w:val="00417D61"/>
    <w:rsid w:val="004209AA"/>
    <w:rsid w:val="004258C3"/>
    <w:rsid w:val="00425C64"/>
    <w:rsid w:val="004264AA"/>
    <w:rsid w:val="00431B5B"/>
    <w:rsid w:val="0043223E"/>
    <w:rsid w:val="00434604"/>
    <w:rsid w:val="0043625F"/>
    <w:rsid w:val="004376EE"/>
    <w:rsid w:val="00437C4B"/>
    <w:rsid w:val="00440CFD"/>
    <w:rsid w:val="00442284"/>
    <w:rsid w:val="00445D97"/>
    <w:rsid w:val="00446C6D"/>
    <w:rsid w:val="00452E0C"/>
    <w:rsid w:val="00453167"/>
    <w:rsid w:val="0045350C"/>
    <w:rsid w:val="004548DC"/>
    <w:rsid w:val="00456FE2"/>
    <w:rsid w:val="0046270D"/>
    <w:rsid w:val="00466E0B"/>
    <w:rsid w:val="00467092"/>
    <w:rsid w:val="004677C4"/>
    <w:rsid w:val="00471008"/>
    <w:rsid w:val="004713C6"/>
    <w:rsid w:val="004748A3"/>
    <w:rsid w:val="0047552F"/>
    <w:rsid w:val="00476486"/>
    <w:rsid w:val="0047688B"/>
    <w:rsid w:val="00476C71"/>
    <w:rsid w:val="00480171"/>
    <w:rsid w:val="004918F8"/>
    <w:rsid w:val="00492454"/>
    <w:rsid w:val="004925A7"/>
    <w:rsid w:val="00493FB2"/>
    <w:rsid w:val="00494496"/>
    <w:rsid w:val="004947B9"/>
    <w:rsid w:val="0049544C"/>
    <w:rsid w:val="004958CF"/>
    <w:rsid w:val="004969AD"/>
    <w:rsid w:val="00497445"/>
    <w:rsid w:val="00497523"/>
    <w:rsid w:val="004A1254"/>
    <w:rsid w:val="004A262D"/>
    <w:rsid w:val="004A2A83"/>
    <w:rsid w:val="004A640B"/>
    <w:rsid w:val="004B0145"/>
    <w:rsid w:val="004B13BC"/>
    <w:rsid w:val="004B1D0E"/>
    <w:rsid w:val="004B4634"/>
    <w:rsid w:val="004B65EA"/>
    <w:rsid w:val="004B66E1"/>
    <w:rsid w:val="004B79FA"/>
    <w:rsid w:val="004C0C97"/>
    <w:rsid w:val="004C1178"/>
    <w:rsid w:val="004C13AA"/>
    <w:rsid w:val="004C146A"/>
    <w:rsid w:val="004C1F11"/>
    <w:rsid w:val="004D0B95"/>
    <w:rsid w:val="004D41B7"/>
    <w:rsid w:val="004D4E95"/>
    <w:rsid w:val="004D5594"/>
    <w:rsid w:val="004D55AF"/>
    <w:rsid w:val="004E0159"/>
    <w:rsid w:val="004E264D"/>
    <w:rsid w:val="004E32EF"/>
    <w:rsid w:val="004E48FF"/>
    <w:rsid w:val="004E5140"/>
    <w:rsid w:val="004E6C2D"/>
    <w:rsid w:val="004E6F67"/>
    <w:rsid w:val="004E7AFA"/>
    <w:rsid w:val="004E7D46"/>
    <w:rsid w:val="004F1701"/>
    <w:rsid w:val="004F1899"/>
    <w:rsid w:val="004F5AB6"/>
    <w:rsid w:val="004F6737"/>
    <w:rsid w:val="004F6C23"/>
    <w:rsid w:val="004F7DCE"/>
    <w:rsid w:val="005014B5"/>
    <w:rsid w:val="005017B4"/>
    <w:rsid w:val="005017EC"/>
    <w:rsid w:val="0050313E"/>
    <w:rsid w:val="00503243"/>
    <w:rsid w:val="00503265"/>
    <w:rsid w:val="00506C29"/>
    <w:rsid w:val="005079D3"/>
    <w:rsid w:val="00510754"/>
    <w:rsid w:val="00513C02"/>
    <w:rsid w:val="00513D51"/>
    <w:rsid w:val="00515AC2"/>
    <w:rsid w:val="0051785D"/>
    <w:rsid w:val="005207D2"/>
    <w:rsid w:val="00521122"/>
    <w:rsid w:val="00521447"/>
    <w:rsid w:val="00521998"/>
    <w:rsid w:val="00521A8D"/>
    <w:rsid w:val="005224F9"/>
    <w:rsid w:val="005232D1"/>
    <w:rsid w:val="00526EAE"/>
    <w:rsid w:val="00527554"/>
    <w:rsid w:val="005309C2"/>
    <w:rsid w:val="005325AC"/>
    <w:rsid w:val="00533519"/>
    <w:rsid w:val="005342D3"/>
    <w:rsid w:val="0053598A"/>
    <w:rsid w:val="00537CB5"/>
    <w:rsid w:val="00542F57"/>
    <w:rsid w:val="005433EE"/>
    <w:rsid w:val="00544DC3"/>
    <w:rsid w:val="00550028"/>
    <w:rsid w:val="0055299B"/>
    <w:rsid w:val="00553288"/>
    <w:rsid w:val="00554222"/>
    <w:rsid w:val="0055459E"/>
    <w:rsid w:val="00557E59"/>
    <w:rsid w:val="00562C1A"/>
    <w:rsid w:val="00563E11"/>
    <w:rsid w:val="00566858"/>
    <w:rsid w:val="00570091"/>
    <w:rsid w:val="00572597"/>
    <w:rsid w:val="005758E6"/>
    <w:rsid w:val="005771D1"/>
    <w:rsid w:val="00580E4B"/>
    <w:rsid w:val="005826FB"/>
    <w:rsid w:val="00584404"/>
    <w:rsid w:val="00585A55"/>
    <w:rsid w:val="00586A86"/>
    <w:rsid w:val="00590C0C"/>
    <w:rsid w:val="005921D7"/>
    <w:rsid w:val="00593215"/>
    <w:rsid w:val="005938FE"/>
    <w:rsid w:val="005952C0"/>
    <w:rsid w:val="0059797D"/>
    <w:rsid w:val="005A0C73"/>
    <w:rsid w:val="005A173E"/>
    <w:rsid w:val="005A3B55"/>
    <w:rsid w:val="005A4009"/>
    <w:rsid w:val="005A4438"/>
    <w:rsid w:val="005A68AE"/>
    <w:rsid w:val="005A71BA"/>
    <w:rsid w:val="005B06D7"/>
    <w:rsid w:val="005B2BBE"/>
    <w:rsid w:val="005B3F66"/>
    <w:rsid w:val="005B633A"/>
    <w:rsid w:val="005B77D2"/>
    <w:rsid w:val="005B786C"/>
    <w:rsid w:val="005B79ED"/>
    <w:rsid w:val="005C1523"/>
    <w:rsid w:val="005C1763"/>
    <w:rsid w:val="005C32D8"/>
    <w:rsid w:val="005C494A"/>
    <w:rsid w:val="005C496B"/>
    <w:rsid w:val="005C6E96"/>
    <w:rsid w:val="005C7482"/>
    <w:rsid w:val="005D052B"/>
    <w:rsid w:val="005D4886"/>
    <w:rsid w:val="005D516B"/>
    <w:rsid w:val="005D596D"/>
    <w:rsid w:val="005D5E30"/>
    <w:rsid w:val="005D7A94"/>
    <w:rsid w:val="005E1F0B"/>
    <w:rsid w:val="005E336F"/>
    <w:rsid w:val="005E4DCB"/>
    <w:rsid w:val="005E7791"/>
    <w:rsid w:val="005E7E11"/>
    <w:rsid w:val="005F134A"/>
    <w:rsid w:val="005F1B19"/>
    <w:rsid w:val="005F229C"/>
    <w:rsid w:val="005F2D44"/>
    <w:rsid w:val="005F3243"/>
    <w:rsid w:val="005F5F92"/>
    <w:rsid w:val="005F6034"/>
    <w:rsid w:val="005F620B"/>
    <w:rsid w:val="005F6285"/>
    <w:rsid w:val="005F705A"/>
    <w:rsid w:val="00600C8C"/>
    <w:rsid w:val="00602A00"/>
    <w:rsid w:val="00603A69"/>
    <w:rsid w:val="00604785"/>
    <w:rsid w:val="00606243"/>
    <w:rsid w:val="00607070"/>
    <w:rsid w:val="0060751F"/>
    <w:rsid w:val="00610F88"/>
    <w:rsid w:val="00611DEE"/>
    <w:rsid w:val="00614CA0"/>
    <w:rsid w:val="00615BFC"/>
    <w:rsid w:val="00616D29"/>
    <w:rsid w:val="00620176"/>
    <w:rsid w:val="0062105B"/>
    <w:rsid w:val="0062141B"/>
    <w:rsid w:val="0062280C"/>
    <w:rsid w:val="00622C45"/>
    <w:rsid w:val="006234A9"/>
    <w:rsid w:val="0062363A"/>
    <w:rsid w:val="0062526A"/>
    <w:rsid w:val="0062554A"/>
    <w:rsid w:val="00626929"/>
    <w:rsid w:val="00626F48"/>
    <w:rsid w:val="0062724A"/>
    <w:rsid w:val="00627947"/>
    <w:rsid w:val="00627F48"/>
    <w:rsid w:val="0063053D"/>
    <w:rsid w:val="00631DB5"/>
    <w:rsid w:val="0063222D"/>
    <w:rsid w:val="0063316B"/>
    <w:rsid w:val="00633314"/>
    <w:rsid w:val="006353C0"/>
    <w:rsid w:val="00635494"/>
    <w:rsid w:val="00635B8D"/>
    <w:rsid w:val="00635EDE"/>
    <w:rsid w:val="00640096"/>
    <w:rsid w:val="0064015C"/>
    <w:rsid w:val="0064317D"/>
    <w:rsid w:val="006450DE"/>
    <w:rsid w:val="006465E1"/>
    <w:rsid w:val="00646A0E"/>
    <w:rsid w:val="00647C67"/>
    <w:rsid w:val="0065175D"/>
    <w:rsid w:val="00651E6A"/>
    <w:rsid w:val="0065326D"/>
    <w:rsid w:val="00655398"/>
    <w:rsid w:val="00655480"/>
    <w:rsid w:val="0065612A"/>
    <w:rsid w:val="006561E3"/>
    <w:rsid w:val="00656AB9"/>
    <w:rsid w:val="00660056"/>
    <w:rsid w:val="006643D3"/>
    <w:rsid w:val="00670CD8"/>
    <w:rsid w:val="006725EE"/>
    <w:rsid w:val="006740C0"/>
    <w:rsid w:val="0067410A"/>
    <w:rsid w:val="00674325"/>
    <w:rsid w:val="006751BF"/>
    <w:rsid w:val="0067555B"/>
    <w:rsid w:val="00676006"/>
    <w:rsid w:val="00680E25"/>
    <w:rsid w:val="006811FF"/>
    <w:rsid w:val="006823EC"/>
    <w:rsid w:val="00682578"/>
    <w:rsid w:val="006834B1"/>
    <w:rsid w:val="0068352F"/>
    <w:rsid w:val="006850CD"/>
    <w:rsid w:val="00690B3D"/>
    <w:rsid w:val="0069276F"/>
    <w:rsid w:val="006932E1"/>
    <w:rsid w:val="00693FA8"/>
    <w:rsid w:val="00696746"/>
    <w:rsid w:val="0069697D"/>
    <w:rsid w:val="006A0CFB"/>
    <w:rsid w:val="006A16CF"/>
    <w:rsid w:val="006A2D87"/>
    <w:rsid w:val="006A2FA6"/>
    <w:rsid w:val="006A4579"/>
    <w:rsid w:val="006A4B2D"/>
    <w:rsid w:val="006A581C"/>
    <w:rsid w:val="006B160D"/>
    <w:rsid w:val="006B297B"/>
    <w:rsid w:val="006B2A0C"/>
    <w:rsid w:val="006B2A60"/>
    <w:rsid w:val="006B2B72"/>
    <w:rsid w:val="006B2D5D"/>
    <w:rsid w:val="006B3EAF"/>
    <w:rsid w:val="006B4713"/>
    <w:rsid w:val="006B5191"/>
    <w:rsid w:val="006B6DDC"/>
    <w:rsid w:val="006B78D6"/>
    <w:rsid w:val="006B7C0F"/>
    <w:rsid w:val="006C1E52"/>
    <w:rsid w:val="006C44DC"/>
    <w:rsid w:val="006C672B"/>
    <w:rsid w:val="006C67BC"/>
    <w:rsid w:val="006C6B91"/>
    <w:rsid w:val="006C72EA"/>
    <w:rsid w:val="006C7BDF"/>
    <w:rsid w:val="006D3CBE"/>
    <w:rsid w:val="006D47D4"/>
    <w:rsid w:val="006D4D2C"/>
    <w:rsid w:val="006D5ADF"/>
    <w:rsid w:val="006D74D5"/>
    <w:rsid w:val="006D77B1"/>
    <w:rsid w:val="006D7B56"/>
    <w:rsid w:val="006E00F8"/>
    <w:rsid w:val="006E1E06"/>
    <w:rsid w:val="006E1E48"/>
    <w:rsid w:val="006E2E2C"/>
    <w:rsid w:val="006E360C"/>
    <w:rsid w:val="006E5AF3"/>
    <w:rsid w:val="006E5DC6"/>
    <w:rsid w:val="006E6E3C"/>
    <w:rsid w:val="006F1426"/>
    <w:rsid w:val="006F17E2"/>
    <w:rsid w:val="006F411A"/>
    <w:rsid w:val="006F73D5"/>
    <w:rsid w:val="00701FAF"/>
    <w:rsid w:val="007021B4"/>
    <w:rsid w:val="007048A6"/>
    <w:rsid w:val="00705A4F"/>
    <w:rsid w:val="00705B97"/>
    <w:rsid w:val="00707699"/>
    <w:rsid w:val="007078B7"/>
    <w:rsid w:val="00710FCB"/>
    <w:rsid w:val="007118DE"/>
    <w:rsid w:val="007137A5"/>
    <w:rsid w:val="007140D9"/>
    <w:rsid w:val="007208A3"/>
    <w:rsid w:val="00721482"/>
    <w:rsid w:val="00723617"/>
    <w:rsid w:val="00727D10"/>
    <w:rsid w:val="007304C6"/>
    <w:rsid w:val="0073060F"/>
    <w:rsid w:val="007309AA"/>
    <w:rsid w:val="00731E90"/>
    <w:rsid w:val="0073411E"/>
    <w:rsid w:val="0073412C"/>
    <w:rsid w:val="007341D5"/>
    <w:rsid w:val="00735145"/>
    <w:rsid w:val="00740B17"/>
    <w:rsid w:val="00743E86"/>
    <w:rsid w:val="007462B5"/>
    <w:rsid w:val="00750DFA"/>
    <w:rsid w:val="007520C3"/>
    <w:rsid w:val="00752443"/>
    <w:rsid w:val="00752D51"/>
    <w:rsid w:val="00754948"/>
    <w:rsid w:val="0075541C"/>
    <w:rsid w:val="00755A0B"/>
    <w:rsid w:val="00757C4D"/>
    <w:rsid w:val="00760C2E"/>
    <w:rsid w:val="00761A5E"/>
    <w:rsid w:val="007624EC"/>
    <w:rsid w:val="007626EB"/>
    <w:rsid w:val="00762A46"/>
    <w:rsid w:val="00764AA1"/>
    <w:rsid w:val="0076614F"/>
    <w:rsid w:val="007713AB"/>
    <w:rsid w:val="00772D46"/>
    <w:rsid w:val="007742CA"/>
    <w:rsid w:val="007764CD"/>
    <w:rsid w:val="0077650D"/>
    <w:rsid w:val="0078039A"/>
    <w:rsid w:val="00781B57"/>
    <w:rsid w:val="007829DF"/>
    <w:rsid w:val="00783A53"/>
    <w:rsid w:val="00784498"/>
    <w:rsid w:val="007849AC"/>
    <w:rsid w:val="0078669A"/>
    <w:rsid w:val="007877BE"/>
    <w:rsid w:val="0079049B"/>
    <w:rsid w:val="00790BF3"/>
    <w:rsid w:val="00790F7E"/>
    <w:rsid w:val="007914C4"/>
    <w:rsid w:val="0079499E"/>
    <w:rsid w:val="00794A91"/>
    <w:rsid w:val="007956C7"/>
    <w:rsid w:val="00795EE4"/>
    <w:rsid w:val="007A0FA6"/>
    <w:rsid w:val="007A74B3"/>
    <w:rsid w:val="007A76EB"/>
    <w:rsid w:val="007B386C"/>
    <w:rsid w:val="007B4EF2"/>
    <w:rsid w:val="007B5E36"/>
    <w:rsid w:val="007B6330"/>
    <w:rsid w:val="007C1650"/>
    <w:rsid w:val="007C1E84"/>
    <w:rsid w:val="007C4412"/>
    <w:rsid w:val="007D0565"/>
    <w:rsid w:val="007D1895"/>
    <w:rsid w:val="007D2294"/>
    <w:rsid w:val="007D296B"/>
    <w:rsid w:val="007D3B0C"/>
    <w:rsid w:val="007D7334"/>
    <w:rsid w:val="007D7C96"/>
    <w:rsid w:val="007E0325"/>
    <w:rsid w:val="007E0A8B"/>
    <w:rsid w:val="007E0B65"/>
    <w:rsid w:val="007E1F26"/>
    <w:rsid w:val="007E20F9"/>
    <w:rsid w:val="007E3FC6"/>
    <w:rsid w:val="007E5111"/>
    <w:rsid w:val="007F0F43"/>
    <w:rsid w:val="007F1623"/>
    <w:rsid w:val="007F1639"/>
    <w:rsid w:val="007F1918"/>
    <w:rsid w:val="007F2579"/>
    <w:rsid w:val="007F2B55"/>
    <w:rsid w:val="007F2DB1"/>
    <w:rsid w:val="007F3178"/>
    <w:rsid w:val="007F4E4C"/>
    <w:rsid w:val="007F5F8E"/>
    <w:rsid w:val="007F642B"/>
    <w:rsid w:val="00800840"/>
    <w:rsid w:val="00801DC6"/>
    <w:rsid w:val="00804FFF"/>
    <w:rsid w:val="008053E2"/>
    <w:rsid w:val="00806004"/>
    <w:rsid w:val="008111F9"/>
    <w:rsid w:val="00820CBB"/>
    <w:rsid w:val="00822770"/>
    <w:rsid w:val="00823A0F"/>
    <w:rsid w:val="00825566"/>
    <w:rsid w:val="008274EC"/>
    <w:rsid w:val="00830B9E"/>
    <w:rsid w:val="00831049"/>
    <w:rsid w:val="00831984"/>
    <w:rsid w:val="00833269"/>
    <w:rsid w:val="0083475A"/>
    <w:rsid w:val="00834E95"/>
    <w:rsid w:val="00834F81"/>
    <w:rsid w:val="00836F95"/>
    <w:rsid w:val="00841399"/>
    <w:rsid w:val="00842770"/>
    <w:rsid w:val="008432E5"/>
    <w:rsid w:val="00845597"/>
    <w:rsid w:val="00845921"/>
    <w:rsid w:val="008464D3"/>
    <w:rsid w:val="0084661F"/>
    <w:rsid w:val="0084794D"/>
    <w:rsid w:val="00847BA8"/>
    <w:rsid w:val="008518CC"/>
    <w:rsid w:val="00851E54"/>
    <w:rsid w:val="0085378C"/>
    <w:rsid w:val="008561A2"/>
    <w:rsid w:val="00856C1B"/>
    <w:rsid w:val="00861CFE"/>
    <w:rsid w:val="00863F85"/>
    <w:rsid w:val="008642AE"/>
    <w:rsid w:val="00864333"/>
    <w:rsid w:val="00864F9B"/>
    <w:rsid w:val="008674BA"/>
    <w:rsid w:val="008739A0"/>
    <w:rsid w:val="008740D1"/>
    <w:rsid w:val="008748B3"/>
    <w:rsid w:val="00875169"/>
    <w:rsid w:val="00877560"/>
    <w:rsid w:val="008809C7"/>
    <w:rsid w:val="00880EAE"/>
    <w:rsid w:val="008814A5"/>
    <w:rsid w:val="00881C94"/>
    <w:rsid w:val="008864DA"/>
    <w:rsid w:val="008868DB"/>
    <w:rsid w:val="008902AB"/>
    <w:rsid w:val="00897B05"/>
    <w:rsid w:val="00897D1A"/>
    <w:rsid w:val="008A1E51"/>
    <w:rsid w:val="008A3876"/>
    <w:rsid w:val="008A3C8C"/>
    <w:rsid w:val="008A455A"/>
    <w:rsid w:val="008A4ABB"/>
    <w:rsid w:val="008A57F9"/>
    <w:rsid w:val="008A634E"/>
    <w:rsid w:val="008B0F0D"/>
    <w:rsid w:val="008B31CF"/>
    <w:rsid w:val="008B5275"/>
    <w:rsid w:val="008C0A3C"/>
    <w:rsid w:val="008C0FDC"/>
    <w:rsid w:val="008C1672"/>
    <w:rsid w:val="008C207C"/>
    <w:rsid w:val="008C35B5"/>
    <w:rsid w:val="008C385E"/>
    <w:rsid w:val="008C3E96"/>
    <w:rsid w:val="008C3ED8"/>
    <w:rsid w:val="008C6030"/>
    <w:rsid w:val="008D0CA5"/>
    <w:rsid w:val="008D141C"/>
    <w:rsid w:val="008D2A50"/>
    <w:rsid w:val="008D550E"/>
    <w:rsid w:val="008D69A3"/>
    <w:rsid w:val="008E016A"/>
    <w:rsid w:val="008E0B00"/>
    <w:rsid w:val="008E27E2"/>
    <w:rsid w:val="008E2F2D"/>
    <w:rsid w:val="008E5EA8"/>
    <w:rsid w:val="008E6DF7"/>
    <w:rsid w:val="008E7DF8"/>
    <w:rsid w:val="008F02B3"/>
    <w:rsid w:val="008F127E"/>
    <w:rsid w:val="008F1DAC"/>
    <w:rsid w:val="008F22B5"/>
    <w:rsid w:val="008F4581"/>
    <w:rsid w:val="008F5EE0"/>
    <w:rsid w:val="009008CD"/>
    <w:rsid w:val="00903258"/>
    <w:rsid w:val="0090550F"/>
    <w:rsid w:val="00906685"/>
    <w:rsid w:val="0090778C"/>
    <w:rsid w:val="00907AD9"/>
    <w:rsid w:val="009114CF"/>
    <w:rsid w:val="009129AF"/>
    <w:rsid w:val="00921339"/>
    <w:rsid w:val="009248CA"/>
    <w:rsid w:val="00924F00"/>
    <w:rsid w:val="009255F2"/>
    <w:rsid w:val="009268B4"/>
    <w:rsid w:val="00926E61"/>
    <w:rsid w:val="00926E85"/>
    <w:rsid w:val="0092763B"/>
    <w:rsid w:val="00930352"/>
    <w:rsid w:val="00930795"/>
    <w:rsid w:val="00931E3E"/>
    <w:rsid w:val="00934029"/>
    <w:rsid w:val="0093406A"/>
    <w:rsid w:val="00934F15"/>
    <w:rsid w:val="00936541"/>
    <w:rsid w:val="00941640"/>
    <w:rsid w:val="00941928"/>
    <w:rsid w:val="00942668"/>
    <w:rsid w:val="00943459"/>
    <w:rsid w:val="0094425F"/>
    <w:rsid w:val="009443EE"/>
    <w:rsid w:val="00944E1D"/>
    <w:rsid w:val="00945095"/>
    <w:rsid w:val="009506CC"/>
    <w:rsid w:val="00950A97"/>
    <w:rsid w:val="009515BC"/>
    <w:rsid w:val="00953996"/>
    <w:rsid w:val="00956677"/>
    <w:rsid w:val="009566B7"/>
    <w:rsid w:val="00956730"/>
    <w:rsid w:val="0095791C"/>
    <w:rsid w:val="009619CE"/>
    <w:rsid w:val="00961CFB"/>
    <w:rsid w:val="00961D34"/>
    <w:rsid w:val="00962EC7"/>
    <w:rsid w:val="00964738"/>
    <w:rsid w:val="009658C4"/>
    <w:rsid w:val="00967780"/>
    <w:rsid w:val="0097298A"/>
    <w:rsid w:val="00973C56"/>
    <w:rsid w:val="00976D02"/>
    <w:rsid w:val="00983E58"/>
    <w:rsid w:val="00984F9D"/>
    <w:rsid w:val="00985054"/>
    <w:rsid w:val="009854C7"/>
    <w:rsid w:val="00987A01"/>
    <w:rsid w:val="00990FA0"/>
    <w:rsid w:val="00993346"/>
    <w:rsid w:val="00995539"/>
    <w:rsid w:val="009A138E"/>
    <w:rsid w:val="009A23B9"/>
    <w:rsid w:val="009A2779"/>
    <w:rsid w:val="009A4EFB"/>
    <w:rsid w:val="009A6301"/>
    <w:rsid w:val="009B05C6"/>
    <w:rsid w:val="009B0952"/>
    <w:rsid w:val="009B2BFF"/>
    <w:rsid w:val="009B59C8"/>
    <w:rsid w:val="009B6F40"/>
    <w:rsid w:val="009B781F"/>
    <w:rsid w:val="009C2634"/>
    <w:rsid w:val="009C2FD7"/>
    <w:rsid w:val="009C4C18"/>
    <w:rsid w:val="009C6808"/>
    <w:rsid w:val="009C6CDA"/>
    <w:rsid w:val="009C6EB2"/>
    <w:rsid w:val="009C78AE"/>
    <w:rsid w:val="009C7902"/>
    <w:rsid w:val="009C7C0A"/>
    <w:rsid w:val="009D0299"/>
    <w:rsid w:val="009D1C27"/>
    <w:rsid w:val="009D264D"/>
    <w:rsid w:val="009D4E53"/>
    <w:rsid w:val="009D55DC"/>
    <w:rsid w:val="009D6803"/>
    <w:rsid w:val="009E00A7"/>
    <w:rsid w:val="009E02BE"/>
    <w:rsid w:val="009E63D5"/>
    <w:rsid w:val="009E6C07"/>
    <w:rsid w:val="009E77BD"/>
    <w:rsid w:val="009F047D"/>
    <w:rsid w:val="009F4526"/>
    <w:rsid w:val="009F4E0F"/>
    <w:rsid w:val="009F546E"/>
    <w:rsid w:val="009F5F57"/>
    <w:rsid w:val="009F6368"/>
    <w:rsid w:val="00A0058B"/>
    <w:rsid w:val="00A042B1"/>
    <w:rsid w:val="00A056D1"/>
    <w:rsid w:val="00A05CA0"/>
    <w:rsid w:val="00A10AEC"/>
    <w:rsid w:val="00A10C80"/>
    <w:rsid w:val="00A1209A"/>
    <w:rsid w:val="00A12CAC"/>
    <w:rsid w:val="00A144BB"/>
    <w:rsid w:val="00A149AA"/>
    <w:rsid w:val="00A14F18"/>
    <w:rsid w:val="00A15C71"/>
    <w:rsid w:val="00A174E8"/>
    <w:rsid w:val="00A17E59"/>
    <w:rsid w:val="00A229E4"/>
    <w:rsid w:val="00A236CA"/>
    <w:rsid w:val="00A23CF1"/>
    <w:rsid w:val="00A2656B"/>
    <w:rsid w:val="00A30243"/>
    <w:rsid w:val="00A304F0"/>
    <w:rsid w:val="00A314BB"/>
    <w:rsid w:val="00A35874"/>
    <w:rsid w:val="00A37527"/>
    <w:rsid w:val="00A400BE"/>
    <w:rsid w:val="00A414DD"/>
    <w:rsid w:val="00A41A5A"/>
    <w:rsid w:val="00A427F6"/>
    <w:rsid w:val="00A504FC"/>
    <w:rsid w:val="00A513D3"/>
    <w:rsid w:val="00A519CD"/>
    <w:rsid w:val="00A51B59"/>
    <w:rsid w:val="00A51E6A"/>
    <w:rsid w:val="00A538C3"/>
    <w:rsid w:val="00A54144"/>
    <w:rsid w:val="00A54D68"/>
    <w:rsid w:val="00A55D1E"/>
    <w:rsid w:val="00A5739E"/>
    <w:rsid w:val="00A611F5"/>
    <w:rsid w:val="00A63481"/>
    <w:rsid w:val="00A634DA"/>
    <w:rsid w:val="00A63E72"/>
    <w:rsid w:val="00A64850"/>
    <w:rsid w:val="00A70AB8"/>
    <w:rsid w:val="00A73862"/>
    <w:rsid w:val="00A7552C"/>
    <w:rsid w:val="00A75AB8"/>
    <w:rsid w:val="00A77549"/>
    <w:rsid w:val="00A8064E"/>
    <w:rsid w:val="00A825D8"/>
    <w:rsid w:val="00A82C31"/>
    <w:rsid w:val="00A82D8D"/>
    <w:rsid w:val="00A83088"/>
    <w:rsid w:val="00A8485E"/>
    <w:rsid w:val="00A84F18"/>
    <w:rsid w:val="00A8551B"/>
    <w:rsid w:val="00A86B6D"/>
    <w:rsid w:val="00A86C56"/>
    <w:rsid w:val="00A909FF"/>
    <w:rsid w:val="00A91B78"/>
    <w:rsid w:val="00A944A2"/>
    <w:rsid w:val="00A95FF5"/>
    <w:rsid w:val="00A9640A"/>
    <w:rsid w:val="00A965C6"/>
    <w:rsid w:val="00A967C8"/>
    <w:rsid w:val="00AA203B"/>
    <w:rsid w:val="00AA20FB"/>
    <w:rsid w:val="00AA2B86"/>
    <w:rsid w:val="00AA45BB"/>
    <w:rsid w:val="00AA4C52"/>
    <w:rsid w:val="00AA5E9F"/>
    <w:rsid w:val="00AA7575"/>
    <w:rsid w:val="00AA79B7"/>
    <w:rsid w:val="00AB19FB"/>
    <w:rsid w:val="00AB27D8"/>
    <w:rsid w:val="00AB443C"/>
    <w:rsid w:val="00AB4A4B"/>
    <w:rsid w:val="00AB4E75"/>
    <w:rsid w:val="00AB4EA9"/>
    <w:rsid w:val="00AB5099"/>
    <w:rsid w:val="00AB57DC"/>
    <w:rsid w:val="00AC097A"/>
    <w:rsid w:val="00AC2481"/>
    <w:rsid w:val="00AC2C9E"/>
    <w:rsid w:val="00AC37CF"/>
    <w:rsid w:val="00AC3CE5"/>
    <w:rsid w:val="00AC7188"/>
    <w:rsid w:val="00AC7320"/>
    <w:rsid w:val="00AC7609"/>
    <w:rsid w:val="00AC77BA"/>
    <w:rsid w:val="00AD3BF3"/>
    <w:rsid w:val="00AD439C"/>
    <w:rsid w:val="00AD6565"/>
    <w:rsid w:val="00AE0E8E"/>
    <w:rsid w:val="00AE11A1"/>
    <w:rsid w:val="00AE1923"/>
    <w:rsid w:val="00AE1C0B"/>
    <w:rsid w:val="00AE264D"/>
    <w:rsid w:val="00AE2D3F"/>
    <w:rsid w:val="00AE38A9"/>
    <w:rsid w:val="00AE3C14"/>
    <w:rsid w:val="00AE3C94"/>
    <w:rsid w:val="00AE3E29"/>
    <w:rsid w:val="00AE4A66"/>
    <w:rsid w:val="00AE60CD"/>
    <w:rsid w:val="00AE6FEA"/>
    <w:rsid w:val="00AF148A"/>
    <w:rsid w:val="00AF1B87"/>
    <w:rsid w:val="00AF2C1C"/>
    <w:rsid w:val="00AF6319"/>
    <w:rsid w:val="00AF6628"/>
    <w:rsid w:val="00AF6BF0"/>
    <w:rsid w:val="00B015E7"/>
    <w:rsid w:val="00B039B5"/>
    <w:rsid w:val="00B04F2A"/>
    <w:rsid w:val="00B05E7E"/>
    <w:rsid w:val="00B1016A"/>
    <w:rsid w:val="00B11E6A"/>
    <w:rsid w:val="00B129E9"/>
    <w:rsid w:val="00B12A22"/>
    <w:rsid w:val="00B155BA"/>
    <w:rsid w:val="00B15FEF"/>
    <w:rsid w:val="00B17B8E"/>
    <w:rsid w:val="00B225E6"/>
    <w:rsid w:val="00B22EC8"/>
    <w:rsid w:val="00B24291"/>
    <w:rsid w:val="00B24890"/>
    <w:rsid w:val="00B2620D"/>
    <w:rsid w:val="00B262D7"/>
    <w:rsid w:val="00B31691"/>
    <w:rsid w:val="00B340D4"/>
    <w:rsid w:val="00B373C9"/>
    <w:rsid w:val="00B4017E"/>
    <w:rsid w:val="00B45FDC"/>
    <w:rsid w:val="00B46330"/>
    <w:rsid w:val="00B51C8C"/>
    <w:rsid w:val="00B52AC2"/>
    <w:rsid w:val="00B53B36"/>
    <w:rsid w:val="00B54248"/>
    <w:rsid w:val="00B54FDF"/>
    <w:rsid w:val="00B57D99"/>
    <w:rsid w:val="00B60F5B"/>
    <w:rsid w:val="00B616FA"/>
    <w:rsid w:val="00B635E6"/>
    <w:rsid w:val="00B644A3"/>
    <w:rsid w:val="00B657DA"/>
    <w:rsid w:val="00B67CA6"/>
    <w:rsid w:val="00B71873"/>
    <w:rsid w:val="00B73D90"/>
    <w:rsid w:val="00B73EDA"/>
    <w:rsid w:val="00B76AD5"/>
    <w:rsid w:val="00B77EB5"/>
    <w:rsid w:val="00B801F1"/>
    <w:rsid w:val="00B81061"/>
    <w:rsid w:val="00B81D55"/>
    <w:rsid w:val="00B84530"/>
    <w:rsid w:val="00B86137"/>
    <w:rsid w:val="00B8765F"/>
    <w:rsid w:val="00B91A28"/>
    <w:rsid w:val="00B926CC"/>
    <w:rsid w:val="00B935FA"/>
    <w:rsid w:val="00BA2A2A"/>
    <w:rsid w:val="00BA4C80"/>
    <w:rsid w:val="00BA5F53"/>
    <w:rsid w:val="00BA5FB7"/>
    <w:rsid w:val="00BB1DF8"/>
    <w:rsid w:val="00BB48CA"/>
    <w:rsid w:val="00BB4A13"/>
    <w:rsid w:val="00BB76C9"/>
    <w:rsid w:val="00BB789B"/>
    <w:rsid w:val="00BB7948"/>
    <w:rsid w:val="00BC03DA"/>
    <w:rsid w:val="00BC0F4B"/>
    <w:rsid w:val="00BC295F"/>
    <w:rsid w:val="00BC33D0"/>
    <w:rsid w:val="00BC38EE"/>
    <w:rsid w:val="00BC3DF8"/>
    <w:rsid w:val="00BC442A"/>
    <w:rsid w:val="00BC47E7"/>
    <w:rsid w:val="00BC6F15"/>
    <w:rsid w:val="00BD1AFF"/>
    <w:rsid w:val="00BD44F9"/>
    <w:rsid w:val="00BD729D"/>
    <w:rsid w:val="00BD7748"/>
    <w:rsid w:val="00BE0804"/>
    <w:rsid w:val="00BE1078"/>
    <w:rsid w:val="00BE2256"/>
    <w:rsid w:val="00BE5EAB"/>
    <w:rsid w:val="00BE6D91"/>
    <w:rsid w:val="00BE7301"/>
    <w:rsid w:val="00BF1750"/>
    <w:rsid w:val="00BF1D36"/>
    <w:rsid w:val="00BF1FBE"/>
    <w:rsid w:val="00BF24FB"/>
    <w:rsid w:val="00BF3D52"/>
    <w:rsid w:val="00BF58DC"/>
    <w:rsid w:val="00BF5C01"/>
    <w:rsid w:val="00C02FFA"/>
    <w:rsid w:val="00C04802"/>
    <w:rsid w:val="00C057F4"/>
    <w:rsid w:val="00C05999"/>
    <w:rsid w:val="00C067E0"/>
    <w:rsid w:val="00C06ECD"/>
    <w:rsid w:val="00C12E05"/>
    <w:rsid w:val="00C137A1"/>
    <w:rsid w:val="00C1411F"/>
    <w:rsid w:val="00C15E08"/>
    <w:rsid w:val="00C165F7"/>
    <w:rsid w:val="00C1694E"/>
    <w:rsid w:val="00C205E6"/>
    <w:rsid w:val="00C20CBD"/>
    <w:rsid w:val="00C22438"/>
    <w:rsid w:val="00C235A4"/>
    <w:rsid w:val="00C23A23"/>
    <w:rsid w:val="00C24A32"/>
    <w:rsid w:val="00C258D1"/>
    <w:rsid w:val="00C2680C"/>
    <w:rsid w:val="00C2687F"/>
    <w:rsid w:val="00C271B5"/>
    <w:rsid w:val="00C27280"/>
    <w:rsid w:val="00C30F93"/>
    <w:rsid w:val="00C31AF8"/>
    <w:rsid w:val="00C31C29"/>
    <w:rsid w:val="00C32CAF"/>
    <w:rsid w:val="00C33621"/>
    <w:rsid w:val="00C33A35"/>
    <w:rsid w:val="00C34CD0"/>
    <w:rsid w:val="00C364DA"/>
    <w:rsid w:val="00C447F8"/>
    <w:rsid w:val="00C46208"/>
    <w:rsid w:val="00C51AA0"/>
    <w:rsid w:val="00C544F3"/>
    <w:rsid w:val="00C54DFF"/>
    <w:rsid w:val="00C55206"/>
    <w:rsid w:val="00C60236"/>
    <w:rsid w:val="00C629B7"/>
    <w:rsid w:val="00C6647A"/>
    <w:rsid w:val="00C6680D"/>
    <w:rsid w:val="00C71458"/>
    <w:rsid w:val="00C72146"/>
    <w:rsid w:val="00C764DA"/>
    <w:rsid w:val="00C803CF"/>
    <w:rsid w:val="00C8068B"/>
    <w:rsid w:val="00C850F1"/>
    <w:rsid w:val="00C86821"/>
    <w:rsid w:val="00C8688D"/>
    <w:rsid w:val="00C8714E"/>
    <w:rsid w:val="00C8745D"/>
    <w:rsid w:val="00C90492"/>
    <w:rsid w:val="00C908CA"/>
    <w:rsid w:val="00C90C77"/>
    <w:rsid w:val="00C90EA5"/>
    <w:rsid w:val="00C90FE0"/>
    <w:rsid w:val="00C919DC"/>
    <w:rsid w:val="00C96C7E"/>
    <w:rsid w:val="00C97023"/>
    <w:rsid w:val="00CA2C21"/>
    <w:rsid w:val="00CA32BF"/>
    <w:rsid w:val="00CA3569"/>
    <w:rsid w:val="00CA47E7"/>
    <w:rsid w:val="00CA4D4B"/>
    <w:rsid w:val="00CA5A43"/>
    <w:rsid w:val="00CA5C66"/>
    <w:rsid w:val="00CB1418"/>
    <w:rsid w:val="00CB17C1"/>
    <w:rsid w:val="00CB3548"/>
    <w:rsid w:val="00CB39E1"/>
    <w:rsid w:val="00CB4310"/>
    <w:rsid w:val="00CB6CFC"/>
    <w:rsid w:val="00CB6DED"/>
    <w:rsid w:val="00CB6E04"/>
    <w:rsid w:val="00CB6F1E"/>
    <w:rsid w:val="00CC085D"/>
    <w:rsid w:val="00CC091B"/>
    <w:rsid w:val="00CC1C98"/>
    <w:rsid w:val="00CC1D18"/>
    <w:rsid w:val="00CC293F"/>
    <w:rsid w:val="00CC5F6E"/>
    <w:rsid w:val="00CC6DF0"/>
    <w:rsid w:val="00CC7819"/>
    <w:rsid w:val="00CD0DFB"/>
    <w:rsid w:val="00CD13BF"/>
    <w:rsid w:val="00CD3C46"/>
    <w:rsid w:val="00CD3E2D"/>
    <w:rsid w:val="00CD45C6"/>
    <w:rsid w:val="00CD6884"/>
    <w:rsid w:val="00CD6D97"/>
    <w:rsid w:val="00CD7D9F"/>
    <w:rsid w:val="00CE01D8"/>
    <w:rsid w:val="00CE100C"/>
    <w:rsid w:val="00CE373D"/>
    <w:rsid w:val="00CE4D2A"/>
    <w:rsid w:val="00CE4E7B"/>
    <w:rsid w:val="00CE58C7"/>
    <w:rsid w:val="00CE7B44"/>
    <w:rsid w:val="00CF11BA"/>
    <w:rsid w:val="00CF360B"/>
    <w:rsid w:val="00CF73E8"/>
    <w:rsid w:val="00CF7F55"/>
    <w:rsid w:val="00D02060"/>
    <w:rsid w:val="00D03604"/>
    <w:rsid w:val="00D04C50"/>
    <w:rsid w:val="00D06921"/>
    <w:rsid w:val="00D077CB"/>
    <w:rsid w:val="00D10E09"/>
    <w:rsid w:val="00D12E77"/>
    <w:rsid w:val="00D13678"/>
    <w:rsid w:val="00D15E4D"/>
    <w:rsid w:val="00D2026D"/>
    <w:rsid w:val="00D233EF"/>
    <w:rsid w:val="00D24035"/>
    <w:rsid w:val="00D24B97"/>
    <w:rsid w:val="00D24F72"/>
    <w:rsid w:val="00D2614E"/>
    <w:rsid w:val="00D26F5E"/>
    <w:rsid w:val="00D273B0"/>
    <w:rsid w:val="00D30AF0"/>
    <w:rsid w:val="00D348E5"/>
    <w:rsid w:val="00D349E2"/>
    <w:rsid w:val="00D36544"/>
    <w:rsid w:val="00D36687"/>
    <w:rsid w:val="00D40210"/>
    <w:rsid w:val="00D40CA3"/>
    <w:rsid w:val="00D41E18"/>
    <w:rsid w:val="00D43585"/>
    <w:rsid w:val="00D4382C"/>
    <w:rsid w:val="00D44ADC"/>
    <w:rsid w:val="00D46BE2"/>
    <w:rsid w:val="00D50D6D"/>
    <w:rsid w:val="00D510BD"/>
    <w:rsid w:val="00D51203"/>
    <w:rsid w:val="00D5142B"/>
    <w:rsid w:val="00D519B2"/>
    <w:rsid w:val="00D525D0"/>
    <w:rsid w:val="00D53231"/>
    <w:rsid w:val="00D53828"/>
    <w:rsid w:val="00D53885"/>
    <w:rsid w:val="00D54EC2"/>
    <w:rsid w:val="00D55116"/>
    <w:rsid w:val="00D575AE"/>
    <w:rsid w:val="00D65A53"/>
    <w:rsid w:val="00D67C8E"/>
    <w:rsid w:val="00D70639"/>
    <w:rsid w:val="00D712F8"/>
    <w:rsid w:val="00D74BC5"/>
    <w:rsid w:val="00D768BC"/>
    <w:rsid w:val="00D8116D"/>
    <w:rsid w:val="00D83C12"/>
    <w:rsid w:val="00D84742"/>
    <w:rsid w:val="00D84B7E"/>
    <w:rsid w:val="00D901A4"/>
    <w:rsid w:val="00D913EF"/>
    <w:rsid w:val="00D929E5"/>
    <w:rsid w:val="00D92E2B"/>
    <w:rsid w:val="00D9634E"/>
    <w:rsid w:val="00D97182"/>
    <w:rsid w:val="00DA244F"/>
    <w:rsid w:val="00DA49AD"/>
    <w:rsid w:val="00DA4A40"/>
    <w:rsid w:val="00DA4BF7"/>
    <w:rsid w:val="00DA5EDA"/>
    <w:rsid w:val="00DB054C"/>
    <w:rsid w:val="00DB0E7C"/>
    <w:rsid w:val="00DB1CC3"/>
    <w:rsid w:val="00DB2BB3"/>
    <w:rsid w:val="00DB2DD4"/>
    <w:rsid w:val="00DB4A3B"/>
    <w:rsid w:val="00DB5368"/>
    <w:rsid w:val="00DB5782"/>
    <w:rsid w:val="00DB5CB3"/>
    <w:rsid w:val="00DB613E"/>
    <w:rsid w:val="00DB62DD"/>
    <w:rsid w:val="00DB6B8B"/>
    <w:rsid w:val="00DB7009"/>
    <w:rsid w:val="00DC06AD"/>
    <w:rsid w:val="00DC3BE4"/>
    <w:rsid w:val="00DC5C00"/>
    <w:rsid w:val="00DC7265"/>
    <w:rsid w:val="00DD341D"/>
    <w:rsid w:val="00DD34CC"/>
    <w:rsid w:val="00DD537F"/>
    <w:rsid w:val="00DD751A"/>
    <w:rsid w:val="00DE18A3"/>
    <w:rsid w:val="00DE190D"/>
    <w:rsid w:val="00DE3742"/>
    <w:rsid w:val="00DE6100"/>
    <w:rsid w:val="00DE6274"/>
    <w:rsid w:val="00DE7693"/>
    <w:rsid w:val="00DE76FF"/>
    <w:rsid w:val="00DE7AA9"/>
    <w:rsid w:val="00DF0002"/>
    <w:rsid w:val="00DF0E9F"/>
    <w:rsid w:val="00DF0F2D"/>
    <w:rsid w:val="00DF44D2"/>
    <w:rsid w:val="00DF7AA9"/>
    <w:rsid w:val="00E00256"/>
    <w:rsid w:val="00E0088F"/>
    <w:rsid w:val="00E01687"/>
    <w:rsid w:val="00E01D89"/>
    <w:rsid w:val="00E02D11"/>
    <w:rsid w:val="00E1097F"/>
    <w:rsid w:val="00E12DE7"/>
    <w:rsid w:val="00E13382"/>
    <w:rsid w:val="00E15153"/>
    <w:rsid w:val="00E1574D"/>
    <w:rsid w:val="00E1577E"/>
    <w:rsid w:val="00E16261"/>
    <w:rsid w:val="00E20114"/>
    <w:rsid w:val="00E21E4A"/>
    <w:rsid w:val="00E21F0A"/>
    <w:rsid w:val="00E24882"/>
    <w:rsid w:val="00E2605F"/>
    <w:rsid w:val="00E26926"/>
    <w:rsid w:val="00E26BFE"/>
    <w:rsid w:val="00E312F2"/>
    <w:rsid w:val="00E314D8"/>
    <w:rsid w:val="00E316FE"/>
    <w:rsid w:val="00E31739"/>
    <w:rsid w:val="00E33F07"/>
    <w:rsid w:val="00E4033A"/>
    <w:rsid w:val="00E40B04"/>
    <w:rsid w:val="00E42C51"/>
    <w:rsid w:val="00E455B7"/>
    <w:rsid w:val="00E4577A"/>
    <w:rsid w:val="00E47450"/>
    <w:rsid w:val="00E477FD"/>
    <w:rsid w:val="00E47C5A"/>
    <w:rsid w:val="00E51005"/>
    <w:rsid w:val="00E53B2F"/>
    <w:rsid w:val="00E5489C"/>
    <w:rsid w:val="00E553B4"/>
    <w:rsid w:val="00E55C09"/>
    <w:rsid w:val="00E56C43"/>
    <w:rsid w:val="00E57816"/>
    <w:rsid w:val="00E6167D"/>
    <w:rsid w:val="00E617BC"/>
    <w:rsid w:val="00E6298C"/>
    <w:rsid w:val="00E62BB0"/>
    <w:rsid w:val="00E65D37"/>
    <w:rsid w:val="00E664AB"/>
    <w:rsid w:val="00E67167"/>
    <w:rsid w:val="00E673A9"/>
    <w:rsid w:val="00E6747D"/>
    <w:rsid w:val="00E70099"/>
    <w:rsid w:val="00E70EA7"/>
    <w:rsid w:val="00E72187"/>
    <w:rsid w:val="00E735E5"/>
    <w:rsid w:val="00E7371B"/>
    <w:rsid w:val="00E746E5"/>
    <w:rsid w:val="00E74C30"/>
    <w:rsid w:val="00E7641F"/>
    <w:rsid w:val="00E76E98"/>
    <w:rsid w:val="00E77768"/>
    <w:rsid w:val="00E81A8B"/>
    <w:rsid w:val="00E827FD"/>
    <w:rsid w:val="00E82EC5"/>
    <w:rsid w:val="00E82F5C"/>
    <w:rsid w:val="00E86410"/>
    <w:rsid w:val="00E908CE"/>
    <w:rsid w:val="00E91ED0"/>
    <w:rsid w:val="00E92150"/>
    <w:rsid w:val="00E95007"/>
    <w:rsid w:val="00E95162"/>
    <w:rsid w:val="00E95899"/>
    <w:rsid w:val="00E97127"/>
    <w:rsid w:val="00EA3038"/>
    <w:rsid w:val="00EA517B"/>
    <w:rsid w:val="00EA5733"/>
    <w:rsid w:val="00EA66FF"/>
    <w:rsid w:val="00EA6CD5"/>
    <w:rsid w:val="00EA7C49"/>
    <w:rsid w:val="00EB01EF"/>
    <w:rsid w:val="00EB058A"/>
    <w:rsid w:val="00EB5570"/>
    <w:rsid w:val="00EB62E6"/>
    <w:rsid w:val="00EB6356"/>
    <w:rsid w:val="00EB7A04"/>
    <w:rsid w:val="00EB7D97"/>
    <w:rsid w:val="00EC03E9"/>
    <w:rsid w:val="00EC22F5"/>
    <w:rsid w:val="00EC4737"/>
    <w:rsid w:val="00EC6C48"/>
    <w:rsid w:val="00EC7750"/>
    <w:rsid w:val="00EC7D68"/>
    <w:rsid w:val="00EC7DD3"/>
    <w:rsid w:val="00ED02F8"/>
    <w:rsid w:val="00ED0D73"/>
    <w:rsid w:val="00ED1811"/>
    <w:rsid w:val="00ED26D0"/>
    <w:rsid w:val="00ED2DB3"/>
    <w:rsid w:val="00ED4007"/>
    <w:rsid w:val="00ED473E"/>
    <w:rsid w:val="00ED4B35"/>
    <w:rsid w:val="00ED7B69"/>
    <w:rsid w:val="00EE12A8"/>
    <w:rsid w:val="00EE18BD"/>
    <w:rsid w:val="00EE3333"/>
    <w:rsid w:val="00EE39D1"/>
    <w:rsid w:val="00EE4500"/>
    <w:rsid w:val="00EE4AC8"/>
    <w:rsid w:val="00EE536D"/>
    <w:rsid w:val="00EF15CB"/>
    <w:rsid w:val="00EF4160"/>
    <w:rsid w:val="00EF4F63"/>
    <w:rsid w:val="00F00E98"/>
    <w:rsid w:val="00F0127D"/>
    <w:rsid w:val="00F015ED"/>
    <w:rsid w:val="00F02A68"/>
    <w:rsid w:val="00F02CF3"/>
    <w:rsid w:val="00F02E55"/>
    <w:rsid w:val="00F035F7"/>
    <w:rsid w:val="00F03C65"/>
    <w:rsid w:val="00F056BB"/>
    <w:rsid w:val="00F06BE3"/>
    <w:rsid w:val="00F07F01"/>
    <w:rsid w:val="00F1174A"/>
    <w:rsid w:val="00F134FE"/>
    <w:rsid w:val="00F13D39"/>
    <w:rsid w:val="00F16345"/>
    <w:rsid w:val="00F2069A"/>
    <w:rsid w:val="00F215A4"/>
    <w:rsid w:val="00F218C3"/>
    <w:rsid w:val="00F2231D"/>
    <w:rsid w:val="00F2474D"/>
    <w:rsid w:val="00F25A41"/>
    <w:rsid w:val="00F2680B"/>
    <w:rsid w:val="00F301B5"/>
    <w:rsid w:val="00F30AF7"/>
    <w:rsid w:val="00F31673"/>
    <w:rsid w:val="00F31DB4"/>
    <w:rsid w:val="00F32493"/>
    <w:rsid w:val="00F329CC"/>
    <w:rsid w:val="00F34792"/>
    <w:rsid w:val="00F40803"/>
    <w:rsid w:val="00F40AD9"/>
    <w:rsid w:val="00F42F91"/>
    <w:rsid w:val="00F44542"/>
    <w:rsid w:val="00F44DDE"/>
    <w:rsid w:val="00F451E1"/>
    <w:rsid w:val="00F4630B"/>
    <w:rsid w:val="00F4631F"/>
    <w:rsid w:val="00F4647A"/>
    <w:rsid w:val="00F508F2"/>
    <w:rsid w:val="00F5199E"/>
    <w:rsid w:val="00F547B4"/>
    <w:rsid w:val="00F55D0C"/>
    <w:rsid w:val="00F568EB"/>
    <w:rsid w:val="00F57D87"/>
    <w:rsid w:val="00F617C9"/>
    <w:rsid w:val="00F62FEB"/>
    <w:rsid w:val="00F641FA"/>
    <w:rsid w:val="00F64329"/>
    <w:rsid w:val="00F65381"/>
    <w:rsid w:val="00F66B20"/>
    <w:rsid w:val="00F67CCD"/>
    <w:rsid w:val="00F67ED4"/>
    <w:rsid w:val="00F70206"/>
    <w:rsid w:val="00F7153C"/>
    <w:rsid w:val="00F71D08"/>
    <w:rsid w:val="00F726FD"/>
    <w:rsid w:val="00F731A4"/>
    <w:rsid w:val="00F73665"/>
    <w:rsid w:val="00F76427"/>
    <w:rsid w:val="00F774E5"/>
    <w:rsid w:val="00F77E53"/>
    <w:rsid w:val="00F80C79"/>
    <w:rsid w:val="00F81137"/>
    <w:rsid w:val="00F829AA"/>
    <w:rsid w:val="00F8475C"/>
    <w:rsid w:val="00F855E9"/>
    <w:rsid w:val="00F876FB"/>
    <w:rsid w:val="00F93A13"/>
    <w:rsid w:val="00F942E9"/>
    <w:rsid w:val="00F952B6"/>
    <w:rsid w:val="00F95B5B"/>
    <w:rsid w:val="00FA17DF"/>
    <w:rsid w:val="00FA3F1A"/>
    <w:rsid w:val="00FA40C7"/>
    <w:rsid w:val="00FA41F0"/>
    <w:rsid w:val="00FA5D91"/>
    <w:rsid w:val="00FA7DA7"/>
    <w:rsid w:val="00FB1306"/>
    <w:rsid w:val="00FB1F21"/>
    <w:rsid w:val="00FB4175"/>
    <w:rsid w:val="00FB5943"/>
    <w:rsid w:val="00FB7B60"/>
    <w:rsid w:val="00FC1FCF"/>
    <w:rsid w:val="00FC757D"/>
    <w:rsid w:val="00FD05B6"/>
    <w:rsid w:val="00FD07FC"/>
    <w:rsid w:val="00FD29ED"/>
    <w:rsid w:val="00FD3D20"/>
    <w:rsid w:val="00FD5606"/>
    <w:rsid w:val="00FD5BBD"/>
    <w:rsid w:val="00FD618D"/>
    <w:rsid w:val="00FD66BE"/>
    <w:rsid w:val="00FD7DB4"/>
    <w:rsid w:val="00FE0131"/>
    <w:rsid w:val="00FE124B"/>
    <w:rsid w:val="00FE44B1"/>
    <w:rsid w:val="00FE45B6"/>
    <w:rsid w:val="00FE4FBA"/>
    <w:rsid w:val="00FE4FDD"/>
    <w:rsid w:val="00FE6311"/>
    <w:rsid w:val="00FE7792"/>
    <w:rsid w:val="00FF0F31"/>
    <w:rsid w:val="00FF1635"/>
    <w:rsid w:val="00FF1704"/>
    <w:rsid w:val="00FF1B4B"/>
    <w:rsid w:val="00FF20BA"/>
    <w:rsid w:val="00FF2FAC"/>
    <w:rsid w:val="00FF43A5"/>
    <w:rsid w:val="00FF5C4F"/>
    <w:rsid w:val="00FF62CF"/>
    <w:rsid w:val="00FF64CE"/>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A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3A"/>
    <w:pPr>
      <w:spacing w:after="0" w:line="240" w:lineRule="auto"/>
    </w:pPr>
    <w:rPr>
      <w:rFonts w:ascii="Times New Roman" w:eastAsia="Calibri" w:hAnsi="Times New Roman" w:cs="Times New Roman"/>
      <w:sz w:val="24"/>
      <w:szCs w:val="24"/>
      <w:lang w:val="es-ES_tradnl"/>
    </w:rPr>
  </w:style>
  <w:style w:type="paragraph" w:styleId="Heading1">
    <w:name w:val="heading 1"/>
    <w:aliases w:val="Título Verdana"/>
    <w:basedOn w:val="Normal"/>
    <w:next w:val="Normal"/>
    <w:link w:val="Heading1Char"/>
    <w:uiPriority w:val="9"/>
    <w:qFormat/>
    <w:rsid w:val="00E4033A"/>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4033A"/>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403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24E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1FCF"/>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E4033A"/>
    <w:rPr>
      <w:rFonts w:ascii="Cambria" w:eastAsia="Times New Roman" w:hAnsi="Cambria" w:cs="Times New Roman"/>
      <w:b/>
      <w:bCs/>
      <w:color w:val="365F91"/>
      <w:sz w:val="28"/>
      <w:szCs w:val="28"/>
      <w:lang w:val="es-ES_tradnl"/>
    </w:rPr>
  </w:style>
  <w:style w:type="character" w:customStyle="1" w:styleId="Heading2Char">
    <w:name w:val="Heading 2 Char"/>
    <w:basedOn w:val="DefaultParagraphFont"/>
    <w:link w:val="Heading2"/>
    <w:uiPriority w:val="9"/>
    <w:rsid w:val="00E4033A"/>
    <w:rPr>
      <w:rFonts w:ascii="Cambria" w:eastAsia="Times New Roman" w:hAnsi="Cambria" w:cs="Times New Roman"/>
      <w:b/>
      <w:bCs/>
      <w:color w:val="4F81BD"/>
      <w:sz w:val="26"/>
      <w:szCs w:val="26"/>
      <w:lang w:val="es-ES_tradnl"/>
    </w:rPr>
  </w:style>
  <w:style w:type="character" w:customStyle="1" w:styleId="Heading3Char">
    <w:name w:val="Heading 3 Char"/>
    <w:basedOn w:val="DefaultParagraphFont"/>
    <w:link w:val="Heading3"/>
    <w:uiPriority w:val="9"/>
    <w:rsid w:val="00E4033A"/>
    <w:rPr>
      <w:rFonts w:asciiTheme="majorHAnsi" w:eastAsiaTheme="majorEastAsia" w:hAnsiTheme="majorHAnsi" w:cstheme="majorBidi"/>
      <w:b/>
      <w:bCs/>
      <w:color w:val="4F81BD" w:themeColor="accent1"/>
      <w:sz w:val="24"/>
      <w:szCs w:val="24"/>
      <w:lang w:val="es-ES_tradnl"/>
    </w:rPr>
  </w:style>
  <w:style w:type="character" w:customStyle="1" w:styleId="Heading4Char">
    <w:name w:val="Heading 4 Char"/>
    <w:basedOn w:val="DefaultParagraphFont"/>
    <w:link w:val="Heading4"/>
    <w:uiPriority w:val="9"/>
    <w:rsid w:val="007624EC"/>
    <w:rPr>
      <w:rFonts w:asciiTheme="majorHAnsi" w:eastAsiaTheme="majorEastAsia" w:hAnsiTheme="majorHAnsi" w:cstheme="majorBidi"/>
      <w:b/>
      <w:bCs/>
      <w:i/>
      <w:iCs/>
      <w:color w:val="4F81BD" w:themeColor="accent1"/>
      <w:sz w:val="24"/>
      <w:szCs w:val="24"/>
      <w:lang w:val="es-ES_tradnl"/>
    </w:rPr>
  </w:style>
  <w:style w:type="character" w:customStyle="1" w:styleId="Heading5Char">
    <w:name w:val="Heading 5 Char"/>
    <w:basedOn w:val="DefaultParagraphFont"/>
    <w:link w:val="Heading5"/>
    <w:uiPriority w:val="9"/>
    <w:rsid w:val="00FC1FCF"/>
    <w:rPr>
      <w:rFonts w:asciiTheme="majorHAnsi" w:eastAsiaTheme="majorEastAsia" w:hAnsiTheme="majorHAnsi" w:cstheme="majorBidi"/>
      <w:color w:val="243F60" w:themeColor="accent1" w:themeShade="7F"/>
    </w:rPr>
  </w:style>
  <w:style w:type="paragraph" w:styleId="FootnoteText">
    <w:name w:val="footnote text"/>
    <w:aliases w:val="2. Footnote Text,Footnote Tesina,Footnote Text Char Char Char Char Char,Footnote Text Char Char Char Char,Footnote reference,FA Fu,Footnote Text Char Char Char,Footnote Text Cha,FA Fußnotentext,FA Fuﬂnotentext,Footnote Text Char Char,Ca,C"/>
    <w:basedOn w:val="Normal"/>
    <w:link w:val="FootnoteTextChar"/>
    <w:autoRedefine/>
    <w:uiPriority w:val="99"/>
    <w:unhideWhenUsed/>
    <w:qFormat/>
    <w:rsid w:val="00995539"/>
    <w:pPr>
      <w:tabs>
        <w:tab w:val="left" w:pos="567"/>
      </w:tabs>
      <w:jc w:val="both"/>
    </w:pPr>
    <w:rPr>
      <w:rFonts w:ascii="Verdana" w:eastAsia="Batang" w:hAnsi="Verdana"/>
      <w:sz w:val="16"/>
      <w:szCs w:val="16"/>
      <w:lang w:val="es-ES" w:eastAsia="es-ES"/>
    </w:rPr>
  </w:style>
  <w:style w:type="character" w:customStyle="1" w:styleId="FootnoteTextChar">
    <w:name w:val="Footnote Text Char"/>
    <w:aliases w:val="2. Footnote Text Char,Footnote Tesina Char,Footnote Text Char Char Char Char Char Char,Footnote Text Char Char Char Char Char1,Footnote reference Char,FA Fu Char,Footnote Text Char Char Char Char1,Footnote Text Cha Char,Ca Char,C Char"/>
    <w:basedOn w:val="DefaultParagraphFont"/>
    <w:link w:val="FootnoteText"/>
    <w:uiPriority w:val="99"/>
    <w:rsid w:val="00995539"/>
    <w:rPr>
      <w:rFonts w:ascii="Verdana" w:eastAsia="Batang" w:hAnsi="Verdana" w:cs="Times New Roman"/>
      <w:sz w:val="16"/>
      <w:szCs w:val="16"/>
      <w:lang w:val="es-ES" w:eastAsia="es-ES"/>
    </w:rPr>
  </w:style>
  <w:style w:type="paragraph" w:styleId="ListParagraph">
    <w:name w:val="List Paragraph"/>
    <w:aliases w:val="Párrafo de lista1,Footnote,List Paragraph2,List Paragraph1,Colorful List - Accent 11,Lista vistosa - Énfasis 11"/>
    <w:basedOn w:val="Normal"/>
    <w:link w:val="ListParagraphChar"/>
    <w:uiPriority w:val="99"/>
    <w:qFormat/>
    <w:rsid w:val="00E4033A"/>
    <w:pPr>
      <w:ind w:left="720"/>
      <w:contextualSpacing/>
    </w:pPr>
  </w:style>
  <w:style w:type="character" w:customStyle="1" w:styleId="ListParagraphChar">
    <w:name w:val="List Paragraph Char"/>
    <w:aliases w:val="Párrafo de lista1 Char,Footnote Char,List Paragraph2 Char,List Paragraph1 Char,Colorful List - Accent 11 Char,Lista vistosa - Énfasis 11 Char"/>
    <w:basedOn w:val="DefaultParagraphFont"/>
    <w:link w:val="ListParagraph"/>
    <w:uiPriority w:val="99"/>
    <w:locked/>
    <w:rsid w:val="00E4033A"/>
    <w:rPr>
      <w:rFonts w:ascii="Times New Roman" w:eastAsia="Calibri" w:hAnsi="Times New Roman" w:cs="Times New Roman"/>
      <w:sz w:val="24"/>
      <w:szCs w:val="24"/>
      <w:lang w:val="es-ES_tradnl"/>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Ref. de nota al"/>
    <w:qFormat/>
    <w:rsid w:val="00E4033A"/>
    <w:rPr>
      <w:rFonts w:ascii="Verdana" w:hAnsi="Verdana" w:cs="Times New Roman"/>
      <w:sz w:val="20"/>
      <w:vertAlign w:val="superscript"/>
    </w:rPr>
  </w:style>
  <w:style w:type="character" w:styleId="Hyperlink">
    <w:name w:val="Hyperlink"/>
    <w:aliases w:val="Heading 3 caso"/>
    <w:uiPriority w:val="99"/>
    <w:rsid w:val="00E4033A"/>
    <w:rPr>
      <w:rFonts w:cs="Times New Roman"/>
      <w:color w:val="0000FF"/>
      <w:u w:val="single"/>
    </w:rPr>
  </w:style>
  <w:style w:type="paragraph" w:styleId="TOC1">
    <w:name w:val="toc 1"/>
    <w:basedOn w:val="Normal"/>
    <w:next w:val="Normal"/>
    <w:autoRedefine/>
    <w:uiPriority w:val="39"/>
    <w:unhideWhenUsed/>
    <w:rsid w:val="00CC091B"/>
    <w:pPr>
      <w:tabs>
        <w:tab w:val="left" w:pos="142"/>
        <w:tab w:val="right" w:leader="dot" w:pos="9639"/>
      </w:tabs>
      <w:ind w:left="142" w:hanging="142"/>
      <w:jc w:val="both"/>
    </w:pPr>
    <w:rPr>
      <w:rFonts w:ascii="Verdana" w:hAnsi="Verdana" w:cs="Verdana"/>
      <w:b/>
      <w:caps/>
      <w:noProof/>
      <w:snapToGrid w:val="0"/>
      <w:sz w:val="18"/>
      <w:szCs w:val="18"/>
    </w:rPr>
  </w:style>
  <w:style w:type="paragraph" w:styleId="TOC2">
    <w:name w:val="toc 2"/>
    <w:basedOn w:val="Normal"/>
    <w:next w:val="Normal"/>
    <w:autoRedefine/>
    <w:uiPriority w:val="39"/>
    <w:unhideWhenUsed/>
    <w:rsid w:val="00E4033A"/>
    <w:pPr>
      <w:tabs>
        <w:tab w:val="left" w:pos="720"/>
        <w:tab w:val="right" w:leader="dot" w:pos="8828"/>
      </w:tabs>
      <w:ind w:left="238"/>
      <w:jc w:val="both"/>
    </w:pPr>
  </w:style>
  <w:style w:type="paragraph" w:styleId="TOC3">
    <w:name w:val="toc 3"/>
    <w:basedOn w:val="Normal"/>
    <w:next w:val="Normal"/>
    <w:autoRedefine/>
    <w:uiPriority w:val="39"/>
    <w:unhideWhenUsed/>
    <w:rsid w:val="00E4033A"/>
    <w:pPr>
      <w:tabs>
        <w:tab w:val="right" w:leader="dot" w:pos="8828"/>
      </w:tabs>
      <w:spacing w:before="60" w:after="60"/>
      <w:ind w:left="482"/>
      <w:contextualSpacing/>
    </w:pPr>
  </w:style>
  <w:style w:type="paragraph" w:styleId="Footer">
    <w:name w:val="footer"/>
    <w:basedOn w:val="Normal"/>
    <w:link w:val="FooterChar"/>
    <w:unhideWhenUsed/>
    <w:rsid w:val="00E4033A"/>
    <w:pPr>
      <w:tabs>
        <w:tab w:val="center" w:pos="4419"/>
        <w:tab w:val="right" w:pos="8838"/>
      </w:tabs>
    </w:pPr>
  </w:style>
  <w:style w:type="character" w:customStyle="1" w:styleId="FooterChar">
    <w:name w:val="Footer Char"/>
    <w:basedOn w:val="DefaultParagraphFont"/>
    <w:link w:val="Footer"/>
    <w:rsid w:val="00E4033A"/>
    <w:rPr>
      <w:rFonts w:ascii="Times New Roman" w:eastAsia="Calibri" w:hAnsi="Times New Roman" w:cs="Times New Roman"/>
      <w:sz w:val="24"/>
      <w:szCs w:val="24"/>
      <w:lang w:val="es-ES_tradnl"/>
    </w:rPr>
  </w:style>
  <w:style w:type="character" w:styleId="CommentReference">
    <w:name w:val="annotation reference"/>
    <w:basedOn w:val="DefaultParagraphFont"/>
    <w:uiPriority w:val="99"/>
    <w:unhideWhenUsed/>
    <w:rsid w:val="00E4033A"/>
    <w:rPr>
      <w:sz w:val="16"/>
      <w:szCs w:val="16"/>
    </w:rPr>
  </w:style>
  <w:style w:type="character" w:customStyle="1" w:styleId="CommentTextChar">
    <w:name w:val="Comment Text Char"/>
    <w:basedOn w:val="DefaultParagraphFont"/>
    <w:link w:val="CommentText"/>
    <w:uiPriority w:val="99"/>
    <w:rsid w:val="00E4033A"/>
    <w:rPr>
      <w:rFonts w:ascii="Times New Roman" w:eastAsia="Calibri" w:hAnsi="Times New Roman" w:cs="Times New Roman"/>
      <w:sz w:val="20"/>
      <w:szCs w:val="20"/>
      <w:lang w:val="es-ES_tradnl"/>
    </w:rPr>
  </w:style>
  <w:style w:type="paragraph" w:styleId="CommentText">
    <w:name w:val="annotation text"/>
    <w:basedOn w:val="Normal"/>
    <w:link w:val="CommentTextChar"/>
    <w:uiPriority w:val="99"/>
    <w:unhideWhenUsed/>
    <w:rsid w:val="00E4033A"/>
    <w:rPr>
      <w:sz w:val="20"/>
      <w:szCs w:val="20"/>
    </w:rPr>
  </w:style>
  <w:style w:type="character" w:customStyle="1" w:styleId="CommentTextChar1">
    <w:name w:val="Comment Text Char1"/>
    <w:basedOn w:val="DefaultParagraphFont"/>
    <w:uiPriority w:val="99"/>
    <w:semiHidden/>
    <w:rsid w:val="00E4033A"/>
    <w:rPr>
      <w:rFonts w:ascii="Times New Roman" w:eastAsia="Calibri" w:hAnsi="Times New Roman" w:cs="Times New Roman"/>
      <w:sz w:val="20"/>
      <w:szCs w:val="20"/>
      <w:lang w:val="es-ES_tradnl"/>
    </w:rPr>
  </w:style>
  <w:style w:type="character" w:customStyle="1" w:styleId="apple-converted-space">
    <w:name w:val="apple-converted-space"/>
    <w:basedOn w:val="DefaultParagraphFont"/>
    <w:rsid w:val="00E4033A"/>
  </w:style>
  <w:style w:type="character" w:styleId="Strong">
    <w:name w:val="Strong"/>
    <w:basedOn w:val="DefaultParagraphFont"/>
    <w:uiPriority w:val="22"/>
    <w:qFormat/>
    <w:rsid w:val="00E4033A"/>
    <w:rPr>
      <w:b/>
      <w:bCs/>
    </w:rPr>
  </w:style>
  <w:style w:type="paragraph" w:styleId="BalloonText">
    <w:name w:val="Balloon Text"/>
    <w:basedOn w:val="Normal"/>
    <w:link w:val="BalloonTextChar"/>
    <w:uiPriority w:val="99"/>
    <w:semiHidden/>
    <w:unhideWhenUsed/>
    <w:rsid w:val="00E4033A"/>
    <w:rPr>
      <w:rFonts w:ascii="Tahoma" w:hAnsi="Tahoma" w:cs="Tahoma"/>
      <w:sz w:val="16"/>
      <w:szCs w:val="16"/>
    </w:rPr>
  </w:style>
  <w:style w:type="character" w:customStyle="1" w:styleId="BalloonTextChar">
    <w:name w:val="Balloon Text Char"/>
    <w:basedOn w:val="DefaultParagraphFont"/>
    <w:link w:val="BalloonText"/>
    <w:uiPriority w:val="99"/>
    <w:semiHidden/>
    <w:rsid w:val="00E4033A"/>
    <w:rPr>
      <w:rFonts w:ascii="Tahoma" w:eastAsia="Calibri" w:hAnsi="Tahoma" w:cs="Tahoma"/>
      <w:sz w:val="16"/>
      <w:szCs w:val="16"/>
      <w:lang w:val="es-ES_tradnl"/>
    </w:rPr>
  </w:style>
  <w:style w:type="paragraph" w:styleId="Header">
    <w:name w:val="header"/>
    <w:basedOn w:val="Normal"/>
    <w:link w:val="HeaderChar"/>
    <w:uiPriority w:val="99"/>
    <w:unhideWhenUsed/>
    <w:rsid w:val="00926E61"/>
    <w:pPr>
      <w:tabs>
        <w:tab w:val="center" w:pos="4419"/>
        <w:tab w:val="right" w:pos="8838"/>
      </w:tabs>
    </w:pPr>
    <w:rPr>
      <w:rFonts w:asciiTheme="minorHAnsi" w:eastAsiaTheme="minorHAnsi" w:hAnsiTheme="minorHAnsi" w:cstheme="minorBidi"/>
      <w:sz w:val="22"/>
      <w:szCs w:val="22"/>
      <w:lang w:val="es-CR"/>
    </w:rPr>
  </w:style>
  <w:style w:type="character" w:customStyle="1" w:styleId="HeaderChar">
    <w:name w:val="Header Char"/>
    <w:basedOn w:val="DefaultParagraphFont"/>
    <w:link w:val="Header"/>
    <w:uiPriority w:val="99"/>
    <w:rsid w:val="00926E61"/>
    <w:rPr>
      <w:lang w:val="es-CR"/>
    </w:rPr>
  </w:style>
  <w:style w:type="paragraph" w:styleId="CommentSubject">
    <w:name w:val="annotation subject"/>
    <w:basedOn w:val="CommentText"/>
    <w:next w:val="CommentText"/>
    <w:link w:val="CommentSubjectChar"/>
    <w:uiPriority w:val="99"/>
    <w:semiHidden/>
    <w:unhideWhenUsed/>
    <w:rsid w:val="00926E61"/>
    <w:pPr>
      <w:spacing w:after="200"/>
    </w:pPr>
    <w:rPr>
      <w:rFonts w:asciiTheme="minorHAnsi" w:eastAsiaTheme="minorHAnsi" w:hAnsiTheme="minorHAnsi" w:cstheme="minorBidi"/>
      <w:b/>
      <w:bCs/>
      <w:lang w:val="es-CR"/>
    </w:rPr>
  </w:style>
  <w:style w:type="character" w:customStyle="1" w:styleId="CommentSubjectChar">
    <w:name w:val="Comment Subject Char"/>
    <w:basedOn w:val="CommentTextChar"/>
    <w:link w:val="CommentSubject"/>
    <w:uiPriority w:val="99"/>
    <w:semiHidden/>
    <w:rsid w:val="00926E61"/>
    <w:rPr>
      <w:rFonts w:ascii="Times New Roman" w:eastAsia="Calibri" w:hAnsi="Times New Roman" w:cs="Times New Roman"/>
      <w:b/>
      <w:bCs/>
      <w:sz w:val="20"/>
      <w:szCs w:val="20"/>
      <w:lang w:val="es-CR"/>
    </w:rPr>
  </w:style>
  <w:style w:type="paragraph" w:customStyle="1" w:styleId="Footnotes">
    <w:name w:val="**. Footnotes"/>
    <w:basedOn w:val="FootnoteText"/>
    <w:link w:val="FootnotesChar"/>
    <w:autoRedefine/>
    <w:qFormat/>
    <w:rsid w:val="00FC1FCF"/>
    <w:pPr>
      <w:spacing w:before="120"/>
    </w:pPr>
    <w:rPr>
      <w:rFonts w:cs="Palatino-Italic"/>
      <w:iCs/>
      <w:lang w:eastAsia="en-US"/>
    </w:rPr>
  </w:style>
  <w:style w:type="character" w:customStyle="1" w:styleId="FootnotesChar">
    <w:name w:val="**. Footnotes Char"/>
    <w:basedOn w:val="DefaultParagraphFont"/>
    <w:link w:val="Footnotes"/>
    <w:rsid w:val="00FC1FCF"/>
    <w:rPr>
      <w:rFonts w:ascii="Verdana" w:eastAsia="Batang" w:hAnsi="Verdana" w:cs="Palatino-Italic"/>
      <w:iCs/>
      <w:sz w:val="16"/>
      <w:szCs w:val="16"/>
      <w:lang w:val="es-ES"/>
    </w:rPr>
  </w:style>
  <w:style w:type="character" w:customStyle="1" w:styleId="apple-style-span">
    <w:name w:val="apple-style-span"/>
    <w:basedOn w:val="DefaultParagraphFont"/>
    <w:rsid w:val="00FC1FCF"/>
    <w:rPr>
      <w:rFonts w:cs="Times New Roman"/>
    </w:rPr>
  </w:style>
  <w:style w:type="paragraph" w:customStyle="1" w:styleId="Default">
    <w:name w:val="Default"/>
    <w:rsid w:val="00FC1FC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C1FCF"/>
    <w:pPr>
      <w:spacing w:after="0" w:line="240" w:lineRule="auto"/>
    </w:pPr>
  </w:style>
  <w:style w:type="character" w:customStyle="1" w:styleId="Ttulo1">
    <w:name w:val="Título1"/>
    <w:basedOn w:val="DefaultParagraphFont"/>
    <w:rsid w:val="00FC1FCF"/>
  </w:style>
  <w:style w:type="paragraph" w:styleId="NoSpacing">
    <w:name w:val="No Spacing"/>
    <w:uiPriority w:val="1"/>
    <w:qFormat/>
    <w:rsid w:val="007E0325"/>
    <w:pPr>
      <w:spacing w:after="0" w:line="240" w:lineRule="auto"/>
    </w:pPr>
    <w:rPr>
      <w:rFonts w:eastAsiaTheme="minorEastAsia"/>
    </w:rPr>
  </w:style>
  <w:style w:type="paragraph" w:styleId="TOC4">
    <w:name w:val="toc 4"/>
    <w:basedOn w:val="Normal"/>
    <w:next w:val="Normal"/>
    <w:autoRedefine/>
    <w:uiPriority w:val="39"/>
    <w:unhideWhenUsed/>
    <w:rsid w:val="007E0325"/>
    <w:pPr>
      <w:spacing w:after="100"/>
      <w:ind w:left="720"/>
    </w:pPr>
  </w:style>
  <w:style w:type="character" w:customStyle="1" w:styleId="PiedepginaCar1">
    <w:name w:val="Pie de página Car1"/>
    <w:basedOn w:val="DefaultParagraphFont"/>
    <w:semiHidden/>
    <w:rsid w:val="002E4580"/>
    <w:rPr>
      <w:rFonts w:ascii="Times" w:eastAsia="Times New Roman" w:hAnsi="Times" w:cs="Times New Roman"/>
      <w:snapToGrid w:val="0"/>
      <w:sz w:val="24"/>
      <w:szCs w:val="24"/>
      <w:lang w:val="es-ES_tradnl" w:eastAsia="es-ES"/>
    </w:rPr>
  </w:style>
  <w:style w:type="paragraph" w:styleId="TOC5">
    <w:name w:val="toc 5"/>
    <w:basedOn w:val="Normal"/>
    <w:next w:val="Normal"/>
    <w:autoRedefine/>
    <w:uiPriority w:val="39"/>
    <w:unhideWhenUsed/>
    <w:rsid w:val="004B1D0E"/>
    <w:pPr>
      <w:spacing w:after="100"/>
      <w:ind w:left="960"/>
    </w:pPr>
  </w:style>
  <w:style w:type="character" w:styleId="LineNumber">
    <w:name w:val="line number"/>
    <w:basedOn w:val="DefaultParagraphFont"/>
    <w:uiPriority w:val="99"/>
    <w:semiHidden/>
    <w:unhideWhenUsed/>
    <w:rsid w:val="000B1FC8"/>
  </w:style>
  <w:style w:type="paragraph" w:customStyle="1" w:styleId="PrrafodeSentencia">
    <w:name w:val="*. Párrafo de Sentencia"/>
    <w:link w:val="PrrafodeSentenciaChar"/>
    <w:autoRedefine/>
    <w:qFormat/>
    <w:rsid w:val="0062526A"/>
    <w:pPr>
      <w:tabs>
        <w:tab w:val="left" w:pos="0"/>
      </w:tabs>
      <w:spacing w:after="0" w:line="240" w:lineRule="auto"/>
      <w:jc w:val="both"/>
    </w:pPr>
    <w:rPr>
      <w:rFonts w:ascii="Verdana" w:eastAsia="Batang" w:hAnsi="Verdana" w:cs="Times New Roman"/>
      <w:sz w:val="20"/>
      <w:szCs w:val="20"/>
      <w:lang w:val="es-MX" w:eastAsia="es-MX"/>
    </w:rPr>
  </w:style>
  <w:style w:type="character" w:customStyle="1" w:styleId="hps">
    <w:name w:val="hps"/>
    <w:basedOn w:val="DefaultParagraphFont"/>
    <w:rsid w:val="00A91B78"/>
  </w:style>
  <w:style w:type="paragraph" w:styleId="HTMLPreformatted">
    <w:name w:val="HTML Preformatted"/>
    <w:basedOn w:val="Normal"/>
    <w:link w:val="HTMLPreformattedChar"/>
    <w:uiPriority w:val="99"/>
    <w:unhideWhenUsed/>
    <w:rsid w:val="00A91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A91B78"/>
    <w:rPr>
      <w:rFonts w:ascii="Courier New" w:eastAsia="Times New Roman" w:hAnsi="Courier New" w:cs="Times New Roman"/>
      <w:sz w:val="20"/>
      <w:szCs w:val="20"/>
    </w:rPr>
  </w:style>
  <w:style w:type="paragraph" w:customStyle="1" w:styleId="2Footnotes">
    <w:name w:val="2. Footnotes"/>
    <w:basedOn w:val="FootnoteText"/>
    <w:link w:val="2FootnotesChar"/>
    <w:autoRedefine/>
    <w:qFormat/>
    <w:rsid w:val="00A91B78"/>
    <w:pPr>
      <w:tabs>
        <w:tab w:val="clear" w:pos="567"/>
      </w:tabs>
      <w:spacing w:before="120"/>
    </w:pPr>
    <w:rPr>
      <w:rFonts w:eastAsia="Times New Roman" w:cs="Palatino-Italic"/>
      <w:iCs/>
      <w:noProof/>
      <w:szCs w:val="18"/>
      <w:lang w:eastAsia="en-US"/>
    </w:rPr>
  </w:style>
  <w:style w:type="character" w:customStyle="1" w:styleId="2FootnotesChar">
    <w:name w:val="2. Footnotes Char"/>
    <w:link w:val="2Footnotes"/>
    <w:rsid w:val="00A91B78"/>
    <w:rPr>
      <w:rFonts w:ascii="Verdana" w:eastAsia="Times New Roman" w:hAnsi="Verdana" w:cs="Palatino-Italic"/>
      <w:iCs/>
      <w:noProof/>
      <w:sz w:val="16"/>
      <w:szCs w:val="18"/>
      <w:lang w:val="es-ES"/>
    </w:rPr>
  </w:style>
  <w:style w:type="character" w:customStyle="1" w:styleId="PrrafodeSentenciaChar">
    <w:name w:val="*. Párrafo de Sentencia Char"/>
    <w:link w:val="PrrafodeSentencia"/>
    <w:rsid w:val="0062526A"/>
    <w:rPr>
      <w:rFonts w:ascii="Verdana" w:eastAsia="Batang" w:hAnsi="Verdana" w:cs="Times New Roman"/>
      <w:sz w:val="20"/>
      <w:szCs w:val="20"/>
      <w:lang w:val="es-MX" w:eastAsia="es-MX"/>
    </w:rPr>
  </w:style>
  <w:style w:type="character" w:styleId="FollowedHyperlink">
    <w:name w:val="FollowedHyperlink"/>
    <w:basedOn w:val="DefaultParagraphFont"/>
    <w:uiPriority w:val="99"/>
    <w:semiHidden/>
    <w:unhideWhenUsed/>
    <w:rsid w:val="00216F93"/>
    <w:rPr>
      <w:color w:val="800080" w:themeColor="followedHyperlink"/>
      <w:u w:val="single"/>
    </w:rPr>
  </w:style>
  <w:style w:type="paragraph" w:styleId="NormalWeb">
    <w:name w:val="Normal (Web)"/>
    <w:aliases w:val="Normal (Web) Char1,Normal (Web) Char Char,Normal (Web) Char1 Char,Normal (Web) Char Char Char"/>
    <w:basedOn w:val="Normal"/>
    <w:uiPriority w:val="99"/>
    <w:unhideWhenUsed/>
    <w:rsid w:val="00D53828"/>
    <w:pPr>
      <w:spacing w:before="100" w:beforeAutospacing="1" w:after="100" w:afterAutospacing="1"/>
    </w:pPr>
    <w:rPr>
      <w:rFonts w:eastAsia="Times New Roman"/>
      <w:lang w:val="es-CR" w:eastAsia="es-CR"/>
    </w:rPr>
  </w:style>
  <w:style w:type="paragraph" w:customStyle="1" w:styleId="xmsonormal">
    <w:name w:val="x_msonormal"/>
    <w:basedOn w:val="Normal"/>
    <w:rsid w:val="00FB1F21"/>
    <w:pPr>
      <w:spacing w:before="100" w:beforeAutospacing="1" w:after="100" w:afterAutospacing="1"/>
    </w:pPr>
    <w:rPr>
      <w:rFonts w:eastAsia="Times New Roman"/>
      <w:lang w:val="en-US"/>
    </w:rPr>
  </w:style>
  <w:style w:type="paragraph" w:customStyle="1" w:styleId="HChG">
    <w:name w:val="_ H _Ch_G"/>
    <w:basedOn w:val="Normal"/>
    <w:next w:val="Normal"/>
    <w:rsid w:val="004E0159"/>
    <w:pPr>
      <w:keepNext/>
      <w:keepLines/>
      <w:tabs>
        <w:tab w:val="right" w:pos="851"/>
      </w:tabs>
      <w:suppressAutoHyphens/>
      <w:spacing w:before="360" w:after="240" w:line="300" w:lineRule="exact"/>
      <w:ind w:left="1134" w:right="1134" w:hanging="1134"/>
    </w:pPr>
    <w:rPr>
      <w:rFonts w:eastAsia="Times New Roman"/>
      <w:b/>
      <w:sz w:val="28"/>
      <w:szCs w:val="20"/>
      <w:lang w:val="es-ES" w:eastAsia="es-ES"/>
    </w:rPr>
  </w:style>
  <w:style w:type="paragraph" w:customStyle="1" w:styleId="H1G">
    <w:name w:val="_ H_1_G"/>
    <w:basedOn w:val="Normal"/>
    <w:next w:val="Normal"/>
    <w:rsid w:val="004E0159"/>
    <w:pPr>
      <w:keepNext/>
      <w:keepLines/>
      <w:tabs>
        <w:tab w:val="right" w:pos="851"/>
      </w:tabs>
      <w:suppressAutoHyphens/>
      <w:spacing w:before="360" w:after="240" w:line="270" w:lineRule="exact"/>
      <w:ind w:left="1134" w:right="1134" w:hanging="1134"/>
    </w:pPr>
    <w:rPr>
      <w:rFonts w:eastAsia="Times New Roman"/>
      <w:b/>
      <w:szCs w:val="20"/>
      <w:lang w:val="es-ES" w:eastAsia="es-ES"/>
    </w:rPr>
  </w:style>
  <w:style w:type="paragraph" w:customStyle="1" w:styleId="Estilo1">
    <w:name w:val="Estilo1"/>
    <w:basedOn w:val="ListParagraph"/>
    <w:qFormat/>
    <w:rsid w:val="00907AD9"/>
    <w:pPr>
      <w:numPr>
        <w:numId w:val="53"/>
      </w:numPr>
      <w:spacing w:after="240"/>
      <w:ind w:left="0" w:firstLine="0"/>
      <w:contextualSpacing w:val="0"/>
      <w:jc w:val="both"/>
    </w:pPr>
    <w:rPr>
      <w:lang w:val="es-U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3A"/>
    <w:pPr>
      <w:spacing w:after="0" w:line="240" w:lineRule="auto"/>
    </w:pPr>
    <w:rPr>
      <w:rFonts w:ascii="Times New Roman" w:eastAsia="Calibri" w:hAnsi="Times New Roman" w:cs="Times New Roman"/>
      <w:sz w:val="24"/>
      <w:szCs w:val="24"/>
      <w:lang w:val="es-ES_tradnl"/>
    </w:rPr>
  </w:style>
  <w:style w:type="paragraph" w:styleId="Heading1">
    <w:name w:val="heading 1"/>
    <w:aliases w:val="Título Verdana"/>
    <w:basedOn w:val="Normal"/>
    <w:next w:val="Normal"/>
    <w:link w:val="Heading1Char"/>
    <w:uiPriority w:val="9"/>
    <w:qFormat/>
    <w:rsid w:val="00E4033A"/>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4033A"/>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403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24E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1FCF"/>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E4033A"/>
    <w:rPr>
      <w:rFonts w:ascii="Cambria" w:eastAsia="Times New Roman" w:hAnsi="Cambria" w:cs="Times New Roman"/>
      <w:b/>
      <w:bCs/>
      <w:color w:val="365F91"/>
      <w:sz w:val="28"/>
      <w:szCs w:val="28"/>
      <w:lang w:val="es-ES_tradnl"/>
    </w:rPr>
  </w:style>
  <w:style w:type="character" w:customStyle="1" w:styleId="Heading2Char">
    <w:name w:val="Heading 2 Char"/>
    <w:basedOn w:val="DefaultParagraphFont"/>
    <w:link w:val="Heading2"/>
    <w:uiPriority w:val="9"/>
    <w:rsid w:val="00E4033A"/>
    <w:rPr>
      <w:rFonts w:ascii="Cambria" w:eastAsia="Times New Roman" w:hAnsi="Cambria" w:cs="Times New Roman"/>
      <w:b/>
      <w:bCs/>
      <w:color w:val="4F81BD"/>
      <w:sz w:val="26"/>
      <w:szCs w:val="26"/>
      <w:lang w:val="es-ES_tradnl"/>
    </w:rPr>
  </w:style>
  <w:style w:type="character" w:customStyle="1" w:styleId="Heading3Char">
    <w:name w:val="Heading 3 Char"/>
    <w:basedOn w:val="DefaultParagraphFont"/>
    <w:link w:val="Heading3"/>
    <w:uiPriority w:val="9"/>
    <w:rsid w:val="00E4033A"/>
    <w:rPr>
      <w:rFonts w:asciiTheme="majorHAnsi" w:eastAsiaTheme="majorEastAsia" w:hAnsiTheme="majorHAnsi" w:cstheme="majorBidi"/>
      <w:b/>
      <w:bCs/>
      <w:color w:val="4F81BD" w:themeColor="accent1"/>
      <w:sz w:val="24"/>
      <w:szCs w:val="24"/>
      <w:lang w:val="es-ES_tradnl"/>
    </w:rPr>
  </w:style>
  <w:style w:type="character" w:customStyle="1" w:styleId="Heading4Char">
    <w:name w:val="Heading 4 Char"/>
    <w:basedOn w:val="DefaultParagraphFont"/>
    <w:link w:val="Heading4"/>
    <w:uiPriority w:val="9"/>
    <w:rsid w:val="007624EC"/>
    <w:rPr>
      <w:rFonts w:asciiTheme="majorHAnsi" w:eastAsiaTheme="majorEastAsia" w:hAnsiTheme="majorHAnsi" w:cstheme="majorBidi"/>
      <w:b/>
      <w:bCs/>
      <w:i/>
      <w:iCs/>
      <w:color w:val="4F81BD" w:themeColor="accent1"/>
      <w:sz w:val="24"/>
      <w:szCs w:val="24"/>
      <w:lang w:val="es-ES_tradnl"/>
    </w:rPr>
  </w:style>
  <w:style w:type="character" w:customStyle="1" w:styleId="Heading5Char">
    <w:name w:val="Heading 5 Char"/>
    <w:basedOn w:val="DefaultParagraphFont"/>
    <w:link w:val="Heading5"/>
    <w:uiPriority w:val="9"/>
    <w:rsid w:val="00FC1FCF"/>
    <w:rPr>
      <w:rFonts w:asciiTheme="majorHAnsi" w:eastAsiaTheme="majorEastAsia" w:hAnsiTheme="majorHAnsi" w:cstheme="majorBidi"/>
      <w:color w:val="243F60" w:themeColor="accent1" w:themeShade="7F"/>
    </w:rPr>
  </w:style>
  <w:style w:type="paragraph" w:styleId="FootnoteText">
    <w:name w:val="footnote text"/>
    <w:aliases w:val="2. Footnote Text,Footnote Tesina,Footnote Text Char Char Char Char Char,Footnote Text Char Char Char Char,Footnote reference,FA Fu,Footnote Text Char Char Char,Footnote Text Cha,FA Fußnotentext,FA Fuﬂnotentext,Footnote Text Char Char,Ca,C"/>
    <w:basedOn w:val="Normal"/>
    <w:link w:val="FootnoteTextChar"/>
    <w:autoRedefine/>
    <w:uiPriority w:val="99"/>
    <w:unhideWhenUsed/>
    <w:qFormat/>
    <w:rsid w:val="00995539"/>
    <w:pPr>
      <w:tabs>
        <w:tab w:val="left" w:pos="567"/>
      </w:tabs>
      <w:jc w:val="both"/>
    </w:pPr>
    <w:rPr>
      <w:rFonts w:ascii="Verdana" w:eastAsia="Batang" w:hAnsi="Verdana"/>
      <w:sz w:val="16"/>
      <w:szCs w:val="16"/>
      <w:lang w:val="es-ES" w:eastAsia="es-ES"/>
    </w:rPr>
  </w:style>
  <w:style w:type="character" w:customStyle="1" w:styleId="FootnoteTextChar">
    <w:name w:val="Footnote Text Char"/>
    <w:aliases w:val="2. Footnote Text Char,Footnote Tesina Char,Footnote Text Char Char Char Char Char Char,Footnote Text Char Char Char Char Char1,Footnote reference Char,FA Fu Char,Footnote Text Char Char Char Char1,Footnote Text Cha Char,Ca Char,C Char"/>
    <w:basedOn w:val="DefaultParagraphFont"/>
    <w:link w:val="FootnoteText"/>
    <w:uiPriority w:val="99"/>
    <w:rsid w:val="00995539"/>
    <w:rPr>
      <w:rFonts w:ascii="Verdana" w:eastAsia="Batang" w:hAnsi="Verdana" w:cs="Times New Roman"/>
      <w:sz w:val="16"/>
      <w:szCs w:val="16"/>
      <w:lang w:val="es-ES" w:eastAsia="es-ES"/>
    </w:rPr>
  </w:style>
  <w:style w:type="paragraph" w:styleId="ListParagraph">
    <w:name w:val="List Paragraph"/>
    <w:aliases w:val="Párrafo de lista1,Footnote,List Paragraph2,List Paragraph1,Colorful List - Accent 11,Lista vistosa - Énfasis 11"/>
    <w:basedOn w:val="Normal"/>
    <w:link w:val="ListParagraphChar"/>
    <w:uiPriority w:val="99"/>
    <w:qFormat/>
    <w:rsid w:val="00E4033A"/>
    <w:pPr>
      <w:ind w:left="720"/>
      <w:contextualSpacing/>
    </w:pPr>
  </w:style>
  <w:style w:type="character" w:customStyle="1" w:styleId="ListParagraphChar">
    <w:name w:val="List Paragraph Char"/>
    <w:aliases w:val="Párrafo de lista1 Char,Footnote Char,List Paragraph2 Char,List Paragraph1 Char,Colorful List - Accent 11 Char,Lista vistosa - Énfasis 11 Char"/>
    <w:basedOn w:val="DefaultParagraphFont"/>
    <w:link w:val="ListParagraph"/>
    <w:uiPriority w:val="99"/>
    <w:locked/>
    <w:rsid w:val="00E4033A"/>
    <w:rPr>
      <w:rFonts w:ascii="Times New Roman" w:eastAsia="Calibri" w:hAnsi="Times New Roman" w:cs="Times New Roman"/>
      <w:sz w:val="24"/>
      <w:szCs w:val="24"/>
      <w:lang w:val="es-ES_tradnl"/>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Ref. de nota al"/>
    <w:qFormat/>
    <w:rsid w:val="00E4033A"/>
    <w:rPr>
      <w:rFonts w:ascii="Verdana" w:hAnsi="Verdana" w:cs="Times New Roman"/>
      <w:sz w:val="20"/>
      <w:vertAlign w:val="superscript"/>
    </w:rPr>
  </w:style>
  <w:style w:type="character" w:styleId="Hyperlink">
    <w:name w:val="Hyperlink"/>
    <w:aliases w:val="Heading 3 caso"/>
    <w:uiPriority w:val="99"/>
    <w:rsid w:val="00E4033A"/>
    <w:rPr>
      <w:rFonts w:cs="Times New Roman"/>
      <w:color w:val="0000FF"/>
      <w:u w:val="single"/>
    </w:rPr>
  </w:style>
  <w:style w:type="paragraph" w:styleId="TOC1">
    <w:name w:val="toc 1"/>
    <w:basedOn w:val="Normal"/>
    <w:next w:val="Normal"/>
    <w:autoRedefine/>
    <w:uiPriority w:val="39"/>
    <w:unhideWhenUsed/>
    <w:rsid w:val="00CC091B"/>
    <w:pPr>
      <w:tabs>
        <w:tab w:val="left" w:pos="142"/>
        <w:tab w:val="right" w:leader="dot" w:pos="9639"/>
      </w:tabs>
      <w:ind w:left="142" w:hanging="142"/>
      <w:jc w:val="both"/>
    </w:pPr>
    <w:rPr>
      <w:rFonts w:ascii="Verdana" w:hAnsi="Verdana" w:cs="Verdana"/>
      <w:b/>
      <w:caps/>
      <w:noProof/>
      <w:snapToGrid w:val="0"/>
      <w:sz w:val="18"/>
      <w:szCs w:val="18"/>
    </w:rPr>
  </w:style>
  <w:style w:type="paragraph" w:styleId="TOC2">
    <w:name w:val="toc 2"/>
    <w:basedOn w:val="Normal"/>
    <w:next w:val="Normal"/>
    <w:autoRedefine/>
    <w:uiPriority w:val="39"/>
    <w:unhideWhenUsed/>
    <w:rsid w:val="00E4033A"/>
    <w:pPr>
      <w:tabs>
        <w:tab w:val="left" w:pos="720"/>
        <w:tab w:val="right" w:leader="dot" w:pos="8828"/>
      </w:tabs>
      <w:ind w:left="238"/>
      <w:jc w:val="both"/>
    </w:pPr>
  </w:style>
  <w:style w:type="paragraph" w:styleId="TOC3">
    <w:name w:val="toc 3"/>
    <w:basedOn w:val="Normal"/>
    <w:next w:val="Normal"/>
    <w:autoRedefine/>
    <w:uiPriority w:val="39"/>
    <w:unhideWhenUsed/>
    <w:rsid w:val="00E4033A"/>
    <w:pPr>
      <w:tabs>
        <w:tab w:val="right" w:leader="dot" w:pos="8828"/>
      </w:tabs>
      <w:spacing w:before="60" w:after="60"/>
      <w:ind w:left="482"/>
      <w:contextualSpacing/>
    </w:pPr>
  </w:style>
  <w:style w:type="paragraph" w:styleId="Footer">
    <w:name w:val="footer"/>
    <w:basedOn w:val="Normal"/>
    <w:link w:val="FooterChar"/>
    <w:unhideWhenUsed/>
    <w:rsid w:val="00E4033A"/>
    <w:pPr>
      <w:tabs>
        <w:tab w:val="center" w:pos="4419"/>
        <w:tab w:val="right" w:pos="8838"/>
      </w:tabs>
    </w:pPr>
  </w:style>
  <w:style w:type="character" w:customStyle="1" w:styleId="FooterChar">
    <w:name w:val="Footer Char"/>
    <w:basedOn w:val="DefaultParagraphFont"/>
    <w:link w:val="Footer"/>
    <w:rsid w:val="00E4033A"/>
    <w:rPr>
      <w:rFonts w:ascii="Times New Roman" w:eastAsia="Calibri" w:hAnsi="Times New Roman" w:cs="Times New Roman"/>
      <w:sz w:val="24"/>
      <w:szCs w:val="24"/>
      <w:lang w:val="es-ES_tradnl"/>
    </w:rPr>
  </w:style>
  <w:style w:type="character" w:styleId="CommentReference">
    <w:name w:val="annotation reference"/>
    <w:basedOn w:val="DefaultParagraphFont"/>
    <w:uiPriority w:val="99"/>
    <w:unhideWhenUsed/>
    <w:rsid w:val="00E4033A"/>
    <w:rPr>
      <w:sz w:val="16"/>
      <w:szCs w:val="16"/>
    </w:rPr>
  </w:style>
  <w:style w:type="character" w:customStyle="1" w:styleId="CommentTextChar">
    <w:name w:val="Comment Text Char"/>
    <w:basedOn w:val="DefaultParagraphFont"/>
    <w:link w:val="CommentText"/>
    <w:uiPriority w:val="99"/>
    <w:rsid w:val="00E4033A"/>
    <w:rPr>
      <w:rFonts w:ascii="Times New Roman" w:eastAsia="Calibri" w:hAnsi="Times New Roman" w:cs="Times New Roman"/>
      <w:sz w:val="20"/>
      <w:szCs w:val="20"/>
      <w:lang w:val="es-ES_tradnl"/>
    </w:rPr>
  </w:style>
  <w:style w:type="paragraph" w:styleId="CommentText">
    <w:name w:val="annotation text"/>
    <w:basedOn w:val="Normal"/>
    <w:link w:val="CommentTextChar"/>
    <w:uiPriority w:val="99"/>
    <w:unhideWhenUsed/>
    <w:rsid w:val="00E4033A"/>
    <w:rPr>
      <w:sz w:val="20"/>
      <w:szCs w:val="20"/>
    </w:rPr>
  </w:style>
  <w:style w:type="character" w:customStyle="1" w:styleId="CommentTextChar1">
    <w:name w:val="Comment Text Char1"/>
    <w:basedOn w:val="DefaultParagraphFont"/>
    <w:uiPriority w:val="99"/>
    <w:semiHidden/>
    <w:rsid w:val="00E4033A"/>
    <w:rPr>
      <w:rFonts w:ascii="Times New Roman" w:eastAsia="Calibri" w:hAnsi="Times New Roman" w:cs="Times New Roman"/>
      <w:sz w:val="20"/>
      <w:szCs w:val="20"/>
      <w:lang w:val="es-ES_tradnl"/>
    </w:rPr>
  </w:style>
  <w:style w:type="character" w:customStyle="1" w:styleId="apple-converted-space">
    <w:name w:val="apple-converted-space"/>
    <w:basedOn w:val="DefaultParagraphFont"/>
    <w:rsid w:val="00E4033A"/>
  </w:style>
  <w:style w:type="character" w:styleId="Strong">
    <w:name w:val="Strong"/>
    <w:basedOn w:val="DefaultParagraphFont"/>
    <w:uiPriority w:val="22"/>
    <w:qFormat/>
    <w:rsid w:val="00E4033A"/>
    <w:rPr>
      <w:b/>
      <w:bCs/>
    </w:rPr>
  </w:style>
  <w:style w:type="paragraph" w:styleId="BalloonText">
    <w:name w:val="Balloon Text"/>
    <w:basedOn w:val="Normal"/>
    <w:link w:val="BalloonTextChar"/>
    <w:uiPriority w:val="99"/>
    <w:semiHidden/>
    <w:unhideWhenUsed/>
    <w:rsid w:val="00E4033A"/>
    <w:rPr>
      <w:rFonts w:ascii="Tahoma" w:hAnsi="Tahoma" w:cs="Tahoma"/>
      <w:sz w:val="16"/>
      <w:szCs w:val="16"/>
    </w:rPr>
  </w:style>
  <w:style w:type="character" w:customStyle="1" w:styleId="BalloonTextChar">
    <w:name w:val="Balloon Text Char"/>
    <w:basedOn w:val="DefaultParagraphFont"/>
    <w:link w:val="BalloonText"/>
    <w:uiPriority w:val="99"/>
    <w:semiHidden/>
    <w:rsid w:val="00E4033A"/>
    <w:rPr>
      <w:rFonts w:ascii="Tahoma" w:eastAsia="Calibri" w:hAnsi="Tahoma" w:cs="Tahoma"/>
      <w:sz w:val="16"/>
      <w:szCs w:val="16"/>
      <w:lang w:val="es-ES_tradnl"/>
    </w:rPr>
  </w:style>
  <w:style w:type="paragraph" w:styleId="Header">
    <w:name w:val="header"/>
    <w:basedOn w:val="Normal"/>
    <w:link w:val="HeaderChar"/>
    <w:uiPriority w:val="99"/>
    <w:unhideWhenUsed/>
    <w:rsid w:val="00926E61"/>
    <w:pPr>
      <w:tabs>
        <w:tab w:val="center" w:pos="4419"/>
        <w:tab w:val="right" w:pos="8838"/>
      </w:tabs>
    </w:pPr>
    <w:rPr>
      <w:rFonts w:asciiTheme="minorHAnsi" w:eastAsiaTheme="minorHAnsi" w:hAnsiTheme="minorHAnsi" w:cstheme="minorBidi"/>
      <w:sz w:val="22"/>
      <w:szCs w:val="22"/>
      <w:lang w:val="es-CR"/>
    </w:rPr>
  </w:style>
  <w:style w:type="character" w:customStyle="1" w:styleId="HeaderChar">
    <w:name w:val="Header Char"/>
    <w:basedOn w:val="DefaultParagraphFont"/>
    <w:link w:val="Header"/>
    <w:uiPriority w:val="99"/>
    <w:rsid w:val="00926E61"/>
    <w:rPr>
      <w:lang w:val="es-CR"/>
    </w:rPr>
  </w:style>
  <w:style w:type="paragraph" w:styleId="CommentSubject">
    <w:name w:val="annotation subject"/>
    <w:basedOn w:val="CommentText"/>
    <w:next w:val="CommentText"/>
    <w:link w:val="CommentSubjectChar"/>
    <w:uiPriority w:val="99"/>
    <w:semiHidden/>
    <w:unhideWhenUsed/>
    <w:rsid w:val="00926E61"/>
    <w:pPr>
      <w:spacing w:after="200"/>
    </w:pPr>
    <w:rPr>
      <w:rFonts w:asciiTheme="minorHAnsi" w:eastAsiaTheme="minorHAnsi" w:hAnsiTheme="minorHAnsi" w:cstheme="minorBidi"/>
      <w:b/>
      <w:bCs/>
      <w:lang w:val="es-CR"/>
    </w:rPr>
  </w:style>
  <w:style w:type="character" w:customStyle="1" w:styleId="CommentSubjectChar">
    <w:name w:val="Comment Subject Char"/>
    <w:basedOn w:val="CommentTextChar"/>
    <w:link w:val="CommentSubject"/>
    <w:uiPriority w:val="99"/>
    <w:semiHidden/>
    <w:rsid w:val="00926E61"/>
    <w:rPr>
      <w:rFonts w:ascii="Times New Roman" w:eastAsia="Calibri" w:hAnsi="Times New Roman" w:cs="Times New Roman"/>
      <w:b/>
      <w:bCs/>
      <w:sz w:val="20"/>
      <w:szCs w:val="20"/>
      <w:lang w:val="es-CR"/>
    </w:rPr>
  </w:style>
  <w:style w:type="paragraph" w:customStyle="1" w:styleId="Footnotes">
    <w:name w:val="**. Footnotes"/>
    <w:basedOn w:val="FootnoteText"/>
    <w:link w:val="FootnotesChar"/>
    <w:autoRedefine/>
    <w:qFormat/>
    <w:rsid w:val="00FC1FCF"/>
    <w:pPr>
      <w:spacing w:before="120"/>
    </w:pPr>
    <w:rPr>
      <w:rFonts w:cs="Palatino-Italic"/>
      <w:iCs/>
      <w:lang w:eastAsia="en-US"/>
    </w:rPr>
  </w:style>
  <w:style w:type="character" w:customStyle="1" w:styleId="FootnotesChar">
    <w:name w:val="**. Footnotes Char"/>
    <w:basedOn w:val="DefaultParagraphFont"/>
    <w:link w:val="Footnotes"/>
    <w:rsid w:val="00FC1FCF"/>
    <w:rPr>
      <w:rFonts w:ascii="Verdana" w:eastAsia="Batang" w:hAnsi="Verdana" w:cs="Palatino-Italic"/>
      <w:iCs/>
      <w:sz w:val="16"/>
      <w:szCs w:val="16"/>
      <w:lang w:val="es-ES"/>
    </w:rPr>
  </w:style>
  <w:style w:type="character" w:customStyle="1" w:styleId="apple-style-span">
    <w:name w:val="apple-style-span"/>
    <w:basedOn w:val="DefaultParagraphFont"/>
    <w:rsid w:val="00FC1FCF"/>
    <w:rPr>
      <w:rFonts w:cs="Times New Roman"/>
    </w:rPr>
  </w:style>
  <w:style w:type="paragraph" w:customStyle="1" w:styleId="Default">
    <w:name w:val="Default"/>
    <w:rsid w:val="00FC1FC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C1FCF"/>
    <w:pPr>
      <w:spacing w:after="0" w:line="240" w:lineRule="auto"/>
    </w:pPr>
  </w:style>
  <w:style w:type="character" w:customStyle="1" w:styleId="Ttulo1">
    <w:name w:val="Título1"/>
    <w:basedOn w:val="DefaultParagraphFont"/>
    <w:rsid w:val="00FC1FCF"/>
  </w:style>
  <w:style w:type="paragraph" w:styleId="NoSpacing">
    <w:name w:val="No Spacing"/>
    <w:uiPriority w:val="1"/>
    <w:qFormat/>
    <w:rsid w:val="007E0325"/>
    <w:pPr>
      <w:spacing w:after="0" w:line="240" w:lineRule="auto"/>
    </w:pPr>
    <w:rPr>
      <w:rFonts w:eastAsiaTheme="minorEastAsia"/>
    </w:rPr>
  </w:style>
  <w:style w:type="paragraph" w:styleId="TOC4">
    <w:name w:val="toc 4"/>
    <w:basedOn w:val="Normal"/>
    <w:next w:val="Normal"/>
    <w:autoRedefine/>
    <w:uiPriority w:val="39"/>
    <w:unhideWhenUsed/>
    <w:rsid w:val="007E0325"/>
    <w:pPr>
      <w:spacing w:after="100"/>
      <w:ind w:left="720"/>
    </w:pPr>
  </w:style>
  <w:style w:type="character" w:customStyle="1" w:styleId="PiedepginaCar1">
    <w:name w:val="Pie de página Car1"/>
    <w:basedOn w:val="DefaultParagraphFont"/>
    <w:semiHidden/>
    <w:rsid w:val="002E4580"/>
    <w:rPr>
      <w:rFonts w:ascii="Times" w:eastAsia="Times New Roman" w:hAnsi="Times" w:cs="Times New Roman"/>
      <w:snapToGrid w:val="0"/>
      <w:sz w:val="24"/>
      <w:szCs w:val="24"/>
      <w:lang w:val="es-ES_tradnl" w:eastAsia="es-ES"/>
    </w:rPr>
  </w:style>
  <w:style w:type="paragraph" w:styleId="TOC5">
    <w:name w:val="toc 5"/>
    <w:basedOn w:val="Normal"/>
    <w:next w:val="Normal"/>
    <w:autoRedefine/>
    <w:uiPriority w:val="39"/>
    <w:unhideWhenUsed/>
    <w:rsid w:val="004B1D0E"/>
    <w:pPr>
      <w:spacing w:after="100"/>
      <w:ind w:left="960"/>
    </w:pPr>
  </w:style>
  <w:style w:type="character" w:styleId="LineNumber">
    <w:name w:val="line number"/>
    <w:basedOn w:val="DefaultParagraphFont"/>
    <w:uiPriority w:val="99"/>
    <w:semiHidden/>
    <w:unhideWhenUsed/>
    <w:rsid w:val="000B1FC8"/>
  </w:style>
  <w:style w:type="paragraph" w:customStyle="1" w:styleId="PrrafodeSentencia">
    <w:name w:val="*. Párrafo de Sentencia"/>
    <w:link w:val="PrrafodeSentenciaChar"/>
    <w:autoRedefine/>
    <w:qFormat/>
    <w:rsid w:val="0062526A"/>
    <w:pPr>
      <w:tabs>
        <w:tab w:val="left" w:pos="0"/>
      </w:tabs>
      <w:spacing w:after="0" w:line="240" w:lineRule="auto"/>
      <w:jc w:val="both"/>
    </w:pPr>
    <w:rPr>
      <w:rFonts w:ascii="Verdana" w:eastAsia="Batang" w:hAnsi="Verdana" w:cs="Times New Roman"/>
      <w:sz w:val="20"/>
      <w:szCs w:val="20"/>
      <w:lang w:val="es-MX" w:eastAsia="es-MX"/>
    </w:rPr>
  </w:style>
  <w:style w:type="character" w:customStyle="1" w:styleId="hps">
    <w:name w:val="hps"/>
    <w:basedOn w:val="DefaultParagraphFont"/>
    <w:rsid w:val="00A91B78"/>
  </w:style>
  <w:style w:type="paragraph" w:styleId="HTMLPreformatted">
    <w:name w:val="HTML Preformatted"/>
    <w:basedOn w:val="Normal"/>
    <w:link w:val="HTMLPreformattedChar"/>
    <w:uiPriority w:val="99"/>
    <w:unhideWhenUsed/>
    <w:rsid w:val="00A91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A91B78"/>
    <w:rPr>
      <w:rFonts w:ascii="Courier New" w:eastAsia="Times New Roman" w:hAnsi="Courier New" w:cs="Times New Roman"/>
      <w:sz w:val="20"/>
      <w:szCs w:val="20"/>
    </w:rPr>
  </w:style>
  <w:style w:type="paragraph" w:customStyle="1" w:styleId="2Footnotes">
    <w:name w:val="2. Footnotes"/>
    <w:basedOn w:val="FootnoteText"/>
    <w:link w:val="2FootnotesChar"/>
    <w:autoRedefine/>
    <w:qFormat/>
    <w:rsid w:val="00A91B78"/>
    <w:pPr>
      <w:tabs>
        <w:tab w:val="clear" w:pos="567"/>
      </w:tabs>
      <w:spacing w:before="120"/>
    </w:pPr>
    <w:rPr>
      <w:rFonts w:eastAsia="Times New Roman" w:cs="Palatino-Italic"/>
      <w:iCs/>
      <w:noProof/>
      <w:szCs w:val="18"/>
      <w:lang w:eastAsia="en-US"/>
    </w:rPr>
  </w:style>
  <w:style w:type="character" w:customStyle="1" w:styleId="2FootnotesChar">
    <w:name w:val="2. Footnotes Char"/>
    <w:link w:val="2Footnotes"/>
    <w:rsid w:val="00A91B78"/>
    <w:rPr>
      <w:rFonts w:ascii="Verdana" w:eastAsia="Times New Roman" w:hAnsi="Verdana" w:cs="Palatino-Italic"/>
      <w:iCs/>
      <w:noProof/>
      <w:sz w:val="16"/>
      <w:szCs w:val="18"/>
      <w:lang w:val="es-ES"/>
    </w:rPr>
  </w:style>
  <w:style w:type="character" w:customStyle="1" w:styleId="PrrafodeSentenciaChar">
    <w:name w:val="*. Párrafo de Sentencia Char"/>
    <w:link w:val="PrrafodeSentencia"/>
    <w:rsid w:val="0062526A"/>
    <w:rPr>
      <w:rFonts w:ascii="Verdana" w:eastAsia="Batang" w:hAnsi="Verdana" w:cs="Times New Roman"/>
      <w:sz w:val="20"/>
      <w:szCs w:val="20"/>
      <w:lang w:val="es-MX" w:eastAsia="es-MX"/>
    </w:rPr>
  </w:style>
  <w:style w:type="character" w:styleId="FollowedHyperlink">
    <w:name w:val="FollowedHyperlink"/>
    <w:basedOn w:val="DefaultParagraphFont"/>
    <w:uiPriority w:val="99"/>
    <w:semiHidden/>
    <w:unhideWhenUsed/>
    <w:rsid w:val="00216F93"/>
    <w:rPr>
      <w:color w:val="800080" w:themeColor="followedHyperlink"/>
      <w:u w:val="single"/>
    </w:rPr>
  </w:style>
  <w:style w:type="paragraph" w:styleId="NormalWeb">
    <w:name w:val="Normal (Web)"/>
    <w:aliases w:val="Normal (Web) Char1,Normal (Web) Char Char,Normal (Web) Char1 Char,Normal (Web) Char Char Char"/>
    <w:basedOn w:val="Normal"/>
    <w:uiPriority w:val="99"/>
    <w:unhideWhenUsed/>
    <w:rsid w:val="00D53828"/>
    <w:pPr>
      <w:spacing w:before="100" w:beforeAutospacing="1" w:after="100" w:afterAutospacing="1"/>
    </w:pPr>
    <w:rPr>
      <w:rFonts w:eastAsia="Times New Roman"/>
      <w:lang w:val="es-CR" w:eastAsia="es-CR"/>
    </w:rPr>
  </w:style>
  <w:style w:type="paragraph" w:customStyle="1" w:styleId="xmsonormal">
    <w:name w:val="x_msonormal"/>
    <w:basedOn w:val="Normal"/>
    <w:rsid w:val="00FB1F21"/>
    <w:pPr>
      <w:spacing w:before="100" w:beforeAutospacing="1" w:after="100" w:afterAutospacing="1"/>
    </w:pPr>
    <w:rPr>
      <w:rFonts w:eastAsia="Times New Roman"/>
      <w:lang w:val="en-US"/>
    </w:rPr>
  </w:style>
  <w:style w:type="paragraph" w:customStyle="1" w:styleId="HChG">
    <w:name w:val="_ H _Ch_G"/>
    <w:basedOn w:val="Normal"/>
    <w:next w:val="Normal"/>
    <w:rsid w:val="004E0159"/>
    <w:pPr>
      <w:keepNext/>
      <w:keepLines/>
      <w:tabs>
        <w:tab w:val="right" w:pos="851"/>
      </w:tabs>
      <w:suppressAutoHyphens/>
      <w:spacing w:before="360" w:after="240" w:line="300" w:lineRule="exact"/>
      <w:ind w:left="1134" w:right="1134" w:hanging="1134"/>
    </w:pPr>
    <w:rPr>
      <w:rFonts w:eastAsia="Times New Roman"/>
      <w:b/>
      <w:sz w:val="28"/>
      <w:szCs w:val="20"/>
      <w:lang w:val="es-ES" w:eastAsia="es-ES"/>
    </w:rPr>
  </w:style>
  <w:style w:type="paragraph" w:customStyle="1" w:styleId="H1G">
    <w:name w:val="_ H_1_G"/>
    <w:basedOn w:val="Normal"/>
    <w:next w:val="Normal"/>
    <w:rsid w:val="004E0159"/>
    <w:pPr>
      <w:keepNext/>
      <w:keepLines/>
      <w:tabs>
        <w:tab w:val="right" w:pos="851"/>
      </w:tabs>
      <w:suppressAutoHyphens/>
      <w:spacing w:before="360" w:after="240" w:line="270" w:lineRule="exact"/>
      <w:ind w:left="1134" w:right="1134" w:hanging="1134"/>
    </w:pPr>
    <w:rPr>
      <w:rFonts w:eastAsia="Times New Roman"/>
      <w:b/>
      <w:szCs w:val="20"/>
      <w:lang w:val="es-ES" w:eastAsia="es-ES"/>
    </w:rPr>
  </w:style>
  <w:style w:type="paragraph" w:customStyle="1" w:styleId="Estilo1">
    <w:name w:val="Estilo1"/>
    <w:basedOn w:val="ListParagraph"/>
    <w:qFormat/>
    <w:rsid w:val="00907AD9"/>
    <w:pPr>
      <w:numPr>
        <w:numId w:val="53"/>
      </w:numPr>
      <w:spacing w:after="240"/>
      <w:ind w:left="0" w:firstLine="0"/>
      <w:contextualSpacing w:val="0"/>
      <w:jc w:val="both"/>
    </w:pPr>
    <w:rPr>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14467">
      <w:bodyDiv w:val="1"/>
      <w:marLeft w:val="0"/>
      <w:marRight w:val="0"/>
      <w:marTop w:val="0"/>
      <w:marBottom w:val="0"/>
      <w:divBdr>
        <w:top w:val="none" w:sz="0" w:space="0" w:color="auto"/>
        <w:left w:val="none" w:sz="0" w:space="0" w:color="auto"/>
        <w:bottom w:val="none" w:sz="0" w:space="0" w:color="auto"/>
        <w:right w:val="none" w:sz="0" w:space="0" w:color="auto"/>
      </w:divBdr>
    </w:div>
    <w:div w:id="166989879">
      <w:bodyDiv w:val="1"/>
      <w:marLeft w:val="0"/>
      <w:marRight w:val="0"/>
      <w:marTop w:val="0"/>
      <w:marBottom w:val="0"/>
      <w:divBdr>
        <w:top w:val="none" w:sz="0" w:space="0" w:color="auto"/>
        <w:left w:val="none" w:sz="0" w:space="0" w:color="auto"/>
        <w:bottom w:val="none" w:sz="0" w:space="0" w:color="auto"/>
        <w:right w:val="none" w:sz="0" w:space="0" w:color="auto"/>
      </w:divBdr>
      <w:divsChild>
        <w:div w:id="1596939806">
          <w:marLeft w:val="0"/>
          <w:marRight w:val="0"/>
          <w:marTop w:val="0"/>
          <w:marBottom w:val="0"/>
          <w:divBdr>
            <w:top w:val="none" w:sz="0" w:space="0" w:color="auto"/>
            <w:left w:val="none" w:sz="0" w:space="0" w:color="auto"/>
            <w:bottom w:val="none" w:sz="0" w:space="0" w:color="auto"/>
            <w:right w:val="none" w:sz="0" w:space="0" w:color="auto"/>
          </w:divBdr>
        </w:div>
        <w:div w:id="1288203128">
          <w:marLeft w:val="0"/>
          <w:marRight w:val="0"/>
          <w:marTop w:val="0"/>
          <w:marBottom w:val="0"/>
          <w:divBdr>
            <w:top w:val="none" w:sz="0" w:space="0" w:color="auto"/>
            <w:left w:val="none" w:sz="0" w:space="0" w:color="auto"/>
            <w:bottom w:val="none" w:sz="0" w:space="0" w:color="auto"/>
            <w:right w:val="none" w:sz="0" w:space="0" w:color="auto"/>
          </w:divBdr>
        </w:div>
      </w:divsChild>
    </w:div>
    <w:div w:id="178082094">
      <w:bodyDiv w:val="1"/>
      <w:marLeft w:val="0"/>
      <w:marRight w:val="0"/>
      <w:marTop w:val="0"/>
      <w:marBottom w:val="0"/>
      <w:divBdr>
        <w:top w:val="none" w:sz="0" w:space="0" w:color="auto"/>
        <w:left w:val="none" w:sz="0" w:space="0" w:color="auto"/>
        <w:bottom w:val="none" w:sz="0" w:space="0" w:color="auto"/>
        <w:right w:val="none" w:sz="0" w:space="0" w:color="auto"/>
      </w:divBdr>
    </w:div>
    <w:div w:id="237591996">
      <w:bodyDiv w:val="1"/>
      <w:marLeft w:val="0"/>
      <w:marRight w:val="0"/>
      <w:marTop w:val="0"/>
      <w:marBottom w:val="0"/>
      <w:divBdr>
        <w:top w:val="none" w:sz="0" w:space="0" w:color="auto"/>
        <w:left w:val="none" w:sz="0" w:space="0" w:color="auto"/>
        <w:bottom w:val="none" w:sz="0" w:space="0" w:color="auto"/>
        <w:right w:val="none" w:sz="0" w:space="0" w:color="auto"/>
      </w:divBdr>
    </w:div>
    <w:div w:id="377780073">
      <w:bodyDiv w:val="1"/>
      <w:marLeft w:val="0"/>
      <w:marRight w:val="0"/>
      <w:marTop w:val="0"/>
      <w:marBottom w:val="0"/>
      <w:divBdr>
        <w:top w:val="none" w:sz="0" w:space="0" w:color="auto"/>
        <w:left w:val="none" w:sz="0" w:space="0" w:color="auto"/>
        <w:bottom w:val="none" w:sz="0" w:space="0" w:color="auto"/>
        <w:right w:val="none" w:sz="0" w:space="0" w:color="auto"/>
      </w:divBdr>
    </w:div>
    <w:div w:id="514654505">
      <w:bodyDiv w:val="1"/>
      <w:marLeft w:val="0"/>
      <w:marRight w:val="0"/>
      <w:marTop w:val="0"/>
      <w:marBottom w:val="0"/>
      <w:divBdr>
        <w:top w:val="none" w:sz="0" w:space="0" w:color="auto"/>
        <w:left w:val="none" w:sz="0" w:space="0" w:color="auto"/>
        <w:bottom w:val="none" w:sz="0" w:space="0" w:color="auto"/>
        <w:right w:val="none" w:sz="0" w:space="0" w:color="auto"/>
      </w:divBdr>
    </w:div>
    <w:div w:id="557862920">
      <w:bodyDiv w:val="1"/>
      <w:marLeft w:val="0"/>
      <w:marRight w:val="0"/>
      <w:marTop w:val="0"/>
      <w:marBottom w:val="0"/>
      <w:divBdr>
        <w:top w:val="none" w:sz="0" w:space="0" w:color="auto"/>
        <w:left w:val="none" w:sz="0" w:space="0" w:color="auto"/>
        <w:bottom w:val="none" w:sz="0" w:space="0" w:color="auto"/>
        <w:right w:val="none" w:sz="0" w:space="0" w:color="auto"/>
      </w:divBdr>
    </w:div>
    <w:div w:id="575750807">
      <w:bodyDiv w:val="1"/>
      <w:marLeft w:val="0"/>
      <w:marRight w:val="0"/>
      <w:marTop w:val="0"/>
      <w:marBottom w:val="0"/>
      <w:divBdr>
        <w:top w:val="none" w:sz="0" w:space="0" w:color="auto"/>
        <w:left w:val="none" w:sz="0" w:space="0" w:color="auto"/>
        <w:bottom w:val="none" w:sz="0" w:space="0" w:color="auto"/>
        <w:right w:val="none" w:sz="0" w:space="0" w:color="auto"/>
      </w:divBdr>
    </w:div>
    <w:div w:id="688221708">
      <w:bodyDiv w:val="1"/>
      <w:marLeft w:val="0"/>
      <w:marRight w:val="0"/>
      <w:marTop w:val="0"/>
      <w:marBottom w:val="0"/>
      <w:divBdr>
        <w:top w:val="none" w:sz="0" w:space="0" w:color="auto"/>
        <w:left w:val="none" w:sz="0" w:space="0" w:color="auto"/>
        <w:bottom w:val="none" w:sz="0" w:space="0" w:color="auto"/>
        <w:right w:val="none" w:sz="0" w:space="0" w:color="auto"/>
      </w:divBdr>
    </w:div>
    <w:div w:id="693531536">
      <w:bodyDiv w:val="1"/>
      <w:marLeft w:val="0"/>
      <w:marRight w:val="0"/>
      <w:marTop w:val="0"/>
      <w:marBottom w:val="0"/>
      <w:divBdr>
        <w:top w:val="none" w:sz="0" w:space="0" w:color="auto"/>
        <w:left w:val="none" w:sz="0" w:space="0" w:color="auto"/>
        <w:bottom w:val="none" w:sz="0" w:space="0" w:color="auto"/>
        <w:right w:val="none" w:sz="0" w:space="0" w:color="auto"/>
      </w:divBdr>
    </w:div>
    <w:div w:id="765005899">
      <w:bodyDiv w:val="1"/>
      <w:marLeft w:val="0"/>
      <w:marRight w:val="0"/>
      <w:marTop w:val="0"/>
      <w:marBottom w:val="0"/>
      <w:divBdr>
        <w:top w:val="none" w:sz="0" w:space="0" w:color="auto"/>
        <w:left w:val="none" w:sz="0" w:space="0" w:color="auto"/>
        <w:bottom w:val="none" w:sz="0" w:space="0" w:color="auto"/>
        <w:right w:val="none" w:sz="0" w:space="0" w:color="auto"/>
      </w:divBdr>
    </w:div>
    <w:div w:id="1042054931">
      <w:bodyDiv w:val="1"/>
      <w:marLeft w:val="0"/>
      <w:marRight w:val="0"/>
      <w:marTop w:val="0"/>
      <w:marBottom w:val="0"/>
      <w:divBdr>
        <w:top w:val="none" w:sz="0" w:space="0" w:color="auto"/>
        <w:left w:val="none" w:sz="0" w:space="0" w:color="auto"/>
        <w:bottom w:val="none" w:sz="0" w:space="0" w:color="auto"/>
        <w:right w:val="none" w:sz="0" w:space="0" w:color="auto"/>
      </w:divBdr>
    </w:div>
    <w:div w:id="1123961154">
      <w:bodyDiv w:val="1"/>
      <w:marLeft w:val="0"/>
      <w:marRight w:val="0"/>
      <w:marTop w:val="0"/>
      <w:marBottom w:val="0"/>
      <w:divBdr>
        <w:top w:val="none" w:sz="0" w:space="0" w:color="auto"/>
        <w:left w:val="none" w:sz="0" w:space="0" w:color="auto"/>
        <w:bottom w:val="none" w:sz="0" w:space="0" w:color="auto"/>
        <w:right w:val="none" w:sz="0" w:space="0" w:color="auto"/>
      </w:divBdr>
    </w:div>
    <w:div w:id="1263687707">
      <w:bodyDiv w:val="1"/>
      <w:marLeft w:val="0"/>
      <w:marRight w:val="0"/>
      <w:marTop w:val="0"/>
      <w:marBottom w:val="0"/>
      <w:divBdr>
        <w:top w:val="none" w:sz="0" w:space="0" w:color="auto"/>
        <w:left w:val="none" w:sz="0" w:space="0" w:color="auto"/>
        <w:bottom w:val="none" w:sz="0" w:space="0" w:color="auto"/>
        <w:right w:val="none" w:sz="0" w:space="0" w:color="auto"/>
      </w:divBdr>
    </w:div>
    <w:div w:id="1751342915">
      <w:bodyDiv w:val="1"/>
      <w:marLeft w:val="0"/>
      <w:marRight w:val="0"/>
      <w:marTop w:val="0"/>
      <w:marBottom w:val="0"/>
      <w:divBdr>
        <w:top w:val="none" w:sz="0" w:space="0" w:color="auto"/>
        <w:left w:val="none" w:sz="0" w:space="0" w:color="auto"/>
        <w:bottom w:val="none" w:sz="0" w:space="0" w:color="auto"/>
        <w:right w:val="none" w:sz="0" w:space="0" w:color="auto"/>
      </w:divBdr>
    </w:div>
    <w:div w:id="2027322137">
      <w:bodyDiv w:val="1"/>
      <w:marLeft w:val="0"/>
      <w:marRight w:val="0"/>
      <w:marTop w:val="0"/>
      <w:marBottom w:val="0"/>
      <w:divBdr>
        <w:top w:val="none" w:sz="0" w:space="0" w:color="auto"/>
        <w:left w:val="none" w:sz="0" w:space="0" w:color="auto"/>
        <w:bottom w:val="none" w:sz="0" w:space="0" w:color="auto"/>
        <w:right w:val="none" w:sz="0" w:space="0" w:color="auto"/>
      </w:divBdr>
      <w:divsChild>
        <w:div w:id="1507790388">
          <w:marLeft w:val="0"/>
          <w:marRight w:val="0"/>
          <w:marTop w:val="0"/>
          <w:marBottom w:val="0"/>
          <w:divBdr>
            <w:top w:val="none" w:sz="0" w:space="0" w:color="auto"/>
            <w:left w:val="none" w:sz="0" w:space="0" w:color="auto"/>
            <w:bottom w:val="none" w:sz="0" w:space="0" w:color="auto"/>
            <w:right w:val="none" w:sz="0" w:space="0" w:color="auto"/>
          </w:divBdr>
        </w:div>
        <w:div w:id="1629051113">
          <w:marLeft w:val="0"/>
          <w:marRight w:val="0"/>
          <w:marTop w:val="0"/>
          <w:marBottom w:val="0"/>
          <w:divBdr>
            <w:top w:val="none" w:sz="0" w:space="0" w:color="auto"/>
            <w:left w:val="none" w:sz="0" w:space="0" w:color="auto"/>
            <w:bottom w:val="none" w:sz="0" w:space="0" w:color="auto"/>
            <w:right w:val="none" w:sz="0" w:space="0" w:color="auto"/>
          </w:divBdr>
        </w:div>
        <w:div w:id="246614856">
          <w:marLeft w:val="0"/>
          <w:marRight w:val="0"/>
          <w:marTop w:val="0"/>
          <w:marBottom w:val="0"/>
          <w:divBdr>
            <w:top w:val="none" w:sz="0" w:space="0" w:color="auto"/>
            <w:left w:val="none" w:sz="0" w:space="0" w:color="auto"/>
            <w:bottom w:val="none" w:sz="0" w:space="0" w:color="auto"/>
            <w:right w:val="none" w:sz="0" w:space="0" w:color="auto"/>
          </w:divBdr>
        </w:div>
        <w:div w:id="1379471076">
          <w:marLeft w:val="0"/>
          <w:marRight w:val="0"/>
          <w:marTop w:val="0"/>
          <w:marBottom w:val="0"/>
          <w:divBdr>
            <w:top w:val="none" w:sz="0" w:space="0" w:color="auto"/>
            <w:left w:val="none" w:sz="0" w:space="0" w:color="auto"/>
            <w:bottom w:val="none" w:sz="0" w:space="0" w:color="auto"/>
            <w:right w:val="none" w:sz="0" w:space="0" w:color="auto"/>
          </w:divBdr>
        </w:div>
        <w:div w:id="1505782666">
          <w:marLeft w:val="0"/>
          <w:marRight w:val="0"/>
          <w:marTop w:val="0"/>
          <w:marBottom w:val="0"/>
          <w:divBdr>
            <w:top w:val="none" w:sz="0" w:space="0" w:color="auto"/>
            <w:left w:val="none" w:sz="0" w:space="0" w:color="auto"/>
            <w:bottom w:val="none" w:sz="0" w:space="0" w:color="auto"/>
            <w:right w:val="none" w:sz="0" w:space="0" w:color="auto"/>
          </w:divBdr>
        </w:div>
        <w:div w:id="585696365">
          <w:marLeft w:val="0"/>
          <w:marRight w:val="0"/>
          <w:marTop w:val="0"/>
          <w:marBottom w:val="0"/>
          <w:divBdr>
            <w:top w:val="none" w:sz="0" w:space="0" w:color="auto"/>
            <w:left w:val="none" w:sz="0" w:space="0" w:color="auto"/>
            <w:bottom w:val="none" w:sz="0" w:space="0" w:color="auto"/>
            <w:right w:val="none" w:sz="0" w:space="0" w:color="auto"/>
          </w:divBdr>
        </w:div>
        <w:div w:id="1562600115">
          <w:marLeft w:val="0"/>
          <w:marRight w:val="0"/>
          <w:marTop w:val="0"/>
          <w:marBottom w:val="0"/>
          <w:divBdr>
            <w:top w:val="none" w:sz="0" w:space="0" w:color="auto"/>
            <w:left w:val="none" w:sz="0" w:space="0" w:color="auto"/>
            <w:bottom w:val="none" w:sz="0" w:space="0" w:color="auto"/>
            <w:right w:val="none" w:sz="0" w:space="0" w:color="auto"/>
          </w:divBdr>
        </w:div>
        <w:div w:id="586234484">
          <w:marLeft w:val="0"/>
          <w:marRight w:val="0"/>
          <w:marTop w:val="0"/>
          <w:marBottom w:val="0"/>
          <w:divBdr>
            <w:top w:val="none" w:sz="0" w:space="0" w:color="auto"/>
            <w:left w:val="none" w:sz="0" w:space="0" w:color="auto"/>
            <w:bottom w:val="none" w:sz="0" w:space="0" w:color="auto"/>
            <w:right w:val="none" w:sz="0" w:space="0" w:color="auto"/>
          </w:divBdr>
        </w:div>
        <w:div w:id="110168411">
          <w:marLeft w:val="0"/>
          <w:marRight w:val="0"/>
          <w:marTop w:val="0"/>
          <w:marBottom w:val="0"/>
          <w:divBdr>
            <w:top w:val="none" w:sz="0" w:space="0" w:color="auto"/>
            <w:left w:val="none" w:sz="0" w:space="0" w:color="auto"/>
            <w:bottom w:val="none" w:sz="0" w:space="0" w:color="auto"/>
            <w:right w:val="none" w:sz="0" w:space="0" w:color="auto"/>
          </w:divBdr>
        </w:div>
      </w:divsChild>
    </w:div>
    <w:div w:id="212449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image" Target="media/image1.png"/><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customXml" Target="../customXml/item7.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microsoft.com/office/2007/relationships/stylesWithEffects" Target="stylesWithEffects.xml"/><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styles" Target="styles.xml"/><Relationship Id="rId61" Type="http://schemas.openxmlformats.org/officeDocument/2006/relationships/footnotes" Target="footnotes.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webSettings" Target="webSettings.xml"/><Relationship Id="rId65" Type="http://schemas.openxmlformats.org/officeDocument/2006/relationships/image" Target="media/image3.jpe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numbering" Target="numbering.xml"/><Relationship Id="rId64" Type="http://schemas.openxmlformats.org/officeDocument/2006/relationships/image" Target="media/image2.png"/><Relationship Id="rId69" Type="http://schemas.openxmlformats.org/officeDocument/2006/relationships/header" Target="header3.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ettings" Target="settings.xml"/><Relationship Id="rId67" Type="http://schemas.openxmlformats.org/officeDocument/2006/relationships/header" Target="header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endnotes" Target="endnotes.xm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www.cbd.int/convention/text/default.shtml" TargetMode="External"/><Relationship Id="rId13" Type="http://schemas.openxmlformats.org/officeDocument/2006/relationships/hyperlink" Target="http://eur-lex.europa.eu/legal-content/ES/TXT/HTML/?uri=URISERV:l28056&amp;from=ES" TargetMode="External"/><Relationship Id="rId18" Type="http://schemas.openxmlformats.org/officeDocument/2006/relationships/hyperlink" Target="http://daccess-dds-ny.un.org/doc/RESOLUTION/GEN/G11/144/74/PDF/G1114474.pdf?OpenElement" TargetMode="External"/><Relationship Id="rId3" Type="http://schemas.openxmlformats.org/officeDocument/2006/relationships/hyperlink" Target="https://www.cbd.int/doc/publications/addis-gdl-es.pdf" TargetMode="External"/><Relationship Id="rId21" Type="http://schemas.openxmlformats.org/officeDocument/2006/relationships/hyperlink" Target="http://www2.ohchr.org/SPdocs/Business/A-HRC-17-31_sp.doc" TargetMode="External"/><Relationship Id="rId7" Type="http://schemas.openxmlformats.org/officeDocument/2006/relationships/hyperlink" Target="http://awsassets.panda.org/downloads/183113_wwf_policyrpt_sp_f_1.pdf" TargetMode="External"/><Relationship Id="rId12" Type="http://schemas.openxmlformats.org/officeDocument/2006/relationships/hyperlink" Target="https://es.wikipedia.org/wiki/Tratado_internacional" TargetMode="External"/><Relationship Id="rId17" Type="http://schemas.openxmlformats.org/officeDocument/2006/relationships/hyperlink" Target="http://www.ohchr.org/EN/Issues/TransnationalCorporations/Pages/Reports.aspx" TargetMode="External"/><Relationship Id="rId25" Type="http://schemas.openxmlformats.org/officeDocument/2006/relationships/hyperlink" Target="http://www.oas.org/cji/CJI-RES_147_LXXII-O-08_esp.pdf" TargetMode="External"/><Relationship Id="rId2" Type="http://schemas.openxmlformats.org/officeDocument/2006/relationships/hyperlink" Target="http://www.ilo.org/indigenous/Conventions/no169/lang--es/index.htm" TargetMode="External"/><Relationship Id="rId16" Type="http://schemas.openxmlformats.org/officeDocument/2006/relationships/hyperlink" Target="http://www.ohchr.org/Documents/Publications/GuidingPrinciplesBusinessHR_SP.pdf" TargetMode="External"/><Relationship Id="rId20" Type="http://schemas.openxmlformats.org/officeDocument/2006/relationships/hyperlink" Target="http://www.oas.org/es/sla/ddi/docs/AG-RES_2840_XLIV-O-14.pdf" TargetMode="External"/><Relationship Id="rId1" Type="http://schemas.openxmlformats.org/officeDocument/2006/relationships/hyperlink" Target="http://www.corteidh.or.cr/docs/asuntos/kali&#241;aylokono_18_12_14.pdf" TargetMode="External"/><Relationship Id="rId6" Type="http://schemas.openxmlformats.org/officeDocument/2006/relationships/hyperlink" Target="http://www.un.org/es/comun/docs/?symbol=A/RES/69/2" TargetMode="External"/><Relationship Id="rId11" Type="http://schemas.openxmlformats.org/officeDocument/2006/relationships/hyperlink" Target="https://www.cbd.int/doc/decisions/cop-07/full/cop-07-dec-es.pdf" TargetMode="External"/><Relationship Id="rId24" Type="http://schemas.openxmlformats.org/officeDocument/2006/relationships/hyperlink" Target="http://www.cidh.oas.org/women/Acceso07/indiceacceso.htm" TargetMode="External"/><Relationship Id="rId5" Type="http://schemas.openxmlformats.org/officeDocument/2006/relationships/hyperlink" Target="http://www.un.org/spanish/esa/sustdev/agenda21/riodeclaration.htm" TargetMode="External"/><Relationship Id="rId15" Type="http://schemas.openxmlformats.org/officeDocument/2006/relationships/hyperlink" Target="http://www.oas.org/es/cidh/mandato/Basicos/declaracion.asp" TargetMode="External"/><Relationship Id="rId23" Type="http://schemas.openxmlformats.org/officeDocument/2006/relationships/hyperlink" Target="http://www.cidh.org/countryrep/AccesoDESC07sp/Accesodescindice.sp.htm" TargetMode="External"/><Relationship Id="rId10" Type="http://schemas.openxmlformats.org/officeDocument/2006/relationships/hyperlink" Target="http://unfccc.int/portal_espanol/informacion_basica/la_convencion/items/6196.php" TargetMode="External"/><Relationship Id="rId19" Type="http://schemas.openxmlformats.org/officeDocument/2006/relationships/hyperlink" Target="http://www.ohchr.org/Documents/Publications/HR.PUB.12.2_sp.pdf" TargetMode="External"/><Relationship Id="rId4" Type="http://schemas.openxmlformats.org/officeDocument/2006/relationships/hyperlink" Target="http://www.redeuroparc.org/biblioteca_virtual/durbanactionplan_sp.pdf" TargetMode="External"/><Relationship Id="rId9" Type="http://schemas.openxmlformats.org/officeDocument/2006/relationships/hyperlink" Target="http://unfccc.int/resource/docs/convkp/convsp.pdf" TargetMode="External"/><Relationship Id="rId14" Type="http://schemas.openxmlformats.org/officeDocument/2006/relationships/hyperlink" Target="https://www.cbd.int/abs/doc/protocol/nagoya-protocol-es.pdf" TargetMode="External"/><Relationship Id="rId22" Type="http://schemas.openxmlformats.org/officeDocument/2006/relationships/hyperlink" Target="http://www.ohchr.org/Documents/Issues/IPeoples/SR/A-HRC-18-35-Add7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ct:contentTypeSchema xmlns:ct="http://schemas.microsoft.com/office/2006/metadata/contentType" xmlns:ma="http://schemas.microsoft.com/office/2006/metadata/properties/metaAttributes" ct:_="" ma:_="" ma:contentTypeName="Document" ma:contentTypeID="0x010100D015BEBE2BF87F40A76A9C926EBECC0C" ma:contentTypeVersion="0" ma:contentTypeDescription="Create a new document." ma:contentTypeScope="" ma:versionID="ad8069bb81a7b5dc5c766ad6aa2648b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05CCB-8213-44FE-A719-75EFFC7186C7}">
  <ds:schemaRefs>
    <ds:schemaRef ds:uri="http://schemas.microsoft.com/sharepoint/v3/contenttype/forms"/>
  </ds:schemaRefs>
</ds:datastoreItem>
</file>

<file path=customXml/itemProps10.xml><?xml version="1.0" encoding="utf-8"?>
<ds:datastoreItem xmlns:ds="http://schemas.openxmlformats.org/officeDocument/2006/customXml" ds:itemID="{3F824BD1-F0AB-4B44-B3F7-58C97A5DC443}">
  <ds:schemaRefs>
    <ds:schemaRef ds:uri="http://schemas.openxmlformats.org/officeDocument/2006/bibliography"/>
  </ds:schemaRefs>
</ds:datastoreItem>
</file>

<file path=customXml/itemProps11.xml><?xml version="1.0" encoding="utf-8"?>
<ds:datastoreItem xmlns:ds="http://schemas.openxmlformats.org/officeDocument/2006/customXml" ds:itemID="{70099D44-5435-4CAA-9533-5EFB2302CC31}">
  <ds:schemaRefs>
    <ds:schemaRef ds:uri="http://schemas.openxmlformats.org/officeDocument/2006/bibliography"/>
  </ds:schemaRefs>
</ds:datastoreItem>
</file>

<file path=customXml/itemProps12.xml><?xml version="1.0" encoding="utf-8"?>
<ds:datastoreItem xmlns:ds="http://schemas.openxmlformats.org/officeDocument/2006/customXml" ds:itemID="{AECF940F-8AA1-4DDD-B387-8C5F4FCAD26B}">
  <ds:schemaRefs>
    <ds:schemaRef ds:uri="http://schemas.openxmlformats.org/officeDocument/2006/bibliography"/>
  </ds:schemaRefs>
</ds:datastoreItem>
</file>

<file path=customXml/itemProps13.xml><?xml version="1.0" encoding="utf-8"?>
<ds:datastoreItem xmlns:ds="http://schemas.openxmlformats.org/officeDocument/2006/customXml" ds:itemID="{682C2DFB-ED98-464D-994A-DF7A4D439B72}">
  <ds:schemaRefs>
    <ds:schemaRef ds:uri="http://schemas.openxmlformats.org/officeDocument/2006/bibliography"/>
  </ds:schemaRefs>
</ds:datastoreItem>
</file>

<file path=customXml/itemProps14.xml><?xml version="1.0" encoding="utf-8"?>
<ds:datastoreItem xmlns:ds="http://schemas.openxmlformats.org/officeDocument/2006/customXml" ds:itemID="{28904BDA-378E-433F-9D46-E74261252761}">
  <ds:schemaRefs>
    <ds:schemaRef ds:uri="http://schemas.openxmlformats.org/officeDocument/2006/bibliography"/>
  </ds:schemaRefs>
</ds:datastoreItem>
</file>

<file path=customXml/itemProps15.xml><?xml version="1.0" encoding="utf-8"?>
<ds:datastoreItem xmlns:ds="http://schemas.openxmlformats.org/officeDocument/2006/customXml" ds:itemID="{CD091FFB-A1C5-43F4-B50D-BD1CC0466711}">
  <ds:schemaRefs>
    <ds:schemaRef ds:uri="http://schemas.openxmlformats.org/officeDocument/2006/bibliography"/>
  </ds:schemaRefs>
</ds:datastoreItem>
</file>

<file path=customXml/itemProps16.xml><?xml version="1.0" encoding="utf-8"?>
<ds:datastoreItem xmlns:ds="http://schemas.openxmlformats.org/officeDocument/2006/customXml" ds:itemID="{DEE82162-0718-4722-B19F-DAF3B0B3E58B}">
  <ds:schemaRefs>
    <ds:schemaRef ds:uri="http://schemas.openxmlformats.org/officeDocument/2006/bibliography"/>
  </ds:schemaRefs>
</ds:datastoreItem>
</file>

<file path=customXml/itemProps17.xml><?xml version="1.0" encoding="utf-8"?>
<ds:datastoreItem xmlns:ds="http://schemas.openxmlformats.org/officeDocument/2006/customXml" ds:itemID="{3AAE3EF3-E359-4163-AB65-4B63F661DF48}">
  <ds:schemaRefs>
    <ds:schemaRef ds:uri="http://schemas.openxmlformats.org/officeDocument/2006/bibliography"/>
  </ds:schemaRefs>
</ds:datastoreItem>
</file>

<file path=customXml/itemProps18.xml><?xml version="1.0" encoding="utf-8"?>
<ds:datastoreItem xmlns:ds="http://schemas.openxmlformats.org/officeDocument/2006/customXml" ds:itemID="{246BBBEF-098C-4FC7-AE55-7D7EF3AA2E24}">
  <ds:schemaRefs>
    <ds:schemaRef ds:uri="http://schemas.openxmlformats.org/officeDocument/2006/bibliography"/>
  </ds:schemaRefs>
</ds:datastoreItem>
</file>

<file path=customXml/itemProps19.xml><?xml version="1.0" encoding="utf-8"?>
<ds:datastoreItem xmlns:ds="http://schemas.openxmlformats.org/officeDocument/2006/customXml" ds:itemID="{A00039BD-D9EB-4207-B075-5B826767291E}">
  <ds:schemaRefs>
    <ds:schemaRef ds:uri="http://schemas.microsoft.com/office/2006/metadata/properties"/>
  </ds:schemaRefs>
</ds:datastoreItem>
</file>

<file path=customXml/itemProps2.xml><?xml version="1.0" encoding="utf-8"?>
<ds:datastoreItem xmlns:ds="http://schemas.openxmlformats.org/officeDocument/2006/customXml" ds:itemID="{72AE9652-A2CE-4A83-B7A2-F6A94655E41F}">
  <ds:schemaRefs>
    <ds:schemaRef ds:uri="http://schemas.openxmlformats.org/officeDocument/2006/bibliography"/>
  </ds:schemaRefs>
</ds:datastoreItem>
</file>

<file path=customXml/itemProps20.xml><?xml version="1.0" encoding="utf-8"?>
<ds:datastoreItem xmlns:ds="http://schemas.openxmlformats.org/officeDocument/2006/customXml" ds:itemID="{515C18B8-59B0-4697-AFE7-D37DFC1A2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1.xml><?xml version="1.0" encoding="utf-8"?>
<ds:datastoreItem xmlns:ds="http://schemas.openxmlformats.org/officeDocument/2006/customXml" ds:itemID="{5A312B2F-17A6-45AC-B5E8-E6503C277AAE}">
  <ds:schemaRefs>
    <ds:schemaRef ds:uri="http://schemas.openxmlformats.org/officeDocument/2006/bibliography"/>
  </ds:schemaRefs>
</ds:datastoreItem>
</file>

<file path=customXml/itemProps22.xml><?xml version="1.0" encoding="utf-8"?>
<ds:datastoreItem xmlns:ds="http://schemas.openxmlformats.org/officeDocument/2006/customXml" ds:itemID="{9E291C08-0FEF-4F03-B50E-18CFF46491F1}">
  <ds:schemaRefs>
    <ds:schemaRef ds:uri="http://schemas.openxmlformats.org/officeDocument/2006/bibliography"/>
  </ds:schemaRefs>
</ds:datastoreItem>
</file>

<file path=customXml/itemProps23.xml><?xml version="1.0" encoding="utf-8"?>
<ds:datastoreItem xmlns:ds="http://schemas.openxmlformats.org/officeDocument/2006/customXml" ds:itemID="{0F314989-7927-4082-906C-80FCA5692ECC}">
  <ds:schemaRefs>
    <ds:schemaRef ds:uri="http://schemas.openxmlformats.org/officeDocument/2006/bibliography"/>
  </ds:schemaRefs>
</ds:datastoreItem>
</file>

<file path=customXml/itemProps24.xml><?xml version="1.0" encoding="utf-8"?>
<ds:datastoreItem xmlns:ds="http://schemas.openxmlformats.org/officeDocument/2006/customXml" ds:itemID="{3A48B408-F9BA-4E39-ACEC-ABAAC8C36695}">
  <ds:schemaRefs>
    <ds:schemaRef ds:uri="http://schemas.openxmlformats.org/officeDocument/2006/bibliography"/>
  </ds:schemaRefs>
</ds:datastoreItem>
</file>

<file path=customXml/itemProps25.xml><?xml version="1.0" encoding="utf-8"?>
<ds:datastoreItem xmlns:ds="http://schemas.openxmlformats.org/officeDocument/2006/customXml" ds:itemID="{6459950C-46C2-42DF-89CD-11D677549AC5}">
  <ds:schemaRefs>
    <ds:schemaRef ds:uri="http://schemas.openxmlformats.org/officeDocument/2006/bibliography"/>
  </ds:schemaRefs>
</ds:datastoreItem>
</file>

<file path=customXml/itemProps26.xml><?xml version="1.0" encoding="utf-8"?>
<ds:datastoreItem xmlns:ds="http://schemas.openxmlformats.org/officeDocument/2006/customXml" ds:itemID="{6C203EA7-DC7B-4653-B9B1-41284CC6D64B}">
  <ds:schemaRefs>
    <ds:schemaRef ds:uri="http://schemas.openxmlformats.org/officeDocument/2006/bibliography"/>
  </ds:schemaRefs>
</ds:datastoreItem>
</file>

<file path=customXml/itemProps27.xml><?xml version="1.0" encoding="utf-8"?>
<ds:datastoreItem xmlns:ds="http://schemas.openxmlformats.org/officeDocument/2006/customXml" ds:itemID="{31E8A500-556E-48B0-85BF-2B49FDBF503B}">
  <ds:schemaRefs>
    <ds:schemaRef ds:uri="http://schemas.openxmlformats.org/officeDocument/2006/bibliography"/>
  </ds:schemaRefs>
</ds:datastoreItem>
</file>

<file path=customXml/itemProps28.xml><?xml version="1.0" encoding="utf-8"?>
<ds:datastoreItem xmlns:ds="http://schemas.openxmlformats.org/officeDocument/2006/customXml" ds:itemID="{3A64EB4D-A76F-4D60-B954-8E1C6FD83BDD}">
  <ds:schemaRefs>
    <ds:schemaRef ds:uri="http://schemas.openxmlformats.org/officeDocument/2006/bibliography"/>
  </ds:schemaRefs>
</ds:datastoreItem>
</file>

<file path=customXml/itemProps29.xml><?xml version="1.0" encoding="utf-8"?>
<ds:datastoreItem xmlns:ds="http://schemas.openxmlformats.org/officeDocument/2006/customXml" ds:itemID="{E1749A8D-B818-45EE-BFB8-AB6886F1E46A}">
  <ds:schemaRefs>
    <ds:schemaRef ds:uri="http://schemas.openxmlformats.org/officeDocument/2006/bibliography"/>
  </ds:schemaRefs>
</ds:datastoreItem>
</file>

<file path=customXml/itemProps3.xml><?xml version="1.0" encoding="utf-8"?>
<ds:datastoreItem xmlns:ds="http://schemas.openxmlformats.org/officeDocument/2006/customXml" ds:itemID="{7D7690D4-CA44-4C9D-BD60-FBC943826DE5}">
  <ds:schemaRefs>
    <ds:schemaRef ds:uri="http://schemas.openxmlformats.org/officeDocument/2006/bibliography"/>
  </ds:schemaRefs>
</ds:datastoreItem>
</file>

<file path=customXml/itemProps30.xml><?xml version="1.0" encoding="utf-8"?>
<ds:datastoreItem xmlns:ds="http://schemas.openxmlformats.org/officeDocument/2006/customXml" ds:itemID="{1C1AF545-DE32-4F96-AAE6-D92E0F2869E6}">
  <ds:schemaRefs>
    <ds:schemaRef ds:uri="http://schemas.openxmlformats.org/officeDocument/2006/bibliography"/>
  </ds:schemaRefs>
</ds:datastoreItem>
</file>

<file path=customXml/itemProps31.xml><?xml version="1.0" encoding="utf-8"?>
<ds:datastoreItem xmlns:ds="http://schemas.openxmlformats.org/officeDocument/2006/customXml" ds:itemID="{6252B750-188A-44C9-946A-21F3A2145B38}">
  <ds:schemaRefs>
    <ds:schemaRef ds:uri="http://schemas.openxmlformats.org/officeDocument/2006/bibliography"/>
  </ds:schemaRefs>
</ds:datastoreItem>
</file>

<file path=customXml/itemProps32.xml><?xml version="1.0" encoding="utf-8"?>
<ds:datastoreItem xmlns:ds="http://schemas.openxmlformats.org/officeDocument/2006/customXml" ds:itemID="{97C2BD70-B56D-4964-8519-0FD78435F1ED}">
  <ds:schemaRefs>
    <ds:schemaRef ds:uri="http://schemas.openxmlformats.org/officeDocument/2006/bibliography"/>
  </ds:schemaRefs>
</ds:datastoreItem>
</file>

<file path=customXml/itemProps33.xml><?xml version="1.0" encoding="utf-8"?>
<ds:datastoreItem xmlns:ds="http://schemas.openxmlformats.org/officeDocument/2006/customXml" ds:itemID="{C1C381C5-BA29-414B-93F8-3DBE73A8F211}">
  <ds:schemaRefs>
    <ds:schemaRef ds:uri="http://schemas.openxmlformats.org/officeDocument/2006/bibliography"/>
  </ds:schemaRefs>
</ds:datastoreItem>
</file>

<file path=customXml/itemProps34.xml><?xml version="1.0" encoding="utf-8"?>
<ds:datastoreItem xmlns:ds="http://schemas.openxmlformats.org/officeDocument/2006/customXml" ds:itemID="{20BD6C3F-D8AF-4DB6-AC8C-15671A6B3F90}">
  <ds:schemaRefs>
    <ds:schemaRef ds:uri="http://schemas.openxmlformats.org/officeDocument/2006/bibliography"/>
  </ds:schemaRefs>
</ds:datastoreItem>
</file>

<file path=customXml/itemProps35.xml><?xml version="1.0" encoding="utf-8"?>
<ds:datastoreItem xmlns:ds="http://schemas.openxmlformats.org/officeDocument/2006/customXml" ds:itemID="{9CD04A73-44BC-4FFE-AF16-95CCEFF64E0F}">
  <ds:schemaRefs>
    <ds:schemaRef ds:uri="http://schemas.openxmlformats.org/officeDocument/2006/bibliography"/>
  </ds:schemaRefs>
</ds:datastoreItem>
</file>

<file path=customXml/itemProps36.xml><?xml version="1.0" encoding="utf-8"?>
<ds:datastoreItem xmlns:ds="http://schemas.openxmlformats.org/officeDocument/2006/customXml" ds:itemID="{CAA04F15-C977-4D6A-8871-FA510DEEAD85}">
  <ds:schemaRefs>
    <ds:schemaRef ds:uri="http://schemas.openxmlformats.org/officeDocument/2006/bibliography"/>
  </ds:schemaRefs>
</ds:datastoreItem>
</file>

<file path=customXml/itemProps37.xml><?xml version="1.0" encoding="utf-8"?>
<ds:datastoreItem xmlns:ds="http://schemas.openxmlformats.org/officeDocument/2006/customXml" ds:itemID="{0C6C9466-10FD-40B3-8493-28D8E26BC4B7}">
  <ds:schemaRefs>
    <ds:schemaRef ds:uri="http://schemas.openxmlformats.org/officeDocument/2006/bibliography"/>
  </ds:schemaRefs>
</ds:datastoreItem>
</file>

<file path=customXml/itemProps38.xml><?xml version="1.0" encoding="utf-8"?>
<ds:datastoreItem xmlns:ds="http://schemas.openxmlformats.org/officeDocument/2006/customXml" ds:itemID="{FD3A4969-BDC2-4A0D-9CAB-45233135CB92}">
  <ds:schemaRefs>
    <ds:schemaRef ds:uri="http://schemas.openxmlformats.org/officeDocument/2006/bibliography"/>
  </ds:schemaRefs>
</ds:datastoreItem>
</file>

<file path=customXml/itemProps39.xml><?xml version="1.0" encoding="utf-8"?>
<ds:datastoreItem xmlns:ds="http://schemas.openxmlformats.org/officeDocument/2006/customXml" ds:itemID="{20D8CA0A-786B-4AEE-A57C-30A9A4C70C7D}">
  <ds:schemaRefs>
    <ds:schemaRef ds:uri="http://schemas.openxmlformats.org/officeDocument/2006/bibliography"/>
  </ds:schemaRefs>
</ds:datastoreItem>
</file>

<file path=customXml/itemProps4.xml><?xml version="1.0" encoding="utf-8"?>
<ds:datastoreItem xmlns:ds="http://schemas.openxmlformats.org/officeDocument/2006/customXml" ds:itemID="{334E6F8F-0F90-4C24-8F24-940BE843DF56}">
  <ds:schemaRefs>
    <ds:schemaRef ds:uri="http://schemas.openxmlformats.org/officeDocument/2006/bibliography"/>
  </ds:schemaRefs>
</ds:datastoreItem>
</file>

<file path=customXml/itemProps40.xml><?xml version="1.0" encoding="utf-8"?>
<ds:datastoreItem xmlns:ds="http://schemas.openxmlformats.org/officeDocument/2006/customXml" ds:itemID="{22492E04-9858-47EA-97B0-AB3C88F63EEE}">
  <ds:schemaRefs>
    <ds:schemaRef ds:uri="http://schemas.openxmlformats.org/officeDocument/2006/bibliography"/>
  </ds:schemaRefs>
</ds:datastoreItem>
</file>

<file path=customXml/itemProps41.xml><?xml version="1.0" encoding="utf-8"?>
<ds:datastoreItem xmlns:ds="http://schemas.openxmlformats.org/officeDocument/2006/customXml" ds:itemID="{732A6598-1F95-4898-835B-16B39019F0B7}">
  <ds:schemaRefs>
    <ds:schemaRef ds:uri="http://schemas.openxmlformats.org/officeDocument/2006/bibliography"/>
  </ds:schemaRefs>
</ds:datastoreItem>
</file>

<file path=customXml/itemProps42.xml><?xml version="1.0" encoding="utf-8"?>
<ds:datastoreItem xmlns:ds="http://schemas.openxmlformats.org/officeDocument/2006/customXml" ds:itemID="{EAB9BC3A-165A-4EA3-90AE-E6A0661F83FF}">
  <ds:schemaRefs>
    <ds:schemaRef ds:uri="http://schemas.openxmlformats.org/officeDocument/2006/bibliography"/>
  </ds:schemaRefs>
</ds:datastoreItem>
</file>

<file path=customXml/itemProps43.xml><?xml version="1.0" encoding="utf-8"?>
<ds:datastoreItem xmlns:ds="http://schemas.openxmlformats.org/officeDocument/2006/customXml" ds:itemID="{267B1E02-DCD9-4DFA-A19A-9F5A3E22A433}">
  <ds:schemaRefs>
    <ds:schemaRef ds:uri="http://schemas.openxmlformats.org/officeDocument/2006/bibliography"/>
  </ds:schemaRefs>
</ds:datastoreItem>
</file>

<file path=customXml/itemProps44.xml><?xml version="1.0" encoding="utf-8"?>
<ds:datastoreItem xmlns:ds="http://schemas.openxmlformats.org/officeDocument/2006/customXml" ds:itemID="{F0558F58-082E-4EE3-A54B-D55DD52FAF8A}">
  <ds:schemaRefs>
    <ds:schemaRef ds:uri="http://schemas.openxmlformats.org/officeDocument/2006/bibliography"/>
  </ds:schemaRefs>
</ds:datastoreItem>
</file>

<file path=customXml/itemProps45.xml><?xml version="1.0" encoding="utf-8"?>
<ds:datastoreItem xmlns:ds="http://schemas.openxmlformats.org/officeDocument/2006/customXml" ds:itemID="{CBC0EB10-F56F-43B9-8631-0A2CC1B94DF1}">
  <ds:schemaRefs>
    <ds:schemaRef ds:uri="http://schemas.openxmlformats.org/officeDocument/2006/bibliography"/>
  </ds:schemaRefs>
</ds:datastoreItem>
</file>

<file path=customXml/itemProps46.xml><?xml version="1.0" encoding="utf-8"?>
<ds:datastoreItem xmlns:ds="http://schemas.openxmlformats.org/officeDocument/2006/customXml" ds:itemID="{16118ED4-8341-4F83-A0A0-9A8D251215D6}">
  <ds:schemaRefs>
    <ds:schemaRef ds:uri="http://schemas.openxmlformats.org/officeDocument/2006/bibliography"/>
  </ds:schemaRefs>
</ds:datastoreItem>
</file>

<file path=customXml/itemProps47.xml><?xml version="1.0" encoding="utf-8"?>
<ds:datastoreItem xmlns:ds="http://schemas.openxmlformats.org/officeDocument/2006/customXml" ds:itemID="{9AD062C5-1B75-4BB1-9174-D2DB06C81C30}">
  <ds:schemaRefs>
    <ds:schemaRef ds:uri="http://schemas.openxmlformats.org/officeDocument/2006/bibliography"/>
  </ds:schemaRefs>
</ds:datastoreItem>
</file>

<file path=customXml/itemProps48.xml><?xml version="1.0" encoding="utf-8"?>
<ds:datastoreItem xmlns:ds="http://schemas.openxmlformats.org/officeDocument/2006/customXml" ds:itemID="{9A72E1CE-E533-4676-887E-7A488761FC42}">
  <ds:schemaRefs>
    <ds:schemaRef ds:uri="http://schemas.openxmlformats.org/officeDocument/2006/bibliography"/>
  </ds:schemaRefs>
</ds:datastoreItem>
</file>

<file path=customXml/itemProps49.xml><?xml version="1.0" encoding="utf-8"?>
<ds:datastoreItem xmlns:ds="http://schemas.openxmlformats.org/officeDocument/2006/customXml" ds:itemID="{5BE03762-AD1C-477C-9612-89C41603DEEF}">
  <ds:schemaRefs>
    <ds:schemaRef ds:uri="http://schemas.openxmlformats.org/officeDocument/2006/bibliography"/>
  </ds:schemaRefs>
</ds:datastoreItem>
</file>

<file path=customXml/itemProps5.xml><?xml version="1.0" encoding="utf-8"?>
<ds:datastoreItem xmlns:ds="http://schemas.openxmlformats.org/officeDocument/2006/customXml" ds:itemID="{92495D87-B1C4-4D06-8EA6-84333D5F5F0F}">
  <ds:schemaRefs>
    <ds:schemaRef ds:uri="http://schemas.openxmlformats.org/officeDocument/2006/bibliography"/>
  </ds:schemaRefs>
</ds:datastoreItem>
</file>

<file path=customXml/itemProps50.xml><?xml version="1.0" encoding="utf-8"?>
<ds:datastoreItem xmlns:ds="http://schemas.openxmlformats.org/officeDocument/2006/customXml" ds:itemID="{B4C4F473-BF57-47CA-B485-98D7659650D0}">
  <ds:schemaRefs>
    <ds:schemaRef ds:uri="http://schemas.openxmlformats.org/officeDocument/2006/bibliography"/>
  </ds:schemaRefs>
</ds:datastoreItem>
</file>

<file path=customXml/itemProps51.xml><?xml version="1.0" encoding="utf-8"?>
<ds:datastoreItem xmlns:ds="http://schemas.openxmlformats.org/officeDocument/2006/customXml" ds:itemID="{EDE1D4EB-2747-47A4-9CA7-3A1BA4260CC4}">
  <ds:schemaRefs>
    <ds:schemaRef ds:uri="http://schemas.openxmlformats.org/officeDocument/2006/bibliography"/>
  </ds:schemaRefs>
</ds:datastoreItem>
</file>

<file path=customXml/itemProps52.xml><?xml version="1.0" encoding="utf-8"?>
<ds:datastoreItem xmlns:ds="http://schemas.openxmlformats.org/officeDocument/2006/customXml" ds:itemID="{F304E14E-4345-4514-994F-C7457E621FF0}">
  <ds:schemaRefs>
    <ds:schemaRef ds:uri="http://schemas.openxmlformats.org/officeDocument/2006/bibliography"/>
  </ds:schemaRefs>
</ds:datastoreItem>
</file>

<file path=customXml/itemProps53.xml><?xml version="1.0" encoding="utf-8"?>
<ds:datastoreItem xmlns:ds="http://schemas.openxmlformats.org/officeDocument/2006/customXml" ds:itemID="{3542D078-4FC4-4932-A147-43923623FD75}">
  <ds:schemaRefs>
    <ds:schemaRef ds:uri="http://schemas.openxmlformats.org/officeDocument/2006/bibliography"/>
  </ds:schemaRefs>
</ds:datastoreItem>
</file>

<file path=customXml/itemProps54.xml><?xml version="1.0" encoding="utf-8"?>
<ds:datastoreItem xmlns:ds="http://schemas.openxmlformats.org/officeDocument/2006/customXml" ds:itemID="{54B0D1B9-0049-44CD-9FD4-73DCCE854BEF}">
  <ds:schemaRefs>
    <ds:schemaRef ds:uri="http://schemas.openxmlformats.org/officeDocument/2006/bibliography"/>
  </ds:schemaRefs>
</ds:datastoreItem>
</file>

<file path=customXml/itemProps55.xml><?xml version="1.0" encoding="utf-8"?>
<ds:datastoreItem xmlns:ds="http://schemas.openxmlformats.org/officeDocument/2006/customXml" ds:itemID="{22A07EAA-DD9A-49DA-8BFD-8B7DDC2DA08A}">
  <ds:schemaRefs>
    <ds:schemaRef ds:uri="http://schemas.openxmlformats.org/officeDocument/2006/bibliography"/>
  </ds:schemaRefs>
</ds:datastoreItem>
</file>

<file path=customXml/itemProps6.xml><?xml version="1.0" encoding="utf-8"?>
<ds:datastoreItem xmlns:ds="http://schemas.openxmlformats.org/officeDocument/2006/customXml" ds:itemID="{D52DE5B3-31C9-42EE-90FA-3239C0914B9D}">
  <ds:schemaRefs>
    <ds:schemaRef ds:uri="http://schemas.openxmlformats.org/officeDocument/2006/bibliography"/>
  </ds:schemaRefs>
</ds:datastoreItem>
</file>

<file path=customXml/itemProps7.xml><?xml version="1.0" encoding="utf-8"?>
<ds:datastoreItem xmlns:ds="http://schemas.openxmlformats.org/officeDocument/2006/customXml" ds:itemID="{D579C06A-E36C-4748-9B82-818298C721E0}">
  <ds:schemaRefs>
    <ds:schemaRef ds:uri="http://schemas.openxmlformats.org/officeDocument/2006/bibliography"/>
  </ds:schemaRefs>
</ds:datastoreItem>
</file>

<file path=customXml/itemProps8.xml><?xml version="1.0" encoding="utf-8"?>
<ds:datastoreItem xmlns:ds="http://schemas.openxmlformats.org/officeDocument/2006/customXml" ds:itemID="{56FCCEC7-EF14-4243-9EF4-4D3034956328}">
  <ds:schemaRefs>
    <ds:schemaRef ds:uri="http://schemas.openxmlformats.org/officeDocument/2006/bibliography"/>
  </ds:schemaRefs>
</ds:datastoreItem>
</file>

<file path=customXml/itemProps9.xml><?xml version="1.0" encoding="utf-8"?>
<ds:datastoreItem xmlns:ds="http://schemas.openxmlformats.org/officeDocument/2006/customXml" ds:itemID="{96FCEA52-36EF-406A-A591-2E9648D4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45952</Words>
  <Characters>252740</Characters>
  <Application>Microsoft Office Word</Application>
  <DocSecurity>0</DocSecurity>
  <Lines>2106</Lines>
  <Paragraphs>596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298096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Corte IDH</dc:creator>
  <cp:lastModifiedBy>Jairo Guadamuz</cp:lastModifiedBy>
  <cp:revision>4</cp:revision>
  <cp:lastPrinted>2016-11-15T17:43:00Z</cp:lastPrinted>
  <dcterms:created xsi:type="dcterms:W3CDTF">2016-11-15T17:41:00Z</dcterms:created>
  <dcterms:modified xsi:type="dcterms:W3CDTF">2016-11-15T17:43:00Z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0x010100D015BEBE2BF87F40A76A9C926EBECC0C</vt:lpwstr>
  </property>
</Properties>
</file>