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26784" w14:textId="77777777" w:rsidR="009B781F" w:rsidRPr="00FE7BA7" w:rsidRDefault="009B781F" w:rsidP="00745E27">
      <w:pPr>
        <w:pStyle w:val="NoSpacing"/>
      </w:pPr>
    </w:p>
    <w:p w14:paraId="63126786" w14:textId="77777777" w:rsidR="007926BD" w:rsidRPr="00FE7BA7" w:rsidRDefault="007926BD" w:rsidP="00E4033A">
      <w:pPr>
        <w:jc w:val="center"/>
        <w:rPr>
          <w:rFonts w:ascii="Verdana" w:hAnsi="Verdana"/>
          <w:b/>
          <w:sz w:val="20"/>
          <w:szCs w:val="20"/>
          <w:lang w:val="en-US"/>
        </w:rPr>
      </w:pPr>
    </w:p>
    <w:p w14:paraId="63126787" w14:textId="77777777" w:rsidR="00F051F8" w:rsidRPr="00FE7BA7" w:rsidRDefault="00F051F8" w:rsidP="00090AF6">
      <w:pPr>
        <w:rPr>
          <w:rFonts w:ascii="Verdana" w:hAnsi="Verdana"/>
          <w:b/>
          <w:sz w:val="20"/>
          <w:szCs w:val="20"/>
          <w:lang w:val="en-US"/>
        </w:rPr>
      </w:pPr>
    </w:p>
    <w:p w14:paraId="63126788" w14:textId="77777777" w:rsidR="00FD14B3" w:rsidRDefault="00FD14B3" w:rsidP="00E4033A">
      <w:pPr>
        <w:jc w:val="center"/>
        <w:rPr>
          <w:rFonts w:ascii="Verdana" w:hAnsi="Verdana"/>
          <w:b/>
          <w:sz w:val="20"/>
          <w:szCs w:val="20"/>
          <w:lang w:val="en-US"/>
        </w:rPr>
      </w:pPr>
    </w:p>
    <w:p w14:paraId="63126789" w14:textId="77777777" w:rsidR="00F051F8" w:rsidRDefault="00F051F8" w:rsidP="00E4033A">
      <w:pPr>
        <w:jc w:val="center"/>
        <w:rPr>
          <w:rFonts w:ascii="Verdana" w:hAnsi="Verdana"/>
          <w:b/>
          <w:sz w:val="20"/>
          <w:szCs w:val="20"/>
          <w:lang w:val="en-US"/>
        </w:rPr>
      </w:pPr>
    </w:p>
    <w:p w14:paraId="6312678A" w14:textId="77777777" w:rsidR="00F051F8" w:rsidRPr="00FE7BA7" w:rsidRDefault="00F051F8" w:rsidP="00E4033A">
      <w:pPr>
        <w:jc w:val="center"/>
        <w:rPr>
          <w:rFonts w:ascii="Verdana" w:hAnsi="Verdana"/>
          <w:b/>
          <w:sz w:val="20"/>
          <w:szCs w:val="20"/>
          <w:lang w:val="en-US"/>
        </w:rPr>
      </w:pPr>
    </w:p>
    <w:p w14:paraId="6312678B" w14:textId="77777777" w:rsidR="00FD14B3" w:rsidRPr="00FE7BA7" w:rsidRDefault="00FD14B3" w:rsidP="00E4033A">
      <w:pPr>
        <w:jc w:val="center"/>
        <w:rPr>
          <w:rFonts w:ascii="Verdana" w:hAnsi="Verdana"/>
          <w:b/>
          <w:sz w:val="20"/>
          <w:szCs w:val="20"/>
          <w:lang w:val="en-US"/>
        </w:rPr>
      </w:pPr>
    </w:p>
    <w:p w14:paraId="6312678C" w14:textId="77777777" w:rsidR="00E4033A" w:rsidRPr="00FE7BA7" w:rsidRDefault="002B5CCD" w:rsidP="00E4033A">
      <w:pPr>
        <w:jc w:val="center"/>
        <w:rPr>
          <w:rFonts w:ascii="Verdana" w:hAnsi="Verdana"/>
          <w:b/>
          <w:sz w:val="20"/>
          <w:szCs w:val="20"/>
          <w:lang w:val="en-US"/>
        </w:rPr>
      </w:pPr>
      <w:r w:rsidRPr="00FE7BA7">
        <w:rPr>
          <w:rFonts w:ascii="Verdana" w:hAnsi="Verdana"/>
          <w:b/>
          <w:sz w:val="20"/>
          <w:szCs w:val="20"/>
          <w:lang w:val="en-US"/>
        </w:rPr>
        <w:t>INTER-AMERICAN COURT OF HUMAN RIGHTS</w:t>
      </w:r>
    </w:p>
    <w:p w14:paraId="6312678D" w14:textId="77777777" w:rsidR="00E4033A" w:rsidRPr="00FE7BA7" w:rsidRDefault="00E4033A" w:rsidP="00E4033A">
      <w:pPr>
        <w:jc w:val="center"/>
        <w:rPr>
          <w:rFonts w:ascii="Verdana" w:hAnsi="Verdana"/>
          <w:b/>
          <w:sz w:val="20"/>
          <w:szCs w:val="20"/>
          <w:lang w:val="en-US"/>
        </w:rPr>
      </w:pPr>
    </w:p>
    <w:p w14:paraId="6312678F" w14:textId="77777777" w:rsidR="00896A30" w:rsidRPr="00FE7BA7" w:rsidRDefault="00896A30" w:rsidP="00E4033A">
      <w:pPr>
        <w:jc w:val="center"/>
        <w:rPr>
          <w:rFonts w:ascii="Verdana" w:hAnsi="Verdana"/>
          <w:b/>
          <w:sz w:val="20"/>
          <w:szCs w:val="20"/>
          <w:lang w:val="en-US"/>
        </w:rPr>
      </w:pPr>
    </w:p>
    <w:p w14:paraId="63126790" w14:textId="33DB4BC9" w:rsidR="00E4033A" w:rsidRPr="00FE7BA7" w:rsidRDefault="002B5CCD" w:rsidP="00E4033A">
      <w:pPr>
        <w:jc w:val="center"/>
        <w:rPr>
          <w:rFonts w:ascii="Verdana" w:hAnsi="Verdana"/>
          <w:b/>
          <w:sz w:val="20"/>
          <w:szCs w:val="20"/>
          <w:lang w:val="en-US"/>
        </w:rPr>
      </w:pPr>
      <w:r w:rsidRPr="00FE7BA7">
        <w:rPr>
          <w:rFonts w:ascii="Verdana" w:hAnsi="Verdana"/>
          <w:b/>
          <w:sz w:val="20"/>
          <w:szCs w:val="20"/>
          <w:lang w:val="en-US"/>
        </w:rPr>
        <w:t>CASE OF THE</w:t>
      </w:r>
      <w:r w:rsidR="00E4033A" w:rsidRPr="00FE7BA7">
        <w:rPr>
          <w:rFonts w:ascii="Verdana" w:hAnsi="Verdana"/>
          <w:b/>
          <w:sz w:val="20"/>
          <w:szCs w:val="20"/>
          <w:lang w:val="en-US"/>
        </w:rPr>
        <w:t xml:space="preserve"> </w:t>
      </w:r>
      <w:r w:rsidR="004C7D14" w:rsidRPr="00FE7BA7">
        <w:rPr>
          <w:rFonts w:ascii="Verdana" w:hAnsi="Verdana"/>
          <w:b/>
          <w:sz w:val="20"/>
          <w:szCs w:val="20"/>
          <w:lang w:val="en-US"/>
        </w:rPr>
        <w:t>KALIÑA AND LOKONO PEOPLES</w:t>
      </w:r>
      <w:r w:rsidR="00E4033A" w:rsidRPr="00FE7BA7">
        <w:rPr>
          <w:rFonts w:ascii="Verdana" w:hAnsi="Verdana"/>
          <w:b/>
          <w:sz w:val="20"/>
          <w:szCs w:val="20"/>
          <w:lang w:val="en-US"/>
        </w:rPr>
        <w:t xml:space="preserve"> </w:t>
      </w:r>
      <w:r w:rsidR="00801008">
        <w:rPr>
          <w:rFonts w:ascii="Verdana" w:hAnsi="Verdana"/>
          <w:b/>
          <w:i/>
          <w:sz w:val="20"/>
          <w:szCs w:val="20"/>
          <w:lang w:val="en-US"/>
        </w:rPr>
        <w:t>V</w:t>
      </w:r>
      <w:r w:rsidRPr="00FE7BA7">
        <w:rPr>
          <w:rFonts w:ascii="Verdana" w:hAnsi="Verdana"/>
          <w:b/>
          <w:i/>
          <w:sz w:val="20"/>
          <w:szCs w:val="20"/>
          <w:lang w:val="en-US"/>
        </w:rPr>
        <w:t>.</w:t>
      </w:r>
      <w:r w:rsidR="00E4033A" w:rsidRPr="00FE7BA7">
        <w:rPr>
          <w:rFonts w:ascii="Verdana" w:hAnsi="Verdana"/>
          <w:b/>
          <w:i/>
          <w:sz w:val="20"/>
          <w:szCs w:val="20"/>
          <w:lang w:val="en-US"/>
        </w:rPr>
        <w:t xml:space="preserve"> </w:t>
      </w:r>
      <w:r w:rsidR="00563E11" w:rsidRPr="00FE7BA7">
        <w:rPr>
          <w:rFonts w:ascii="Verdana" w:hAnsi="Verdana"/>
          <w:b/>
          <w:sz w:val="20"/>
          <w:szCs w:val="20"/>
          <w:lang w:val="en-US"/>
        </w:rPr>
        <w:t>SURINAM</w:t>
      </w:r>
      <w:r w:rsidRPr="00FE7BA7">
        <w:rPr>
          <w:rFonts w:ascii="Verdana" w:hAnsi="Verdana"/>
          <w:b/>
          <w:sz w:val="20"/>
          <w:szCs w:val="20"/>
          <w:lang w:val="en-US"/>
        </w:rPr>
        <w:t>E</w:t>
      </w:r>
    </w:p>
    <w:p w14:paraId="63126791" w14:textId="77777777" w:rsidR="00E4033A" w:rsidRDefault="00E4033A" w:rsidP="00E4033A">
      <w:pPr>
        <w:jc w:val="center"/>
        <w:rPr>
          <w:rFonts w:ascii="Verdana" w:hAnsi="Verdana"/>
          <w:b/>
          <w:sz w:val="20"/>
          <w:szCs w:val="20"/>
          <w:lang w:val="en-US"/>
        </w:rPr>
      </w:pPr>
    </w:p>
    <w:p w14:paraId="63126793" w14:textId="77777777" w:rsidR="00E4033A" w:rsidRPr="00FE7BA7" w:rsidRDefault="00E4033A" w:rsidP="00E4033A">
      <w:pPr>
        <w:jc w:val="center"/>
        <w:rPr>
          <w:rFonts w:ascii="Verdana" w:hAnsi="Verdana"/>
          <w:b/>
          <w:sz w:val="20"/>
          <w:szCs w:val="20"/>
          <w:lang w:val="en-US"/>
        </w:rPr>
      </w:pPr>
    </w:p>
    <w:p w14:paraId="63126794" w14:textId="77777777" w:rsidR="004E264D" w:rsidRPr="00FE7BA7" w:rsidRDefault="002B5CCD" w:rsidP="004E264D">
      <w:pPr>
        <w:jc w:val="center"/>
        <w:rPr>
          <w:rFonts w:ascii="Verdana" w:hAnsi="Verdana"/>
          <w:b/>
          <w:sz w:val="20"/>
          <w:szCs w:val="20"/>
          <w:lang w:val="en-US"/>
        </w:rPr>
      </w:pPr>
      <w:r w:rsidRPr="00FE7BA7">
        <w:rPr>
          <w:rFonts w:ascii="Verdana" w:hAnsi="Verdana"/>
          <w:b/>
          <w:sz w:val="20"/>
          <w:szCs w:val="20"/>
          <w:lang w:val="en-US"/>
        </w:rPr>
        <w:t>JUDGMENT OF</w:t>
      </w:r>
      <w:r w:rsidR="00F0127D" w:rsidRPr="00FE7BA7">
        <w:rPr>
          <w:rFonts w:ascii="Verdana" w:hAnsi="Verdana"/>
          <w:b/>
          <w:sz w:val="20"/>
          <w:szCs w:val="20"/>
          <w:lang w:val="en-US"/>
        </w:rPr>
        <w:t xml:space="preserve"> </w:t>
      </w:r>
      <w:r w:rsidRPr="00FE7BA7">
        <w:rPr>
          <w:rFonts w:ascii="Verdana" w:hAnsi="Verdana"/>
          <w:b/>
          <w:sz w:val="20"/>
          <w:szCs w:val="20"/>
          <w:lang w:val="en-US"/>
        </w:rPr>
        <w:t>N</w:t>
      </w:r>
      <w:r w:rsidR="009D6A42" w:rsidRPr="00FE7BA7">
        <w:rPr>
          <w:rFonts w:ascii="Verdana" w:hAnsi="Verdana"/>
          <w:b/>
          <w:sz w:val="20"/>
          <w:szCs w:val="20"/>
          <w:lang w:val="en-US"/>
        </w:rPr>
        <w:t>OVEMBER</w:t>
      </w:r>
      <w:r w:rsidRPr="00FE7BA7">
        <w:rPr>
          <w:rFonts w:ascii="Verdana" w:hAnsi="Verdana"/>
          <w:b/>
          <w:sz w:val="20"/>
          <w:szCs w:val="20"/>
          <w:lang w:val="en-US"/>
        </w:rPr>
        <w:t xml:space="preserve"> 25,</w:t>
      </w:r>
      <w:r w:rsidR="00E4033A" w:rsidRPr="00FE7BA7">
        <w:rPr>
          <w:rFonts w:ascii="Verdana" w:hAnsi="Verdana"/>
          <w:b/>
          <w:sz w:val="20"/>
          <w:szCs w:val="20"/>
          <w:lang w:val="en-US"/>
        </w:rPr>
        <w:t xml:space="preserve"> 2015</w:t>
      </w:r>
    </w:p>
    <w:p w14:paraId="63126795" w14:textId="77777777" w:rsidR="004E264D" w:rsidRPr="00FE7BA7" w:rsidRDefault="004E264D" w:rsidP="004E264D">
      <w:pPr>
        <w:jc w:val="center"/>
        <w:rPr>
          <w:rFonts w:ascii="Verdana" w:hAnsi="Verdana"/>
          <w:b/>
          <w:sz w:val="20"/>
          <w:szCs w:val="20"/>
          <w:lang w:val="en-US"/>
        </w:rPr>
      </w:pPr>
    </w:p>
    <w:p w14:paraId="63126796" w14:textId="7F93D3C6" w:rsidR="00E4033A" w:rsidRPr="00FE7BA7" w:rsidRDefault="00E4033A" w:rsidP="00E4033A">
      <w:pPr>
        <w:jc w:val="center"/>
        <w:rPr>
          <w:rFonts w:ascii="Verdana" w:hAnsi="Verdana"/>
          <w:b/>
          <w:i/>
          <w:sz w:val="20"/>
          <w:szCs w:val="20"/>
          <w:lang w:val="en-US"/>
        </w:rPr>
      </w:pPr>
      <w:r w:rsidRPr="00FE7BA7">
        <w:rPr>
          <w:rFonts w:ascii="Verdana" w:hAnsi="Verdana"/>
          <w:b/>
          <w:i/>
          <w:sz w:val="20"/>
          <w:szCs w:val="20"/>
          <w:lang w:val="en-US"/>
        </w:rPr>
        <w:t>(</w:t>
      </w:r>
      <w:r w:rsidR="002B5CCD" w:rsidRPr="00FE7BA7">
        <w:rPr>
          <w:rFonts w:ascii="Verdana" w:hAnsi="Verdana"/>
          <w:b/>
          <w:i/>
          <w:sz w:val="20"/>
          <w:szCs w:val="20"/>
          <w:lang w:val="en-US"/>
        </w:rPr>
        <w:t xml:space="preserve">Merits, </w:t>
      </w:r>
      <w:r w:rsidR="00172E44">
        <w:rPr>
          <w:rFonts w:ascii="Verdana" w:hAnsi="Verdana"/>
          <w:b/>
          <w:i/>
          <w:sz w:val="20"/>
          <w:szCs w:val="20"/>
          <w:lang w:val="en-US"/>
        </w:rPr>
        <w:t>R</w:t>
      </w:r>
      <w:r w:rsidR="002B5CCD" w:rsidRPr="00FE7BA7">
        <w:rPr>
          <w:rFonts w:ascii="Verdana" w:hAnsi="Verdana"/>
          <w:b/>
          <w:i/>
          <w:sz w:val="20"/>
          <w:szCs w:val="20"/>
          <w:lang w:val="en-US"/>
        </w:rPr>
        <w:t xml:space="preserve">eparations and </w:t>
      </w:r>
      <w:r w:rsidR="00172E44">
        <w:rPr>
          <w:rFonts w:ascii="Verdana" w:hAnsi="Verdana"/>
          <w:b/>
          <w:i/>
          <w:sz w:val="20"/>
          <w:szCs w:val="20"/>
          <w:lang w:val="en-US"/>
        </w:rPr>
        <w:t>C</w:t>
      </w:r>
      <w:r w:rsidR="002B5CCD" w:rsidRPr="00FE7BA7">
        <w:rPr>
          <w:rFonts w:ascii="Verdana" w:hAnsi="Verdana"/>
          <w:b/>
          <w:i/>
          <w:sz w:val="20"/>
          <w:szCs w:val="20"/>
          <w:lang w:val="en-US"/>
        </w:rPr>
        <w:t>osts</w:t>
      </w:r>
      <w:r w:rsidRPr="00FE7BA7">
        <w:rPr>
          <w:rFonts w:ascii="Verdana" w:hAnsi="Verdana"/>
          <w:b/>
          <w:i/>
          <w:sz w:val="20"/>
          <w:szCs w:val="20"/>
          <w:lang w:val="en-US"/>
        </w:rPr>
        <w:t>)</w:t>
      </w:r>
    </w:p>
    <w:p w14:paraId="63126797" w14:textId="77777777" w:rsidR="00E4033A" w:rsidRPr="00FE7BA7" w:rsidRDefault="00E4033A" w:rsidP="00E4033A">
      <w:pPr>
        <w:jc w:val="both"/>
        <w:rPr>
          <w:rFonts w:ascii="Verdana" w:hAnsi="Verdana"/>
          <w:sz w:val="20"/>
          <w:szCs w:val="20"/>
          <w:lang w:val="en-US"/>
        </w:rPr>
      </w:pPr>
    </w:p>
    <w:p w14:paraId="6312679C" w14:textId="77777777" w:rsidR="00896A30" w:rsidRDefault="00896A30" w:rsidP="00E4033A">
      <w:pPr>
        <w:jc w:val="both"/>
        <w:rPr>
          <w:rFonts w:ascii="Verdana" w:hAnsi="Verdana"/>
          <w:sz w:val="20"/>
          <w:szCs w:val="20"/>
          <w:lang w:val="en-US"/>
        </w:rPr>
      </w:pPr>
    </w:p>
    <w:p w14:paraId="6312679D" w14:textId="77777777" w:rsidR="00E4033A" w:rsidRPr="00FE7BA7" w:rsidRDefault="002B5CCD" w:rsidP="00E4033A">
      <w:pPr>
        <w:jc w:val="both"/>
        <w:rPr>
          <w:rFonts w:ascii="Verdana" w:hAnsi="Verdana"/>
          <w:sz w:val="20"/>
          <w:szCs w:val="20"/>
          <w:lang w:val="en-US"/>
        </w:rPr>
      </w:pPr>
      <w:r w:rsidRPr="00FE7BA7">
        <w:rPr>
          <w:rFonts w:ascii="Verdana" w:hAnsi="Verdana"/>
          <w:sz w:val="20"/>
          <w:szCs w:val="20"/>
          <w:lang w:val="en-US"/>
        </w:rPr>
        <w:t>In the case of the</w:t>
      </w:r>
      <w:r w:rsidR="00E4033A" w:rsidRPr="00FE7BA7">
        <w:rPr>
          <w:rFonts w:ascii="Verdana" w:hAnsi="Verdana"/>
          <w:sz w:val="20"/>
          <w:szCs w:val="20"/>
          <w:lang w:val="en-US"/>
        </w:rPr>
        <w:t xml:space="preserve"> </w:t>
      </w:r>
      <w:r w:rsidR="004C7D14" w:rsidRPr="00FE7BA7">
        <w:rPr>
          <w:rFonts w:ascii="Verdana" w:hAnsi="Verdana"/>
          <w:i/>
          <w:sz w:val="20"/>
          <w:szCs w:val="20"/>
          <w:lang w:val="en-US"/>
        </w:rPr>
        <w:t>Kaliña and Lokono peoples</w:t>
      </w:r>
      <w:r w:rsidR="00E4033A" w:rsidRPr="00FE7BA7">
        <w:rPr>
          <w:rFonts w:ascii="Verdana" w:hAnsi="Verdana"/>
          <w:sz w:val="20"/>
          <w:szCs w:val="20"/>
          <w:lang w:val="en-US"/>
        </w:rPr>
        <w:t>,</w:t>
      </w:r>
    </w:p>
    <w:p w14:paraId="6312679E" w14:textId="77777777" w:rsidR="00E4033A" w:rsidRPr="00FE7BA7" w:rsidRDefault="00E4033A" w:rsidP="00E4033A">
      <w:pPr>
        <w:jc w:val="both"/>
        <w:rPr>
          <w:rFonts w:ascii="Verdana" w:hAnsi="Verdana"/>
          <w:sz w:val="20"/>
          <w:szCs w:val="20"/>
          <w:lang w:val="en-US"/>
        </w:rPr>
      </w:pPr>
    </w:p>
    <w:p w14:paraId="6312679F" w14:textId="77777777" w:rsidR="00E4033A" w:rsidRPr="00FE7BA7" w:rsidRDefault="002B5CCD" w:rsidP="00E4033A">
      <w:pPr>
        <w:jc w:val="both"/>
        <w:rPr>
          <w:rFonts w:ascii="Verdana" w:hAnsi="Verdana"/>
          <w:sz w:val="20"/>
          <w:szCs w:val="20"/>
          <w:lang w:val="en-US"/>
        </w:rPr>
      </w:pPr>
      <w:proofErr w:type="gramStart"/>
      <w:r w:rsidRPr="00FE7BA7">
        <w:rPr>
          <w:rFonts w:ascii="Verdana" w:hAnsi="Verdana"/>
          <w:sz w:val="20"/>
          <w:szCs w:val="20"/>
          <w:lang w:val="en-US"/>
        </w:rPr>
        <w:t>the</w:t>
      </w:r>
      <w:proofErr w:type="gramEnd"/>
      <w:r w:rsidRPr="00FE7BA7">
        <w:rPr>
          <w:rFonts w:ascii="Verdana" w:hAnsi="Verdana"/>
          <w:sz w:val="20"/>
          <w:szCs w:val="20"/>
          <w:lang w:val="en-US"/>
        </w:rPr>
        <w:t xml:space="preserve"> Inter-American Court of Human Rights</w:t>
      </w:r>
      <w:r w:rsidR="00E4033A" w:rsidRPr="00FE7BA7">
        <w:rPr>
          <w:rFonts w:ascii="Verdana" w:hAnsi="Verdana"/>
          <w:sz w:val="20"/>
          <w:szCs w:val="20"/>
          <w:lang w:val="en-US"/>
        </w:rPr>
        <w:t xml:space="preserve"> (</w:t>
      </w:r>
      <w:r w:rsidRPr="00FE7BA7">
        <w:rPr>
          <w:rFonts w:ascii="Verdana" w:hAnsi="Verdana"/>
          <w:sz w:val="20"/>
          <w:szCs w:val="20"/>
          <w:lang w:val="en-US"/>
        </w:rPr>
        <w:t>hereinafter</w:t>
      </w:r>
      <w:r w:rsidR="00E4033A" w:rsidRPr="00FE7BA7">
        <w:rPr>
          <w:rFonts w:ascii="Verdana" w:hAnsi="Verdana"/>
          <w:sz w:val="20"/>
          <w:szCs w:val="20"/>
          <w:lang w:val="en-US"/>
        </w:rPr>
        <w:t xml:space="preserve"> “</w:t>
      </w:r>
      <w:r w:rsidRPr="00FE7BA7">
        <w:rPr>
          <w:rFonts w:ascii="Verdana" w:hAnsi="Verdana"/>
          <w:sz w:val="20"/>
          <w:szCs w:val="20"/>
          <w:lang w:val="en-US"/>
        </w:rPr>
        <w:t xml:space="preserve">the Inter-American Court” </w:t>
      </w:r>
      <w:r w:rsidR="00E4033A" w:rsidRPr="00FE7BA7">
        <w:rPr>
          <w:rFonts w:ascii="Verdana" w:hAnsi="Verdana"/>
          <w:sz w:val="20"/>
          <w:szCs w:val="20"/>
          <w:lang w:val="en-US"/>
        </w:rPr>
        <w:t>o</w:t>
      </w:r>
      <w:r w:rsidRPr="00FE7BA7">
        <w:rPr>
          <w:rFonts w:ascii="Verdana" w:hAnsi="Verdana"/>
          <w:sz w:val="20"/>
          <w:szCs w:val="20"/>
          <w:lang w:val="en-US"/>
        </w:rPr>
        <w:t>r</w:t>
      </w:r>
      <w:r w:rsidR="00E4033A" w:rsidRPr="00FE7BA7">
        <w:rPr>
          <w:rFonts w:ascii="Verdana" w:hAnsi="Verdana"/>
          <w:sz w:val="20"/>
          <w:szCs w:val="20"/>
          <w:lang w:val="en-US"/>
        </w:rPr>
        <w:t xml:space="preserve"> “</w:t>
      </w:r>
      <w:r w:rsidRPr="00FE7BA7">
        <w:rPr>
          <w:rFonts w:ascii="Verdana" w:hAnsi="Verdana"/>
          <w:sz w:val="20"/>
          <w:szCs w:val="20"/>
          <w:lang w:val="en-US"/>
        </w:rPr>
        <w:t>the Court</w:t>
      </w:r>
      <w:r w:rsidR="00E4033A" w:rsidRPr="00FE7BA7">
        <w:rPr>
          <w:rFonts w:ascii="Verdana" w:hAnsi="Verdana"/>
          <w:sz w:val="20"/>
          <w:szCs w:val="20"/>
          <w:lang w:val="en-US"/>
        </w:rPr>
        <w:t xml:space="preserve">”), </w:t>
      </w:r>
      <w:r w:rsidRPr="00FE7BA7">
        <w:rPr>
          <w:rFonts w:ascii="Verdana" w:hAnsi="Verdana"/>
          <w:sz w:val="20"/>
          <w:szCs w:val="20"/>
          <w:lang w:val="en-US"/>
        </w:rPr>
        <w:t>composed of the following judges:</w:t>
      </w:r>
    </w:p>
    <w:p w14:paraId="631267A0" w14:textId="77777777" w:rsidR="00E4033A" w:rsidRPr="00FE7BA7" w:rsidRDefault="00E4033A" w:rsidP="00E4033A">
      <w:pPr>
        <w:jc w:val="both"/>
        <w:rPr>
          <w:rFonts w:ascii="Verdana" w:hAnsi="Verdana"/>
          <w:sz w:val="20"/>
          <w:szCs w:val="20"/>
          <w:lang w:val="en-US"/>
        </w:rPr>
      </w:pPr>
    </w:p>
    <w:p w14:paraId="631267A1" w14:textId="77777777" w:rsidR="00E4033A" w:rsidRPr="00C12C4D" w:rsidRDefault="00E4033A" w:rsidP="00E4033A">
      <w:pPr>
        <w:jc w:val="both"/>
        <w:rPr>
          <w:rFonts w:ascii="Verdana" w:hAnsi="Verdana"/>
          <w:sz w:val="20"/>
          <w:szCs w:val="20"/>
          <w:lang w:val="es-CR"/>
        </w:rPr>
      </w:pPr>
      <w:r w:rsidRPr="00C12C4D">
        <w:rPr>
          <w:rFonts w:ascii="Verdana" w:hAnsi="Verdana"/>
          <w:sz w:val="20"/>
          <w:szCs w:val="20"/>
          <w:lang w:val="es-CR"/>
        </w:rPr>
        <w:t xml:space="preserve">Humberto Antonio Sierra Porto, </w:t>
      </w:r>
      <w:r w:rsidR="002B5CCD" w:rsidRPr="00C12C4D">
        <w:rPr>
          <w:rFonts w:ascii="Verdana" w:hAnsi="Verdana"/>
          <w:sz w:val="20"/>
          <w:szCs w:val="20"/>
          <w:lang w:val="es-CR"/>
        </w:rPr>
        <w:t>President</w:t>
      </w:r>
    </w:p>
    <w:p w14:paraId="631267A2" w14:textId="77777777" w:rsidR="00E4033A" w:rsidRPr="00C12C4D" w:rsidRDefault="00E4033A" w:rsidP="00E4033A">
      <w:pPr>
        <w:jc w:val="both"/>
        <w:rPr>
          <w:rFonts w:ascii="Verdana" w:hAnsi="Verdana"/>
          <w:sz w:val="20"/>
          <w:szCs w:val="20"/>
          <w:lang w:val="es-CR"/>
        </w:rPr>
      </w:pPr>
      <w:r w:rsidRPr="00C12C4D">
        <w:rPr>
          <w:rFonts w:ascii="Verdana" w:hAnsi="Verdana"/>
          <w:sz w:val="20"/>
          <w:szCs w:val="20"/>
          <w:lang w:val="es-CR"/>
        </w:rPr>
        <w:t>Roberto F. Caldas, Vice</w:t>
      </w:r>
      <w:r w:rsidR="002B5CCD" w:rsidRPr="00C12C4D">
        <w:rPr>
          <w:rFonts w:ascii="Verdana" w:hAnsi="Verdana"/>
          <w:sz w:val="20"/>
          <w:szCs w:val="20"/>
          <w:lang w:val="es-CR"/>
        </w:rPr>
        <w:t xml:space="preserve"> President</w:t>
      </w:r>
    </w:p>
    <w:p w14:paraId="631267A3" w14:textId="77777777" w:rsidR="00E4033A" w:rsidRPr="00C12C4D" w:rsidRDefault="00E4033A" w:rsidP="00E4033A">
      <w:pPr>
        <w:jc w:val="both"/>
        <w:rPr>
          <w:rFonts w:ascii="Verdana" w:hAnsi="Verdana"/>
          <w:sz w:val="20"/>
          <w:szCs w:val="20"/>
          <w:lang w:val="es-CR"/>
        </w:rPr>
      </w:pPr>
      <w:r w:rsidRPr="00C12C4D">
        <w:rPr>
          <w:rFonts w:ascii="Verdana" w:hAnsi="Verdana"/>
          <w:sz w:val="20"/>
          <w:szCs w:val="20"/>
          <w:lang w:val="es-CR"/>
        </w:rPr>
        <w:t xml:space="preserve">Manuel E. Ventura Robles, </w:t>
      </w:r>
      <w:r w:rsidR="002B5CCD" w:rsidRPr="00C12C4D">
        <w:rPr>
          <w:rFonts w:ascii="Verdana" w:hAnsi="Verdana"/>
          <w:sz w:val="20"/>
          <w:szCs w:val="20"/>
          <w:lang w:val="es-CR"/>
        </w:rPr>
        <w:t>Judge</w:t>
      </w:r>
    </w:p>
    <w:p w14:paraId="631267A4" w14:textId="77777777" w:rsidR="00E4033A" w:rsidRPr="00C12C4D" w:rsidRDefault="00E4033A" w:rsidP="00E4033A">
      <w:pPr>
        <w:jc w:val="both"/>
        <w:rPr>
          <w:rFonts w:ascii="Verdana" w:hAnsi="Verdana"/>
          <w:sz w:val="20"/>
          <w:szCs w:val="20"/>
          <w:lang w:val="es-CR"/>
        </w:rPr>
      </w:pPr>
      <w:r w:rsidRPr="00C12C4D">
        <w:rPr>
          <w:rFonts w:ascii="Verdana" w:hAnsi="Verdana"/>
          <w:sz w:val="20"/>
          <w:szCs w:val="20"/>
          <w:lang w:val="es-CR"/>
        </w:rPr>
        <w:t xml:space="preserve">Diego García-Sayán, </w:t>
      </w:r>
      <w:r w:rsidR="002B5CCD" w:rsidRPr="00C12C4D">
        <w:rPr>
          <w:rFonts w:ascii="Verdana" w:hAnsi="Verdana"/>
          <w:sz w:val="20"/>
          <w:szCs w:val="20"/>
          <w:lang w:val="es-CR"/>
        </w:rPr>
        <w:t>Judge</w:t>
      </w:r>
    </w:p>
    <w:p w14:paraId="631267A5" w14:textId="77777777" w:rsidR="00E4033A" w:rsidRPr="00F3781A" w:rsidRDefault="00E4033A" w:rsidP="00E4033A">
      <w:pPr>
        <w:jc w:val="both"/>
        <w:rPr>
          <w:rFonts w:ascii="Verdana" w:hAnsi="Verdana"/>
          <w:sz w:val="20"/>
          <w:szCs w:val="20"/>
          <w:lang w:val="en-US"/>
        </w:rPr>
      </w:pPr>
      <w:r w:rsidRPr="00F3781A">
        <w:rPr>
          <w:rFonts w:ascii="Verdana" w:hAnsi="Verdana"/>
          <w:sz w:val="20"/>
          <w:szCs w:val="20"/>
          <w:lang w:val="en-US"/>
        </w:rPr>
        <w:t xml:space="preserve">Alberto Pérez Pérez, </w:t>
      </w:r>
      <w:r w:rsidR="002B5CCD" w:rsidRPr="0094300B">
        <w:rPr>
          <w:rFonts w:ascii="Verdana" w:hAnsi="Verdana"/>
          <w:sz w:val="20"/>
          <w:szCs w:val="20"/>
          <w:lang w:val="en-US"/>
        </w:rPr>
        <w:t>Judge</w:t>
      </w:r>
    </w:p>
    <w:p w14:paraId="631267A6" w14:textId="77777777" w:rsidR="00E4033A" w:rsidRPr="00F3781A" w:rsidRDefault="00E4033A" w:rsidP="00E4033A">
      <w:pPr>
        <w:jc w:val="both"/>
        <w:rPr>
          <w:rFonts w:ascii="Verdana" w:hAnsi="Verdana"/>
          <w:sz w:val="20"/>
          <w:szCs w:val="20"/>
          <w:lang w:val="en-US"/>
        </w:rPr>
      </w:pPr>
      <w:r w:rsidRPr="00F3781A">
        <w:rPr>
          <w:rFonts w:ascii="Verdana" w:hAnsi="Verdana"/>
          <w:sz w:val="20"/>
          <w:szCs w:val="20"/>
          <w:lang w:val="en-US"/>
        </w:rPr>
        <w:t xml:space="preserve">Eduardo Vio Grossi, </w:t>
      </w:r>
      <w:r w:rsidR="002B5CCD" w:rsidRPr="00F3781A">
        <w:rPr>
          <w:rFonts w:ascii="Verdana" w:hAnsi="Verdana"/>
          <w:sz w:val="20"/>
          <w:szCs w:val="20"/>
          <w:lang w:val="en-US"/>
        </w:rPr>
        <w:t>Judge, and</w:t>
      </w:r>
    </w:p>
    <w:p w14:paraId="631267A7" w14:textId="77777777" w:rsidR="00E4033A" w:rsidRPr="00FE7BA7" w:rsidRDefault="00E4033A" w:rsidP="00E4033A">
      <w:pPr>
        <w:jc w:val="both"/>
        <w:rPr>
          <w:rFonts w:ascii="Verdana" w:hAnsi="Verdana"/>
          <w:sz w:val="20"/>
          <w:szCs w:val="20"/>
          <w:lang w:val="en-US"/>
        </w:rPr>
      </w:pPr>
      <w:r w:rsidRPr="00FE7BA7">
        <w:rPr>
          <w:rFonts w:ascii="Verdana" w:hAnsi="Verdana"/>
          <w:sz w:val="20"/>
          <w:szCs w:val="20"/>
          <w:lang w:val="en-US"/>
        </w:rPr>
        <w:t xml:space="preserve">Eduardo Ferrer Mac-Gregor Poisot, </w:t>
      </w:r>
      <w:r w:rsidR="002B5CCD" w:rsidRPr="00FE7BA7">
        <w:rPr>
          <w:rFonts w:ascii="Verdana" w:hAnsi="Verdana"/>
          <w:sz w:val="20"/>
          <w:szCs w:val="20"/>
          <w:lang w:val="en-US"/>
        </w:rPr>
        <w:t>Judge</w:t>
      </w:r>
      <w:r w:rsidRPr="00FE7BA7">
        <w:rPr>
          <w:rFonts w:ascii="Verdana" w:hAnsi="Verdana"/>
          <w:sz w:val="20"/>
          <w:szCs w:val="20"/>
          <w:lang w:val="en-US"/>
        </w:rPr>
        <w:t>;</w:t>
      </w:r>
    </w:p>
    <w:p w14:paraId="631267A8" w14:textId="77777777" w:rsidR="00E4033A" w:rsidRPr="00FE7BA7" w:rsidRDefault="00E4033A" w:rsidP="00E4033A">
      <w:pPr>
        <w:jc w:val="both"/>
        <w:rPr>
          <w:rFonts w:ascii="Verdana" w:hAnsi="Verdana"/>
          <w:sz w:val="20"/>
          <w:szCs w:val="20"/>
          <w:lang w:val="en-US"/>
        </w:rPr>
      </w:pPr>
    </w:p>
    <w:p w14:paraId="631267A9" w14:textId="77777777" w:rsidR="00E4033A" w:rsidRPr="00FE7BA7" w:rsidRDefault="002B5CCD" w:rsidP="00E4033A">
      <w:pPr>
        <w:jc w:val="both"/>
        <w:rPr>
          <w:rFonts w:ascii="Verdana" w:hAnsi="Verdana"/>
          <w:sz w:val="20"/>
          <w:szCs w:val="20"/>
          <w:lang w:val="en-US"/>
        </w:rPr>
      </w:pPr>
      <w:proofErr w:type="gramStart"/>
      <w:r w:rsidRPr="00FE7BA7">
        <w:rPr>
          <w:rFonts w:ascii="Verdana" w:hAnsi="Verdana"/>
          <w:sz w:val="20"/>
          <w:szCs w:val="20"/>
          <w:lang w:val="en-US"/>
        </w:rPr>
        <w:t>also</w:t>
      </w:r>
      <w:proofErr w:type="gramEnd"/>
      <w:r w:rsidRPr="00FE7BA7">
        <w:rPr>
          <w:rFonts w:ascii="Verdana" w:hAnsi="Verdana"/>
          <w:sz w:val="20"/>
          <w:szCs w:val="20"/>
          <w:lang w:val="en-US"/>
        </w:rPr>
        <w:t xml:space="preserve"> present</w:t>
      </w:r>
      <w:r w:rsidR="00E4033A" w:rsidRPr="00FE7BA7">
        <w:rPr>
          <w:rFonts w:ascii="Verdana" w:hAnsi="Verdana"/>
          <w:sz w:val="20"/>
          <w:szCs w:val="20"/>
          <w:lang w:val="en-US"/>
        </w:rPr>
        <w:t xml:space="preserve">, </w:t>
      </w:r>
    </w:p>
    <w:p w14:paraId="631267AA" w14:textId="77777777" w:rsidR="00E4033A" w:rsidRPr="00FE7BA7" w:rsidRDefault="00E4033A" w:rsidP="00E4033A">
      <w:pPr>
        <w:jc w:val="both"/>
        <w:rPr>
          <w:rFonts w:ascii="Verdana" w:hAnsi="Verdana"/>
          <w:sz w:val="20"/>
          <w:szCs w:val="20"/>
          <w:lang w:val="en-US"/>
        </w:rPr>
      </w:pPr>
    </w:p>
    <w:p w14:paraId="631267AB" w14:textId="77777777" w:rsidR="00E4033A" w:rsidRPr="00FE7BA7" w:rsidRDefault="00E4033A" w:rsidP="00E4033A">
      <w:pPr>
        <w:jc w:val="both"/>
        <w:rPr>
          <w:rFonts w:ascii="Verdana" w:hAnsi="Verdana"/>
          <w:sz w:val="20"/>
          <w:szCs w:val="20"/>
          <w:lang w:val="en-US"/>
        </w:rPr>
      </w:pPr>
      <w:r w:rsidRPr="00FE7BA7">
        <w:rPr>
          <w:rFonts w:ascii="Verdana" w:hAnsi="Verdana"/>
          <w:sz w:val="20"/>
          <w:szCs w:val="20"/>
          <w:lang w:val="en-US"/>
        </w:rPr>
        <w:t xml:space="preserve">Pablo Saavedra Alessandri, </w:t>
      </w:r>
      <w:r w:rsidR="002B5CCD" w:rsidRPr="00FE7BA7">
        <w:rPr>
          <w:rFonts w:ascii="Verdana" w:hAnsi="Verdana"/>
          <w:sz w:val="20"/>
          <w:szCs w:val="20"/>
          <w:lang w:val="en-US"/>
        </w:rPr>
        <w:t>Secretary, and</w:t>
      </w:r>
    </w:p>
    <w:p w14:paraId="631267AC" w14:textId="77777777" w:rsidR="00E4033A" w:rsidRPr="00C12C4D" w:rsidRDefault="00E4033A" w:rsidP="00E4033A">
      <w:pPr>
        <w:jc w:val="both"/>
        <w:rPr>
          <w:rFonts w:ascii="Verdana" w:hAnsi="Verdana"/>
          <w:sz w:val="20"/>
          <w:szCs w:val="20"/>
          <w:lang w:val="es-CR"/>
        </w:rPr>
      </w:pPr>
      <w:r w:rsidRPr="00C12C4D">
        <w:rPr>
          <w:rFonts w:ascii="Verdana" w:hAnsi="Verdana"/>
          <w:sz w:val="20"/>
          <w:szCs w:val="20"/>
          <w:lang w:val="es-CR"/>
        </w:rPr>
        <w:t xml:space="preserve">Emilia Segares Rodríguez, </w:t>
      </w:r>
      <w:r w:rsidR="002B5CCD" w:rsidRPr="00C12C4D">
        <w:rPr>
          <w:rFonts w:ascii="Verdana" w:hAnsi="Verdana"/>
          <w:sz w:val="20"/>
          <w:szCs w:val="20"/>
          <w:lang w:val="es-CR"/>
        </w:rPr>
        <w:t>Deputy Secretary</w:t>
      </w:r>
      <w:r w:rsidRPr="00C12C4D">
        <w:rPr>
          <w:rFonts w:ascii="Verdana" w:hAnsi="Verdana"/>
          <w:sz w:val="20"/>
          <w:szCs w:val="20"/>
          <w:lang w:val="es-CR"/>
        </w:rPr>
        <w:t>,</w:t>
      </w:r>
    </w:p>
    <w:p w14:paraId="631267AD" w14:textId="77777777" w:rsidR="00E4033A" w:rsidRPr="00C12C4D" w:rsidRDefault="00E4033A" w:rsidP="00E4033A">
      <w:pPr>
        <w:jc w:val="both"/>
        <w:rPr>
          <w:rFonts w:ascii="Verdana" w:hAnsi="Verdana"/>
          <w:sz w:val="20"/>
          <w:szCs w:val="20"/>
          <w:lang w:val="es-CR"/>
        </w:rPr>
      </w:pPr>
    </w:p>
    <w:p w14:paraId="631267AE" w14:textId="77777777" w:rsidR="00E4033A" w:rsidRPr="00FE7BA7" w:rsidRDefault="002B5CCD" w:rsidP="00E4033A">
      <w:pPr>
        <w:jc w:val="both"/>
        <w:rPr>
          <w:rFonts w:ascii="Verdana" w:hAnsi="Verdana"/>
          <w:sz w:val="20"/>
          <w:szCs w:val="20"/>
          <w:lang w:val="en-US"/>
        </w:rPr>
      </w:pPr>
      <w:proofErr w:type="gramStart"/>
      <w:r w:rsidRPr="00FE7BA7">
        <w:rPr>
          <w:rFonts w:ascii="Verdana" w:hAnsi="Verdana"/>
          <w:sz w:val="20"/>
          <w:szCs w:val="20"/>
          <w:lang w:val="en-US"/>
        </w:rPr>
        <w:t>pursuant</w:t>
      </w:r>
      <w:proofErr w:type="gramEnd"/>
      <w:r w:rsidRPr="00FE7BA7">
        <w:rPr>
          <w:rFonts w:ascii="Verdana" w:hAnsi="Verdana"/>
          <w:sz w:val="20"/>
          <w:szCs w:val="20"/>
          <w:lang w:val="en-US"/>
        </w:rPr>
        <w:t xml:space="preserve"> to</w:t>
      </w:r>
      <w:r w:rsidR="00E4033A" w:rsidRPr="00FE7BA7">
        <w:rPr>
          <w:rFonts w:ascii="Verdana" w:hAnsi="Verdana"/>
          <w:sz w:val="20"/>
          <w:szCs w:val="20"/>
          <w:lang w:val="en-US"/>
        </w:rPr>
        <w:t xml:space="preserve"> </w:t>
      </w:r>
      <w:r w:rsidRPr="00FE7BA7">
        <w:rPr>
          <w:rFonts w:ascii="Verdana" w:hAnsi="Verdana"/>
          <w:sz w:val="20"/>
          <w:szCs w:val="20"/>
          <w:lang w:val="en-US"/>
        </w:rPr>
        <w:t>Articles</w:t>
      </w:r>
      <w:r w:rsidR="00E4033A" w:rsidRPr="00FE7BA7">
        <w:rPr>
          <w:rFonts w:ascii="Verdana" w:hAnsi="Verdana"/>
          <w:sz w:val="20"/>
          <w:szCs w:val="20"/>
          <w:lang w:val="en-US"/>
        </w:rPr>
        <w:t xml:space="preserve"> </w:t>
      </w:r>
      <w:r w:rsidRPr="00FE7BA7">
        <w:rPr>
          <w:rFonts w:ascii="Verdana" w:hAnsi="Verdana"/>
          <w:sz w:val="20"/>
          <w:szCs w:val="20"/>
          <w:lang w:val="en-US"/>
        </w:rPr>
        <w:t>62(3) and 63(1) of the American Convention on Human Rights</w:t>
      </w:r>
      <w:r w:rsidR="00E4033A" w:rsidRPr="00FE7BA7">
        <w:rPr>
          <w:rFonts w:ascii="Verdana" w:hAnsi="Verdana"/>
          <w:sz w:val="20"/>
          <w:szCs w:val="20"/>
          <w:lang w:val="en-US"/>
        </w:rPr>
        <w:t xml:space="preserve"> (</w:t>
      </w:r>
      <w:r w:rsidRPr="00FE7BA7">
        <w:rPr>
          <w:rFonts w:ascii="Verdana" w:hAnsi="Verdana"/>
          <w:sz w:val="20"/>
          <w:szCs w:val="20"/>
          <w:lang w:val="en-US"/>
        </w:rPr>
        <w:t>hereinafter</w:t>
      </w:r>
      <w:r w:rsidR="00E4033A" w:rsidRPr="00FE7BA7">
        <w:rPr>
          <w:rFonts w:ascii="Verdana" w:hAnsi="Verdana"/>
          <w:sz w:val="20"/>
          <w:szCs w:val="20"/>
          <w:lang w:val="en-US"/>
        </w:rPr>
        <w:t xml:space="preserve"> “</w:t>
      </w:r>
      <w:r w:rsidRPr="00FE7BA7">
        <w:rPr>
          <w:rFonts w:ascii="Verdana" w:hAnsi="Verdana"/>
          <w:sz w:val="20"/>
          <w:szCs w:val="20"/>
          <w:lang w:val="en-US"/>
        </w:rPr>
        <w:t>the Convention</w:t>
      </w:r>
      <w:r w:rsidR="00E4033A" w:rsidRPr="00FE7BA7">
        <w:rPr>
          <w:rFonts w:ascii="Verdana" w:hAnsi="Verdana"/>
          <w:sz w:val="20"/>
          <w:szCs w:val="20"/>
          <w:lang w:val="en-US"/>
        </w:rPr>
        <w:t>” o</w:t>
      </w:r>
      <w:r w:rsidRPr="00FE7BA7">
        <w:rPr>
          <w:rFonts w:ascii="Verdana" w:hAnsi="Verdana"/>
          <w:sz w:val="20"/>
          <w:szCs w:val="20"/>
          <w:lang w:val="en-US"/>
        </w:rPr>
        <w:t>r</w:t>
      </w:r>
      <w:r w:rsidR="00E4033A" w:rsidRPr="00FE7BA7">
        <w:rPr>
          <w:rFonts w:ascii="Verdana" w:hAnsi="Verdana"/>
          <w:sz w:val="20"/>
          <w:szCs w:val="20"/>
          <w:lang w:val="en-US"/>
        </w:rPr>
        <w:t xml:space="preserve"> “</w:t>
      </w:r>
      <w:r w:rsidRPr="00FE7BA7">
        <w:rPr>
          <w:rFonts w:ascii="Verdana" w:hAnsi="Verdana"/>
          <w:sz w:val="20"/>
          <w:szCs w:val="20"/>
          <w:lang w:val="en-US"/>
        </w:rPr>
        <w:t>the American Convention</w:t>
      </w:r>
      <w:r w:rsidR="00E4033A" w:rsidRPr="00FE7BA7">
        <w:rPr>
          <w:rFonts w:ascii="Verdana" w:hAnsi="Verdana"/>
          <w:sz w:val="20"/>
          <w:szCs w:val="20"/>
          <w:lang w:val="en-US"/>
        </w:rPr>
        <w:t>”)</w:t>
      </w:r>
      <w:r w:rsidRPr="00FE7BA7">
        <w:rPr>
          <w:rFonts w:ascii="Verdana" w:hAnsi="Verdana"/>
          <w:sz w:val="20"/>
          <w:szCs w:val="20"/>
          <w:lang w:val="en-US"/>
        </w:rPr>
        <w:t xml:space="preserve"> and</w:t>
      </w:r>
      <w:r w:rsidR="00E4033A" w:rsidRPr="00FE7BA7">
        <w:rPr>
          <w:rFonts w:ascii="Verdana" w:hAnsi="Verdana"/>
          <w:sz w:val="20"/>
          <w:szCs w:val="20"/>
          <w:lang w:val="en-US"/>
        </w:rPr>
        <w:t xml:space="preserve"> </w:t>
      </w:r>
      <w:r w:rsidRPr="00FE7BA7">
        <w:rPr>
          <w:rFonts w:ascii="Verdana" w:hAnsi="Verdana"/>
          <w:sz w:val="20"/>
          <w:szCs w:val="20"/>
          <w:lang w:val="en-US"/>
        </w:rPr>
        <w:t>Articles</w:t>
      </w:r>
      <w:r w:rsidR="00E4033A" w:rsidRPr="00FE7BA7">
        <w:rPr>
          <w:rFonts w:ascii="Verdana" w:hAnsi="Verdana"/>
          <w:sz w:val="20"/>
          <w:szCs w:val="20"/>
          <w:lang w:val="en-US"/>
        </w:rPr>
        <w:t xml:space="preserve"> 31, 32, 65</w:t>
      </w:r>
      <w:r w:rsidRPr="00FE7BA7">
        <w:rPr>
          <w:rFonts w:ascii="Verdana" w:hAnsi="Verdana"/>
          <w:sz w:val="20"/>
          <w:szCs w:val="20"/>
          <w:lang w:val="en-US"/>
        </w:rPr>
        <w:t xml:space="preserve"> and </w:t>
      </w:r>
      <w:r w:rsidR="00E4033A" w:rsidRPr="00FE7BA7">
        <w:rPr>
          <w:rFonts w:ascii="Verdana" w:hAnsi="Verdana"/>
          <w:sz w:val="20"/>
          <w:szCs w:val="20"/>
          <w:lang w:val="en-US"/>
        </w:rPr>
        <w:t>67</w:t>
      </w:r>
      <w:r w:rsidRPr="00FE7BA7">
        <w:rPr>
          <w:rFonts w:ascii="Verdana" w:hAnsi="Verdana"/>
          <w:sz w:val="20"/>
          <w:szCs w:val="20"/>
          <w:lang w:val="en-US"/>
        </w:rPr>
        <w:t xml:space="preserve"> of the Rules of Procedure of the Court</w:t>
      </w:r>
      <w:r w:rsidR="00E4033A" w:rsidRPr="00FE7BA7">
        <w:rPr>
          <w:rFonts w:ascii="Verdana" w:hAnsi="Verdana"/>
          <w:sz w:val="20"/>
          <w:szCs w:val="20"/>
          <w:lang w:val="en-US"/>
        </w:rPr>
        <w:t xml:space="preserve"> (</w:t>
      </w:r>
      <w:r w:rsidRPr="00FE7BA7">
        <w:rPr>
          <w:rFonts w:ascii="Verdana" w:hAnsi="Verdana"/>
          <w:sz w:val="20"/>
          <w:szCs w:val="20"/>
          <w:lang w:val="en-US"/>
        </w:rPr>
        <w:t>hereinafter</w:t>
      </w:r>
      <w:r w:rsidR="00E4033A" w:rsidRPr="00FE7BA7">
        <w:rPr>
          <w:rFonts w:ascii="Verdana" w:hAnsi="Verdana"/>
          <w:sz w:val="20"/>
          <w:szCs w:val="20"/>
          <w:lang w:val="en-US"/>
        </w:rPr>
        <w:t xml:space="preserve"> “</w:t>
      </w:r>
      <w:r w:rsidRPr="00FE7BA7">
        <w:rPr>
          <w:rFonts w:ascii="Verdana" w:hAnsi="Verdana"/>
          <w:sz w:val="20"/>
          <w:szCs w:val="20"/>
          <w:lang w:val="en-US"/>
        </w:rPr>
        <w:t>the Rules of Procedure</w:t>
      </w:r>
      <w:r w:rsidR="00E4033A" w:rsidRPr="00FE7BA7">
        <w:rPr>
          <w:rFonts w:ascii="Verdana" w:hAnsi="Verdana"/>
          <w:sz w:val="20"/>
          <w:szCs w:val="20"/>
          <w:lang w:val="en-US"/>
        </w:rPr>
        <w:t>”), d</w:t>
      </w:r>
      <w:r w:rsidRPr="00FE7BA7">
        <w:rPr>
          <w:rFonts w:ascii="Verdana" w:hAnsi="Verdana"/>
          <w:sz w:val="20"/>
          <w:szCs w:val="20"/>
          <w:lang w:val="en-US"/>
        </w:rPr>
        <w:t>elivers this Judgment, structured as follows:</w:t>
      </w:r>
    </w:p>
    <w:p w14:paraId="631267AF" w14:textId="77777777" w:rsidR="00E4033A" w:rsidRPr="00FE7BA7" w:rsidRDefault="00E4033A" w:rsidP="00E4033A">
      <w:pPr>
        <w:jc w:val="both"/>
        <w:rPr>
          <w:rFonts w:ascii="Verdana" w:hAnsi="Verdana"/>
          <w:sz w:val="20"/>
          <w:szCs w:val="20"/>
          <w:lang w:val="en-US"/>
        </w:rPr>
      </w:pPr>
    </w:p>
    <w:p w14:paraId="631267B0" w14:textId="77777777" w:rsidR="00E4033A" w:rsidRDefault="00E4033A" w:rsidP="00E4033A">
      <w:pPr>
        <w:jc w:val="both"/>
        <w:rPr>
          <w:rFonts w:ascii="Verdana" w:hAnsi="Verdana"/>
          <w:sz w:val="20"/>
          <w:szCs w:val="20"/>
          <w:lang w:val="en-US"/>
        </w:rPr>
      </w:pPr>
      <w:r w:rsidRPr="00FE7BA7">
        <w:rPr>
          <w:rFonts w:ascii="Verdana" w:hAnsi="Verdana"/>
          <w:sz w:val="20"/>
          <w:szCs w:val="20"/>
          <w:lang w:val="en-US"/>
        </w:rPr>
        <w:br w:type="page"/>
      </w:r>
    </w:p>
    <w:p w14:paraId="7EF737B5" w14:textId="77777777" w:rsidR="00801008" w:rsidRPr="00FE7BA7" w:rsidRDefault="00801008" w:rsidP="00E4033A">
      <w:pPr>
        <w:jc w:val="both"/>
        <w:rPr>
          <w:rFonts w:ascii="Verdana" w:hAnsi="Verdana"/>
          <w:sz w:val="20"/>
          <w:szCs w:val="20"/>
          <w:lang w:val="en-US"/>
        </w:rPr>
      </w:pPr>
    </w:p>
    <w:p w14:paraId="631267B1" w14:textId="77777777" w:rsidR="00E4033A" w:rsidRPr="00FE7BA7" w:rsidRDefault="002B5CCD" w:rsidP="00E4033A">
      <w:pPr>
        <w:jc w:val="center"/>
        <w:rPr>
          <w:rFonts w:ascii="Verdana" w:hAnsi="Verdana"/>
          <w:b/>
          <w:sz w:val="20"/>
          <w:szCs w:val="20"/>
          <w:lang w:val="en-US"/>
        </w:rPr>
      </w:pPr>
      <w:r w:rsidRPr="00FE7BA7">
        <w:rPr>
          <w:rFonts w:ascii="Verdana" w:hAnsi="Verdana"/>
          <w:b/>
          <w:sz w:val="20"/>
          <w:szCs w:val="20"/>
          <w:lang w:val="en-US"/>
        </w:rPr>
        <w:t>CASE OF THE</w:t>
      </w:r>
      <w:r w:rsidR="00382F4D" w:rsidRPr="00FE7BA7">
        <w:rPr>
          <w:rFonts w:ascii="Verdana" w:hAnsi="Verdana"/>
          <w:b/>
          <w:sz w:val="20"/>
          <w:szCs w:val="20"/>
          <w:lang w:val="en-US"/>
        </w:rPr>
        <w:t xml:space="preserve"> </w:t>
      </w:r>
      <w:r w:rsidR="004C7D14" w:rsidRPr="00FE7BA7">
        <w:rPr>
          <w:rFonts w:ascii="Verdana" w:hAnsi="Verdana"/>
          <w:b/>
          <w:sz w:val="20"/>
          <w:szCs w:val="20"/>
          <w:lang w:val="en-US"/>
        </w:rPr>
        <w:t>KALIÑA AND LOKONO PEOPLES</w:t>
      </w:r>
      <w:r w:rsidR="00E4033A" w:rsidRPr="00FE7BA7">
        <w:rPr>
          <w:rFonts w:ascii="Verdana" w:hAnsi="Verdana"/>
          <w:b/>
          <w:sz w:val="20"/>
          <w:szCs w:val="20"/>
          <w:lang w:val="en-US"/>
        </w:rPr>
        <w:t xml:space="preserve"> </w:t>
      </w:r>
      <w:r w:rsidRPr="00FE7BA7">
        <w:rPr>
          <w:rFonts w:ascii="Verdana" w:hAnsi="Verdana"/>
          <w:b/>
          <w:i/>
          <w:sz w:val="20"/>
          <w:szCs w:val="20"/>
          <w:lang w:val="en-US"/>
        </w:rPr>
        <w:t>v.</w:t>
      </w:r>
      <w:r w:rsidR="00E4033A" w:rsidRPr="00FE7BA7">
        <w:rPr>
          <w:rFonts w:ascii="Verdana" w:hAnsi="Verdana"/>
          <w:b/>
          <w:sz w:val="20"/>
          <w:szCs w:val="20"/>
          <w:lang w:val="en-US"/>
        </w:rPr>
        <w:t xml:space="preserve"> </w:t>
      </w:r>
      <w:r w:rsidR="00563E11" w:rsidRPr="00FE7BA7">
        <w:rPr>
          <w:rFonts w:ascii="Verdana" w:hAnsi="Verdana"/>
          <w:b/>
          <w:sz w:val="20"/>
          <w:szCs w:val="20"/>
          <w:lang w:val="en-US"/>
        </w:rPr>
        <w:t>SURINAM</w:t>
      </w:r>
      <w:r w:rsidRPr="00FE7BA7">
        <w:rPr>
          <w:rFonts w:ascii="Verdana" w:hAnsi="Verdana"/>
          <w:b/>
          <w:sz w:val="20"/>
          <w:szCs w:val="20"/>
          <w:lang w:val="en-US"/>
        </w:rPr>
        <w:t>E</w:t>
      </w:r>
    </w:p>
    <w:p w14:paraId="631267B2" w14:textId="77777777" w:rsidR="002B5CCD" w:rsidRPr="00FE7BA7" w:rsidRDefault="002B5CCD" w:rsidP="00E4033A">
      <w:pPr>
        <w:jc w:val="center"/>
        <w:rPr>
          <w:rFonts w:ascii="Verdana" w:hAnsi="Verdana"/>
          <w:b/>
          <w:sz w:val="20"/>
          <w:szCs w:val="20"/>
          <w:lang w:val="en-US"/>
        </w:rPr>
      </w:pPr>
    </w:p>
    <w:p w14:paraId="631267B3" w14:textId="77777777" w:rsidR="002B5CCD" w:rsidRPr="00FE7BA7" w:rsidRDefault="002B5CCD" w:rsidP="00E4033A">
      <w:pPr>
        <w:jc w:val="center"/>
        <w:rPr>
          <w:rFonts w:ascii="Verdana" w:hAnsi="Verdana"/>
          <w:b/>
          <w:sz w:val="20"/>
          <w:szCs w:val="20"/>
          <w:lang w:val="en-US"/>
        </w:rPr>
      </w:pPr>
    </w:p>
    <w:p w14:paraId="631267B4" w14:textId="77777777" w:rsidR="00E4033A" w:rsidRPr="00FE7BA7" w:rsidRDefault="002B5CCD" w:rsidP="00E4033A">
      <w:pPr>
        <w:jc w:val="center"/>
        <w:rPr>
          <w:rFonts w:ascii="Verdana" w:hAnsi="Verdana"/>
          <w:b/>
          <w:sz w:val="20"/>
          <w:szCs w:val="20"/>
          <w:lang w:val="en-US"/>
        </w:rPr>
      </w:pPr>
      <w:r w:rsidRPr="00FE7BA7">
        <w:rPr>
          <w:rFonts w:ascii="Verdana" w:hAnsi="Verdana"/>
          <w:b/>
          <w:sz w:val="20"/>
          <w:szCs w:val="20"/>
          <w:lang w:val="en-US"/>
        </w:rPr>
        <w:t>TABLE OF CONTENTS</w:t>
      </w:r>
    </w:p>
    <w:p w14:paraId="631267B5" w14:textId="77777777" w:rsidR="00E4033A" w:rsidRPr="00FE7BA7" w:rsidRDefault="00E4033A" w:rsidP="004264AA">
      <w:pPr>
        <w:tabs>
          <w:tab w:val="left" w:pos="9639"/>
        </w:tabs>
        <w:jc w:val="both"/>
        <w:rPr>
          <w:rFonts w:ascii="Verdana" w:hAnsi="Verdana"/>
          <w:b/>
          <w:sz w:val="18"/>
          <w:szCs w:val="18"/>
          <w:lang w:val="en-US"/>
        </w:rPr>
      </w:pPr>
    </w:p>
    <w:bookmarkStart w:id="0" w:name="_Toc390328152"/>
    <w:p w14:paraId="3CE68479" w14:textId="77777777" w:rsidR="00CD4901" w:rsidRPr="00CD4901" w:rsidRDefault="00B45FDC" w:rsidP="00CD4901">
      <w:pPr>
        <w:pStyle w:val="TOC1"/>
        <w:rPr>
          <w:rFonts w:eastAsiaTheme="minorEastAsia" w:cstheme="minorBidi"/>
          <w:snapToGrid/>
          <w:lang w:val="es-CR" w:eastAsia="es-CR"/>
        </w:rPr>
      </w:pPr>
      <w:r w:rsidRPr="00CD4901">
        <w:rPr>
          <w:lang w:val="en-US"/>
        </w:rPr>
        <w:fldChar w:fldCharType="begin"/>
      </w:r>
      <w:r w:rsidR="00E4033A" w:rsidRPr="00CD4901">
        <w:rPr>
          <w:lang w:val="en-US"/>
        </w:rPr>
        <w:instrText xml:space="preserve"> TOC \o "1-5" \h \z \u </w:instrText>
      </w:r>
      <w:r w:rsidRPr="00CD4901">
        <w:rPr>
          <w:lang w:val="en-US"/>
        </w:rPr>
        <w:fldChar w:fldCharType="separate"/>
      </w:r>
      <w:hyperlink w:anchor="_Toc441673176" w:history="1">
        <w:r w:rsidR="00CD4901" w:rsidRPr="00CD4901">
          <w:rPr>
            <w:rStyle w:val="Hyperlink"/>
            <w:rFonts w:cs="Verdana"/>
            <w:color w:val="auto"/>
            <w:u w:val="none"/>
            <w:lang w:val="en-US"/>
          </w:rPr>
          <w:t>I INTRODUCTION OF THE CASE AND PURPOSE OF THE DISPUTE</w:t>
        </w:r>
        <w:r w:rsidR="00CD4901" w:rsidRPr="00CD4901">
          <w:rPr>
            <w:webHidden/>
          </w:rPr>
          <w:tab/>
        </w:r>
        <w:r w:rsidR="00CD4901" w:rsidRPr="00CD4901">
          <w:rPr>
            <w:webHidden/>
          </w:rPr>
          <w:fldChar w:fldCharType="begin"/>
        </w:r>
        <w:r w:rsidR="00CD4901" w:rsidRPr="00CD4901">
          <w:rPr>
            <w:webHidden/>
          </w:rPr>
          <w:instrText xml:space="preserve"> PAGEREF _Toc441673176 \h </w:instrText>
        </w:r>
        <w:r w:rsidR="00CD4901" w:rsidRPr="00CD4901">
          <w:rPr>
            <w:webHidden/>
          </w:rPr>
        </w:r>
        <w:r w:rsidR="00CD4901" w:rsidRPr="00CD4901">
          <w:rPr>
            <w:webHidden/>
          </w:rPr>
          <w:fldChar w:fldCharType="separate"/>
        </w:r>
        <w:r w:rsidR="00624C98">
          <w:rPr>
            <w:webHidden/>
          </w:rPr>
          <w:t>4</w:t>
        </w:r>
        <w:r w:rsidR="00CD4901" w:rsidRPr="00CD4901">
          <w:rPr>
            <w:webHidden/>
          </w:rPr>
          <w:fldChar w:fldCharType="end"/>
        </w:r>
      </w:hyperlink>
    </w:p>
    <w:p w14:paraId="7274DEDC" w14:textId="77777777" w:rsidR="00CD4901" w:rsidRPr="00CD4901" w:rsidRDefault="00624C98" w:rsidP="00CD4901">
      <w:pPr>
        <w:pStyle w:val="TOC1"/>
        <w:rPr>
          <w:rFonts w:eastAsiaTheme="minorEastAsia" w:cstheme="minorBidi"/>
          <w:snapToGrid/>
          <w:lang w:val="es-CR" w:eastAsia="es-CR"/>
        </w:rPr>
      </w:pPr>
      <w:hyperlink w:anchor="_Toc441673177" w:history="1">
        <w:r w:rsidR="00CD4901" w:rsidRPr="00CD4901">
          <w:rPr>
            <w:rStyle w:val="Hyperlink"/>
            <w:rFonts w:cs="Verdana"/>
            <w:color w:val="auto"/>
            <w:u w:val="none"/>
            <w:lang w:val="en-US"/>
          </w:rPr>
          <w:t>II PROCEEDINGS BEFORE THE COURT</w:t>
        </w:r>
        <w:r w:rsidR="00CD4901" w:rsidRPr="00CD4901">
          <w:rPr>
            <w:webHidden/>
          </w:rPr>
          <w:tab/>
        </w:r>
        <w:r w:rsidR="00CD4901" w:rsidRPr="00CD4901">
          <w:rPr>
            <w:webHidden/>
          </w:rPr>
          <w:fldChar w:fldCharType="begin"/>
        </w:r>
        <w:r w:rsidR="00CD4901" w:rsidRPr="00CD4901">
          <w:rPr>
            <w:webHidden/>
          </w:rPr>
          <w:instrText xml:space="preserve"> PAGEREF _Toc441673177 \h </w:instrText>
        </w:r>
        <w:r w:rsidR="00CD4901" w:rsidRPr="00CD4901">
          <w:rPr>
            <w:webHidden/>
          </w:rPr>
        </w:r>
        <w:r w:rsidR="00CD4901" w:rsidRPr="00CD4901">
          <w:rPr>
            <w:webHidden/>
          </w:rPr>
          <w:fldChar w:fldCharType="separate"/>
        </w:r>
        <w:r>
          <w:rPr>
            <w:webHidden/>
          </w:rPr>
          <w:t>7</w:t>
        </w:r>
        <w:r w:rsidR="00CD4901" w:rsidRPr="00CD4901">
          <w:rPr>
            <w:webHidden/>
          </w:rPr>
          <w:fldChar w:fldCharType="end"/>
        </w:r>
      </w:hyperlink>
    </w:p>
    <w:p w14:paraId="08969403" w14:textId="77777777" w:rsidR="00CD4901" w:rsidRPr="00CD4901" w:rsidRDefault="00624C98" w:rsidP="00CD4901">
      <w:pPr>
        <w:pStyle w:val="TOC1"/>
        <w:rPr>
          <w:rFonts w:eastAsiaTheme="minorEastAsia" w:cstheme="minorBidi"/>
          <w:snapToGrid/>
          <w:lang w:val="es-CR" w:eastAsia="es-CR"/>
        </w:rPr>
      </w:pPr>
      <w:hyperlink w:anchor="_Toc441673178" w:history="1">
        <w:r w:rsidR="00CD4901" w:rsidRPr="00CD4901">
          <w:rPr>
            <w:rStyle w:val="Hyperlink"/>
            <w:rFonts w:cs="Verdana"/>
            <w:color w:val="auto"/>
            <w:u w:val="none"/>
            <w:lang w:val="en-US"/>
          </w:rPr>
          <w:t>III JURISDICTION</w:t>
        </w:r>
        <w:r w:rsidR="00CD4901" w:rsidRPr="00CD4901">
          <w:rPr>
            <w:webHidden/>
          </w:rPr>
          <w:tab/>
        </w:r>
        <w:r w:rsidR="00CD4901" w:rsidRPr="00CD4901">
          <w:rPr>
            <w:webHidden/>
          </w:rPr>
          <w:fldChar w:fldCharType="begin"/>
        </w:r>
        <w:r w:rsidR="00CD4901" w:rsidRPr="00CD4901">
          <w:rPr>
            <w:webHidden/>
          </w:rPr>
          <w:instrText xml:space="preserve"> PAGEREF _Toc441673178 \h </w:instrText>
        </w:r>
        <w:r w:rsidR="00CD4901" w:rsidRPr="00CD4901">
          <w:rPr>
            <w:webHidden/>
          </w:rPr>
        </w:r>
        <w:r w:rsidR="00CD4901" w:rsidRPr="00CD4901">
          <w:rPr>
            <w:webHidden/>
          </w:rPr>
          <w:fldChar w:fldCharType="separate"/>
        </w:r>
        <w:r>
          <w:rPr>
            <w:webHidden/>
          </w:rPr>
          <w:t>10</w:t>
        </w:r>
        <w:r w:rsidR="00CD4901" w:rsidRPr="00CD4901">
          <w:rPr>
            <w:webHidden/>
          </w:rPr>
          <w:fldChar w:fldCharType="end"/>
        </w:r>
      </w:hyperlink>
    </w:p>
    <w:p w14:paraId="13B8F4C2" w14:textId="77777777" w:rsidR="00CD4901" w:rsidRPr="00CD4901" w:rsidRDefault="00624C98" w:rsidP="00CD4901">
      <w:pPr>
        <w:pStyle w:val="TOC1"/>
        <w:rPr>
          <w:rFonts w:eastAsiaTheme="minorEastAsia" w:cstheme="minorBidi"/>
          <w:snapToGrid/>
          <w:lang w:val="es-CR" w:eastAsia="es-CR"/>
        </w:rPr>
      </w:pPr>
      <w:hyperlink w:anchor="_Toc441673179" w:history="1">
        <w:r w:rsidR="00CD4901" w:rsidRPr="00CD4901">
          <w:rPr>
            <w:rStyle w:val="Hyperlink"/>
            <w:rFonts w:cs="Verdana"/>
            <w:color w:val="auto"/>
            <w:u w:val="none"/>
            <w:lang w:val="en-US"/>
          </w:rPr>
          <w:t>IV EVIDENCE</w:t>
        </w:r>
        <w:r w:rsidR="00CD4901" w:rsidRPr="00CD4901">
          <w:rPr>
            <w:webHidden/>
          </w:rPr>
          <w:tab/>
        </w:r>
        <w:r w:rsidR="00CD4901" w:rsidRPr="00CD4901">
          <w:rPr>
            <w:webHidden/>
          </w:rPr>
          <w:fldChar w:fldCharType="begin"/>
        </w:r>
        <w:r w:rsidR="00CD4901" w:rsidRPr="00CD4901">
          <w:rPr>
            <w:webHidden/>
          </w:rPr>
          <w:instrText xml:space="preserve"> PAGEREF _Toc441673179 \h </w:instrText>
        </w:r>
        <w:r w:rsidR="00CD4901" w:rsidRPr="00CD4901">
          <w:rPr>
            <w:webHidden/>
          </w:rPr>
        </w:r>
        <w:r w:rsidR="00CD4901" w:rsidRPr="00CD4901">
          <w:rPr>
            <w:webHidden/>
          </w:rPr>
          <w:fldChar w:fldCharType="separate"/>
        </w:r>
        <w:r>
          <w:rPr>
            <w:webHidden/>
          </w:rPr>
          <w:t>10</w:t>
        </w:r>
        <w:r w:rsidR="00CD4901" w:rsidRPr="00CD4901">
          <w:rPr>
            <w:webHidden/>
          </w:rPr>
          <w:fldChar w:fldCharType="end"/>
        </w:r>
      </w:hyperlink>
    </w:p>
    <w:p w14:paraId="39927CC3"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0" w:history="1">
        <w:r w:rsidR="00CD4901" w:rsidRPr="00CD4901">
          <w:rPr>
            <w:rStyle w:val="Hyperlink"/>
            <w:rFonts w:ascii="Verdana" w:hAnsi="Verdana"/>
            <w:noProof/>
            <w:color w:val="auto"/>
            <w:sz w:val="18"/>
            <w:szCs w:val="18"/>
            <w:u w:val="none"/>
            <w:lang w:val="en-US"/>
          </w:rPr>
          <w:t>A.</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Documentary, testimonial and expert evidence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_Toc441673180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10</w:t>
        </w:r>
        <w:r w:rsidR="00CD4901" w:rsidRPr="00CD4901">
          <w:rPr>
            <w:rFonts w:ascii="Verdana" w:hAnsi="Verdana"/>
            <w:noProof/>
            <w:webHidden/>
            <w:sz w:val="18"/>
            <w:szCs w:val="18"/>
          </w:rPr>
          <w:fldChar w:fldCharType="end"/>
        </w:r>
      </w:hyperlink>
    </w:p>
    <w:p w14:paraId="43C906DA"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1" w:history="1">
        <w:r w:rsidR="00CD4901" w:rsidRPr="00CD4901">
          <w:rPr>
            <w:rStyle w:val="Hyperlink"/>
            <w:rFonts w:ascii="Verdana" w:hAnsi="Verdana"/>
            <w:noProof/>
            <w:color w:val="auto"/>
            <w:sz w:val="18"/>
            <w:szCs w:val="18"/>
            <w:u w:val="none"/>
            <w:lang w:val="en-US"/>
          </w:rPr>
          <w:t>B.</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Admission of the evidence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_Toc441673181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11</w:t>
        </w:r>
        <w:r w:rsidR="00CD4901" w:rsidRPr="00CD4901">
          <w:rPr>
            <w:rFonts w:ascii="Verdana" w:hAnsi="Verdana"/>
            <w:noProof/>
            <w:webHidden/>
            <w:sz w:val="18"/>
            <w:szCs w:val="18"/>
          </w:rPr>
          <w:fldChar w:fldCharType="end"/>
        </w:r>
      </w:hyperlink>
    </w:p>
    <w:p w14:paraId="1218B403" w14:textId="77777777" w:rsidR="00CD4901" w:rsidRPr="00CD4901" w:rsidRDefault="00624C98" w:rsidP="00CD4901">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73182" w:history="1">
        <w:r w:rsidR="00CD4901" w:rsidRPr="00CD4901">
          <w:rPr>
            <w:rStyle w:val="Hyperlink"/>
            <w:rFonts w:ascii="Verdana" w:hAnsi="Verdana"/>
            <w:noProof/>
            <w:color w:val="auto"/>
            <w:sz w:val="18"/>
            <w:szCs w:val="18"/>
            <w:u w:val="none"/>
            <w:lang w:val="en-US"/>
          </w:rPr>
          <w:t>B.1 Admission of the documentary evidence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_Toc441673182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11</w:t>
        </w:r>
        <w:r w:rsidR="00CD4901" w:rsidRPr="00CD4901">
          <w:rPr>
            <w:rFonts w:ascii="Verdana" w:hAnsi="Verdana"/>
            <w:noProof/>
            <w:webHidden/>
            <w:sz w:val="18"/>
            <w:szCs w:val="18"/>
          </w:rPr>
          <w:fldChar w:fldCharType="end"/>
        </w:r>
      </w:hyperlink>
    </w:p>
    <w:p w14:paraId="58BE9042" w14:textId="77777777" w:rsidR="00CD4901" w:rsidRPr="00CD4901" w:rsidRDefault="00624C98" w:rsidP="00CD4901">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73183" w:history="1">
        <w:r w:rsidR="00CD4901" w:rsidRPr="00CD4901">
          <w:rPr>
            <w:rStyle w:val="Hyperlink"/>
            <w:rFonts w:ascii="Verdana" w:hAnsi="Verdana"/>
            <w:noProof/>
            <w:color w:val="auto"/>
            <w:sz w:val="18"/>
            <w:szCs w:val="18"/>
            <w:u w:val="none"/>
            <w:lang w:val="en-US"/>
          </w:rPr>
          <w:t>B.2 Admission of the testimonial and expert evidence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_Toc441673183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12</w:t>
        </w:r>
        <w:r w:rsidR="00CD4901" w:rsidRPr="00CD4901">
          <w:rPr>
            <w:rFonts w:ascii="Verdana" w:hAnsi="Verdana"/>
            <w:noProof/>
            <w:webHidden/>
            <w:sz w:val="18"/>
            <w:szCs w:val="18"/>
          </w:rPr>
          <w:fldChar w:fldCharType="end"/>
        </w:r>
      </w:hyperlink>
    </w:p>
    <w:p w14:paraId="21B12485"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4" w:history="1">
        <w:r w:rsidR="00CD4901" w:rsidRPr="00CD4901">
          <w:rPr>
            <w:rStyle w:val="Hyperlink"/>
            <w:rFonts w:ascii="Verdana" w:hAnsi="Verdana"/>
            <w:noProof/>
            <w:color w:val="auto"/>
            <w:sz w:val="18"/>
            <w:szCs w:val="18"/>
            <w:u w:val="none"/>
            <w:lang w:val="en-US"/>
          </w:rPr>
          <w:t>C.</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Assessment of the evidence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_Toc441673184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12</w:t>
        </w:r>
        <w:r w:rsidR="00CD4901" w:rsidRPr="00CD4901">
          <w:rPr>
            <w:rFonts w:ascii="Verdana" w:hAnsi="Verdana"/>
            <w:noProof/>
            <w:webHidden/>
            <w:sz w:val="18"/>
            <w:szCs w:val="18"/>
          </w:rPr>
          <w:fldChar w:fldCharType="end"/>
        </w:r>
      </w:hyperlink>
    </w:p>
    <w:p w14:paraId="23D2D56A" w14:textId="77777777" w:rsidR="00CD4901" w:rsidRPr="00CD4901" w:rsidRDefault="00624C98" w:rsidP="00CD4901">
      <w:pPr>
        <w:pStyle w:val="TOC1"/>
        <w:rPr>
          <w:rFonts w:eastAsiaTheme="minorEastAsia" w:cstheme="minorBidi"/>
          <w:snapToGrid/>
          <w:lang w:val="es-CR" w:eastAsia="es-CR"/>
        </w:rPr>
      </w:pPr>
      <w:hyperlink w:anchor="_Toc441673185" w:history="1">
        <w:r w:rsidR="00CD4901" w:rsidRPr="00CD4901">
          <w:rPr>
            <w:rStyle w:val="Hyperlink"/>
            <w:rFonts w:cs="Verdana"/>
            <w:color w:val="auto"/>
            <w:u w:val="none"/>
            <w:lang w:val="en-US"/>
          </w:rPr>
          <w:t>V FACTS</w:t>
        </w:r>
        <w:r w:rsidR="00CD4901" w:rsidRPr="00CD4901">
          <w:rPr>
            <w:webHidden/>
          </w:rPr>
          <w:tab/>
        </w:r>
        <w:r w:rsidR="00CD4901" w:rsidRPr="00CD4901">
          <w:rPr>
            <w:webHidden/>
          </w:rPr>
          <w:fldChar w:fldCharType="begin"/>
        </w:r>
        <w:r w:rsidR="00CD4901" w:rsidRPr="00CD4901">
          <w:rPr>
            <w:webHidden/>
          </w:rPr>
          <w:instrText xml:space="preserve"> PAGEREF _Toc441673185 \h </w:instrText>
        </w:r>
        <w:r w:rsidR="00CD4901" w:rsidRPr="00CD4901">
          <w:rPr>
            <w:webHidden/>
          </w:rPr>
        </w:r>
        <w:r w:rsidR="00CD4901" w:rsidRPr="00CD4901">
          <w:rPr>
            <w:webHidden/>
          </w:rPr>
          <w:fldChar w:fldCharType="separate"/>
        </w:r>
        <w:r>
          <w:rPr>
            <w:webHidden/>
          </w:rPr>
          <w:t>13</w:t>
        </w:r>
        <w:r w:rsidR="00CD4901" w:rsidRPr="00CD4901">
          <w:rPr>
            <w:webHidden/>
          </w:rPr>
          <w:fldChar w:fldCharType="end"/>
        </w:r>
      </w:hyperlink>
    </w:p>
    <w:p w14:paraId="6A5207D7"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6" w:history="1">
        <w:r w:rsidR="00CD4901" w:rsidRPr="00CD4901">
          <w:rPr>
            <w:rStyle w:val="Hyperlink"/>
            <w:rFonts w:ascii="Verdana" w:hAnsi="Verdana"/>
            <w:noProof/>
            <w:color w:val="auto"/>
            <w:sz w:val="18"/>
            <w:szCs w:val="18"/>
            <w:u w:val="none"/>
            <w:lang w:val="en-US"/>
          </w:rPr>
          <w:t>A.</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The Kaliña and Lokono peoples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_Toc441673186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13</w:t>
        </w:r>
        <w:r w:rsidR="00CD4901" w:rsidRPr="00CD4901">
          <w:rPr>
            <w:rFonts w:ascii="Verdana" w:hAnsi="Verdana"/>
            <w:noProof/>
            <w:webHidden/>
            <w:sz w:val="18"/>
            <w:szCs w:val="18"/>
          </w:rPr>
          <w:fldChar w:fldCharType="end"/>
        </w:r>
      </w:hyperlink>
    </w:p>
    <w:p w14:paraId="6803B61E"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7" w:history="1">
        <w:r w:rsidR="00CD4901" w:rsidRPr="00CD4901">
          <w:rPr>
            <w:rStyle w:val="Hyperlink"/>
            <w:rFonts w:ascii="Verdana" w:hAnsi="Verdana"/>
            <w:noProof/>
            <w:color w:val="auto"/>
            <w:sz w:val="18"/>
            <w:szCs w:val="18"/>
            <w:u w:val="none"/>
            <w:lang w:val="en-US"/>
          </w:rPr>
          <w:t>B.</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Maroon settlements in the territory claimed as ancestral by the Kaliña and Lokono peoples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_Toc441673187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16</w:t>
        </w:r>
        <w:r w:rsidR="00CD4901" w:rsidRPr="00CD4901">
          <w:rPr>
            <w:rFonts w:ascii="Verdana" w:hAnsi="Verdana"/>
            <w:noProof/>
            <w:webHidden/>
            <w:sz w:val="18"/>
            <w:szCs w:val="18"/>
          </w:rPr>
          <w:fldChar w:fldCharType="end"/>
        </w:r>
      </w:hyperlink>
    </w:p>
    <w:p w14:paraId="716E9621"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8" w:history="1">
        <w:r w:rsidR="00CD4901" w:rsidRPr="00CD4901">
          <w:rPr>
            <w:rStyle w:val="Hyperlink"/>
            <w:rFonts w:ascii="Verdana" w:hAnsi="Verdana"/>
            <w:noProof/>
            <w:color w:val="auto"/>
            <w:sz w:val="18"/>
            <w:szCs w:val="18"/>
            <w:u w:val="none"/>
            <w:lang w:val="en-US"/>
          </w:rPr>
          <w:t>C.</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The indigenous peoples under the Suriname legal system</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_Toc441673188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18</w:t>
        </w:r>
        <w:r w:rsidR="00CD4901" w:rsidRPr="00CD4901">
          <w:rPr>
            <w:rFonts w:ascii="Verdana" w:hAnsi="Verdana"/>
            <w:noProof/>
            <w:webHidden/>
            <w:sz w:val="18"/>
            <w:szCs w:val="18"/>
          </w:rPr>
          <w:fldChar w:fldCharType="end"/>
        </w:r>
      </w:hyperlink>
    </w:p>
    <w:p w14:paraId="3A826C25"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89" w:history="1">
        <w:r w:rsidR="00CD4901" w:rsidRPr="00CD4901">
          <w:rPr>
            <w:rStyle w:val="Hyperlink"/>
            <w:rFonts w:ascii="Verdana" w:hAnsi="Verdana"/>
            <w:noProof/>
            <w:color w:val="auto"/>
            <w:sz w:val="18"/>
            <w:szCs w:val="18"/>
            <w:u w:val="none"/>
            <w:lang w:val="en-US"/>
          </w:rPr>
          <w:t>D.</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The steps taken by the indigenous peoples to obtain recognition of their rights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_Toc441673189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19</w:t>
        </w:r>
        <w:r w:rsidR="00CD4901" w:rsidRPr="00CD4901">
          <w:rPr>
            <w:rFonts w:ascii="Verdana" w:hAnsi="Verdana"/>
            <w:noProof/>
            <w:webHidden/>
            <w:sz w:val="18"/>
            <w:szCs w:val="18"/>
          </w:rPr>
          <w:fldChar w:fldCharType="end"/>
        </w:r>
      </w:hyperlink>
    </w:p>
    <w:p w14:paraId="387BA088" w14:textId="77777777" w:rsidR="00CD4901" w:rsidRPr="00CD4901" w:rsidRDefault="00624C98" w:rsidP="00CD4901">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73190" w:history="1">
        <w:r w:rsidR="00CD4901" w:rsidRPr="00CD4901">
          <w:rPr>
            <w:rStyle w:val="Hyperlink"/>
            <w:rFonts w:ascii="Verdana" w:hAnsi="Verdana"/>
            <w:noProof/>
            <w:color w:val="auto"/>
            <w:sz w:val="18"/>
            <w:szCs w:val="18"/>
            <w:u w:val="none"/>
            <w:lang w:val="en-US"/>
          </w:rPr>
          <w:t>D.1 Steps taken prior to the acceptance of the Court’s jurisdiction (November 12, 1987)</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_Toc441673190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19</w:t>
        </w:r>
        <w:r w:rsidR="00CD4901" w:rsidRPr="00CD4901">
          <w:rPr>
            <w:rFonts w:ascii="Verdana" w:hAnsi="Verdana"/>
            <w:noProof/>
            <w:webHidden/>
            <w:sz w:val="18"/>
            <w:szCs w:val="18"/>
          </w:rPr>
          <w:fldChar w:fldCharType="end"/>
        </w:r>
      </w:hyperlink>
    </w:p>
    <w:p w14:paraId="79CA5A1E" w14:textId="77777777" w:rsidR="00CD4901" w:rsidRPr="00CD4901" w:rsidRDefault="00624C98" w:rsidP="00CD4901">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73191" w:history="1">
        <w:r w:rsidR="00CD4901" w:rsidRPr="00CD4901">
          <w:rPr>
            <w:rStyle w:val="Hyperlink"/>
            <w:rFonts w:ascii="Verdana" w:hAnsi="Verdana"/>
            <w:noProof/>
            <w:color w:val="auto"/>
            <w:sz w:val="18"/>
            <w:szCs w:val="18"/>
            <w:u w:val="none"/>
            <w:lang w:val="en-US"/>
          </w:rPr>
          <w:t>D.2 Steps taken following the acceptance of the Court’s jurisdiction (November 12, 1987)</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_Toc441673191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20</w:t>
        </w:r>
        <w:r w:rsidR="00CD4901" w:rsidRPr="00CD4901">
          <w:rPr>
            <w:rFonts w:ascii="Verdana" w:hAnsi="Verdana"/>
            <w:noProof/>
            <w:webHidden/>
            <w:sz w:val="18"/>
            <w:szCs w:val="18"/>
          </w:rPr>
          <w:fldChar w:fldCharType="end"/>
        </w:r>
      </w:hyperlink>
    </w:p>
    <w:p w14:paraId="62F0337F"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92" w:history="1">
        <w:r w:rsidR="00CD4901" w:rsidRPr="00CD4901">
          <w:rPr>
            <w:rStyle w:val="Hyperlink"/>
            <w:rFonts w:ascii="Verdana" w:hAnsi="Verdana"/>
            <w:noProof/>
            <w:color w:val="auto"/>
            <w:sz w:val="18"/>
            <w:szCs w:val="18"/>
            <w:u w:val="none"/>
            <w:lang w:val="en-US"/>
          </w:rPr>
          <w:t>E.</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Creation of the nature reserves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_Toc441673192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21</w:t>
        </w:r>
        <w:r w:rsidR="00CD4901" w:rsidRPr="00CD4901">
          <w:rPr>
            <w:rFonts w:ascii="Verdana" w:hAnsi="Verdana"/>
            <w:noProof/>
            <w:webHidden/>
            <w:sz w:val="18"/>
            <w:szCs w:val="18"/>
          </w:rPr>
          <w:fldChar w:fldCharType="end"/>
        </w:r>
      </w:hyperlink>
    </w:p>
    <w:p w14:paraId="33F4800E" w14:textId="77777777" w:rsidR="00CD4901" w:rsidRPr="00CD4901" w:rsidRDefault="00624C98" w:rsidP="00CD4901">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73193" w:history="1">
        <w:r w:rsidR="00CD4901" w:rsidRPr="00CD4901">
          <w:rPr>
            <w:rStyle w:val="Hyperlink"/>
            <w:rFonts w:ascii="Verdana" w:hAnsi="Verdana"/>
            <w:noProof/>
            <w:color w:val="auto"/>
            <w:sz w:val="18"/>
            <w:szCs w:val="18"/>
            <w:u w:val="none"/>
            <w:lang w:val="en-US"/>
          </w:rPr>
          <w:t>E.1 The Wia Wia and Galibi Nature Reserves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_Toc441673193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22</w:t>
        </w:r>
        <w:r w:rsidR="00CD4901" w:rsidRPr="00CD4901">
          <w:rPr>
            <w:rFonts w:ascii="Verdana" w:hAnsi="Verdana"/>
            <w:noProof/>
            <w:webHidden/>
            <w:sz w:val="18"/>
            <w:szCs w:val="18"/>
          </w:rPr>
          <w:fldChar w:fldCharType="end"/>
        </w:r>
      </w:hyperlink>
    </w:p>
    <w:p w14:paraId="45E168A9" w14:textId="77777777" w:rsidR="00CD4901" w:rsidRPr="00CD4901" w:rsidRDefault="00624C98" w:rsidP="00CD4901">
      <w:pPr>
        <w:pStyle w:val="TOC3"/>
        <w:tabs>
          <w:tab w:val="clear" w:pos="8828"/>
          <w:tab w:val="right" w:leader="dot" w:pos="9639"/>
        </w:tabs>
        <w:spacing w:before="0" w:after="0"/>
        <w:jc w:val="both"/>
        <w:rPr>
          <w:rFonts w:ascii="Verdana" w:eastAsiaTheme="minorEastAsia" w:hAnsi="Verdana" w:cstheme="minorBidi"/>
          <w:noProof/>
          <w:sz w:val="18"/>
          <w:szCs w:val="18"/>
          <w:lang w:val="es-CR" w:eastAsia="es-CR"/>
        </w:rPr>
      </w:pPr>
      <w:hyperlink w:anchor="_Toc441673194" w:history="1">
        <w:r w:rsidR="00CD4901" w:rsidRPr="00CD4901">
          <w:rPr>
            <w:rStyle w:val="Hyperlink"/>
            <w:rFonts w:ascii="Verdana" w:hAnsi="Verdana"/>
            <w:noProof/>
            <w:color w:val="auto"/>
            <w:sz w:val="18"/>
            <w:szCs w:val="18"/>
            <w:u w:val="none"/>
            <w:lang w:val="en-US"/>
          </w:rPr>
          <w:t>E.2 The Wane Kreek Nature Reserve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_Toc441673194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23</w:t>
        </w:r>
        <w:r w:rsidR="00CD4901" w:rsidRPr="00CD4901">
          <w:rPr>
            <w:rFonts w:ascii="Verdana" w:hAnsi="Verdana"/>
            <w:noProof/>
            <w:webHidden/>
            <w:sz w:val="18"/>
            <w:szCs w:val="18"/>
          </w:rPr>
          <w:fldChar w:fldCharType="end"/>
        </w:r>
      </w:hyperlink>
    </w:p>
    <w:p w14:paraId="7378F17C" w14:textId="77777777" w:rsidR="00CD4901" w:rsidRPr="00CD4901" w:rsidRDefault="00624C98" w:rsidP="00CD4901">
      <w:pPr>
        <w:pStyle w:val="TOC4"/>
        <w:tabs>
          <w:tab w:val="clear" w:pos="9630"/>
          <w:tab w:val="right" w:leader="dot" w:pos="9639"/>
        </w:tabs>
        <w:rPr>
          <w:rFonts w:ascii="Verdana" w:eastAsiaTheme="minorEastAsia" w:hAnsi="Verdana" w:cstheme="minorBidi"/>
          <w:noProof/>
          <w:sz w:val="18"/>
          <w:szCs w:val="18"/>
          <w:lang w:val="es-CR" w:eastAsia="es-CR"/>
        </w:rPr>
      </w:pPr>
      <w:hyperlink w:anchor="_Toc441673195" w:history="1">
        <w:r w:rsidR="00CD4901" w:rsidRPr="00CD4901">
          <w:rPr>
            <w:rStyle w:val="Hyperlink"/>
            <w:rFonts w:ascii="Verdana" w:hAnsi="Verdana"/>
            <w:noProof/>
            <w:color w:val="auto"/>
            <w:sz w:val="18"/>
            <w:szCs w:val="18"/>
            <w:u w:val="none"/>
            <w:lang w:val="en-US"/>
          </w:rPr>
          <w:t>E.2.1 Consultation process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_Toc441673195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24</w:t>
        </w:r>
        <w:r w:rsidR="00CD4901" w:rsidRPr="00CD4901">
          <w:rPr>
            <w:rFonts w:ascii="Verdana" w:hAnsi="Verdana"/>
            <w:noProof/>
            <w:webHidden/>
            <w:sz w:val="18"/>
            <w:szCs w:val="18"/>
          </w:rPr>
          <w:fldChar w:fldCharType="end"/>
        </w:r>
      </w:hyperlink>
    </w:p>
    <w:p w14:paraId="01D516F0" w14:textId="77777777" w:rsidR="00CD4901" w:rsidRPr="00CD4901" w:rsidRDefault="00624C98" w:rsidP="00CD4901">
      <w:pPr>
        <w:pStyle w:val="TOC4"/>
        <w:tabs>
          <w:tab w:val="clear" w:pos="9630"/>
          <w:tab w:val="right" w:leader="dot" w:pos="9639"/>
        </w:tabs>
        <w:rPr>
          <w:rFonts w:ascii="Verdana" w:eastAsiaTheme="minorEastAsia" w:hAnsi="Verdana" w:cstheme="minorBidi"/>
          <w:noProof/>
          <w:sz w:val="18"/>
          <w:szCs w:val="18"/>
          <w:lang w:val="es-CR" w:eastAsia="es-CR"/>
        </w:rPr>
      </w:pPr>
      <w:hyperlink w:anchor="_Toc441673196" w:history="1">
        <w:r w:rsidR="00CD4901" w:rsidRPr="00CD4901">
          <w:rPr>
            <w:rStyle w:val="Hyperlink"/>
            <w:rFonts w:ascii="Verdana" w:hAnsi="Verdana"/>
            <w:noProof/>
            <w:color w:val="auto"/>
            <w:sz w:val="18"/>
            <w:szCs w:val="18"/>
            <w:u w:val="none"/>
            <w:lang w:val="en-US"/>
          </w:rPr>
          <w:t>E.2.2 Bauxite mining activities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_Toc441673196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25</w:t>
        </w:r>
        <w:r w:rsidR="00CD4901" w:rsidRPr="00CD4901">
          <w:rPr>
            <w:rFonts w:ascii="Verdana" w:hAnsi="Verdana"/>
            <w:noProof/>
            <w:webHidden/>
            <w:sz w:val="18"/>
            <w:szCs w:val="18"/>
          </w:rPr>
          <w:fldChar w:fldCharType="end"/>
        </w:r>
      </w:hyperlink>
    </w:p>
    <w:p w14:paraId="66DDB673" w14:textId="77777777" w:rsidR="00CD4901" w:rsidRPr="00CD4901" w:rsidRDefault="00624C98" w:rsidP="00CD4901">
      <w:pPr>
        <w:pStyle w:val="TOC4"/>
        <w:tabs>
          <w:tab w:val="clear" w:pos="9630"/>
          <w:tab w:val="right" w:leader="dot" w:pos="9639"/>
        </w:tabs>
        <w:rPr>
          <w:rFonts w:ascii="Verdana" w:eastAsiaTheme="minorEastAsia" w:hAnsi="Verdana" w:cstheme="minorBidi"/>
          <w:noProof/>
          <w:sz w:val="18"/>
          <w:szCs w:val="18"/>
          <w:lang w:val="es-CR" w:eastAsia="es-CR"/>
        </w:rPr>
      </w:pPr>
      <w:hyperlink w:anchor="_Toc441673197" w:history="1">
        <w:r w:rsidR="00CD4901" w:rsidRPr="00CD4901">
          <w:rPr>
            <w:rStyle w:val="Hyperlink"/>
            <w:rFonts w:ascii="Verdana" w:hAnsi="Verdana"/>
            <w:noProof/>
            <w:color w:val="auto"/>
            <w:sz w:val="18"/>
            <w:szCs w:val="18"/>
            <w:u w:val="none"/>
            <w:lang w:val="en-US"/>
          </w:rPr>
          <w:t>E.2.3 Other natural resource extraction activities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_Toc441673197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27</w:t>
        </w:r>
        <w:r w:rsidR="00CD4901" w:rsidRPr="00CD4901">
          <w:rPr>
            <w:rFonts w:ascii="Verdana" w:hAnsi="Verdana"/>
            <w:noProof/>
            <w:webHidden/>
            <w:sz w:val="18"/>
            <w:szCs w:val="18"/>
          </w:rPr>
          <w:fldChar w:fldCharType="end"/>
        </w:r>
      </w:hyperlink>
    </w:p>
    <w:p w14:paraId="62AD3BA2"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198" w:history="1">
        <w:r w:rsidR="00CD4901" w:rsidRPr="00CD4901">
          <w:rPr>
            <w:rStyle w:val="Hyperlink"/>
            <w:rFonts w:ascii="Verdana" w:hAnsi="Verdana"/>
            <w:noProof/>
            <w:color w:val="auto"/>
            <w:sz w:val="18"/>
            <w:szCs w:val="18"/>
            <w:u w:val="none"/>
            <w:lang w:val="en-US"/>
          </w:rPr>
          <w:t>F.</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The urban subdivision project called "Tuinstad Albina" (“Garden City Albina”)</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_Toc441673198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27</w:t>
        </w:r>
        <w:r w:rsidR="00CD4901" w:rsidRPr="00CD4901">
          <w:rPr>
            <w:rFonts w:ascii="Verdana" w:hAnsi="Verdana"/>
            <w:noProof/>
            <w:webHidden/>
            <w:sz w:val="18"/>
            <w:szCs w:val="18"/>
          </w:rPr>
          <w:fldChar w:fldCharType="end"/>
        </w:r>
      </w:hyperlink>
    </w:p>
    <w:p w14:paraId="2AD5AF3D" w14:textId="77777777" w:rsidR="00CD4901" w:rsidRPr="00CD4901" w:rsidRDefault="00624C98" w:rsidP="00CD4901">
      <w:pPr>
        <w:pStyle w:val="TOC1"/>
        <w:rPr>
          <w:rFonts w:eastAsiaTheme="minorEastAsia" w:cstheme="minorBidi"/>
          <w:snapToGrid/>
          <w:lang w:val="es-CR" w:eastAsia="es-CR"/>
        </w:rPr>
      </w:pPr>
      <w:hyperlink w:anchor="_Toc441673199" w:history="1">
        <w:r w:rsidR="00CD4901" w:rsidRPr="00CD4901">
          <w:rPr>
            <w:rStyle w:val="Hyperlink"/>
            <w:rFonts w:cs="Verdana"/>
            <w:color w:val="auto"/>
            <w:u w:val="none"/>
            <w:lang w:val="en-US"/>
          </w:rPr>
          <w:t>VI MERITS</w:t>
        </w:r>
        <w:r w:rsidR="00CD4901" w:rsidRPr="00CD4901">
          <w:rPr>
            <w:webHidden/>
          </w:rPr>
          <w:tab/>
        </w:r>
        <w:r w:rsidR="00CD4901" w:rsidRPr="00CD4901">
          <w:rPr>
            <w:webHidden/>
          </w:rPr>
          <w:fldChar w:fldCharType="begin"/>
        </w:r>
        <w:r w:rsidR="00CD4901" w:rsidRPr="00CD4901">
          <w:rPr>
            <w:webHidden/>
          </w:rPr>
          <w:instrText xml:space="preserve"> PAGEREF _Toc441673199 \h </w:instrText>
        </w:r>
        <w:r w:rsidR="00CD4901" w:rsidRPr="00CD4901">
          <w:rPr>
            <w:webHidden/>
          </w:rPr>
        </w:r>
        <w:r w:rsidR="00CD4901" w:rsidRPr="00CD4901">
          <w:rPr>
            <w:webHidden/>
          </w:rPr>
          <w:fldChar w:fldCharType="separate"/>
        </w:r>
        <w:r>
          <w:rPr>
            <w:webHidden/>
          </w:rPr>
          <w:t>28</w:t>
        </w:r>
        <w:r w:rsidR="00CD4901" w:rsidRPr="00CD4901">
          <w:rPr>
            <w:webHidden/>
          </w:rPr>
          <w:fldChar w:fldCharType="end"/>
        </w:r>
      </w:hyperlink>
    </w:p>
    <w:p w14:paraId="62B07486" w14:textId="77777777" w:rsidR="00CD4901" w:rsidRPr="00CD4901" w:rsidRDefault="00624C98" w:rsidP="00CD4901">
      <w:pPr>
        <w:pStyle w:val="TOC1"/>
        <w:rPr>
          <w:rFonts w:eastAsiaTheme="minorEastAsia" w:cstheme="minorBidi"/>
          <w:snapToGrid/>
          <w:lang w:val="es-CR" w:eastAsia="es-CR"/>
        </w:rPr>
      </w:pPr>
      <w:hyperlink w:anchor="_Toc441673200" w:history="1">
        <w:r w:rsidR="00CD4901" w:rsidRPr="00CD4901">
          <w:rPr>
            <w:rStyle w:val="Hyperlink"/>
            <w:rFonts w:cs="Verdana"/>
            <w:color w:val="auto"/>
            <w:u w:val="none"/>
            <w:lang w:val="en-US"/>
          </w:rPr>
          <w:t>VI-I RIGHT TO recognition of juridical personality (Article 3) in relation to Articles 1(1), 2, 21 and 25 of the American Convention on Human Rights</w:t>
        </w:r>
        <w:r w:rsidR="00CD4901" w:rsidRPr="00CD4901">
          <w:rPr>
            <w:webHidden/>
          </w:rPr>
          <w:tab/>
        </w:r>
        <w:r w:rsidR="00CD4901" w:rsidRPr="00CD4901">
          <w:rPr>
            <w:webHidden/>
          </w:rPr>
          <w:fldChar w:fldCharType="begin"/>
        </w:r>
        <w:r w:rsidR="00CD4901" w:rsidRPr="00CD4901">
          <w:rPr>
            <w:webHidden/>
          </w:rPr>
          <w:instrText xml:space="preserve"> PAGEREF _Toc441673200 \h </w:instrText>
        </w:r>
        <w:r w:rsidR="00CD4901" w:rsidRPr="00CD4901">
          <w:rPr>
            <w:webHidden/>
          </w:rPr>
        </w:r>
        <w:r w:rsidR="00CD4901" w:rsidRPr="00CD4901">
          <w:rPr>
            <w:webHidden/>
          </w:rPr>
          <w:fldChar w:fldCharType="separate"/>
        </w:r>
        <w:r>
          <w:rPr>
            <w:webHidden/>
          </w:rPr>
          <w:t>28</w:t>
        </w:r>
        <w:r w:rsidR="00CD4901" w:rsidRPr="00CD4901">
          <w:rPr>
            <w:webHidden/>
          </w:rPr>
          <w:fldChar w:fldCharType="end"/>
        </w:r>
      </w:hyperlink>
    </w:p>
    <w:p w14:paraId="26732FD1"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01" w:history="1">
        <w:r w:rsidR="00CD4901" w:rsidRPr="00CD4901">
          <w:rPr>
            <w:rStyle w:val="Hyperlink"/>
            <w:rFonts w:ascii="Verdana" w:hAnsi="Verdana"/>
            <w:noProof/>
            <w:color w:val="auto"/>
            <w:sz w:val="18"/>
            <w:szCs w:val="18"/>
            <w:u w:val="none"/>
            <w:lang w:val="en-US"/>
          </w:rPr>
          <w:t>A.</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Arguments of the Commission and of the parties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_Toc441673201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28</w:t>
        </w:r>
        <w:r w:rsidR="00CD4901" w:rsidRPr="00CD4901">
          <w:rPr>
            <w:rFonts w:ascii="Verdana" w:hAnsi="Verdana"/>
            <w:noProof/>
            <w:webHidden/>
            <w:sz w:val="18"/>
            <w:szCs w:val="18"/>
          </w:rPr>
          <w:fldChar w:fldCharType="end"/>
        </w:r>
      </w:hyperlink>
    </w:p>
    <w:p w14:paraId="2BFE376C"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02" w:history="1">
        <w:r w:rsidR="00CD4901" w:rsidRPr="00CD4901">
          <w:rPr>
            <w:rStyle w:val="Hyperlink"/>
            <w:rFonts w:ascii="Verdana" w:hAnsi="Verdana"/>
            <w:noProof/>
            <w:color w:val="auto"/>
            <w:sz w:val="18"/>
            <w:szCs w:val="18"/>
            <w:u w:val="none"/>
            <w:lang w:val="en-US"/>
          </w:rPr>
          <w:t>B.</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Considerations of the Court</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_Toc441673202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29</w:t>
        </w:r>
        <w:r w:rsidR="00CD4901" w:rsidRPr="00CD4901">
          <w:rPr>
            <w:rFonts w:ascii="Verdana" w:hAnsi="Verdana"/>
            <w:noProof/>
            <w:webHidden/>
            <w:sz w:val="18"/>
            <w:szCs w:val="18"/>
          </w:rPr>
          <w:fldChar w:fldCharType="end"/>
        </w:r>
      </w:hyperlink>
    </w:p>
    <w:p w14:paraId="52A1038C" w14:textId="77777777" w:rsidR="00CD4901" w:rsidRPr="00CD4901" w:rsidRDefault="00624C98" w:rsidP="00CD4901">
      <w:pPr>
        <w:pStyle w:val="TOC1"/>
        <w:rPr>
          <w:rFonts w:eastAsiaTheme="minorEastAsia" w:cstheme="minorBidi"/>
          <w:snapToGrid/>
          <w:lang w:val="es-CR" w:eastAsia="es-CR"/>
        </w:rPr>
      </w:pPr>
      <w:hyperlink w:anchor="_Toc441673203" w:history="1">
        <w:r w:rsidR="00CD4901" w:rsidRPr="00CD4901">
          <w:rPr>
            <w:rStyle w:val="Hyperlink"/>
            <w:rFonts w:cs="Verdana"/>
            <w:color w:val="auto"/>
            <w:u w:val="none"/>
            <w:lang w:val="en-US"/>
          </w:rPr>
          <w:t>VI-ii RIGHT TO COLLECTIVE PROPERTY (ARTICLE 21) and POLITICAL RIGHTS (ARTICLE 23) IN RELATION TO ARTICLES 1(1) and 2 of the AMERICAN CONVENTION</w:t>
        </w:r>
        <w:r w:rsidR="00CD4901" w:rsidRPr="00CD4901">
          <w:rPr>
            <w:webHidden/>
          </w:rPr>
          <w:tab/>
        </w:r>
        <w:r w:rsidR="00CD4901" w:rsidRPr="00CD4901">
          <w:rPr>
            <w:webHidden/>
          </w:rPr>
          <w:fldChar w:fldCharType="begin"/>
        </w:r>
        <w:r w:rsidR="00CD4901" w:rsidRPr="00CD4901">
          <w:rPr>
            <w:webHidden/>
          </w:rPr>
          <w:instrText xml:space="preserve"> PAGEREF _Toc441673203 \h </w:instrText>
        </w:r>
        <w:r w:rsidR="00CD4901" w:rsidRPr="00CD4901">
          <w:rPr>
            <w:webHidden/>
          </w:rPr>
        </w:r>
        <w:r w:rsidR="00CD4901" w:rsidRPr="00CD4901">
          <w:rPr>
            <w:webHidden/>
          </w:rPr>
          <w:fldChar w:fldCharType="separate"/>
        </w:r>
        <w:r>
          <w:rPr>
            <w:webHidden/>
          </w:rPr>
          <w:t>31</w:t>
        </w:r>
        <w:r w:rsidR="00CD4901" w:rsidRPr="00CD4901">
          <w:rPr>
            <w:webHidden/>
          </w:rPr>
          <w:fldChar w:fldCharType="end"/>
        </w:r>
      </w:hyperlink>
    </w:p>
    <w:p w14:paraId="0611FF7C"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204" w:history="1">
        <w:r w:rsidR="00CD4901" w:rsidRPr="00CD4901">
          <w:rPr>
            <w:rStyle w:val="Hyperlink"/>
            <w:rFonts w:ascii="Verdana" w:hAnsi="Verdana"/>
            <w:noProof/>
            <w:color w:val="auto"/>
            <w:sz w:val="18"/>
            <w:szCs w:val="18"/>
            <w:u w:val="none"/>
            <w:lang w:val="en-US"/>
          </w:rPr>
          <w:t>A.</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Arguments of the Commission and of the parties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_Toc441673204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31</w:t>
        </w:r>
        <w:r w:rsidR="00CD4901" w:rsidRPr="00CD4901">
          <w:rPr>
            <w:rFonts w:ascii="Verdana" w:hAnsi="Verdana"/>
            <w:noProof/>
            <w:webHidden/>
            <w:sz w:val="18"/>
            <w:szCs w:val="18"/>
          </w:rPr>
          <w:fldChar w:fldCharType="end"/>
        </w:r>
      </w:hyperlink>
    </w:p>
    <w:p w14:paraId="7B82E18E"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205" w:history="1">
        <w:r w:rsidR="00CD4901" w:rsidRPr="00CD4901">
          <w:rPr>
            <w:rStyle w:val="Hyperlink"/>
            <w:rFonts w:ascii="Verdana" w:hAnsi="Verdana"/>
            <w:noProof/>
            <w:color w:val="auto"/>
            <w:sz w:val="18"/>
            <w:szCs w:val="18"/>
            <w:u w:val="none"/>
            <w:lang w:val="en-US"/>
          </w:rPr>
          <w:t>B.</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Considerations of the Court</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_Toc441673205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34</w:t>
        </w:r>
        <w:r w:rsidR="00CD4901" w:rsidRPr="00CD4901">
          <w:rPr>
            <w:rFonts w:ascii="Verdana" w:hAnsi="Verdana"/>
            <w:noProof/>
            <w:webHidden/>
            <w:sz w:val="18"/>
            <w:szCs w:val="18"/>
          </w:rPr>
          <w:fldChar w:fldCharType="end"/>
        </w:r>
      </w:hyperlink>
    </w:p>
    <w:p w14:paraId="6713F68D"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06" w:history="1">
        <w:r w:rsidR="00CD4901" w:rsidRPr="00CD4901">
          <w:rPr>
            <w:rStyle w:val="Hyperlink"/>
            <w:rFonts w:ascii="Verdana" w:hAnsi="Verdana"/>
            <w:noProof/>
            <w:color w:val="auto"/>
            <w:sz w:val="18"/>
            <w:szCs w:val="18"/>
            <w:u w:val="none"/>
            <w:lang w:val="en-US"/>
          </w:rPr>
          <w:t>B.1 Interpretation of the right to collective property and participation in public affairs of the indigenous peoples in this case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_Toc441673206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34</w:t>
        </w:r>
        <w:r w:rsidR="00CD4901" w:rsidRPr="00CD4901">
          <w:rPr>
            <w:rFonts w:ascii="Verdana" w:hAnsi="Verdana"/>
            <w:noProof/>
            <w:webHidden/>
            <w:sz w:val="18"/>
            <w:szCs w:val="18"/>
          </w:rPr>
          <w:fldChar w:fldCharType="end"/>
        </w:r>
      </w:hyperlink>
    </w:p>
    <w:p w14:paraId="03E663B5"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07" w:history="1">
        <w:r w:rsidR="00CD4901" w:rsidRPr="00CD4901">
          <w:rPr>
            <w:rStyle w:val="Hyperlink"/>
            <w:rFonts w:ascii="Verdana" w:hAnsi="Verdana"/>
            <w:noProof/>
            <w:color w:val="auto"/>
            <w:sz w:val="18"/>
            <w:szCs w:val="18"/>
            <w:u w:val="none"/>
            <w:lang w:val="en-US"/>
          </w:rPr>
          <w:t>B.2 The failure to recognize the right to collective property of the Kaliña and Lokono indigenous peoples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_Toc441673207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36</w:t>
        </w:r>
        <w:r w:rsidR="00CD4901" w:rsidRPr="00CD4901">
          <w:rPr>
            <w:rFonts w:ascii="Verdana" w:hAnsi="Verdana"/>
            <w:noProof/>
            <w:webHidden/>
            <w:sz w:val="18"/>
            <w:szCs w:val="18"/>
          </w:rPr>
          <w:fldChar w:fldCharType="end"/>
        </w:r>
      </w:hyperlink>
    </w:p>
    <w:p w14:paraId="388BBA1F" w14:textId="77777777" w:rsidR="00CD4901" w:rsidRPr="00CD4901" w:rsidRDefault="00624C98" w:rsidP="00CD4901">
      <w:pPr>
        <w:pStyle w:val="TOC4"/>
        <w:tabs>
          <w:tab w:val="clear" w:pos="9630"/>
          <w:tab w:val="right" w:leader="dot" w:pos="9639"/>
        </w:tabs>
        <w:ind w:right="220"/>
        <w:rPr>
          <w:rFonts w:ascii="Verdana" w:eastAsiaTheme="minorEastAsia" w:hAnsi="Verdana" w:cstheme="minorBidi"/>
          <w:noProof/>
          <w:sz w:val="18"/>
          <w:szCs w:val="18"/>
          <w:lang w:val="es-CR" w:eastAsia="es-CR"/>
        </w:rPr>
      </w:pPr>
      <w:hyperlink w:anchor="_Toc441673208" w:history="1">
        <w:r w:rsidR="00CD4901" w:rsidRPr="00CD4901">
          <w:rPr>
            <w:rStyle w:val="Hyperlink"/>
            <w:rFonts w:ascii="Verdana" w:hAnsi="Verdana"/>
            <w:noProof/>
            <w:color w:val="auto"/>
            <w:sz w:val="18"/>
            <w:szCs w:val="18"/>
            <w:u w:val="none"/>
            <w:lang w:val="en-US"/>
          </w:rPr>
          <w:t>B.2.1 The right to collective ownership and the obligation to delimit, demarcate, grant title to, and ensure the use and enjoyment of the collective territory</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_Toc441673208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36</w:t>
        </w:r>
        <w:r w:rsidR="00CD4901" w:rsidRPr="00CD4901">
          <w:rPr>
            <w:rFonts w:ascii="Verdana" w:hAnsi="Verdana"/>
            <w:noProof/>
            <w:webHidden/>
            <w:sz w:val="18"/>
            <w:szCs w:val="18"/>
          </w:rPr>
          <w:fldChar w:fldCharType="end"/>
        </w:r>
      </w:hyperlink>
    </w:p>
    <w:p w14:paraId="637006E9" w14:textId="77777777" w:rsidR="00CD4901" w:rsidRPr="00CD4901" w:rsidRDefault="00624C98" w:rsidP="00CD4901">
      <w:pPr>
        <w:pStyle w:val="TOC5"/>
        <w:tabs>
          <w:tab w:val="right" w:leader="dot" w:pos="9639"/>
          <w:tab w:val="right" w:leader="dot" w:pos="9849"/>
        </w:tabs>
        <w:spacing w:after="0"/>
        <w:jc w:val="both"/>
        <w:rPr>
          <w:rFonts w:ascii="Verdana" w:eastAsiaTheme="minorEastAsia" w:hAnsi="Verdana" w:cstheme="minorBidi"/>
          <w:noProof/>
          <w:sz w:val="18"/>
          <w:szCs w:val="18"/>
          <w:lang w:val="es-CR" w:eastAsia="es-CR"/>
        </w:rPr>
      </w:pPr>
      <w:hyperlink w:anchor="_Toc441673209" w:history="1">
        <w:r w:rsidR="00CD4901" w:rsidRPr="00CD4901">
          <w:rPr>
            <w:rStyle w:val="Hyperlink"/>
            <w:rFonts w:ascii="Verdana" w:hAnsi="Verdana"/>
            <w:noProof/>
            <w:color w:val="auto"/>
            <w:sz w:val="18"/>
            <w:szCs w:val="18"/>
            <w:u w:val="none"/>
          </w:rPr>
          <w:t>B.2.1.1 The failure to delimit, demarcate and grant title in this case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_Toc441673209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37</w:t>
        </w:r>
        <w:r w:rsidR="00CD4901" w:rsidRPr="00CD4901">
          <w:rPr>
            <w:rFonts w:ascii="Verdana" w:hAnsi="Verdana"/>
            <w:noProof/>
            <w:webHidden/>
            <w:sz w:val="18"/>
            <w:szCs w:val="18"/>
          </w:rPr>
          <w:fldChar w:fldCharType="end"/>
        </w:r>
      </w:hyperlink>
    </w:p>
    <w:p w14:paraId="5BC5F5B4" w14:textId="77777777" w:rsidR="00CD4901" w:rsidRPr="00CD4901" w:rsidRDefault="00624C98" w:rsidP="00CD4901">
      <w:pPr>
        <w:pStyle w:val="TOC4"/>
        <w:tabs>
          <w:tab w:val="clear" w:pos="9630"/>
          <w:tab w:val="right" w:leader="dot" w:pos="9639"/>
        </w:tabs>
        <w:ind w:right="220"/>
        <w:rPr>
          <w:rFonts w:ascii="Verdana" w:eastAsiaTheme="minorEastAsia" w:hAnsi="Verdana" w:cstheme="minorBidi"/>
          <w:noProof/>
          <w:sz w:val="18"/>
          <w:szCs w:val="18"/>
          <w:lang w:val="es-CR" w:eastAsia="es-CR"/>
        </w:rPr>
      </w:pPr>
      <w:hyperlink w:anchor="_Toc441673210" w:history="1">
        <w:r w:rsidR="00CD4901" w:rsidRPr="00CD4901">
          <w:rPr>
            <w:rStyle w:val="Hyperlink"/>
            <w:rFonts w:ascii="Verdana" w:hAnsi="Verdana"/>
            <w:noProof/>
            <w:color w:val="auto"/>
            <w:sz w:val="18"/>
            <w:szCs w:val="18"/>
            <w:u w:val="none"/>
            <w:lang w:val="en-US"/>
          </w:rPr>
          <w:t>B.2.2 The right to request the restitution of the territory, because individual titles have been granted to non-indigenous and non-tribal third parties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_Toc441673210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39</w:t>
        </w:r>
        <w:r w:rsidR="00CD4901" w:rsidRPr="00CD4901">
          <w:rPr>
            <w:rFonts w:ascii="Verdana" w:hAnsi="Verdana"/>
            <w:noProof/>
            <w:webHidden/>
            <w:sz w:val="18"/>
            <w:szCs w:val="18"/>
          </w:rPr>
          <w:fldChar w:fldCharType="end"/>
        </w:r>
      </w:hyperlink>
    </w:p>
    <w:p w14:paraId="546FEB28"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11" w:history="1">
        <w:r w:rsidR="00CD4901" w:rsidRPr="00CD4901">
          <w:rPr>
            <w:rStyle w:val="Hyperlink"/>
            <w:rFonts w:ascii="Verdana" w:hAnsi="Verdana"/>
            <w:noProof/>
            <w:color w:val="auto"/>
            <w:sz w:val="18"/>
            <w:szCs w:val="18"/>
            <w:u w:val="none"/>
            <w:lang w:val="en-US"/>
          </w:rPr>
          <w:t>B.3 Nature reserves in the traditional territory</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_Toc441673211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44</w:t>
        </w:r>
        <w:r w:rsidR="00CD4901" w:rsidRPr="00CD4901">
          <w:rPr>
            <w:rFonts w:ascii="Verdana" w:hAnsi="Verdana"/>
            <w:noProof/>
            <w:webHidden/>
            <w:sz w:val="18"/>
            <w:szCs w:val="18"/>
          </w:rPr>
          <w:fldChar w:fldCharType="end"/>
        </w:r>
      </w:hyperlink>
    </w:p>
    <w:p w14:paraId="649D4588" w14:textId="77777777" w:rsidR="00CD4901" w:rsidRPr="00CD4901" w:rsidRDefault="00624C98" w:rsidP="00CD4901">
      <w:pPr>
        <w:pStyle w:val="TOC4"/>
        <w:tabs>
          <w:tab w:val="clear" w:pos="9630"/>
          <w:tab w:val="right" w:leader="dot" w:pos="9639"/>
        </w:tabs>
        <w:ind w:right="220"/>
        <w:rPr>
          <w:rFonts w:ascii="Verdana" w:eastAsiaTheme="minorEastAsia" w:hAnsi="Verdana" w:cstheme="minorBidi"/>
          <w:noProof/>
          <w:sz w:val="18"/>
          <w:szCs w:val="18"/>
          <w:lang w:val="es-CR" w:eastAsia="es-CR"/>
        </w:rPr>
      </w:pPr>
      <w:hyperlink w:anchor="_Toc441673212" w:history="1">
        <w:r w:rsidR="00CD4901" w:rsidRPr="00CD4901">
          <w:rPr>
            <w:rStyle w:val="Hyperlink"/>
            <w:rFonts w:ascii="Verdana" w:hAnsi="Verdana"/>
            <w:noProof/>
            <w:color w:val="auto"/>
            <w:sz w:val="18"/>
            <w:szCs w:val="18"/>
            <w:u w:val="none"/>
            <w:lang w:val="en-US"/>
          </w:rPr>
          <w:t>B.3.1 The alleged persistence of the nature reserve and the claims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_Toc441673212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44</w:t>
        </w:r>
        <w:r w:rsidR="00CD4901" w:rsidRPr="00CD4901">
          <w:rPr>
            <w:rFonts w:ascii="Verdana" w:hAnsi="Verdana"/>
            <w:noProof/>
            <w:webHidden/>
            <w:sz w:val="18"/>
            <w:szCs w:val="18"/>
          </w:rPr>
          <w:fldChar w:fldCharType="end"/>
        </w:r>
      </w:hyperlink>
    </w:p>
    <w:p w14:paraId="008150BF" w14:textId="77777777" w:rsidR="00CD4901" w:rsidRPr="00CD4901" w:rsidRDefault="00624C98" w:rsidP="00CD4901">
      <w:pPr>
        <w:pStyle w:val="TOC4"/>
        <w:tabs>
          <w:tab w:val="clear" w:pos="9630"/>
          <w:tab w:val="right" w:leader="dot" w:pos="9639"/>
        </w:tabs>
        <w:ind w:right="220"/>
        <w:rPr>
          <w:rFonts w:ascii="Verdana" w:eastAsiaTheme="minorEastAsia" w:hAnsi="Verdana" w:cstheme="minorBidi"/>
          <w:noProof/>
          <w:sz w:val="18"/>
          <w:szCs w:val="18"/>
          <w:lang w:val="es-CR" w:eastAsia="es-CR"/>
        </w:rPr>
      </w:pPr>
      <w:hyperlink w:anchor="_Toc441673213" w:history="1">
        <w:r w:rsidR="00CD4901" w:rsidRPr="00CD4901">
          <w:rPr>
            <w:rStyle w:val="Hyperlink"/>
            <w:rFonts w:ascii="Verdana" w:hAnsi="Verdana"/>
            <w:noProof/>
            <w:color w:val="auto"/>
            <w:sz w:val="18"/>
            <w:szCs w:val="18"/>
            <w:u w:val="none"/>
            <w:lang w:val="en-US"/>
          </w:rPr>
          <w:t>B.3.2 Alleged restrictions for the indigenous peoples in the nature reserves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_Toc441673213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45</w:t>
        </w:r>
        <w:r w:rsidR="00CD4901" w:rsidRPr="00CD4901">
          <w:rPr>
            <w:rFonts w:ascii="Verdana" w:hAnsi="Verdana"/>
            <w:noProof/>
            <w:webHidden/>
            <w:sz w:val="18"/>
            <w:szCs w:val="18"/>
          </w:rPr>
          <w:fldChar w:fldCharType="end"/>
        </w:r>
      </w:hyperlink>
    </w:p>
    <w:p w14:paraId="7C0356CC" w14:textId="77777777" w:rsidR="00CD4901" w:rsidRPr="00CD4901" w:rsidRDefault="00624C98" w:rsidP="00CD4901">
      <w:pPr>
        <w:pStyle w:val="TOC5"/>
        <w:tabs>
          <w:tab w:val="right" w:leader="dot" w:pos="9639"/>
          <w:tab w:val="right" w:leader="dot" w:pos="9849"/>
        </w:tabs>
        <w:spacing w:after="0"/>
        <w:ind w:right="220"/>
        <w:jc w:val="both"/>
        <w:rPr>
          <w:rFonts w:ascii="Verdana" w:eastAsiaTheme="minorEastAsia" w:hAnsi="Verdana" w:cstheme="minorBidi"/>
          <w:noProof/>
          <w:sz w:val="18"/>
          <w:szCs w:val="18"/>
          <w:lang w:val="es-CR" w:eastAsia="es-CR"/>
        </w:rPr>
      </w:pPr>
      <w:hyperlink w:anchor="_Toc441673214" w:history="1">
        <w:r w:rsidR="00CD4901" w:rsidRPr="00CD4901">
          <w:rPr>
            <w:rStyle w:val="Hyperlink"/>
            <w:rFonts w:ascii="Verdana" w:hAnsi="Verdana"/>
            <w:noProof/>
            <w:color w:val="auto"/>
            <w:sz w:val="18"/>
            <w:szCs w:val="18"/>
            <w:u w:val="none"/>
          </w:rPr>
          <w:t>B.3.2.1 Compatibility of the rights of the indigenous peoples and the protection of the environment</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_Toc441673214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45</w:t>
        </w:r>
        <w:r w:rsidR="00CD4901" w:rsidRPr="00CD4901">
          <w:rPr>
            <w:rFonts w:ascii="Verdana" w:hAnsi="Verdana"/>
            <w:noProof/>
            <w:webHidden/>
            <w:sz w:val="18"/>
            <w:szCs w:val="18"/>
          </w:rPr>
          <w:fldChar w:fldCharType="end"/>
        </w:r>
      </w:hyperlink>
    </w:p>
    <w:p w14:paraId="2725BEC8" w14:textId="77777777" w:rsidR="00CD4901" w:rsidRPr="00CD4901" w:rsidRDefault="00624C98" w:rsidP="00CD4901">
      <w:pPr>
        <w:pStyle w:val="TOC5"/>
        <w:tabs>
          <w:tab w:val="right" w:leader="dot" w:pos="9639"/>
          <w:tab w:val="right" w:leader="dot" w:pos="9849"/>
        </w:tabs>
        <w:spacing w:after="0"/>
        <w:ind w:right="220"/>
        <w:jc w:val="both"/>
        <w:rPr>
          <w:rFonts w:ascii="Verdana" w:eastAsiaTheme="minorEastAsia" w:hAnsi="Verdana" w:cstheme="minorBidi"/>
          <w:noProof/>
          <w:sz w:val="18"/>
          <w:szCs w:val="18"/>
          <w:lang w:val="es-CR" w:eastAsia="es-CR"/>
        </w:rPr>
      </w:pPr>
      <w:hyperlink w:anchor="_Toc441673215" w:history="1">
        <w:r w:rsidR="00CD4901" w:rsidRPr="00CD4901">
          <w:rPr>
            <w:rStyle w:val="Hyperlink"/>
            <w:rFonts w:ascii="Verdana" w:hAnsi="Verdana"/>
            <w:noProof/>
            <w:color w:val="auto"/>
            <w:sz w:val="18"/>
            <w:szCs w:val="18"/>
            <w:u w:val="none"/>
          </w:rPr>
          <w:t>B.3.2.2 The alleged impact in the Galibi and Wane Kreek Nature Reserves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_Toc441673215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49</w:t>
        </w:r>
        <w:r w:rsidR="00CD4901" w:rsidRPr="00CD4901">
          <w:rPr>
            <w:rFonts w:ascii="Verdana" w:hAnsi="Verdana"/>
            <w:noProof/>
            <w:webHidden/>
            <w:sz w:val="18"/>
            <w:szCs w:val="18"/>
          </w:rPr>
          <w:fldChar w:fldCharType="end"/>
        </w:r>
      </w:hyperlink>
    </w:p>
    <w:p w14:paraId="6E14C875"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16" w:history="1">
        <w:r w:rsidR="00CD4901" w:rsidRPr="00CD4901">
          <w:rPr>
            <w:rStyle w:val="Hyperlink"/>
            <w:rFonts w:ascii="Verdana" w:hAnsi="Verdana"/>
            <w:noProof/>
            <w:color w:val="auto"/>
            <w:sz w:val="18"/>
            <w:szCs w:val="18"/>
            <w:u w:val="none"/>
            <w:lang w:val="en-US"/>
          </w:rPr>
          <w:t xml:space="preserve">B.4 The right to collective property in relation to the mining concession within the </w:t>
        </w:r>
        <w:r w:rsidR="00CD4901" w:rsidRPr="00CD4901">
          <w:rPr>
            <w:rStyle w:val="Hyperlink"/>
            <w:rFonts w:ascii="Verdana" w:hAnsi="Verdana" w:cs="Arial"/>
            <w:noProof/>
            <w:color w:val="auto"/>
            <w:sz w:val="18"/>
            <w:szCs w:val="18"/>
            <w:u w:val="none"/>
            <w:lang w:val="en-US"/>
          </w:rPr>
          <w:t>Wane Kreek Nature Reserve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_Toc441673216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53</w:t>
        </w:r>
        <w:r w:rsidR="00CD4901" w:rsidRPr="00CD4901">
          <w:rPr>
            <w:rFonts w:ascii="Verdana" w:hAnsi="Verdana"/>
            <w:noProof/>
            <w:webHidden/>
            <w:sz w:val="18"/>
            <w:szCs w:val="18"/>
          </w:rPr>
          <w:fldChar w:fldCharType="end"/>
        </w:r>
      </w:hyperlink>
    </w:p>
    <w:p w14:paraId="2E5B2D7C" w14:textId="1F8EFCC0" w:rsidR="00CD4901" w:rsidRPr="00CD4901" w:rsidRDefault="00624C98" w:rsidP="00CD4901">
      <w:pPr>
        <w:pStyle w:val="TOC1"/>
        <w:rPr>
          <w:rFonts w:eastAsiaTheme="minorEastAsia" w:cstheme="minorBidi"/>
          <w:snapToGrid/>
          <w:lang w:val="es-CR" w:eastAsia="es-CR"/>
        </w:rPr>
      </w:pPr>
      <w:hyperlink w:anchor="_Toc441673217" w:history="1">
        <w:r w:rsidR="00CD4901" w:rsidRPr="00CD4901">
          <w:rPr>
            <w:rStyle w:val="Hyperlink"/>
            <w:rFonts w:cs="Verdana"/>
            <w:color w:val="auto"/>
            <w:u w:val="none"/>
            <w:lang w:val="en-US"/>
          </w:rPr>
          <w:t>VI-iiI RIGHT TO JUDICIAL PROTECTION (ARTICLE 25) IN RELATION TO ARTICLES 13, 1(1) and 2 of the AMERICAN CONVENTION</w:t>
        </w:r>
        <w:r w:rsidR="00CD4901" w:rsidRPr="00CD4901">
          <w:rPr>
            <w:webHidden/>
          </w:rPr>
          <w:tab/>
        </w:r>
        <w:r w:rsidR="00CD4901" w:rsidRPr="00CD4901">
          <w:rPr>
            <w:webHidden/>
          </w:rPr>
          <w:fldChar w:fldCharType="begin"/>
        </w:r>
        <w:r w:rsidR="00CD4901" w:rsidRPr="00CD4901">
          <w:rPr>
            <w:webHidden/>
          </w:rPr>
          <w:instrText xml:space="preserve"> PAGEREF _Toc441673217 \h </w:instrText>
        </w:r>
        <w:r w:rsidR="00CD4901" w:rsidRPr="00CD4901">
          <w:rPr>
            <w:webHidden/>
          </w:rPr>
        </w:r>
        <w:r w:rsidR="00CD4901" w:rsidRPr="00CD4901">
          <w:rPr>
            <w:webHidden/>
          </w:rPr>
          <w:fldChar w:fldCharType="separate"/>
        </w:r>
        <w:r>
          <w:rPr>
            <w:webHidden/>
          </w:rPr>
          <w:t>61</w:t>
        </w:r>
        <w:r w:rsidR="00CD4901" w:rsidRPr="00CD4901">
          <w:rPr>
            <w:webHidden/>
          </w:rPr>
          <w:fldChar w:fldCharType="end"/>
        </w:r>
      </w:hyperlink>
    </w:p>
    <w:p w14:paraId="689AA2B0"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219" w:history="1">
        <w:r w:rsidR="00CD4901" w:rsidRPr="00CD4901">
          <w:rPr>
            <w:rStyle w:val="Hyperlink"/>
            <w:rFonts w:ascii="Verdana" w:hAnsi="Verdana"/>
            <w:noProof/>
            <w:color w:val="auto"/>
            <w:sz w:val="18"/>
            <w:szCs w:val="18"/>
            <w:u w:val="none"/>
            <w:lang w:val="en-US"/>
          </w:rPr>
          <w:t>A.</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Arguments of the Commission and of the parties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_Toc441673219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61</w:t>
        </w:r>
        <w:r w:rsidR="00CD4901" w:rsidRPr="00CD4901">
          <w:rPr>
            <w:rFonts w:ascii="Verdana" w:hAnsi="Verdana"/>
            <w:noProof/>
            <w:webHidden/>
            <w:sz w:val="18"/>
            <w:szCs w:val="18"/>
          </w:rPr>
          <w:fldChar w:fldCharType="end"/>
        </w:r>
      </w:hyperlink>
    </w:p>
    <w:p w14:paraId="0F601E6B" w14:textId="77777777" w:rsidR="00CD4901" w:rsidRPr="00CD4901" w:rsidRDefault="00624C98" w:rsidP="00CD4901">
      <w:pPr>
        <w:pStyle w:val="TOC2"/>
        <w:tabs>
          <w:tab w:val="clear" w:pos="8828"/>
          <w:tab w:val="right" w:leader="dot" w:pos="9639"/>
        </w:tabs>
        <w:rPr>
          <w:rFonts w:ascii="Verdana" w:eastAsiaTheme="minorEastAsia" w:hAnsi="Verdana" w:cstheme="minorBidi"/>
          <w:noProof/>
          <w:sz w:val="18"/>
          <w:szCs w:val="18"/>
          <w:lang w:val="es-CR" w:eastAsia="es-CR"/>
        </w:rPr>
      </w:pPr>
      <w:hyperlink w:anchor="_Toc441673220" w:history="1">
        <w:r w:rsidR="00CD4901" w:rsidRPr="00CD4901">
          <w:rPr>
            <w:rStyle w:val="Hyperlink"/>
            <w:rFonts w:ascii="Verdana" w:hAnsi="Verdana"/>
            <w:noProof/>
            <w:color w:val="auto"/>
            <w:sz w:val="18"/>
            <w:szCs w:val="18"/>
            <w:u w:val="none"/>
            <w:lang w:val="en-US"/>
          </w:rPr>
          <w:t>B.</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Considerations of the Court</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_Toc441673220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62</w:t>
        </w:r>
        <w:r w:rsidR="00CD4901" w:rsidRPr="00CD4901">
          <w:rPr>
            <w:rFonts w:ascii="Verdana" w:hAnsi="Verdana"/>
            <w:noProof/>
            <w:webHidden/>
            <w:sz w:val="18"/>
            <w:szCs w:val="18"/>
          </w:rPr>
          <w:fldChar w:fldCharType="end"/>
        </w:r>
      </w:hyperlink>
    </w:p>
    <w:p w14:paraId="757BB899"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21" w:history="1">
        <w:r w:rsidR="00CD4901" w:rsidRPr="00CD4901">
          <w:rPr>
            <w:rStyle w:val="Hyperlink"/>
            <w:rFonts w:ascii="Verdana" w:hAnsi="Verdana"/>
            <w:noProof/>
            <w:color w:val="auto"/>
            <w:sz w:val="18"/>
            <w:szCs w:val="18"/>
            <w:u w:val="none"/>
            <w:lang w:val="en-US"/>
          </w:rPr>
          <w:t>B.1 Appropriate and effective remedies in domestic law to protect the rights of the indigenous and tribal peoples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_Toc441673221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63</w:t>
        </w:r>
        <w:r w:rsidR="00CD4901" w:rsidRPr="00CD4901">
          <w:rPr>
            <w:rFonts w:ascii="Verdana" w:hAnsi="Verdana"/>
            <w:noProof/>
            <w:webHidden/>
            <w:sz w:val="18"/>
            <w:szCs w:val="18"/>
          </w:rPr>
          <w:fldChar w:fldCharType="end"/>
        </w:r>
      </w:hyperlink>
    </w:p>
    <w:p w14:paraId="2665BB99"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22" w:history="1">
        <w:r w:rsidR="00CD4901" w:rsidRPr="00CD4901">
          <w:rPr>
            <w:rStyle w:val="Hyperlink"/>
            <w:rFonts w:ascii="Verdana" w:hAnsi="Verdana"/>
            <w:noProof/>
            <w:color w:val="auto"/>
            <w:sz w:val="18"/>
            <w:szCs w:val="18"/>
            <w:u w:val="none"/>
            <w:lang w:val="en-US"/>
          </w:rPr>
          <w:t>B.2 Appropriateness and effectiveness of the judicial proceedings and petitions filed before State authorities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_Toc441673222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66</w:t>
        </w:r>
        <w:r w:rsidR="00CD4901" w:rsidRPr="00CD4901">
          <w:rPr>
            <w:rFonts w:ascii="Verdana" w:hAnsi="Verdana"/>
            <w:noProof/>
            <w:webHidden/>
            <w:sz w:val="18"/>
            <w:szCs w:val="18"/>
          </w:rPr>
          <w:fldChar w:fldCharType="end"/>
        </w:r>
      </w:hyperlink>
    </w:p>
    <w:p w14:paraId="27DA935B"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23" w:history="1">
        <w:r w:rsidR="00CD4901" w:rsidRPr="00CD4901">
          <w:rPr>
            <w:rStyle w:val="Hyperlink"/>
            <w:rFonts w:ascii="Verdana" w:hAnsi="Verdana"/>
            <w:noProof/>
            <w:color w:val="auto"/>
            <w:sz w:val="18"/>
            <w:szCs w:val="18"/>
            <w:u w:val="none"/>
            <w:lang w:val="en-US"/>
          </w:rPr>
          <w:t>B.3 The right of access to information in relation to Article 25 of the American Convention</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_Toc441673223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67</w:t>
        </w:r>
        <w:r w:rsidR="00CD4901" w:rsidRPr="00CD4901">
          <w:rPr>
            <w:rFonts w:ascii="Verdana" w:hAnsi="Verdana"/>
            <w:noProof/>
            <w:webHidden/>
            <w:sz w:val="18"/>
            <w:szCs w:val="18"/>
          </w:rPr>
          <w:fldChar w:fldCharType="end"/>
        </w:r>
      </w:hyperlink>
    </w:p>
    <w:p w14:paraId="0753DB6F"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24" w:history="1">
        <w:r w:rsidR="00CD4901" w:rsidRPr="00CD4901">
          <w:rPr>
            <w:rStyle w:val="Hyperlink"/>
            <w:rFonts w:ascii="Verdana" w:hAnsi="Verdana"/>
            <w:noProof/>
            <w:color w:val="auto"/>
            <w:sz w:val="18"/>
            <w:szCs w:val="18"/>
            <w:u w:val="none"/>
            <w:lang w:val="en-US"/>
          </w:rPr>
          <w:t>C.</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Conclusion</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_Toc441673224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69</w:t>
        </w:r>
        <w:r w:rsidR="00CD4901" w:rsidRPr="00CD4901">
          <w:rPr>
            <w:rFonts w:ascii="Verdana" w:hAnsi="Verdana"/>
            <w:noProof/>
            <w:webHidden/>
            <w:sz w:val="18"/>
            <w:szCs w:val="18"/>
          </w:rPr>
          <w:fldChar w:fldCharType="end"/>
        </w:r>
      </w:hyperlink>
    </w:p>
    <w:p w14:paraId="3715EED7" w14:textId="77777777" w:rsidR="00CD4901" w:rsidRPr="00CD4901" w:rsidRDefault="00624C98" w:rsidP="00CD4901">
      <w:pPr>
        <w:pStyle w:val="TOC1"/>
        <w:rPr>
          <w:rFonts w:eastAsiaTheme="minorEastAsia" w:cstheme="minorBidi"/>
          <w:snapToGrid/>
          <w:lang w:val="es-CR" w:eastAsia="es-CR"/>
        </w:rPr>
      </w:pPr>
      <w:hyperlink w:anchor="_Toc441673225" w:history="1">
        <w:r w:rsidR="00CD4901" w:rsidRPr="00CD4901">
          <w:rPr>
            <w:rStyle w:val="Hyperlink"/>
            <w:rFonts w:eastAsia="Times New Roman" w:cs="Verdana"/>
            <w:bCs/>
            <w:color w:val="auto"/>
            <w:u w:val="none"/>
            <w:lang w:val="en-US"/>
          </w:rPr>
          <w:t>VII REPARATIONS</w:t>
        </w:r>
        <w:r w:rsidR="00CD4901" w:rsidRPr="00CD4901">
          <w:rPr>
            <w:webHidden/>
          </w:rPr>
          <w:tab/>
        </w:r>
        <w:r w:rsidR="00CD4901" w:rsidRPr="00CD4901">
          <w:rPr>
            <w:webHidden/>
          </w:rPr>
          <w:fldChar w:fldCharType="begin"/>
        </w:r>
        <w:r w:rsidR="00CD4901" w:rsidRPr="00CD4901">
          <w:rPr>
            <w:webHidden/>
          </w:rPr>
          <w:instrText xml:space="preserve"> PAGEREF _Toc441673225 \h </w:instrText>
        </w:r>
        <w:r w:rsidR="00CD4901" w:rsidRPr="00CD4901">
          <w:rPr>
            <w:webHidden/>
          </w:rPr>
        </w:r>
        <w:r w:rsidR="00CD4901" w:rsidRPr="00CD4901">
          <w:rPr>
            <w:webHidden/>
          </w:rPr>
          <w:fldChar w:fldCharType="separate"/>
        </w:r>
        <w:r>
          <w:rPr>
            <w:webHidden/>
          </w:rPr>
          <w:t>70</w:t>
        </w:r>
        <w:r w:rsidR="00CD4901" w:rsidRPr="00CD4901">
          <w:rPr>
            <w:webHidden/>
          </w:rPr>
          <w:fldChar w:fldCharType="end"/>
        </w:r>
      </w:hyperlink>
    </w:p>
    <w:p w14:paraId="2EBEF82E"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27" w:history="1">
        <w:r w:rsidR="00CD4901" w:rsidRPr="00CD4901">
          <w:rPr>
            <w:rStyle w:val="Hyperlink"/>
            <w:rFonts w:ascii="Verdana" w:hAnsi="Verdana"/>
            <w:noProof/>
            <w:color w:val="auto"/>
            <w:sz w:val="18"/>
            <w:szCs w:val="18"/>
            <w:u w:val="none"/>
            <w:lang w:val="en-US"/>
          </w:rPr>
          <w:t>A.</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Injured party</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_Toc441673227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70</w:t>
        </w:r>
        <w:r w:rsidR="00CD4901" w:rsidRPr="00CD4901">
          <w:rPr>
            <w:rFonts w:ascii="Verdana" w:hAnsi="Verdana"/>
            <w:noProof/>
            <w:webHidden/>
            <w:sz w:val="18"/>
            <w:szCs w:val="18"/>
          </w:rPr>
          <w:fldChar w:fldCharType="end"/>
        </w:r>
      </w:hyperlink>
    </w:p>
    <w:p w14:paraId="6F43D6C6"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28" w:history="1">
        <w:r w:rsidR="00CD4901" w:rsidRPr="00CD4901">
          <w:rPr>
            <w:rStyle w:val="Hyperlink"/>
            <w:rFonts w:ascii="Verdana" w:hAnsi="Verdana"/>
            <w:noProof/>
            <w:color w:val="auto"/>
            <w:sz w:val="18"/>
            <w:szCs w:val="18"/>
            <w:u w:val="none"/>
            <w:lang w:val="en-US"/>
          </w:rPr>
          <w:t>B.</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Restitution</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_Toc441673228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71</w:t>
        </w:r>
        <w:r w:rsidR="00CD4901" w:rsidRPr="00CD4901">
          <w:rPr>
            <w:rFonts w:ascii="Verdana" w:hAnsi="Verdana"/>
            <w:noProof/>
            <w:webHidden/>
            <w:sz w:val="18"/>
            <w:szCs w:val="18"/>
          </w:rPr>
          <w:fldChar w:fldCharType="end"/>
        </w:r>
      </w:hyperlink>
    </w:p>
    <w:p w14:paraId="18935082"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29" w:history="1">
        <w:r w:rsidR="00CD4901" w:rsidRPr="00CD4901">
          <w:rPr>
            <w:rStyle w:val="Hyperlink"/>
            <w:rFonts w:ascii="Verdana" w:hAnsi="Verdana"/>
            <w:noProof/>
            <w:color w:val="auto"/>
            <w:sz w:val="18"/>
            <w:szCs w:val="18"/>
            <w:u w:val="none"/>
            <w:lang w:val="en-US"/>
          </w:rPr>
          <w:t>C.</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Rehabilitation of the territory</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_Toc441673229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74</w:t>
        </w:r>
        <w:r w:rsidR="00CD4901" w:rsidRPr="00CD4901">
          <w:rPr>
            <w:rFonts w:ascii="Verdana" w:hAnsi="Verdana"/>
            <w:noProof/>
            <w:webHidden/>
            <w:sz w:val="18"/>
            <w:szCs w:val="18"/>
          </w:rPr>
          <w:fldChar w:fldCharType="end"/>
        </w:r>
      </w:hyperlink>
    </w:p>
    <w:p w14:paraId="66845853"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30" w:history="1">
        <w:r w:rsidR="00CD4901" w:rsidRPr="00CD4901">
          <w:rPr>
            <w:rStyle w:val="Hyperlink"/>
            <w:rFonts w:ascii="Verdana" w:hAnsi="Verdana"/>
            <w:noProof/>
            <w:color w:val="auto"/>
            <w:sz w:val="18"/>
            <w:szCs w:val="18"/>
            <w:u w:val="none"/>
            <w:lang w:val="en-US"/>
          </w:rPr>
          <w:t>D.</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Creation of a community development fund</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_Toc441673230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75</w:t>
        </w:r>
        <w:r w:rsidR="00CD4901" w:rsidRPr="00CD4901">
          <w:rPr>
            <w:rFonts w:ascii="Verdana" w:hAnsi="Verdana"/>
            <w:noProof/>
            <w:webHidden/>
            <w:sz w:val="18"/>
            <w:szCs w:val="18"/>
          </w:rPr>
          <w:fldChar w:fldCharType="end"/>
        </w:r>
      </w:hyperlink>
    </w:p>
    <w:p w14:paraId="7E3D64D4"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31" w:history="1">
        <w:r w:rsidR="00CD4901" w:rsidRPr="00CD4901">
          <w:rPr>
            <w:rStyle w:val="Hyperlink"/>
            <w:rFonts w:ascii="Verdana" w:hAnsi="Verdana"/>
            <w:noProof/>
            <w:color w:val="auto"/>
            <w:sz w:val="18"/>
            <w:szCs w:val="18"/>
            <w:u w:val="none"/>
            <w:lang w:val="en-US"/>
          </w:rPr>
          <w:t>E.</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Guarantees of non-repetition</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_Toc441673231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76</w:t>
        </w:r>
        <w:r w:rsidR="00CD4901" w:rsidRPr="00CD4901">
          <w:rPr>
            <w:rFonts w:ascii="Verdana" w:hAnsi="Verdana"/>
            <w:noProof/>
            <w:webHidden/>
            <w:sz w:val="18"/>
            <w:szCs w:val="18"/>
          </w:rPr>
          <w:fldChar w:fldCharType="end"/>
        </w:r>
      </w:hyperlink>
    </w:p>
    <w:p w14:paraId="145222D0" w14:textId="79DC8CAB"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32" w:history="1">
        <w:r w:rsidR="00CD4901" w:rsidRPr="00CD4901">
          <w:rPr>
            <w:rStyle w:val="Hyperlink"/>
            <w:rFonts w:ascii="Verdana" w:hAnsi="Verdana"/>
            <w:noProof/>
            <w:color w:val="auto"/>
            <w:sz w:val="18"/>
            <w:szCs w:val="18"/>
            <w:u w:val="none"/>
            <w:lang w:val="en-US"/>
          </w:rPr>
          <w:t>E.1 Measures for the recognition of juridical personality, and guarantees of collective property, participation, and access to justice</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_Toc441673232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77</w:t>
        </w:r>
        <w:r w:rsidR="00CD4901" w:rsidRPr="00CD4901">
          <w:rPr>
            <w:rFonts w:ascii="Verdana" w:hAnsi="Verdana"/>
            <w:noProof/>
            <w:webHidden/>
            <w:sz w:val="18"/>
            <w:szCs w:val="18"/>
          </w:rPr>
          <w:fldChar w:fldCharType="end"/>
        </w:r>
      </w:hyperlink>
    </w:p>
    <w:p w14:paraId="2E0E3A8A"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33" w:history="1">
        <w:r w:rsidR="00CD4901" w:rsidRPr="00CD4901">
          <w:rPr>
            <w:rStyle w:val="Hyperlink"/>
            <w:rFonts w:ascii="Verdana" w:hAnsi="Verdana"/>
            <w:noProof/>
            <w:color w:val="auto"/>
            <w:sz w:val="18"/>
            <w:szCs w:val="18"/>
            <w:u w:val="none"/>
            <w:lang w:val="en-US"/>
          </w:rPr>
          <w:t>E.2 Training measures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_Toc441673233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79</w:t>
        </w:r>
        <w:r w:rsidR="00CD4901" w:rsidRPr="00CD4901">
          <w:rPr>
            <w:rFonts w:ascii="Verdana" w:hAnsi="Verdana"/>
            <w:noProof/>
            <w:webHidden/>
            <w:sz w:val="18"/>
            <w:szCs w:val="18"/>
          </w:rPr>
          <w:fldChar w:fldCharType="end"/>
        </w:r>
      </w:hyperlink>
    </w:p>
    <w:p w14:paraId="72E883B7"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34" w:history="1">
        <w:r w:rsidR="00CD4901" w:rsidRPr="00CD4901">
          <w:rPr>
            <w:rStyle w:val="Hyperlink"/>
            <w:rFonts w:ascii="Verdana" w:hAnsi="Verdana"/>
            <w:noProof/>
            <w:color w:val="auto"/>
            <w:sz w:val="18"/>
            <w:szCs w:val="18"/>
            <w:u w:val="none"/>
            <w:lang w:val="en-US"/>
          </w:rPr>
          <w:t>F.</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Satisfaction</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_Toc441673234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79</w:t>
        </w:r>
        <w:r w:rsidR="00CD4901" w:rsidRPr="00CD4901">
          <w:rPr>
            <w:rFonts w:ascii="Verdana" w:hAnsi="Verdana"/>
            <w:noProof/>
            <w:webHidden/>
            <w:sz w:val="18"/>
            <w:szCs w:val="18"/>
          </w:rPr>
          <w:fldChar w:fldCharType="end"/>
        </w:r>
      </w:hyperlink>
    </w:p>
    <w:p w14:paraId="5D11FD8A"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35" w:history="1">
        <w:r w:rsidR="00CD4901" w:rsidRPr="00CD4901">
          <w:rPr>
            <w:rStyle w:val="Hyperlink"/>
            <w:rFonts w:ascii="Verdana" w:hAnsi="Verdana"/>
            <w:noProof/>
            <w:color w:val="auto"/>
            <w:sz w:val="18"/>
            <w:szCs w:val="18"/>
            <w:u w:val="none"/>
            <w:lang w:val="en-US"/>
          </w:rPr>
          <w:t>F.1 Publication and broadcast of the Judgment</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_Toc441673235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79</w:t>
        </w:r>
        <w:r w:rsidR="00CD4901" w:rsidRPr="00CD4901">
          <w:rPr>
            <w:rFonts w:ascii="Verdana" w:hAnsi="Verdana"/>
            <w:noProof/>
            <w:webHidden/>
            <w:sz w:val="18"/>
            <w:szCs w:val="18"/>
          </w:rPr>
          <w:fldChar w:fldCharType="end"/>
        </w:r>
      </w:hyperlink>
    </w:p>
    <w:p w14:paraId="16386CEE" w14:textId="77777777" w:rsidR="00CD4901" w:rsidRPr="00CD4901" w:rsidRDefault="00624C98" w:rsidP="00CD4901">
      <w:pPr>
        <w:pStyle w:val="TOC3"/>
        <w:tabs>
          <w:tab w:val="clear" w:pos="8828"/>
          <w:tab w:val="right" w:leader="dot" w:pos="9639"/>
        </w:tabs>
        <w:spacing w:before="0" w:after="0"/>
        <w:ind w:right="220"/>
        <w:jc w:val="both"/>
        <w:rPr>
          <w:rFonts w:ascii="Verdana" w:eastAsiaTheme="minorEastAsia" w:hAnsi="Verdana" w:cstheme="minorBidi"/>
          <w:noProof/>
          <w:sz w:val="18"/>
          <w:szCs w:val="18"/>
          <w:lang w:val="es-CR" w:eastAsia="es-CR"/>
        </w:rPr>
      </w:pPr>
      <w:hyperlink w:anchor="_Toc441673236" w:history="1">
        <w:r w:rsidR="00CD4901" w:rsidRPr="00CD4901">
          <w:rPr>
            <w:rStyle w:val="Hyperlink"/>
            <w:rFonts w:ascii="Verdana" w:hAnsi="Verdana"/>
            <w:noProof/>
            <w:color w:val="auto"/>
            <w:sz w:val="18"/>
            <w:szCs w:val="18"/>
            <w:u w:val="none"/>
            <w:lang w:val="en-US"/>
          </w:rPr>
          <w:t>F.2 Another measure that was requested: public act to acknowledge the State’s responsibility</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_Toc441673236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80</w:t>
        </w:r>
        <w:r w:rsidR="00CD4901" w:rsidRPr="00CD4901">
          <w:rPr>
            <w:rFonts w:ascii="Verdana" w:hAnsi="Verdana"/>
            <w:noProof/>
            <w:webHidden/>
            <w:sz w:val="18"/>
            <w:szCs w:val="18"/>
          </w:rPr>
          <w:fldChar w:fldCharType="end"/>
        </w:r>
      </w:hyperlink>
    </w:p>
    <w:p w14:paraId="0DB7991E"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37" w:history="1">
        <w:r w:rsidR="00CD4901" w:rsidRPr="00CD4901">
          <w:rPr>
            <w:rStyle w:val="Hyperlink"/>
            <w:rFonts w:ascii="Verdana" w:hAnsi="Verdana"/>
            <w:noProof/>
            <w:color w:val="auto"/>
            <w:sz w:val="18"/>
            <w:szCs w:val="18"/>
            <w:u w:val="none"/>
            <w:lang w:val="en-US"/>
          </w:rPr>
          <w:t>G.</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Costs and expenses</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_Toc441673237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80</w:t>
        </w:r>
        <w:r w:rsidR="00CD4901" w:rsidRPr="00CD4901">
          <w:rPr>
            <w:rFonts w:ascii="Verdana" w:hAnsi="Verdana"/>
            <w:noProof/>
            <w:webHidden/>
            <w:sz w:val="18"/>
            <w:szCs w:val="18"/>
          </w:rPr>
          <w:fldChar w:fldCharType="end"/>
        </w:r>
      </w:hyperlink>
    </w:p>
    <w:p w14:paraId="5779BF48" w14:textId="77777777" w:rsidR="00CD4901" w:rsidRPr="00CD4901" w:rsidRDefault="00624C98" w:rsidP="00CD4901">
      <w:pPr>
        <w:pStyle w:val="TOC2"/>
        <w:tabs>
          <w:tab w:val="clear" w:pos="8828"/>
          <w:tab w:val="right" w:leader="dot" w:pos="9639"/>
        </w:tabs>
        <w:ind w:right="220"/>
        <w:rPr>
          <w:rFonts w:ascii="Verdana" w:eastAsiaTheme="minorEastAsia" w:hAnsi="Verdana" w:cstheme="minorBidi"/>
          <w:noProof/>
          <w:sz w:val="18"/>
          <w:szCs w:val="18"/>
          <w:lang w:val="es-CR" w:eastAsia="es-CR"/>
        </w:rPr>
      </w:pPr>
      <w:hyperlink w:anchor="_Toc441673238" w:history="1">
        <w:r w:rsidR="00CD4901" w:rsidRPr="00CD4901">
          <w:rPr>
            <w:rStyle w:val="Hyperlink"/>
            <w:rFonts w:ascii="Verdana" w:hAnsi="Verdana"/>
            <w:noProof/>
            <w:color w:val="auto"/>
            <w:sz w:val="18"/>
            <w:szCs w:val="18"/>
            <w:u w:val="none"/>
            <w:lang w:val="en-US"/>
          </w:rPr>
          <w:t>H.</w:t>
        </w:r>
        <w:r w:rsidR="00CD4901" w:rsidRPr="00CD4901">
          <w:rPr>
            <w:rFonts w:ascii="Verdana" w:eastAsiaTheme="minorEastAsia" w:hAnsi="Verdana" w:cstheme="minorBidi"/>
            <w:noProof/>
            <w:sz w:val="18"/>
            <w:szCs w:val="18"/>
            <w:lang w:val="es-CR" w:eastAsia="es-CR"/>
          </w:rPr>
          <w:tab/>
        </w:r>
        <w:r w:rsidR="00CD4901" w:rsidRPr="00CD4901">
          <w:rPr>
            <w:rStyle w:val="Hyperlink"/>
            <w:rFonts w:ascii="Verdana" w:hAnsi="Verdana"/>
            <w:noProof/>
            <w:color w:val="auto"/>
            <w:sz w:val="18"/>
            <w:szCs w:val="18"/>
            <w:u w:val="none"/>
            <w:lang w:val="en-US"/>
          </w:rPr>
          <w:t>Method of complying with the payments ordered</w:t>
        </w:r>
        <w:r w:rsidR="00CD4901" w:rsidRPr="00CD4901">
          <w:rPr>
            <w:rFonts w:ascii="Verdana" w:hAnsi="Verdana"/>
            <w:noProof/>
            <w:webHidden/>
            <w:sz w:val="18"/>
            <w:szCs w:val="18"/>
          </w:rPr>
          <w:tab/>
        </w:r>
        <w:r w:rsidR="00CD4901" w:rsidRPr="00CD4901">
          <w:rPr>
            <w:rFonts w:ascii="Verdana" w:hAnsi="Verdana"/>
            <w:noProof/>
            <w:webHidden/>
            <w:sz w:val="18"/>
            <w:szCs w:val="18"/>
          </w:rPr>
          <w:fldChar w:fldCharType="begin"/>
        </w:r>
        <w:r w:rsidR="00CD4901" w:rsidRPr="00CD4901">
          <w:rPr>
            <w:rFonts w:ascii="Verdana" w:hAnsi="Verdana"/>
            <w:noProof/>
            <w:webHidden/>
            <w:sz w:val="18"/>
            <w:szCs w:val="18"/>
          </w:rPr>
          <w:instrText xml:space="preserve"> PAGEREF _Toc441673238 \h </w:instrText>
        </w:r>
        <w:r w:rsidR="00CD4901" w:rsidRPr="00CD4901">
          <w:rPr>
            <w:rFonts w:ascii="Verdana" w:hAnsi="Verdana"/>
            <w:noProof/>
            <w:webHidden/>
            <w:sz w:val="18"/>
            <w:szCs w:val="18"/>
          </w:rPr>
        </w:r>
        <w:r w:rsidR="00CD4901" w:rsidRPr="00CD4901">
          <w:rPr>
            <w:rFonts w:ascii="Verdana" w:hAnsi="Verdana"/>
            <w:noProof/>
            <w:webHidden/>
            <w:sz w:val="18"/>
            <w:szCs w:val="18"/>
          </w:rPr>
          <w:fldChar w:fldCharType="separate"/>
        </w:r>
        <w:r>
          <w:rPr>
            <w:rFonts w:ascii="Verdana" w:hAnsi="Verdana"/>
            <w:noProof/>
            <w:webHidden/>
            <w:sz w:val="18"/>
            <w:szCs w:val="18"/>
          </w:rPr>
          <w:t>82</w:t>
        </w:r>
        <w:r w:rsidR="00CD4901" w:rsidRPr="00CD4901">
          <w:rPr>
            <w:rFonts w:ascii="Verdana" w:hAnsi="Verdana"/>
            <w:noProof/>
            <w:webHidden/>
            <w:sz w:val="18"/>
            <w:szCs w:val="18"/>
          </w:rPr>
          <w:fldChar w:fldCharType="end"/>
        </w:r>
      </w:hyperlink>
    </w:p>
    <w:p w14:paraId="74AC0D83" w14:textId="77777777" w:rsidR="00CD4901" w:rsidRPr="00CD4901" w:rsidRDefault="00624C98" w:rsidP="00CD4901">
      <w:pPr>
        <w:pStyle w:val="TOC1"/>
        <w:rPr>
          <w:rFonts w:eastAsiaTheme="minorEastAsia" w:cstheme="minorBidi"/>
          <w:snapToGrid/>
          <w:lang w:val="es-CR" w:eastAsia="es-CR"/>
        </w:rPr>
      </w:pPr>
      <w:hyperlink w:anchor="_Toc441673239" w:history="1">
        <w:r w:rsidR="00CD4901" w:rsidRPr="00CD4901">
          <w:rPr>
            <w:rStyle w:val="Hyperlink"/>
            <w:rFonts w:cs="Verdana"/>
            <w:color w:val="auto"/>
            <w:u w:val="none"/>
            <w:lang w:val="en-US"/>
          </w:rPr>
          <w:t>VIII OPERATIVE PARAGRAPHS</w:t>
        </w:r>
        <w:r w:rsidR="00CD4901" w:rsidRPr="00CD4901">
          <w:rPr>
            <w:webHidden/>
          </w:rPr>
          <w:tab/>
        </w:r>
        <w:r w:rsidR="00CD4901" w:rsidRPr="00CD4901">
          <w:rPr>
            <w:webHidden/>
          </w:rPr>
          <w:fldChar w:fldCharType="begin"/>
        </w:r>
        <w:r w:rsidR="00CD4901" w:rsidRPr="00CD4901">
          <w:rPr>
            <w:webHidden/>
          </w:rPr>
          <w:instrText xml:space="preserve"> PAGEREF _Toc441673239 \h </w:instrText>
        </w:r>
        <w:r w:rsidR="00CD4901" w:rsidRPr="00CD4901">
          <w:rPr>
            <w:webHidden/>
          </w:rPr>
        </w:r>
        <w:r w:rsidR="00CD4901" w:rsidRPr="00CD4901">
          <w:rPr>
            <w:webHidden/>
          </w:rPr>
          <w:fldChar w:fldCharType="separate"/>
        </w:r>
        <w:r>
          <w:rPr>
            <w:webHidden/>
          </w:rPr>
          <w:t>82</w:t>
        </w:r>
        <w:r w:rsidR="00CD4901" w:rsidRPr="00CD4901">
          <w:rPr>
            <w:webHidden/>
          </w:rPr>
          <w:fldChar w:fldCharType="end"/>
        </w:r>
      </w:hyperlink>
    </w:p>
    <w:p w14:paraId="1F3F4AA7" w14:textId="585897E6" w:rsidR="00CD4901" w:rsidRPr="00801008" w:rsidRDefault="00CD4901" w:rsidP="00CD4901">
      <w:pPr>
        <w:pStyle w:val="TOC1"/>
        <w:rPr>
          <w:rFonts w:eastAsiaTheme="minorEastAsia" w:cstheme="minorBidi"/>
          <w:snapToGrid/>
          <w:lang w:val="en-US" w:eastAsia="es-CR"/>
        </w:rPr>
      </w:pPr>
      <w:r w:rsidRPr="00801008">
        <w:rPr>
          <w:rStyle w:val="Hyperlink"/>
          <w:color w:val="auto"/>
          <w:u w:val="none"/>
          <w:lang w:val="en-US"/>
        </w:rPr>
        <w:t xml:space="preserve">IX </w:t>
      </w:r>
      <w:hyperlink w:anchor="_Toc441673241" w:history="1">
        <w:r w:rsidR="00F12B55">
          <w:rPr>
            <w:rStyle w:val="Hyperlink"/>
            <w:rFonts w:cs="Verdana"/>
            <w:color w:val="auto"/>
            <w:u w:val="none"/>
            <w:lang w:val="en-US"/>
          </w:rPr>
          <w:t xml:space="preserve">ANNEXes </w:t>
        </w:r>
        <w:r w:rsidRPr="00801008">
          <w:rPr>
            <w:webHidden/>
            <w:lang w:val="en-US"/>
          </w:rPr>
          <w:tab/>
        </w:r>
        <w:r w:rsidRPr="00CD4901">
          <w:rPr>
            <w:webHidden/>
          </w:rPr>
          <w:fldChar w:fldCharType="begin"/>
        </w:r>
        <w:r w:rsidRPr="00801008">
          <w:rPr>
            <w:webHidden/>
            <w:lang w:val="en-US"/>
          </w:rPr>
          <w:instrText xml:space="preserve"> PAGEREF _Toc441673241 \h </w:instrText>
        </w:r>
        <w:r w:rsidRPr="00CD4901">
          <w:rPr>
            <w:webHidden/>
          </w:rPr>
        </w:r>
        <w:r w:rsidRPr="00CD4901">
          <w:rPr>
            <w:webHidden/>
          </w:rPr>
          <w:fldChar w:fldCharType="separate"/>
        </w:r>
        <w:r w:rsidR="00624C98">
          <w:rPr>
            <w:webHidden/>
            <w:lang w:val="en-US"/>
          </w:rPr>
          <w:t>86</w:t>
        </w:r>
        <w:r w:rsidRPr="00CD4901">
          <w:rPr>
            <w:webHidden/>
          </w:rPr>
          <w:fldChar w:fldCharType="end"/>
        </w:r>
      </w:hyperlink>
    </w:p>
    <w:p w14:paraId="631267F5" w14:textId="77777777" w:rsidR="00E4033A" w:rsidRPr="00CD4901" w:rsidRDefault="00B45FDC" w:rsidP="00CD4901">
      <w:pPr>
        <w:tabs>
          <w:tab w:val="right" w:leader="dot" w:pos="9639"/>
          <w:tab w:val="right" w:leader="dot" w:pos="10065"/>
        </w:tabs>
        <w:jc w:val="both"/>
        <w:rPr>
          <w:rFonts w:ascii="Verdana" w:hAnsi="Verdana"/>
          <w:sz w:val="18"/>
          <w:szCs w:val="18"/>
          <w:lang w:val="en-US"/>
        </w:rPr>
      </w:pPr>
      <w:r w:rsidRPr="00CD4901">
        <w:rPr>
          <w:rFonts w:ascii="Verdana" w:hAnsi="Verdana" w:cs="Verdana"/>
          <w:b/>
          <w:caps/>
          <w:noProof/>
          <w:snapToGrid w:val="0"/>
          <w:sz w:val="18"/>
          <w:szCs w:val="18"/>
          <w:lang w:val="en-US"/>
        </w:rPr>
        <w:fldChar w:fldCharType="end"/>
      </w:r>
      <w:r w:rsidR="00E4033A" w:rsidRPr="00CD4901">
        <w:rPr>
          <w:rFonts w:ascii="Verdana" w:hAnsi="Verdana"/>
          <w:sz w:val="18"/>
          <w:szCs w:val="18"/>
          <w:lang w:val="en-US"/>
        </w:rPr>
        <w:br w:type="page"/>
      </w:r>
    </w:p>
    <w:p w14:paraId="631267F6" w14:textId="77777777" w:rsidR="00E4033A" w:rsidRPr="00FE7BA7" w:rsidRDefault="00E4033A" w:rsidP="00E4033A">
      <w:pPr>
        <w:pStyle w:val="Heading1"/>
        <w:tabs>
          <w:tab w:val="left" w:pos="851"/>
        </w:tabs>
        <w:spacing w:before="0"/>
        <w:jc w:val="center"/>
        <w:rPr>
          <w:rFonts w:ascii="Verdana" w:hAnsi="Verdana" w:cs="Verdana"/>
          <w:caps/>
          <w:snapToGrid w:val="0"/>
          <w:color w:val="auto"/>
          <w:sz w:val="20"/>
          <w:szCs w:val="20"/>
          <w:lang w:val="en-US"/>
        </w:rPr>
      </w:pPr>
      <w:bookmarkStart w:id="1" w:name="_Toc441673176"/>
      <w:r w:rsidRPr="00FE7BA7">
        <w:rPr>
          <w:rFonts w:ascii="Verdana" w:hAnsi="Verdana" w:cs="Verdana"/>
          <w:caps/>
          <w:snapToGrid w:val="0"/>
          <w:color w:val="auto"/>
          <w:sz w:val="20"/>
          <w:szCs w:val="20"/>
          <w:lang w:val="en-US"/>
        </w:rPr>
        <w:lastRenderedPageBreak/>
        <w:t>I</w:t>
      </w:r>
      <w:r w:rsidRPr="00FE7BA7">
        <w:rPr>
          <w:rFonts w:ascii="Verdana" w:hAnsi="Verdana" w:cs="Verdana"/>
          <w:caps/>
          <w:snapToGrid w:val="0"/>
          <w:color w:val="auto"/>
          <w:sz w:val="20"/>
          <w:szCs w:val="20"/>
          <w:lang w:val="en-US"/>
        </w:rPr>
        <w:br/>
      </w:r>
      <w:bookmarkEnd w:id="0"/>
      <w:r w:rsidR="002B5CCD" w:rsidRPr="00FE7BA7">
        <w:rPr>
          <w:rFonts w:ascii="Verdana" w:hAnsi="Verdana" w:cs="Verdana"/>
          <w:caps/>
          <w:snapToGrid w:val="0"/>
          <w:color w:val="auto"/>
          <w:sz w:val="20"/>
          <w:szCs w:val="20"/>
          <w:lang w:val="en-US"/>
        </w:rPr>
        <w:t>INTRODUCTION OF THE CASE AND PURPOSE OF THE DISPUTE</w:t>
      </w:r>
      <w:bookmarkEnd w:id="1"/>
    </w:p>
    <w:p w14:paraId="631267F7" w14:textId="77777777" w:rsidR="00E4033A" w:rsidRPr="00FE7BA7" w:rsidRDefault="00E4033A" w:rsidP="00E4033A">
      <w:pPr>
        <w:jc w:val="both"/>
        <w:rPr>
          <w:rFonts w:ascii="Verdana" w:hAnsi="Verdana"/>
          <w:sz w:val="20"/>
          <w:szCs w:val="20"/>
          <w:lang w:val="en-US"/>
        </w:rPr>
      </w:pPr>
    </w:p>
    <w:p w14:paraId="631267F8" w14:textId="77DCF62C" w:rsidR="00E4033A" w:rsidRPr="00FE7BA7" w:rsidRDefault="002B5CCD" w:rsidP="002B5CCD">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The case submitted to</w:t>
      </w:r>
      <w:r w:rsidR="00E4033A" w:rsidRPr="00FE7BA7">
        <w:rPr>
          <w:rFonts w:ascii="Verdana" w:hAnsi="Verdana"/>
          <w:i/>
          <w:sz w:val="20"/>
          <w:szCs w:val="20"/>
          <w:lang w:val="en-US"/>
        </w:rPr>
        <w:t xml:space="preserve"> </w:t>
      </w:r>
      <w:r w:rsidRPr="00FE7BA7">
        <w:rPr>
          <w:rFonts w:ascii="Verdana" w:hAnsi="Verdana"/>
          <w:i/>
          <w:sz w:val="20"/>
          <w:szCs w:val="20"/>
          <w:lang w:val="en-US"/>
        </w:rPr>
        <w:t>the Court</w:t>
      </w:r>
      <w:r w:rsidRPr="00FE7BA7">
        <w:rPr>
          <w:rFonts w:ascii="Verdana" w:hAnsi="Verdana"/>
          <w:sz w:val="20"/>
          <w:szCs w:val="20"/>
          <w:lang w:val="en-US"/>
        </w:rPr>
        <w:t>. On January 28,</w:t>
      </w:r>
      <w:r w:rsidR="00E4033A" w:rsidRPr="00FE7BA7">
        <w:rPr>
          <w:rFonts w:ascii="Verdana" w:hAnsi="Verdana"/>
          <w:sz w:val="20"/>
          <w:szCs w:val="20"/>
          <w:lang w:val="en-US"/>
        </w:rPr>
        <w:t xml:space="preserve"> 2014</w:t>
      </w:r>
      <w:r w:rsidRPr="00FE7BA7">
        <w:rPr>
          <w:rFonts w:ascii="Verdana" w:hAnsi="Verdana"/>
          <w:sz w:val="20"/>
          <w:szCs w:val="20"/>
          <w:lang w:val="en-US"/>
        </w:rPr>
        <w:t>,</w:t>
      </w:r>
      <w:r w:rsidR="006234A9" w:rsidRPr="00FE7BA7">
        <w:rPr>
          <w:rStyle w:val="FootnoteReference"/>
          <w:szCs w:val="20"/>
          <w:lang w:val="en-US"/>
        </w:rPr>
        <w:footnoteReference w:id="2"/>
      </w:r>
      <w:r w:rsidR="00E4033A" w:rsidRPr="00FE7BA7">
        <w:rPr>
          <w:rFonts w:ascii="Verdana" w:hAnsi="Verdana"/>
          <w:sz w:val="20"/>
          <w:szCs w:val="20"/>
          <w:lang w:val="en-US"/>
        </w:rPr>
        <w:t xml:space="preserve"> </w:t>
      </w:r>
      <w:r w:rsidRPr="00FE7BA7">
        <w:rPr>
          <w:rFonts w:ascii="Verdana" w:hAnsi="Verdana"/>
          <w:sz w:val="20"/>
          <w:szCs w:val="20"/>
          <w:lang w:val="en-US"/>
        </w:rPr>
        <w:t>the Inter-American Commission on Human Rights</w:t>
      </w:r>
      <w:r w:rsidR="00E4033A" w:rsidRPr="00FE7BA7">
        <w:rPr>
          <w:rFonts w:ascii="Verdana" w:hAnsi="Verdana"/>
          <w:sz w:val="20"/>
          <w:szCs w:val="20"/>
          <w:lang w:val="en-US"/>
        </w:rPr>
        <w:t xml:space="preserve"> (</w:t>
      </w:r>
      <w:r w:rsidRPr="00FE7BA7">
        <w:rPr>
          <w:rFonts w:ascii="Verdana" w:hAnsi="Verdana"/>
          <w:sz w:val="20"/>
          <w:szCs w:val="20"/>
          <w:lang w:val="en-US"/>
        </w:rPr>
        <w:t>hereinafter</w:t>
      </w:r>
      <w:r w:rsidR="00E4033A" w:rsidRPr="00FE7BA7">
        <w:rPr>
          <w:rFonts w:ascii="Verdana" w:hAnsi="Verdana"/>
          <w:sz w:val="20"/>
          <w:szCs w:val="20"/>
          <w:lang w:val="en-US"/>
        </w:rPr>
        <w:t xml:space="preserve"> “</w:t>
      </w:r>
      <w:r w:rsidRPr="00FE7BA7">
        <w:rPr>
          <w:rFonts w:ascii="Verdana" w:hAnsi="Verdana"/>
          <w:sz w:val="20"/>
          <w:szCs w:val="20"/>
          <w:lang w:val="en-US"/>
        </w:rPr>
        <w:t>the Commission</w:t>
      </w:r>
      <w:r w:rsidR="00E4033A" w:rsidRPr="00FE7BA7">
        <w:rPr>
          <w:rFonts w:ascii="Verdana" w:hAnsi="Verdana"/>
          <w:sz w:val="20"/>
          <w:szCs w:val="20"/>
          <w:lang w:val="en-US"/>
        </w:rPr>
        <w:t>” o</w:t>
      </w:r>
      <w:r w:rsidRPr="00FE7BA7">
        <w:rPr>
          <w:rFonts w:ascii="Verdana" w:hAnsi="Verdana"/>
          <w:sz w:val="20"/>
          <w:szCs w:val="20"/>
          <w:lang w:val="en-US"/>
        </w:rPr>
        <w:t>r</w:t>
      </w:r>
      <w:r w:rsidR="00E4033A" w:rsidRPr="00FE7BA7">
        <w:rPr>
          <w:rFonts w:ascii="Verdana" w:hAnsi="Verdana"/>
          <w:sz w:val="20"/>
          <w:szCs w:val="20"/>
          <w:lang w:val="en-US"/>
        </w:rPr>
        <w:t xml:space="preserve"> “</w:t>
      </w:r>
      <w:r w:rsidRPr="00FE7BA7">
        <w:rPr>
          <w:rFonts w:ascii="Verdana" w:hAnsi="Verdana"/>
          <w:sz w:val="20"/>
          <w:szCs w:val="20"/>
          <w:lang w:val="en-US"/>
        </w:rPr>
        <w:t>the Inter-American Commission</w:t>
      </w:r>
      <w:r w:rsidR="00E4033A" w:rsidRPr="00FE7BA7">
        <w:rPr>
          <w:rFonts w:ascii="Verdana" w:hAnsi="Verdana"/>
          <w:sz w:val="20"/>
          <w:szCs w:val="20"/>
          <w:lang w:val="en-US"/>
        </w:rPr>
        <w:t>”) s</w:t>
      </w:r>
      <w:r w:rsidRPr="00FE7BA7">
        <w:rPr>
          <w:rFonts w:ascii="Verdana" w:hAnsi="Verdana"/>
          <w:sz w:val="20"/>
          <w:szCs w:val="20"/>
          <w:lang w:val="en-US"/>
        </w:rPr>
        <w:t>ubmitted the case of the</w:t>
      </w:r>
      <w:r w:rsidR="00E4033A" w:rsidRPr="00FE7BA7">
        <w:rPr>
          <w:rFonts w:ascii="Verdana" w:hAnsi="Verdana"/>
          <w:sz w:val="20"/>
          <w:szCs w:val="20"/>
          <w:lang w:val="en-US"/>
        </w:rPr>
        <w:t xml:space="preserve"> </w:t>
      </w:r>
      <w:r w:rsidR="004C7D14" w:rsidRPr="00FE7BA7">
        <w:rPr>
          <w:rFonts w:ascii="Verdana" w:hAnsi="Verdana"/>
          <w:i/>
          <w:sz w:val="20"/>
          <w:szCs w:val="20"/>
          <w:lang w:val="en-US"/>
        </w:rPr>
        <w:t>Kaliña and Lokono peoples</w:t>
      </w:r>
      <w:r w:rsidR="00E4033A" w:rsidRPr="00FE7BA7">
        <w:rPr>
          <w:rFonts w:ascii="Verdana" w:hAnsi="Verdana"/>
          <w:sz w:val="20"/>
          <w:szCs w:val="20"/>
          <w:lang w:val="en-US"/>
        </w:rPr>
        <w:t xml:space="preserve"> (</w:t>
      </w:r>
      <w:r w:rsidRPr="00FE7BA7">
        <w:rPr>
          <w:rFonts w:ascii="Verdana" w:hAnsi="Verdana"/>
          <w:sz w:val="20"/>
          <w:szCs w:val="20"/>
          <w:lang w:val="en-US"/>
        </w:rPr>
        <w:t>hereinafter</w:t>
      </w:r>
      <w:r w:rsidR="00E4033A" w:rsidRPr="00FE7BA7">
        <w:rPr>
          <w:rFonts w:ascii="Verdana" w:hAnsi="Verdana"/>
          <w:sz w:val="20"/>
          <w:szCs w:val="20"/>
          <w:lang w:val="en-US"/>
        </w:rPr>
        <w:t xml:space="preserve">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E4033A" w:rsidRPr="00FE7BA7">
        <w:rPr>
          <w:rFonts w:ascii="Verdana" w:hAnsi="Verdana"/>
          <w:sz w:val="20"/>
          <w:szCs w:val="20"/>
          <w:lang w:val="en-US"/>
        </w:rPr>
        <w:t>”)</w:t>
      </w:r>
      <w:r w:rsidRPr="00FE7BA7">
        <w:rPr>
          <w:rFonts w:ascii="Verdana" w:hAnsi="Verdana"/>
          <w:sz w:val="20"/>
          <w:szCs w:val="20"/>
          <w:lang w:val="en-US"/>
        </w:rPr>
        <w:t xml:space="preserve"> against the Republic of</w:t>
      </w:r>
      <w:r w:rsidR="006234A9" w:rsidRPr="00FE7BA7">
        <w:rPr>
          <w:rFonts w:ascii="Verdana" w:hAnsi="Verdana"/>
          <w:sz w:val="20"/>
          <w:szCs w:val="20"/>
          <w:lang w:val="en-US"/>
        </w:rPr>
        <w:t xml:space="preserve"> </w:t>
      </w:r>
      <w:r w:rsidRPr="00FE7BA7">
        <w:rPr>
          <w:rFonts w:ascii="Verdana" w:hAnsi="Verdana"/>
          <w:sz w:val="20"/>
          <w:szCs w:val="20"/>
          <w:lang w:val="en-US"/>
        </w:rPr>
        <w:t xml:space="preserve">Suriname </w:t>
      </w:r>
      <w:r w:rsidR="006234A9" w:rsidRPr="00FE7BA7">
        <w:rPr>
          <w:rFonts w:ascii="Verdana" w:hAnsi="Verdana"/>
          <w:sz w:val="20"/>
          <w:szCs w:val="20"/>
          <w:lang w:val="en-US"/>
        </w:rPr>
        <w:t>(</w:t>
      </w:r>
      <w:r w:rsidRPr="00FE7BA7">
        <w:rPr>
          <w:rFonts w:ascii="Verdana" w:hAnsi="Verdana"/>
          <w:sz w:val="20"/>
          <w:szCs w:val="20"/>
          <w:lang w:val="en-US"/>
        </w:rPr>
        <w:t>hereinafter</w:t>
      </w:r>
      <w:r w:rsidR="006234A9" w:rsidRPr="00FE7BA7">
        <w:rPr>
          <w:rFonts w:ascii="Verdana" w:hAnsi="Verdana"/>
          <w:sz w:val="20"/>
          <w:szCs w:val="20"/>
          <w:lang w:val="en-US"/>
        </w:rPr>
        <w:t xml:space="preserve"> “</w:t>
      </w:r>
      <w:r w:rsidRPr="00FE7BA7">
        <w:rPr>
          <w:rFonts w:ascii="Verdana" w:hAnsi="Verdana"/>
          <w:sz w:val="20"/>
          <w:szCs w:val="20"/>
          <w:lang w:val="en-US"/>
        </w:rPr>
        <w:t>the State</w:t>
      </w:r>
      <w:r w:rsidR="006234A9" w:rsidRPr="00FE7BA7">
        <w:rPr>
          <w:rFonts w:ascii="Verdana" w:hAnsi="Verdana"/>
          <w:sz w:val="20"/>
          <w:szCs w:val="20"/>
          <w:lang w:val="en-US"/>
        </w:rPr>
        <w:t>” o</w:t>
      </w:r>
      <w:r w:rsidRPr="00FE7BA7">
        <w:rPr>
          <w:rFonts w:ascii="Verdana" w:hAnsi="Verdana"/>
          <w:sz w:val="20"/>
          <w:szCs w:val="20"/>
          <w:lang w:val="en-US"/>
        </w:rPr>
        <w:t>r</w:t>
      </w:r>
      <w:r w:rsidR="006234A9" w:rsidRPr="00FE7BA7">
        <w:rPr>
          <w:rFonts w:ascii="Verdana" w:hAnsi="Verdana"/>
          <w:sz w:val="20"/>
          <w:szCs w:val="20"/>
          <w:lang w:val="en-US"/>
        </w:rPr>
        <w:t xml:space="preserve"> “</w:t>
      </w:r>
      <w:r w:rsidR="00563E11" w:rsidRPr="00FE7BA7">
        <w:rPr>
          <w:rFonts w:ascii="Verdana" w:hAnsi="Verdana"/>
          <w:sz w:val="20"/>
          <w:szCs w:val="20"/>
          <w:lang w:val="en-US"/>
        </w:rPr>
        <w:t>Surinam</w:t>
      </w:r>
      <w:r w:rsidR="00B257B6" w:rsidRPr="00FE7BA7">
        <w:rPr>
          <w:rFonts w:ascii="Verdana" w:hAnsi="Verdana"/>
          <w:sz w:val="20"/>
          <w:szCs w:val="20"/>
          <w:lang w:val="en-US"/>
        </w:rPr>
        <w:t>e</w:t>
      </w:r>
      <w:r w:rsidR="006234A9" w:rsidRPr="00FE7BA7">
        <w:rPr>
          <w:rFonts w:ascii="Verdana" w:hAnsi="Verdana"/>
          <w:sz w:val="20"/>
          <w:szCs w:val="20"/>
          <w:lang w:val="en-US"/>
        </w:rPr>
        <w:t xml:space="preserve">”) </w:t>
      </w:r>
      <w:r w:rsidRPr="00FE7BA7">
        <w:rPr>
          <w:rFonts w:ascii="Verdana" w:hAnsi="Verdana"/>
          <w:sz w:val="20"/>
          <w:szCs w:val="20"/>
          <w:lang w:val="en-US"/>
        </w:rPr>
        <w:t>to the jurisdiction of the Inter-American Court of Human Rights</w:t>
      </w:r>
      <w:r w:rsidR="00E4033A" w:rsidRPr="00FE7BA7">
        <w:rPr>
          <w:rFonts w:ascii="Verdana" w:hAnsi="Verdana"/>
          <w:sz w:val="20"/>
          <w:szCs w:val="20"/>
          <w:lang w:val="en-US"/>
        </w:rPr>
        <w:t xml:space="preserve">. </w:t>
      </w:r>
      <w:r w:rsidRPr="00FE7BA7">
        <w:rPr>
          <w:rFonts w:ascii="Verdana" w:hAnsi="Verdana"/>
          <w:sz w:val="20"/>
          <w:szCs w:val="20"/>
          <w:lang w:val="en-US"/>
        </w:rPr>
        <w:t>According to the Commission</w:t>
      </w:r>
      <w:r w:rsidR="00E4033A" w:rsidRPr="00FE7BA7">
        <w:rPr>
          <w:rFonts w:ascii="Verdana" w:hAnsi="Verdana"/>
          <w:sz w:val="20"/>
          <w:szCs w:val="20"/>
          <w:lang w:val="en-US"/>
        </w:rPr>
        <w:t xml:space="preserve">, </w:t>
      </w:r>
      <w:r w:rsidRPr="00FE7BA7">
        <w:rPr>
          <w:rFonts w:ascii="Verdana" w:hAnsi="Verdana"/>
          <w:sz w:val="20"/>
          <w:szCs w:val="20"/>
          <w:lang w:val="en-US"/>
        </w:rPr>
        <w:t>this case relates to the international responsibility of the State for a series of violations of the rights of the members of eight communities of the Kaliña and Lokono indigenous peoples of the Lower Marowijne River in Suriname</w:t>
      </w:r>
      <w:r w:rsidR="004C386E">
        <w:rPr>
          <w:rFonts w:ascii="Verdana" w:hAnsi="Verdana"/>
          <w:sz w:val="20"/>
          <w:szCs w:val="20"/>
          <w:lang w:val="en-US"/>
        </w:rPr>
        <w:t>, s</w:t>
      </w:r>
      <w:r w:rsidRPr="00FE7BA7">
        <w:rPr>
          <w:rFonts w:ascii="Verdana" w:hAnsi="Verdana"/>
          <w:sz w:val="20"/>
          <w:szCs w:val="20"/>
          <w:lang w:val="en-US"/>
        </w:rPr>
        <w:t>pecifically, owing to the absence at this time of a legal framework that recognizes the legal personality of the indigenous peoples</w:t>
      </w:r>
      <w:r w:rsidR="004C386E">
        <w:rPr>
          <w:rFonts w:ascii="Verdana" w:hAnsi="Verdana"/>
          <w:sz w:val="20"/>
          <w:szCs w:val="20"/>
          <w:lang w:val="en-US"/>
        </w:rPr>
        <w:t>. This</w:t>
      </w:r>
      <w:r w:rsidRPr="00FE7BA7">
        <w:rPr>
          <w:rFonts w:ascii="Verdana" w:hAnsi="Verdana"/>
          <w:sz w:val="20"/>
          <w:szCs w:val="20"/>
          <w:lang w:val="en-US"/>
        </w:rPr>
        <w:t xml:space="preserve"> means that, to date,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have not received this recognition. In addition, the State has not established </w:t>
      </w:r>
      <w:r w:rsidR="004C386E">
        <w:rPr>
          <w:rFonts w:ascii="Verdana" w:hAnsi="Verdana"/>
          <w:sz w:val="20"/>
          <w:szCs w:val="20"/>
          <w:lang w:val="en-US"/>
        </w:rPr>
        <w:t>a</w:t>
      </w:r>
      <w:r w:rsidR="004C386E" w:rsidRPr="00FE7BA7">
        <w:rPr>
          <w:rFonts w:ascii="Verdana" w:hAnsi="Verdana"/>
          <w:sz w:val="20"/>
          <w:szCs w:val="20"/>
          <w:lang w:val="en-US"/>
        </w:rPr>
        <w:t xml:space="preserve"> </w:t>
      </w:r>
      <w:r w:rsidRPr="00FE7BA7">
        <w:rPr>
          <w:rFonts w:ascii="Verdana" w:hAnsi="Verdana"/>
          <w:sz w:val="20"/>
          <w:szCs w:val="20"/>
          <w:lang w:val="en-US"/>
        </w:rPr>
        <w:t xml:space="preserve">legal </w:t>
      </w:r>
      <w:r w:rsidR="00635ACD" w:rsidRPr="00FE7BA7">
        <w:rPr>
          <w:rFonts w:ascii="Verdana" w:hAnsi="Verdana"/>
          <w:sz w:val="20"/>
          <w:szCs w:val="20"/>
          <w:lang w:val="en-US"/>
        </w:rPr>
        <w:t>and regulatory framework that would permit recognizing the right to collective ownership of the lands, territories and natural resources of the Kaliña and Lokono indigenous peoples. This lack of recognition has been accompanied by the issue of individual property titles to non-indigenous persons; the granting of concessions and licenses to carry out mining operations</w:t>
      </w:r>
      <w:r w:rsidR="004C386E">
        <w:rPr>
          <w:rFonts w:ascii="Verdana" w:hAnsi="Verdana"/>
          <w:sz w:val="20"/>
          <w:szCs w:val="20"/>
          <w:lang w:val="en-US"/>
        </w:rPr>
        <w:t>;</w:t>
      </w:r>
      <w:r w:rsidR="00635ACD" w:rsidRPr="00FE7BA7">
        <w:rPr>
          <w:rFonts w:ascii="Verdana" w:hAnsi="Verdana"/>
          <w:sz w:val="20"/>
          <w:szCs w:val="20"/>
          <w:lang w:val="en-US"/>
        </w:rPr>
        <w:t xml:space="preserve"> and the establishment and </w:t>
      </w:r>
      <w:r w:rsidR="003703B4">
        <w:rPr>
          <w:rFonts w:ascii="Verdana" w:hAnsi="Verdana"/>
          <w:sz w:val="20"/>
          <w:szCs w:val="20"/>
          <w:lang w:val="en-US"/>
        </w:rPr>
        <w:t>continuation</w:t>
      </w:r>
      <w:r w:rsidR="00635ACD" w:rsidRPr="00FE7BA7">
        <w:rPr>
          <w:rFonts w:ascii="Verdana" w:hAnsi="Verdana"/>
          <w:sz w:val="20"/>
          <w:szCs w:val="20"/>
          <w:lang w:val="en-US"/>
        </w:rPr>
        <w:t xml:space="preserve"> of three nature reserves in part of their ancestral territory. The violations of the right to collective property resulting from this situation continue to this day. Furthermore, neither the granting of mining concessions and licenses nor the establishment and permanence to date of the nature reserves were subject to any consultation procedure aimed at obtaining the prior, free and informed consent of the </w:t>
      </w:r>
      <w:r w:rsidR="004C7D14" w:rsidRPr="00FE7BA7">
        <w:rPr>
          <w:rFonts w:ascii="Verdana" w:hAnsi="Verdana"/>
          <w:sz w:val="20"/>
          <w:szCs w:val="20"/>
          <w:lang w:val="en-US"/>
        </w:rPr>
        <w:t>Kaliña and Lokono peoples</w:t>
      </w:r>
      <w:r w:rsidR="00E4033A" w:rsidRPr="00FE7BA7">
        <w:rPr>
          <w:rFonts w:ascii="Verdana" w:hAnsi="Verdana"/>
          <w:sz w:val="20"/>
          <w:szCs w:val="20"/>
          <w:lang w:val="en-US"/>
        </w:rPr>
        <w:t xml:space="preserve">. </w:t>
      </w:r>
      <w:r w:rsidR="00635ACD" w:rsidRPr="00FE7BA7">
        <w:rPr>
          <w:rFonts w:ascii="Verdana" w:hAnsi="Verdana"/>
          <w:sz w:val="20"/>
          <w:szCs w:val="20"/>
          <w:lang w:val="en-US"/>
        </w:rPr>
        <w:t>All these facts have taken place in a context of lack of legal and judicial protection because Suriname has no effective remedies for the indigenous peoples to</w:t>
      </w:r>
      <w:r w:rsidR="000A6F50">
        <w:rPr>
          <w:rFonts w:ascii="Verdana" w:hAnsi="Verdana"/>
          <w:sz w:val="20"/>
          <w:szCs w:val="20"/>
          <w:lang w:val="en-US"/>
        </w:rPr>
        <w:t xml:space="preserve"> be able to claim their rights.</w:t>
      </w:r>
    </w:p>
    <w:p w14:paraId="631267F9" w14:textId="77777777" w:rsidR="00E4033A" w:rsidRPr="00FE7BA7" w:rsidRDefault="00E4033A" w:rsidP="00E4033A">
      <w:pPr>
        <w:pStyle w:val="ListParagraph"/>
        <w:ind w:left="0"/>
        <w:jc w:val="both"/>
        <w:rPr>
          <w:rFonts w:ascii="Verdana" w:hAnsi="Verdana"/>
          <w:sz w:val="20"/>
          <w:szCs w:val="20"/>
          <w:lang w:val="en-US"/>
        </w:rPr>
      </w:pPr>
    </w:p>
    <w:p w14:paraId="631267FA" w14:textId="77777777" w:rsidR="00E4033A" w:rsidRPr="00FE7BA7" w:rsidRDefault="00635ACD" w:rsidP="00E4033A">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Procedure before</w:t>
      </w:r>
      <w:r w:rsidR="00E4033A" w:rsidRPr="00FE7BA7">
        <w:rPr>
          <w:rFonts w:ascii="Verdana" w:hAnsi="Verdana"/>
          <w:i/>
          <w:sz w:val="20"/>
          <w:szCs w:val="20"/>
          <w:lang w:val="en-US"/>
        </w:rPr>
        <w:t xml:space="preserve"> </w:t>
      </w:r>
      <w:r w:rsidR="002B5CCD" w:rsidRPr="00FE7BA7">
        <w:rPr>
          <w:rFonts w:ascii="Verdana" w:hAnsi="Verdana"/>
          <w:i/>
          <w:sz w:val="20"/>
          <w:szCs w:val="20"/>
          <w:lang w:val="en-US"/>
        </w:rPr>
        <w:t>the Commission</w:t>
      </w:r>
      <w:r w:rsidR="00E4033A" w:rsidRPr="00FE7BA7">
        <w:rPr>
          <w:rFonts w:ascii="Verdana" w:hAnsi="Verdana"/>
          <w:sz w:val="20"/>
          <w:szCs w:val="20"/>
          <w:lang w:val="en-US"/>
        </w:rPr>
        <w:t xml:space="preserve">. </w:t>
      </w:r>
      <w:r w:rsidRPr="00FE7BA7">
        <w:rPr>
          <w:rFonts w:ascii="Verdana" w:hAnsi="Verdana"/>
          <w:sz w:val="20"/>
          <w:szCs w:val="20"/>
          <w:lang w:val="en-US"/>
        </w:rPr>
        <w:t>The procedure before</w:t>
      </w:r>
      <w:r w:rsidR="00E4033A" w:rsidRPr="00FE7BA7">
        <w:rPr>
          <w:rFonts w:ascii="Verdana" w:hAnsi="Verdana"/>
          <w:sz w:val="20"/>
          <w:szCs w:val="20"/>
          <w:lang w:val="en-US"/>
        </w:rPr>
        <w:t xml:space="preserve"> </w:t>
      </w:r>
      <w:r w:rsidR="002B5CCD" w:rsidRPr="00FE7BA7">
        <w:rPr>
          <w:rFonts w:ascii="Verdana" w:hAnsi="Verdana"/>
          <w:sz w:val="20"/>
          <w:szCs w:val="20"/>
          <w:lang w:val="en-US"/>
        </w:rPr>
        <w:t>the Commission</w:t>
      </w:r>
      <w:r w:rsidR="00E4033A" w:rsidRPr="00FE7BA7">
        <w:rPr>
          <w:rFonts w:ascii="Verdana" w:hAnsi="Verdana"/>
          <w:sz w:val="20"/>
          <w:szCs w:val="20"/>
          <w:lang w:val="en-US"/>
        </w:rPr>
        <w:t xml:space="preserve"> </w:t>
      </w:r>
      <w:r w:rsidRPr="00FE7BA7">
        <w:rPr>
          <w:rFonts w:ascii="Verdana" w:hAnsi="Verdana"/>
          <w:sz w:val="20"/>
          <w:szCs w:val="20"/>
          <w:lang w:val="en-US"/>
        </w:rPr>
        <w:t>was as follows</w:t>
      </w:r>
      <w:r w:rsidR="00E4033A" w:rsidRPr="00FE7BA7">
        <w:rPr>
          <w:rFonts w:ascii="Verdana" w:hAnsi="Verdana"/>
          <w:sz w:val="20"/>
          <w:szCs w:val="20"/>
          <w:lang w:val="en-US"/>
        </w:rPr>
        <w:t xml:space="preserve">: </w:t>
      </w:r>
    </w:p>
    <w:p w14:paraId="631267FB" w14:textId="77777777" w:rsidR="00E4033A" w:rsidRPr="00FE7BA7" w:rsidRDefault="00E4033A" w:rsidP="00E4033A">
      <w:pPr>
        <w:pStyle w:val="ListParagraph"/>
        <w:rPr>
          <w:rFonts w:ascii="Verdana" w:hAnsi="Verdana"/>
          <w:i/>
          <w:sz w:val="20"/>
          <w:szCs w:val="20"/>
          <w:lang w:val="en-US"/>
        </w:rPr>
      </w:pPr>
    </w:p>
    <w:p w14:paraId="631267FC" w14:textId="72DCFECD" w:rsidR="00E4033A" w:rsidRPr="00FE7BA7" w:rsidRDefault="00E4033A" w:rsidP="00FE7792">
      <w:pPr>
        <w:ind w:left="708"/>
        <w:jc w:val="both"/>
        <w:rPr>
          <w:rFonts w:ascii="Verdana" w:hAnsi="Verdana"/>
          <w:sz w:val="20"/>
          <w:szCs w:val="20"/>
          <w:lang w:val="en-US"/>
        </w:rPr>
      </w:pPr>
      <w:r w:rsidRPr="00FE7BA7">
        <w:rPr>
          <w:rFonts w:ascii="Verdana" w:hAnsi="Verdana"/>
          <w:i/>
          <w:sz w:val="20"/>
          <w:szCs w:val="20"/>
          <w:lang w:val="en-US"/>
        </w:rPr>
        <w:t xml:space="preserve">a) </w:t>
      </w:r>
      <w:r w:rsidR="00635ACD" w:rsidRPr="00FE7BA7">
        <w:rPr>
          <w:rFonts w:ascii="Verdana" w:hAnsi="Verdana"/>
          <w:i/>
          <w:sz w:val="20"/>
          <w:szCs w:val="20"/>
          <w:lang w:val="en-US"/>
        </w:rPr>
        <w:t>Petition</w:t>
      </w:r>
      <w:r w:rsidR="00635ACD" w:rsidRPr="00FE7BA7">
        <w:rPr>
          <w:rFonts w:ascii="Verdana" w:hAnsi="Verdana"/>
          <w:sz w:val="20"/>
          <w:szCs w:val="20"/>
          <w:lang w:val="en-US"/>
        </w:rPr>
        <w:t>. On February 16,</w:t>
      </w:r>
      <w:r w:rsidRPr="00FE7BA7">
        <w:rPr>
          <w:rFonts w:ascii="Verdana" w:hAnsi="Verdana"/>
          <w:sz w:val="20"/>
          <w:szCs w:val="20"/>
          <w:lang w:val="en-US"/>
        </w:rPr>
        <w:t xml:space="preserve"> 2007</w:t>
      </w:r>
      <w:r w:rsidR="00635ACD" w:rsidRPr="00FE7BA7">
        <w:rPr>
          <w:rFonts w:ascii="Verdana" w:hAnsi="Verdana"/>
          <w:sz w:val="20"/>
          <w:szCs w:val="20"/>
          <w:lang w:val="en-US"/>
        </w:rPr>
        <w:t>,</w:t>
      </w:r>
      <w:r w:rsidRPr="00FE7BA7">
        <w:rPr>
          <w:rFonts w:ascii="Verdana" w:hAnsi="Verdana"/>
          <w:sz w:val="20"/>
          <w:szCs w:val="20"/>
          <w:lang w:val="en-US"/>
        </w:rPr>
        <w:t xml:space="preserve"> </w:t>
      </w:r>
      <w:r w:rsidR="002B5CCD" w:rsidRPr="00FE7BA7">
        <w:rPr>
          <w:rFonts w:ascii="Verdana" w:hAnsi="Verdana"/>
          <w:sz w:val="20"/>
          <w:szCs w:val="20"/>
          <w:lang w:val="en-US"/>
        </w:rPr>
        <w:t>the Commission</w:t>
      </w:r>
      <w:r w:rsidRPr="00FE7BA7">
        <w:rPr>
          <w:rFonts w:ascii="Verdana" w:hAnsi="Verdana"/>
          <w:sz w:val="20"/>
          <w:szCs w:val="20"/>
          <w:lang w:val="en-US"/>
        </w:rPr>
        <w:t xml:space="preserve"> rec</w:t>
      </w:r>
      <w:r w:rsidR="00635ACD" w:rsidRPr="00FE7BA7">
        <w:rPr>
          <w:rFonts w:ascii="Verdana" w:hAnsi="Verdana"/>
          <w:sz w:val="20"/>
          <w:szCs w:val="20"/>
          <w:lang w:val="en-US"/>
        </w:rPr>
        <w:t xml:space="preserve">eived a petition lodged by eight traditional leaders on behalf of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w:t>
      </w:r>
      <w:r w:rsidR="00635ACD" w:rsidRPr="00FE7BA7">
        <w:rPr>
          <w:rFonts w:ascii="Verdana" w:hAnsi="Verdana"/>
          <w:sz w:val="20"/>
          <w:szCs w:val="20"/>
          <w:lang w:val="en-US"/>
        </w:rPr>
        <w:t>of the Lower Marowijne River</w:t>
      </w:r>
      <w:r w:rsidR="00E77768" w:rsidRPr="00FE7BA7">
        <w:rPr>
          <w:rFonts w:ascii="Verdana" w:hAnsi="Verdana"/>
          <w:sz w:val="20"/>
          <w:szCs w:val="20"/>
          <w:lang w:val="en-US"/>
        </w:rPr>
        <w:t>;</w:t>
      </w:r>
      <w:r w:rsidR="00727D10" w:rsidRPr="00FE7BA7">
        <w:rPr>
          <w:rFonts w:ascii="Verdana" w:hAnsi="Verdana"/>
          <w:sz w:val="20"/>
          <w:szCs w:val="20"/>
          <w:lang w:val="en-US"/>
        </w:rPr>
        <w:t xml:space="preserve"> </w:t>
      </w:r>
      <w:r w:rsidR="00635ACD" w:rsidRPr="00FE7BA7">
        <w:rPr>
          <w:rFonts w:ascii="Verdana" w:hAnsi="Verdana"/>
          <w:sz w:val="20"/>
          <w:szCs w:val="20"/>
          <w:lang w:val="en-US"/>
        </w:rPr>
        <w:t xml:space="preserve">by the </w:t>
      </w:r>
      <w:r w:rsidR="00584404" w:rsidRPr="00FE7BA7">
        <w:rPr>
          <w:rFonts w:ascii="Verdana" w:hAnsi="Verdana"/>
          <w:i/>
          <w:sz w:val="20"/>
          <w:szCs w:val="20"/>
          <w:lang w:val="en-US"/>
        </w:rPr>
        <w:t>Vere</w:t>
      </w:r>
      <w:r w:rsidR="00E77768" w:rsidRPr="00FE7BA7">
        <w:rPr>
          <w:rFonts w:ascii="Verdana" w:hAnsi="Verdana"/>
          <w:i/>
          <w:sz w:val="20"/>
          <w:szCs w:val="20"/>
          <w:lang w:val="en-US"/>
        </w:rPr>
        <w:t>rn</w:t>
      </w:r>
      <w:r w:rsidR="00584404" w:rsidRPr="00FE7BA7">
        <w:rPr>
          <w:rFonts w:ascii="Verdana" w:hAnsi="Verdana"/>
          <w:i/>
          <w:sz w:val="20"/>
          <w:szCs w:val="20"/>
          <w:lang w:val="en-US"/>
        </w:rPr>
        <w:t>iging van Inheese Dorpshoofden in Suriname</w:t>
      </w:r>
      <w:r w:rsidR="00E77768" w:rsidRPr="00FE7BA7">
        <w:rPr>
          <w:rFonts w:ascii="Verdana" w:hAnsi="Verdana"/>
          <w:sz w:val="20"/>
          <w:szCs w:val="20"/>
          <w:lang w:val="en-US"/>
        </w:rPr>
        <w:t xml:space="preserve"> </w:t>
      </w:r>
      <w:r w:rsidR="00635ACD" w:rsidRPr="00FE7BA7">
        <w:rPr>
          <w:rFonts w:ascii="Verdana" w:hAnsi="Verdana"/>
          <w:sz w:val="20"/>
          <w:szCs w:val="20"/>
          <w:lang w:val="en-US"/>
        </w:rPr>
        <w:t>(</w:t>
      </w:r>
      <w:r w:rsidR="002B5CCD" w:rsidRPr="00FE7BA7">
        <w:rPr>
          <w:rFonts w:ascii="Verdana" w:hAnsi="Verdana"/>
          <w:sz w:val="20"/>
          <w:szCs w:val="20"/>
          <w:lang w:val="en-US"/>
        </w:rPr>
        <w:t>hereinafter</w:t>
      </w:r>
      <w:r w:rsidR="00584404" w:rsidRPr="00FE7BA7">
        <w:rPr>
          <w:rFonts w:ascii="Verdana" w:hAnsi="Verdana"/>
          <w:sz w:val="20"/>
          <w:szCs w:val="20"/>
          <w:lang w:val="en-US"/>
        </w:rPr>
        <w:t xml:space="preserve"> “VIDS”</w:t>
      </w:r>
      <w:r w:rsidR="00FE7792" w:rsidRPr="00FE7BA7">
        <w:rPr>
          <w:rFonts w:ascii="Verdana" w:hAnsi="Verdana"/>
          <w:sz w:val="20"/>
          <w:szCs w:val="20"/>
          <w:lang w:val="en-US"/>
        </w:rPr>
        <w:t xml:space="preserve"> </w:t>
      </w:r>
      <w:r w:rsidR="00635ACD" w:rsidRPr="00FE7BA7">
        <w:rPr>
          <w:rFonts w:ascii="Verdana" w:hAnsi="Verdana"/>
          <w:sz w:val="20"/>
          <w:szCs w:val="20"/>
          <w:lang w:val="en-US"/>
        </w:rPr>
        <w:t xml:space="preserve">in Dutch, </w:t>
      </w:r>
      <w:r w:rsidR="003703B4">
        <w:rPr>
          <w:rFonts w:ascii="Verdana" w:hAnsi="Verdana"/>
          <w:sz w:val="20"/>
          <w:szCs w:val="20"/>
          <w:lang w:val="en-US"/>
        </w:rPr>
        <w:t>or</w:t>
      </w:r>
      <w:r w:rsidR="002B5CCD" w:rsidRPr="00FE7BA7">
        <w:rPr>
          <w:rFonts w:ascii="Verdana" w:hAnsi="Verdana"/>
          <w:sz w:val="20"/>
          <w:szCs w:val="20"/>
          <w:lang w:val="en-US"/>
        </w:rPr>
        <w:t xml:space="preserve"> </w:t>
      </w:r>
      <w:r w:rsidR="003703B4">
        <w:rPr>
          <w:rFonts w:ascii="Verdana" w:hAnsi="Verdana"/>
          <w:sz w:val="20"/>
          <w:szCs w:val="20"/>
          <w:lang w:val="en-US"/>
        </w:rPr>
        <w:t xml:space="preserve">the </w:t>
      </w:r>
      <w:r w:rsidR="00FE7792" w:rsidRPr="00FE7BA7">
        <w:rPr>
          <w:rFonts w:ascii="Verdana" w:hAnsi="Verdana"/>
          <w:sz w:val="20"/>
          <w:szCs w:val="20"/>
          <w:lang w:val="en-US"/>
        </w:rPr>
        <w:t>Association of Indigen</w:t>
      </w:r>
      <w:r w:rsidR="003703B4">
        <w:rPr>
          <w:rFonts w:ascii="Verdana" w:hAnsi="Verdana"/>
          <w:sz w:val="20"/>
          <w:szCs w:val="20"/>
          <w:lang w:val="en-US"/>
        </w:rPr>
        <w:t xml:space="preserve">ous Village Leaders in Suriname in </w:t>
      </w:r>
      <w:r w:rsidR="00965219">
        <w:rPr>
          <w:rFonts w:ascii="Verdana" w:hAnsi="Verdana"/>
          <w:sz w:val="20"/>
          <w:szCs w:val="20"/>
          <w:lang w:val="en-US"/>
        </w:rPr>
        <w:t>English</w:t>
      </w:r>
      <w:r w:rsidR="00727D10" w:rsidRPr="00FE7BA7">
        <w:rPr>
          <w:rFonts w:ascii="Verdana" w:hAnsi="Verdana"/>
          <w:sz w:val="20"/>
          <w:szCs w:val="20"/>
          <w:lang w:val="en-US"/>
        </w:rPr>
        <w:t>)</w:t>
      </w:r>
      <w:r w:rsidR="004C386E">
        <w:rPr>
          <w:rFonts w:ascii="Verdana" w:hAnsi="Verdana"/>
          <w:sz w:val="20"/>
          <w:szCs w:val="20"/>
          <w:lang w:val="en-US"/>
        </w:rPr>
        <w:t>;</w:t>
      </w:r>
      <w:r w:rsidR="002B5CCD" w:rsidRPr="00FE7BA7">
        <w:rPr>
          <w:rFonts w:ascii="Verdana" w:hAnsi="Verdana"/>
          <w:sz w:val="20"/>
          <w:szCs w:val="20"/>
          <w:lang w:val="en-US"/>
        </w:rPr>
        <w:t xml:space="preserve"> and </w:t>
      </w:r>
      <w:r w:rsidR="00635ACD" w:rsidRPr="00FE7BA7">
        <w:rPr>
          <w:rFonts w:ascii="Verdana" w:hAnsi="Verdana"/>
          <w:sz w:val="20"/>
          <w:szCs w:val="20"/>
          <w:lang w:val="en-US"/>
        </w:rPr>
        <w:t>by</w:t>
      </w:r>
      <w:r w:rsidR="00727D10"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584404" w:rsidRPr="00FE7BA7">
        <w:rPr>
          <w:rFonts w:ascii="Verdana" w:hAnsi="Verdana"/>
          <w:i/>
          <w:sz w:val="20"/>
          <w:szCs w:val="20"/>
          <w:lang w:val="en-US"/>
        </w:rPr>
        <w:t>Commissie Landrechten Inheemsen Beneden-Marowijne</w:t>
      </w:r>
      <w:r w:rsidR="00584404" w:rsidRPr="00FE7BA7">
        <w:rPr>
          <w:rFonts w:ascii="Verdana" w:hAnsi="Verdana"/>
          <w:sz w:val="20"/>
          <w:szCs w:val="20"/>
          <w:lang w:val="en-US"/>
        </w:rPr>
        <w:t xml:space="preserve"> </w:t>
      </w:r>
      <w:r w:rsidR="00635ACD" w:rsidRPr="00FE7BA7">
        <w:rPr>
          <w:rFonts w:ascii="Verdana" w:hAnsi="Verdana"/>
          <w:sz w:val="20"/>
          <w:szCs w:val="20"/>
          <w:lang w:val="en-US"/>
        </w:rPr>
        <w:t>(</w:t>
      </w:r>
      <w:r w:rsidR="002B5CCD" w:rsidRPr="00FE7BA7">
        <w:rPr>
          <w:rFonts w:ascii="Verdana" w:hAnsi="Verdana"/>
          <w:sz w:val="20"/>
          <w:szCs w:val="20"/>
          <w:lang w:val="en-US"/>
        </w:rPr>
        <w:t>hereinafter</w:t>
      </w:r>
      <w:r w:rsidR="00584404" w:rsidRPr="00FE7BA7">
        <w:rPr>
          <w:rFonts w:ascii="Verdana" w:hAnsi="Verdana"/>
          <w:sz w:val="20"/>
          <w:szCs w:val="20"/>
          <w:lang w:val="en-US"/>
        </w:rPr>
        <w:t xml:space="preserve"> “CLIM”</w:t>
      </w:r>
      <w:r w:rsidR="00FE7792" w:rsidRPr="00FE7BA7">
        <w:rPr>
          <w:rFonts w:ascii="Verdana" w:hAnsi="Verdana"/>
          <w:sz w:val="20"/>
          <w:szCs w:val="20"/>
          <w:lang w:val="en-US"/>
        </w:rPr>
        <w:t xml:space="preserve"> </w:t>
      </w:r>
      <w:r w:rsidR="00635ACD" w:rsidRPr="00FE7BA7">
        <w:rPr>
          <w:rFonts w:ascii="Verdana" w:hAnsi="Verdana"/>
          <w:sz w:val="20"/>
          <w:szCs w:val="20"/>
          <w:lang w:val="en-US"/>
        </w:rPr>
        <w:t>in Dutch</w:t>
      </w:r>
      <w:r w:rsidR="00FE7792" w:rsidRPr="00FE7BA7">
        <w:rPr>
          <w:rFonts w:ascii="Verdana" w:hAnsi="Verdana"/>
          <w:sz w:val="20"/>
          <w:szCs w:val="20"/>
          <w:lang w:val="en-US"/>
        </w:rPr>
        <w:t>,</w:t>
      </w:r>
      <w:r w:rsidR="002B5CCD" w:rsidRPr="00FE7BA7">
        <w:rPr>
          <w:rFonts w:ascii="Verdana" w:hAnsi="Verdana"/>
          <w:sz w:val="20"/>
          <w:szCs w:val="20"/>
          <w:lang w:val="en-US"/>
        </w:rPr>
        <w:t xml:space="preserve"> and</w:t>
      </w:r>
      <w:r w:rsidR="00635ACD" w:rsidRPr="00FE7BA7">
        <w:rPr>
          <w:rFonts w:ascii="Verdana" w:hAnsi="Verdana"/>
          <w:sz w:val="20"/>
          <w:szCs w:val="20"/>
          <w:lang w:val="en-US"/>
        </w:rPr>
        <w:t xml:space="preserve"> the</w:t>
      </w:r>
      <w:r w:rsidR="002B5CCD" w:rsidRPr="00FE7BA7">
        <w:rPr>
          <w:rFonts w:ascii="Verdana" w:hAnsi="Verdana"/>
          <w:sz w:val="20"/>
          <w:szCs w:val="20"/>
          <w:lang w:val="en-US"/>
        </w:rPr>
        <w:t xml:space="preserve"> </w:t>
      </w:r>
      <w:r w:rsidR="00FE7792" w:rsidRPr="00FE7BA7">
        <w:rPr>
          <w:rFonts w:ascii="Verdana" w:hAnsi="Verdana"/>
          <w:sz w:val="20"/>
          <w:szCs w:val="20"/>
          <w:lang w:val="en-US"/>
        </w:rPr>
        <w:t xml:space="preserve">Lower Marowijne Indigenous Lands Rights Commission, </w:t>
      </w:r>
      <w:r w:rsidR="00635ACD" w:rsidRPr="00FE7BA7">
        <w:rPr>
          <w:rFonts w:ascii="Verdana" w:hAnsi="Verdana"/>
          <w:sz w:val="20"/>
          <w:szCs w:val="20"/>
          <w:lang w:val="en-US"/>
        </w:rPr>
        <w:t>in English</w:t>
      </w:r>
      <w:r w:rsidR="00584404" w:rsidRPr="00FE7BA7">
        <w:rPr>
          <w:rFonts w:ascii="Verdana" w:hAnsi="Verdana"/>
          <w:sz w:val="20"/>
          <w:szCs w:val="20"/>
          <w:lang w:val="en-US"/>
        </w:rPr>
        <w:t>)</w:t>
      </w:r>
      <w:r w:rsidR="00635ACD" w:rsidRPr="00FE7BA7">
        <w:rPr>
          <w:rFonts w:ascii="Verdana" w:hAnsi="Verdana"/>
          <w:sz w:val="20"/>
          <w:szCs w:val="20"/>
          <w:lang w:val="en-US"/>
        </w:rPr>
        <w:t>,</w:t>
      </w:r>
      <w:r w:rsidR="00FE7792" w:rsidRPr="00FE7BA7">
        <w:rPr>
          <w:rStyle w:val="FootnoteReference"/>
          <w:szCs w:val="20"/>
          <w:lang w:val="en-US"/>
        </w:rPr>
        <w:footnoteReference w:id="3"/>
      </w:r>
      <w:r w:rsidR="00635ACD" w:rsidRPr="00FE7BA7">
        <w:rPr>
          <w:rFonts w:ascii="Verdana" w:hAnsi="Verdana"/>
          <w:sz w:val="20"/>
          <w:szCs w:val="20"/>
          <w:lang w:val="en-US"/>
        </w:rPr>
        <w:t xml:space="preserve"> against</w:t>
      </w:r>
      <w:r w:rsidRPr="00FE7BA7">
        <w:rPr>
          <w:rFonts w:ascii="Verdana" w:hAnsi="Verdana"/>
          <w:sz w:val="20"/>
          <w:szCs w:val="20"/>
          <w:lang w:val="en-US"/>
        </w:rPr>
        <w:t xml:space="preserve"> </w:t>
      </w:r>
      <w:r w:rsidR="002B5CCD" w:rsidRPr="00FE7BA7">
        <w:rPr>
          <w:rFonts w:ascii="Verdana" w:hAnsi="Verdana"/>
          <w:sz w:val="20"/>
          <w:szCs w:val="20"/>
          <w:lang w:val="en-US"/>
        </w:rPr>
        <w:t xml:space="preserve">Suriname </w:t>
      </w:r>
      <w:r w:rsidR="00635ACD" w:rsidRPr="00FE7BA7">
        <w:rPr>
          <w:rFonts w:ascii="Verdana" w:hAnsi="Verdana"/>
          <w:sz w:val="20"/>
          <w:szCs w:val="20"/>
          <w:lang w:val="en-US"/>
        </w:rPr>
        <w:t xml:space="preserve">owing to the violation of </w:t>
      </w:r>
      <w:r w:rsidR="002B5CCD" w:rsidRPr="00FE7BA7">
        <w:rPr>
          <w:rFonts w:ascii="Verdana" w:hAnsi="Verdana"/>
          <w:sz w:val="20"/>
          <w:szCs w:val="20"/>
          <w:lang w:val="en-US"/>
        </w:rPr>
        <w:t>Articles</w:t>
      </w:r>
      <w:r w:rsidRPr="00FE7BA7">
        <w:rPr>
          <w:rFonts w:ascii="Verdana" w:hAnsi="Verdana"/>
          <w:sz w:val="20"/>
          <w:szCs w:val="20"/>
          <w:lang w:val="en-US"/>
        </w:rPr>
        <w:t xml:space="preserve"> 3, 21</w:t>
      </w:r>
      <w:r w:rsidR="002B5CCD" w:rsidRPr="00FE7BA7">
        <w:rPr>
          <w:rFonts w:ascii="Verdana" w:hAnsi="Verdana"/>
          <w:sz w:val="20"/>
          <w:szCs w:val="20"/>
          <w:lang w:val="en-US"/>
        </w:rPr>
        <w:t xml:space="preserve"> and </w:t>
      </w:r>
      <w:r w:rsidRPr="00FE7BA7">
        <w:rPr>
          <w:rFonts w:ascii="Verdana" w:hAnsi="Verdana"/>
          <w:sz w:val="20"/>
          <w:szCs w:val="20"/>
          <w:lang w:val="en-US"/>
        </w:rPr>
        <w:t>25</w:t>
      </w:r>
      <w:r w:rsidR="002B5CCD" w:rsidRPr="00FE7BA7">
        <w:rPr>
          <w:rFonts w:ascii="Verdana" w:hAnsi="Verdana"/>
          <w:sz w:val="20"/>
          <w:szCs w:val="20"/>
          <w:lang w:val="en-US"/>
        </w:rPr>
        <w:t xml:space="preserve"> of the American Convention</w:t>
      </w:r>
      <w:r w:rsidRPr="00FE7BA7">
        <w:rPr>
          <w:rFonts w:ascii="Verdana" w:hAnsi="Verdana"/>
          <w:sz w:val="20"/>
          <w:szCs w:val="20"/>
          <w:lang w:val="en-US"/>
        </w:rPr>
        <w:t xml:space="preserve">, </w:t>
      </w:r>
      <w:r w:rsidR="00635ACD" w:rsidRPr="00FE7BA7">
        <w:rPr>
          <w:rFonts w:ascii="Verdana" w:hAnsi="Verdana"/>
          <w:sz w:val="20"/>
          <w:szCs w:val="20"/>
          <w:lang w:val="en-US"/>
        </w:rPr>
        <w:t xml:space="preserve">in relation to </w:t>
      </w:r>
      <w:r w:rsidR="002B5CCD" w:rsidRPr="00FE7BA7">
        <w:rPr>
          <w:rFonts w:ascii="Verdana" w:hAnsi="Verdana"/>
          <w:sz w:val="20"/>
          <w:szCs w:val="20"/>
          <w:lang w:val="en-US"/>
        </w:rPr>
        <w:t>Articles</w:t>
      </w:r>
      <w:r w:rsidRPr="00FE7BA7">
        <w:rPr>
          <w:rFonts w:ascii="Verdana" w:hAnsi="Verdana"/>
          <w:sz w:val="20"/>
          <w:szCs w:val="20"/>
          <w:lang w:val="en-US"/>
        </w:rPr>
        <w:t xml:space="preserve"> 1</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2 </w:t>
      </w:r>
      <w:r w:rsidR="00635ACD" w:rsidRPr="00FE7BA7">
        <w:rPr>
          <w:rFonts w:ascii="Verdana" w:hAnsi="Verdana"/>
          <w:sz w:val="20"/>
          <w:szCs w:val="20"/>
          <w:lang w:val="en-US"/>
        </w:rPr>
        <w:t>of this instrument, to the detriment of the Kaliña and Lokono indigenous peoples.</w:t>
      </w:r>
      <w:r w:rsidR="008C385E" w:rsidRPr="00FE7BA7">
        <w:rPr>
          <w:rStyle w:val="FootnoteReference"/>
          <w:szCs w:val="20"/>
          <w:lang w:val="en-US"/>
        </w:rPr>
        <w:footnoteReference w:id="4"/>
      </w:r>
    </w:p>
    <w:p w14:paraId="631267FD" w14:textId="77777777" w:rsidR="00AE38A9" w:rsidRPr="00FE7BA7" w:rsidRDefault="00AE38A9" w:rsidP="00FE7792">
      <w:pPr>
        <w:ind w:left="708"/>
        <w:jc w:val="both"/>
        <w:rPr>
          <w:rFonts w:ascii="Verdana" w:hAnsi="Verdana"/>
          <w:sz w:val="20"/>
          <w:szCs w:val="20"/>
          <w:lang w:val="en-US"/>
        </w:rPr>
      </w:pPr>
    </w:p>
    <w:p w14:paraId="631267FE" w14:textId="77777777" w:rsidR="00E4033A" w:rsidRPr="00FE7BA7" w:rsidRDefault="00E4033A" w:rsidP="00E4033A">
      <w:pPr>
        <w:ind w:left="708"/>
        <w:jc w:val="both"/>
        <w:rPr>
          <w:rFonts w:ascii="Verdana" w:hAnsi="Verdana"/>
          <w:sz w:val="20"/>
          <w:szCs w:val="20"/>
          <w:lang w:val="en-US"/>
        </w:rPr>
      </w:pPr>
      <w:r w:rsidRPr="00FE7BA7">
        <w:rPr>
          <w:rFonts w:ascii="Verdana" w:hAnsi="Verdana"/>
          <w:i/>
          <w:sz w:val="20"/>
          <w:szCs w:val="20"/>
          <w:lang w:val="en-US"/>
        </w:rPr>
        <w:t xml:space="preserve">b) </w:t>
      </w:r>
      <w:r w:rsidR="00644BD7" w:rsidRPr="00FE7BA7">
        <w:rPr>
          <w:rFonts w:ascii="Verdana" w:hAnsi="Verdana"/>
          <w:i/>
          <w:sz w:val="20"/>
          <w:szCs w:val="20"/>
          <w:lang w:val="en-US"/>
        </w:rPr>
        <w:t>Admissibility Report</w:t>
      </w:r>
      <w:r w:rsidRPr="00FE7BA7">
        <w:rPr>
          <w:rFonts w:ascii="Verdana" w:hAnsi="Verdana"/>
          <w:i/>
          <w:sz w:val="20"/>
          <w:szCs w:val="20"/>
          <w:lang w:val="en-US"/>
        </w:rPr>
        <w:t>.</w:t>
      </w:r>
      <w:r w:rsidR="00644BD7" w:rsidRPr="00FE7BA7">
        <w:rPr>
          <w:rFonts w:ascii="Verdana" w:hAnsi="Verdana"/>
          <w:sz w:val="20"/>
          <w:szCs w:val="20"/>
          <w:lang w:val="en-US"/>
        </w:rPr>
        <w:t xml:space="preserve"> On October 15,</w:t>
      </w:r>
      <w:r w:rsidRPr="00FE7BA7">
        <w:rPr>
          <w:rFonts w:ascii="Verdana" w:hAnsi="Verdana"/>
          <w:sz w:val="20"/>
          <w:szCs w:val="20"/>
          <w:lang w:val="en-US"/>
        </w:rPr>
        <w:t xml:space="preserve"> 2007</w:t>
      </w:r>
      <w:r w:rsidR="00644BD7" w:rsidRPr="00FE7BA7">
        <w:rPr>
          <w:rFonts w:ascii="Verdana" w:hAnsi="Verdana"/>
          <w:sz w:val="20"/>
          <w:szCs w:val="20"/>
          <w:lang w:val="en-US"/>
        </w:rPr>
        <w:t>,</w:t>
      </w:r>
      <w:r w:rsidRPr="00FE7BA7">
        <w:rPr>
          <w:rFonts w:ascii="Verdana" w:hAnsi="Verdana"/>
          <w:sz w:val="20"/>
          <w:szCs w:val="20"/>
          <w:lang w:val="en-US"/>
        </w:rPr>
        <w:t xml:space="preserve"> </w:t>
      </w:r>
      <w:r w:rsidR="002B5CCD" w:rsidRPr="00FE7BA7">
        <w:rPr>
          <w:rFonts w:ascii="Verdana" w:hAnsi="Verdana"/>
          <w:sz w:val="20"/>
          <w:szCs w:val="20"/>
          <w:lang w:val="en-US"/>
        </w:rPr>
        <w:t>the Commission</w:t>
      </w:r>
      <w:r w:rsidRPr="00FE7BA7">
        <w:rPr>
          <w:rFonts w:ascii="Verdana" w:hAnsi="Verdana"/>
          <w:sz w:val="20"/>
          <w:szCs w:val="20"/>
          <w:lang w:val="en-US"/>
        </w:rPr>
        <w:t xml:space="preserve"> </w:t>
      </w:r>
      <w:r w:rsidR="00644BD7" w:rsidRPr="00FE7BA7">
        <w:rPr>
          <w:rFonts w:ascii="Verdana" w:hAnsi="Verdana"/>
          <w:sz w:val="20"/>
          <w:szCs w:val="20"/>
          <w:lang w:val="en-US"/>
        </w:rPr>
        <w:t>issued</w:t>
      </w:r>
      <w:r w:rsidRPr="00FE7BA7">
        <w:rPr>
          <w:rFonts w:ascii="Verdana" w:hAnsi="Verdana"/>
          <w:sz w:val="20"/>
          <w:szCs w:val="20"/>
          <w:lang w:val="en-US"/>
        </w:rPr>
        <w:t xml:space="preserve"> </w:t>
      </w:r>
      <w:r w:rsidR="00644BD7" w:rsidRPr="00FE7BA7">
        <w:rPr>
          <w:rFonts w:ascii="Verdana" w:hAnsi="Verdana"/>
          <w:sz w:val="20"/>
          <w:szCs w:val="20"/>
          <w:lang w:val="en-US"/>
        </w:rPr>
        <w:t>Admissibility Report</w:t>
      </w:r>
      <w:r w:rsidRPr="00FE7BA7">
        <w:rPr>
          <w:rFonts w:ascii="Verdana" w:hAnsi="Verdana"/>
          <w:sz w:val="20"/>
          <w:szCs w:val="20"/>
          <w:lang w:val="en-US"/>
        </w:rPr>
        <w:t xml:space="preserve"> No. 76/07</w:t>
      </w:r>
      <w:r w:rsidR="005A68AE" w:rsidRPr="00FE7BA7">
        <w:rPr>
          <w:rFonts w:ascii="Verdana" w:hAnsi="Verdana"/>
          <w:sz w:val="20"/>
          <w:szCs w:val="20"/>
          <w:lang w:val="en-US"/>
        </w:rPr>
        <w:t xml:space="preserve"> (</w:t>
      </w:r>
      <w:r w:rsidR="002B5CCD" w:rsidRPr="00FE7BA7">
        <w:rPr>
          <w:rFonts w:ascii="Verdana" w:hAnsi="Verdana"/>
          <w:sz w:val="20"/>
          <w:szCs w:val="20"/>
          <w:lang w:val="en-US"/>
        </w:rPr>
        <w:t>hereinafter</w:t>
      </w:r>
      <w:r w:rsidR="005A68AE" w:rsidRPr="00FE7BA7">
        <w:rPr>
          <w:rFonts w:ascii="Verdana" w:hAnsi="Verdana"/>
          <w:sz w:val="20"/>
          <w:szCs w:val="20"/>
          <w:lang w:val="en-US"/>
        </w:rPr>
        <w:t xml:space="preserve"> “</w:t>
      </w:r>
      <w:r w:rsidR="003703B4">
        <w:rPr>
          <w:rFonts w:ascii="Verdana" w:hAnsi="Verdana"/>
          <w:sz w:val="20"/>
          <w:szCs w:val="20"/>
          <w:lang w:val="en-US"/>
        </w:rPr>
        <w:t xml:space="preserve">the </w:t>
      </w:r>
      <w:r w:rsidR="00644BD7" w:rsidRPr="00FE7BA7">
        <w:rPr>
          <w:rFonts w:ascii="Verdana" w:hAnsi="Verdana"/>
          <w:sz w:val="20"/>
          <w:szCs w:val="20"/>
          <w:lang w:val="en-US"/>
        </w:rPr>
        <w:t>Admissibility Report</w:t>
      </w:r>
      <w:r w:rsidR="005A68AE" w:rsidRPr="00FE7BA7">
        <w:rPr>
          <w:rFonts w:ascii="Verdana" w:hAnsi="Verdana"/>
          <w:sz w:val="20"/>
          <w:szCs w:val="20"/>
          <w:lang w:val="en-US"/>
        </w:rPr>
        <w:t>” o</w:t>
      </w:r>
      <w:r w:rsidR="00644BD7" w:rsidRPr="00FE7BA7">
        <w:rPr>
          <w:rFonts w:ascii="Verdana" w:hAnsi="Verdana"/>
          <w:sz w:val="20"/>
          <w:szCs w:val="20"/>
          <w:lang w:val="en-US"/>
        </w:rPr>
        <w:t>r</w:t>
      </w:r>
      <w:r w:rsidR="005A68AE" w:rsidRPr="00FE7BA7">
        <w:rPr>
          <w:rFonts w:ascii="Verdana" w:hAnsi="Verdana"/>
          <w:sz w:val="20"/>
          <w:szCs w:val="20"/>
          <w:lang w:val="en-US"/>
        </w:rPr>
        <w:t xml:space="preserve"> “</w:t>
      </w:r>
      <w:r w:rsidR="00644BD7" w:rsidRPr="00FE7BA7">
        <w:rPr>
          <w:rFonts w:ascii="Verdana" w:hAnsi="Verdana"/>
          <w:sz w:val="20"/>
          <w:szCs w:val="20"/>
          <w:lang w:val="en-US"/>
        </w:rPr>
        <w:t>Report</w:t>
      </w:r>
      <w:r w:rsidR="005A68AE" w:rsidRPr="00FE7BA7">
        <w:rPr>
          <w:rFonts w:ascii="Verdana" w:hAnsi="Verdana"/>
          <w:sz w:val="20"/>
          <w:szCs w:val="20"/>
          <w:lang w:val="en-US"/>
        </w:rPr>
        <w:t xml:space="preserve"> </w:t>
      </w:r>
      <w:r w:rsidR="00644BD7" w:rsidRPr="00FE7BA7">
        <w:rPr>
          <w:rFonts w:ascii="Verdana" w:hAnsi="Verdana"/>
          <w:sz w:val="20"/>
          <w:szCs w:val="20"/>
          <w:lang w:val="en-US"/>
        </w:rPr>
        <w:t xml:space="preserve">No. </w:t>
      </w:r>
      <w:r w:rsidR="005A68AE" w:rsidRPr="00FE7BA7">
        <w:rPr>
          <w:rFonts w:ascii="Verdana" w:hAnsi="Verdana"/>
          <w:sz w:val="20"/>
          <w:szCs w:val="20"/>
          <w:lang w:val="en-US"/>
        </w:rPr>
        <w:t>76/07”)</w:t>
      </w:r>
      <w:r w:rsidRPr="00FE7BA7">
        <w:rPr>
          <w:rFonts w:ascii="Verdana" w:hAnsi="Verdana"/>
          <w:sz w:val="20"/>
          <w:szCs w:val="20"/>
          <w:lang w:val="en-US"/>
        </w:rPr>
        <w:t xml:space="preserve">, </w:t>
      </w:r>
      <w:r w:rsidR="00644BD7" w:rsidRPr="00FE7BA7">
        <w:rPr>
          <w:rFonts w:ascii="Verdana" w:hAnsi="Verdana"/>
          <w:sz w:val="20"/>
          <w:szCs w:val="20"/>
          <w:lang w:val="en-US"/>
        </w:rPr>
        <w:t xml:space="preserve">in which it concluded that it was competent to examine the petition and decided to admit it based on </w:t>
      </w:r>
      <w:r w:rsidR="00644BD7" w:rsidRPr="00FE7BA7">
        <w:rPr>
          <w:rFonts w:ascii="Verdana" w:hAnsi="Verdana"/>
          <w:sz w:val="20"/>
          <w:szCs w:val="20"/>
          <w:lang w:val="en-US"/>
        </w:rPr>
        <w:lastRenderedPageBreak/>
        <w:t xml:space="preserve">the presumed violation of </w:t>
      </w:r>
      <w:r w:rsidR="002B5CCD" w:rsidRPr="00FE7BA7">
        <w:rPr>
          <w:rFonts w:ascii="Verdana" w:hAnsi="Verdana"/>
          <w:sz w:val="20"/>
          <w:szCs w:val="20"/>
          <w:lang w:val="en-US"/>
        </w:rPr>
        <w:t>Articles</w:t>
      </w:r>
      <w:r w:rsidRPr="00FE7BA7">
        <w:rPr>
          <w:rFonts w:ascii="Verdana" w:hAnsi="Verdana"/>
          <w:sz w:val="20"/>
          <w:szCs w:val="20"/>
          <w:lang w:val="en-US"/>
        </w:rPr>
        <w:t xml:space="preserve"> 3, 21</w:t>
      </w:r>
      <w:r w:rsidR="002B5CCD" w:rsidRPr="00FE7BA7">
        <w:rPr>
          <w:rFonts w:ascii="Verdana" w:hAnsi="Verdana"/>
          <w:sz w:val="20"/>
          <w:szCs w:val="20"/>
          <w:lang w:val="en-US"/>
        </w:rPr>
        <w:t xml:space="preserve"> and </w:t>
      </w:r>
      <w:r w:rsidRPr="00FE7BA7">
        <w:rPr>
          <w:rFonts w:ascii="Verdana" w:hAnsi="Verdana"/>
          <w:sz w:val="20"/>
          <w:szCs w:val="20"/>
          <w:lang w:val="en-US"/>
        </w:rPr>
        <w:t>25</w:t>
      </w:r>
      <w:r w:rsidR="002B5CCD" w:rsidRPr="00FE7BA7">
        <w:rPr>
          <w:rFonts w:ascii="Verdana" w:hAnsi="Verdana"/>
          <w:sz w:val="20"/>
          <w:szCs w:val="20"/>
          <w:lang w:val="en-US"/>
        </w:rPr>
        <w:t xml:space="preserve"> of the Convention</w:t>
      </w:r>
      <w:r w:rsidRPr="00FE7BA7">
        <w:rPr>
          <w:rFonts w:ascii="Verdana" w:hAnsi="Verdana"/>
          <w:sz w:val="20"/>
          <w:szCs w:val="20"/>
          <w:lang w:val="en-US"/>
        </w:rPr>
        <w:t xml:space="preserve">, </w:t>
      </w:r>
      <w:r w:rsidR="00644BD7" w:rsidRPr="00FE7BA7">
        <w:rPr>
          <w:rFonts w:ascii="Verdana" w:hAnsi="Verdana"/>
          <w:sz w:val="20"/>
          <w:szCs w:val="20"/>
          <w:lang w:val="en-US"/>
        </w:rPr>
        <w:t>in relation</w:t>
      </w:r>
      <w:r w:rsidRPr="00FE7BA7">
        <w:rPr>
          <w:rFonts w:ascii="Verdana" w:hAnsi="Verdana"/>
          <w:sz w:val="20"/>
          <w:szCs w:val="20"/>
          <w:lang w:val="en-US"/>
        </w:rPr>
        <w:t xml:space="preserve"> </w:t>
      </w:r>
      <w:r w:rsidR="00644BD7" w:rsidRPr="00FE7BA7">
        <w:rPr>
          <w:rFonts w:ascii="Verdana" w:hAnsi="Verdana"/>
          <w:sz w:val="20"/>
          <w:szCs w:val="20"/>
          <w:lang w:val="en-US"/>
        </w:rPr>
        <w:t xml:space="preserve">to </w:t>
      </w:r>
      <w:r w:rsidR="002B5CCD" w:rsidRPr="00FE7BA7">
        <w:rPr>
          <w:rFonts w:ascii="Verdana" w:hAnsi="Verdana"/>
          <w:sz w:val="20"/>
          <w:szCs w:val="20"/>
          <w:lang w:val="en-US"/>
        </w:rPr>
        <w:t>Articles</w:t>
      </w:r>
      <w:r w:rsidRPr="00FE7BA7">
        <w:rPr>
          <w:rFonts w:ascii="Verdana" w:hAnsi="Verdana"/>
          <w:sz w:val="20"/>
          <w:szCs w:val="20"/>
          <w:lang w:val="en-US"/>
        </w:rPr>
        <w:t xml:space="preserve"> 1</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2 </w:t>
      </w:r>
      <w:r w:rsidR="00644BD7" w:rsidRPr="00FE7BA7">
        <w:rPr>
          <w:rFonts w:ascii="Verdana" w:hAnsi="Verdana"/>
          <w:sz w:val="20"/>
          <w:szCs w:val="20"/>
          <w:lang w:val="en-US"/>
        </w:rPr>
        <w:t>of this instrument.</w:t>
      </w:r>
    </w:p>
    <w:p w14:paraId="631267FF" w14:textId="77777777" w:rsidR="00E4033A" w:rsidRPr="00FE7BA7" w:rsidRDefault="00E4033A" w:rsidP="00E4033A">
      <w:pPr>
        <w:jc w:val="both"/>
        <w:rPr>
          <w:rFonts w:ascii="Verdana" w:hAnsi="Verdana"/>
          <w:sz w:val="20"/>
          <w:szCs w:val="20"/>
          <w:lang w:val="en-US"/>
        </w:rPr>
      </w:pPr>
    </w:p>
    <w:p w14:paraId="63126800" w14:textId="77777777" w:rsidR="00E4033A" w:rsidRPr="00FE7BA7" w:rsidRDefault="00E4033A" w:rsidP="00E4033A">
      <w:pPr>
        <w:ind w:left="708"/>
        <w:jc w:val="both"/>
        <w:rPr>
          <w:rFonts w:ascii="Verdana" w:hAnsi="Verdana"/>
          <w:b/>
          <w:sz w:val="20"/>
          <w:szCs w:val="20"/>
          <w:lang w:val="en-US"/>
        </w:rPr>
      </w:pPr>
      <w:r w:rsidRPr="00FE7BA7">
        <w:rPr>
          <w:rFonts w:ascii="Verdana" w:hAnsi="Verdana"/>
          <w:i/>
          <w:sz w:val="20"/>
          <w:szCs w:val="20"/>
          <w:lang w:val="en-US"/>
        </w:rPr>
        <w:t xml:space="preserve">c) </w:t>
      </w:r>
      <w:r w:rsidR="00773D70" w:rsidRPr="00FE7BA7">
        <w:rPr>
          <w:rFonts w:ascii="Verdana" w:hAnsi="Verdana"/>
          <w:i/>
          <w:sz w:val="20"/>
          <w:szCs w:val="20"/>
          <w:lang w:val="en-US"/>
        </w:rPr>
        <w:t>Merits Report</w:t>
      </w:r>
      <w:r w:rsidRPr="00FE7BA7">
        <w:rPr>
          <w:rFonts w:ascii="Verdana" w:hAnsi="Verdana"/>
          <w:i/>
          <w:sz w:val="20"/>
          <w:szCs w:val="20"/>
          <w:lang w:val="en-US"/>
        </w:rPr>
        <w:t>.</w:t>
      </w:r>
      <w:r w:rsidRPr="00FE7BA7">
        <w:rPr>
          <w:rFonts w:ascii="Verdana" w:hAnsi="Verdana"/>
          <w:sz w:val="20"/>
          <w:szCs w:val="20"/>
          <w:lang w:val="en-US"/>
        </w:rPr>
        <w:t xml:space="preserve"> </w:t>
      </w:r>
      <w:r w:rsidR="00773D70" w:rsidRPr="00FE7BA7">
        <w:rPr>
          <w:rFonts w:ascii="Verdana" w:hAnsi="Verdana"/>
          <w:sz w:val="20"/>
          <w:szCs w:val="20"/>
          <w:lang w:val="en-US"/>
        </w:rPr>
        <w:t xml:space="preserve">On July 18, </w:t>
      </w:r>
      <w:r w:rsidRPr="00FE7BA7">
        <w:rPr>
          <w:rFonts w:ascii="Verdana" w:hAnsi="Verdana"/>
          <w:sz w:val="20"/>
          <w:szCs w:val="20"/>
          <w:lang w:val="en-US"/>
        </w:rPr>
        <w:t>2013</w:t>
      </w:r>
      <w:r w:rsidR="00773D70" w:rsidRPr="00FE7BA7">
        <w:rPr>
          <w:rFonts w:ascii="Verdana" w:hAnsi="Verdana"/>
          <w:sz w:val="20"/>
          <w:szCs w:val="20"/>
          <w:lang w:val="en-US"/>
        </w:rPr>
        <w:t>,</w:t>
      </w:r>
      <w:r w:rsidRPr="00FE7BA7">
        <w:rPr>
          <w:rFonts w:ascii="Verdana" w:hAnsi="Verdana"/>
          <w:sz w:val="20"/>
          <w:szCs w:val="20"/>
          <w:lang w:val="en-US"/>
        </w:rPr>
        <w:t xml:space="preserve"> </w:t>
      </w:r>
      <w:r w:rsidR="002B5CCD" w:rsidRPr="00FE7BA7">
        <w:rPr>
          <w:rFonts w:ascii="Verdana" w:hAnsi="Verdana"/>
          <w:sz w:val="20"/>
          <w:szCs w:val="20"/>
          <w:lang w:val="en-US"/>
        </w:rPr>
        <w:t>the Commission</w:t>
      </w:r>
      <w:r w:rsidRPr="00FE7BA7">
        <w:rPr>
          <w:rFonts w:ascii="Verdana" w:hAnsi="Verdana"/>
          <w:sz w:val="20"/>
          <w:szCs w:val="20"/>
          <w:lang w:val="en-US"/>
        </w:rPr>
        <w:t xml:space="preserve"> </w:t>
      </w:r>
      <w:r w:rsidR="00773D70" w:rsidRPr="00FE7BA7">
        <w:rPr>
          <w:rFonts w:ascii="Verdana" w:hAnsi="Verdana"/>
          <w:sz w:val="20"/>
          <w:szCs w:val="20"/>
          <w:lang w:val="en-US"/>
        </w:rPr>
        <w:t>a</w:t>
      </w:r>
      <w:r w:rsidR="001A10C7">
        <w:rPr>
          <w:rFonts w:ascii="Verdana" w:hAnsi="Verdana"/>
          <w:sz w:val="20"/>
          <w:szCs w:val="20"/>
          <w:lang w:val="en-US"/>
        </w:rPr>
        <w:t>dopted</w:t>
      </w:r>
      <w:r w:rsidRPr="00FE7BA7">
        <w:rPr>
          <w:rFonts w:ascii="Verdana" w:hAnsi="Verdana"/>
          <w:sz w:val="20"/>
          <w:szCs w:val="20"/>
          <w:lang w:val="en-US"/>
        </w:rPr>
        <w:t xml:space="preserve"> </w:t>
      </w:r>
      <w:r w:rsidR="00773D70" w:rsidRPr="00FE7BA7">
        <w:rPr>
          <w:rFonts w:ascii="Verdana" w:hAnsi="Verdana"/>
          <w:sz w:val="20"/>
          <w:szCs w:val="20"/>
          <w:lang w:val="en-US"/>
        </w:rPr>
        <w:t>Merits Report</w:t>
      </w:r>
      <w:r w:rsidRPr="00FE7BA7">
        <w:rPr>
          <w:rFonts w:ascii="Verdana" w:hAnsi="Verdana"/>
          <w:sz w:val="20"/>
          <w:szCs w:val="20"/>
          <w:lang w:val="en-US"/>
        </w:rPr>
        <w:t xml:space="preserve"> No. 79/13, </w:t>
      </w:r>
      <w:r w:rsidR="00773D70" w:rsidRPr="00FE7BA7">
        <w:rPr>
          <w:rFonts w:ascii="Verdana" w:hAnsi="Verdana"/>
          <w:sz w:val="20"/>
          <w:szCs w:val="20"/>
          <w:lang w:val="en-US"/>
        </w:rPr>
        <w:t>in accordance with Article</w:t>
      </w:r>
      <w:r w:rsidRPr="00FE7BA7">
        <w:rPr>
          <w:rFonts w:ascii="Verdana" w:hAnsi="Verdana"/>
          <w:sz w:val="20"/>
          <w:szCs w:val="20"/>
          <w:lang w:val="en-US"/>
        </w:rPr>
        <w:t xml:space="preserve"> 50</w:t>
      </w:r>
      <w:r w:rsidR="002B5CCD" w:rsidRPr="00FE7BA7">
        <w:rPr>
          <w:rFonts w:ascii="Verdana" w:hAnsi="Verdana"/>
          <w:sz w:val="20"/>
          <w:szCs w:val="20"/>
          <w:lang w:val="en-US"/>
        </w:rPr>
        <w:t xml:space="preserve"> of the American Convention</w:t>
      </w:r>
      <w:r w:rsidRPr="00FE7BA7">
        <w:rPr>
          <w:rFonts w:ascii="Verdana" w:hAnsi="Verdana"/>
          <w:sz w:val="20"/>
          <w:szCs w:val="20"/>
          <w:lang w:val="en-US"/>
        </w:rPr>
        <w:t xml:space="preserve"> (</w:t>
      </w:r>
      <w:r w:rsidR="002B5CCD" w:rsidRPr="00FE7BA7">
        <w:rPr>
          <w:rFonts w:ascii="Verdana" w:hAnsi="Verdana"/>
          <w:sz w:val="20"/>
          <w:szCs w:val="20"/>
          <w:lang w:val="en-US"/>
        </w:rPr>
        <w:t>hereinafter</w:t>
      </w:r>
      <w:r w:rsidRPr="00FE7BA7">
        <w:rPr>
          <w:rFonts w:ascii="Verdana" w:hAnsi="Verdana"/>
          <w:sz w:val="20"/>
          <w:szCs w:val="20"/>
          <w:lang w:val="en-US"/>
        </w:rPr>
        <w:t xml:space="preserve"> “</w:t>
      </w:r>
      <w:r w:rsidR="00773D70" w:rsidRPr="00FE7BA7">
        <w:rPr>
          <w:rFonts w:ascii="Verdana" w:hAnsi="Verdana"/>
          <w:sz w:val="20"/>
          <w:szCs w:val="20"/>
          <w:lang w:val="en-US"/>
        </w:rPr>
        <w:t>the Merits Report</w:t>
      </w:r>
      <w:r w:rsidRPr="00FE7BA7">
        <w:rPr>
          <w:rFonts w:ascii="Verdana" w:hAnsi="Verdana"/>
          <w:sz w:val="20"/>
          <w:szCs w:val="20"/>
          <w:lang w:val="en-US"/>
        </w:rPr>
        <w:t>” o</w:t>
      </w:r>
      <w:r w:rsidR="00773D70" w:rsidRPr="00FE7BA7">
        <w:rPr>
          <w:rFonts w:ascii="Verdana" w:hAnsi="Verdana"/>
          <w:sz w:val="20"/>
          <w:szCs w:val="20"/>
          <w:lang w:val="en-US"/>
        </w:rPr>
        <w:t>r</w:t>
      </w:r>
      <w:r w:rsidRPr="00FE7BA7">
        <w:rPr>
          <w:rFonts w:ascii="Verdana" w:hAnsi="Verdana"/>
          <w:sz w:val="20"/>
          <w:szCs w:val="20"/>
          <w:lang w:val="en-US"/>
        </w:rPr>
        <w:t xml:space="preserve"> “</w:t>
      </w:r>
      <w:r w:rsidR="00773D70" w:rsidRPr="00FE7BA7">
        <w:rPr>
          <w:rFonts w:ascii="Verdana" w:hAnsi="Verdana"/>
          <w:sz w:val="20"/>
          <w:szCs w:val="20"/>
          <w:lang w:val="en-US"/>
        </w:rPr>
        <w:t>Report No.</w:t>
      </w:r>
      <w:r w:rsidRPr="00FE7BA7">
        <w:rPr>
          <w:rFonts w:ascii="Verdana" w:hAnsi="Verdana"/>
          <w:sz w:val="20"/>
          <w:szCs w:val="20"/>
          <w:lang w:val="en-US"/>
        </w:rPr>
        <w:t xml:space="preserve"> 79/13”),</w:t>
      </w:r>
      <w:r w:rsidR="00773D70" w:rsidRPr="00FE7BA7">
        <w:rPr>
          <w:rFonts w:ascii="Verdana" w:hAnsi="Verdana"/>
          <w:sz w:val="20"/>
          <w:szCs w:val="20"/>
          <w:lang w:val="en-US"/>
        </w:rPr>
        <w:t xml:space="preserve"> in which it reached a series of conclusions</w:t>
      </w:r>
      <w:r w:rsidRPr="00FE7BA7">
        <w:rPr>
          <w:rStyle w:val="FootnoteReference"/>
          <w:szCs w:val="20"/>
          <w:lang w:val="en-US"/>
        </w:rPr>
        <w:footnoteReference w:id="5"/>
      </w:r>
      <w:r w:rsidR="002B5CCD" w:rsidRPr="00FE7BA7">
        <w:rPr>
          <w:rFonts w:ascii="Verdana" w:hAnsi="Verdana"/>
          <w:sz w:val="20"/>
          <w:szCs w:val="20"/>
          <w:lang w:val="en-US"/>
        </w:rPr>
        <w:t xml:space="preserve"> and </w:t>
      </w:r>
      <w:r w:rsidR="00773D70" w:rsidRPr="00FE7BA7">
        <w:rPr>
          <w:rFonts w:ascii="Verdana" w:hAnsi="Verdana"/>
          <w:sz w:val="20"/>
          <w:szCs w:val="20"/>
          <w:lang w:val="en-US"/>
        </w:rPr>
        <w:t>made several recommendations to the State; namely:</w:t>
      </w:r>
    </w:p>
    <w:p w14:paraId="63126801" w14:textId="77777777" w:rsidR="00856C1B" w:rsidRPr="00FE7BA7" w:rsidRDefault="00856C1B" w:rsidP="00E4033A">
      <w:pPr>
        <w:ind w:left="708"/>
        <w:jc w:val="both"/>
        <w:rPr>
          <w:rFonts w:ascii="Verdana" w:hAnsi="Verdana"/>
          <w:sz w:val="20"/>
          <w:szCs w:val="20"/>
          <w:lang w:val="en-US"/>
        </w:rPr>
      </w:pPr>
    </w:p>
    <w:p w14:paraId="63126802" w14:textId="77777777" w:rsidR="00E4033A" w:rsidRPr="00FE7BA7" w:rsidRDefault="00773D70" w:rsidP="00E4033A">
      <w:pPr>
        <w:ind w:left="708"/>
        <w:jc w:val="both"/>
        <w:rPr>
          <w:rFonts w:ascii="Verdana" w:hAnsi="Verdana"/>
          <w:sz w:val="20"/>
          <w:szCs w:val="20"/>
          <w:lang w:val="en-US"/>
        </w:rPr>
      </w:pPr>
      <w:r w:rsidRPr="00FE7BA7">
        <w:rPr>
          <w:rFonts w:ascii="Verdana" w:hAnsi="Verdana"/>
          <w:sz w:val="20"/>
          <w:szCs w:val="20"/>
          <w:lang w:val="en-US"/>
        </w:rPr>
        <w:t>Conclusion</w:t>
      </w:r>
      <w:r w:rsidR="00E4033A" w:rsidRPr="00FE7BA7">
        <w:rPr>
          <w:rFonts w:ascii="Verdana" w:hAnsi="Verdana"/>
          <w:sz w:val="20"/>
          <w:szCs w:val="20"/>
          <w:lang w:val="en-US"/>
        </w:rPr>
        <w:t>s</w:t>
      </w:r>
      <w:r w:rsidR="00DA0E84" w:rsidRPr="00FE7BA7">
        <w:rPr>
          <w:rFonts w:ascii="Verdana" w:hAnsi="Verdana"/>
          <w:sz w:val="20"/>
          <w:szCs w:val="20"/>
          <w:lang w:val="en-US"/>
        </w:rPr>
        <w:t>:</w:t>
      </w:r>
    </w:p>
    <w:p w14:paraId="63126803" w14:textId="77777777" w:rsidR="00E4033A" w:rsidRPr="00FE7BA7" w:rsidRDefault="00E4033A" w:rsidP="00E4033A">
      <w:pPr>
        <w:jc w:val="both"/>
        <w:rPr>
          <w:rFonts w:ascii="Verdana" w:hAnsi="Verdana"/>
          <w:sz w:val="20"/>
          <w:szCs w:val="20"/>
          <w:lang w:val="en-US"/>
        </w:rPr>
      </w:pPr>
    </w:p>
    <w:p w14:paraId="63126804" w14:textId="77777777" w:rsidR="00E4033A" w:rsidRPr="00CE66DA" w:rsidRDefault="00E4033A" w:rsidP="007F6AA0">
      <w:pPr>
        <w:tabs>
          <w:tab w:val="left" w:pos="1980"/>
        </w:tabs>
        <w:ind w:left="1416"/>
        <w:jc w:val="both"/>
        <w:rPr>
          <w:rFonts w:ascii="Verdana" w:hAnsi="Verdana"/>
          <w:sz w:val="18"/>
          <w:szCs w:val="18"/>
          <w:lang w:val="en-US"/>
        </w:rPr>
      </w:pPr>
      <w:r w:rsidRPr="00E52A02">
        <w:rPr>
          <w:rFonts w:ascii="Verdana" w:hAnsi="Verdana"/>
          <w:sz w:val="18"/>
          <w:szCs w:val="18"/>
          <w:lang w:val="en-US"/>
        </w:rPr>
        <w:t xml:space="preserve">i) </w:t>
      </w:r>
      <w:r w:rsidR="007F6AA0" w:rsidRPr="00E52A02">
        <w:rPr>
          <w:rFonts w:ascii="Verdana" w:hAnsi="Verdana"/>
          <w:sz w:val="18"/>
          <w:szCs w:val="18"/>
          <w:lang w:val="en-US"/>
        </w:rPr>
        <w:tab/>
      </w:r>
      <w:r w:rsidR="007F6AA0" w:rsidRPr="008A4D0B">
        <w:rPr>
          <w:rFonts w:ascii="Verdana" w:hAnsi="Verdana"/>
          <w:sz w:val="18"/>
          <w:szCs w:val="18"/>
          <w:lang w:val="en-US"/>
        </w:rPr>
        <w:t>T</w:t>
      </w:r>
      <w:r w:rsidR="002B5CCD" w:rsidRPr="00006FE1">
        <w:rPr>
          <w:rFonts w:ascii="Verdana" w:hAnsi="Verdana"/>
          <w:sz w:val="18"/>
          <w:szCs w:val="18"/>
          <w:lang w:val="en-US"/>
        </w:rPr>
        <w:t>he State</w:t>
      </w:r>
      <w:r w:rsidRPr="00006FE1">
        <w:rPr>
          <w:rFonts w:ascii="Verdana" w:hAnsi="Verdana"/>
          <w:sz w:val="18"/>
          <w:szCs w:val="18"/>
          <w:lang w:val="en-US"/>
        </w:rPr>
        <w:t xml:space="preserve"> </w:t>
      </w:r>
      <w:r w:rsidR="00773D70" w:rsidRPr="00746CDF">
        <w:rPr>
          <w:rFonts w:ascii="Verdana" w:hAnsi="Verdana"/>
          <w:sz w:val="18"/>
          <w:szCs w:val="18"/>
          <w:lang w:val="en-US"/>
        </w:rPr>
        <w:t>violated th</w:t>
      </w:r>
      <w:r w:rsidR="00773D70" w:rsidRPr="005F33DA">
        <w:rPr>
          <w:rFonts w:ascii="Verdana" w:hAnsi="Verdana"/>
          <w:sz w:val="18"/>
          <w:szCs w:val="18"/>
          <w:lang w:val="en-US"/>
        </w:rPr>
        <w:t xml:space="preserve">e right to </w:t>
      </w:r>
      <w:r w:rsidR="00773D70" w:rsidRPr="005F33DA">
        <w:rPr>
          <w:rFonts w:ascii="Verdana" w:hAnsi="Verdana" w:cs="Tahoma"/>
          <w:bCs/>
          <w:color w:val="000000"/>
          <w:sz w:val="18"/>
          <w:szCs w:val="18"/>
          <w:lang w:val="en-US"/>
        </w:rPr>
        <w:t>recognition of juridical personality</w:t>
      </w:r>
      <w:r w:rsidRPr="0026783F">
        <w:rPr>
          <w:rFonts w:ascii="Verdana" w:hAnsi="Verdana" w:cs="Tahoma"/>
          <w:b/>
          <w:bCs/>
          <w:color w:val="000000"/>
          <w:sz w:val="18"/>
          <w:szCs w:val="18"/>
          <w:lang w:val="en-US"/>
        </w:rPr>
        <w:t xml:space="preserve"> </w:t>
      </w:r>
      <w:r w:rsidR="00773D70" w:rsidRPr="0026783F">
        <w:rPr>
          <w:rFonts w:ascii="Verdana" w:hAnsi="Verdana"/>
          <w:sz w:val="18"/>
          <w:szCs w:val="18"/>
          <w:lang w:val="en-US"/>
        </w:rPr>
        <w:t>established in</w:t>
      </w:r>
      <w:r w:rsidRPr="0026783F">
        <w:rPr>
          <w:rFonts w:ascii="Verdana" w:hAnsi="Verdana"/>
          <w:sz w:val="18"/>
          <w:szCs w:val="18"/>
          <w:lang w:val="en-US"/>
        </w:rPr>
        <w:t xml:space="preserve"> </w:t>
      </w:r>
      <w:r w:rsidR="002B5CCD" w:rsidRPr="001030B1">
        <w:rPr>
          <w:rFonts w:ascii="Verdana" w:hAnsi="Verdana"/>
          <w:sz w:val="18"/>
          <w:szCs w:val="18"/>
          <w:lang w:val="en-US"/>
        </w:rPr>
        <w:t>Article</w:t>
      </w:r>
      <w:r w:rsidRPr="001030B1">
        <w:rPr>
          <w:rFonts w:ascii="Verdana" w:hAnsi="Verdana"/>
          <w:sz w:val="18"/>
          <w:szCs w:val="18"/>
          <w:lang w:val="en-US"/>
        </w:rPr>
        <w:t xml:space="preserve"> 3</w:t>
      </w:r>
      <w:r w:rsidR="002B5CCD" w:rsidRPr="001030B1">
        <w:rPr>
          <w:rFonts w:ascii="Verdana" w:hAnsi="Verdana"/>
          <w:sz w:val="18"/>
          <w:szCs w:val="18"/>
          <w:lang w:val="en-US"/>
        </w:rPr>
        <w:t xml:space="preserve"> of the Convention</w:t>
      </w:r>
      <w:r w:rsidRPr="009A5879">
        <w:rPr>
          <w:rFonts w:ascii="Verdana" w:hAnsi="Verdana"/>
          <w:sz w:val="18"/>
          <w:szCs w:val="18"/>
          <w:lang w:val="en-US"/>
        </w:rPr>
        <w:t xml:space="preserve">, </w:t>
      </w:r>
      <w:r w:rsidR="00773D70" w:rsidRPr="00102471">
        <w:rPr>
          <w:rFonts w:ascii="Verdana" w:hAnsi="Verdana"/>
          <w:sz w:val="18"/>
          <w:szCs w:val="18"/>
          <w:lang w:val="en-US"/>
        </w:rPr>
        <w:t>in relation to Articles 1(1)</w:t>
      </w:r>
      <w:r w:rsidR="002B5CCD" w:rsidRPr="00631438">
        <w:rPr>
          <w:rFonts w:ascii="Verdana" w:hAnsi="Verdana"/>
          <w:sz w:val="18"/>
          <w:szCs w:val="18"/>
          <w:lang w:val="en-US"/>
        </w:rPr>
        <w:t xml:space="preserve"> and </w:t>
      </w:r>
      <w:r w:rsidR="00773D70" w:rsidRPr="008B561D">
        <w:rPr>
          <w:rFonts w:ascii="Verdana" w:hAnsi="Verdana"/>
          <w:sz w:val="18"/>
          <w:szCs w:val="18"/>
          <w:lang w:val="en-US"/>
        </w:rPr>
        <w:t>2 of this instrument</w:t>
      </w:r>
      <w:r w:rsidRPr="00BE4B86">
        <w:rPr>
          <w:rFonts w:ascii="Verdana" w:hAnsi="Verdana"/>
          <w:sz w:val="18"/>
          <w:szCs w:val="18"/>
          <w:lang w:val="en-US"/>
        </w:rPr>
        <w:t xml:space="preserve">, </w:t>
      </w:r>
      <w:r w:rsidR="00773D70" w:rsidRPr="00BE4B86">
        <w:rPr>
          <w:rFonts w:ascii="Verdana" w:hAnsi="Verdana"/>
          <w:sz w:val="18"/>
          <w:szCs w:val="18"/>
          <w:lang w:val="en-US"/>
        </w:rPr>
        <w:t>to the detriment of the</w:t>
      </w:r>
      <w:r w:rsidR="00635ACD" w:rsidRPr="00F8718A">
        <w:rPr>
          <w:rFonts w:ascii="Verdana" w:hAnsi="Verdana"/>
          <w:sz w:val="18"/>
          <w:szCs w:val="18"/>
          <w:lang w:val="en-US"/>
        </w:rPr>
        <w:t xml:space="preserve"> </w:t>
      </w:r>
      <w:r w:rsidR="004C7D14" w:rsidRPr="00F8718A">
        <w:rPr>
          <w:rFonts w:ascii="Verdana" w:hAnsi="Verdana"/>
          <w:sz w:val="18"/>
          <w:szCs w:val="18"/>
          <w:lang w:val="en-US"/>
        </w:rPr>
        <w:t>Kaliña and Lokono peoples</w:t>
      </w:r>
      <w:r w:rsidRPr="00CE66DA">
        <w:rPr>
          <w:rFonts w:ascii="Verdana" w:hAnsi="Verdana"/>
          <w:sz w:val="18"/>
          <w:szCs w:val="18"/>
          <w:lang w:val="en-US"/>
        </w:rPr>
        <w:t>;</w:t>
      </w:r>
    </w:p>
    <w:p w14:paraId="63126805" w14:textId="77777777" w:rsidR="00E4033A" w:rsidRPr="008C0D6F" w:rsidRDefault="00E4033A" w:rsidP="007F6AA0">
      <w:pPr>
        <w:tabs>
          <w:tab w:val="left" w:pos="1980"/>
        </w:tabs>
        <w:ind w:left="1416"/>
        <w:jc w:val="both"/>
        <w:rPr>
          <w:rFonts w:ascii="Verdana" w:hAnsi="Verdana"/>
          <w:sz w:val="18"/>
          <w:szCs w:val="18"/>
          <w:lang w:val="en-US"/>
        </w:rPr>
      </w:pPr>
    </w:p>
    <w:p w14:paraId="63126806" w14:textId="77777777" w:rsidR="00E4033A" w:rsidRPr="00E52A02" w:rsidRDefault="00E4033A" w:rsidP="007F6AA0">
      <w:pPr>
        <w:tabs>
          <w:tab w:val="left" w:pos="1980"/>
        </w:tabs>
        <w:ind w:left="1416"/>
        <w:jc w:val="both"/>
        <w:rPr>
          <w:rFonts w:ascii="Verdana" w:hAnsi="Verdana"/>
          <w:sz w:val="18"/>
          <w:szCs w:val="18"/>
          <w:lang w:val="en-US"/>
        </w:rPr>
      </w:pPr>
      <w:r w:rsidRPr="00A71354">
        <w:rPr>
          <w:rFonts w:ascii="Verdana" w:hAnsi="Verdana"/>
          <w:sz w:val="18"/>
          <w:szCs w:val="18"/>
          <w:lang w:val="en-US"/>
        </w:rPr>
        <w:t xml:space="preserve">ii) </w:t>
      </w:r>
      <w:r w:rsidR="007F6AA0" w:rsidRPr="00E52A02">
        <w:rPr>
          <w:rFonts w:ascii="Verdana" w:hAnsi="Verdana"/>
          <w:sz w:val="18"/>
          <w:szCs w:val="18"/>
          <w:lang w:val="en-US"/>
        </w:rPr>
        <w:tab/>
        <w:t>T</w:t>
      </w:r>
      <w:r w:rsidR="002B5CCD" w:rsidRPr="00E52A02">
        <w:rPr>
          <w:rFonts w:ascii="Verdana" w:hAnsi="Verdana"/>
          <w:sz w:val="18"/>
          <w:szCs w:val="18"/>
          <w:lang w:val="en-US"/>
        </w:rPr>
        <w:t>he State</w:t>
      </w:r>
      <w:r w:rsidRPr="00E52A02">
        <w:rPr>
          <w:rFonts w:ascii="Verdana" w:hAnsi="Verdana"/>
          <w:sz w:val="18"/>
          <w:szCs w:val="18"/>
          <w:lang w:val="en-US"/>
        </w:rPr>
        <w:t xml:space="preserve"> </w:t>
      </w:r>
      <w:r w:rsidR="00773D70" w:rsidRPr="00E52A02">
        <w:rPr>
          <w:rFonts w:ascii="Verdana" w:hAnsi="Verdana"/>
          <w:sz w:val="18"/>
          <w:szCs w:val="18"/>
          <w:lang w:val="en-US"/>
        </w:rPr>
        <w:t>violated the right to</w:t>
      </w:r>
      <w:r w:rsidRPr="00E52A02">
        <w:rPr>
          <w:rFonts w:ascii="Verdana" w:hAnsi="Verdana"/>
          <w:sz w:val="18"/>
          <w:szCs w:val="18"/>
          <w:lang w:val="en-US"/>
        </w:rPr>
        <w:t xml:space="preserve"> </w:t>
      </w:r>
      <w:r w:rsidR="00B257B6" w:rsidRPr="00E52A02">
        <w:rPr>
          <w:rFonts w:ascii="Verdana" w:hAnsi="Verdana"/>
          <w:sz w:val="18"/>
          <w:szCs w:val="18"/>
          <w:lang w:val="en-US"/>
        </w:rPr>
        <w:t>pro</w:t>
      </w:r>
      <w:r w:rsidR="00773D70" w:rsidRPr="00E52A02">
        <w:rPr>
          <w:rFonts w:ascii="Verdana" w:hAnsi="Verdana"/>
          <w:sz w:val="18"/>
          <w:szCs w:val="18"/>
          <w:lang w:val="en-US"/>
        </w:rPr>
        <w:t>perty</w:t>
      </w:r>
      <w:r w:rsidRPr="00E52A02">
        <w:rPr>
          <w:rFonts w:ascii="Verdana" w:hAnsi="Verdana"/>
          <w:sz w:val="18"/>
          <w:szCs w:val="18"/>
          <w:lang w:val="en-US"/>
        </w:rPr>
        <w:t xml:space="preserve">, </w:t>
      </w:r>
      <w:r w:rsidR="00773D70" w:rsidRPr="00E52A02">
        <w:rPr>
          <w:rFonts w:ascii="Verdana" w:hAnsi="Verdana"/>
          <w:sz w:val="18"/>
          <w:szCs w:val="18"/>
          <w:lang w:val="en-US"/>
        </w:rPr>
        <w:t>recognized in</w:t>
      </w:r>
      <w:r w:rsidRPr="00E52A02">
        <w:rPr>
          <w:rFonts w:ascii="Verdana" w:hAnsi="Verdana"/>
          <w:sz w:val="18"/>
          <w:szCs w:val="18"/>
          <w:lang w:val="en-US"/>
        </w:rPr>
        <w:t xml:space="preserve"> </w:t>
      </w:r>
      <w:r w:rsidR="002B5CCD" w:rsidRPr="00E52A02">
        <w:rPr>
          <w:rFonts w:ascii="Verdana" w:hAnsi="Verdana"/>
          <w:sz w:val="18"/>
          <w:szCs w:val="18"/>
          <w:lang w:val="en-US"/>
        </w:rPr>
        <w:t>Article</w:t>
      </w:r>
      <w:r w:rsidRPr="00E52A02">
        <w:rPr>
          <w:rFonts w:ascii="Verdana" w:hAnsi="Verdana"/>
          <w:sz w:val="18"/>
          <w:szCs w:val="18"/>
          <w:lang w:val="en-US"/>
        </w:rPr>
        <w:t xml:space="preserve"> 21</w:t>
      </w:r>
      <w:r w:rsidR="002B5CCD" w:rsidRPr="00E52A02">
        <w:rPr>
          <w:rFonts w:ascii="Verdana" w:hAnsi="Verdana"/>
          <w:sz w:val="18"/>
          <w:szCs w:val="18"/>
          <w:lang w:val="en-US"/>
        </w:rPr>
        <w:t xml:space="preserve"> of the Convention</w:t>
      </w:r>
      <w:r w:rsidRPr="00E52A02">
        <w:rPr>
          <w:rFonts w:ascii="Verdana" w:hAnsi="Verdana"/>
          <w:sz w:val="18"/>
          <w:szCs w:val="18"/>
          <w:lang w:val="en-US"/>
        </w:rPr>
        <w:t xml:space="preserve">, </w:t>
      </w:r>
      <w:r w:rsidR="00773D70" w:rsidRPr="00E52A02">
        <w:rPr>
          <w:rFonts w:ascii="Verdana" w:hAnsi="Verdana"/>
          <w:sz w:val="18"/>
          <w:szCs w:val="18"/>
          <w:lang w:val="en-US"/>
        </w:rPr>
        <w:t>in relation to Articles 1(1)</w:t>
      </w:r>
      <w:r w:rsidR="002B5CCD" w:rsidRPr="00E52A02">
        <w:rPr>
          <w:rFonts w:ascii="Verdana" w:hAnsi="Verdana"/>
          <w:sz w:val="18"/>
          <w:szCs w:val="18"/>
          <w:lang w:val="en-US"/>
        </w:rPr>
        <w:t xml:space="preserve"> and </w:t>
      </w:r>
      <w:r w:rsidR="00773D70" w:rsidRPr="00E52A02">
        <w:rPr>
          <w:rFonts w:ascii="Verdana" w:hAnsi="Verdana"/>
          <w:sz w:val="18"/>
          <w:szCs w:val="18"/>
          <w:lang w:val="en-US"/>
        </w:rPr>
        <w:t>2 of this instrument</w:t>
      </w:r>
      <w:r w:rsidRPr="00E52A02">
        <w:rPr>
          <w:rFonts w:ascii="Verdana" w:hAnsi="Verdana"/>
          <w:sz w:val="18"/>
          <w:szCs w:val="18"/>
          <w:lang w:val="en-US"/>
        </w:rPr>
        <w:t xml:space="preserve">, </w:t>
      </w:r>
      <w:r w:rsidR="00773D70" w:rsidRPr="00E52A02">
        <w:rPr>
          <w:rFonts w:ascii="Verdana" w:hAnsi="Verdana"/>
          <w:sz w:val="18"/>
          <w:szCs w:val="18"/>
          <w:lang w:val="en-US"/>
        </w:rPr>
        <w:t>to the detriment of the</w:t>
      </w:r>
      <w:r w:rsidR="00635ACD" w:rsidRPr="00E52A02">
        <w:rPr>
          <w:rFonts w:ascii="Verdana" w:hAnsi="Verdana"/>
          <w:sz w:val="18"/>
          <w:szCs w:val="18"/>
          <w:lang w:val="en-US"/>
        </w:rPr>
        <w:t xml:space="preserve"> </w:t>
      </w:r>
      <w:r w:rsidR="004C7D14" w:rsidRPr="00E52A02">
        <w:rPr>
          <w:rFonts w:ascii="Verdana" w:hAnsi="Verdana"/>
          <w:sz w:val="18"/>
          <w:szCs w:val="18"/>
          <w:lang w:val="en-US"/>
        </w:rPr>
        <w:t>Kaliña and Lokono peoples</w:t>
      </w:r>
      <w:r w:rsidR="00773D70" w:rsidRPr="00E52A02">
        <w:rPr>
          <w:rFonts w:ascii="Verdana" w:hAnsi="Verdana"/>
          <w:sz w:val="18"/>
          <w:szCs w:val="18"/>
          <w:lang w:val="en-US"/>
        </w:rPr>
        <w:t xml:space="preserve"> by failing to adopt effective measures to recognize their right to the collective ownership of the lands, territories and natural resources</w:t>
      </w:r>
      <w:r w:rsidRPr="00E52A02">
        <w:rPr>
          <w:rFonts w:ascii="Verdana" w:hAnsi="Verdana"/>
          <w:sz w:val="18"/>
          <w:szCs w:val="18"/>
          <w:lang w:val="en-US"/>
        </w:rPr>
        <w:t xml:space="preserve"> </w:t>
      </w:r>
      <w:r w:rsidR="00773D70" w:rsidRPr="00E52A02">
        <w:rPr>
          <w:rFonts w:ascii="Verdana" w:hAnsi="Verdana"/>
          <w:sz w:val="18"/>
          <w:szCs w:val="18"/>
          <w:lang w:val="en-US"/>
        </w:rPr>
        <w:t>that, traditionally and ancestrally, they have occupied and used;</w:t>
      </w:r>
    </w:p>
    <w:p w14:paraId="63126807" w14:textId="77777777" w:rsidR="00E4033A" w:rsidRPr="00E52A02" w:rsidRDefault="00E4033A" w:rsidP="007F6AA0">
      <w:pPr>
        <w:tabs>
          <w:tab w:val="left" w:pos="1980"/>
        </w:tabs>
        <w:ind w:left="1416"/>
        <w:jc w:val="both"/>
        <w:rPr>
          <w:rFonts w:ascii="Verdana" w:hAnsi="Verdana"/>
          <w:sz w:val="18"/>
          <w:szCs w:val="18"/>
          <w:lang w:val="en-US"/>
        </w:rPr>
      </w:pPr>
    </w:p>
    <w:p w14:paraId="63126808" w14:textId="1F3C4267" w:rsidR="00B257B6" w:rsidRPr="00E52A02" w:rsidRDefault="00E4033A" w:rsidP="007F6AA0">
      <w:pPr>
        <w:tabs>
          <w:tab w:val="left" w:pos="1980"/>
        </w:tabs>
        <w:ind w:left="1416"/>
        <w:jc w:val="both"/>
        <w:rPr>
          <w:rFonts w:ascii="Verdana" w:hAnsi="Verdana"/>
          <w:sz w:val="18"/>
          <w:szCs w:val="18"/>
          <w:lang w:val="en-US"/>
        </w:rPr>
      </w:pPr>
      <w:r w:rsidRPr="00E52A02">
        <w:rPr>
          <w:rFonts w:ascii="Verdana" w:hAnsi="Verdana"/>
          <w:sz w:val="18"/>
          <w:szCs w:val="18"/>
          <w:lang w:val="en-US"/>
        </w:rPr>
        <w:t xml:space="preserve">iii) </w:t>
      </w:r>
      <w:r w:rsidR="007F6AA0" w:rsidRPr="00E52A02">
        <w:rPr>
          <w:rFonts w:ascii="Verdana" w:hAnsi="Verdana"/>
          <w:sz w:val="18"/>
          <w:szCs w:val="18"/>
          <w:lang w:val="en-US"/>
        </w:rPr>
        <w:tab/>
        <w:t>T</w:t>
      </w:r>
      <w:r w:rsidR="002B5CCD" w:rsidRPr="00E52A02">
        <w:rPr>
          <w:rFonts w:ascii="Verdana" w:hAnsi="Verdana"/>
          <w:sz w:val="18"/>
          <w:szCs w:val="18"/>
          <w:lang w:val="en-US"/>
        </w:rPr>
        <w:t>he State</w:t>
      </w:r>
      <w:r w:rsidRPr="00E52A02">
        <w:rPr>
          <w:rFonts w:ascii="Verdana" w:hAnsi="Verdana"/>
          <w:sz w:val="18"/>
          <w:szCs w:val="18"/>
          <w:lang w:val="en-US"/>
        </w:rPr>
        <w:t xml:space="preserve"> </w:t>
      </w:r>
      <w:r w:rsidR="00773D70" w:rsidRPr="00E52A02">
        <w:rPr>
          <w:rFonts w:ascii="Verdana" w:hAnsi="Verdana"/>
          <w:sz w:val="18"/>
          <w:szCs w:val="18"/>
          <w:lang w:val="en-US"/>
        </w:rPr>
        <w:t>violated the right to</w:t>
      </w:r>
      <w:r w:rsidRPr="00E52A02">
        <w:rPr>
          <w:rFonts w:ascii="Verdana" w:hAnsi="Verdana"/>
          <w:sz w:val="18"/>
          <w:szCs w:val="18"/>
          <w:lang w:val="en-US"/>
        </w:rPr>
        <w:t xml:space="preserve"> </w:t>
      </w:r>
      <w:r w:rsidR="00B257B6" w:rsidRPr="00E52A02">
        <w:rPr>
          <w:rFonts w:ascii="Verdana" w:hAnsi="Verdana"/>
          <w:sz w:val="18"/>
          <w:szCs w:val="18"/>
          <w:lang w:val="en-US"/>
        </w:rPr>
        <w:t>property</w:t>
      </w:r>
      <w:r w:rsidRPr="00E52A02">
        <w:rPr>
          <w:rFonts w:ascii="Verdana" w:hAnsi="Verdana"/>
          <w:sz w:val="18"/>
          <w:szCs w:val="18"/>
          <w:lang w:val="en-US"/>
        </w:rPr>
        <w:t xml:space="preserve"> </w:t>
      </w:r>
      <w:r w:rsidR="00773D70" w:rsidRPr="00E52A02">
        <w:rPr>
          <w:rFonts w:ascii="Verdana" w:hAnsi="Verdana"/>
          <w:sz w:val="18"/>
          <w:szCs w:val="18"/>
          <w:lang w:val="en-US"/>
        </w:rPr>
        <w:t>recognized in</w:t>
      </w:r>
      <w:r w:rsidRPr="00E52A02">
        <w:rPr>
          <w:rFonts w:ascii="Verdana" w:hAnsi="Verdana"/>
          <w:sz w:val="18"/>
          <w:szCs w:val="18"/>
          <w:lang w:val="en-US"/>
        </w:rPr>
        <w:t xml:space="preserve"> </w:t>
      </w:r>
      <w:r w:rsidR="002B5CCD" w:rsidRPr="00E52A02">
        <w:rPr>
          <w:rFonts w:ascii="Verdana" w:hAnsi="Verdana"/>
          <w:sz w:val="18"/>
          <w:szCs w:val="18"/>
          <w:lang w:val="en-US"/>
        </w:rPr>
        <w:t>Article</w:t>
      </w:r>
      <w:r w:rsidRPr="00E52A02">
        <w:rPr>
          <w:rFonts w:ascii="Verdana" w:hAnsi="Verdana"/>
          <w:sz w:val="18"/>
          <w:szCs w:val="18"/>
          <w:lang w:val="en-US"/>
        </w:rPr>
        <w:t xml:space="preserve"> 21</w:t>
      </w:r>
      <w:r w:rsidR="002B5CCD" w:rsidRPr="00E52A02">
        <w:rPr>
          <w:rFonts w:ascii="Verdana" w:hAnsi="Verdana"/>
          <w:sz w:val="18"/>
          <w:szCs w:val="18"/>
          <w:lang w:val="en-US"/>
        </w:rPr>
        <w:t xml:space="preserve"> of the Convention</w:t>
      </w:r>
      <w:r w:rsidRPr="00E52A02">
        <w:rPr>
          <w:rFonts w:ascii="Verdana" w:hAnsi="Verdana"/>
          <w:sz w:val="18"/>
          <w:szCs w:val="18"/>
          <w:lang w:val="en-US"/>
        </w:rPr>
        <w:t xml:space="preserve">, </w:t>
      </w:r>
      <w:r w:rsidR="00773D70" w:rsidRPr="00E52A02">
        <w:rPr>
          <w:rFonts w:ascii="Verdana" w:hAnsi="Verdana"/>
          <w:sz w:val="18"/>
          <w:szCs w:val="18"/>
          <w:lang w:val="en-US"/>
        </w:rPr>
        <w:t>in relation to Articles 1(1)</w:t>
      </w:r>
      <w:r w:rsidR="002B5CCD" w:rsidRPr="00E52A02">
        <w:rPr>
          <w:rFonts w:ascii="Verdana" w:hAnsi="Verdana"/>
          <w:sz w:val="18"/>
          <w:szCs w:val="18"/>
          <w:lang w:val="en-US"/>
        </w:rPr>
        <w:t xml:space="preserve"> and </w:t>
      </w:r>
      <w:r w:rsidR="00773D70" w:rsidRPr="00E52A02">
        <w:rPr>
          <w:rFonts w:ascii="Verdana" w:hAnsi="Verdana"/>
          <w:sz w:val="18"/>
          <w:szCs w:val="18"/>
          <w:lang w:val="en-US"/>
        </w:rPr>
        <w:t>2 of this instrument</w:t>
      </w:r>
      <w:r w:rsidRPr="00E52A02">
        <w:rPr>
          <w:rFonts w:ascii="Verdana" w:hAnsi="Verdana"/>
          <w:sz w:val="18"/>
          <w:szCs w:val="18"/>
          <w:lang w:val="en-US"/>
        </w:rPr>
        <w:t xml:space="preserve">, </w:t>
      </w:r>
      <w:r w:rsidR="00773D70" w:rsidRPr="00E52A02">
        <w:rPr>
          <w:rFonts w:ascii="Verdana" w:hAnsi="Verdana"/>
          <w:sz w:val="18"/>
          <w:szCs w:val="18"/>
          <w:lang w:val="en-US"/>
        </w:rPr>
        <w:t>to the detriment of the</w:t>
      </w:r>
      <w:r w:rsidR="00635ACD" w:rsidRPr="00E52A02">
        <w:rPr>
          <w:rFonts w:ascii="Verdana" w:hAnsi="Verdana"/>
          <w:sz w:val="18"/>
          <w:szCs w:val="18"/>
          <w:lang w:val="en-US"/>
        </w:rPr>
        <w:t xml:space="preserve"> </w:t>
      </w:r>
      <w:r w:rsidR="004C7D14" w:rsidRPr="00E52A02">
        <w:rPr>
          <w:rFonts w:ascii="Verdana" w:hAnsi="Verdana"/>
          <w:sz w:val="18"/>
          <w:szCs w:val="18"/>
          <w:lang w:val="en-US"/>
        </w:rPr>
        <w:t>Kaliña and Lokono peoples</w:t>
      </w:r>
      <w:r w:rsidRPr="00E52A02">
        <w:rPr>
          <w:rFonts w:ascii="Verdana" w:hAnsi="Verdana"/>
          <w:sz w:val="18"/>
          <w:szCs w:val="18"/>
          <w:lang w:val="en-US"/>
        </w:rPr>
        <w:t xml:space="preserve">, </w:t>
      </w:r>
      <w:r w:rsidR="00B257B6" w:rsidRPr="00E52A02">
        <w:rPr>
          <w:rFonts w:ascii="Verdana" w:hAnsi="Verdana"/>
          <w:sz w:val="18"/>
          <w:szCs w:val="18"/>
          <w:lang w:val="en-US"/>
        </w:rPr>
        <w:t>by:</w:t>
      </w:r>
      <w:r w:rsidRPr="00E52A02">
        <w:rPr>
          <w:rFonts w:ascii="Verdana" w:hAnsi="Verdana"/>
          <w:sz w:val="18"/>
          <w:szCs w:val="18"/>
          <w:lang w:val="en-US"/>
        </w:rPr>
        <w:t xml:space="preserve"> (i) </w:t>
      </w:r>
      <w:r w:rsidR="00B257B6" w:rsidRPr="00E52A02">
        <w:rPr>
          <w:rFonts w:ascii="Verdana" w:hAnsi="Verdana"/>
          <w:sz w:val="18"/>
          <w:szCs w:val="18"/>
          <w:lang w:val="en-US"/>
        </w:rPr>
        <w:t xml:space="preserve">granting </w:t>
      </w:r>
      <w:r w:rsidR="007F6AA0" w:rsidRPr="00E52A02">
        <w:rPr>
          <w:rFonts w:ascii="Verdana" w:hAnsi="Verdana"/>
          <w:sz w:val="18"/>
          <w:szCs w:val="18"/>
          <w:lang w:val="en-US"/>
        </w:rPr>
        <w:t>property</w:t>
      </w:r>
      <w:r w:rsidR="00B257B6" w:rsidRPr="00E52A02">
        <w:rPr>
          <w:rFonts w:ascii="Verdana" w:hAnsi="Verdana"/>
          <w:sz w:val="18"/>
          <w:szCs w:val="18"/>
          <w:lang w:val="en-US"/>
        </w:rPr>
        <w:t xml:space="preserve"> titles to non-indigenous persons within the territory </w:t>
      </w:r>
      <w:r w:rsidR="00635ACD" w:rsidRPr="00E52A02">
        <w:rPr>
          <w:rFonts w:ascii="Verdana" w:hAnsi="Verdana"/>
          <w:sz w:val="18"/>
          <w:szCs w:val="18"/>
          <w:lang w:val="en-US"/>
        </w:rPr>
        <w:t xml:space="preserve">of the </w:t>
      </w:r>
      <w:r w:rsidR="004C7D14" w:rsidRPr="00E52A02">
        <w:rPr>
          <w:rFonts w:ascii="Verdana" w:hAnsi="Verdana"/>
          <w:sz w:val="18"/>
          <w:szCs w:val="18"/>
          <w:lang w:val="en-US"/>
        </w:rPr>
        <w:t>Kaliña and Lokono peoples</w:t>
      </w:r>
      <w:r w:rsidRPr="00E52A02">
        <w:rPr>
          <w:rFonts w:ascii="Verdana" w:hAnsi="Verdana"/>
          <w:sz w:val="18"/>
          <w:szCs w:val="18"/>
          <w:lang w:val="en-US"/>
        </w:rPr>
        <w:t xml:space="preserve">; (ii) </w:t>
      </w:r>
      <w:r w:rsidR="00B257B6" w:rsidRPr="00E52A02">
        <w:rPr>
          <w:rFonts w:ascii="Verdana" w:hAnsi="Verdana"/>
          <w:sz w:val="18"/>
          <w:szCs w:val="18"/>
          <w:lang w:val="en-US"/>
        </w:rPr>
        <w:t xml:space="preserve">establishing and maintaining the </w:t>
      </w:r>
      <w:r w:rsidRPr="00E52A02">
        <w:rPr>
          <w:rFonts w:ascii="Verdana" w:hAnsi="Verdana"/>
          <w:sz w:val="18"/>
          <w:szCs w:val="18"/>
          <w:lang w:val="en-US"/>
        </w:rPr>
        <w:t>Wia Wia, Galibi</w:t>
      </w:r>
      <w:r w:rsidR="002B5CCD" w:rsidRPr="00E52A02">
        <w:rPr>
          <w:rFonts w:ascii="Verdana" w:hAnsi="Verdana"/>
          <w:sz w:val="18"/>
          <w:szCs w:val="18"/>
          <w:lang w:val="en-US"/>
        </w:rPr>
        <w:t xml:space="preserve"> and </w:t>
      </w:r>
      <w:r w:rsidRPr="00E52A02">
        <w:rPr>
          <w:rFonts w:ascii="Verdana" w:hAnsi="Verdana"/>
          <w:sz w:val="18"/>
          <w:szCs w:val="18"/>
          <w:lang w:val="en-US"/>
        </w:rPr>
        <w:t>Wane Kreek</w:t>
      </w:r>
      <w:r w:rsidR="00B257B6" w:rsidRPr="00E52A02">
        <w:rPr>
          <w:rFonts w:ascii="Verdana" w:hAnsi="Verdana"/>
          <w:sz w:val="18"/>
          <w:szCs w:val="18"/>
          <w:lang w:val="en-US"/>
        </w:rPr>
        <w:t xml:space="preserve"> Nature Reserves</w:t>
      </w:r>
      <w:r w:rsidRPr="00E52A02">
        <w:rPr>
          <w:rFonts w:ascii="Verdana" w:hAnsi="Verdana"/>
          <w:sz w:val="18"/>
          <w:szCs w:val="18"/>
          <w:lang w:val="en-US"/>
        </w:rPr>
        <w:t>,</w:t>
      </w:r>
      <w:r w:rsidR="002B5CCD" w:rsidRPr="00E52A02">
        <w:rPr>
          <w:rFonts w:ascii="Verdana" w:hAnsi="Verdana"/>
          <w:sz w:val="18"/>
          <w:szCs w:val="18"/>
          <w:lang w:val="en-US"/>
        </w:rPr>
        <w:t xml:space="preserve"> and </w:t>
      </w:r>
      <w:r w:rsidRPr="00E52A02">
        <w:rPr>
          <w:rFonts w:ascii="Verdana" w:hAnsi="Verdana"/>
          <w:sz w:val="18"/>
          <w:szCs w:val="18"/>
          <w:lang w:val="en-US"/>
        </w:rPr>
        <w:t xml:space="preserve">(iii) </w:t>
      </w:r>
      <w:r w:rsidR="00B257B6" w:rsidRPr="00E52A02">
        <w:rPr>
          <w:rFonts w:ascii="Verdana" w:hAnsi="Verdana"/>
          <w:sz w:val="18"/>
          <w:szCs w:val="18"/>
          <w:lang w:val="en-US"/>
        </w:rPr>
        <w:t xml:space="preserve">granting a mining concession and authorizing mining </w:t>
      </w:r>
      <w:r w:rsidR="001A10C7" w:rsidRPr="00E52A02">
        <w:rPr>
          <w:rFonts w:ascii="Verdana" w:hAnsi="Verdana"/>
          <w:sz w:val="18"/>
          <w:szCs w:val="18"/>
          <w:lang w:val="en-US"/>
        </w:rPr>
        <w:t>operations</w:t>
      </w:r>
      <w:r w:rsidR="00B257B6" w:rsidRPr="00E52A02">
        <w:rPr>
          <w:rFonts w:ascii="Verdana" w:hAnsi="Verdana"/>
          <w:sz w:val="18"/>
          <w:szCs w:val="18"/>
          <w:lang w:val="en-US"/>
        </w:rPr>
        <w:t xml:space="preserve"> within their traditional territory, all without conducting a consultation process aimed at obtaining their free, prior and informed consent in keeping with </w:t>
      </w:r>
      <w:r w:rsidR="00F46731" w:rsidRPr="00E52A02">
        <w:rPr>
          <w:rFonts w:ascii="Verdana" w:hAnsi="Verdana"/>
          <w:sz w:val="18"/>
          <w:szCs w:val="18"/>
          <w:lang w:val="en-US"/>
        </w:rPr>
        <w:t>Inter-</w:t>
      </w:r>
      <w:r w:rsidR="00B257B6" w:rsidRPr="00E52A02">
        <w:rPr>
          <w:rFonts w:ascii="Verdana" w:hAnsi="Verdana"/>
          <w:sz w:val="18"/>
          <w:szCs w:val="18"/>
          <w:lang w:val="en-US"/>
        </w:rPr>
        <w:t>American standards, and</w:t>
      </w:r>
    </w:p>
    <w:p w14:paraId="63126809" w14:textId="77777777" w:rsidR="00E4033A" w:rsidRPr="00E52A02" w:rsidRDefault="00E4033A" w:rsidP="007F6AA0">
      <w:pPr>
        <w:tabs>
          <w:tab w:val="left" w:pos="1980"/>
        </w:tabs>
        <w:jc w:val="both"/>
        <w:rPr>
          <w:rFonts w:ascii="Verdana" w:hAnsi="Verdana"/>
          <w:sz w:val="18"/>
          <w:szCs w:val="18"/>
          <w:lang w:val="en-US"/>
        </w:rPr>
      </w:pPr>
    </w:p>
    <w:p w14:paraId="6312680A" w14:textId="77777777" w:rsidR="00E4033A" w:rsidRPr="00E52A02" w:rsidRDefault="00E4033A" w:rsidP="007F6AA0">
      <w:pPr>
        <w:tabs>
          <w:tab w:val="left" w:pos="1980"/>
        </w:tabs>
        <w:ind w:left="1416"/>
        <w:jc w:val="both"/>
        <w:rPr>
          <w:rFonts w:ascii="Verdana" w:hAnsi="Verdana"/>
          <w:sz w:val="18"/>
          <w:szCs w:val="18"/>
          <w:lang w:val="en-US"/>
        </w:rPr>
      </w:pPr>
      <w:proofErr w:type="gramStart"/>
      <w:r w:rsidRPr="00E52A02">
        <w:rPr>
          <w:rFonts w:ascii="Verdana" w:hAnsi="Verdana"/>
          <w:sz w:val="18"/>
          <w:szCs w:val="18"/>
          <w:lang w:val="en-US"/>
        </w:rPr>
        <w:t xml:space="preserve">iv) </w:t>
      </w:r>
      <w:r w:rsidR="007F6AA0" w:rsidRPr="00E52A02">
        <w:rPr>
          <w:rFonts w:ascii="Verdana" w:hAnsi="Verdana"/>
          <w:sz w:val="18"/>
          <w:szCs w:val="18"/>
          <w:lang w:val="en-US"/>
        </w:rPr>
        <w:tab/>
        <w:t>T</w:t>
      </w:r>
      <w:r w:rsidR="002B5CCD" w:rsidRPr="00E52A02">
        <w:rPr>
          <w:rFonts w:ascii="Verdana" w:hAnsi="Verdana"/>
          <w:sz w:val="18"/>
          <w:szCs w:val="18"/>
          <w:lang w:val="en-US"/>
        </w:rPr>
        <w:t>he</w:t>
      </w:r>
      <w:proofErr w:type="gramEnd"/>
      <w:r w:rsidR="002B5CCD" w:rsidRPr="00E52A02">
        <w:rPr>
          <w:rFonts w:ascii="Verdana" w:hAnsi="Verdana"/>
          <w:sz w:val="18"/>
          <w:szCs w:val="18"/>
          <w:lang w:val="en-US"/>
        </w:rPr>
        <w:t xml:space="preserve"> State</w:t>
      </w:r>
      <w:r w:rsidRPr="00E52A02">
        <w:rPr>
          <w:rFonts w:ascii="Verdana" w:hAnsi="Verdana"/>
          <w:sz w:val="18"/>
          <w:szCs w:val="18"/>
          <w:lang w:val="en-US"/>
        </w:rPr>
        <w:t xml:space="preserve"> </w:t>
      </w:r>
      <w:r w:rsidR="00773D70" w:rsidRPr="00E52A02">
        <w:rPr>
          <w:rFonts w:ascii="Verdana" w:hAnsi="Verdana"/>
          <w:sz w:val="18"/>
          <w:szCs w:val="18"/>
          <w:lang w:val="en-US"/>
        </w:rPr>
        <w:t>violated the right to</w:t>
      </w:r>
      <w:r w:rsidRPr="00E52A02">
        <w:rPr>
          <w:rFonts w:ascii="Verdana" w:hAnsi="Verdana"/>
          <w:sz w:val="18"/>
          <w:szCs w:val="18"/>
          <w:lang w:val="en-US"/>
        </w:rPr>
        <w:t xml:space="preserve"> </w:t>
      </w:r>
      <w:r w:rsidR="00B257B6" w:rsidRPr="00E52A02">
        <w:rPr>
          <w:rFonts w:ascii="Verdana" w:hAnsi="Verdana"/>
          <w:sz w:val="18"/>
          <w:szCs w:val="18"/>
          <w:lang w:val="en-US"/>
        </w:rPr>
        <w:t>judicial protection</w:t>
      </w:r>
      <w:r w:rsidRPr="00E52A02">
        <w:rPr>
          <w:rFonts w:ascii="Verdana" w:hAnsi="Verdana"/>
          <w:sz w:val="18"/>
          <w:szCs w:val="18"/>
          <w:lang w:val="en-US"/>
        </w:rPr>
        <w:t xml:space="preserve"> </w:t>
      </w:r>
      <w:r w:rsidR="00773D70" w:rsidRPr="00E52A02">
        <w:rPr>
          <w:rFonts w:ascii="Verdana" w:hAnsi="Verdana"/>
          <w:sz w:val="18"/>
          <w:szCs w:val="18"/>
          <w:lang w:val="en-US"/>
        </w:rPr>
        <w:t>recognized in</w:t>
      </w:r>
      <w:r w:rsidRPr="00E52A02">
        <w:rPr>
          <w:rFonts w:ascii="Verdana" w:hAnsi="Verdana"/>
          <w:sz w:val="18"/>
          <w:szCs w:val="18"/>
          <w:lang w:val="en-US"/>
        </w:rPr>
        <w:t xml:space="preserve"> </w:t>
      </w:r>
      <w:r w:rsidR="002B5CCD" w:rsidRPr="00E52A02">
        <w:rPr>
          <w:rFonts w:ascii="Verdana" w:hAnsi="Verdana"/>
          <w:sz w:val="18"/>
          <w:szCs w:val="18"/>
          <w:lang w:val="en-US"/>
        </w:rPr>
        <w:t>Article</w:t>
      </w:r>
      <w:r w:rsidRPr="00E52A02">
        <w:rPr>
          <w:rFonts w:ascii="Verdana" w:hAnsi="Verdana"/>
          <w:sz w:val="18"/>
          <w:szCs w:val="18"/>
          <w:lang w:val="en-US"/>
        </w:rPr>
        <w:t xml:space="preserve"> 25</w:t>
      </w:r>
      <w:r w:rsidR="007F6AA0" w:rsidRPr="00E52A02">
        <w:rPr>
          <w:rFonts w:ascii="Verdana" w:hAnsi="Verdana"/>
          <w:sz w:val="18"/>
          <w:szCs w:val="18"/>
          <w:lang w:val="en-US"/>
        </w:rPr>
        <w:t xml:space="preserve"> of the Convent</w:t>
      </w:r>
      <w:r w:rsidR="002B5CCD" w:rsidRPr="00E52A02">
        <w:rPr>
          <w:rFonts w:ascii="Verdana" w:hAnsi="Verdana"/>
          <w:sz w:val="18"/>
          <w:szCs w:val="18"/>
          <w:lang w:val="en-US"/>
        </w:rPr>
        <w:t>ion</w:t>
      </w:r>
      <w:r w:rsidRPr="00E52A02">
        <w:rPr>
          <w:rFonts w:ascii="Verdana" w:hAnsi="Verdana"/>
          <w:sz w:val="18"/>
          <w:szCs w:val="18"/>
          <w:lang w:val="en-US"/>
        </w:rPr>
        <w:t xml:space="preserve">, </w:t>
      </w:r>
      <w:r w:rsidR="00773D70" w:rsidRPr="00E52A02">
        <w:rPr>
          <w:rFonts w:ascii="Verdana" w:hAnsi="Verdana"/>
          <w:sz w:val="18"/>
          <w:szCs w:val="18"/>
          <w:lang w:val="en-US"/>
        </w:rPr>
        <w:t>in relation to Articles 1(1)</w:t>
      </w:r>
      <w:r w:rsidR="002B5CCD" w:rsidRPr="00E52A02">
        <w:rPr>
          <w:rFonts w:ascii="Verdana" w:hAnsi="Verdana"/>
          <w:sz w:val="18"/>
          <w:szCs w:val="18"/>
          <w:lang w:val="en-US"/>
        </w:rPr>
        <w:t xml:space="preserve"> and </w:t>
      </w:r>
      <w:r w:rsidR="00773D70" w:rsidRPr="00E52A02">
        <w:rPr>
          <w:rFonts w:ascii="Verdana" w:hAnsi="Verdana"/>
          <w:sz w:val="18"/>
          <w:szCs w:val="18"/>
          <w:lang w:val="en-US"/>
        </w:rPr>
        <w:t>2 of this instrument</w:t>
      </w:r>
      <w:r w:rsidRPr="00E52A02">
        <w:rPr>
          <w:rFonts w:ascii="Verdana" w:hAnsi="Verdana"/>
          <w:sz w:val="18"/>
          <w:szCs w:val="18"/>
          <w:lang w:val="en-US"/>
        </w:rPr>
        <w:t xml:space="preserve">, </w:t>
      </w:r>
      <w:r w:rsidR="00773D70" w:rsidRPr="00E52A02">
        <w:rPr>
          <w:rFonts w:ascii="Verdana" w:hAnsi="Verdana"/>
          <w:sz w:val="18"/>
          <w:szCs w:val="18"/>
          <w:lang w:val="en-US"/>
        </w:rPr>
        <w:t>to the detriment of the</w:t>
      </w:r>
      <w:r w:rsidR="00635ACD" w:rsidRPr="00E52A02">
        <w:rPr>
          <w:rFonts w:ascii="Verdana" w:hAnsi="Verdana"/>
          <w:sz w:val="18"/>
          <w:szCs w:val="18"/>
          <w:lang w:val="en-US"/>
        </w:rPr>
        <w:t xml:space="preserve"> </w:t>
      </w:r>
      <w:r w:rsidR="004C7D14" w:rsidRPr="00E52A02">
        <w:rPr>
          <w:rFonts w:ascii="Verdana" w:hAnsi="Verdana"/>
          <w:sz w:val="18"/>
          <w:szCs w:val="18"/>
          <w:lang w:val="en-US"/>
        </w:rPr>
        <w:t>Kaliña and Lokono peoples</w:t>
      </w:r>
      <w:r w:rsidRPr="00E52A02">
        <w:rPr>
          <w:rFonts w:ascii="Verdana" w:hAnsi="Verdana"/>
          <w:b/>
          <w:sz w:val="18"/>
          <w:szCs w:val="18"/>
          <w:lang w:val="en-US"/>
        </w:rPr>
        <w:t xml:space="preserve"> </w:t>
      </w:r>
      <w:r w:rsidR="00B257B6" w:rsidRPr="00E52A02">
        <w:rPr>
          <w:rFonts w:ascii="Verdana" w:hAnsi="Verdana"/>
          <w:sz w:val="18"/>
          <w:szCs w:val="18"/>
          <w:lang w:val="en-US"/>
        </w:rPr>
        <w:t>by failing to provide them with effective access to justice to protect their fundamental rights.</w:t>
      </w:r>
    </w:p>
    <w:p w14:paraId="6312680B" w14:textId="77777777" w:rsidR="00E4033A" w:rsidRPr="00FE7BA7" w:rsidRDefault="00E4033A" w:rsidP="00E4033A">
      <w:pPr>
        <w:jc w:val="both"/>
        <w:rPr>
          <w:rFonts w:ascii="Verdana" w:hAnsi="Verdana"/>
          <w:sz w:val="20"/>
          <w:szCs w:val="20"/>
          <w:lang w:val="en-US"/>
        </w:rPr>
      </w:pPr>
      <w:r w:rsidRPr="00FE7BA7">
        <w:rPr>
          <w:rFonts w:ascii="Verdana" w:hAnsi="Verdana"/>
          <w:sz w:val="20"/>
          <w:szCs w:val="20"/>
          <w:lang w:val="en-US"/>
        </w:rPr>
        <w:tab/>
      </w:r>
    </w:p>
    <w:p w14:paraId="6312680C" w14:textId="77777777" w:rsidR="00E4033A" w:rsidRPr="00FE7BA7" w:rsidRDefault="00E4033A" w:rsidP="00E4033A">
      <w:pPr>
        <w:jc w:val="both"/>
        <w:rPr>
          <w:rFonts w:ascii="Verdana" w:hAnsi="Verdana"/>
          <w:sz w:val="20"/>
          <w:szCs w:val="20"/>
          <w:lang w:val="en-US"/>
        </w:rPr>
      </w:pPr>
      <w:r w:rsidRPr="00FE7BA7">
        <w:rPr>
          <w:rFonts w:ascii="Verdana" w:hAnsi="Verdana"/>
          <w:sz w:val="20"/>
          <w:szCs w:val="20"/>
          <w:lang w:val="en-US"/>
        </w:rPr>
        <w:tab/>
        <w:t>Recom</w:t>
      </w:r>
      <w:r w:rsidR="00B257B6" w:rsidRPr="00FE7BA7">
        <w:rPr>
          <w:rFonts w:ascii="Verdana" w:hAnsi="Verdana"/>
          <w:sz w:val="20"/>
          <w:szCs w:val="20"/>
          <w:lang w:val="en-US"/>
        </w:rPr>
        <w:t>mendation</w:t>
      </w:r>
      <w:r w:rsidRPr="00FE7BA7">
        <w:rPr>
          <w:rFonts w:ascii="Verdana" w:hAnsi="Verdana"/>
          <w:sz w:val="20"/>
          <w:szCs w:val="20"/>
          <w:lang w:val="en-US"/>
        </w:rPr>
        <w:t>s</w:t>
      </w:r>
      <w:r w:rsidR="00DA0E84" w:rsidRPr="00FE7BA7">
        <w:rPr>
          <w:rFonts w:ascii="Verdana" w:hAnsi="Verdana"/>
          <w:sz w:val="20"/>
          <w:szCs w:val="20"/>
          <w:lang w:val="en-US"/>
        </w:rPr>
        <w:t>:</w:t>
      </w:r>
    </w:p>
    <w:p w14:paraId="6312680D" w14:textId="77777777" w:rsidR="00E4033A" w:rsidRPr="00FE7BA7" w:rsidRDefault="00E4033A" w:rsidP="00E4033A">
      <w:pPr>
        <w:jc w:val="both"/>
        <w:rPr>
          <w:rFonts w:ascii="Verdana" w:hAnsi="Verdana"/>
          <w:sz w:val="20"/>
          <w:szCs w:val="20"/>
          <w:lang w:val="en-US"/>
        </w:rPr>
      </w:pPr>
    </w:p>
    <w:p w14:paraId="6312680E" w14:textId="77777777" w:rsidR="00E4033A" w:rsidRPr="00FE7BA7" w:rsidRDefault="00543215" w:rsidP="0026783F">
      <w:pPr>
        <w:pStyle w:val="ListParagraph"/>
        <w:numPr>
          <w:ilvl w:val="0"/>
          <w:numId w:val="3"/>
        </w:numPr>
        <w:ind w:left="1440" w:firstLine="0"/>
        <w:jc w:val="both"/>
        <w:rPr>
          <w:rFonts w:ascii="Verdana" w:hAnsi="Verdana"/>
          <w:sz w:val="18"/>
          <w:szCs w:val="18"/>
          <w:lang w:val="en-US"/>
        </w:rPr>
      </w:pPr>
      <w:r w:rsidRPr="00FE7BA7">
        <w:rPr>
          <w:rFonts w:ascii="Verdana" w:hAnsi="Verdana"/>
          <w:sz w:val="18"/>
          <w:szCs w:val="18"/>
          <w:lang w:val="en-US"/>
        </w:rPr>
        <w:t xml:space="preserve">Take the necessary legislative and regulatory measures to recognize the </w:t>
      </w:r>
      <w:r w:rsidR="004C7D14" w:rsidRPr="00FE7BA7">
        <w:rPr>
          <w:rFonts w:ascii="Verdana" w:hAnsi="Verdana"/>
          <w:sz w:val="18"/>
          <w:szCs w:val="18"/>
          <w:lang w:val="en-US"/>
        </w:rPr>
        <w:t>Kaliña and Lokono peoples</w:t>
      </w:r>
      <w:r w:rsidRPr="00FE7BA7">
        <w:rPr>
          <w:rFonts w:ascii="Verdana" w:hAnsi="Verdana"/>
          <w:sz w:val="18"/>
          <w:szCs w:val="18"/>
          <w:lang w:val="en-US"/>
        </w:rPr>
        <w:t xml:space="preserve"> as legal persons under Surinamese law</w:t>
      </w:r>
      <w:r w:rsidR="00E4033A" w:rsidRPr="00FE7BA7">
        <w:rPr>
          <w:rFonts w:ascii="Verdana" w:hAnsi="Verdana"/>
          <w:sz w:val="18"/>
          <w:szCs w:val="18"/>
          <w:lang w:val="en-US"/>
        </w:rPr>
        <w:t>;</w:t>
      </w:r>
    </w:p>
    <w:p w14:paraId="6312680F" w14:textId="77777777" w:rsidR="00E4033A" w:rsidRPr="00FE7BA7" w:rsidRDefault="00E4033A" w:rsidP="0026783F">
      <w:pPr>
        <w:pStyle w:val="ListParagraph"/>
        <w:ind w:left="1440"/>
        <w:jc w:val="both"/>
        <w:rPr>
          <w:rFonts w:ascii="Verdana" w:hAnsi="Verdana"/>
          <w:sz w:val="18"/>
          <w:szCs w:val="18"/>
          <w:lang w:val="en-US"/>
        </w:rPr>
      </w:pPr>
    </w:p>
    <w:p w14:paraId="63126810" w14:textId="78BF185A" w:rsidR="00543215" w:rsidRPr="00FE7BA7" w:rsidRDefault="00543215" w:rsidP="0026783F">
      <w:pPr>
        <w:pStyle w:val="ListParagraph"/>
        <w:numPr>
          <w:ilvl w:val="0"/>
          <w:numId w:val="3"/>
        </w:numPr>
        <w:ind w:left="1440" w:firstLine="0"/>
        <w:jc w:val="both"/>
        <w:rPr>
          <w:rFonts w:ascii="Verdana" w:hAnsi="Verdana"/>
          <w:sz w:val="18"/>
          <w:szCs w:val="18"/>
          <w:lang w:val="en-US"/>
        </w:rPr>
      </w:pPr>
      <w:r w:rsidRPr="00FE7BA7">
        <w:rPr>
          <w:rFonts w:ascii="Verdana" w:hAnsi="Verdana"/>
          <w:sz w:val="18"/>
          <w:szCs w:val="18"/>
          <w:lang w:val="en-US"/>
        </w:rPr>
        <w:t xml:space="preserve">Eliminate the legal provisions that impede protection of the right to property of the </w:t>
      </w:r>
      <w:r w:rsidR="004C7D14" w:rsidRPr="00FE7BA7">
        <w:rPr>
          <w:rFonts w:ascii="Verdana" w:hAnsi="Verdana"/>
          <w:sz w:val="18"/>
          <w:szCs w:val="18"/>
          <w:lang w:val="en-US"/>
        </w:rPr>
        <w:t>Kaliña and Lokono peoples</w:t>
      </w:r>
      <w:r w:rsidRPr="00FE7BA7">
        <w:rPr>
          <w:rFonts w:ascii="Verdana" w:hAnsi="Verdana"/>
          <w:sz w:val="18"/>
          <w:szCs w:val="18"/>
          <w:lang w:val="en-US"/>
        </w:rPr>
        <w:t xml:space="preserve"> and adopt in its domestic legislation, and through effective and fully informed consultations with the </w:t>
      </w:r>
      <w:r w:rsidR="004C7D14" w:rsidRPr="00FE7BA7">
        <w:rPr>
          <w:rFonts w:ascii="Verdana" w:hAnsi="Verdana"/>
          <w:sz w:val="18"/>
          <w:szCs w:val="18"/>
          <w:lang w:val="en-US"/>
        </w:rPr>
        <w:t>Kaliña and Lokono peoples</w:t>
      </w:r>
      <w:r w:rsidRPr="00FE7BA7">
        <w:rPr>
          <w:rFonts w:ascii="Verdana" w:hAnsi="Verdana"/>
          <w:sz w:val="18"/>
          <w:szCs w:val="18"/>
          <w:lang w:val="en-US"/>
        </w:rPr>
        <w:t xml:space="preserve"> and their members, such legislative, administrative, and other measures as may be necessary to protect, by sp</w:t>
      </w:r>
      <w:r w:rsidR="007F6AA0">
        <w:rPr>
          <w:rFonts w:ascii="Verdana" w:hAnsi="Verdana"/>
          <w:sz w:val="18"/>
          <w:szCs w:val="18"/>
          <w:lang w:val="en-US"/>
        </w:rPr>
        <w:t>ecial mechanisms, the territory in which [these peoples</w:t>
      </w:r>
      <w:r w:rsidR="00792118" w:rsidRPr="00792118">
        <w:rPr>
          <w:rFonts w:ascii="Verdana" w:hAnsi="Verdana"/>
          <w:sz w:val="18"/>
          <w:szCs w:val="18"/>
          <w:lang w:val="en-US"/>
        </w:rPr>
        <w:t>]</w:t>
      </w:r>
      <w:r w:rsidRPr="00FE7BA7">
        <w:rPr>
          <w:rFonts w:ascii="Verdana" w:hAnsi="Verdana"/>
          <w:sz w:val="18"/>
          <w:szCs w:val="18"/>
          <w:lang w:val="en-US"/>
        </w:rPr>
        <w:t xml:space="preserve"> exercise their right to communal property, in accordance with their customary land use practices, without prejudice to other tribal and indigenous communities;</w:t>
      </w:r>
    </w:p>
    <w:p w14:paraId="63126811" w14:textId="77777777" w:rsidR="00E4033A" w:rsidRPr="00FE7BA7" w:rsidRDefault="00E4033A" w:rsidP="0026783F">
      <w:pPr>
        <w:ind w:left="1440"/>
        <w:jc w:val="both"/>
        <w:rPr>
          <w:rFonts w:ascii="Verdana" w:hAnsi="Verdana"/>
          <w:sz w:val="18"/>
          <w:szCs w:val="20"/>
          <w:lang w:val="en-US"/>
        </w:rPr>
      </w:pPr>
    </w:p>
    <w:p w14:paraId="63126812" w14:textId="77777777" w:rsidR="00E4033A" w:rsidRPr="00FE7BA7" w:rsidRDefault="00543215" w:rsidP="0026783F">
      <w:pPr>
        <w:pStyle w:val="ListParagraph"/>
        <w:numPr>
          <w:ilvl w:val="0"/>
          <w:numId w:val="3"/>
        </w:numPr>
        <w:ind w:left="1440" w:firstLine="0"/>
        <w:jc w:val="both"/>
        <w:rPr>
          <w:rFonts w:ascii="Verdana" w:hAnsi="Verdana"/>
          <w:sz w:val="18"/>
          <w:szCs w:val="20"/>
          <w:lang w:val="en-US"/>
        </w:rPr>
      </w:pPr>
      <w:r w:rsidRPr="00FE7BA7">
        <w:rPr>
          <w:rFonts w:ascii="Verdana" w:hAnsi="Verdana"/>
          <w:sz w:val="18"/>
          <w:szCs w:val="20"/>
          <w:lang w:val="en-US"/>
        </w:rPr>
        <w:lastRenderedPageBreak/>
        <w:t>Refrain from acts that could give rise to activities of third parties, acting with the State’s acquiescence or tolerance, that may affect</w:t>
      </w:r>
      <w:r w:rsidR="002B5CCD" w:rsidRPr="00FE7BA7">
        <w:rPr>
          <w:rFonts w:ascii="Verdana" w:hAnsi="Verdana"/>
          <w:sz w:val="18"/>
          <w:szCs w:val="20"/>
          <w:lang w:val="en-US"/>
        </w:rPr>
        <w:t xml:space="preserve"> </w:t>
      </w:r>
      <w:r w:rsidRPr="00FE7BA7">
        <w:rPr>
          <w:rFonts w:ascii="Verdana" w:hAnsi="Verdana"/>
          <w:sz w:val="18"/>
          <w:szCs w:val="20"/>
          <w:lang w:val="en-US"/>
        </w:rPr>
        <w:t xml:space="preserve">the right to property or the integrity of the territory </w:t>
      </w:r>
      <w:r w:rsidR="00635ACD" w:rsidRPr="00FE7BA7">
        <w:rPr>
          <w:rFonts w:ascii="Verdana" w:hAnsi="Verdana"/>
          <w:sz w:val="18"/>
          <w:szCs w:val="20"/>
          <w:lang w:val="en-US"/>
        </w:rPr>
        <w:t xml:space="preserve">of the </w:t>
      </w:r>
      <w:r w:rsidR="004C7D14" w:rsidRPr="00FE7BA7">
        <w:rPr>
          <w:rFonts w:ascii="Verdana" w:hAnsi="Verdana"/>
          <w:sz w:val="18"/>
          <w:szCs w:val="20"/>
          <w:lang w:val="en-US"/>
        </w:rPr>
        <w:t>Kaliña and Lokono peoples</w:t>
      </w:r>
      <w:r w:rsidR="00E4033A" w:rsidRPr="00FE7BA7">
        <w:rPr>
          <w:rFonts w:ascii="Verdana" w:hAnsi="Verdana"/>
          <w:sz w:val="18"/>
          <w:szCs w:val="20"/>
          <w:lang w:val="en-US"/>
        </w:rPr>
        <w:t xml:space="preserve">, </w:t>
      </w:r>
      <w:r w:rsidRPr="00FE7BA7">
        <w:rPr>
          <w:rFonts w:ascii="Verdana" w:hAnsi="Verdana"/>
          <w:sz w:val="18"/>
          <w:szCs w:val="20"/>
          <w:lang w:val="en-US"/>
        </w:rPr>
        <w:t>as established in the [Merits] Report;</w:t>
      </w:r>
    </w:p>
    <w:p w14:paraId="63126813" w14:textId="77777777" w:rsidR="00E4033A" w:rsidRPr="00FE7BA7" w:rsidRDefault="00E4033A" w:rsidP="0026783F">
      <w:pPr>
        <w:pStyle w:val="ListParagraph"/>
        <w:ind w:left="1440"/>
        <w:jc w:val="both"/>
        <w:rPr>
          <w:rFonts w:ascii="Verdana" w:hAnsi="Verdana"/>
          <w:sz w:val="18"/>
          <w:szCs w:val="20"/>
          <w:lang w:val="en-US"/>
        </w:rPr>
      </w:pPr>
    </w:p>
    <w:p w14:paraId="63126814" w14:textId="77777777" w:rsidR="00EE70B7" w:rsidRPr="00FE7BA7" w:rsidRDefault="00EE70B7" w:rsidP="0026783F">
      <w:pPr>
        <w:pStyle w:val="ListParagraph"/>
        <w:numPr>
          <w:ilvl w:val="0"/>
          <w:numId w:val="3"/>
        </w:numPr>
        <w:ind w:left="1440" w:firstLine="0"/>
        <w:jc w:val="both"/>
        <w:rPr>
          <w:rFonts w:ascii="Verdana" w:hAnsi="Verdana"/>
          <w:sz w:val="18"/>
          <w:szCs w:val="18"/>
          <w:lang w:val="en-US"/>
        </w:rPr>
      </w:pPr>
      <w:r w:rsidRPr="00FE7BA7">
        <w:rPr>
          <w:rFonts w:ascii="Verdana" w:hAnsi="Verdana"/>
          <w:sz w:val="18"/>
          <w:szCs w:val="18"/>
          <w:lang w:val="en-US"/>
        </w:rPr>
        <w:t xml:space="preserve">Review, through effective and fully informed consultations with the </w:t>
      </w:r>
      <w:r w:rsidR="004C7D14" w:rsidRPr="00FE7BA7">
        <w:rPr>
          <w:rFonts w:ascii="Verdana" w:hAnsi="Verdana"/>
          <w:sz w:val="18"/>
          <w:szCs w:val="18"/>
          <w:lang w:val="en-US"/>
        </w:rPr>
        <w:t>Kaliña and Lokono peoples</w:t>
      </w:r>
      <w:r w:rsidRPr="00FE7BA7">
        <w:rPr>
          <w:rFonts w:ascii="Verdana" w:hAnsi="Verdana"/>
          <w:sz w:val="18"/>
          <w:szCs w:val="18"/>
          <w:lang w:val="en-US"/>
        </w:rPr>
        <w:t xml:space="preserve"> and their members that respect their customary law, the land titles, leasehold titles </w:t>
      </w:r>
      <w:r w:rsidR="002B5CCD" w:rsidRPr="00FE7BA7">
        <w:rPr>
          <w:rFonts w:ascii="Verdana" w:hAnsi="Verdana"/>
          <w:sz w:val="18"/>
          <w:szCs w:val="18"/>
          <w:lang w:val="en-US"/>
        </w:rPr>
        <w:t>and</w:t>
      </w:r>
      <w:r w:rsidRPr="00FE7BA7">
        <w:rPr>
          <w:rFonts w:ascii="Verdana" w:hAnsi="Verdana"/>
          <w:sz w:val="18"/>
          <w:szCs w:val="18"/>
          <w:lang w:val="en-US"/>
        </w:rPr>
        <w:t xml:space="preserve"> long-term leases issued to non-indigenous persons, the terms of the mining activities authorized within the Wane Kreek Nature Reserve, and the terms of the establishment and management of the Wia Wia, Galibi, and Wane Kreek Nature Reserves, to determine the [respective] modifications that must be made in the[ir] terms to ensure respect for the property rights of the Kaliña and Lokono over their ancestral lands, territories and natural resources in accordance with their customs and traditions;</w:t>
      </w:r>
    </w:p>
    <w:p w14:paraId="63126815" w14:textId="77777777" w:rsidR="00E4033A" w:rsidRPr="00FE7BA7" w:rsidRDefault="00E4033A" w:rsidP="0026783F">
      <w:pPr>
        <w:ind w:left="1440"/>
        <w:jc w:val="both"/>
        <w:rPr>
          <w:rFonts w:ascii="Verdana" w:hAnsi="Verdana"/>
          <w:sz w:val="18"/>
          <w:szCs w:val="18"/>
          <w:lang w:val="en-US"/>
        </w:rPr>
      </w:pPr>
    </w:p>
    <w:p w14:paraId="63126816" w14:textId="2A5A6B5C" w:rsidR="00810FAD" w:rsidRPr="00FE7BA7" w:rsidRDefault="00792118" w:rsidP="0026783F">
      <w:pPr>
        <w:pStyle w:val="ListParagraph"/>
        <w:numPr>
          <w:ilvl w:val="0"/>
          <w:numId w:val="3"/>
        </w:numPr>
        <w:tabs>
          <w:tab w:val="left" w:pos="1080"/>
        </w:tabs>
        <w:ind w:left="1440" w:right="2" w:firstLine="0"/>
        <w:jc w:val="both"/>
        <w:rPr>
          <w:rFonts w:ascii="Verdana" w:hAnsi="Verdana"/>
          <w:sz w:val="18"/>
          <w:szCs w:val="18"/>
          <w:lang w:val="en-US"/>
        </w:rPr>
      </w:pPr>
      <w:r>
        <w:rPr>
          <w:rFonts w:ascii="Verdana" w:hAnsi="Verdana"/>
          <w:sz w:val="18"/>
          <w:szCs w:val="18"/>
          <w:lang w:val="en-US"/>
        </w:rPr>
        <w:t>Adopt</w:t>
      </w:r>
      <w:r w:rsidRPr="00FE7BA7">
        <w:rPr>
          <w:rFonts w:ascii="Verdana" w:hAnsi="Verdana"/>
          <w:sz w:val="18"/>
          <w:szCs w:val="18"/>
          <w:lang w:val="en-US"/>
        </w:rPr>
        <w:t xml:space="preserve"> </w:t>
      </w:r>
      <w:r w:rsidR="00810FAD" w:rsidRPr="00FE7BA7">
        <w:rPr>
          <w:rFonts w:ascii="Verdana" w:hAnsi="Verdana"/>
          <w:sz w:val="18"/>
          <w:szCs w:val="18"/>
          <w:lang w:val="en-US"/>
        </w:rPr>
        <w:t xml:space="preserve">all necessary </w:t>
      </w:r>
      <w:r>
        <w:rPr>
          <w:rFonts w:ascii="Verdana" w:hAnsi="Verdana"/>
          <w:sz w:val="18"/>
          <w:szCs w:val="18"/>
          <w:lang w:val="en-US"/>
        </w:rPr>
        <w:t>measures</w:t>
      </w:r>
      <w:r w:rsidR="00810FAD" w:rsidRPr="00FE7BA7">
        <w:rPr>
          <w:rFonts w:ascii="Verdana" w:hAnsi="Verdana"/>
          <w:sz w:val="18"/>
          <w:szCs w:val="18"/>
          <w:lang w:val="en-US"/>
        </w:rPr>
        <w:t xml:space="preserve">, through effective and fully informed consultations with the </w:t>
      </w:r>
      <w:r w:rsidR="004C7D14" w:rsidRPr="00FE7BA7">
        <w:rPr>
          <w:rFonts w:ascii="Verdana" w:hAnsi="Verdana"/>
          <w:sz w:val="18"/>
          <w:szCs w:val="18"/>
          <w:lang w:val="en-US"/>
        </w:rPr>
        <w:t>Kaliña and Lokono peoples</w:t>
      </w:r>
      <w:r w:rsidR="00810FAD" w:rsidRPr="00FE7BA7">
        <w:rPr>
          <w:rFonts w:ascii="Verdana" w:hAnsi="Verdana"/>
          <w:sz w:val="18"/>
          <w:szCs w:val="18"/>
          <w:lang w:val="en-US"/>
        </w:rPr>
        <w:t xml:space="preserve"> and their members that respect their customary law, to delimit, demarcate and grant collective title to the </w:t>
      </w:r>
      <w:r w:rsidR="004C7D14" w:rsidRPr="00FE7BA7">
        <w:rPr>
          <w:rFonts w:ascii="Verdana" w:hAnsi="Verdana"/>
          <w:sz w:val="18"/>
          <w:szCs w:val="18"/>
          <w:lang w:val="en-US"/>
        </w:rPr>
        <w:t>Kaliña and Lokono peoples</w:t>
      </w:r>
      <w:r w:rsidR="00810FAD" w:rsidRPr="00FE7BA7">
        <w:rPr>
          <w:rFonts w:ascii="Verdana" w:hAnsi="Verdana"/>
          <w:sz w:val="18"/>
          <w:szCs w:val="18"/>
          <w:lang w:val="en-US"/>
        </w:rPr>
        <w:t xml:space="preserve"> over the lands and territories that they have traditionally occupied and used;</w:t>
      </w:r>
    </w:p>
    <w:p w14:paraId="63126817" w14:textId="77777777" w:rsidR="00E4033A" w:rsidRPr="00FE7BA7" w:rsidRDefault="00E4033A" w:rsidP="0026783F">
      <w:pPr>
        <w:pStyle w:val="ListParagraph"/>
        <w:ind w:left="1440"/>
        <w:jc w:val="both"/>
        <w:rPr>
          <w:rFonts w:ascii="Verdana" w:hAnsi="Verdana"/>
          <w:sz w:val="18"/>
          <w:szCs w:val="18"/>
          <w:lang w:val="en-US"/>
        </w:rPr>
      </w:pPr>
    </w:p>
    <w:p w14:paraId="63126818" w14:textId="609D966B" w:rsidR="00810FAD" w:rsidRPr="00FE7BA7" w:rsidRDefault="00792118" w:rsidP="0026783F">
      <w:pPr>
        <w:pStyle w:val="ListParagraph"/>
        <w:numPr>
          <w:ilvl w:val="0"/>
          <w:numId w:val="3"/>
        </w:numPr>
        <w:ind w:left="1440" w:firstLine="0"/>
        <w:jc w:val="both"/>
        <w:rPr>
          <w:rFonts w:ascii="Verdana" w:hAnsi="Verdana"/>
          <w:sz w:val="18"/>
          <w:szCs w:val="18"/>
          <w:lang w:val="en-US"/>
        </w:rPr>
      </w:pPr>
      <w:r>
        <w:rPr>
          <w:rFonts w:ascii="Verdana" w:hAnsi="Verdana"/>
          <w:sz w:val="18"/>
          <w:szCs w:val="18"/>
          <w:lang w:val="en-US"/>
        </w:rPr>
        <w:t>Adopt</w:t>
      </w:r>
      <w:r w:rsidRPr="00FE7BA7">
        <w:rPr>
          <w:rFonts w:ascii="Verdana" w:hAnsi="Verdana"/>
          <w:sz w:val="18"/>
          <w:szCs w:val="18"/>
          <w:lang w:val="en-US"/>
        </w:rPr>
        <w:t xml:space="preserve"> </w:t>
      </w:r>
      <w:r w:rsidR="00810FAD" w:rsidRPr="00FE7BA7">
        <w:rPr>
          <w:rFonts w:ascii="Verdana" w:hAnsi="Verdana"/>
          <w:sz w:val="18"/>
          <w:szCs w:val="18"/>
          <w:lang w:val="en-US"/>
        </w:rPr>
        <w:t xml:space="preserve">all necessary </w:t>
      </w:r>
      <w:r>
        <w:rPr>
          <w:rFonts w:ascii="Verdana" w:hAnsi="Verdana"/>
          <w:sz w:val="18"/>
          <w:szCs w:val="18"/>
          <w:lang w:val="en-US"/>
        </w:rPr>
        <w:t>measures</w:t>
      </w:r>
      <w:r w:rsidRPr="00FE7BA7">
        <w:rPr>
          <w:rFonts w:ascii="Verdana" w:hAnsi="Verdana"/>
          <w:sz w:val="18"/>
          <w:szCs w:val="18"/>
          <w:lang w:val="en-US"/>
        </w:rPr>
        <w:t xml:space="preserve"> </w:t>
      </w:r>
      <w:r w:rsidR="00810FAD" w:rsidRPr="00FE7BA7">
        <w:rPr>
          <w:rFonts w:ascii="Verdana" w:hAnsi="Verdana"/>
          <w:sz w:val="18"/>
          <w:szCs w:val="18"/>
          <w:lang w:val="en-US"/>
        </w:rPr>
        <w:t xml:space="preserve">to approve, in accordance with Suriname’s constitutional procedures and the provisions of the American Convention, such legislative and other measures as may be needed to provide judicial protection and give effect to the collective and individual rights of the </w:t>
      </w:r>
      <w:r w:rsidR="004C7D14" w:rsidRPr="00FE7BA7">
        <w:rPr>
          <w:rFonts w:ascii="Verdana" w:hAnsi="Verdana"/>
          <w:sz w:val="18"/>
          <w:szCs w:val="18"/>
          <w:lang w:val="en-US"/>
        </w:rPr>
        <w:t>Kaliña and Lokono peoples</w:t>
      </w:r>
      <w:r w:rsidR="00810FAD" w:rsidRPr="00FE7BA7">
        <w:rPr>
          <w:rFonts w:ascii="Verdana" w:hAnsi="Verdana"/>
          <w:sz w:val="18"/>
          <w:szCs w:val="18"/>
          <w:lang w:val="en-US"/>
        </w:rPr>
        <w:t xml:space="preserve"> in relation to the territory they have traditionally occupied and used, and</w:t>
      </w:r>
    </w:p>
    <w:p w14:paraId="63126819" w14:textId="77777777" w:rsidR="00E4033A" w:rsidRPr="00FE7BA7" w:rsidRDefault="00E4033A" w:rsidP="0026783F">
      <w:pPr>
        <w:pStyle w:val="ListParagraph"/>
        <w:ind w:left="1440"/>
        <w:jc w:val="both"/>
        <w:rPr>
          <w:rFonts w:ascii="Verdana" w:hAnsi="Verdana"/>
          <w:sz w:val="18"/>
          <w:szCs w:val="18"/>
          <w:lang w:val="en-US"/>
        </w:rPr>
      </w:pPr>
    </w:p>
    <w:p w14:paraId="6312681A" w14:textId="77777777" w:rsidR="00E4033A" w:rsidRPr="00FE7BA7" w:rsidRDefault="00810FAD" w:rsidP="0026783F">
      <w:pPr>
        <w:pStyle w:val="ListParagraph"/>
        <w:numPr>
          <w:ilvl w:val="0"/>
          <w:numId w:val="3"/>
        </w:numPr>
        <w:ind w:left="1440" w:firstLine="0"/>
        <w:jc w:val="both"/>
        <w:rPr>
          <w:rFonts w:ascii="Verdana" w:hAnsi="Verdana"/>
          <w:sz w:val="18"/>
          <w:szCs w:val="18"/>
          <w:lang w:val="en-US"/>
        </w:rPr>
      </w:pPr>
      <w:r w:rsidRPr="00FE7BA7">
        <w:rPr>
          <w:rFonts w:ascii="Verdana" w:hAnsi="Verdana"/>
          <w:sz w:val="18"/>
          <w:szCs w:val="18"/>
          <w:lang w:val="en-US"/>
        </w:rPr>
        <w:t>Redress</w:t>
      </w:r>
      <w:r w:rsidR="007F6AA0">
        <w:rPr>
          <w:rFonts w:ascii="Verdana" w:hAnsi="Verdana"/>
          <w:sz w:val="18"/>
          <w:szCs w:val="18"/>
          <w:lang w:val="en-US"/>
        </w:rPr>
        <w:t>,</w:t>
      </w:r>
      <w:r w:rsidRPr="00FE7BA7">
        <w:rPr>
          <w:rFonts w:ascii="Verdana" w:hAnsi="Verdana"/>
          <w:sz w:val="18"/>
          <w:szCs w:val="18"/>
          <w:lang w:val="en-US"/>
        </w:rPr>
        <w:t xml:space="preserve"> individually and collectively</w:t>
      </w:r>
      <w:r w:rsidR="007F6AA0">
        <w:rPr>
          <w:rFonts w:ascii="Verdana" w:hAnsi="Verdana"/>
          <w:sz w:val="18"/>
          <w:szCs w:val="18"/>
          <w:lang w:val="en-US"/>
        </w:rPr>
        <w:t>,</w:t>
      </w:r>
      <w:r w:rsidRPr="00FE7BA7">
        <w:rPr>
          <w:rFonts w:ascii="Verdana" w:hAnsi="Verdana"/>
          <w:sz w:val="18"/>
          <w:szCs w:val="18"/>
          <w:lang w:val="en-US"/>
        </w:rPr>
        <w:t xml:space="preserve"> the consequences of the violation of the aforementioned rights. In particular, consider the damage caused to the members of the </w:t>
      </w:r>
      <w:r w:rsidR="004C7D14" w:rsidRPr="00FE7BA7">
        <w:rPr>
          <w:rFonts w:ascii="Verdana" w:hAnsi="Verdana"/>
          <w:sz w:val="18"/>
          <w:szCs w:val="18"/>
          <w:lang w:val="en-US"/>
        </w:rPr>
        <w:t>Kaliña and Lokono peoples</w:t>
      </w:r>
      <w:r w:rsidRPr="00FE7BA7">
        <w:rPr>
          <w:rFonts w:ascii="Verdana" w:hAnsi="Verdana"/>
          <w:sz w:val="18"/>
          <w:szCs w:val="18"/>
          <w:lang w:val="en-US"/>
        </w:rPr>
        <w:t xml:space="preserve"> as a result of the failure to grant them legal title to their ancestral territory, as well as the damage caused to the territory by the acts of third parties</w:t>
      </w:r>
      <w:r w:rsidR="00E4033A" w:rsidRPr="00FE7BA7">
        <w:rPr>
          <w:rFonts w:ascii="Verdana" w:hAnsi="Verdana"/>
          <w:sz w:val="18"/>
          <w:szCs w:val="20"/>
          <w:lang w:val="en-US"/>
        </w:rPr>
        <w:t>.</w:t>
      </w:r>
    </w:p>
    <w:p w14:paraId="6312681B" w14:textId="77777777" w:rsidR="00E4033A" w:rsidRPr="00FE7BA7" w:rsidRDefault="00E4033A" w:rsidP="00E4033A">
      <w:pPr>
        <w:jc w:val="both"/>
        <w:rPr>
          <w:rFonts w:ascii="Verdana" w:hAnsi="Verdana"/>
          <w:sz w:val="20"/>
          <w:szCs w:val="20"/>
          <w:lang w:val="en-US"/>
        </w:rPr>
      </w:pPr>
    </w:p>
    <w:p w14:paraId="6312681C" w14:textId="144DC537" w:rsidR="00E4033A" w:rsidRPr="00FE7BA7" w:rsidRDefault="00E4033A" w:rsidP="00E4033A">
      <w:pPr>
        <w:ind w:left="708"/>
        <w:jc w:val="both"/>
        <w:rPr>
          <w:rFonts w:ascii="Verdana" w:hAnsi="Verdana"/>
          <w:sz w:val="20"/>
          <w:szCs w:val="20"/>
          <w:lang w:val="en-US"/>
        </w:rPr>
      </w:pPr>
      <w:proofErr w:type="gramStart"/>
      <w:r w:rsidRPr="00FE7BA7">
        <w:rPr>
          <w:rFonts w:ascii="Verdana" w:hAnsi="Verdana"/>
          <w:i/>
          <w:sz w:val="20"/>
          <w:szCs w:val="20"/>
          <w:lang w:val="en-US"/>
        </w:rPr>
        <w:t>d</w:t>
      </w:r>
      <w:proofErr w:type="gramEnd"/>
      <w:r w:rsidRPr="00FE7BA7">
        <w:rPr>
          <w:rFonts w:ascii="Verdana" w:hAnsi="Verdana"/>
          <w:i/>
          <w:sz w:val="20"/>
          <w:szCs w:val="20"/>
          <w:lang w:val="en-US"/>
        </w:rPr>
        <w:t xml:space="preserve">) </w:t>
      </w:r>
      <w:r w:rsidR="00F20A5C">
        <w:rPr>
          <w:rFonts w:ascii="Verdana" w:hAnsi="Verdana"/>
          <w:i/>
          <w:sz w:val="20"/>
          <w:szCs w:val="20"/>
          <w:lang w:val="en-US"/>
        </w:rPr>
        <w:t>Notice</w:t>
      </w:r>
      <w:r w:rsidR="00F20A5C" w:rsidRPr="00FE7BA7">
        <w:rPr>
          <w:rFonts w:ascii="Verdana" w:hAnsi="Verdana"/>
          <w:i/>
          <w:sz w:val="20"/>
          <w:szCs w:val="20"/>
          <w:lang w:val="en-US"/>
        </w:rPr>
        <w:t xml:space="preserve"> </w:t>
      </w:r>
      <w:r w:rsidR="00792118">
        <w:rPr>
          <w:rFonts w:ascii="Verdana" w:hAnsi="Verdana"/>
          <w:i/>
          <w:sz w:val="20"/>
          <w:szCs w:val="20"/>
          <w:lang w:val="en-US"/>
        </w:rPr>
        <w:t>to</w:t>
      </w:r>
      <w:r w:rsidR="00792118" w:rsidRPr="00FE7BA7">
        <w:rPr>
          <w:rFonts w:ascii="Verdana" w:hAnsi="Verdana"/>
          <w:i/>
          <w:sz w:val="20"/>
          <w:szCs w:val="20"/>
          <w:lang w:val="en-US"/>
        </w:rPr>
        <w:t xml:space="preserve"> </w:t>
      </w:r>
      <w:r w:rsidR="00810FAD" w:rsidRPr="00FE7BA7">
        <w:rPr>
          <w:rFonts w:ascii="Verdana" w:hAnsi="Verdana"/>
          <w:i/>
          <w:sz w:val="20"/>
          <w:szCs w:val="20"/>
          <w:lang w:val="en-US"/>
        </w:rPr>
        <w:t xml:space="preserve">the State. </w:t>
      </w:r>
      <w:r w:rsidR="00810FAD" w:rsidRPr="00FE7BA7">
        <w:rPr>
          <w:rFonts w:ascii="Verdana" w:hAnsi="Verdana"/>
          <w:sz w:val="20"/>
          <w:szCs w:val="20"/>
          <w:lang w:val="en-US"/>
        </w:rPr>
        <w:t>The</w:t>
      </w:r>
      <w:r w:rsidRPr="00FE7BA7">
        <w:rPr>
          <w:rFonts w:ascii="Verdana" w:hAnsi="Verdana"/>
          <w:sz w:val="20"/>
          <w:szCs w:val="20"/>
          <w:lang w:val="en-US"/>
        </w:rPr>
        <w:t xml:space="preserve"> </w:t>
      </w:r>
      <w:r w:rsidR="00773D70" w:rsidRPr="00FE7BA7">
        <w:rPr>
          <w:rFonts w:ascii="Verdana" w:hAnsi="Verdana"/>
          <w:sz w:val="20"/>
          <w:szCs w:val="20"/>
          <w:lang w:val="en-US"/>
        </w:rPr>
        <w:t>Merits Report</w:t>
      </w:r>
      <w:r w:rsidRPr="00FE7BA7">
        <w:rPr>
          <w:rFonts w:ascii="Verdana" w:hAnsi="Verdana"/>
          <w:sz w:val="20"/>
          <w:szCs w:val="20"/>
          <w:lang w:val="en-US"/>
        </w:rPr>
        <w:t xml:space="preserve"> </w:t>
      </w:r>
      <w:r w:rsidR="00810FAD" w:rsidRPr="00FE7BA7">
        <w:rPr>
          <w:rFonts w:ascii="Verdana" w:hAnsi="Verdana"/>
          <w:sz w:val="20"/>
          <w:szCs w:val="20"/>
          <w:lang w:val="en-US"/>
        </w:rPr>
        <w:t xml:space="preserve">was </w:t>
      </w:r>
      <w:r w:rsidR="00882E5A">
        <w:rPr>
          <w:rFonts w:ascii="Verdana" w:hAnsi="Verdana"/>
          <w:sz w:val="20"/>
          <w:szCs w:val="20"/>
          <w:lang w:val="en-US"/>
        </w:rPr>
        <w:t>served upon</w:t>
      </w:r>
      <w:r w:rsidR="00810FAD" w:rsidRPr="00FE7BA7">
        <w:rPr>
          <w:rFonts w:ascii="Verdana" w:hAnsi="Verdana"/>
          <w:sz w:val="20"/>
          <w:szCs w:val="20"/>
          <w:lang w:val="en-US"/>
        </w:rPr>
        <w:t xml:space="preserve"> the State on July 26, 2013</w:t>
      </w:r>
      <w:r w:rsidR="0026783F">
        <w:rPr>
          <w:rFonts w:ascii="Verdana" w:hAnsi="Verdana"/>
          <w:sz w:val="20"/>
          <w:szCs w:val="20"/>
          <w:lang w:val="en-US"/>
        </w:rPr>
        <w:t>;</w:t>
      </w:r>
      <w:r w:rsidR="00172E44">
        <w:rPr>
          <w:rFonts w:ascii="Verdana" w:hAnsi="Verdana"/>
          <w:sz w:val="20"/>
          <w:szCs w:val="20"/>
          <w:lang w:val="en-US"/>
        </w:rPr>
        <w:t xml:space="preserve"> </w:t>
      </w:r>
      <w:r w:rsidR="0026783F">
        <w:rPr>
          <w:rFonts w:ascii="Verdana" w:hAnsi="Verdana"/>
          <w:sz w:val="20"/>
          <w:szCs w:val="20"/>
          <w:lang w:val="en-US"/>
        </w:rPr>
        <w:t>the latter was granted</w:t>
      </w:r>
      <w:r w:rsidR="00810FAD" w:rsidRPr="00FE7BA7">
        <w:rPr>
          <w:rFonts w:ascii="Verdana" w:hAnsi="Verdana"/>
          <w:sz w:val="20"/>
          <w:szCs w:val="20"/>
          <w:lang w:val="en-US"/>
        </w:rPr>
        <w:t xml:space="preserve"> two months to report on compl</w:t>
      </w:r>
      <w:r w:rsidR="000A6F50">
        <w:rPr>
          <w:rFonts w:ascii="Verdana" w:hAnsi="Verdana"/>
          <w:sz w:val="20"/>
          <w:szCs w:val="20"/>
          <w:lang w:val="en-US"/>
        </w:rPr>
        <w:t>iance with the recommendations.</w:t>
      </w:r>
    </w:p>
    <w:p w14:paraId="6312681D" w14:textId="77777777" w:rsidR="00E4033A" w:rsidRPr="00FE7BA7" w:rsidRDefault="00E4033A" w:rsidP="00E4033A">
      <w:pPr>
        <w:ind w:left="708"/>
        <w:jc w:val="both"/>
        <w:rPr>
          <w:rFonts w:ascii="Verdana" w:hAnsi="Verdana"/>
          <w:sz w:val="20"/>
          <w:szCs w:val="20"/>
          <w:lang w:val="en-US"/>
        </w:rPr>
      </w:pPr>
    </w:p>
    <w:p w14:paraId="6312681E" w14:textId="621C1A57" w:rsidR="00E4033A" w:rsidRPr="00FE7BA7" w:rsidRDefault="00810FAD" w:rsidP="00810FAD">
      <w:pPr>
        <w:ind w:left="708"/>
        <w:jc w:val="both"/>
        <w:rPr>
          <w:rFonts w:ascii="Verdana" w:hAnsi="Verdana"/>
          <w:sz w:val="20"/>
          <w:szCs w:val="20"/>
          <w:lang w:val="en-US"/>
        </w:rPr>
      </w:pPr>
      <w:r w:rsidRPr="00FE7BA7">
        <w:rPr>
          <w:rFonts w:ascii="Verdana" w:hAnsi="Verdana"/>
          <w:i/>
          <w:sz w:val="20"/>
          <w:szCs w:val="20"/>
          <w:lang w:val="en-US"/>
        </w:rPr>
        <w:t>e) Request for an extension and compliance report</w:t>
      </w:r>
      <w:r w:rsidR="00E4033A" w:rsidRPr="00FE7BA7">
        <w:rPr>
          <w:rFonts w:ascii="Verdana" w:hAnsi="Verdana"/>
          <w:i/>
          <w:sz w:val="20"/>
          <w:szCs w:val="20"/>
          <w:lang w:val="en-US"/>
        </w:rPr>
        <w:t>.</w:t>
      </w:r>
      <w:r w:rsidRPr="00FE7BA7">
        <w:rPr>
          <w:rFonts w:ascii="Verdana" w:hAnsi="Verdana"/>
          <w:sz w:val="20"/>
          <w:szCs w:val="20"/>
          <w:lang w:val="en-US"/>
        </w:rPr>
        <w:t xml:space="preserve"> On September 26,</w:t>
      </w:r>
      <w:r w:rsidR="00E4033A" w:rsidRPr="00FE7BA7">
        <w:rPr>
          <w:rFonts w:ascii="Verdana" w:hAnsi="Verdana"/>
          <w:sz w:val="20"/>
          <w:szCs w:val="20"/>
          <w:lang w:val="en-US"/>
        </w:rPr>
        <w:t xml:space="preserve"> 2013</w:t>
      </w:r>
      <w:r w:rsidRPr="00FE7BA7">
        <w:rPr>
          <w:rFonts w:ascii="Verdana" w:hAnsi="Verdana"/>
          <w:sz w:val="20"/>
          <w:szCs w:val="20"/>
          <w:lang w:val="en-US"/>
        </w:rPr>
        <w:t>,</w:t>
      </w:r>
      <w:r w:rsidR="00E4033A" w:rsidRPr="00FE7BA7">
        <w:rPr>
          <w:rFonts w:ascii="Verdana" w:hAnsi="Verdana"/>
          <w:sz w:val="20"/>
          <w:szCs w:val="20"/>
          <w:lang w:val="en-US"/>
        </w:rPr>
        <w:t xml:space="preserve"> </w:t>
      </w:r>
      <w:r w:rsidR="002B5CCD" w:rsidRPr="00FE7BA7">
        <w:rPr>
          <w:rFonts w:ascii="Verdana" w:hAnsi="Verdana"/>
          <w:sz w:val="20"/>
          <w:szCs w:val="20"/>
          <w:lang w:val="en-US"/>
        </w:rPr>
        <w:t>the State</w:t>
      </w:r>
      <w:r w:rsidR="00E4033A" w:rsidRPr="00FE7BA7">
        <w:rPr>
          <w:rFonts w:ascii="Verdana" w:hAnsi="Verdana"/>
          <w:sz w:val="20"/>
          <w:szCs w:val="20"/>
          <w:lang w:val="en-US"/>
        </w:rPr>
        <w:t xml:space="preserve"> </w:t>
      </w:r>
      <w:r w:rsidRPr="00FE7BA7">
        <w:rPr>
          <w:rFonts w:ascii="Verdana" w:hAnsi="Verdana"/>
          <w:sz w:val="20"/>
          <w:szCs w:val="20"/>
          <w:lang w:val="en-US"/>
        </w:rPr>
        <w:t>requested an extension in order to comply with the recommendations, and the Commission granted a further three months and required</w:t>
      </w:r>
      <w:r w:rsidR="00792118">
        <w:rPr>
          <w:rFonts w:ascii="Verdana" w:hAnsi="Verdana"/>
          <w:sz w:val="20"/>
          <w:szCs w:val="20"/>
          <w:lang w:val="en-US"/>
        </w:rPr>
        <w:t xml:space="preserve"> </w:t>
      </w:r>
      <w:r w:rsidRPr="00FE7BA7">
        <w:rPr>
          <w:rFonts w:ascii="Verdana" w:hAnsi="Verdana"/>
          <w:sz w:val="20"/>
          <w:szCs w:val="20"/>
          <w:lang w:val="en-US"/>
        </w:rPr>
        <w:t>the State to present a report on any progress made by January 15, 2014. The State presented a report on that date, but failed to provide information on compliance with each recommendation. On January 24, 2014, the State requested a further extension without presenting additional information on compliance with the recommendations.</w:t>
      </w:r>
    </w:p>
    <w:p w14:paraId="6312681F" w14:textId="77777777" w:rsidR="00E4033A" w:rsidRPr="00FE7BA7" w:rsidRDefault="00E4033A" w:rsidP="00E4033A">
      <w:pPr>
        <w:ind w:left="708"/>
        <w:jc w:val="both"/>
        <w:rPr>
          <w:rFonts w:ascii="Verdana" w:hAnsi="Verdana"/>
          <w:i/>
          <w:sz w:val="20"/>
          <w:szCs w:val="20"/>
          <w:lang w:val="en-US"/>
        </w:rPr>
      </w:pPr>
    </w:p>
    <w:p w14:paraId="63126820" w14:textId="77777777" w:rsidR="00E4033A" w:rsidRPr="00FE7BA7" w:rsidRDefault="00E4033A" w:rsidP="00E4033A">
      <w:pPr>
        <w:ind w:left="708"/>
        <w:jc w:val="both"/>
        <w:rPr>
          <w:rFonts w:ascii="Verdana" w:hAnsi="Verdana"/>
          <w:sz w:val="20"/>
          <w:szCs w:val="20"/>
          <w:lang w:val="en-US"/>
        </w:rPr>
      </w:pPr>
      <w:r w:rsidRPr="00FE7BA7">
        <w:rPr>
          <w:rFonts w:ascii="Verdana" w:hAnsi="Verdana"/>
          <w:i/>
          <w:sz w:val="20"/>
          <w:szCs w:val="20"/>
          <w:lang w:val="en-US"/>
        </w:rPr>
        <w:t xml:space="preserve">f) </w:t>
      </w:r>
      <w:r w:rsidR="00810FAD" w:rsidRPr="00FE7BA7">
        <w:rPr>
          <w:rFonts w:ascii="Verdana" w:hAnsi="Verdana"/>
          <w:i/>
          <w:sz w:val="20"/>
          <w:szCs w:val="20"/>
          <w:lang w:val="en-US"/>
        </w:rPr>
        <w:t xml:space="preserve">Submission to </w:t>
      </w:r>
      <w:r w:rsidR="002B5CCD" w:rsidRPr="00FE7BA7">
        <w:rPr>
          <w:rFonts w:ascii="Verdana" w:hAnsi="Verdana"/>
          <w:i/>
          <w:sz w:val="20"/>
          <w:szCs w:val="20"/>
          <w:lang w:val="en-US"/>
        </w:rPr>
        <w:t>the Court</w:t>
      </w:r>
      <w:r w:rsidRPr="00FE7BA7">
        <w:rPr>
          <w:rFonts w:ascii="Verdana" w:hAnsi="Verdana"/>
          <w:i/>
          <w:sz w:val="20"/>
          <w:szCs w:val="20"/>
          <w:lang w:val="en-US"/>
        </w:rPr>
        <w:t>.</w:t>
      </w:r>
      <w:r w:rsidR="00810FAD" w:rsidRPr="00FE7BA7">
        <w:rPr>
          <w:rFonts w:ascii="Verdana" w:hAnsi="Verdana"/>
          <w:sz w:val="20"/>
          <w:szCs w:val="20"/>
          <w:lang w:val="en-US"/>
        </w:rPr>
        <w:t xml:space="preserve"> </w:t>
      </w:r>
      <w:r w:rsidR="002B5CCD" w:rsidRPr="00FE7BA7">
        <w:rPr>
          <w:rFonts w:ascii="Verdana" w:hAnsi="Verdana"/>
          <w:sz w:val="20"/>
          <w:szCs w:val="20"/>
          <w:lang w:val="en-US"/>
        </w:rPr>
        <w:t>On January 28,</w:t>
      </w:r>
      <w:r w:rsidRPr="00FE7BA7">
        <w:rPr>
          <w:rFonts w:ascii="Verdana" w:hAnsi="Verdana"/>
          <w:sz w:val="20"/>
          <w:szCs w:val="20"/>
          <w:lang w:val="en-US"/>
        </w:rPr>
        <w:t xml:space="preserve"> 2014</w:t>
      </w:r>
      <w:r w:rsidR="00810FAD" w:rsidRPr="00FE7BA7">
        <w:rPr>
          <w:rFonts w:ascii="Verdana" w:hAnsi="Verdana"/>
          <w:sz w:val="20"/>
          <w:szCs w:val="20"/>
          <w:lang w:val="en-US"/>
        </w:rPr>
        <w:t>,</w:t>
      </w:r>
      <w:r w:rsidR="001930C4" w:rsidRPr="00FE7BA7">
        <w:rPr>
          <w:lang w:val="en-US"/>
        </w:rPr>
        <w:t xml:space="preserve"> </w:t>
      </w:r>
      <w:r w:rsidR="002B5CCD" w:rsidRPr="00FE7BA7">
        <w:rPr>
          <w:rFonts w:ascii="Verdana" w:hAnsi="Verdana"/>
          <w:sz w:val="20"/>
          <w:szCs w:val="20"/>
          <w:lang w:val="en-US"/>
        </w:rPr>
        <w:t>the Commission</w:t>
      </w:r>
      <w:r w:rsidR="00810FAD" w:rsidRPr="00FE7BA7">
        <w:rPr>
          <w:rFonts w:ascii="Verdana" w:hAnsi="Verdana"/>
          <w:sz w:val="20"/>
          <w:szCs w:val="20"/>
          <w:lang w:val="en-US"/>
        </w:rPr>
        <w:t xml:space="preserve"> submitted this case to the Court’s jurisdiction, “owing to the need to obtain justice,” and in relation to all the facts and human rights violations described in the </w:t>
      </w:r>
      <w:r w:rsidR="00773D70" w:rsidRPr="00FE7BA7">
        <w:rPr>
          <w:rFonts w:ascii="Verdana" w:hAnsi="Verdana"/>
          <w:sz w:val="20"/>
          <w:szCs w:val="20"/>
          <w:lang w:val="en-US"/>
        </w:rPr>
        <w:t>Merits Report</w:t>
      </w:r>
      <w:r w:rsidR="007F6AA0">
        <w:rPr>
          <w:rFonts w:ascii="Verdana" w:hAnsi="Verdana"/>
          <w:sz w:val="20"/>
          <w:szCs w:val="20"/>
          <w:lang w:val="en-US"/>
        </w:rPr>
        <w:t>.</w:t>
      </w:r>
      <w:r w:rsidR="001930C4" w:rsidRPr="00FE7BA7">
        <w:rPr>
          <w:rStyle w:val="FootnoteReference"/>
          <w:szCs w:val="20"/>
          <w:lang w:val="en-US"/>
        </w:rPr>
        <w:footnoteReference w:id="6"/>
      </w:r>
    </w:p>
    <w:p w14:paraId="63126821" w14:textId="77777777" w:rsidR="00E4033A" w:rsidRPr="00FE7BA7" w:rsidRDefault="00E4033A" w:rsidP="00E4033A">
      <w:pPr>
        <w:pStyle w:val="ListParagraph"/>
        <w:rPr>
          <w:rFonts w:ascii="Verdana" w:hAnsi="Verdana"/>
          <w:sz w:val="20"/>
          <w:szCs w:val="20"/>
          <w:lang w:val="en-US"/>
        </w:rPr>
      </w:pPr>
    </w:p>
    <w:p w14:paraId="63126822" w14:textId="63513C10" w:rsidR="00E4033A" w:rsidRPr="00FE7BA7" w:rsidRDefault="00810FAD" w:rsidP="00E4033A">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 xml:space="preserve">The </w:t>
      </w:r>
      <w:r w:rsidR="002B5CCD" w:rsidRPr="00FE7BA7">
        <w:rPr>
          <w:rFonts w:ascii="Verdana" w:hAnsi="Verdana"/>
          <w:i/>
          <w:sz w:val="20"/>
          <w:szCs w:val="20"/>
          <w:lang w:val="en-US"/>
        </w:rPr>
        <w:t>Inter-American Commission</w:t>
      </w:r>
      <w:r w:rsidRPr="00FE7BA7">
        <w:rPr>
          <w:rFonts w:ascii="Verdana" w:hAnsi="Verdana"/>
          <w:i/>
          <w:sz w:val="20"/>
          <w:szCs w:val="20"/>
          <w:lang w:val="en-US"/>
        </w:rPr>
        <w:t>’s requests</w:t>
      </w:r>
      <w:r w:rsidR="00E4033A" w:rsidRPr="00FE7BA7">
        <w:rPr>
          <w:rFonts w:ascii="Verdana" w:hAnsi="Verdana"/>
          <w:i/>
          <w:sz w:val="20"/>
          <w:szCs w:val="20"/>
          <w:lang w:val="en-US"/>
        </w:rPr>
        <w:t>.</w:t>
      </w:r>
      <w:r w:rsidRPr="00FE7BA7">
        <w:rPr>
          <w:rFonts w:ascii="Verdana" w:hAnsi="Verdana"/>
          <w:sz w:val="20"/>
          <w:szCs w:val="20"/>
          <w:lang w:val="en-US"/>
        </w:rPr>
        <w:t xml:space="preserve"> Based on the above, </w:t>
      </w:r>
      <w:r w:rsidR="002B5CCD" w:rsidRPr="00FE7BA7">
        <w:rPr>
          <w:rFonts w:ascii="Verdana" w:hAnsi="Verdana"/>
          <w:sz w:val="20"/>
          <w:szCs w:val="20"/>
          <w:lang w:val="en-US"/>
        </w:rPr>
        <w:t>the Commission</w:t>
      </w:r>
      <w:r w:rsidR="00E4033A" w:rsidRPr="00FE7BA7">
        <w:rPr>
          <w:rFonts w:ascii="Verdana" w:hAnsi="Verdana"/>
          <w:sz w:val="20"/>
          <w:szCs w:val="20"/>
          <w:lang w:val="en-US"/>
        </w:rPr>
        <w:t xml:space="preserve"> </w:t>
      </w:r>
      <w:r w:rsidRPr="00FE7BA7">
        <w:rPr>
          <w:rFonts w:ascii="Verdana" w:hAnsi="Verdana"/>
          <w:sz w:val="20"/>
          <w:szCs w:val="20"/>
          <w:lang w:val="en-US"/>
        </w:rPr>
        <w:t xml:space="preserve">asked </w:t>
      </w:r>
      <w:r w:rsidR="0026783F">
        <w:rPr>
          <w:rFonts w:ascii="Verdana" w:hAnsi="Verdana"/>
          <w:sz w:val="20"/>
          <w:szCs w:val="20"/>
          <w:lang w:val="en-US"/>
        </w:rPr>
        <w:t xml:space="preserve">that </w:t>
      </w:r>
      <w:r w:rsidRPr="00FE7BA7">
        <w:rPr>
          <w:rFonts w:ascii="Verdana" w:hAnsi="Verdana"/>
          <w:sz w:val="20"/>
          <w:szCs w:val="20"/>
          <w:lang w:val="en-US"/>
        </w:rPr>
        <w:t xml:space="preserve">the Court declare the international responsibility of the </w:t>
      </w:r>
      <w:r w:rsidR="002B5CCD" w:rsidRPr="00FE7BA7">
        <w:rPr>
          <w:rFonts w:ascii="Verdana" w:hAnsi="Verdana"/>
          <w:sz w:val="20"/>
          <w:szCs w:val="20"/>
          <w:lang w:val="en-US"/>
        </w:rPr>
        <w:t>State</w:t>
      </w:r>
      <w:r w:rsidR="00E4033A" w:rsidRPr="00FE7BA7">
        <w:rPr>
          <w:rFonts w:ascii="Verdana" w:hAnsi="Verdana"/>
          <w:sz w:val="20"/>
          <w:szCs w:val="20"/>
          <w:lang w:val="en-US"/>
        </w:rPr>
        <w:t xml:space="preserve"> </w:t>
      </w:r>
      <w:r w:rsidRPr="00FE7BA7">
        <w:rPr>
          <w:rFonts w:ascii="Verdana" w:hAnsi="Verdana"/>
          <w:sz w:val="20"/>
          <w:szCs w:val="20"/>
          <w:lang w:val="en-US"/>
        </w:rPr>
        <w:t xml:space="preserve">for the violations described in its </w:t>
      </w:r>
      <w:r w:rsidR="00773D70" w:rsidRPr="00FE7BA7">
        <w:rPr>
          <w:rFonts w:ascii="Verdana" w:hAnsi="Verdana"/>
          <w:sz w:val="20"/>
          <w:szCs w:val="20"/>
          <w:lang w:val="en-US"/>
        </w:rPr>
        <w:t>Merits Report</w:t>
      </w:r>
      <w:r w:rsidR="002B5CCD" w:rsidRPr="00FE7BA7">
        <w:rPr>
          <w:rFonts w:ascii="Verdana" w:hAnsi="Verdana"/>
          <w:sz w:val="20"/>
          <w:szCs w:val="20"/>
          <w:lang w:val="en-US"/>
        </w:rPr>
        <w:t xml:space="preserve"> and </w:t>
      </w:r>
      <w:r w:rsidR="0026783F">
        <w:rPr>
          <w:rFonts w:ascii="Verdana" w:hAnsi="Verdana"/>
          <w:sz w:val="20"/>
          <w:szCs w:val="20"/>
          <w:lang w:val="en-US"/>
        </w:rPr>
        <w:t xml:space="preserve">that it </w:t>
      </w:r>
      <w:r w:rsidRPr="00FE7BA7">
        <w:rPr>
          <w:rFonts w:ascii="Verdana" w:hAnsi="Verdana"/>
          <w:sz w:val="20"/>
          <w:szCs w:val="20"/>
          <w:lang w:val="en-US"/>
        </w:rPr>
        <w:t xml:space="preserve">order the State, as measures of reparation, to comply with the recommendations set out in that document </w:t>
      </w:r>
      <w:r w:rsidR="00E4033A" w:rsidRPr="00FE7BA7">
        <w:rPr>
          <w:rFonts w:ascii="Verdana" w:hAnsi="Verdana"/>
          <w:sz w:val="20"/>
          <w:szCs w:val="20"/>
          <w:lang w:val="en-US"/>
        </w:rPr>
        <w:t>(</w:t>
      </w:r>
      <w:r w:rsidR="00366D91" w:rsidRPr="00FE7BA7">
        <w:rPr>
          <w:rFonts w:ascii="Verdana" w:hAnsi="Verdana"/>
          <w:i/>
          <w:sz w:val="20"/>
          <w:szCs w:val="20"/>
          <w:lang w:val="en-US"/>
        </w:rPr>
        <w:t>supra</w:t>
      </w:r>
      <w:r w:rsidR="00E4033A" w:rsidRPr="00FE7BA7">
        <w:rPr>
          <w:rFonts w:ascii="Verdana" w:hAnsi="Verdana"/>
          <w:sz w:val="20"/>
          <w:szCs w:val="20"/>
          <w:lang w:val="en-US"/>
        </w:rPr>
        <w:t xml:space="preserve"> </w:t>
      </w:r>
      <w:r w:rsidRPr="00FE7BA7">
        <w:rPr>
          <w:rFonts w:ascii="Verdana" w:hAnsi="Verdana"/>
          <w:sz w:val="20"/>
          <w:szCs w:val="20"/>
          <w:lang w:val="en-US"/>
        </w:rPr>
        <w:t>para.</w:t>
      </w:r>
      <w:r w:rsidR="00E4033A" w:rsidRPr="00FE7BA7">
        <w:rPr>
          <w:rFonts w:ascii="Verdana" w:hAnsi="Verdana"/>
          <w:sz w:val="20"/>
          <w:szCs w:val="20"/>
          <w:lang w:val="en-US"/>
        </w:rPr>
        <w:t xml:space="preserve"> </w:t>
      </w:r>
      <w:proofErr w:type="gramStart"/>
      <w:r w:rsidR="00281D2A" w:rsidRPr="00FE7BA7">
        <w:rPr>
          <w:rFonts w:ascii="Verdana" w:hAnsi="Verdana"/>
          <w:sz w:val="20"/>
          <w:szCs w:val="20"/>
          <w:lang w:val="en-US"/>
        </w:rPr>
        <w:t>2.</w:t>
      </w:r>
      <w:proofErr w:type="gramEnd"/>
      <w:r w:rsidR="00281D2A" w:rsidRPr="00FE7BA7">
        <w:rPr>
          <w:rFonts w:ascii="Verdana" w:hAnsi="Verdana"/>
          <w:sz w:val="20"/>
          <w:szCs w:val="20"/>
          <w:lang w:val="en-US"/>
        </w:rPr>
        <w:t>c</w:t>
      </w:r>
      <w:r w:rsidR="00E4033A" w:rsidRPr="00FE7BA7">
        <w:rPr>
          <w:rFonts w:ascii="Verdana" w:hAnsi="Verdana"/>
          <w:sz w:val="20"/>
          <w:szCs w:val="20"/>
          <w:lang w:val="en-US"/>
        </w:rPr>
        <w:t>)</w:t>
      </w:r>
      <w:r w:rsidRPr="00FE7BA7">
        <w:rPr>
          <w:rFonts w:ascii="Verdana" w:hAnsi="Verdana"/>
          <w:sz w:val="20"/>
          <w:szCs w:val="20"/>
          <w:lang w:val="en-US"/>
        </w:rPr>
        <w:t>.</w:t>
      </w:r>
    </w:p>
    <w:p w14:paraId="63126823" w14:textId="77777777" w:rsidR="00E4033A" w:rsidRPr="00FE7BA7" w:rsidRDefault="00E4033A" w:rsidP="00E4033A">
      <w:pPr>
        <w:pStyle w:val="ListParagraph"/>
        <w:ind w:left="0"/>
        <w:jc w:val="both"/>
        <w:rPr>
          <w:rFonts w:ascii="Verdana" w:hAnsi="Verdana"/>
          <w:sz w:val="20"/>
          <w:szCs w:val="20"/>
          <w:lang w:val="en-US"/>
        </w:rPr>
      </w:pPr>
    </w:p>
    <w:p w14:paraId="63126824" w14:textId="77777777" w:rsidR="00E4033A" w:rsidRPr="00FE7BA7" w:rsidRDefault="00E4033A" w:rsidP="00E4033A">
      <w:pPr>
        <w:pStyle w:val="Heading1"/>
        <w:tabs>
          <w:tab w:val="left" w:pos="851"/>
        </w:tabs>
        <w:spacing w:before="0"/>
        <w:jc w:val="center"/>
        <w:rPr>
          <w:rFonts w:ascii="Verdana" w:hAnsi="Verdana" w:cs="Verdana"/>
          <w:caps/>
          <w:snapToGrid w:val="0"/>
          <w:color w:val="auto"/>
          <w:sz w:val="20"/>
          <w:szCs w:val="20"/>
          <w:lang w:val="en-US"/>
        </w:rPr>
      </w:pPr>
      <w:bookmarkStart w:id="2" w:name="_Toc441673177"/>
      <w:r w:rsidRPr="00FE7BA7">
        <w:rPr>
          <w:rFonts w:ascii="Verdana" w:hAnsi="Verdana" w:cs="Verdana"/>
          <w:caps/>
          <w:snapToGrid w:val="0"/>
          <w:color w:val="auto"/>
          <w:sz w:val="20"/>
          <w:szCs w:val="20"/>
          <w:lang w:val="en-US"/>
        </w:rPr>
        <w:lastRenderedPageBreak/>
        <w:t>II</w:t>
      </w:r>
      <w:r w:rsidRPr="00FE7BA7">
        <w:rPr>
          <w:rFonts w:ascii="Verdana" w:hAnsi="Verdana" w:cs="Verdana"/>
          <w:caps/>
          <w:snapToGrid w:val="0"/>
          <w:color w:val="auto"/>
          <w:sz w:val="20"/>
          <w:szCs w:val="20"/>
          <w:lang w:val="en-US"/>
        </w:rPr>
        <w:br/>
      </w:r>
      <w:r w:rsidR="00810FAD" w:rsidRPr="00FE7BA7">
        <w:rPr>
          <w:rFonts w:ascii="Verdana" w:hAnsi="Verdana" w:cs="Verdana"/>
          <w:caps/>
          <w:snapToGrid w:val="0"/>
          <w:color w:val="auto"/>
          <w:sz w:val="20"/>
          <w:szCs w:val="20"/>
          <w:lang w:val="en-US"/>
        </w:rPr>
        <w:t>PROCEEDINGS BEFORE THE COURT</w:t>
      </w:r>
      <w:bookmarkEnd w:id="2"/>
    </w:p>
    <w:p w14:paraId="63126825" w14:textId="77777777" w:rsidR="00E4033A" w:rsidRPr="00FE7BA7" w:rsidRDefault="00E4033A" w:rsidP="00E4033A">
      <w:pPr>
        <w:pStyle w:val="ListParagraph"/>
        <w:ind w:left="0"/>
        <w:jc w:val="both"/>
        <w:rPr>
          <w:rFonts w:ascii="Verdana" w:hAnsi="Verdana"/>
          <w:sz w:val="20"/>
          <w:szCs w:val="20"/>
          <w:lang w:val="en-US"/>
        </w:rPr>
      </w:pPr>
    </w:p>
    <w:p w14:paraId="63126826" w14:textId="450B91B5" w:rsidR="00E4033A" w:rsidRPr="00FE7BA7" w:rsidRDefault="00F20A5C" w:rsidP="00E4033A">
      <w:pPr>
        <w:pStyle w:val="ListParagraph"/>
        <w:numPr>
          <w:ilvl w:val="0"/>
          <w:numId w:val="2"/>
        </w:numPr>
        <w:ind w:left="0" w:firstLine="0"/>
        <w:jc w:val="both"/>
        <w:rPr>
          <w:rFonts w:ascii="Verdana" w:hAnsi="Verdana"/>
          <w:sz w:val="20"/>
          <w:szCs w:val="20"/>
          <w:lang w:val="en-US"/>
        </w:rPr>
      </w:pPr>
      <w:r>
        <w:rPr>
          <w:rFonts w:ascii="Verdana" w:hAnsi="Verdana"/>
          <w:i/>
          <w:sz w:val="20"/>
          <w:szCs w:val="20"/>
          <w:lang w:val="en-US"/>
        </w:rPr>
        <w:t>Notice to</w:t>
      </w:r>
      <w:r w:rsidR="00810FAD" w:rsidRPr="00FE7BA7">
        <w:rPr>
          <w:rFonts w:ascii="Verdana" w:hAnsi="Verdana"/>
          <w:i/>
          <w:sz w:val="20"/>
          <w:szCs w:val="20"/>
          <w:lang w:val="en-US"/>
        </w:rPr>
        <w:t xml:space="preserve"> the State</w:t>
      </w:r>
      <w:r w:rsidR="00281D2A" w:rsidRPr="00FE7BA7">
        <w:rPr>
          <w:rStyle w:val="FootnoteReference"/>
          <w:i/>
          <w:szCs w:val="20"/>
          <w:lang w:val="en-US"/>
        </w:rPr>
        <w:footnoteReference w:id="7"/>
      </w:r>
      <w:r w:rsidR="002B5CCD" w:rsidRPr="00FE7BA7">
        <w:rPr>
          <w:rFonts w:ascii="Verdana" w:hAnsi="Verdana"/>
          <w:i/>
          <w:sz w:val="20"/>
          <w:szCs w:val="20"/>
          <w:lang w:val="en-US"/>
        </w:rPr>
        <w:t xml:space="preserve"> and </w:t>
      </w:r>
      <w:r w:rsidR="00810FAD" w:rsidRPr="00FE7BA7">
        <w:rPr>
          <w:rFonts w:ascii="Verdana" w:hAnsi="Verdana"/>
          <w:i/>
          <w:sz w:val="20"/>
          <w:szCs w:val="20"/>
          <w:lang w:val="en-US"/>
        </w:rPr>
        <w:t>the representatives</w:t>
      </w:r>
      <w:r w:rsidR="00E4033A" w:rsidRPr="00FE7BA7">
        <w:rPr>
          <w:rFonts w:ascii="Verdana" w:hAnsi="Verdana"/>
          <w:i/>
          <w:sz w:val="20"/>
          <w:szCs w:val="20"/>
          <w:lang w:val="en-US"/>
        </w:rPr>
        <w:t xml:space="preserve"> </w:t>
      </w:r>
      <w:r w:rsidR="00810FAD" w:rsidRPr="00FE7BA7">
        <w:rPr>
          <w:rFonts w:ascii="Verdana" w:hAnsi="Verdana"/>
          <w:i/>
          <w:sz w:val="20"/>
          <w:szCs w:val="20"/>
          <w:lang w:val="en-US"/>
        </w:rPr>
        <w:t xml:space="preserve">of the </w:t>
      </w:r>
      <w:r>
        <w:rPr>
          <w:rFonts w:ascii="Verdana" w:hAnsi="Verdana"/>
          <w:i/>
          <w:sz w:val="20"/>
          <w:szCs w:val="20"/>
          <w:lang w:val="en-US"/>
        </w:rPr>
        <w:t>alleged</w:t>
      </w:r>
      <w:r w:rsidRPr="00FE7BA7">
        <w:rPr>
          <w:rFonts w:ascii="Verdana" w:hAnsi="Verdana"/>
          <w:i/>
          <w:sz w:val="20"/>
          <w:szCs w:val="20"/>
          <w:lang w:val="en-US"/>
        </w:rPr>
        <w:t xml:space="preserve"> </w:t>
      </w:r>
      <w:r w:rsidR="00810FAD" w:rsidRPr="00FE7BA7">
        <w:rPr>
          <w:rFonts w:ascii="Verdana" w:hAnsi="Verdana"/>
          <w:i/>
          <w:sz w:val="20"/>
          <w:szCs w:val="20"/>
          <w:lang w:val="en-US"/>
        </w:rPr>
        <w:t>victims.</w:t>
      </w:r>
      <w:r w:rsidR="00E4033A" w:rsidRPr="00FE7BA7">
        <w:rPr>
          <w:rFonts w:ascii="Verdana" w:hAnsi="Verdana"/>
          <w:sz w:val="20"/>
          <w:szCs w:val="20"/>
          <w:vertAlign w:val="superscript"/>
          <w:lang w:val="en-US"/>
        </w:rPr>
        <w:footnoteReference w:id="8"/>
      </w:r>
      <w:r w:rsidR="00810FAD" w:rsidRPr="00FE7BA7">
        <w:rPr>
          <w:rFonts w:ascii="Verdana" w:hAnsi="Verdana"/>
          <w:sz w:val="20"/>
          <w:szCs w:val="20"/>
          <w:lang w:val="en-US"/>
        </w:rPr>
        <w:t xml:space="preserve"> The </w:t>
      </w:r>
      <w:r w:rsidR="007F6AA0">
        <w:rPr>
          <w:rFonts w:ascii="Verdana" w:hAnsi="Verdana"/>
          <w:sz w:val="20"/>
          <w:szCs w:val="20"/>
          <w:lang w:val="en-US"/>
        </w:rPr>
        <w:t xml:space="preserve">Commission’s </w:t>
      </w:r>
      <w:r w:rsidR="00810FAD" w:rsidRPr="00FE7BA7">
        <w:rPr>
          <w:rFonts w:ascii="Verdana" w:hAnsi="Verdana"/>
          <w:sz w:val="20"/>
          <w:szCs w:val="20"/>
          <w:lang w:val="en-US"/>
        </w:rPr>
        <w:t>submission of the case was notified to the State and</w:t>
      </w:r>
      <w:r w:rsidR="002B5CCD" w:rsidRPr="00FE7BA7">
        <w:rPr>
          <w:rFonts w:ascii="Verdana" w:hAnsi="Verdana"/>
          <w:sz w:val="20"/>
          <w:szCs w:val="20"/>
          <w:lang w:val="en-US"/>
        </w:rPr>
        <w:t xml:space="preserve"> </w:t>
      </w:r>
      <w:r w:rsidR="00810FAD" w:rsidRPr="00FE7BA7">
        <w:rPr>
          <w:rFonts w:ascii="Verdana" w:hAnsi="Verdana"/>
          <w:sz w:val="20"/>
          <w:szCs w:val="20"/>
          <w:lang w:val="en-US"/>
        </w:rPr>
        <w:t>to</w:t>
      </w:r>
      <w:r w:rsidR="00E4033A"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E4033A" w:rsidRPr="00FE7BA7">
        <w:rPr>
          <w:rFonts w:ascii="Verdana" w:hAnsi="Verdana"/>
          <w:sz w:val="20"/>
          <w:szCs w:val="20"/>
          <w:lang w:val="en-US"/>
        </w:rPr>
        <w:t xml:space="preserve"> </w:t>
      </w:r>
      <w:r w:rsidR="00810FAD" w:rsidRPr="00FE7BA7">
        <w:rPr>
          <w:rFonts w:ascii="Verdana" w:hAnsi="Verdana"/>
          <w:sz w:val="20"/>
          <w:szCs w:val="20"/>
          <w:lang w:val="en-US"/>
        </w:rPr>
        <w:t xml:space="preserve">of the </w:t>
      </w:r>
      <w:r w:rsidR="007A09A8" w:rsidRPr="007A09A8">
        <w:rPr>
          <w:rFonts w:ascii="Verdana" w:hAnsi="Verdana"/>
          <w:sz w:val="20"/>
          <w:szCs w:val="20"/>
          <w:lang w:val="en-US"/>
        </w:rPr>
        <w:t>alleged</w:t>
      </w:r>
      <w:r w:rsidR="007A09A8" w:rsidRPr="00FE7BA7">
        <w:rPr>
          <w:rFonts w:ascii="Verdana" w:hAnsi="Verdana"/>
          <w:i/>
          <w:sz w:val="20"/>
          <w:szCs w:val="20"/>
          <w:lang w:val="en-US"/>
        </w:rPr>
        <w:t xml:space="preserve"> </w:t>
      </w:r>
      <w:r w:rsidR="00810FAD" w:rsidRPr="00FE7BA7">
        <w:rPr>
          <w:rFonts w:ascii="Verdana" w:hAnsi="Verdana"/>
          <w:sz w:val="20"/>
          <w:szCs w:val="20"/>
          <w:lang w:val="en-US"/>
        </w:rPr>
        <w:t>victims</w:t>
      </w:r>
      <w:r w:rsidR="00E4033A" w:rsidRPr="00FE7BA7">
        <w:rPr>
          <w:rFonts w:ascii="Verdana" w:hAnsi="Verdana"/>
          <w:sz w:val="20"/>
          <w:szCs w:val="20"/>
          <w:lang w:val="en-US"/>
        </w:rPr>
        <w:t xml:space="preserve"> (</w:t>
      </w:r>
      <w:r w:rsidR="002B5CCD" w:rsidRPr="00FE7BA7">
        <w:rPr>
          <w:rFonts w:ascii="Verdana" w:hAnsi="Verdana"/>
          <w:sz w:val="20"/>
          <w:szCs w:val="20"/>
          <w:lang w:val="en-US"/>
        </w:rPr>
        <w:t>hereinafter</w:t>
      </w:r>
      <w:r w:rsidR="00E4033A"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E4033A" w:rsidRPr="00FE7BA7">
        <w:rPr>
          <w:rFonts w:ascii="Verdana" w:hAnsi="Verdana"/>
          <w:sz w:val="20"/>
          <w:szCs w:val="20"/>
          <w:lang w:val="en-US"/>
        </w:rPr>
        <w:t xml:space="preserve">”) </w:t>
      </w:r>
      <w:r w:rsidR="00810FAD" w:rsidRPr="00FE7BA7">
        <w:rPr>
          <w:rFonts w:ascii="Verdana" w:hAnsi="Verdana"/>
          <w:sz w:val="20"/>
          <w:szCs w:val="20"/>
          <w:lang w:val="en-US"/>
        </w:rPr>
        <w:t>on February 27,</w:t>
      </w:r>
      <w:r w:rsidR="000A6F50">
        <w:rPr>
          <w:rFonts w:ascii="Verdana" w:hAnsi="Verdana"/>
          <w:sz w:val="20"/>
          <w:szCs w:val="20"/>
          <w:lang w:val="en-US"/>
        </w:rPr>
        <w:t xml:space="preserve"> 2014.</w:t>
      </w:r>
    </w:p>
    <w:p w14:paraId="63126827" w14:textId="77777777" w:rsidR="00E4033A" w:rsidRPr="00FE7BA7" w:rsidRDefault="00E4033A" w:rsidP="00E4033A">
      <w:pPr>
        <w:pStyle w:val="ListParagraph"/>
        <w:ind w:left="0"/>
        <w:jc w:val="both"/>
        <w:rPr>
          <w:rFonts w:ascii="Verdana" w:hAnsi="Verdana"/>
          <w:sz w:val="20"/>
          <w:szCs w:val="20"/>
          <w:lang w:val="en-US"/>
        </w:rPr>
      </w:pPr>
    </w:p>
    <w:p w14:paraId="63126828" w14:textId="77777777" w:rsidR="00E4033A" w:rsidRPr="00FE7BA7" w:rsidRDefault="00810FAD" w:rsidP="00E4033A">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 xml:space="preserve">Brief with </w:t>
      </w:r>
      <w:r w:rsidR="007F6AA0">
        <w:rPr>
          <w:rFonts w:ascii="Verdana" w:hAnsi="Verdana"/>
          <w:i/>
          <w:sz w:val="20"/>
          <w:szCs w:val="20"/>
          <w:lang w:val="en-US"/>
        </w:rPr>
        <w:t>pleadings, motions and</w:t>
      </w:r>
      <w:r w:rsidRPr="00FE7BA7">
        <w:rPr>
          <w:rFonts w:ascii="Verdana" w:hAnsi="Verdana"/>
          <w:i/>
          <w:sz w:val="20"/>
          <w:szCs w:val="20"/>
          <w:lang w:val="en-US"/>
        </w:rPr>
        <w:t xml:space="preserve"> evidence</w:t>
      </w:r>
      <w:r w:rsidR="007140D9" w:rsidRPr="00FE7BA7">
        <w:rPr>
          <w:rFonts w:ascii="Verdana" w:hAnsi="Verdana"/>
          <w:i/>
          <w:sz w:val="20"/>
          <w:szCs w:val="20"/>
          <w:lang w:val="en-US"/>
        </w:rPr>
        <w:t>.</w:t>
      </w:r>
      <w:r w:rsidR="007140D9" w:rsidRPr="00FE7BA7">
        <w:rPr>
          <w:rFonts w:ascii="Verdana" w:hAnsi="Verdana"/>
          <w:sz w:val="20"/>
          <w:szCs w:val="20"/>
          <w:lang w:val="en-US"/>
        </w:rPr>
        <w:t xml:space="preserve"> </w:t>
      </w:r>
      <w:r w:rsidRPr="00FE7BA7">
        <w:rPr>
          <w:rFonts w:ascii="Verdana" w:hAnsi="Verdana"/>
          <w:sz w:val="20"/>
          <w:szCs w:val="20"/>
          <w:lang w:val="en-US"/>
        </w:rPr>
        <w:t>On April 24, 2014, the representatives</w:t>
      </w:r>
      <w:r w:rsidR="00E4033A" w:rsidRPr="00FE7BA7">
        <w:rPr>
          <w:rFonts w:ascii="Verdana" w:hAnsi="Verdana"/>
          <w:sz w:val="20"/>
          <w:szCs w:val="20"/>
          <w:lang w:val="en-US"/>
        </w:rPr>
        <w:t xml:space="preserve"> present</w:t>
      </w:r>
      <w:r w:rsidRPr="00FE7BA7">
        <w:rPr>
          <w:rFonts w:ascii="Verdana" w:hAnsi="Verdana"/>
          <w:sz w:val="20"/>
          <w:szCs w:val="20"/>
          <w:lang w:val="en-US"/>
        </w:rPr>
        <w:t xml:space="preserve">ed their brief with </w:t>
      </w:r>
      <w:r w:rsidR="007F6AA0">
        <w:rPr>
          <w:rFonts w:ascii="Verdana" w:hAnsi="Verdana"/>
          <w:sz w:val="20"/>
          <w:szCs w:val="20"/>
          <w:lang w:val="en-US"/>
        </w:rPr>
        <w:t>pleadings, motions and</w:t>
      </w:r>
      <w:r w:rsidRPr="00FE7BA7">
        <w:rPr>
          <w:rFonts w:ascii="Verdana" w:hAnsi="Verdana"/>
          <w:sz w:val="20"/>
          <w:szCs w:val="20"/>
          <w:lang w:val="en-US"/>
        </w:rPr>
        <w:t xml:space="preserve"> evidence</w:t>
      </w:r>
      <w:r w:rsidR="00E4033A" w:rsidRPr="00FE7BA7">
        <w:rPr>
          <w:rFonts w:ascii="Verdana" w:hAnsi="Verdana"/>
          <w:sz w:val="20"/>
          <w:szCs w:val="20"/>
          <w:lang w:val="en-US"/>
        </w:rPr>
        <w:t xml:space="preserve"> (</w:t>
      </w:r>
      <w:r w:rsidR="002B5CCD" w:rsidRPr="00FE7BA7">
        <w:rPr>
          <w:rFonts w:ascii="Verdana" w:hAnsi="Verdana"/>
          <w:sz w:val="20"/>
          <w:szCs w:val="20"/>
          <w:lang w:val="en-US"/>
        </w:rPr>
        <w:t>hereinafter</w:t>
      </w:r>
      <w:r w:rsidR="00E4033A" w:rsidRPr="00FE7BA7">
        <w:rPr>
          <w:rFonts w:ascii="Verdana" w:hAnsi="Verdana"/>
          <w:sz w:val="20"/>
          <w:szCs w:val="20"/>
          <w:lang w:val="en-US"/>
        </w:rPr>
        <w:t xml:space="preserve"> “</w:t>
      </w:r>
      <w:r w:rsidR="007F6AA0">
        <w:rPr>
          <w:rFonts w:ascii="Verdana" w:hAnsi="Verdana"/>
          <w:sz w:val="20"/>
          <w:szCs w:val="20"/>
          <w:lang w:val="en-US"/>
        </w:rPr>
        <w:t>pleadings and motions brief</w:t>
      </w:r>
      <w:r w:rsidR="00E4033A" w:rsidRPr="00FE7BA7">
        <w:rPr>
          <w:rFonts w:ascii="Verdana" w:hAnsi="Verdana"/>
          <w:sz w:val="20"/>
          <w:szCs w:val="20"/>
          <w:lang w:val="en-US"/>
        </w:rPr>
        <w:t>”)</w:t>
      </w:r>
      <w:r w:rsidR="000A6F50">
        <w:rPr>
          <w:rFonts w:ascii="Verdana" w:hAnsi="Verdana"/>
          <w:sz w:val="20"/>
          <w:szCs w:val="20"/>
          <w:lang w:val="en-US"/>
        </w:rPr>
        <w:t>.</w:t>
      </w:r>
    </w:p>
    <w:p w14:paraId="63126829" w14:textId="77777777" w:rsidR="00E4033A" w:rsidRPr="00FE7BA7" w:rsidRDefault="00E4033A" w:rsidP="00E4033A">
      <w:pPr>
        <w:jc w:val="both"/>
        <w:rPr>
          <w:rFonts w:ascii="Verdana" w:hAnsi="Verdana"/>
          <w:sz w:val="20"/>
          <w:szCs w:val="20"/>
          <w:lang w:val="en-US"/>
        </w:rPr>
      </w:pPr>
    </w:p>
    <w:p w14:paraId="6312682A" w14:textId="67E1B607" w:rsidR="00E4033A" w:rsidRPr="00FE7BA7" w:rsidRDefault="007F6AA0" w:rsidP="00E4033A">
      <w:pPr>
        <w:pStyle w:val="ListParagraph"/>
        <w:numPr>
          <w:ilvl w:val="0"/>
          <w:numId w:val="2"/>
        </w:numPr>
        <w:ind w:left="0" w:firstLine="0"/>
        <w:jc w:val="both"/>
        <w:rPr>
          <w:rFonts w:ascii="Verdana" w:hAnsi="Verdana"/>
          <w:sz w:val="20"/>
          <w:szCs w:val="20"/>
          <w:lang w:val="en-US"/>
        </w:rPr>
      </w:pPr>
      <w:r>
        <w:rPr>
          <w:rFonts w:ascii="Verdana" w:hAnsi="Verdana"/>
          <w:i/>
          <w:sz w:val="20"/>
          <w:szCs w:val="20"/>
          <w:lang w:val="en-US"/>
        </w:rPr>
        <w:t>Response</w:t>
      </w:r>
      <w:r w:rsidR="007140D9" w:rsidRPr="00FE7BA7">
        <w:rPr>
          <w:rFonts w:ascii="Verdana" w:hAnsi="Verdana"/>
          <w:i/>
          <w:sz w:val="20"/>
          <w:szCs w:val="20"/>
          <w:lang w:val="en-US"/>
        </w:rPr>
        <w:t>.</w:t>
      </w:r>
      <w:r w:rsidR="007140D9" w:rsidRPr="00FE7BA7">
        <w:rPr>
          <w:rFonts w:ascii="Verdana" w:hAnsi="Verdana"/>
          <w:sz w:val="20"/>
          <w:szCs w:val="20"/>
          <w:lang w:val="en-US"/>
        </w:rPr>
        <w:t xml:space="preserve"> </w:t>
      </w:r>
      <w:r w:rsidR="00810FAD" w:rsidRPr="00FE7BA7">
        <w:rPr>
          <w:rFonts w:ascii="Verdana" w:hAnsi="Verdana"/>
          <w:sz w:val="20"/>
          <w:szCs w:val="20"/>
          <w:lang w:val="en-US"/>
        </w:rPr>
        <w:t>On October 3,</w:t>
      </w:r>
      <w:r w:rsidR="00E4033A" w:rsidRPr="00FE7BA7">
        <w:rPr>
          <w:rFonts w:ascii="Verdana" w:hAnsi="Verdana"/>
          <w:sz w:val="20"/>
          <w:szCs w:val="20"/>
          <w:lang w:val="en-US"/>
        </w:rPr>
        <w:t xml:space="preserve"> 2014</w:t>
      </w:r>
      <w:r w:rsidR="00810FAD" w:rsidRPr="00FE7BA7">
        <w:rPr>
          <w:rFonts w:ascii="Verdana" w:hAnsi="Verdana"/>
          <w:sz w:val="20"/>
          <w:szCs w:val="20"/>
          <w:lang w:val="en-US"/>
        </w:rPr>
        <w:t>,</w:t>
      </w:r>
      <w:r w:rsidR="00E4033A" w:rsidRPr="00FE7BA7">
        <w:rPr>
          <w:rFonts w:ascii="Verdana" w:hAnsi="Verdana"/>
          <w:sz w:val="20"/>
          <w:szCs w:val="20"/>
          <w:lang w:val="en-US"/>
        </w:rPr>
        <w:t xml:space="preserve"> </w:t>
      </w:r>
      <w:r w:rsidR="002B5CCD" w:rsidRPr="00FE7BA7">
        <w:rPr>
          <w:rFonts w:ascii="Verdana" w:hAnsi="Verdana"/>
          <w:sz w:val="20"/>
          <w:szCs w:val="20"/>
          <w:lang w:val="en-US"/>
        </w:rPr>
        <w:t>the State</w:t>
      </w:r>
      <w:r w:rsidR="00E4033A" w:rsidRPr="00FE7BA7">
        <w:rPr>
          <w:rFonts w:ascii="Verdana" w:hAnsi="Verdana"/>
          <w:sz w:val="20"/>
          <w:szCs w:val="20"/>
          <w:lang w:val="en-US"/>
        </w:rPr>
        <w:t xml:space="preserve"> </w:t>
      </w:r>
      <w:r w:rsidR="001030B1">
        <w:rPr>
          <w:rFonts w:ascii="Verdana" w:hAnsi="Verdana"/>
          <w:sz w:val="20"/>
          <w:szCs w:val="20"/>
          <w:lang w:val="en-US"/>
        </w:rPr>
        <w:t>submitted</w:t>
      </w:r>
      <w:r w:rsidR="001030B1" w:rsidRPr="00FE7BA7">
        <w:rPr>
          <w:rFonts w:ascii="Verdana" w:hAnsi="Verdana"/>
          <w:sz w:val="20"/>
          <w:szCs w:val="20"/>
          <w:lang w:val="en-US"/>
        </w:rPr>
        <w:t xml:space="preserve"> </w:t>
      </w:r>
      <w:r w:rsidR="00810FAD" w:rsidRPr="00FE7BA7">
        <w:rPr>
          <w:rFonts w:ascii="Verdana" w:hAnsi="Verdana"/>
          <w:sz w:val="20"/>
          <w:szCs w:val="20"/>
          <w:lang w:val="en-US"/>
        </w:rPr>
        <w:t>to</w:t>
      </w:r>
      <w:r w:rsidR="00E4033A" w:rsidRPr="00FE7BA7">
        <w:rPr>
          <w:rFonts w:ascii="Verdana" w:hAnsi="Verdana"/>
          <w:sz w:val="20"/>
          <w:szCs w:val="20"/>
          <w:lang w:val="en-US"/>
        </w:rPr>
        <w:t xml:space="preserve"> </w:t>
      </w:r>
      <w:r w:rsidR="002B5CCD" w:rsidRPr="00FE7BA7">
        <w:rPr>
          <w:rFonts w:ascii="Verdana" w:hAnsi="Verdana"/>
          <w:sz w:val="20"/>
          <w:szCs w:val="20"/>
          <w:lang w:val="en-US"/>
        </w:rPr>
        <w:t>the Court</w:t>
      </w:r>
      <w:r w:rsidR="00E4033A" w:rsidRPr="00FE7BA7">
        <w:rPr>
          <w:rFonts w:ascii="Verdana" w:hAnsi="Verdana"/>
          <w:sz w:val="20"/>
          <w:szCs w:val="20"/>
          <w:lang w:val="en-US"/>
        </w:rPr>
        <w:t xml:space="preserve"> </w:t>
      </w:r>
      <w:r w:rsidR="00810FAD" w:rsidRPr="00FE7BA7">
        <w:rPr>
          <w:rFonts w:ascii="Verdana" w:hAnsi="Verdana"/>
          <w:sz w:val="20"/>
          <w:szCs w:val="20"/>
          <w:lang w:val="en-US"/>
        </w:rPr>
        <w:t xml:space="preserve">its </w:t>
      </w:r>
      <w:r>
        <w:rPr>
          <w:rFonts w:ascii="Verdana" w:hAnsi="Verdana"/>
          <w:sz w:val="20"/>
          <w:szCs w:val="20"/>
          <w:lang w:val="en-US"/>
        </w:rPr>
        <w:t xml:space="preserve">response </w:t>
      </w:r>
      <w:r w:rsidR="00810FAD" w:rsidRPr="00FE7BA7">
        <w:rPr>
          <w:rFonts w:ascii="Verdana" w:hAnsi="Verdana"/>
          <w:sz w:val="20"/>
          <w:szCs w:val="20"/>
          <w:lang w:val="en-US"/>
        </w:rPr>
        <w:t xml:space="preserve">to the brief submitting the case, and with observations on the </w:t>
      </w:r>
      <w:r>
        <w:rPr>
          <w:rFonts w:ascii="Verdana" w:hAnsi="Verdana"/>
          <w:sz w:val="20"/>
          <w:szCs w:val="20"/>
          <w:lang w:val="en-US"/>
        </w:rPr>
        <w:t>pleadings and motions brief</w:t>
      </w:r>
      <w:r w:rsidR="00E4033A" w:rsidRPr="00FE7BA7">
        <w:rPr>
          <w:rFonts w:ascii="Verdana" w:hAnsi="Verdana"/>
          <w:sz w:val="20"/>
          <w:szCs w:val="20"/>
          <w:lang w:val="en-US"/>
        </w:rPr>
        <w:t xml:space="preserve"> (</w:t>
      </w:r>
      <w:r w:rsidR="002B5CCD" w:rsidRPr="00FE7BA7">
        <w:rPr>
          <w:rFonts w:ascii="Verdana" w:hAnsi="Verdana"/>
          <w:sz w:val="20"/>
          <w:szCs w:val="20"/>
          <w:lang w:val="en-US"/>
        </w:rPr>
        <w:t>hereinafter</w:t>
      </w:r>
      <w:r w:rsidR="00E4033A" w:rsidRPr="00FE7BA7">
        <w:rPr>
          <w:rFonts w:ascii="Verdana" w:hAnsi="Verdana"/>
          <w:sz w:val="20"/>
          <w:szCs w:val="20"/>
          <w:lang w:val="en-US"/>
        </w:rPr>
        <w:t xml:space="preserve"> “</w:t>
      </w:r>
      <w:r>
        <w:rPr>
          <w:rFonts w:ascii="Verdana" w:hAnsi="Verdana"/>
          <w:sz w:val="20"/>
          <w:szCs w:val="20"/>
          <w:lang w:val="en-US"/>
        </w:rPr>
        <w:t>response</w:t>
      </w:r>
      <w:r w:rsidR="00E4033A" w:rsidRPr="00FE7BA7">
        <w:rPr>
          <w:rFonts w:ascii="Verdana" w:hAnsi="Verdana"/>
          <w:sz w:val="20"/>
          <w:szCs w:val="20"/>
          <w:lang w:val="en-US"/>
        </w:rPr>
        <w:t>”)</w:t>
      </w:r>
      <w:r w:rsidR="00810FAD" w:rsidRPr="00FE7BA7">
        <w:rPr>
          <w:rFonts w:ascii="Verdana" w:hAnsi="Verdana"/>
          <w:sz w:val="20"/>
          <w:szCs w:val="20"/>
          <w:lang w:val="en-US"/>
        </w:rPr>
        <w:t>.</w:t>
      </w:r>
    </w:p>
    <w:p w14:paraId="6312682B" w14:textId="77777777" w:rsidR="00E4033A" w:rsidRPr="00FE7BA7" w:rsidRDefault="00E4033A" w:rsidP="00E4033A">
      <w:pPr>
        <w:jc w:val="both"/>
        <w:rPr>
          <w:rFonts w:ascii="Verdana" w:hAnsi="Verdana"/>
          <w:sz w:val="20"/>
          <w:szCs w:val="20"/>
          <w:lang w:val="en-US"/>
        </w:rPr>
      </w:pPr>
    </w:p>
    <w:p w14:paraId="6312682C" w14:textId="7E0FC7B1" w:rsidR="00E4033A" w:rsidRPr="00FE7BA7" w:rsidRDefault="00810FAD" w:rsidP="00810FAD">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Summons to the hearing</w:t>
      </w:r>
      <w:r w:rsidR="007140D9" w:rsidRPr="00FE7BA7">
        <w:rPr>
          <w:rFonts w:ascii="Verdana" w:hAnsi="Verdana"/>
          <w:i/>
          <w:sz w:val="20"/>
          <w:szCs w:val="20"/>
          <w:lang w:val="en-US"/>
        </w:rPr>
        <w:t>.</w:t>
      </w:r>
      <w:r w:rsidRPr="00FE7BA7">
        <w:rPr>
          <w:rFonts w:ascii="Verdana" w:hAnsi="Verdana"/>
          <w:sz w:val="20"/>
          <w:szCs w:val="20"/>
          <w:lang w:val="en-US"/>
        </w:rPr>
        <w:t xml:space="preserve"> By an order of the </w:t>
      </w:r>
      <w:r w:rsidR="002B5CCD" w:rsidRPr="00FE7BA7">
        <w:rPr>
          <w:rFonts w:ascii="Verdana" w:hAnsi="Verdana"/>
          <w:sz w:val="20"/>
          <w:szCs w:val="20"/>
          <w:lang w:val="en-US"/>
        </w:rPr>
        <w:t>President of the Court</w:t>
      </w:r>
      <w:r w:rsidR="00E4033A" w:rsidRPr="00FE7BA7">
        <w:rPr>
          <w:rFonts w:ascii="Verdana" w:hAnsi="Verdana"/>
          <w:sz w:val="20"/>
          <w:szCs w:val="20"/>
          <w:lang w:val="en-US"/>
        </w:rPr>
        <w:t xml:space="preserve"> </w:t>
      </w:r>
      <w:r w:rsidRPr="00FE7BA7">
        <w:rPr>
          <w:rFonts w:ascii="Verdana" w:hAnsi="Verdana"/>
          <w:sz w:val="20"/>
          <w:szCs w:val="20"/>
          <w:lang w:val="en-US"/>
        </w:rPr>
        <w:t xml:space="preserve">dated December 18, </w:t>
      </w:r>
      <w:r w:rsidR="00E4033A" w:rsidRPr="00FE7BA7">
        <w:rPr>
          <w:rFonts w:ascii="Verdana" w:hAnsi="Verdana"/>
          <w:sz w:val="20"/>
          <w:szCs w:val="20"/>
          <w:lang w:val="en-US"/>
        </w:rPr>
        <w:t>2014</w:t>
      </w:r>
      <w:r w:rsidRPr="00FE7BA7">
        <w:rPr>
          <w:rFonts w:ascii="Verdana" w:hAnsi="Verdana"/>
          <w:sz w:val="20"/>
          <w:szCs w:val="20"/>
          <w:lang w:val="en-US"/>
        </w:rPr>
        <w:t>,</w:t>
      </w:r>
      <w:r w:rsidR="00E4033A" w:rsidRPr="00FE7BA7">
        <w:rPr>
          <w:rFonts w:ascii="Verdana" w:hAnsi="Verdana"/>
          <w:sz w:val="20"/>
          <w:szCs w:val="20"/>
          <w:vertAlign w:val="superscript"/>
          <w:lang w:val="en-US"/>
        </w:rPr>
        <w:footnoteReference w:id="9"/>
      </w:r>
      <w:r w:rsidR="00E4033A" w:rsidRPr="00FE7BA7">
        <w:rPr>
          <w:rFonts w:ascii="Verdana" w:hAnsi="Verdana"/>
          <w:sz w:val="20"/>
          <w:szCs w:val="20"/>
          <w:lang w:val="en-US"/>
        </w:rPr>
        <w:t xml:space="preserve"> </w:t>
      </w:r>
      <w:r w:rsidRPr="00FE7BA7">
        <w:rPr>
          <w:rFonts w:ascii="Verdana" w:hAnsi="Verdana"/>
          <w:sz w:val="20"/>
          <w:szCs w:val="20"/>
          <w:lang w:val="en-US"/>
        </w:rPr>
        <w:t>it was decided, among other matters: (</w:t>
      </w:r>
      <w:r w:rsidR="00E4033A" w:rsidRPr="00FE7BA7">
        <w:rPr>
          <w:rFonts w:ascii="Verdana" w:hAnsi="Verdana"/>
          <w:sz w:val="20"/>
          <w:szCs w:val="20"/>
          <w:lang w:val="en-US"/>
        </w:rPr>
        <w:t xml:space="preserve">i) </w:t>
      </w:r>
      <w:r w:rsidRPr="00FE7BA7">
        <w:rPr>
          <w:rFonts w:ascii="Verdana" w:hAnsi="Verdana"/>
          <w:sz w:val="20"/>
          <w:szCs w:val="20"/>
          <w:lang w:val="en-US"/>
        </w:rPr>
        <w:t xml:space="preserve">to require one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Pr="00FE7BA7">
        <w:rPr>
          <w:rFonts w:ascii="Verdana" w:hAnsi="Verdana"/>
          <w:sz w:val="20"/>
          <w:szCs w:val="20"/>
          <w:lang w:val="en-US"/>
        </w:rPr>
        <w:t xml:space="preserve">victim, one witness, and one expert witness proposed </w:t>
      </w:r>
      <w:r w:rsidR="007F6AA0">
        <w:rPr>
          <w:rFonts w:ascii="Verdana" w:hAnsi="Verdana"/>
          <w:sz w:val="20"/>
          <w:szCs w:val="20"/>
          <w:lang w:val="en-US"/>
        </w:rPr>
        <w:t>by the representatives, and</w:t>
      </w:r>
      <w:r w:rsidRPr="00FE7BA7">
        <w:rPr>
          <w:rFonts w:ascii="Verdana" w:hAnsi="Verdana"/>
          <w:sz w:val="20"/>
          <w:szCs w:val="20"/>
          <w:lang w:val="en-US"/>
        </w:rPr>
        <w:t xml:space="preserve"> one witness propose by the </w:t>
      </w:r>
      <w:r w:rsidR="002B5CCD" w:rsidRPr="00FE7BA7">
        <w:rPr>
          <w:rFonts w:ascii="Verdana" w:hAnsi="Verdana"/>
          <w:sz w:val="20"/>
          <w:szCs w:val="20"/>
          <w:lang w:val="en-US"/>
        </w:rPr>
        <w:t>State</w:t>
      </w:r>
      <w:r w:rsidRPr="00FE7BA7">
        <w:rPr>
          <w:rFonts w:ascii="Verdana" w:hAnsi="Verdana"/>
          <w:sz w:val="20"/>
          <w:szCs w:val="20"/>
          <w:lang w:val="en-US"/>
        </w:rPr>
        <w:t>,</w:t>
      </w:r>
      <w:r w:rsidR="00E4033A" w:rsidRPr="00FE7BA7">
        <w:rPr>
          <w:rStyle w:val="FootnoteReference"/>
          <w:szCs w:val="20"/>
          <w:lang w:val="en-US"/>
        </w:rPr>
        <w:footnoteReference w:id="10"/>
      </w:r>
      <w:r w:rsidRPr="00FE7BA7">
        <w:rPr>
          <w:rFonts w:ascii="Verdana" w:hAnsi="Verdana"/>
          <w:sz w:val="20"/>
          <w:szCs w:val="20"/>
          <w:lang w:val="en-US"/>
        </w:rPr>
        <w:t xml:space="preserve"> to provide their testimony by affidavit; (ii) to </w:t>
      </w:r>
      <w:r w:rsidR="00041616">
        <w:rPr>
          <w:rFonts w:ascii="Verdana" w:hAnsi="Verdana"/>
          <w:sz w:val="20"/>
          <w:szCs w:val="20"/>
          <w:lang w:val="en-US"/>
        </w:rPr>
        <w:t>summon</w:t>
      </w:r>
      <w:r w:rsidRPr="00FE7BA7">
        <w:rPr>
          <w:rFonts w:ascii="Verdana" w:hAnsi="Verdana"/>
          <w:sz w:val="20"/>
          <w:szCs w:val="20"/>
          <w:lang w:val="en-US"/>
        </w:rPr>
        <w:t xml:space="preserve"> the parties to a public hearing to receive the statements of two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Pr="00FE7BA7">
        <w:rPr>
          <w:rFonts w:ascii="Verdana" w:hAnsi="Verdana"/>
          <w:sz w:val="20"/>
          <w:szCs w:val="20"/>
          <w:lang w:val="en-US"/>
        </w:rPr>
        <w:t xml:space="preserve">victims and an expert opinion proposed by the representatives, as well as an expert opinion proposed by the Commission, and (iii) to transfer to this case the expert opinions of </w:t>
      </w:r>
      <w:r w:rsidR="00B76AD5" w:rsidRPr="00FE7BA7">
        <w:rPr>
          <w:rFonts w:ascii="Verdana" w:hAnsi="Verdana"/>
          <w:sz w:val="20"/>
          <w:szCs w:val="20"/>
          <w:lang w:val="en-US"/>
        </w:rPr>
        <w:t>Mariska Muskiet</w:t>
      </w:r>
      <w:r w:rsidR="002B5CCD" w:rsidRPr="00FE7BA7">
        <w:rPr>
          <w:rFonts w:ascii="Verdana" w:hAnsi="Verdana"/>
          <w:sz w:val="20"/>
          <w:szCs w:val="20"/>
          <w:lang w:val="en-US"/>
        </w:rPr>
        <w:t xml:space="preserve"> and </w:t>
      </w:r>
      <w:r w:rsidR="00041616">
        <w:rPr>
          <w:rFonts w:ascii="Verdana" w:hAnsi="Verdana"/>
          <w:sz w:val="20"/>
          <w:szCs w:val="20"/>
          <w:lang w:val="en-US"/>
        </w:rPr>
        <w:t>Magda Hoever-Venoaks</w:t>
      </w:r>
      <w:r w:rsidR="00B76AD5" w:rsidRPr="00FE7BA7">
        <w:rPr>
          <w:rFonts w:ascii="Verdana" w:hAnsi="Verdana"/>
          <w:sz w:val="20"/>
          <w:szCs w:val="20"/>
          <w:lang w:val="en-US"/>
        </w:rPr>
        <w:t xml:space="preserve"> </w:t>
      </w:r>
      <w:r w:rsidR="00E4033A" w:rsidRPr="00FE7BA7">
        <w:rPr>
          <w:rFonts w:ascii="Verdana" w:hAnsi="Verdana"/>
          <w:sz w:val="20"/>
          <w:szCs w:val="20"/>
          <w:lang w:val="en-US"/>
        </w:rPr>
        <w:t>present</w:t>
      </w:r>
      <w:r w:rsidRPr="00FE7BA7">
        <w:rPr>
          <w:rFonts w:ascii="Verdana" w:hAnsi="Verdana"/>
          <w:sz w:val="20"/>
          <w:szCs w:val="20"/>
          <w:lang w:val="en-US"/>
        </w:rPr>
        <w:t xml:space="preserve">ed in the case of the </w:t>
      </w:r>
      <w:r w:rsidR="00E4033A" w:rsidRPr="00FE7BA7">
        <w:rPr>
          <w:rFonts w:ascii="Verdana" w:hAnsi="Verdana"/>
          <w:i/>
          <w:sz w:val="20"/>
          <w:szCs w:val="20"/>
          <w:lang w:val="en-US"/>
        </w:rPr>
        <w:t>Saramaka</w:t>
      </w:r>
      <w:r w:rsidRPr="00FE7BA7">
        <w:rPr>
          <w:rFonts w:ascii="Verdana" w:hAnsi="Verdana"/>
          <w:i/>
          <w:sz w:val="20"/>
          <w:szCs w:val="20"/>
          <w:lang w:val="en-US"/>
        </w:rPr>
        <w:t xml:space="preserve"> People</w:t>
      </w:r>
      <w:r w:rsidR="00E4033A" w:rsidRPr="00FE7BA7">
        <w:rPr>
          <w:rFonts w:ascii="Verdana" w:hAnsi="Verdana"/>
          <w:sz w:val="20"/>
          <w:szCs w:val="20"/>
          <w:lang w:val="en-US"/>
        </w:rPr>
        <w:t xml:space="preserve"> </w:t>
      </w:r>
      <w:r w:rsidR="002B5CCD" w:rsidRPr="00FE7BA7">
        <w:rPr>
          <w:rFonts w:ascii="Verdana" w:hAnsi="Verdana"/>
          <w:i/>
          <w:sz w:val="20"/>
          <w:szCs w:val="20"/>
          <w:lang w:val="en-US"/>
        </w:rPr>
        <w:t>v.</w:t>
      </w:r>
      <w:r w:rsidR="00E4033A" w:rsidRPr="00FE7BA7">
        <w:rPr>
          <w:rFonts w:ascii="Verdana" w:hAnsi="Verdana"/>
          <w:sz w:val="20"/>
          <w:szCs w:val="20"/>
          <w:lang w:val="en-US"/>
        </w:rPr>
        <w:t xml:space="preserve"> </w:t>
      </w:r>
      <w:r w:rsidR="002B5CCD" w:rsidRPr="00FE7BA7">
        <w:rPr>
          <w:rFonts w:ascii="Verdana" w:hAnsi="Verdana"/>
          <w:sz w:val="20"/>
          <w:szCs w:val="20"/>
          <w:lang w:val="en-US"/>
        </w:rPr>
        <w:t>Suriname</w:t>
      </w:r>
      <w:r w:rsidRPr="00FE7BA7">
        <w:rPr>
          <w:rFonts w:ascii="Verdana" w:hAnsi="Verdana"/>
          <w:sz w:val="20"/>
          <w:szCs w:val="20"/>
          <w:lang w:val="en-US"/>
        </w:rPr>
        <w:t>.</w:t>
      </w:r>
      <w:r w:rsidR="002B5CCD" w:rsidRPr="00FE7BA7">
        <w:rPr>
          <w:rFonts w:ascii="Verdana" w:hAnsi="Verdana"/>
          <w:sz w:val="20"/>
          <w:szCs w:val="20"/>
          <w:lang w:val="en-US"/>
        </w:rPr>
        <w:t xml:space="preserve"> </w:t>
      </w:r>
      <w:r w:rsidRPr="00FE7BA7">
        <w:rPr>
          <w:rFonts w:ascii="Verdana" w:hAnsi="Verdana"/>
          <w:sz w:val="20"/>
          <w:szCs w:val="20"/>
          <w:lang w:val="en-US"/>
        </w:rPr>
        <w:t xml:space="preserve">The affidavits were received on January 27, </w:t>
      </w:r>
      <w:r w:rsidR="000A6F50">
        <w:rPr>
          <w:rFonts w:ascii="Verdana" w:hAnsi="Verdana"/>
          <w:sz w:val="20"/>
          <w:szCs w:val="20"/>
          <w:lang w:val="en-US"/>
        </w:rPr>
        <w:t>2015.</w:t>
      </w:r>
    </w:p>
    <w:p w14:paraId="6312682D" w14:textId="77777777" w:rsidR="00E4033A" w:rsidRPr="00FE7BA7" w:rsidRDefault="00E4033A" w:rsidP="00E4033A">
      <w:pPr>
        <w:jc w:val="both"/>
        <w:rPr>
          <w:rFonts w:ascii="Verdana" w:hAnsi="Verdana"/>
          <w:sz w:val="20"/>
          <w:szCs w:val="20"/>
          <w:lang w:val="en-US"/>
        </w:rPr>
      </w:pPr>
    </w:p>
    <w:p w14:paraId="6312682E" w14:textId="0C78E60A" w:rsidR="00E4033A" w:rsidRPr="00FE7BA7" w:rsidRDefault="00810FAD" w:rsidP="00E4033A">
      <w:pPr>
        <w:pStyle w:val="ListParagraph"/>
        <w:numPr>
          <w:ilvl w:val="0"/>
          <w:numId w:val="2"/>
        </w:numPr>
        <w:ind w:left="0" w:firstLine="0"/>
        <w:jc w:val="both"/>
        <w:rPr>
          <w:lang w:val="en-US"/>
        </w:rPr>
      </w:pPr>
      <w:r w:rsidRPr="00FE7BA7">
        <w:rPr>
          <w:rFonts w:ascii="Verdana" w:hAnsi="Verdana"/>
          <w:i/>
          <w:sz w:val="20"/>
          <w:szCs w:val="20"/>
          <w:lang w:val="en-US"/>
        </w:rPr>
        <w:t>Public hearing</w:t>
      </w:r>
      <w:r w:rsidR="00E4033A" w:rsidRPr="00FE7BA7">
        <w:rPr>
          <w:rFonts w:ascii="Verdana" w:hAnsi="Verdana"/>
          <w:i/>
          <w:sz w:val="20"/>
          <w:szCs w:val="20"/>
          <w:lang w:val="en-US"/>
        </w:rPr>
        <w:t>.</w:t>
      </w:r>
      <w:r w:rsidR="00041616">
        <w:rPr>
          <w:rFonts w:ascii="Verdana" w:hAnsi="Verdana"/>
          <w:sz w:val="20"/>
          <w:szCs w:val="20"/>
          <w:lang w:val="en-US"/>
        </w:rPr>
        <w:t xml:space="preserve"> </w:t>
      </w:r>
      <w:r w:rsidRPr="00FE7BA7">
        <w:rPr>
          <w:rFonts w:ascii="Verdana" w:hAnsi="Verdana"/>
          <w:sz w:val="20"/>
          <w:szCs w:val="20"/>
          <w:lang w:val="en-US"/>
        </w:rPr>
        <w:t>The public hearing was held on February 3 and 4,</w:t>
      </w:r>
      <w:r w:rsidR="00E4033A" w:rsidRPr="00FE7BA7">
        <w:rPr>
          <w:rFonts w:ascii="Verdana" w:hAnsi="Verdana"/>
          <w:sz w:val="20"/>
          <w:szCs w:val="20"/>
          <w:lang w:val="en-US"/>
        </w:rPr>
        <w:t xml:space="preserve"> 2015</w:t>
      </w:r>
      <w:r w:rsidRPr="00FE7BA7">
        <w:rPr>
          <w:rFonts w:ascii="Verdana" w:hAnsi="Verdana"/>
          <w:sz w:val="20"/>
          <w:szCs w:val="20"/>
          <w:lang w:val="en-US"/>
        </w:rPr>
        <w:t>, in</w:t>
      </w:r>
      <w:r w:rsidR="00E4033A" w:rsidRPr="00FE7BA7">
        <w:rPr>
          <w:rFonts w:ascii="Verdana" w:hAnsi="Verdana"/>
          <w:sz w:val="20"/>
          <w:szCs w:val="20"/>
          <w:lang w:val="en-US"/>
        </w:rPr>
        <w:t xml:space="preserve"> San José, Costa Rica, dur</w:t>
      </w:r>
      <w:r w:rsidRPr="00FE7BA7">
        <w:rPr>
          <w:rFonts w:ascii="Verdana" w:hAnsi="Verdana"/>
          <w:sz w:val="20"/>
          <w:szCs w:val="20"/>
          <w:lang w:val="en-US"/>
        </w:rPr>
        <w:t>ing the</w:t>
      </w:r>
      <w:r w:rsidR="00041616">
        <w:rPr>
          <w:rFonts w:ascii="Verdana" w:hAnsi="Verdana"/>
          <w:sz w:val="20"/>
          <w:szCs w:val="20"/>
          <w:lang w:val="en-US"/>
        </w:rPr>
        <w:t xml:space="preserve"> Court’s</w:t>
      </w:r>
      <w:r w:rsidRPr="00FE7BA7">
        <w:rPr>
          <w:rFonts w:ascii="Verdana" w:hAnsi="Verdana"/>
          <w:sz w:val="20"/>
          <w:szCs w:val="20"/>
          <w:lang w:val="en-US"/>
        </w:rPr>
        <w:t xml:space="preserve"> 107</w:t>
      </w:r>
      <w:r w:rsidRPr="00FE7BA7">
        <w:rPr>
          <w:rFonts w:ascii="Verdana" w:hAnsi="Verdana"/>
          <w:sz w:val="20"/>
          <w:szCs w:val="20"/>
          <w:vertAlign w:val="superscript"/>
          <w:lang w:val="en-US"/>
        </w:rPr>
        <w:t>th</w:t>
      </w:r>
      <w:r w:rsidRPr="00FE7BA7">
        <w:rPr>
          <w:rFonts w:ascii="Verdana" w:hAnsi="Verdana"/>
          <w:sz w:val="20"/>
          <w:szCs w:val="20"/>
          <w:lang w:val="en-US"/>
        </w:rPr>
        <w:t xml:space="preserve"> regular session.</w:t>
      </w:r>
      <w:r w:rsidR="00B76AD5" w:rsidRPr="00FE7BA7">
        <w:rPr>
          <w:rStyle w:val="FootnoteReference"/>
          <w:szCs w:val="20"/>
          <w:lang w:val="en-US"/>
        </w:rPr>
        <w:footnoteReference w:id="11"/>
      </w:r>
      <w:r w:rsidRPr="00FE7BA7">
        <w:rPr>
          <w:rFonts w:ascii="Verdana" w:hAnsi="Verdana"/>
          <w:sz w:val="20"/>
          <w:szCs w:val="20"/>
          <w:lang w:val="en-US"/>
        </w:rPr>
        <w:t xml:space="preserve"> During the hearing, the Court received the testimony 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Pr="00FE7BA7">
        <w:rPr>
          <w:rFonts w:ascii="Verdana" w:hAnsi="Verdana"/>
          <w:sz w:val="20"/>
          <w:szCs w:val="20"/>
          <w:lang w:val="en-US"/>
        </w:rPr>
        <w:t>victims</w:t>
      </w:r>
      <w:r w:rsidR="00E4033A" w:rsidRPr="00FE7BA7">
        <w:rPr>
          <w:rFonts w:ascii="Verdana" w:hAnsi="Verdana"/>
          <w:sz w:val="20"/>
          <w:szCs w:val="20"/>
          <w:lang w:val="en-US"/>
        </w:rPr>
        <w:t xml:space="preserve"> </w:t>
      </w:r>
      <w:r w:rsidRPr="00FE7BA7">
        <w:rPr>
          <w:rFonts w:ascii="Verdana" w:hAnsi="Verdana"/>
          <w:sz w:val="20"/>
          <w:szCs w:val="20"/>
          <w:lang w:val="en-US"/>
        </w:rPr>
        <w:t>Captain</w:t>
      </w:r>
      <w:r w:rsidR="00E4033A" w:rsidRPr="00FE7BA7">
        <w:rPr>
          <w:rFonts w:ascii="Verdana" w:hAnsi="Verdana"/>
          <w:sz w:val="20"/>
          <w:szCs w:val="20"/>
          <w:lang w:val="en-US"/>
        </w:rPr>
        <w:t xml:space="preserve"> Ricardo Pané</w:t>
      </w:r>
      <w:r w:rsidR="002B5CCD" w:rsidRPr="00FE7BA7">
        <w:rPr>
          <w:rFonts w:ascii="Verdana" w:hAnsi="Verdana"/>
          <w:sz w:val="20"/>
          <w:szCs w:val="20"/>
          <w:lang w:val="en-US"/>
        </w:rPr>
        <w:t xml:space="preserve"> and </w:t>
      </w:r>
      <w:r w:rsidRPr="00FE7BA7">
        <w:rPr>
          <w:rFonts w:ascii="Verdana" w:hAnsi="Verdana"/>
          <w:sz w:val="20"/>
          <w:szCs w:val="20"/>
          <w:lang w:val="en-US"/>
        </w:rPr>
        <w:t>Captain</w:t>
      </w:r>
      <w:r w:rsidR="00E4033A" w:rsidRPr="00FE7BA7">
        <w:rPr>
          <w:rFonts w:ascii="Verdana" w:hAnsi="Verdana"/>
          <w:sz w:val="20"/>
          <w:szCs w:val="20"/>
          <w:lang w:val="en-US"/>
        </w:rPr>
        <w:t xml:space="preserve"> Jona Gunt</w:t>
      </w:r>
      <w:r w:rsidR="00C07DBC">
        <w:rPr>
          <w:rFonts w:ascii="Verdana" w:hAnsi="Verdana"/>
          <w:sz w:val="20"/>
          <w:szCs w:val="20"/>
          <w:lang w:val="en-US"/>
        </w:rPr>
        <w:t>h</w:t>
      </w:r>
      <w:r w:rsidR="00E4033A" w:rsidRPr="00FE7BA7">
        <w:rPr>
          <w:rFonts w:ascii="Verdana" w:hAnsi="Verdana"/>
          <w:sz w:val="20"/>
          <w:szCs w:val="20"/>
          <w:lang w:val="en-US"/>
        </w:rPr>
        <w:t>er</w:t>
      </w:r>
      <w:r w:rsidR="00041616">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of expert witness</w:t>
      </w:r>
      <w:r w:rsidR="00E4033A" w:rsidRPr="00FE7BA7">
        <w:rPr>
          <w:rFonts w:ascii="Verdana" w:hAnsi="Verdana"/>
          <w:sz w:val="20"/>
          <w:szCs w:val="20"/>
          <w:lang w:val="en-US"/>
        </w:rPr>
        <w:t xml:space="preserve"> Victoria Tauli-Corpuz prop</w:t>
      </w:r>
      <w:r w:rsidRPr="00FE7BA7">
        <w:rPr>
          <w:rFonts w:ascii="Verdana" w:hAnsi="Verdana"/>
          <w:sz w:val="20"/>
          <w:szCs w:val="20"/>
          <w:lang w:val="en-US"/>
        </w:rPr>
        <w:t>osed by the representatives</w:t>
      </w:r>
      <w:r w:rsidR="00E4033A" w:rsidRPr="00FE7BA7">
        <w:rPr>
          <w:rFonts w:ascii="Verdana" w:hAnsi="Verdana"/>
          <w:sz w:val="20"/>
          <w:szCs w:val="20"/>
          <w:lang w:val="en-US"/>
        </w:rPr>
        <w:t xml:space="preserve">, </w:t>
      </w:r>
      <w:r w:rsidRPr="00FE7BA7">
        <w:rPr>
          <w:rFonts w:ascii="Verdana" w:hAnsi="Verdana"/>
          <w:sz w:val="20"/>
          <w:szCs w:val="20"/>
          <w:lang w:val="en-US"/>
        </w:rPr>
        <w:t xml:space="preserve">and also of expert witness </w:t>
      </w:r>
      <w:r w:rsidR="00E4033A" w:rsidRPr="00FE7BA7">
        <w:rPr>
          <w:rFonts w:ascii="Verdana" w:hAnsi="Verdana"/>
          <w:sz w:val="20"/>
          <w:szCs w:val="20"/>
          <w:lang w:val="en-US"/>
        </w:rPr>
        <w:t>Jeremie Gilbert, prop</w:t>
      </w:r>
      <w:r w:rsidRPr="00FE7BA7">
        <w:rPr>
          <w:rFonts w:ascii="Verdana" w:hAnsi="Verdana"/>
          <w:sz w:val="20"/>
          <w:szCs w:val="20"/>
          <w:lang w:val="en-US"/>
        </w:rPr>
        <w:t xml:space="preserve">osed by </w:t>
      </w:r>
      <w:r w:rsidR="002B5CCD" w:rsidRPr="00FE7BA7">
        <w:rPr>
          <w:rFonts w:ascii="Verdana" w:hAnsi="Verdana"/>
          <w:sz w:val="20"/>
          <w:szCs w:val="20"/>
          <w:lang w:val="en-US"/>
        </w:rPr>
        <w:t>the Commission</w:t>
      </w:r>
      <w:r w:rsidR="00E4033A" w:rsidRPr="00FE7BA7">
        <w:rPr>
          <w:rFonts w:ascii="Verdana" w:hAnsi="Verdana"/>
          <w:sz w:val="20"/>
          <w:szCs w:val="20"/>
          <w:lang w:val="en-US"/>
        </w:rPr>
        <w:t xml:space="preserve">. </w:t>
      </w:r>
      <w:r w:rsidR="00041616">
        <w:rPr>
          <w:rFonts w:ascii="Verdana" w:hAnsi="Verdana"/>
          <w:sz w:val="20"/>
          <w:szCs w:val="20"/>
          <w:lang w:val="en-US"/>
        </w:rPr>
        <w:t>In addition, it</w:t>
      </w:r>
      <w:r w:rsidRPr="00FE7BA7">
        <w:rPr>
          <w:rFonts w:ascii="Verdana" w:hAnsi="Verdana"/>
          <w:sz w:val="20"/>
          <w:szCs w:val="20"/>
          <w:lang w:val="en-US"/>
        </w:rPr>
        <w:t xml:space="preserve"> received the final oral observations and arguments </w:t>
      </w:r>
      <w:r w:rsidR="002B5CCD" w:rsidRPr="00FE7BA7">
        <w:rPr>
          <w:rFonts w:ascii="Verdana" w:hAnsi="Verdana"/>
          <w:sz w:val="20"/>
          <w:szCs w:val="20"/>
          <w:lang w:val="en-US"/>
        </w:rPr>
        <w:t>of the Commission</w:t>
      </w:r>
      <w:r w:rsidRPr="00FE7BA7">
        <w:rPr>
          <w:rFonts w:ascii="Verdana" w:hAnsi="Verdana"/>
          <w:sz w:val="20"/>
          <w:szCs w:val="20"/>
          <w:lang w:val="en-US"/>
        </w:rPr>
        <w:t>, the representatives</w:t>
      </w:r>
      <w:r w:rsidR="002B5CCD" w:rsidRPr="00FE7BA7">
        <w:rPr>
          <w:rFonts w:ascii="Verdana" w:hAnsi="Verdana"/>
          <w:sz w:val="20"/>
          <w:szCs w:val="20"/>
          <w:lang w:val="en-US"/>
        </w:rPr>
        <w:t xml:space="preserve"> and</w:t>
      </w:r>
      <w:r w:rsidRPr="00FE7BA7">
        <w:rPr>
          <w:rFonts w:ascii="Verdana" w:hAnsi="Verdana"/>
          <w:sz w:val="20"/>
          <w:szCs w:val="20"/>
          <w:lang w:val="en-US"/>
        </w:rPr>
        <w:t xml:space="preserve"> the </w:t>
      </w:r>
      <w:r w:rsidR="002B5CCD" w:rsidRPr="00FE7BA7">
        <w:rPr>
          <w:rFonts w:ascii="Verdana" w:hAnsi="Verdana"/>
          <w:sz w:val="20"/>
          <w:szCs w:val="20"/>
          <w:lang w:val="en-US"/>
        </w:rPr>
        <w:t>State</w:t>
      </w:r>
      <w:r w:rsidRPr="00FE7BA7">
        <w:rPr>
          <w:rFonts w:ascii="Verdana" w:hAnsi="Verdana"/>
          <w:sz w:val="20"/>
          <w:szCs w:val="20"/>
          <w:lang w:val="en-US"/>
        </w:rPr>
        <w:t>.</w:t>
      </w:r>
      <w:r w:rsidR="00E4033A" w:rsidRPr="00FE7BA7">
        <w:rPr>
          <w:rFonts w:ascii="Verdana" w:hAnsi="Verdana"/>
          <w:sz w:val="20"/>
          <w:szCs w:val="20"/>
          <w:lang w:val="en-US"/>
        </w:rPr>
        <w:t xml:space="preserve"> </w:t>
      </w:r>
      <w:r w:rsidR="00041616">
        <w:rPr>
          <w:rFonts w:ascii="Verdana" w:hAnsi="Verdana"/>
          <w:sz w:val="20"/>
          <w:szCs w:val="20"/>
          <w:lang w:val="en-US"/>
        </w:rPr>
        <w:t>Furthermore</w:t>
      </w:r>
      <w:r w:rsidRPr="00FE7BA7">
        <w:rPr>
          <w:rFonts w:ascii="Verdana" w:hAnsi="Verdana"/>
          <w:sz w:val="20"/>
          <w:szCs w:val="20"/>
          <w:lang w:val="en-US"/>
        </w:rPr>
        <w:t>, the representatives</w:t>
      </w:r>
      <w:r w:rsidR="005342D3" w:rsidRPr="00FE7BA7">
        <w:rPr>
          <w:rFonts w:ascii="Verdana" w:hAnsi="Verdana"/>
          <w:sz w:val="20"/>
          <w:szCs w:val="20"/>
          <w:lang w:val="en-US"/>
        </w:rPr>
        <w:t xml:space="preserve"> </w:t>
      </w:r>
      <w:r w:rsidR="001030B1">
        <w:rPr>
          <w:rFonts w:ascii="Verdana" w:hAnsi="Verdana"/>
          <w:sz w:val="20"/>
          <w:szCs w:val="20"/>
          <w:lang w:val="en-US"/>
        </w:rPr>
        <w:t>submitted</w:t>
      </w:r>
      <w:r w:rsidRPr="00FE7BA7">
        <w:rPr>
          <w:rFonts w:ascii="Verdana" w:hAnsi="Verdana"/>
          <w:sz w:val="20"/>
          <w:szCs w:val="20"/>
          <w:lang w:val="en-US"/>
        </w:rPr>
        <w:t xml:space="preserve"> a map establishing the approximate limits of the territory claimed by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5342D3" w:rsidRPr="00FE7BA7">
        <w:rPr>
          <w:rFonts w:ascii="Verdana" w:hAnsi="Verdana"/>
          <w:sz w:val="20"/>
          <w:szCs w:val="20"/>
          <w:lang w:val="en-US"/>
        </w:rPr>
        <w:t>, as</w:t>
      </w:r>
      <w:r w:rsidRPr="00FE7BA7">
        <w:rPr>
          <w:rFonts w:ascii="Verdana" w:hAnsi="Verdana"/>
          <w:sz w:val="20"/>
          <w:szCs w:val="20"/>
          <w:lang w:val="en-US"/>
        </w:rPr>
        <w:t xml:space="preserve"> well as a copy of the 2014 </w:t>
      </w:r>
      <w:r w:rsidR="001A10C7">
        <w:rPr>
          <w:rFonts w:ascii="Verdana" w:hAnsi="Verdana"/>
          <w:sz w:val="20"/>
          <w:szCs w:val="20"/>
          <w:lang w:val="en-US"/>
        </w:rPr>
        <w:t xml:space="preserve">draft </w:t>
      </w:r>
      <w:r w:rsidRPr="00FE7BA7">
        <w:rPr>
          <w:rFonts w:ascii="Verdana" w:hAnsi="Verdana"/>
          <w:sz w:val="20"/>
          <w:szCs w:val="20"/>
          <w:lang w:val="en-US"/>
        </w:rPr>
        <w:t xml:space="preserve">bill </w:t>
      </w:r>
      <w:r w:rsidR="001A10C7">
        <w:rPr>
          <w:rFonts w:ascii="Verdana" w:hAnsi="Verdana"/>
          <w:sz w:val="20"/>
          <w:szCs w:val="20"/>
          <w:lang w:val="en-US"/>
        </w:rPr>
        <w:t>on</w:t>
      </w:r>
      <w:r w:rsidRPr="00FE7BA7">
        <w:rPr>
          <w:rFonts w:ascii="Verdana" w:hAnsi="Verdana"/>
          <w:sz w:val="20"/>
          <w:szCs w:val="20"/>
          <w:lang w:val="en-US"/>
        </w:rPr>
        <w:t xml:space="preserve"> recognit</w:t>
      </w:r>
      <w:r w:rsidR="000A6F50">
        <w:rPr>
          <w:rFonts w:ascii="Verdana" w:hAnsi="Verdana"/>
          <w:sz w:val="20"/>
          <w:szCs w:val="20"/>
          <w:lang w:val="en-US"/>
        </w:rPr>
        <w:t>ion of traditional authorities.</w:t>
      </w:r>
    </w:p>
    <w:p w14:paraId="6312682F" w14:textId="77777777" w:rsidR="009B781F" w:rsidRPr="00FE7BA7" w:rsidRDefault="009B781F" w:rsidP="007E20F9">
      <w:pPr>
        <w:pStyle w:val="ListParagraph"/>
        <w:ind w:left="0"/>
        <w:jc w:val="both"/>
        <w:rPr>
          <w:lang w:val="en-US"/>
        </w:rPr>
      </w:pPr>
    </w:p>
    <w:p w14:paraId="63126830" w14:textId="46E48672" w:rsidR="00073B1B" w:rsidRPr="00FE7BA7" w:rsidRDefault="00073B1B" w:rsidP="00073B1B">
      <w:pPr>
        <w:pStyle w:val="ListParagraph"/>
        <w:numPr>
          <w:ilvl w:val="0"/>
          <w:numId w:val="2"/>
        </w:numPr>
        <w:ind w:left="0" w:firstLine="0"/>
        <w:jc w:val="both"/>
        <w:rPr>
          <w:rFonts w:ascii="Verdana" w:hAnsi="Verdana"/>
          <w:b/>
          <w:sz w:val="20"/>
          <w:szCs w:val="20"/>
          <w:lang w:val="en-US"/>
        </w:rPr>
      </w:pPr>
      <w:r w:rsidRPr="00FE7BA7">
        <w:rPr>
          <w:rFonts w:ascii="Verdana" w:hAnsi="Verdana"/>
          <w:i/>
          <w:sz w:val="20"/>
          <w:szCs w:val="20"/>
          <w:lang w:val="en-US"/>
        </w:rPr>
        <w:t>Amicus curiae</w:t>
      </w:r>
      <w:r w:rsidR="007140D9" w:rsidRPr="00FE7BA7">
        <w:rPr>
          <w:rFonts w:ascii="Verdana" w:hAnsi="Verdana"/>
          <w:i/>
          <w:sz w:val="20"/>
          <w:szCs w:val="20"/>
          <w:lang w:val="en-US"/>
        </w:rPr>
        <w:t>.</w:t>
      </w:r>
      <w:r w:rsidR="00810FAD" w:rsidRPr="00FE7BA7">
        <w:rPr>
          <w:rFonts w:ascii="Verdana" w:hAnsi="Verdana"/>
          <w:sz w:val="20"/>
          <w:szCs w:val="20"/>
          <w:lang w:val="en-US"/>
        </w:rPr>
        <w:t xml:space="preserve"> On February 18, </w:t>
      </w:r>
      <w:r w:rsidRPr="00FE7BA7">
        <w:rPr>
          <w:rFonts w:ascii="Verdana" w:hAnsi="Verdana"/>
          <w:sz w:val="20"/>
          <w:szCs w:val="20"/>
          <w:lang w:val="en-US"/>
        </w:rPr>
        <w:t xml:space="preserve">2015, </w:t>
      </w:r>
      <w:r w:rsidR="00810FAD" w:rsidRPr="00FE7BA7">
        <w:rPr>
          <w:rFonts w:ascii="Verdana" w:hAnsi="Verdana"/>
          <w:sz w:val="20"/>
          <w:szCs w:val="20"/>
          <w:lang w:val="en-US"/>
        </w:rPr>
        <w:t>under the provisions of</w:t>
      </w:r>
      <w:r w:rsidRPr="00FE7BA7">
        <w:rPr>
          <w:rFonts w:ascii="Verdana" w:hAnsi="Verdana"/>
          <w:sz w:val="20"/>
          <w:szCs w:val="20"/>
          <w:lang w:val="en-US"/>
        </w:rPr>
        <w:t xml:space="preserve"> </w:t>
      </w:r>
      <w:r w:rsidR="002B5CCD" w:rsidRPr="00FE7BA7">
        <w:rPr>
          <w:rFonts w:ascii="Verdana" w:hAnsi="Verdana"/>
          <w:sz w:val="20"/>
          <w:szCs w:val="20"/>
          <w:lang w:val="en-US"/>
        </w:rPr>
        <w:t>Article</w:t>
      </w:r>
      <w:r w:rsidRPr="00FE7BA7">
        <w:rPr>
          <w:rFonts w:ascii="Verdana" w:hAnsi="Verdana"/>
          <w:sz w:val="20"/>
          <w:szCs w:val="20"/>
          <w:lang w:val="en-US"/>
        </w:rPr>
        <w:t xml:space="preserve"> 44</w:t>
      </w:r>
      <w:r w:rsidR="00810FAD" w:rsidRPr="00FE7BA7">
        <w:rPr>
          <w:rFonts w:ascii="Verdana" w:hAnsi="Verdana"/>
          <w:sz w:val="20"/>
          <w:szCs w:val="20"/>
          <w:lang w:val="en-US"/>
        </w:rPr>
        <w:t>(</w:t>
      </w:r>
      <w:r w:rsidRPr="00FE7BA7">
        <w:rPr>
          <w:rFonts w:ascii="Verdana" w:hAnsi="Verdana"/>
          <w:sz w:val="20"/>
          <w:szCs w:val="20"/>
          <w:lang w:val="en-US"/>
        </w:rPr>
        <w:t>1</w:t>
      </w:r>
      <w:r w:rsidR="00810FAD" w:rsidRPr="00FE7BA7">
        <w:rPr>
          <w:rFonts w:ascii="Verdana" w:hAnsi="Verdana"/>
          <w:sz w:val="20"/>
          <w:szCs w:val="20"/>
          <w:lang w:val="en-US"/>
        </w:rPr>
        <w:t>)</w:t>
      </w:r>
      <w:r w:rsidR="002B5CCD" w:rsidRPr="00FE7BA7">
        <w:rPr>
          <w:rFonts w:ascii="Verdana" w:hAnsi="Verdana"/>
          <w:sz w:val="20"/>
          <w:szCs w:val="20"/>
          <w:lang w:val="en-US"/>
        </w:rPr>
        <w:t xml:space="preserve"> of the </w:t>
      </w:r>
      <w:r w:rsidR="00810FAD" w:rsidRPr="00FE7BA7">
        <w:rPr>
          <w:rFonts w:ascii="Verdana" w:hAnsi="Verdana"/>
          <w:sz w:val="20"/>
          <w:szCs w:val="20"/>
          <w:lang w:val="en-US"/>
        </w:rPr>
        <w:t xml:space="preserve">Court’s </w:t>
      </w:r>
      <w:r w:rsidR="002B5CCD" w:rsidRPr="00FE7BA7">
        <w:rPr>
          <w:rFonts w:ascii="Verdana" w:hAnsi="Verdana"/>
          <w:sz w:val="20"/>
          <w:szCs w:val="20"/>
          <w:lang w:val="en-US"/>
        </w:rPr>
        <w:t>Rules of Procedure</w:t>
      </w:r>
      <w:r w:rsidRPr="00FE7BA7">
        <w:rPr>
          <w:rFonts w:ascii="Verdana" w:hAnsi="Verdana"/>
          <w:sz w:val="20"/>
          <w:szCs w:val="20"/>
          <w:lang w:val="en-US"/>
        </w:rPr>
        <w:t>,</w:t>
      </w:r>
      <w:r w:rsidR="00810FAD" w:rsidRPr="00FE7BA7">
        <w:rPr>
          <w:rFonts w:ascii="Verdana" w:hAnsi="Verdana"/>
          <w:sz w:val="20"/>
          <w:szCs w:val="20"/>
          <w:lang w:val="en-US"/>
        </w:rPr>
        <w:t xml:space="preserve"> the Secretariat received an </w:t>
      </w:r>
      <w:r w:rsidRPr="00FE7BA7">
        <w:rPr>
          <w:rFonts w:ascii="Verdana" w:hAnsi="Verdana"/>
          <w:i/>
          <w:sz w:val="20"/>
          <w:szCs w:val="20"/>
          <w:lang w:val="en-US"/>
        </w:rPr>
        <w:t>amicus curiae</w:t>
      </w:r>
      <w:r w:rsidR="002B5CCD" w:rsidRPr="00FE7BA7">
        <w:rPr>
          <w:rFonts w:ascii="Verdana" w:hAnsi="Verdana"/>
          <w:sz w:val="20"/>
          <w:szCs w:val="20"/>
          <w:lang w:val="en-US"/>
        </w:rPr>
        <w:t xml:space="preserve"> </w:t>
      </w:r>
      <w:r w:rsidR="00810FAD" w:rsidRPr="00FE7BA7">
        <w:rPr>
          <w:rFonts w:ascii="Verdana" w:hAnsi="Verdana"/>
          <w:sz w:val="20"/>
          <w:szCs w:val="20"/>
          <w:lang w:val="en-US"/>
        </w:rPr>
        <w:t xml:space="preserve">brief with two attachments </w:t>
      </w:r>
      <w:r w:rsidR="001030B1">
        <w:rPr>
          <w:rFonts w:ascii="Verdana" w:hAnsi="Verdana"/>
          <w:sz w:val="20"/>
          <w:szCs w:val="20"/>
          <w:lang w:val="en-US"/>
        </w:rPr>
        <w:lastRenderedPageBreak/>
        <w:t>submitted</w:t>
      </w:r>
      <w:r w:rsidR="001030B1" w:rsidRPr="00FE7BA7">
        <w:rPr>
          <w:rFonts w:ascii="Verdana" w:hAnsi="Verdana"/>
          <w:sz w:val="20"/>
          <w:szCs w:val="20"/>
          <w:lang w:val="en-US"/>
        </w:rPr>
        <w:t xml:space="preserve"> </w:t>
      </w:r>
      <w:r w:rsidR="00810FAD" w:rsidRPr="00FE7BA7">
        <w:rPr>
          <w:rFonts w:ascii="Verdana" w:hAnsi="Verdana"/>
          <w:sz w:val="20"/>
          <w:szCs w:val="20"/>
          <w:lang w:val="en-US"/>
        </w:rPr>
        <w:t xml:space="preserve">by the </w:t>
      </w:r>
      <w:r w:rsidRPr="00FE7BA7">
        <w:rPr>
          <w:rFonts w:ascii="Verdana" w:hAnsi="Verdana"/>
          <w:i/>
          <w:sz w:val="20"/>
          <w:szCs w:val="20"/>
          <w:lang w:val="en-US"/>
        </w:rPr>
        <w:t>Fundación Pro Bono-Colombi</w:t>
      </w:r>
      <w:r w:rsidR="00041616">
        <w:rPr>
          <w:rFonts w:ascii="Verdana" w:hAnsi="Verdana"/>
          <w:i/>
          <w:sz w:val="20"/>
          <w:szCs w:val="20"/>
          <w:lang w:val="en-US"/>
        </w:rPr>
        <w:t>a.</w:t>
      </w:r>
      <w:r w:rsidRPr="00FE7BA7">
        <w:rPr>
          <w:rStyle w:val="FootnoteReference"/>
          <w:szCs w:val="20"/>
          <w:lang w:val="en-US"/>
        </w:rPr>
        <w:footnoteReference w:id="12"/>
      </w:r>
      <w:r w:rsidR="00810FAD" w:rsidRPr="00FE7BA7">
        <w:rPr>
          <w:rFonts w:ascii="Verdana" w:hAnsi="Verdana"/>
          <w:sz w:val="20"/>
          <w:szCs w:val="20"/>
          <w:lang w:val="en-US"/>
        </w:rPr>
        <w:t xml:space="preserve"> These documents were </w:t>
      </w:r>
      <w:r w:rsidR="001030B1">
        <w:rPr>
          <w:rFonts w:ascii="Verdana" w:hAnsi="Verdana"/>
          <w:sz w:val="20"/>
          <w:szCs w:val="20"/>
          <w:lang w:val="en-US"/>
        </w:rPr>
        <w:t>submitted</w:t>
      </w:r>
      <w:r w:rsidR="00810FAD" w:rsidRPr="00FE7BA7">
        <w:rPr>
          <w:rFonts w:ascii="Verdana" w:hAnsi="Verdana"/>
          <w:sz w:val="20"/>
          <w:szCs w:val="20"/>
          <w:lang w:val="en-US"/>
        </w:rPr>
        <w:t xml:space="preserve"> in Spanish</w:t>
      </w:r>
      <w:r w:rsidR="001A10C7">
        <w:rPr>
          <w:rFonts w:ascii="Verdana" w:hAnsi="Verdana"/>
          <w:sz w:val="20"/>
          <w:szCs w:val="20"/>
          <w:lang w:val="en-US"/>
        </w:rPr>
        <w:t>; consequently, in a letter</w:t>
      </w:r>
      <w:r w:rsidR="00810FAD" w:rsidRPr="00FE7BA7">
        <w:rPr>
          <w:rFonts w:ascii="Verdana" w:hAnsi="Verdana"/>
          <w:sz w:val="20"/>
          <w:szCs w:val="20"/>
          <w:lang w:val="en-US"/>
        </w:rPr>
        <w:t xml:space="preserve"> dated February 24, 2015, the Secretariat asked that the</w:t>
      </w:r>
      <w:r w:rsidRPr="00FE7BA7">
        <w:rPr>
          <w:rFonts w:ascii="Verdana" w:hAnsi="Verdana"/>
          <w:sz w:val="20"/>
          <w:szCs w:val="20"/>
          <w:lang w:val="en-US"/>
        </w:rPr>
        <w:t xml:space="preserve"> </w:t>
      </w:r>
      <w:r w:rsidRPr="00FE7BA7">
        <w:rPr>
          <w:rFonts w:ascii="Verdana" w:hAnsi="Verdana"/>
          <w:i/>
          <w:sz w:val="20"/>
          <w:szCs w:val="20"/>
          <w:lang w:val="en-US"/>
        </w:rPr>
        <w:t>amicus</w:t>
      </w:r>
      <w:r w:rsidR="00810FAD" w:rsidRPr="00FE7BA7">
        <w:rPr>
          <w:rFonts w:ascii="Verdana" w:hAnsi="Verdana"/>
          <w:sz w:val="20"/>
          <w:szCs w:val="20"/>
          <w:lang w:val="en-US"/>
        </w:rPr>
        <w:t xml:space="preserve"> brief be </w:t>
      </w:r>
      <w:r w:rsidR="001030B1">
        <w:rPr>
          <w:rFonts w:ascii="Verdana" w:hAnsi="Verdana"/>
          <w:sz w:val="20"/>
          <w:szCs w:val="20"/>
          <w:lang w:val="en-US"/>
        </w:rPr>
        <w:t>submitted</w:t>
      </w:r>
      <w:r w:rsidR="001030B1" w:rsidRPr="00FE7BA7">
        <w:rPr>
          <w:rFonts w:ascii="Verdana" w:hAnsi="Verdana"/>
          <w:sz w:val="20"/>
          <w:szCs w:val="20"/>
          <w:lang w:val="en-US"/>
        </w:rPr>
        <w:t xml:space="preserve"> </w:t>
      </w:r>
      <w:r w:rsidR="00810FAD" w:rsidRPr="00FE7BA7">
        <w:rPr>
          <w:rFonts w:ascii="Verdana" w:hAnsi="Verdana"/>
          <w:sz w:val="20"/>
          <w:szCs w:val="20"/>
          <w:lang w:val="en-US"/>
        </w:rPr>
        <w:t xml:space="preserve">in English, as this was the official language of the case.  The brief was received in English on March 10, </w:t>
      </w:r>
      <w:r w:rsidRPr="00FE7BA7">
        <w:rPr>
          <w:rFonts w:ascii="Verdana" w:hAnsi="Verdana"/>
          <w:sz w:val="20"/>
          <w:szCs w:val="20"/>
          <w:lang w:val="en-US"/>
        </w:rPr>
        <w:t>2015</w:t>
      </w:r>
      <w:r w:rsidR="00810FAD" w:rsidRPr="00FE7BA7">
        <w:rPr>
          <w:rFonts w:ascii="Verdana" w:hAnsi="Verdana"/>
          <w:sz w:val="20"/>
          <w:szCs w:val="20"/>
          <w:lang w:val="en-US"/>
        </w:rPr>
        <w:t>.</w:t>
      </w:r>
    </w:p>
    <w:p w14:paraId="63126831" w14:textId="77777777" w:rsidR="00E82F5C" w:rsidRPr="00FE7BA7" w:rsidRDefault="00E82F5C" w:rsidP="009E77BD">
      <w:pPr>
        <w:pStyle w:val="ListParagraph"/>
        <w:ind w:left="0"/>
        <w:jc w:val="both"/>
        <w:rPr>
          <w:rFonts w:ascii="Verdana" w:hAnsi="Verdana"/>
          <w:b/>
          <w:sz w:val="20"/>
          <w:szCs w:val="20"/>
          <w:lang w:val="en-US"/>
        </w:rPr>
      </w:pPr>
    </w:p>
    <w:p w14:paraId="63126832" w14:textId="77777777" w:rsidR="005B786C" w:rsidRPr="00FE7BA7" w:rsidRDefault="00D16DA7" w:rsidP="00690B3D">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 xml:space="preserve">Final written arguments and observations. </w:t>
      </w:r>
      <w:r w:rsidRPr="00FE7BA7">
        <w:rPr>
          <w:rFonts w:ascii="Verdana" w:hAnsi="Verdana"/>
          <w:sz w:val="20"/>
          <w:szCs w:val="20"/>
          <w:lang w:val="en-US"/>
        </w:rPr>
        <w:t>On March 4,</w:t>
      </w:r>
      <w:r w:rsidR="005B786C" w:rsidRPr="00FE7BA7">
        <w:rPr>
          <w:rFonts w:ascii="Verdana" w:hAnsi="Verdana"/>
          <w:sz w:val="20"/>
          <w:szCs w:val="20"/>
          <w:lang w:val="en-US"/>
        </w:rPr>
        <w:t xml:space="preserve"> 2015</w:t>
      </w:r>
      <w:r w:rsidRPr="00FE7BA7">
        <w:rPr>
          <w:rFonts w:ascii="Verdana" w:hAnsi="Verdana"/>
          <w:sz w:val="20"/>
          <w:szCs w:val="20"/>
          <w:lang w:val="en-US"/>
        </w:rPr>
        <w:t>,</w:t>
      </w:r>
      <w:r w:rsidR="005B786C" w:rsidRPr="00FE7BA7">
        <w:rPr>
          <w:rFonts w:ascii="Verdana" w:hAnsi="Verdana"/>
          <w:sz w:val="20"/>
          <w:szCs w:val="20"/>
          <w:lang w:val="en-US"/>
        </w:rPr>
        <w:t xml:space="preserve"> </w:t>
      </w:r>
      <w:r w:rsidR="002B5CCD" w:rsidRPr="00FE7BA7">
        <w:rPr>
          <w:rFonts w:ascii="Verdana" w:hAnsi="Verdana"/>
          <w:sz w:val="20"/>
          <w:szCs w:val="20"/>
          <w:lang w:val="en-US"/>
        </w:rPr>
        <w:t>the State</w:t>
      </w:r>
      <w:r w:rsidR="005B786C" w:rsidRPr="00FE7BA7">
        <w:rPr>
          <w:rFonts w:ascii="Verdana" w:hAnsi="Verdana"/>
          <w:sz w:val="20"/>
          <w:szCs w:val="20"/>
          <w:lang w:val="en-US"/>
        </w:rPr>
        <w:t xml:space="preserve"> presen</w:t>
      </w:r>
      <w:r w:rsidRPr="00FE7BA7">
        <w:rPr>
          <w:rFonts w:ascii="Verdana" w:hAnsi="Verdana"/>
          <w:sz w:val="20"/>
          <w:szCs w:val="20"/>
          <w:lang w:val="en-US"/>
        </w:rPr>
        <w:t>ted its</w:t>
      </w:r>
      <w:r w:rsidR="005B786C" w:rsidRPr="00FE7BA7">
        <w:rPr>
          <w:rFonts w:ascii="Verdana" w:hAnsi="Verdana"/>
          <w:sz w:val="20"/>
          <w:szCs w:val="20"/>
          <w:lang w:val="en-US"/>
        </w:rPr>
        <w:t xml:space="preserve"> </w:t>
      </w:r>
      <w:r w:rsidRPr="00FE7BA7">
        <w:rPr>
          <w:rFonts w:ascii="Verdana" w:hAnsi="Verdana"/>
          <w:sz w:val="20"/>
          <w:szCs w:val="20"/>
          <w:lang w:val="en-US"/>
        </w:rPr>
        <w:t>final written arguments</w:t>
      </w:r>
      <w:r w:rsidR="002B5CCD" w:rsidRPr="00FE7BA7">
        <w:rPr>
          <w:rFonts w:ascii="Verdana" w:hAnsi="Verdana"/>
          <w:sz w:val="20"/>
          <w:szCs w:val="20"/>
          <w:lang w:val="en-US"/>
        </w:rPr>
        <w:t xml:space="preserve"> and </w:t>
      </w:r>
      <w:r w:rsidR="005B786C" w:rsidRPr="00FE7BA7">
        <w:rPr>
          <w:rFonts w:ascii="Verdana" w:hAnsi="Verdana"/>
          <w:sz w:val="20"/>
          <w:szCs w:val="20"/>
          <w:lang w:val="en-US"/>
        </w:rPr>
        <w:t>an</w:t>
      </w:r>
      <w:r w:rsidRPr="00FE7BA7">
        <w:rPr>
          <w:rFonts w:ascii="Verdana" w:hAnsi="Verdana"/>
          <w:sz w:val="20"/>
          <w:szCs w:val="20"/>
          <w:lang w:val="en-US"/>
        </w:rPr>
        <w:t>nexes.</w:t>
      </w:r>
      <w:r w:rsidR="005B786C" w:rsidRPr="00FE7BA7">
        <w:rPr>
          <w:rFonts w:ascii="Verdana" w:hAnsi="Verdana"/>
          <w:sz w:val="20"/>
          <w:szCs w:val="20"/>
          <w:lang w:val="en-US"/>
        </w:rPr>
        <w:t xml:space="preserve"> </w:t>
      </w:r>
      <w:r w:rsidRPr="00FE7BA7">
        <w:rPr>
          <w:rFonts w:ascii="Verdana" w:hAnsi="Verdana"/>
          <w:sz w:val="20"/>
          <w:szCs w:val="20"/>
          <w:lang w:val="en-US"/>
        </w:rPr>
        <w:t>On March 5,</w:t>
      </w:r>
      <w:r w:rsidR="00E4033A" w:rsidRPr="00FE7BA7">
        <w:rPr>
          <w:rFonts w:ascii="Verdana" w:hAnsi="Verdana"/>
          <w:sz w:val="20"/>
          <w:szCs w:val="20"/>
          <w:lang w:val="en-US"/>
        </w:rPr>
        <w:t xml:space="preserve"> 2015, </w:t>
      </w:r>
      <w:r w:rsidR="00810FAD" w:rsidRPr="00FE7BA7">
        <w:rPr>
          <w:rFonts w:ascii="Verdana" w:hAnsi="Verdana"/>
          <w:sz w:val="20"/>
          <w:szCs w:val="20"/>
          <w:lang w:val="en-US"/>
        </w:rPr>
        <w:t>the representatives</w:t>
      </w:r>
      <w:r w:rsidR="002B5CCD" w:rsidRPr="00FE7BA7">
        <w:rPr>
          <w:rFonts w:ascii="Verdana" w:hAnsi="Verdana"/>
          <w:sz w:val="20"/>
          <w:szCs w:val="20"/>
          <w:lang w:val="en-US"/>
        </w:rPr>
        <w:t xml:space="preserve"> and the Commission</w:t>
      </w:r>
      <w:r w:rsidR="00073B1B" w:rsidRPr="00FE7BA7">
        <w:rPr>
          <w:rFonts w:ascii="Verdana" w:hAnsi="Verdana"/>
          <w:sz w:val="20"/>
          <w:szCs w:val="20"/>
          <w:lang w:val="en-US"/>
        </w:rPr>
        <w:t xml:space="preserve"> </w:t>
      </w:r>
      <w:r w:rsidR="00E4033A" w:rsidRPr="00FE7BA7">
        <w:rPr>
          <w:rFonts w:ascii="Verdana" w:hAnsi="Verdana"/>
          <w:sz w:val="20"/>
          <w:szCs w:val="20"/>
          <w:lang w:val="en-US"/>
        </w:rPr>
        <w:t>present</w:t>
      </w:r>
      <w:r w:rsidRPr="00FE7BA7">
        <w:rPr>
          <w:rFonts w:ascii="Verdana" w:hAnsi="Verdana"/>
          <w:sz w:val="20"/>
          <w:szCs w:val="20"/>
          <w:lang w:val="en-US"/>
        </w:rPr>
        <w:t>ed their</w:t>
      </w:r>
      <w:r w:rsidR="00E4033A" w:rsidRPr="00FE7BA7">
        <w:rPr>
          <w:rFonts w:ascii="Verdana" w:hAnsi="Verdana"/>
          <w:sz w:val="20"/>
          <w:szCs w:val="20"/>
          <w:lang w:val="en-US"/>
        </w:rPr>
        <w:t xml:space="preserve"> </w:t>
      </w:r>
      <w:r w:rsidRPr="00FE7BA7">
        <w:rPr>
          <w:rFonts w:ascii="Verdana" w:hAnsi="Verdana"/>
          <w:sz w:val="20"/>
          <w:szCs w:val="20"/>
          <w:lang w:val="en-US"/>
        </w:rPr>
        <w:t>final written arguments</w:t>
      </w:r>
      <w:r w:rsidR="002B5CCD" w:rsidRPr="00FE7BA7">
        <w:rPr>
          <w:rFonts w:ascii="Verdana" w:hAnsi="Verdana"/>
          <w:sz w:val="20"/>
          <w:szCs w:val="20"/>
          <w:lang w:val="en-US"/>
        </w:rPr>
        <w:t xml:space="preserve"> and </w:t>
      </w:r>
      <w:r w:rsidR="00E4033A" w:rsidRPr="00FE7BA7">
        <w:rPr>
          <w:rFonts w:ascii="Verdana" w:hAnsi="Verdana"/>
          <w:sz w:val="20"/>
          <w:szCs w:val="20"/>
          <w:lang w:val="en-US"/>
        </w:rPr>
        <w:t>an</w:t>
      </w:r>
      <w:r w:rsidRPr="00FE7BA7">
        <w:rPr>
          <w:rFonts w:ascii="Verdana" w:hAnsi="Verdana"/>
          <w:sz w:val="20"/>
          <w:szCs w:val="20"/>
          <w:lang w:val="en-US"/>
        </w:rPr>
        <w:t>nexes, and their final written observations</w:t>
      </w:r>
      <w:r w:rsidR="00073B1B" w:rsidRPr="00FE7BA7">
        <w:rPr>
          <w:rFonts w:ascii="Verdana" w:hAnsi="Verdana"/>
          <w:sz w:val="20"/>
          <w:szCs w:val="20"/>
          <w:lang w:val="en-US"/>
        </w:rPr>
        <w:t xml:space="preserve">, </w:t>
      </w:r>
      <w:r w:rsidRPr="00FE7BA7">
        <w:rPr>
          <w:rFonts w:ascii="Verdana" w:hAnsi="Verdana"/>
          <w:sz w:val="20"/>
          <w:szCs w:val="20"/>
          <w:lang w:val="en-US"/>
        </w:rPr>
        <w:t>respectively.</w:t>
      </w:r>
    </w:p>
    <w:p w14:paraId="63126833" w14:textId="77777777" w:rsidR="005B786C" w:rsidRPr="00FE7BA7" w:rsidRDefault="005B786C" w:rsidP="009E77BD">
      <w:pPr>
        <w:pStyle w:val="ListParagraph"/>
        <w:ind w:left="0"/>
        <w:jc w:val="both"/>
        <w:rPr>
          <w:rFonts w:ascii="Verdana" w:hAnsi="Verdana"/>
          <w:sz w:val="20"/>
          <w:szCs w:val="20"/>
          <w:lang w:val="en-US"/>
        </w:rPr>
      </w:pPr>
    </w:p>
    <w:p w14:paraId="63126834" w14:textId="5677A1A9" w:rsidR="00073B1B" w:rsidRPr="00FE7BA7" w:rsidRDefault="005B786C" w:rsidP="00690B3D">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Observa</w:t>
      </w:r>
      <w:r w:rsidR="00D16DA7" w:rsidRPr="00FE7BA7">
        <w:rPr>
          <w:rFonts w:ascii="Verdana" w:hAnsi="Verdana"/>
          <w:i/>
          <w:sz w:val="20"/>
          <w:szCs w:val="20"/>
          <w:lang w:val="en-US"/>
        </w:rPr>
        <w:t xml:space="preserve">tions on the </w:t>
      </w:r>
      <w:r w:rsidR="00D16DA7" w:rsidRPr="00D818E8">
        <w:rPr>
          <w:rFonts w:ascii="Verdana" w:hAnsi="Verdana"/>
          <w:i/>
          <w:sz w:val="20"/>
          <w:szCs w:val="20"/>
          <w:lang w:val="en-US"/>
        </w:rPr>
        <w:t xml:space="preserve">annexes. </w:t>
      </w:r>
      <w:r w:rsidR="00D16DA7" w:rsidRPr="00D818E8">
        <w:rPr>
          <w:rFonts w:ascii="Verdana" w:hAnsi="Verdana"/>
          <w:sz w:val="20"/>
          <w:szCs w:val="20"/>
          <w:lang w:val="en-US"/>
        </w:rPr>
        <w:t>On March 26,</w:t>
      </w:r>
      <w:r w:rsidRPr="00D818E8">
        <w:rPr>
          <w:rFonts w:ascii="Verdana" w:hAnsi="Verdana"/>
          <w:sz w:val="20"/>
          <w:szCs w:val="20"/>
          <w:lang w:val="en-US"/>
        </w:rPr>
        <w:t xml:space="preserve"> 2015</w:t>
      </w:r>
      <w:r w:rsidR="00D16DA7" w:rsidRPr="00D818E8">
        <w:rPr>
          <w:rFonts w:ascii="Verdana" w:hAnsi="Verdana"/>
          <w:sz w:val="20"/>
          <w:szCs w:val="20"/>
          <w:lang w:val="en-US"/>
        </w:rPr>
        <w:t>, the Court’s</w:t>
      </w:r>
      <w:r w:rsidR="00D16DA7" w:rsidRPr="00FE7BA7">
        <w:rPr>
          <w:rFonts w:ascii="Verdana" w:hAnsi="Verdana"/>
          <w:sz w:val="20"/>
          <w:szCs w:val="20"/>
          <w:lang w:val="en-US"/>
        </w:rPr>
        <w:t xml:space="preserve"> Secretariat forwarded the annexes to the final written arguments</w:t>
      </w:r>
      <w:r w:rsidR="002B5CCD" w:rsidRPr="00FE7BA7">
        <w:rPr>
          <w:rFonts w:ascii="Verdana" w:hAnsi="Verdana"/>
          <w:sz w:val="20"/>
          <w:szCs w:val="20"/>
          <w:lang w:val="en-US"/>
        </w:rPr>
        <w:t xml:space="preserve"> </w:t>
      </w:r>
      <w:r w:rsidR="00D818E8">
        <w:rPr>
          <w:rFonts w:ascii="Verdana" w:hAnsi="Verdana"/>
          <w:sz w:val="20"/>
          <w:szCs w:val="20"/>
          <w:lang w:val="en-US"/>
        </w:rPr>
        <w:t>to</w:t>
      </w:r>
      <w:r w:rsidR="00D16DA7" w:rsidRPr="00FE7BA7">
        <w:rPr>
          <w:rFonts w:ascii="Verdana" w:hAnsi="Verdana"/>
          <w:sz w:val="20"/>
          <w:szCs w:val="20"/>
          <w:lang w:val="en-US"/>
        </w:rPr>
        <w:t xml:space="preserve"> the parties and </w:t>
      </w:r>
      <w:r w:rsidR="002B5CCD" w:rsidRPr="00FE7BA7">
        <w:rPr>
          <w:rFonts w:ascii="Verdana" w:hAnsi="Verdana"/>
          <w:sz w:val="20"/>
          <w:szCs w:val="20"/>
          <w:lang w:val="en-US"/>
        </w:rPr>
        <w:t>the Commission</w:t>
      </w:r>
      <w:r w:rsidR="001030B1">
        <w:rPr>
          <w:rFonts w:ascii="Verdana" w:hAnsi="Verdana"/>
          <w:sz w:val="20"/>
          <w:szCs w:val="20"/>
          <w:lang w:val="en-US"/>
        </w:rPr>
        <w:t>,</w:t>
      </w:r>
      <w:r w:rsidR="00D818E8">
        <w:rPr>
          <w:rFonts w:ascii="Verdana" w:hAnsi="Verdana"/>
          <w:sz w:val="20"/>
          <w:szCs w:val="20"/>
          <w:lang w:val="en-US"/>
        </w:rPr>
        <w:t xml:space="preserve"> asking them</w:t>
      </w:r>
      <w:r w:rsidR="00D16DA7" w:rsidRPr="00FE7BA7">
        <w:rPr>
          <w:rFonts w:ascii="Verdana" w:hAnsi="Verdana"/>
          <w:sz w:val="20"/>
          <w:szCs w:val="20"/>
          <w:lang w:val="en-US"/>
        </w:rPr>
        <w:t xml:space="preserve"> for any observations they deemed pertinent. In a communication dated April 7, </w:t>
      </w:r>
      <w:r w:rsidRPr="00FE7BA7">
        <w:rPr>
          <w:rFonts w:ascii="Verdana" w:hAnsi="Verdana"/>
          <w:sz w:val="20"/>
          <w:szCs w:val="20"/>
          <w:lang w:val="en-US"/>
        </w:rPr>
        <w:t xml:space="preserve">2015, </w:t>
      </w:r>
      <w:r w:rsidR="002B5CCD" w:rsidRPr="00FE7BA7">
        <w:rPr>
          <w:rFonts w:ascii="Verdana" w:hAnsi="Verdana"/>
          <w:sz w:val="20"/>
          <w:szCs w:val="20"/>
          <w:lang w:val="en-US"/>
        </w:rPr>
        <w:t>the Commission</w:t>
      </w:r>
      <w:r w:rsidRPr="00FE7BA7">
        <w:rPr>
          <w:rFonts w:ascii="Verdana" w:hAnsi="Verdana"/>
          <w:sz w:val="20"/>
          <w:szCs w:val="20"/>
          <w:lang w:val="en-US"/>
        </w:rPr>
        <w:t xml:space="preserve"> </w:t>
      </w:r>
      <w:r w:rsidR="00D16DA7" w:rsidRPr="00FE7BA7">
        <w:rPr>
          <w:rFonts w:ascii="Verdana" w:hAnsi="Verdana"/>
          <w:sz w:val="20"/>
          <w:szCs w:val="20"/>
          <w:lang w:val="en-US"/>
        </w:rPr>
        <w:t>advised that it had no observations to make on these annexes. Subsequently, on April 13,</w:t>
      </w:r>
      <w:r w:rsidRPr="00FE7BA7">
        <w:rPr>
          <w:rFonts w:ascii="Verdana" w:hAnsi="Verdana"/>
          <w:sz w:val="20"/>
          <w:szCs w:val="20"/>
          <w:lang w:val="en-US"/>
        </w:rPr>
        <w:t xml:space="preserve"> 2015, </w:t>
      </w:r>
      <w:r w:rsidR="00810FAD" w:rsidRPr="00FE7BA7">
        <w:rPr>
          <w:rFonts w:ascii="Verdana" w:hAnsi="Verdana"/>
          <w:sz w:val="20"/>
          <w:szCs w:val="20"/>
          <w:lang w:val="en-US"/>
        </w:rPr>
        <w:t>the representatives</w:t>
      </w:r>
      <w:r w:rsidRPr="00FE7BA7">
        <w:rPr>
          <w:rFonts w:ascii="Verdana" w:hAnsi="Verdana"/>
          <w:sz w:val="20"/>
          <w:szCs w:val="20"/>
          <w:lang w:val="en-US"/>
        </w:rPr>
        <w:t xml:space="preserve"> present</w:t>
      </w:r>
      <w:r w:rsidR="00D16DA7" w:rsidRPr="00FE7BA7">
        <w:rPr>
          <w:rFonts w:ascii="Verdana" w:hAnsi="Verdana"/>
          <w:sz w:val="20"/>
          <w:szCs w:val="20"/>
          <w:lang w:val="en-US"/>
        </w:rPr>
        <w:t xml:space="preserve">ed </w:t>
      </w:r>
      <w:r w:rsidR="00D818E8">
        <w:rPr>
          <w:rFonts w:ascii="Verdana" w:hAnsi="Verdana"/>
          <w:sz w:val="20"/>
          <w:szCs w:val="20"/>
          <w:lang w:val="en-US"/>
        </w:rPr>
        <w:t>comments o</w:t>
      </w:r>
      <w:r w:rsidR="00D16DA7" w:rsidRPr="00FE7BA7">
        <w:rPr>
          <w:rFonts w:ascii="Verdana" w:hAnsi="Verdana"/>
          <w:sz w:val="20"/>
          <w:szCs w:val="20"/>
          <w:lang w:val="en-US"/>
        </w:rPr>
        <w:t xml:space="preserve">n the annex sent by </w:t>
      </w:r>
      <w:r w:rsidR="002B5CCD" w:rsidRPr="00FE7BA7">
        <w:rPr>
          <w:rFonts w:ascii="Verdana" w:hAnsi="Verdana"/>
          <w:sz w:val="20"/>
          <w:szCs w:val="20"/>
          <w:lang w:val="en-US"/>
        </w:rPr>
        <w:t>the State</w:t>
      </w:r>
      <w:r w:rsidR="00D16DA7" w:rsidRPr="00FE7BA7">
        <w:rPr>
          <w:rFonts w:ascii="Verdana" w:hAnsi="Verdana"/>
          <w:sz w:val="20"/>
          <w:szCs w:val="20"/>
          <w:lang w:val="en-US"/>
        </w:rPr>
        <w:t>.</w:t>
      </w:r>
      <w:r w:rsidRPr="00FE7BA7">
        <w:rPr>
          <w:rFonts w:ascii="Verdana" w:hAnsi="Verdana"/>
          <w:sz w:val="20"/>
          <w:szCs w:val="20"/>
          <w:lang w:val="en-US"/>
        </w:rPr>
        <w:t xml:space="preserve"> </w:t>
      </w:r>
      <w:r w:rsidR="002B5CCD" w:rsidRPr="00FE7BA7">
        <w:rPr>
          <w:rFonts w:ascii="Verdana" w:hAnsi="Verdana"/>
          <w:sz w:val="20"/>
          <w:szCs w:val="20"/>
          <w:lang w:val="en-US"/>
        </w:rPr>
        <w:t>The State</w:t>
      </w:r>
      <w:r w:rsidR="002924C8" w:rsidRPr="00FE7BA7">
        <w:rPr>
          <w:rFonts w:ascii="Verdana" w:hAnsi="Verdana"/>
          <w:sz w:val="20"/>
          <w:szCs w:val="20"/>
          <w:lang w:val="en-US"/>
        </w:rPr>
        <w:t xml:space="preserve"> </w:t>
      </w:r>
      <w:r w:rsidR="00D16DA7" w:rsidRPr="00FE7BA7">
        <w:rPr>
          <w:rFonts w:ascii="Verdana" w:hAnsi="Verdana"/>
          <w:sz w:val="20"/>
          <w:szCs w:val="20"/>
          <w:lang w:val="en-US"/>
        </w:rPr>
        <w:t xml:space="preserve">did not </w:t>
      </w:r>
      <w:r w:rsidR="001A10C7">
        <w:rPr>
          <w:rFonts w:ascii="Verdana" w:hAnsi="Verdana"/>
          <w:sz w:val="20"/>
          <w:szCs w:val="20"/>
          <w:lang w:val="en-US"/>
        </w:rPr>
        <w:t>submit</w:t>
      </w:r>
      <w:r w:rsidR="00D16DA7" w:rsidRPr="00FE7BA7">
        <w:rPr>
          <w:rFonts w:ascii="Verdana" w:hAnsi="Verdana"/>
          <w:sz w:val="20"/>
          <w:szCs w:val="20"/>
          <w:lang w:val="en-US"/>
        </w:rPr>
        <w:t xml:space="preserve"> observations on the annexes sent by </w:t>
      </w:r>
      <w:r w:rsidR="00810FAD" w:rsidRPr="00FE7BA7">
        <w:rPr>
          <w:rFonts w:ascii="Verdana" w:hAnsi="Verdana"/>
          <w:sz w:val="20"/>
          <w:szCs w:val="20"/>
          <w:lang w:val="en-US"/>
        </w:rPr>
        <w:t>the representatives</w:t>
      </w:r>
      <w:r w:rsidR="00D16DA7" w:rsidRPr="00FE7BA7">
        <w:rPr>
          <w:rFonts w:ascii="Verdana" w:hAnsi="Verdana"/>
          <w:sz w:val="20"/>
          <w:szCs w:val="20"/>
          <w:lang w:val="en-US"/>
        </w:rPr>
        <w:t>.</w:t>
      </w:r>
    </w:p>
    <w:p w14:paraId="63126835" w14:textId="77777777" w:rsidR="00E4033A" w:rsidRPr="00FE7BA7" w:rsidRDefault="00E4033A" w:rsidP="00073B1B">
      <w:pPr>
        <w:pStyle w:val="ListParagraph"/>
        <w:ind w:left="0"/>
        <w:jc w:val="both"/>
        <w:rPr>
          <w:rFonts w:ascii="Verdana" w:hAnsi="Verdana"/>
          <w:sz w:val="20"/>
          <w:szCs w:val="20"/>
          <w:lang w:val="en-US"/>
        </w:rPr>
      </w:pPr>
    </w:p>
    <w:p w14:paraId="63126836" w14:textId="77777777" w:rsidR="00BF24FB" w:rsidRPr="00FE7BA7" w:rsidRDefault="00683B95" w:rsidP="00BF24FB">
      <w:pPr>
        <w:pStyle w:val="ListParagraph"/>
        <w:numPr>
          <w:ilvl w:val="0"/>
          <w:numId w:val="2"/>
        </w:numPr>
        <w:ind w:left="0" w:firstLine="0"/>
        <w:jc w:val="both"/>
        <w:rPr>
          <w:rFonts w:ascii="Verdana" w:hAnsi="Verdana"/>
          <w:b/>
          <w:sz w:val="20"/>
          <w:szCs w:val="20"/>
          <w:lang w:val="en-US"/>
        </w:rPr>
      </w:pPr>
      <w:r w:rsidRPr="00FE7BA7">
        <w:rPr>
          <w:rFonts w:ascii="Verdana" w:hAnsi="Verdana"/>
          <w:i/>
          <w:sz w:val="20"/>
          <w:szCs w:val="20"/>
          <w:lang w:val="en-US"/>
        </w:rPr>
        <w:t>Helpful evidence</w:t>
      </w:r>
      <w:r w:rsidR="007140D9" w:rsidRPr="00FE7BA7">
        <w:rPr>
          <w:rFonts w:ascii="Verdana" w:hAnsi="Verdana"/>
          <w:i/>
          <w:sz w:val="20"/>
          <w:szCs w:val="20"/>
          <w:lang w:val="en-US"/>
        </w:rPr>
        <w:t>.</w:t>
      </w:r>
      <w:r w:rsidR="007140D9" w:rsidRPr="00FE7BA7">
        <w:rPr>
          <w:rFonts w:ascii="Verdana" w:hAnsi="Verdana"/>
          <w:sz w:val="20"/>
          <w:szCs w:val="20"/>
          <w:lang w:val="en-US"/>
        </w:rPr>
        <w:t xml:space="preserve"> </w:t>
      </w:r>
      <w:r w:rsidR="00D16DA7" w:rsidRPr="00FE7BA7">
        <w:rPr>
          <w:rFonts w:ascii="Verdana" w:hAnsi="Verdana"/>
          <w:sz w:val="20"/>
          <w:szCs w:val="20"/>
          <w:lang w:val="en-US"/>
        </w:rPr>
        <w:t xml:space="preserve">On March 26, </w:t>
      </w:r>
      <w:r w:rsidR="000B276F" w:rsidRPr="00FE7BA7">
        <w:rPr>
          <w:rFonts w:ascii="Verdana" w:hAnsi="Verdana"/>
          <w:sz w:val="20"/>
          <w:szCs w:val="20"/>
          <w:lang w:val="en-US"/>
        </w:rPr>
        <w:t xml:space="preserve">2015, </w:t>
      </w:r>
      <w:r w:rsidR="00D16DA7" w:rsidRPr="00FE7BA7">
        <w:rPr>
          <w:rFonts w:ascii="Verdana" w:hAnsi="Verdana"/>
          <w:sz w:val="20"/>
          <w:szCs w:val="20"/>
          <w:lang w:val="en-US"/>
        </w:rPr>
        <w:t>on the instructions of the</w:t>
      </w:r>
      <w:r w:rsidR="000B276F" w:rsidRPr="00FE7BA7">
        <w:rPr>
          <w:rFonts w:ascii="Verdana" w:hAnsi="Verdana"/>
          <w:sz w:val="20"/>
          <w:szCs w:val="20"/>
          <w:lang w:val="en-US"/>
        </w:rPr>
        <w:t xml:space="preserve"> </w:t>
      </w:r>
      <w:r w:rsidR="002B5CCD" w:rsidRPr="00FE7BA7">
        <w:rPr>
          <w:rFonts w:ascii="Verdana" w:hAnsi="Verdana"/>
          <w:sz w:val="20"/>
          <w:szCs w:val="20"/>
          <w:lang w:val="en-US"/>
        </w:rPr>
        <w:t xml:space="preserve">President and </w:t>
      </w:r>
      <w:r w:rsidR="00D16DA7" w:rsidRPr="00FE7BA7">
        <w:rPr>
          <w:rFonts w:ascii="Verdana" w:hAnsi="Verdana"/>
          <w:sz w:val="20"/>
          <w:szCs w:val="20"/>
          <w:lang w:val="en-US"/>
        </w:rPr>
        <w:t xml:space="preserve">pursuant to the provisions of </w:t>
      </w:r>
      <w:r w:rsidR="002B5CCD" w:rsidRPr="00FE7BA7">
        <w:rPr>
          <w:rFonts w:ascii="Verdana" w:hAnsi="Verdana"/>
          <w:sz w:val="20"/>
          <w:szCs w:val="20"/>
          <w:lang w:val="en-US"/>
        </w:rPr>
        <w:t>Article</w:t>
      </w:r>
      <w:r w:rsidR="00BF24FB" w:rsidRPr="00FE7BA7">
        <w:rPr>
          <w:rFonts w:ascii="Verdana" w:hAnsi="Verdana"/>
          <w:sz w:val="20"/>
          <w:szCs w:val="20"/>
          <w:lang w:val="en-US"/>
        </w:rPr>
        <w:t xml:space="preserve"> 58</w:t>
      </w:r>
      <w:r w:rsidR="00D16DA7" w:rsidRPr="00FE7BA7">
        <w:rPr>
          <w:rFonts w:ascii="Verdana" w:hAnsi="Verdana"/>
          <w:sz w:val="20"/>
          <w:szCs w:val="20"/>
          <w:lang w:val="en-US"/>
        </w:rPr>
        <w:t>(b</w:t>
      </w:r>
      <w:r w:rsidR="00D16DA7" w:rsidRPr="00D818E8">
        <w:rPr>
          <w:rFonts w:ascii="Verdana" w:hAnsi="Verdana"/>
          <w:sz w:val="20"/>
          <w:szCs w:val="20"/>
          <w:lang w:val="en-US"/>
        </w:rPr>
        <w:t>) of the Court’s Rules of Procedure</w:t>
      </w:r>
      <w:r w:rsidR="00BF24FB" w:rsidRPr="00D818E8">
        <w:rPr>
          <w:rFonts w:ascii="Verdana" w:hAnsi="Verdana"/>
          <w:sz w:val="20"/>
          <w:szCs w:val="20"/>
          <w:lang w:val="en-US"/>
        </w:rPr>
        <w:t xml:space="preserve">, </w:t>
      </w:r>
      <w:r w:rsidR="00D16DA7" w:rsidRPr="00D818E8">
        <w:rPr>
          <w:rFonts w:ascii="Verdana" w:hAnsi="Verdana"/>
          <w:sz w:val="20"/>
          <w:szCs w:val="20"/>
          <w:lang w:val="en-US"/>
        </w:rPr>
        <w:t xml:space="preserve">the Secretariat asked the State to present </w:t>
      </w:r>
      <w:r w:rsidRPr="00D818E8">
        <w:rPr>
          <w:rFonts w:ascii="Verdana" w:hAnsi="Verdana"/>
          <w:sz w:val="20"/>
          <w:szCs w:val="20"/>
          <w:lang w:val="en-US"/>
        </w:rPr>
        <w:t>helpful evidence</w:t>
      </w:r>
      <w:r w:rsidR="000A6F50">
        <w:rPr>
          <w:rFonts w:ascii="Verdana" w:hAnsi="Verdana"/>
          <w:sz w:val="20"/>
          <w:szCs w:val="20"/>
          <w:lang w:val="en-US"/>
        </w:rPr>
        <w:t xml:space="preserve">. </w:t>
      </w:r>
      <w:r w:rsidR="00D16DA7" w:rsidRPr="00FE7BA7">
        <w:rPr>
          <w:rFonts w:ascii="Verdana" w:hAnsi="Verdana"/>
          <w:sz w:val="20"/>
          <w:szCs w:val="20"/>
          <w:lang w:val="en-US"/>
        </w:rPr>
        <w:t xml:space="preserve">This request was ratified on April 15, </w:t>
      </w:r>
      <w:r w:rsidR="00BF24FB" w:rsidRPr="00FE7BA7">
        <w:rPr>
          <w:rFonts w:ascii="Verdana" w:hAnsi="Verdana"/>
          <w:sz w:val="20"/>
          <w:szCs w:val="20"/>
          <w:lang w:val="en-US"/>
        </w:rPr>
        <w:t>2015</w:t>
      </w:r>
      <w:r w:rsidR="00D16DA7" w:rsidRPr="00FE7BA7">
        <w:rPr>
          <w:rFonts w:ascii="Verdana" w:hAnsi="Verdana"/>
          <w:sz w:val="20"/>
          <w:szCs w:val="20"/>
          <w:lang w:val="en-US"/>
        </w:rPr>
        <w:t>. In a communication of April 29, 2015, the State forward some of the information requested.</w:t>
      </w:r>
      <w:r w:rsidR="00BF24FB" w:rsidRPr="00FE7BA7">
        <w:rPr>
          <w:rStyle w:val="FootnoteReference"/>
          <w:szCs w:val="20"/>
          <w:lang w:val="en-US"/>
        </w:rPr>
        <w:footnoteReference w:id="13"/>
      </w:r>
    </w:p>
    <w:p w14:paraId="63126837" w14:textId="77777777" w:rsidR="000B276F" w:rsidRPr="00FE7BA7" w:rsidRDefault="000B276F" w:rsidP="00690B3D">
      <w:pPr>
        <w:pStyle w:val="ListParagraph"/>
        <w:ind w:left="0"/>
        <w:jc w:val="both"/>
        <w:rPr>
          <w:rFonts w:ascii="Verdana" w:hAnsi="Verdana"/>
          <w:sz w:val="20"/>
          <w:szCs w:val="20"/>
          <w:lang w:val="en-US"/>
        </w:rPr>
      </w:pPr>
    </w:p>
    <w:p w14:paraId="63126838" w14:textId="48069EAD" w:rsidR="000B276F" w:rsidRPr="00FE7BA7" w:rsidRDefault="000B276F" w:rsidP="000B276F">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Observa</w:t>
      </w:r>
      <w:r w:rsidR="00D16DA7" w:rsidRPr="00FE7BA7">
        <w:rPr>
          <w:rFonts w:ascii="Verdana" w:hAnsi="Verdana"/>
          <w:i/>
          <w:sz w:val="20"/>
          <w:szCs w:val="20"/>
          <w:lang w:val="en-US"/>
        </w:rPr>
        <w:t xml:space="preserve">tions on the </w:t>
      </w:r>
      <w:r w:rsidR="00683B95" w:rsidRPr="00FE7BA7">
        <w:rPr>
          <w:rFonts w:ascii="Verdana" w:hAnsi="Verdana"/>
          <w:i/>
          <w:sz w:val="20"/>
          <w:szCs w:val="20"/>
          <w:lang w:val="en-US"/>
        </w:rPr>
        <w:t>helpful evidence</w:t>
      </w:r>
      <w:r w:rsidR="007140D9" w:rsidRPr="00FE7BA7">
        <w:rPr>
          <w:rFonts w:ascii="Verdana" w:hAnsi="Verdana"/>
          <w:i/>
          <w:sz w:val="20"/>
          <w:szCs w:val="20"/>
          <w:lang w:val="en-US"/>
        </w:rPr>
        <w:t>.</w:t>
      </w:r>
      <w:r w:rsidR="007140D9" w:rsidRPr="00FE7BA7">
        <w:rPr>
          <w:rFonts w:ascii="Verdana" w:hAnsi="Verdana"/>
          <w:sz w:val="20"/>
          <w:szCs w:val="20"/>
          <w:lang w:val="en-US"/>
        </w:rPr>
        <w:t xml:space="preserve"> </w:t>
      </w:r>
      <w:r w:rsidR="00D16DA7" w:rsidRPr="00FE7BA7">
        <w:rPr>
          <w:rFonts w:ascii="Verdana" w:hAnsi="Verdana"/>
          <w:sz w:val="20"/>
          <w:szCs w:val="20"/>
          <w:lang w:val="en-US"/>
        </w:rPr>
        <w:t>In communications of May</w:t>
      </w:r>
      <w:r w:rsidRPr="00FE7BA7">
        <w:rPr>
          <w:rFonts w:ascii="Verdana" w:hAnsi="Verdana"/>
          <w:sz w:val="20"/>
          <w:szCs w:val="20"/>
          <w:lang w:val="en-US"/>
        </w:rPr>
        <w:t xml:space="preserve"> 12</w:t>
      </w:r>
      <w:r w:rsidR="002B5CCD" w:rsidRPr="00FE7BA7">
        <w:rPr>
          <w:rFonts w:ascii="Verdana" w:hAnsi="Verdana"/>
          <w:sz w:val="20"/>
          <w:szCs w:val="20"/>
          <w:lang w:val="en-US"/>
        </w:rPr>
        <w:t xml:space="preserve"> and </w:t>
      </w:r>
      <w:r w:rsidR="00D16DA7" w:rsidRPr="00FE7BA7">
        <w:rPr>
          <w:rFonts w:ascii="Verdana" w:hAnsi="Verdana"/>
          <w:sz w:val="20"/>
          <w:szCs w:val="20"/>
          <w:lang w:val="en-US"/>
        </w:rPr>
        <w:t xml:space="preserve">13, </w:t>
      </w:r>
      <w:r w:rsidRPr="00FE7BA7">
        <w:rPr>
          <w:rFonts w:ascii="Verdana" w:hAnsi="Verdana"/>
          <w:sz w:val="20"/>
          <w:szCs w:val="20"/>
          <w:lang w:val="en-US"/>
        </w:rPr>
        <w:t xml:space="preserve">2015, </w:t>
      </w:r>
      <w:r w:rsidR="00D16DA7" w:rsidRPr="00FE7BA7">
        <w:rPr>
          <w:rFonts w:ascii="Verdana" w:hAnsi="Verdana"/>
          <w:sz w:val="20"/>
          <w:szCs w:val="20"/>
          <w:lang w:val="en-US"/>
        </w:rPr>
        <w:t>both</w:t>
      </w:r>
      <w:r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Pr="00FE7BA7">
        <w:rPr>
          <w:rFonts w:ascii="Verdana" w:hAnsi="Verdana"/>
          <w:sz w:val="20"/>
          <w:szCs w:val="20"/>
          <w:lang w:val="en-US"/>
        </w:rPr>
        <w:t xml:space="preserve"> </w:t>
      </w:r>
      <w:r w:rsidR="00D16DA7" w:rsidRPr="00FE7BA7">
        <w:rPr>
          <w:rFonts w:ascii="Verdana" w:hAnsi="Verdana"/>
          <w:sz w:val="20"/>
          <w:szCs w:val="20"/>
          <w:lang w:val="en-US"/>
        </w:rPr>
        <w:t>and</w:t>
      </w:r>
      <w:r w:rsidRPr="00FE7BA7">
        <w:rPr>
          <w:rFonts w:ascii="Verdana" w:hAnsi="Verdana"/>
          <w:sz w:val="20"/>
          <w:szCs w:val="20"/>
          <w:lang w:val="en-US"/>
        </w:rPr>
        <w:t xml:space="preserve"> </w:t>
      </w:r>
      <w:r w:rsidR="002B5CCD" w:rsidRPr="00FE7BA7">
        <w:rPr>
          <w:rFonts w:ascii="Verdana" w:hAnsi="Verdana"/>
          <w:sz w:val="20"/>
          <w:szCs w:val="20"/>
          <w:lang w:val="en-US"/>
        </w:rPr>
        <w:t>the Commission</w:t>
      </w:r>
      <w:r w:rsidRPr="00FE7BA7">
        <w:rPr>
          <w:rFonts w:ascii="Verdana" w:hAnsi="Verdana"/>
          <w:sz w:val="20"/>
          <w:szCs w:val="20"/>
          <w:lang w:val="en-US"/>
        </w:rPr>
        <w:t xml:space="preserve"> present</w:t>
      </w:r>
      <w:r w:rsidR="00D16DA7" w:rsidRPr="00FE7BA7">
        <w:rPr>
          <w:rFonts w:ascii="Verdana" w:hAnsi="Verdana"/>
          <w:sz w:val="20"/>
          <w:szCs w:val="20"/>
          <w:lang w:val="en-US"/>
        </w:rPr>
        <w:t xml:space="preserve">ed their observations on the </w:t>
      </w:r>
      <w:r w:rsidR="00683B95" w:rsidRPr="00FE7BA7">
        <w:rPr>
          <w:rFonts w:ascii="Verdana" w:hAnsi="Verdana"/>
          <w:sz w:val="20"/>
          <w:szCs w:val="20"/>
          <w:lang w:val="en-US"/>
        </w:rPr>
        <w:t>helpful evidence</w:t>
      </w:r>
      <w:r w:rsidR="001A10C7">
        <w:rPr>
          <w:rFonts w:ascii="Verdana" w:hAnsi="Verdana"/>
          <w:sz w:val="20"/>
          <w:szCs w:val="20"/>
          <w:lang w:val="en-US"/>
        </w:rPr>
        <w:t xml:space="preserve"> </w:t>
      </w:r>
      <w:r w:rsidR="001030B1">
        <w:rPr>
          <w:rFonts w:ascii="Verdana" w:hAnsi="Verdana"/>
          <w:sz w:val="20"/>
          <w:szCs w:val="20"/>
          <w:lang w:val="en-US"/>
        </w:rPr>
        <w:t>submitted</w:t>
      </w:r>
      <w:r w:rsidR="001A10C7">
        <w:rPr>
          <w:rFonts w:ascii="Verdana" w:hAnsi="Verdana"/>
          <w:sz w:val="20"/>
          <w:szCs w:val="20"/>
          <w:lang w:val="en-US"/>
        </w:rPr>
        <w:t xml:space="preserve"> by the State that</w:t>
      </w:r>
      <w:r w:rsidR="00D16DA7" w:rsidRPr="00FE7BA7">
        <w:rPr>
          <w:rFonts w:ascii="Verdana" w:hAnsi="Verdana"/>
          <w:sz w:val="20"/>
          <w:szCs w:val="20"/>
          <w:lang w:val="en-US"/>
        </w:rPr>
        <w:t xml:space="preserve"> had been requested during </w:t>
      </w:r>
      <w:r w:rsidR="00810FAD" w:rsidRPr="00FE7BA7">
        <w:rPr>
          <w:rFonts w:ascii="Verdana" w:hAnsi="Verdana"/>
          <w:sz w:val="20"/>
          <w:szCs w:val="20"/>
          <w:lang w:val="en-US"/>
        </w:rPr>
        <w:t>the public hearing</w:t>
      </w:r>
      <w:r w:rsidR="00D16DA7" w:rsidRPr="00FE7BA7">
        <w:rPr>
          <w:rFonts w:ascii="Verdana" w:hAnsi="Verdana"/>
          <w:sz w:val="20"/>
          <w:szCs w:val="20"/>
          <w:lang w:val="en-US"/>
        </w:rPr>
        <w:t xml:space="preserve"> in this case</w:t>
      </w:r>
      <w:r w:rsidRPr="00FE7BA7">
        <w:rPr>
          <w:rFonts w:ascii="Verdana" w:hAnsi="Verdana"/>
          <w:sz w:val="20"/>
          <w:szCs w:val="20"/>
          <w:lang w:val="en-US"/>
        </w:rPr>
        <w:t xml:space="preserve"> </w:t>
      </w:r>
      <w:r w:rsidR="002B5CCD" w:rsidRPr="00FE7BA7">
        <w:rPr>
          <w:rFonts w:ascii="Verdana" w:hAnsi="Verdana"/>
          <w:sz w:val="20"/>
          <w:szCs w:val="20"/>
          <w:lang w:val="en-US"/>
        </w:rPr>
        <w:t xml:space="preserve">and </w:t>
      </w:r>
      <w:r w:rsidR="00D16DA7" w:rsidRPr="00FE7BA7">
        <w:rPr>
          <w:rFonts w:ascii="Verdana" w:hAnsi="Verdana"/>
          <w:sz w:val="20"/>
          <w:szCs w:val="20"/>
          <w:lang w:val="en-US"/>
        </w:rPr>
        <w:t xml:space="preserve">again on March </w:t>
      </w:r>
      <w:r w:rsidR="00E51005" w:rsidRPr="00FE7BA7">
        <w:rPr>
          <w:rFonts w:ascii="Verdana" w:hAnsi="Verdana"/>
          <w:sz w:val="20"/>
          <w:szCs w:val="20"/>
          <w:lang w:val="en-US"/>
        </w:rPr>
        <w:t>26</w:t>
      </w:r>
      <w:r w:rsidR="002B5CCD" w:rsidRPr="00FE7BA7">
        <w:rPr>
          <w:rFonts w:ascii="Verdana" w:hAnsi="Verdana"/>
          <w:sz w:val="20"/>
          <w:szCs w:val="20"/>
          <w:lang w:val="en-US"/>
        </w:rPr>
        <w:t xml:space="preserve"> and </w:t>
      </w:r>
      <w:r w:rsidR="00D16DA7" w:rsidRPr="00FE7BA7">
        <w:rPr>
          <w:rFonts w:ascii="Verdana" w:hAnsi="Verdana"/>
          <w:sz w:val="20"/>
          <w:szCs w:val="20"/>
          <w:lang w:val="en-US"/>
        </w:rPr>
        <w:t xml:space="preserve">April 15, </w:t>
      </w:r>
      <w:r w:rsidR="00E51005" w:rsidRPr="00FE7BA7">
        <w:rPr>
          <w:rFonts w:ascii="Verdana" w:hAnsi="Verdana"/>
          <w:sz w:val="20"/>
          <w:szCs w:val="20"/>
          <w:lang w:val="en-US"/>
        </w:rPr>
        <w:t>2015 (</w:t>
      </w:r>
      <w:r w:rsidR="00366D91" w:rsidRPr="00FE7BA7">
        <w:rPr>
          <w:rFonts w:ascii="Verdana" w:hAnsi="Verdana"/>
          <w:i/>
          <w:sz w:val="20"/>
          <w:szCs w:val="20"/>
          <w:lang w:val="en-US"/>
        </w:rPr>
        <w:t>supra</w:t>
      </w:r>
      <w:r w:rsidR="00E51005" w:rsidRPr="00FE7BA7">
        <w:rPr>
          <w:rFonts w:ascii="Verdana" w:hAnsi="Verdana"/>
          <w:sz w:val="20"/>
          <w:szCs w:val="20"/>
          <w:lang w:val="en-US"/>
        </w:rPr>
        <w:t xml:space="preserve"> </w:t>
      </w:r>
      <w:r w:rsidR="00810FAD" w:rsidRPr="00FE7BA7">
        <w:rPr>
          <w:rFonts w:ascii="Verdana" w:hAnsi="Verdana"/>
          <w:sz w:val="20"/>
          <w:szCs w:val="20"/>
          <w:lang w:val="en-US"/>
        </w:rPr>
        <w:t>para.</w:t>
      </w:r>
      <w:r w:rsidR="00E51005" w:rsidRPr="00FE7BA7">
        <w:rPr>
          <w:rFonts w:ascii="Verdana" w:hAnsi="Verdana"/>
          <w:sz w:val="20"/>
          <w:szCs w:val="20"/>
          <w:lang w:val="en-US"/>
        </w:rPr>
        <w:t xml:space="preserve"> </w:t>
      </w:r>
      <w:r w:rsidR="003723B0" w:rsidRPr="00FE7BA7">
        <w:rPr>
          <w:rFonts w:ascii="Verdana" w:hAnsi="Verdana"/>
          <w:sz w:val="20"/>
          <w:szCs w:val="20"/>
          <w:lang w:val="en-US"/>
        </w:rPr>
        <w:t>12</w:t>
      </w:r>
      <w:r w:rsidR="00E51005" w:rsidRPr="00FE7BA7">
        <w:rPr>
          <w:rFonts w:ascii="Verdana" w:hAnsi="Verdana"/>
          <w:sz w:val="20"/>
          <w:szCs w:val="20"/>
          <w:lang w:val="en-US"/>
        </w:rPr>
        <w:t>)</w:t>
      </w:r>
      <w:r w:rsidRPr="00FE7BA7">
        <w:rPr>
          <w:rFonts w:ascii="Verdana" w:hAnsi="Verdana"/>
          <w:sz w:val="20"/>
          <w:szCs w:val="20"/>
          <w:lang w:val="en-US"/>
        </w:rPr>
        <w:t xml:space="preserve">. </w:t>
      </w:r>
    </w:p>
    <w:p w14:paraId="63126839" w14:textId="77777777" w:rsidR="00E4033A" w:rsidRPr="00FE7BA7" w:rsidRDefault="00E4033A" w:rsidP="00E4033A">
      <w:pPr>
        <w:jc w:val="both"/>
        <w:rPr>
          <w:rFonts w:ascii="Verdana" w:hAnsi="Verdana"/>
          <w:sz w:val="20"/>
          <w:szCs w:val="20"/>
          <w:lang w:val="en-US"/>
        </w:rPr>
      </w:pPr>
    </w:p>
    <w:p w14:paraId="6312683A" w14:textId="77777777" w:rsidR="00E51005" w:rsidRPr="00FE7BA7" w:rsidRDefault="00D818E8" w:rsidP="007641F6">
      <w:pPr>
        <w:pStyle w:val="ListParagraph"/>
        <w:numPr>
          <w:ilvl w:val="0"/>
          <w:numId w:val="2"/>
        </w:numPr>
        <w:ind w:left="0" w:firstLine="0"/>
        <w:jc w:val="both"/>
        <w:rPr>
          <w:rFonts w:ascii="Verdana" w:hAnsi="Verdana"/>
          <w:i/>
          <w:sz w:val="20"/>
          <w:szCs w:val="20"/>
          <w:lang w:val="en-US"/>
        </w:rPr>
      </w:pPr>
      <w:r w:rsidRPr="00D818E8">
        <w:rPr>
          <w:rFonts w:ascii="Verdana" w:hAnsi="Verdana"/>
          <w:i/>
          <w:sz w:val="20"/>
          <w:szCs w:val="20"/>
          <w:lang w:val="en-US"/>
        </w:rPr>
        <w:t>On-site</w:t>
      </w:r>
      <w:r w:rsidR="00E4033A" w:rsidRPr="00FE7BA7">
        <w:rPr>
          <w:rFonts w:ascii="Verdana" w:hAnsi="Verdana"/>
          <w:i/>
          <w:sz w:val="20"/>
          <w:szCs w:val="20"/>
          <w:lang w:val="en-US"/>
        </w:rPr>
        <w:t xml:space="preserve"> </w:t>
      </w:r>
      <w:r w:rsidR="00D16DA7" w:rsidRPr="00FE7BA7">
        <w:rPr>
          <w:rFonts w:ascii="Verdana" w:hAnsi="Verdana"/>
          <w:i/>
          <w:sz w:val="20"/>
          <w:szCs w:val="20"/>
          <w:lang w:val="en-US"/>
        </w:rPr>
        <w:t>procedure i</w:t>
      </w:r>
      <w:r w:rsidR="00E4033A" w:rsidRPr="00FE7BA7">
        <w:rPr>
          <w:rFonts w:ascii="Verdana" w:hAnsi="Verdana"/>
          <w:i/>
          <w:sz w:val="20"/>
          <w:szCs w:val="20"/>
          <w:lang w:val="en-US"/>
        </w:rPr>
        <w:t xml:space="preserve">n </w:t>
      </w:r>
      <w:r w:rsidR="002B5CCD" w:rsidRPr="00FE7BA7">
        <w:rPr>
          <w:rFonts w:ascii="Verdana" w:hAnsi="Verdana"/>
          <w:i/>
          <w:sz w:val="20"/>
          <w:szCs w:val="20"/>
          <w:lang w:val="en-US"/>
        </w:rPr>
        <w:t xml:space="preserve">the Kaliña and Lokono </w:t>
      </w:r>
      <w:r w:rsidR="00D16DA7" w:rsidRPr="00FE7BA7">
        <w:rPr>
          <w:rFonts w:ascii="Verdana" w:hAnsi="Verdana"/>
          <w:i/>
          <w:sz w:val="20"/>
          <w:szCs w:val="20"/>
          <w:lang w:val="en-US"/>
        </w:rPr>
        <w:t>communities</w:t>
      </w:r>
      <w:r w:rsidR="00B76AD5" w:rsidRPr="00FE7BA7">
        <w:rPr>
          <w:rFonts w:ascii="Verdana" w:hAnsi="Verdana"/>
          <w:i/>
          <w:sz w:val="20"/>
          <w:szCs w:val="20"/>
          <w:lang w:val="en-US"/>
        </w:rPr>
        <w:t xml:space="preserve"> </w:t>
      </w:r>
      <w:r w:rsidR="00B76AD5" w:rsidRPr="00FE7BA7">
        <w:rPr>
          <w:rFonts w:ascii="Verdana" w:hAnsi="Verdana"/>
          <w:sz w:val="20"/>
          <w:szCs w:val="20"/>
          <w:lang w:val="en-US"/>
        </w:rPr>
        <w:t>(</w:t>
      </w:r>
      <w:r w:rsidR="002B5CCD" w:rsidRPr="00FE7BA7">
        <w:rPr>
          <w:rFonts w:ascii="Verdana" w:hAnsi="Verdana"/>
          <w:sz w:val="20"/>
          <w:szCs w:val="20"/>
          <w:lang w:val="en-US"/>
        </w:rPr>
        <w:t>hereinafter</w:t>
      </w:r>
      <w:r w:rsidR="00B76AD5" w:rsidRPr="00FE7BA7">
        <w:rPr>
          <w:rFonts w:ascii="Verdana" w:hAnsi="Verdana"/>
          <w:sz w:val="20"/>
          <w:szCs w:val="20"/>
          <w:lang w:val="en-US"/>
        </w:rPr>
        <w:t xml:space="preserve"> “</w:t>
      </w:r>
      <w:r w:rsidR="00D16DA7" w:rsidRPr="00FE7BA7">
        <w:rPr>
          <w:rFonts w:ascii="Verdana" w:hAnsi="Verdana"/>
          <w:sz w:val="20"/>
          <w:szCs w:val="20"/>
          <w:lang w:val="en-US"/>
        </w:rPr>
        <w:t>the visit</w:t>
      </w:r>
      <w:r w:rsidR="00B76AD5" w:rsidRPr="00FE7BA7">
        <w:rPr>
          <w:rFonts w:ascii="Verdana" w:hAnsi="Verdana"/>
          <w:sz w:val="20"/>
          <w:szCs w:val="20"/>
          <w:lang w:val="en-US"/>
        </w:rPr>
        <w:t>” o</w:t>
      </w:r>
      <w:r w:rsidR="00D16DA7" w:rsidRPr="00FE7BA7">
        <w:rPr>
          <w:rFonts w:ascii="Verdana" w:hAnsi="Verdana"/>
          <w:sz w:val="20"/>
          <w:szCs w:val="20"/>
          <w:lang w:val="en-US"/>
        </w:rPr>
        <w:t>r “</w:t>
      </w:r>
      <w:r w:rsidR="00D16DA7" w:rsidRPr="00D818E8">
        <w:rPr>
          <w:rFonts w:ascii="Verdana" w:hAnsi="Verdana"/>
          <w:sz w:val="20"/>
          <w:szCs w:val="20"/>
          <w:lang w:val="en-US"/>
        </w:rPr>
        <w:t>the</w:t>
      </w:r>
      <w:r w:rsidR="00B76AD5" w:rsidRPr="00D818E8">
        <w:rPr>
          <w:rFonts w:ascii="Verdana" w:hAnsi="Verdana"/>
          <w:sz w:val="20"/>
          <w:szCs w:val="20"/>
          <w:lang w:val="en-US"/>
        </w:rPr>
        <w:t xml:space="preserve"> </w:t>
      </w:r>
      <w:r w:rsidRPr="00D818E8">
        <w:rPr>
          <w:rFonts w:ascii="Verdana" w:hAnsi="Verdana"/>
          <w:sz w:val="20"/>
          <w:szCs w:val="20"/>
          <w:lang w:val="en-US"/>
        </w:rPr>
        <w:t>on-site</w:t>
      </w:r>
      <w:r w:rsidR="00D16DA7" w:rsidRPr="00D818E8">
        <w:rPr>
          <w:rFonts w:ascii="Verdana" w:hAnsi="Verdana"/>
          <w:sz w:val="20"/>
          <w:szCs w:val="20"/>
          <w:lang w:val="en-US"/>
        </w:rPr>
        <w:t xml:space="preserve"> p</w:t>
      </w:r>
      <w:r w:rsidR="00D16DA7" w:rsidRPr="00FE7BA7">
        <w:rPr>
          <w:rFonts w:ascii="Verdana" w:hAnsi="Verdana"/>
          <w:sz w:val="20"/>
          <w:szCs w:val="20"/>
          <w:lang w:val="en-US"/>
        </w:rPr>
        <w:t>rocedure</w:t>
      </w:r>
      <w:r w:rsidR="00B76AD5" w:rsidRPr="00FE7BA7">
        <w:rPr>
          <w:rFonts w:ascii="Verdana" w:hAnsi="Verdana"/>
          <w:sz w:val="20"/>
          <w:szCs w:val="20"/>
          <w:lang w:val="en-US"/>
        </w:rPr>
        <w:t>”)</w:t>
      </w:r>
      <w:r w:rsidR="007140D9" w:rsidRPr="00FE7BA7">
        <w:rPr>
          <w:rFonts w:ascii="Verdana" w:hAnsi="Verdana"/>
          <w:i/>
          <w:sz w:val="20"/>
          <w:szCs w:val="20"/>
          <w:lang w:val="en-US"/>
        </w:rPr>
        <w:t>.</w:t>
      </w:r>
      <w:r w:rsidR="00D16DA7" w:rsidRPr="00FE7BA7">
        <w:rPr>
          <w:rFonts w:ascii="Verdana" w:hAnsi="Verdana"/>
          <w:sz w:val="20"/>
          <w:szCs w:val="20"/>
          <w:lang w:val="en-US"/>
        </w:rPr>
        <w:t xml:space="preserve"> From August 17 to 19, 2015, a delegation from the Court conducted an on-site procedure in part of the territory claimed by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1D70DF" w:rsidRPr="00FE7BA7">
        <w:rPr>
          <w:rFonts w:ascii="Verdana" w:hAnsi="Verdana"/>
          <w:sz w:val="20"/>
          <w:szCs w:val="20"/>
          <w:lang w:val="en-US"/>
        </w:rPr>
        <w:t xml:space="preserve"> </w:t>
      </w:r>
      <w:r w:rsidR="00D16DA7" w:rsidRPr="00FE7BA7">
        <w:rPr>
          <w:rFonts w:ascii="Verdana" w:hAnsi="Verdana"/>
          <w:sz w:val="20"/>
          <w:szCs w:val="20"/>
          <w:lang w:val="en-US"/>
        </w:rPr>
        <w:t xml:space="preserve">in order to observe some of these areas, including some of the nature reserves, and to meet with the parties, </w:t>
      </w:r>
      <w:r w:rsidR="002B5CCD" w:rsidRPr="00FE7BA7">
        <w:rPr>
          <w:rFonts w:ascii="Verdana" w:eastAsia="Times New Roman" w:hAnsi="Verdana"/>
          <w:sz w:val="20"/>
          <w:szCs w:val="20"/>
          <w:lang w:val="en-US"/>
        </w:rPr>
        <w:t>the Commission</w:t>
      </w:r>
      <w:r w:rsidR="001D70DF" w:rsidRPr="00FE7BA7">
        <w:rPr>
          <w:rFonts w:ascii="Verdana" w:eastAsia="Times New Roman" w:hAnsi="Verdana"/>
          <w:sz w:val="20"/>
          <w:szCs w:val="20"/>
          <w:lang w:val="en-US"/>
        </w:rPr>
        <w:t>,</w:t>
      </w:r>
      <w:r w:rsidR="002B5CCD" w:rsidRPr="00FE7BA7">
        <w:rPr>
          <w:rFonts w:ascii="Verdana" w:eastAsia="Times New Roman" w:hAnsi="Verdana"/>
          <w:sz w:val="20"/>
          <w:szCs w:val="20"/>
          <w:lang w:val="en-US"/>
        </w:rPr>
        <w:t xml:space="preserve"> and </w:t>
      </w:r>
      <w:r w:rsidR="00D16DA7" w:rsidRPr="00FE7BA7">
        <w:rPr>
          <w:rFonts w:ascii="Verdana" w:eastAsia="Times New Roman" w:hAnsi="Verdana"/>
          <w:sz w:val="20"/>
          <w:szCs w:val="20"/>
          <w:lang w:val="en-US"/>
        </w:rPr>
        <w:t>various authorities and members of the communities.</w:t>
      </w:r>
      <w:r w:rsidR="001D70DF" w:rsidRPr="00FE7BA7">
        <w:rPr>
          <w:rStyle w:val="FootnoteReference"/>
          <w:rFonts w:eastAsia="Times New Roman"/>
          <w:szCs w:val="20"/>
          <w:lang w:val="en-US"/>
        </w:rPr>
        <w:footnoteReference w:id="14"/>
      </w:r>
      <w:r w:rsidR="001D70DF" w:rsidRPr="00FE7BA7">
        <w:rPr>
          <w:rFonts w:ascii="Verdana" w:eastAsia="Times New Roman" w:hAnsi="Verdana"/>
          <w:sz w:val="20"/>
          <w:szCs w:val="20"/>
          <w:lang w:val="en-US"/>
        </w:rPr>
        <w:t xml:space="preserve"> </w:t>
      </w:r>
      <w:r w:rsidR="00D16DA7" w:rsidRPr="00FE7BA7">
        <w:rPr>
          <w:rFonts w:ascii="Verdana" w:hAnsi="Verdana"/>
          <w:sz w:val="20"/>
          <w:szCs w:val="20"/>
          <w:lang w:val="en-US"/>
        </w:rPr>
        <w:t xml:space="preserve">This was </w:t>
      </w:r>
      <w:r w:rsidR="00D16DA7" w:rsidRPr="00FE7BA7">
        <w:rPr>
          <w:rFonts w:ascii="Verdana" w:hAnsi="Verdana"/>
          <w:sz w:val="20"/>
          <w:szCs w:val="20"/>
          <w:lang w:val="en-US"/>
        </w:rPr>
        <w:lastRenderedPageBreak/>
        <w:t xml:space="preserve">recorded in a video made by the State. The following were the main activities: (a) on Monday, August 17, the delegation visited </w:t>
      </w:r>
      <w:r w:rsidR="00E4033A" w:rsidRPr="00FE7BA7">
        <w:rPr>
          <w:rFonts w:ascii="Verdana" w:hAnsi="Verdana"/>
          <w:sz w:val="20"/>
          <w:szCs w:val="20"/>
          <w:lang w:val="en-US"/>
        </w:rPr>
        <w:t xml:space="preserve">Paramaribo, </w:t>
      </w:r>
      <w:r w:rsidR="00D16DA7" w:rsidRPr="00FE7BA7">
        <w:rPr>
          <w:rFonts w:ascii="Verdana" w:hAnsi="Verdana"/>
          <w:sz w:val="20"/>
          <w:szCs w:val="20"/>
          <w:lang w:val="en-US"/>
        </w:rPr>
        <w:t>where meetings were held with different authorities and delegations, including the recently appointed Minister for Foreign Affairs, and the representative of the National Assembly</w:t>
      </w:r>
      <w:r w:rsidR="001D70DF" w:rsidRPr="00FE7BA7">
        <w:rPr>
          <w:rFonts w:ascii="Verdana" w:hAnsi="Verdana"/>
          <w:sz w:val="20"/>
          <w:szCs w:val="20"/>
          <w:lang w:val="en-US"/>
        </w:rPr>
        <w:t xml:space="preserve">. </w:t>
      </w:r>
      <w:r w:rsidR="007641F6" w:rsidRPr="00FE7BA7">
        <w:rPr>
          <w:rFonts w:ascii="Verdana" w:hAnsi="Verdana"/>
          <w:sz w:val="20"/>
          <w:szCs w:val="20"/>
          <w:lang w:val="en-US"/>
        </w:rPr>
        <w:t xml:space="preserve">In addition, meetings were held with the participation, among others, of representatives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1D70DF" w:rsidRPr="00FE7BA7">
        <w:rPr>
          <w:rFonts w:ascii="Verdana" w:hAnsi="Verdana"/>
          <w:sz w:val="20"/>
          <w:szCs w:val="20"/>
          <w:lang w:val="en-US"/>
        </w:rPr>
        <w:t xml:space="preserve">, </w:t>
      </w:r>
      <w:r w:rsidR="007641F6" w:rsidRPr="00FE7BA7">
        <w:rPr>
          <w:rFonts w:ascii="Verdana" w:hAnsi="Verdana"/>
          <w:sz w:val="20"/>
          <w:szCs w:val="20"/>
          <w:lang w:val="en-US"/>
        </w:rPr>
        <w:t xml:space="preserve">the Maroon communities, </w:t>
      </w:r>
      <w:r w:rsidR="002B5CCD" w:rsidRPr="00FE7BA7">
        <w:rPr>
          <w:rFonts w:ascii="Verdana" w:hAnsi="Verdana"/>
          <w:sz w:val="20"/>
          <w:szCs w:val="20"/>
          <w:lang w:val="en-US"/>
        </w:rPr>
        <w:t>the Commission</w:t>
      </w:r>
      <w:r>
        <w:rPr>
          <w:rFonts w:ascii="Verdana" w:hAnsi="Verdana"/>
          <w:sz w:val="20"/>
          <w:szCs w:val="20"/>
          <w:lang w:val="en-US"/>
        </w:rPr>
        <w:t>,</w:t>
      </w:r>
      <w:r w:rsidR="002B5CCD" w:rsidRPr="00FE7BA7">
        <w:rPr>
          <w:rFonts w:ascii="Verdana" w:hAnsi="Verdana"/>
          <w:sz w:val="20"/>
          <w:szCs w:val="20"/>
          <w:lang w:val="en-US"/>
        </w:rPr>
        <w:t xml:space="preserve"> and</w:t>
      </w:r>
      <w:r w:rsidR="007641F6" w:rsidRPr="00FE7BA7">
        <w:rPr>
          <w:rFonts w:ascii="Verdana" w:hAnsi="Verdana"/>
          <w:sz w:val="20"/>
          <w:szCs w:val="20"/>
          <w:lang w:val="en-US"/>
        </w:rPr>
        <w:t xml:space="preserve"> </w:t>
      </w:r>
      <w:r w:rsidR="00810FAD" w:rsidRPr="00FE7BA7">
        <w:rPr>
          <w:rFonts w:ascii="Verdana" w:hAnsi="Verdana"/>
          <w:sz w:val="20"/>
          <w:szCs w:val="20"/>
          <w:lang w:val="en-US"/>
        </w:rPr>
        <w:t xml:space="preserve">the </w:t>
      </w:r>
      <w:r w:rsidR="002B5CCD" w:rsidRPr="00FE7BA7">
        <w:rPr>
          <w:rFonts w:ascii="Verdana" w:hAnsi="Verdana"/>
          <w:sz w:val="20"/>
          <w:szCs w:val="20"/>
          <w:lang w:val="en-US"/>
        </w:rPr>
        <w:t>State</w:t>
      </w:r>
      <w:r w:rsidR="00E4033A" w:rsidRPr="00FE7BA7">
        <w:rPr>
          <w:rFonts w:ascii="Verdana" w:hAnsi="Verdana"/>
          <w:sz w:val="20"/>
          <w:szCs w:val="20"/>
          <w:lang w:val="en-US"/>
        </w:rPr>
        <w:t xml:space="preserve">; </w:t>
      </w:r>
      <w:r w:rsidR="007641F6" w:rsidRPr="00FE7BA7">
        <w:rPr>
          <w:rFonts w:ascii="Verdana" w:hAnsi="Verdana"/>
          <w:sz w:val="20"/>
          <w:szCs w:val="20"/>
          <w:lang w:val="en-US"/>
        </w:rPr>
        <w:t>(</w:t>
      </w:r>
      <w:r w:rsidR="00E4033A" w:rsidRPr="00FE7BA7">
        <w:rPr>
          <w:rFonts w:ascii="Verdana" w:hAnsi="Verdana"/>
          <w:sz w:val="20"/>
          <w:szCs w:val="20"/>
          <w:lang w:val="en-US"/>
        </w:rPr>
        <w:t xml:space="preserve">b) </w:t>
      </w:r>
      <w:r w:rsidR="007641F6" w:rsidRPr="00FE7BA7">
        <w:rPr>
          <w:rFonts w:ascii="Verdana" w:hAnsi="Verdana"/>
          <w:sz w:val="20"/>
          <w:szCs w:val="20"/>
          <w:lang w:val="en-US"/>
        </w:rPr>
        <w:t xml:space="preserve">on Tuesday, August 18, a meeting was held with the representatives of Christiaankondre and Langamankondre and a brief visit was made to these villages where their opinions were heard, following which the delegation was welcomed by the members of these communities, and (c) on Wednesday, August 19, a visit was made to the Galibi Nature Reserve; a meeting was held in </w:t>
      </w:r>
      <w:r w:rsidR="00E4033A" w:rsidRPr="00FE7BA7">
        <w:rPr>
          <w:rFonts w:ascii="Verdana" w:hAnsi="Verdana"/>
          <w:sz w:val="20"/>
          <w:szCs w:val="20"/>
          <w:lang w:val="en-US"/>
        </w:rPr>
        <w:t xml:space="preserve">Erowarte </w:t>
      </w:r>
      <w:r w:rsidR="007641F6" w:rsidRPr="00FE7BA7">
        <w:rPr>
          <w:rFonts w:ascii="Verdana" w:hAnsi="Verdana"/>
          <w:sz w:val="20"/>
          <w:szCs w:val="20"/>
          <w:lang w:val="en-US"/>
        </w:rPr>
        <w:t xml:space="preserve">with representatives of six of the indigenous communities, namely: </w:t>
      </w:r>
      <w:r w:rsidR="00E4033A" w:rsidRPr="00FE7BA7">
        <w:rPr>
          <w:rFonts w:ascii="Verdana" w:hAnsi="Verdana"/>
          <w:sz w:val="20"/>
          <w:szCs w:val="20"/>
          <w:lang w:val="en-US"/>
        </w:rPr>
        <w:t>Erowarte, Tapuku, Pierrekondre, Marijkedorp (o</w:t>
      </w:r>
      <w:r w:rsidR="007641F6" w:rsidRPr="00FE7BA7">
        <w:rPr>
          <w:rFonts w:ascii="Verdana" w:hAnsi="Verdana"/>
          <w:sz w:val="20"/>
          <w:szCs w:val="20"/>
          <w:lang w:val="en-US"/>
        </w:rPr>
        <w:t>r</w:t>
      </w:r>
      <w:r w:rsidR="00E4033A" w:rsidRPr="00FE7BA7">
        <w:rPr>
          <w:rFonts w:ascii="Verdana" w:hAnsi="Verdana"/>
          <w:sz w:val="20"/>
          <w:szCs w:val="20"/>
          <w:lang w:val="en-US"/>
        </w:rPr>
        <w:t xml:space="preserve"> Wan Shi Sha), Alfonsdorp</w:t>
      </w:r>
      <w:r w:rsidR="002B5CCD" w:rsidRPr="00FE7BA7">
        <w:rPr>
          <w:rFonts w:ascii="Verdana" w:hAnsi="Verdana"/>
          <w:sz w:val="20"/>
          <w:szCs w:val="20"/>
          <w:lang w:val="en-US"/>
        </w:rPr>
        <w:t xml:space="preserve"> and </w:t>
      </w:r>
      <w:r w:rsidR="00E4033A" w:rsidRPr="00FE7BA7">
        <w:rPr>
          <w:rFonts w:ascii="Verdana" w:hAnsi="Verdana"/>
          <w:sz w:val="20"/>
          <w:szCs w:val="20"/>
          <w:lang w:val="en-US"/>
        </w:rPr>
        <w:t>Bigiston</w:t>
      </w:r>
      <w:r w:rsidR="00607406">
        <w:rPr>
          <w:rFonts w:ascii="Verdana" w:hAnsi="Verdana"/>
          <w:sz w:val="20"/>
          <w:szCs w:val="20"/>
          <w:lang w:val="en-US"/>
        </w:rPr>
        <w:t>,</w:t>
      </w:r>
      <w:r w:rsidR="007641F6" w:rsidRPr="00FE7BA7">
        <w:rPr>
          <w:rFonts w:ascii="Verdana" w:hAnsi="Verdana"/>
          <w:sz w:val="20"/>
          <w:szCs w:val="20"/>
          <w:lang w:val="en-US"/>
        </w:rPr>
        <w:t xml:space="preserve"> during which </w:t>
      </w:r>
      <w:r w:rsidR="00607406">
        <w:rPr>
          <w:rFonts w:ascii="Verdana" w:hAnsi="Verdana"/>
          <w:sz w:val="20"/>
          <w:szCs w:val="20"/>
          <w:lang w:val="en-US"/>
        </w:rPr>
        <w:t>their</w:t>
      </w:r>
      <w:r w:rsidR="007641F6" w:rsidRPr="00FE7BA7">
        <w:rPr>
          <w:rFonts w:ascii="Verdana" w:hAnsi="Verdana"/>
          <w:sz w:val="20"/>
          <w:szCs w:val="20"/>
          <w:lang w:val="en-US"/>
        </w:rPr>
        <w:t xml:space="preserve"> opinions were heard. In addition, the delegation drove through these indigenous villages, with the exception of </w:t>
      </w:r>
      <w:r w:rsidR="00E4033A" w:rsidRPr="00FE7BA7">
        <w:rPr>
          <w:rFonts w:ascii="Verdana" w:hAnsi="Verdana"/>
          <w:sz w:val="20"/>
          <w:szCs w:val="20"/>
          <w:lang w:val="en-US"/>
        </w:rPr>
        <w:t>Alfonsdorp</w:t>
      </w:r>
      <w:r w:rsidR="002B5CCD" w:rsidRPr="00FE7BA7">
        <w:rPr>
          <w:rFonts w:ascii="Verdana" w:hAnsi="Verdana"/>
          <w:sz w:val="20"/>
          <w:szCs w:val="20"/>
          <w:lang w:val="en-US"/>
        </w:rPr>
        <w:t xml:space="preserve"> and </w:t>
      </w:r>
      <w:r w:rsidR="00607406">
        <w:rPr>
          <w:rFonts w:ascii="Verdana" w:hAnsi="Verdana"/>
          <w:sz w:val="20"/>
          <w:szCs w:val="20"/>
          <w:lang w:val="en-US"/>
        </w:rPr>
        <w:t>Bigiston</w:t>
      </w:r>
      <w:r w:rsidR="002B5CCD" w:rsidRPr="00FE7BA7">
        <w:rPr>
          <w:rFonts w:ascii="Verdana" w:hAnsi="Verdana"/>
          <w:sz w:val="20"/>
          <w:szCs w:val="20"/>
          <w:lang w:val="en-US"/>
        </w:rPr>
        <w:t xml:space="preserve"> and</w:t>
      </w:r>
      <w:r w:rsidR="00607406">
        <w:rPr>
          <w:rFonts w:ascii="Verdana" w:hAnsi="Verdana"/>
          <w:sz w:val="20"/>
          <w:szCs w:val="20"/>
          <w:lang w:val="en-US"/>
        </w:rPr>
        <w:t>,</w:t>
      </w:r>
      <w:r w:rsidR="002B5CCD" w:rsidRPr="00FE7BA7">
        <w:rPr>
          <w:rFonts w:ascii="Verdana" w:hAnsi="Verdana"/>
          <w:sz w:val="20"/>
          <w:szCs w:val="20"/>
          <w:lang w:val="en-US"/>
        </w:rPr>
        <w:t xml:space="preserve"> </w:t>
      </w:r>
      <w:r w:rsidR="007641F6" w:rsidRPr="00FE7BA7">
        <w:rPr>
          <w:rFonts w:ascii="Verdana" w:hAnsi="Verdana"/>
          <w:sz w:val="20"/>
          <w:szCs w:val="20"/>
          <w:lang w:val="en-US"/>
        </w:rPr>
        <w:t xml:space="preserve">lastly, a visit was made to the Maroon village of </w:t>
      </w:r>
      <w:r w:rsidR="00301A0D" w:rsidRPr="00FE7BA7">
        <w:rPr>
          <w:rFonts w:ascii="Verdana" w:hAnsi="Verdana"/>
          <w:sz w:val="20"/>
          <w:szCs w:val="20"/>
          <w:lang w:val="en-US"/>
        </w:rPr>
        <w:t xml:space="preserve">Moengotapu, </w:t>
      </w:r>
      <w:r w:rsidR="007641F6" w:rsidRPr="00FE7BA7">
        <w:rPr>
          <w:rFonts w:ascii="Verdana" w:hAnsi="Verdana"/>
          <w:sz w:val="20"/>
          <w:szCs w:val="20"/>
          <w:lang w:val="en-US"/>
        </w:rPr>
        <w:t xml:space="preserve">to the </w:t>
      </w:r>
      <w:r w:rsidR="00E4033A" w:rsidRPr="00FE7BA7">
        <w:rPr>
          <w:rFonts w:ascii="Verdana" w:hAnsi="Verdana"/>
          <w:sz w:val="20"/>
          <w:szCs w:val="20"/>
          <w:lang w:val="en-US"/>
        </w:rPr>
        <w:t xml:space="preserve">Wane </w:t>
      </w:r>
      <w:r w:rsidR="00AE3C94" w:rsidRPr="00FE7BA7">
        <w:rPr>
          <w:rFonts w:ascii="Verdana" w:hAnsi="Verdana"/>
          <w:sz w:val="20"/>
          <w:szCs w:val="20"/>
          <w:lang w:val="en-US"/>
        </w:rPr>
        <w:t>K</w:t>
      </w:r>
      <w:r w:rsidR="00E4033A" w:rsidRPr="00FE7BA7">
        <w:rPr>
          <w:rFonts w:ascii="Verdana" w:hAnsi="Verdana"/>
          <w:sz w:val="20"/>
          <w:szCs w:val="20"/>
          <w:lang w:val="en-US"/>
        </w:rPr>
        <w:t>reek</w:t>
      </w:r>
      <w:r w:rsidR="007641F6" w:rsidRPr="00FE7BA7">
        <w:rPr>
          <w:rFonts w:ascii="Verdana" w:hAnsi="Verdana"/>
          <w:sz w:val="20"/>
          <w:szCs w:val="20"/>
          <w:lang w:val="en-US"/>
        </w:rPr>
        <w:t xml:space="preserve"> Nature Reserve,</w:t>
      </w:r>
      <w:r w:rsidR="002B5CCD" w:rsidRPr="00FE7BA7">
        <w:rPr>
          <w:rFonts w:ascii="Verdana" w:hAnsi="Verdana"/>
          <w:sz w:val="20"/>
          <w:szCs w:val="20"/>
          <w:lang w:val="en-US"/>
        </w:rPr>
        <w:t xml:space="preserve"> and </w:t>
      </w:r>
      <w:r w:rsidR="007641F6" w:rsidRPr="00FE7BA7">
        <w:rPr>
          <w:rFonts w:ascii="Verdana" w:hAnsi="Verdana"/>
          <w:sz w:val="20"/>
          <w:szCs w:val="20"/>
          <w:lang w:val="en-US"/>
        </w:rPr>
        <w:t>to the area of the mining concession.</w:t>
      </w:r>
    </w:p>
    <w:p w14:paraId="6312683B" w14:textId="77777777" w:rsidR="00E4033A" w:rsidRPr="00FE7BA7" w:rsidRDefault="00E4033A" w:rsidP="00E51005">
      <w:pPr>
        <w:pStyle w:val="ListParagraph"/>
        <w:ind w:left="0"/>
        <w:jc w:val="both"/>
        <w:rPr>
          <w:rFonts w:ascii="Verdana" w:hAnsi="Verdana"/>
          <w:i/>
          <w:sz w:val="20"/>
          <w:szCs w:val="20"/>
          <w:lang w:val="en-US"/>
        </w:rPr>
      </w:pPr>
    </w:p>
    <w:p w14:paraId="6312683C" w14:textId="77777777" w:rsidR="00206475" w:rsidRPr="00FE7BA7" w:rsidRDefault="00281B97" w:rsidP="00E4033A">
      <w:pPr>
        <w:pStyle w:val="ListParagraph"/>
        <w:numPr>
          <w:ilvl w:val="0"/>
          <w:numId w:val="2"/>
        </w:numPr>
        <w:ind w:left="0" w:firstLine="0"/>
        <w:jc w:val="both"/>
        <w:rPr>
          <w:rFonts w:ascii="Verdana" w:hAnsi="Verdana"/>
          <w:i/>
          <w:sz w:val="20"/>
          <w:szCs w:val="20"/>
          <w:lang w:val="en-US"/>
        </w:rPr>
      </w:pPr>
      <w:r w:rsidRPr="00FE7BA7">
        <w:rPr>
          <w:rFonts w:ascii="Verdana" w:hAnsi="Verdana"/>
          <w:i/>
          <w:sz w:val="20"/>
          <w:szCs w:val="20"/>
          <w:lang w:val="en-US"/>
        </w:rPr>
        <w:t xml:space="preserve">Observations on </w:t>
      </w:r>
      <w:r w:rsidR="00D16DA7" w:rsidRPr="00FE7BA7">
        <w:rPr>
          <w:rFonts w:ascii="Verdana" w:hAnsi="Verdana"/>
          <w:i/>
          <w:sz w:val="20"/>
          <w:szCs w:val="20"/>
          <w:lang w:val="en-US"/>
        </w:rPr>
        <w:t>the visit</w:t>
      </w:r>
      <w:r w:rsidR="002B5CCD" w:rsidRPr="00FE7BA7">
        <w:rPr>
          <w:rFonts w:ascii="Verdana" w:hAnsi="Verdana"/>
          <w:i/>
          <w:sz w:val="20"/>
          <w:szCs w:val="20"/>
          <w:lang w:val="en-US"/>
        </w:rPr>
        <w:t xml:space="preserve"> and </w:t>
      </w:r>
      <w:r w:rsidRPr="00FE7BA7">
        <w:rPr>
          <w:rFonts w:ascii="Verdana" w:hAnsi="Verdana"/>
          <w:i/>
          <w:sz w:val="20"/>
          <w:szCs w:val="20"/>
          <w:lang w:val="en-US"/>
        </w:rPr>
        <w:t>reception of videos</w:t>
      </w:r>
      <w:r w:rsidR="00E4033A" w:rsidRPr="00FE7BA7">
        <w:rPr>
          <w:rFonts w:ascii="Verdana" w:hAnsi="Verdana"/>
          <w:i/>
          <w:sz w:val="20"/>
          <w:szCs w:val="20"/>
          <w:lang w:val="en-US"/>
        </w:rPr>
        <w:t xml:space="preserve">. </w:t>
      </w:r>
      <w:r w:rsidRPr="00FE7BA7">
        <w:rPr>
          <w:rFonts w:ascii="Verdana" w:hAnsi="Verdana"/>
          <w:sz w:val="20"/>
          <w:szCs w:val="20"/>
          <w:lang w:val="en-US"/>
        </w:rPr>
        <w:t>On September 8,</w:t>
      </w:r>
      <w:r w:rsidR="00E4033A" w:rsidRPr="00FE7BA7">
        <w:rPr>
          <w:rFonts w:ascii="Verdana" w:hAnsi="Verdana"/>
          <w:sz w:val="20"/>
          <w:szCs w:val="20"/>
          <w:lang w:val="en-US"/>
        </w:rPr>
        <w:t xml:space="preserve"> 2015</w:t>
      </w:r>
      <w:r w:rsidRPr="00FE7BA7">
        <w:rPr>
          <w:rFonts w:ascii="Verdana" w:hAnsi="Verdana"/>
          <w:sz w:val="20"/>
          <w:szCs w:val="20"/>
          <w:lang w:val="en-US"/>
        </w:rPr>
        <w:t xml:space="preserve">, the Court received the observations on the visit </w:t>
      </w:r>
      <w:r w:rsidR="002B5CCD" w:rsidRPr="00FE7BA7">
        <w:rPr>
          <w:rFonts w:ascii="Verdana" w:hAnsi="Verdana"/>
          <w:sz w:val="20"/>
          <w:szCs w:val="20"/>
          <w:lang w:val="en-US"/>
        </w:rPr>
        <w:t xml:space="preserve">of the Commission and </w:t>
      </w:r>
      <w:r w:rsidRPr="00FE7BA7">
        <w:rPr>
          <w:rFonts w:ascii="Verdana" w:hAnsi="Verdana"/>
          <w:sz w:val="20"/>
          <w:szCs w:val="20"/>
          <w:lang w:val="en-US"/>
        </w:rPr>
        <w:t>of</w:t>
      </w:r>
      <w:r w:rsidR="00E4033A"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0A6F50">
        <w:rPr>
          <w:rFonts w:ascii="Verdana" w:hAnsi="Verdana"/>
          <w:sz w:val="20"/>
          <w:szCs w:val="20"/>
          <w:lang w:val="en-US"/>
        </w:rPr>
        <w:t xml:space="preserve">. </w:t>
      </w:r>
      <w:r w:rsidRPr="00FE7BA7">
        <w:rPr>
          <w:rFonts w:ascii="Verdana" w:hAnsi="Verdana"/>
          <w:sz w:val="20"/>
          <w:szCs w:val="20"/>
          <w:lang w:val="en-US"/>
        </w:rPr>
        <w:t>On the same date, the Court received the videos of the on-site procedure sent by the State and contained on six</w:t>
      </w:r>
      <w:r w:rsidR="00206475" w:rsidRPr="00FE7BA7">
        <w:rPr>
          <w:rFonts w:ascii="Verdana" w:hAnsi="Verdana"/>
          <w:sz w:val="20"/>
          <w:szCs w:val="20"/>
          <w:lang w:val="en-US"/>
        </w:rPr>
        <w:t xml:space="preserve"> DVDs </w:t>
      </w:r>
      <w:r w:rsidRPr="00FE7BA7">
        <w:rPr>
          <w:rFonts w:ascii="Verdana" w:hAnsi="Verdana"/>
          <w:sz w:val="20"/>
          <w:szCs w:val="20"/>
          <w:lang w:val="en-US"/>
        </w:rPr>
        <w:t>in the edited and the unedited version</w:t>
      </w:r>
      <w:r w:rsidR="008D4788">
        <w:rPr>
          <w:rFonts w:ascii="Verdana" w:hAnsi="Verdana"/>
          <w:sz w:val="20"/>
          <w:szCs w:val="20"/>
          <w:lang w:val="en-US"/>
        </w:rPr>
        <w:t>s</w:t>
      </w:r>
      <w:r w:rsidRPr="00FE7BA7">
        <w:rPr>
          <w:rFonts w:ascii="Verdana" w:hAnsi="Verdana"/>
          <w:sz w:val="20"/>
          <w:szCs w:val="20"/>
          <w:lang w:val="en-US"/>
        </w:rPr>
        <w:t xml:space="preserve">. In its communication, the State requested additional time to send its observations on the visit, and the Court agreed to this. These observations and some annexes were received on September </w:t>
      </w:r>
      <w:r w:rsidR="00374B40" w:rsidRPr="00FE7BA7">
        <w:rPr>
          <w:rFonts w:ascii="Verdana" w:hAnsi="Verdana"/>
          <w:sz w:val="20"/>
          <w:lang w:val="en-US"/>
        </w:rPr>
        <w:t>17</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18, </w:t>
      </w:r>
      <w:r w:rsidR="00374B40" w:rsidRPr="00FE7BA7">
        <w:rPr>
          <w:rFonts w:ascii="Verdana" w:hAnsi="Verdana"/>
          <w:sz w:val="20"/>
          <w:szCs w:val="20"/>
          <w:lang w:val="en-US"/>
        </w:rPr>
        <w:t>2015</w:t>
      </w:r>
      <w:r w:rsidRPr="00FE7BA7">
        <w:rPr>
          <w:rFonts w:ascii="Verdana" w:hAnsi="Verdana"/>
          <w:sz w:val="20"/>
          <w:szCs w:val="20"/>
          <w:lang w:val="en-US"/>
        </w:rPr>
        <w:t>,</w:t>
      </w:r>
      <w:r w:rsidR="00374B40" w:rsidRPr="00FE7BA7">
        <w:rPr>
          <w:rFonts w:ascii="Verdana" w:hAnsi="Verdana"/>
          <w:sz w:val="20"/>
          <w:szCs w:val="20"/>
          <w:lang w:val="en-US"/>
        </w:rPr>
        <w:t xml:space="preserve"> </w:t>
      </w:r>
      <w:r w:rsidR="00D16DA7" w:rsidRPr="00FE7BA7">
        <w:rPr>
          <w:rFonts w:ascii="Verdana" w:hAnsi="Verdana"/>
          <w:sz w:val="20"/>
          <w:szCs w:val="20"/>
          <w:lang w:val="en-US"/>
        </w:rPr>
        <w:t>respectively</w:t>
      </w:r>
      <w:r w:rsidR="00E51005" w:rsidRPr="00FE7BA7">
        <w:rPr>
          <w:rFonts w:ascii="Verdana" w:hAnsi="Verdana"/>
          <w:sz w:val="20"/>
          <w:szCs w:val="20"/>
          <w:lang w:val="en-US"/>
        </w:rPr>
        <w:t>.</w:t>
      </w:r>
      <w:r w:rsidRPr="00FE7BA7">
        <w:rPr>
          <w:rFonts w:ascii="Verdana" w:hAnsi="Verdana"/>
          <w:sz w:val="20"/>
          <w:szCs w:val="20"/>
          <w:lang w:val="en-US"/>
        </w:rPr>
        <w:t xml:space="preserve"> </w:t>
      </w:r>
    </w:p>
    <w:p w14:paraId="6312683D" w14:textId="77777777" w:rsidR="00206475" w:rsidRPr="00FE7BA7" w:rsidRDefault="00206475" w:rsidP="00690B3D">
      <w:pPr>
        <w:pStyle w:val="ListParagraph"/>
        <w:rPr>
          <w:rFonts w:ascii="Verdana" w:hAnsi="Verdana"/>
          <w:sz w:val="20"/>
          <w:szCs w:val="20"/>
          <w:lang w:val="en-US"/>
        </w:rPr>
      </w:pPr>
    </w:p>
    <w:p w14:paraId="6312683E" w14:textId="77777777" w:rsidR="00EA7C49" w:rsidRPr="00FE7BA7" w:rsidRDefault="00683B95" w:rsidP="00206475">
      <w:pPr>
        <w:pStyle w:val="ListParagraph"/>
        <w:numPr>
          <w:ilvl w:val="0"/>
          <w:numId w:val="2"/>
        </w:numPr>
        <w:ind w:left="0" w:firstLine="0"/>
        <w:jc w:val="both"/>
        <w:rPr>
          <w:rFonts w:ascii="Verdana" w:hAnsi="Verdana"/>
          <w:i/>
          <w:sz w:val="20"/>
          <w:szCs w:val="20"/>
          <w:lang w:val="en-US"/>
        </w:rPr>
      </w:pPr>
      <w:r w:rsidRPr="00FE7BA7">
        <w:rPr>
          <w:rFonts w:ascii="Verdana" w:hAnsi="Verdana"/>
          <w:i/>
          <w:sz w:val="20"/>
          <w:szCs w:val="20"/>
          <w:lang w:val="en-US"/>
        </w:rPr>
        <w:t xml:space="preserve">Helpful evidence requested following </w:t>
      </w:r>
      <w:r w:rsidR="00D16DA7" w:rsidRPr="00FE7BA7">
        <w:rPr>
          <w:rFonts w:ascii="Verdana" w:hAnsi="Verdana"/>
          <w:i/>
          <w:sz w:val="20"/>
          <w:szCs w:val="20"/>
          <w:lang w:val="en-US"/>
        </w:rPr>
        <w:t>the visit</w:t>
      </w:r>
      <w:r w:rsidR="00D575AE" w:rsidRPr="00FE7BA7">
        <w:rPr>
          <w:rFonts w:ascii="Verdana" w:hAnsi="Verdana"/>
          <w:i/>
          <w:sz w:val="20"/>
          <w:szCs w:val="20"/>
          <w:lang w:val="en-US"/>
        </w:rPr>
        <w:t xml:space="preserve">. </w:t>
      </w:r>
      <w:r w:rsidR="00374B40" w:rsidRPr="00FE7BA7">
        <w:rPr>
          <w:rFonts w:ascii="Verdana" w:hAnsi="Verdana"/>
          <w:sz w:val="20"/>
          <w:szCs w:val="20"/>
          <w:lang w:val="en-US"/>
        </w:rPr>
        <w:t>Dur</w:t>
      </w:r>
      <w:r w:rsidRPr="00FE7BA7">
        <w:rPr>
          <w:rFonts w:ascii="Verdana" w:hAnsi="Verdana"/>
          <w:sz w:val="20"/>
          <w:szCs w:val="20"/>
          <w:lang w:val="en-US"/>
        </w:rPr>
        <w:t>ing the on-site procedure, the Court’s delegation gave the State a list of helpful evidence. In addition, on August 25,</w:t>
      </w:r>
      <w:r w:rsidR="006C7BDF" w:rsidRPr="00FE7BA7">
        <w:rPr>
          <w:rFonts w:ascii="Verdana" w:hAnsi="Verdana"/>
          <w:sz w:val="20"/>
          <w:szCs w:val="20"/>
          <w:lang w:val="en-US"/>
        </w:rPr>
        <w:t xml:space="preserve"> 2015, </w:t>
      </w:r>
      <w:r w:rsidR="00D16DA7" w:rsidRPr="00FE7BA7">
        <w:rPr>
          <w:rFonts w:ascii="Verdana" w:hAnsi="Verdana"/>
          <w:sz w:val="20"/>
          <w:szCs w:val="20"/>
          <w:lang w:val="en-US"/>
        </w:rPr>
        <w:t>the Secretariat</w:t>
      </w:r>
      <w:r w:rsidR="006C7BDF" w:rsidRPr="00FE7BA7">
        <w:rPr>
          <w:rFonts w:ascii="Verdana" w:hAnsi="Verdana"/>
          <w:sz w:val="20"/>
          <w:szCs w:val="20"/>
          <w:lang w:val="en-US"/>
        </w:rPr>
        <w:t xml:space="preserve"> </w:t>
      </w:r>
      <w:r w:rsidRPr="00FE7BA7">
        <w:rPr>
          <w:rFonts w:ascii="Verdana" w:hAnsi="Verdana"/>
          <w:sz w:val="20"/>
          <w:szCs w:val="20"/>
          <w:lang w:val="en-US"/>
        </w:rPr>
        <w:t xml:space="preserve">sent a letter reiterating and specifying this evidence to both the State and </w:t>
      </w:r>
      <w:r w:rsidR="00810FAD" w:rsidRPr="00FE7BA7">
        <w:rPr>
          <w:rFonts w:ascii="Verdana" w:hAnsi="Verdana"/>
          <w:sz w:val="20"/>
          <w:szCs w:val="20"/>
          <w:lang w:val="en-US"/>
        </w:rPr>
        <w:t>the representatives</w:t>
      </w:r>
      <w:r w:rsidRPr="00FE7BA7">
        <w:rPr>
          <w:rFonts w:ascii="Verdana" w:hAnsi="Verdana"/>
          <w:sz w:val="20"/>
          <w:szCs w:val="20"/>
          <w:lang w:val="en-US"/>
        </w:rPr>
        <w:t>.</w:t>
      </w:r>
      <w:r w:rsidR="006C7BDF" w:rsidRPr="00FE7BA7">
        <w:rPr>
          <w:rStyle w:val="FootnoteReference"/>
          <w:szCs w:val="20"/>
          <w:lang w:val="en-US"/>
        </w:rPr>
        <w:footnoteReference w:id="15"/>
      </w:r>
      <w:r w:rsidRPr="00FE7BA7">
        <w:rPr>
          <w:rFonts w:ascii="Verdana" w:hAnsi="Verdana"/>
          <w:sz w:val="20"/>
          <w:szCs w:val="20"/>
          <w:lang w:val="en-US"/>
        </w:rPr>
        <w:t xml:space="preserve"> In this regard, on September 8, </w:t>
      </w:r>
      <w:r w:rsidR="006C7BDF" w:rsidRPr="00FE7BA7">
        <w:rPr>
          <w:rFonts w:ascii="Verdana" w:hAnsi="Verdana"/>
          <w:sz w:val="20"/>
          <w:szCs w:val="20"/>
          <w:lang w:val="en-US"/>
        </w:rPr>
        <w:t>2015</w:t>
      </w:r>
      <w:r w:rsidR="00206475" w:rsidRPr="00FE7BA7">
        <w:rPr>
          <w:rFonts w:ascii="Verdana" w:hAnsi="Verdana"/>
          <w:sz w:val="20"/>
          <w:szCs w:val="20"/>
          <w:lang w:val="en-US"/>
        </w:rPr>
        <w:t>,</w:t>
      </w:r>
      <w:r w:rsidRPr="00FE7BA7">
        <w:rPr>
          <w:rFonts w:ascii="Verdana" w:hAnsi="Verdana"/>
          <w:sz w:val="20"/>
          <w:szCs w:val="20"/>
          <w:lang w:val="en-US"/>
        </w:rPr>
        <w:t xml:space="preserve"> the Court received</w:t>
      </w:r>
      <w:r w:rsidR="00206475" w:rsidRPr="00FE7BA7">
        <w:rPr>
          <w:rFonts w:ascii="Verdana" w:hAnsi="Verdana"/>
          <w:sz w:val="20"/>
          <w:szCs w:val="20"/>
          <w:lang w:val="en-US"/>
        </w:rPr>
        <w:t xml:space="preserve"> </w:t>
      </w:r>
      <w:r w:rsidRPr="00FE7BA7">
        <w:rPr>
          <w:rFonts w:ascii="Verdana" w:hAnsi="Verdana"/>
          <w:sz w:val="20"/>
          <w:szCs w:val="20"/>
          <w:lang w:val="en-US"/>
        </w:rPr>
        <w:t xml:space="preserve">the annexes with helpful evidence sent by </w:t>
      </w:r>
      <w:r w:rsidR="00810FAD" w:rsidRPr="00FE7BA7">
        <w:rPr>
          <w:rFonts w:ascii="Verdana" w:hAnsi="Verdana"/>
          <w:sz w:val="20"/>
          <w:szCs w:val="20"/>
          <w:lang w:val="en-US"/>
        </w:rPr>
        <w:t>the representatives</w:t>
      </w:r>
      <w:r w:rsidRPr="00FE7BA7">
        <w:rPr>
          <w:rFonts w:ascii="Verdana" w:hAnsi="Verdana"/>
          <w:sz w:val="20"/>
          <w:szCs w:val="20"/>
          <w:lang w:val="en-US"/>
        </w:rPr>
        <w:t>.</w:t>
      </w:r>
      <w:r w:rsidR="00206475" w:rsidRPr="00FE7BA7">
        <w:rPr>
          <w:rStyle w:val="FootnoteReference"/>
          <w:szCs w:val="20"/>
          <w:lang w:val="en-US"/>
        </w:rPr>
        <w:footnoteReference w:id="16"/>
      </w:r>
      <w:r w:rsidR="00D575AE" w:rsidRPr="00FE7BA7">
        <w:rPr>
          <w:rFonts w:ascii="Verdana" w:hAnsi="Verdana"/>
          <w:sz w:val="20"/>
          <w:szCs w:val="20"/>
          <w:lang w:val="en-US"/>
        </w:rPr>
        <w:t xml:space="preserve"> </w:t>
      </w:r>
      <w:r w:rsidRPr="00FE7BA7">
        <w:rPr>
          <w:rFonts w:ascii="Verdana" w:hAnsi="Verdana"/>
          <w:sz w:val="20"/>
          <w:szCs w:val="20"/>
          <w:lang w:val="en-US"/>
        </w:rPr>
        <w:t>On September</w:t>
      </w:r>
      <w:r w:rsidR="006C7BDF" w:rsidRPr="00FE7BA7">
        <w:rPr>
          <w:rFonts w:ascii="Verdana" w:hAnsi="Verdana"/>
          <w:sz w:val="20"/>
          <w:szCs w:val="20"/>
          <w:lang w:val="en-US"/>
        </w:rPr>
        <w:t xml:space="preserve"> 17, 18, 22, 29</w:t>
      </w:r>
      <w:r w:rsidR="002B5CCD" w:rsidRPr="00FE7BA7">
        <w:rPr>
          <w:rFonts w:ascii="Verdana" w:hAnsi="Verdana"/>
          <w:sz w:val="20"/>
          <w:szCs w:val="20"/>
          <w:lang w:val="en-US"/>
        </w:rPr>
        <w:t xml:space="preserve"> and </w:t>
      </w:r>
      <w:r w:rsidR="006C7BDF" w:rsidRPr="00FE7BA7">
        <w:rPr>
          <w:rFonts w:ascii="Verdana" w:hAnsi="Verdana"/>
          <w:sz w:val="20"/>
          <w:lang w:val="en-US"/>
        </w:rPr>
        <w:t>30</w:t>
      </w:r>
      <w:r w:rsidRPr="00FE7BA7">
        <w:rPr>
          <w:rFonts w:ascii="Verdana" w:hAnsi="Verdana"/>
          <w:sz w:val="20"/>
          <w:lang w:val="en-US"/>
        </w:rPr>
        <w:t xml:space="preserve">, 2015, the </w:t>
      </w:r>
      <w:r w:rsidRPr="00FE7BA7">
        <w:rPr>
          <w:rFonts w:ascii="Verdana" w:hAnsi="Verdana"/>
          <w:sz w:val="20"/>
          <w:lang w:val="en-US"/>
        </w:rPr>
        <w:lastRenderedPageBreak/>
        <w:t>annexes with helpful evidence sent by the State were received,</w:t>
      </w:r>
      <w:r w:rsidR="00206475" w:rsidRPr="00FE7BA7">
        <w:rPr>
          <w:rStyle w:val="FootnoteReference"/>
          <w:szCs w:val="20"/>
          <w:lang w:val="en-US"/>
        </w:rPr>
        <w:footnoteReference w:id="17"/>
      </w:r>
      <w:r w:rsidR="00206475" w:rsidRPr="00FE7BA7">
        <w:rPr>
          <w:rFonts w:ascii="Verdana" w:hAnsi="Verdana"/>
          <w:sz w:val="20"/>
          <w:szCs w:val="20"/>
          <w:lang w:val="en-US"/>
        </w:rPr>
        <w:t xml:space="preserve"> </w:t>
      </w:r>
      <w:r w:rsidRPr="00FE7BA7">
        <w:rPr>
          <w:rFonts w:ascii="Verdana" w:hAnsi="Verdana"/>
          <w:sz w:val="20"/>
          <w:szCs w:val="20"/>
          <w:lang w:val="en-US"/>
        </w:rPr>
        <w:t xml:space="preserve">following a request for an extension of the deadline granted by </w:t>
      </w:r>
      <w:r w:rsidR="002B5CCD" w:rsidRPr="00FE7BA7">
        <w:rPr>
          <w:rFonts w:ascii="Verdana" w:hAnsi="Verdana"/>
          <w:sz w:val="20"/>
          <w:szCs w:val="20"/>
          <w:lang w:val="en-US"/>
        </w:rPr>
        <w:t>the Court</w:t>
      </w:r>
      <w:r w:rsidR="000A6F50">
        <w:rPr>
          <w:rFonts w:ascii="Verdana" w:hAnsi="Verdana"/>
          <w:sz w:val="20"/>
          <w:szCs w:val="20"/>
          <w:lang w:val="en-US"/>
        </w:rPr>
        <w:t>.</w:t>
      </w:r>
    </w:p>
    <w:p w14:paraId="6312683F" w14:textId="77777777" w:rsidR="00CD45C6" w:rsidRPr="00FE7BA7" w:rsidRDefault="00CD45C6" w:rsidP="00431B5B">
      <w:pPr>
        <w:pStyle w:val="ListParagraph"/>
        <w:ind w:left="0"/>
        <w:jc w:val="both"/>
        <w:rPr>
          <w:rFonts w:ascii="Verdana" w:hAnsi="Verdana"/>
          <w:i/>
          <w:sz w:val="20"/>
          <w:szCs w:val="20"/>
          <w:lang w:val="en-US"/>
        </w:rPr>
      </w:pPr>
    </w:p>
    <w:p w14:paraId="63126840" w14:textId="410235D4" w:rsidR="00E4033A" w:rsidRPr="00FE7BA7" w:rsidRDefault="00EA7C49" w:rsidP="00690B3D">
      <w:pPr>
        <w:pStyle w:val="ListParagraph"/>
        <w:numPr>
          <w:ilvl w:val="0"/>
          <w:numId w:val="2"/>
        </w:numPr>
        <w:ind w:left="0" w:firstLine="0"/>
        <w:jc w:val="both"/>
        <w:rPr>
          <w:lang w:val="en-US"/>
        </w:rPr>
      </w:pPr>
      <w:r w:rsidRPr="00FE7BA7">
        <w:rPr>
          <w:rFonts w:ascii="Verdana" w:hAnsi="Verdana"/>
          <w:i/>
          <w:sz w:val="20"/>
          <w:szCs w:val="20"/>
          <w:lang w:val="en-US"/>
        </w:rPr>
        <w:t>Observ</w:t>
      </w:r>
      <w:r w:rsidR="00206475" w:rsidRPr="00FE7BA7">
        <w:rPr>
          <w:rFonts w:ascii="Verdana" w:hAnsi="Verdana"/>
          <w:i/>
          <w:sz w:val="20"/>
          <w:szCs w:val="20"/>
          <w:lang w:val="en-US"/>
        </w:rPr>
        <w:t>a</w:t>
      </w:r>
      <w:r w:rsidR="00683B95" w:rsidRPr="00FE7BA7">
        <w:rPr>
          <w:rFonts w:ascii="Verdana" w:hAnsi="Verdana"/>
          <w:i/>
          <w:sz w:val="20"/>
          <w:szCs w:val="20"/>
          <w:lang w:val="en-US"/>
        </w:rPr>
        <w:t xml:space="preserve">tions on the helpful evidence following </w:t>
      </w:r>
      <w:r w:rsidR="00D16DA7" w:rsidRPr="00FE7BA7">
        <w:rPr>
          <w:rFonts w:ascii="Verdana" w:hAnsi="Verdana"/>
          <w:i/>
          <w:sz w:val="20"/>
          <w:szCs w:val="20"/>
          <w:lang w:val="en-US"/>
        </w:rPr>
        <w:t>the visit</w:t>
      </w:r>
      <w:r w:rsidR="000A0311" w:rsidRPr="00FE7BA7">
        <w:rPr>
          <w:rFonts w:ascii="Verdana" w:hAnsi="Verdana"/>
          <w:i/>
          <w:sz w:val="20"/>
          <w:szCs w:val="20"/>
          <w:lang w:val="en-US"/>
        </w:rPr>
        <w:t>.</w:t>
      </w:r>
      <w:r w:rsidR="000A0311" w:rsidRPr="00FE7BA7">
        <w:rPr>
          <w:rFonts w:ascii="Verdana" w:hAnsi="Verdana"/>
          <w:sz w:val="20"/>
          <w:szCs w:val="20"/>
          <w:lang w:val="en-US"/>
        </w:rPr>
        <w:t xml:space="preserve"> </w:t>
      </w:r>
      <w:r w:rsidR="00683B95" w:rsidRPr="00FE7BA7">
        <w:rPr>
          <w:rFonts w:ascii="Verdana" w:hAnsi="Verdana"/>
          <w:sz w:val="20"/>
          <w:szCs w:val="20"/>
          <w:lang w:val="en-US"/>
        </w:rPr>
        <w:t>On September</w:t>
      </w:r>
      <w:r w:rsidRPr="00FE7BA7">
        <w:rPr>
          <w:rFonts w:ascii="Verdana" w:hAnsi="Verdana"/>
          <w:sz w:val="20"/>
          <w:szCs w:val="20"/>
          <w:lang w:val="en-US"/>
        </w:rPr>
        <w:t xml:space="preserve"> 30 </w:t>
      </w:r>
      <w:r w:rsidR="002B5CCD" w:rsidRPr="00FE7BA7">
        <w:rPr>
          <w:rFonts w:ascii="Verdana" w:hAnsi="Verdana"/>
          <w:sz w:val="20"/>
          <w:szCs w:val="20"/>
          <w:lang w:val="en-US"/>
        </w:rPr>
        <w:t xml:space="preserve">and </w:t>
      </w:r>
      <w:r w:rsidR="00683B95" w:rsidRPr="00FE7BA7">
        <w:rPr>
          <w:rFonts w:ascii="Verdana" w:hAnsi="Verdana"/>
          <w:sz w:val="20"/>
          <w:szCs w:val="20"/>
          <w:lang w:val="en-US"/>
        </w:rPr>
        <w:t xml:space="preserve">October 13, </w:t>
      </w:r>
      <w:r w:rsidR="00206475" w:rsidRPr="00FE7BA7">
        <w:rPr>
          <w:rFonts w:ascii="Verdana" w:hAnsi="Verdana"/>
          <w:sz w:val="20"/>
          <w:szCs w:val="20"/>
          <w:lang w:val="en-US"/>
        </w:rPr>
        <w:t>201</w:t>
      </w:r>
      <w:r w:rsidRPr="00FE7BA7">
        <w:rPr>
          <w:rFonts w:ascii="Verdana" w:hAnsi="Verdana"/>
          <w:sz w:val="20"/>
          <w:szCs w:val="20"/>
          <w:lang w:val="en-US"/>
        </w:rPr>
        <w:t>5</w:t>
      </w:r>
      <w:r w:rsidR="00206475"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206475" w:rsidRPr="00FE7BA7">
        <w:rPr>
          <w:rFonts w:ascii="Verdana" w:hAnsi="Verdana"/>
          <w:sz w:val="20"/>
          <w:szCs w:val="20"/>
          <w:lang w:val="en-US"/>
        </w:rPr>
        <w:t xml:space="preserve">, </w:t>
      </w:r>
      <w:r w:rsidR="002B5CCD" w:rsidRPr="00FE7BA7">
        <w:rPr>
          <w:rFonts w:ascii="Verdana" w:hAnsi="Verdana"/>
          <w:sz w:val="20"/>
          <w:szCs w:val="20"/>
          <w:lang w:val="en-US"/>
        </w:rPr>
        <w:t>the State and the Commission</w:t>
      </w:r>
      <w:r w:rsidR="00206475" w:rsidRPr="00FE7BA7">
        <w:rPr>
          <w:rFonts w:ascii="Verdana" w:hAnsi="Verdana"/>
          <w:sz w:val="20"/>
          <w:szCs w:val="20"/>
          <w:lang w:val="en-US"/>
        </w:rPr>
        <w:t xml:space="preserve"> </w:t>
      </w:r>
      <w:r w:rsidR="001030B1">
        <w:rPr>
          <w:rFonts w:ascii="Verdana" w:hAnsi="Verdana"/>
          <w:sz w:val="20"/>
          <w:szCs w:val="20"/>
          <w:lang w:val="en-US"/>
        </w:rPr>
        <w:t>submitted</w:t>
      </w:r>
      <w:r w:rsidR="001030B1" w:rsidRPr="00FE7BA7">
        <w:rPr>
          <w:rFonts w:ascii="Verdana" w:hAnsi="Verdana"/>
          <w:sz w:val="20"/>
          <w:szCs w:val="20"/>
          <w:lang w:val="en-US"/>
        </w:rPr>
        <w:t xml:space="preserve"> </w:t>
      </w:r>
      <w:r w:rsidR="00683B95" w:rsidRPr="00FE7BA7">
        <w:rPr>
          <w:rFonts w:ascii="Verdana" w:hAnsi="Verdana"/>
          <w:sz w:val="20"/>
          <w:szCs w:val="20"/>
          <w:lang w:val="en-US"/>
        </w:rPr>
        <w:t>their observations on the helpful evidence</w:t>
      </w:r>
      <w:r w:rsidR="000A6F50">
        <w:rPr>
          <w:rFonts w:ascii="Verdana" w:hAnsi="Verdana"/>
          <w:sz w:val="20"/>
          <w:szCs w:val="20"/>
          <w:lang w:val="en-US"/>
        </w:rPr>
        <w:t>.</w:t>
      </w:r>
    </w:p>
    <w:p w14:paraId="63126841" w14:textId="77777777" w:rsidR="00EA7C49" w:rsidRPr="00FE7BA7" w:rsidRDefault="00EA7C49" w:rsidP="00690B3D">
      <w:pPr>
        <w:pStyle w:val="ListParagraph"/>
        <w:ind w:left="0"/>
        <w:jc w:val="both"/>
        <w:rPr>
          <w:lang w:val="en-US"/>
        </w:rPr>
      </w:pPr>
    </w:p>
    <w:p w14:paraId="63126842" w14:textId="77777777" w:rsidR="00E4033A" w:rsidRPr="00FE7BA7" w:rsidRDefault="00E4033A" w:rsidP="00E4033A">
      <w:pPr>
        <w:pStyle w:val="ListParagraph"/>
        <w:numPr>
          <w:ilvl w:val="0"/>
          <w:numId w:val="2"/>
        </w:numPr>
        <w:ind w:left="0" w:firstLine="0"/>
        <w:jc w:val="both"/>
        <w:rPr>
          <w:rFonts w:ascii="Verdana" w:hAnsi="Verdana"/>
          <w:sz w:val="20"/>
          <w:szCs w:val="20"/>
          <w:lang w:val="en-US"/>
        </w:rPr>
      </w:pPr>
      <w:r w:rsidRPr="00FE7BA7">
        <w:rPr>
          <w:rFonts w:ascii="Verdana" w:hAnsi="Verdana"/>
          <w:i/>
          <w:sz w:val="20"/>
          <w:szCs w:val="20"/>
          <w:lang w:val="en-US"/>
        </w:rPr>
        <w:t>Delibera</w:t>
      </w:r>
      <w:r w:rsidR="008F798A" w:rsidRPr="00FE7BA7">
        <w:rPr>
          <w:rFonts w:ascii="Verdana" w:hAnsi="Verdana"/>
          <w:i/>
          <w:sz w:val="20"/>
          <w:szCs w:val="20"/>
          <w:lang w:val="en-US"/>
        </w:rPr>
        <w:t xml:space="preserve">tion of the case. </w:t>
      </w:r>
      <w:r w:rsidR="002B5CCD" w:rsidRPr="00FE7BA7">
        <w:rPr>
          <w:rFonts w:ascii="Verdana" w:hAnsi="Verdana"/>
          <w:sz w:val="20"/>
          <w:szCs w:val="20"/>
          <w:lang w:val="en-US"/>
        </w:rPr>
        <w:t>The Court</w:t>
      </w:r>
      <w:r w:rsidR="008F798A" w:rsidRPr="00FE7BA7">
        <w:rPr>
          <w:rFonts w:ascii="Verdana" w:hAnsi="Verdana"/>
          <w:sz w:val="20"/>
          <w:szCs w:val="20"/>
          <w:lang w:val="en-US"/>
        </w:rPr>
        <w:t xml:space="preserve"> initiated the deliberation of this Judgment on November 17, </w:t>
      </w:r>
      <w:r w:rsidRPr="00FE7BA7">
        <w:rPr>
          <w:rFonts w:ascii="Verdana" w:hAnsi="Verdana"/>
          <w:sz w:val="20"/>
          <w:szCs w:val="20"/>
          <w:lang w:val="en-US"/>
        </w:rPr>
        <w:t>2015.</w:t>
      </w:r>
    </w:p>
    <w:p w14:paraId="63126843" w14:textId="77777777" w:rsidR="00E4033A" w:rsidRPr="00FE7BA7" w:rsidRDefault="00E4033A" w:rsidP="00E4033A">
      <w:pPr>
        <w:jc w:val="both"/>
        <w:rPr>
          <w:rFonts w:ascii="Verdana" w:hAnsi="Verdana"/>
          <w:sz w:val="20"/>
          <w:szCs w:val="20"/>
          <w:lang w:val="en-US"/>
        </w:rPr>
      </w:pPr>
    </w:p>
    <w:p w14:paraId="63126844" w14:textId="77777777" w:rsidR="00E4033A" w:rsidRPr="00FE7BA7" w:rsidRDefault="00E4033A" w:rsidP="00E4033A">
      <w:pPr>
        <w:pStyle w:val="Heading1"/>
        <w:tabs>
          <w:tab w:val="left" w:pos="851"/>
        </w:tabs>
        <w:spacing w:before="0"/>
        <w:jc w:val="center"/>
        <w:rPr>
          <w:rFonts w:ascii="Verdana" w:hAnsi="Verdana" w:cs="Verdana"/>
          <w:caps/>
          <w:snapToGrid w:val="0"/>
          <w:color w:val="auto"/>
          <w:sz w:val="20"/>
          <w:szCs w:val="20"/>
          <w:lang w:val="en-US"/>
        </w:rPr>
      </w:pPr>
      <w:bookmarkStart w:id="3" w:name="_Toc441673178"/>
      <w:r w:rsidRPr="00FE7BA7">
        <w:rPr>
          <w:rFonts w:ascii="Verdana" w:hAnsi="Verdana" w:cs="Verdana"/>
          <w:caps/>
          <w:snapToGrid w:val="0"/>
          <w:color w:val="auto"/>
          <w:sz w:val="20"/>
          <w:szCs w:val="20"/>
          <w:lang w:val="en-US"/>
        </w:rPr>
        <w:t>III</w:t>
      </w:r>
      <w:r w:rsidRPr="00FE7BA7">
        <w:rPr>
          <w:rFonts w:ascii="Verdana" w:hAnsi="Verdana" w:cs="Verdana"/>
          <w:caps/>
          <w:snapToGrid w:val="0"/>
          <w:color w:val="auto"/>
          <w:sz w:val="20"/>
          <w:szCs w:val="20"/>
          <w:lang w:val="en-US"/>
        </w:rPr>
        <w:br/>
      </w:r>
      <w:r w:rsidR="008F798A" w:rsidRPr="00FE7BA7">
        <w:rPr>
          <w:rFonts w:ascii="Verdana" w:hAnsi="Verdana" w:cs="Verdana"/>
          <w:caps/>
          <w:snapToGrid w:val="0"/>
          <w:color w:val="auto"/>
          <w:sz w:val="20"/>
          <w:szCs w:val="20"/>
          <w:lang w:val="en-US"/>
        </w:rPr>
        <w:t>JURISDICTION</w:t>
      </w:r>
      <w:bookmarkEnd w:id="3"/>
    </w:p>
    <w:p w14:paraId="63126845" w14:textId="77777777" w:rsidR="00E4033A" w:rsidRPr="00FE7BA7" w:rsidRDefault="00E4033A" w:rsidP="00E4033A">
      <w:pPr>
        <w:jc w:val="both"/>
        <w:rPr>
          <w:rFonts w:ascii="Verdana" w:hAnsi="Verdana"/>
          <w:sz w:val="20"/>
          <w:szCs w:val="20"/>
          <w:lang w:val="en-US"/>
        </w:rPr>
      </w:pPr>
    </w:p>
    <w:p w14:paraId="63126846" w14:textId="77777777" w:rsidR="00E4033A" w:rsidRPr="00FE7BA7" w:rsidRDefault="002B5CCD" w:rsidP="00E4033A">
      <w:pPr>
        <w:pStyle w:val="ListParagraph"/>
        <w:numPr>
          <w:ilvl w:val="0"/>
          <w:numId w:val="2"/>
        </w:numPr>
        <w:ind w:left="0" w:hanging="11"/>
        <w:jc w:val="both"/>
        <w:rPr>
          <w:rFonts w:ascii="Verdana" w:hAnsi="Verdana"/>
          <w:sz w:val="20"/>
          <w:szCs w:val="20"/>
          <w:lang w:val="en-US"/>
        </w:rPr>
      </w:pPr>
      <w:bookmarkStart w:id="4" w:name="_Ref343443852"/>
      <w:r w:rsidRPr="00815F92">
        <w:rPr>
          <w:rFonts w:ascii="Verdana" w:hAnsi="Verdana"/>
          <w:sz w:val="20"/>
          <w:szCs w:val="20"/>
          <w:lang w:val="en-US"/>
        </w:rPr>
        <w:t>The Inter-American Court</w:t>
      </w:r>
      <w:r w:rsidR="00E4033A" w:rsidRPr="00815F92">
        <w:rPr>
          <w:rFonts w:ascii="Verdana" w:hAnsi="Verdana"/>
          <w:sz w:val="20"/>
          <w:szCs w:val="20"/>
          <w:lang w:val="en-US"/>
        </w:rPr>
        <w:t xml:space="preserve"> </w:t>
      </w:r>
      <w:r w:rsidR="00815F92">
        <w:rPr>
          <w:rFonts w:ascii="Verdana" w:hAnsi="Verdana"/>
          <w:sz w:val="20"/>
          <w:szCs w:val="20"/>
          <w:lang w:val="en-US"/>
        </w:rPr>
        <w:t xml:space="preserve">is competent </w:t>
      </w:r>
      <w:r w:rsidR="008F798A" w:rsidRPr="00815F92">
        <w:rPr>
          <w:rFonts w:ascii="Verdana" w:hAnsi="Verdana"/>
          <w:sz w:val="20"/>
          <w:szCs w:val="20"/>
          <w:lang w:val="en-US"/>
        </w:rPr>
        <w:t>to hear</w:t>
      </w:r>
      <w:r w:rsidR="008F798A" w:rsidRPr="00FE7BA7">
        <w:rPr>
          <w:rFonts w:ascii="Verdana" w:hAnsi="Verdana"/>
          <w:sz w:val="20"/>
          <w:szCs w:val="20"/>
          <w:lang w:val="en-US"/>
        </w:rPr>
        <w:t xml:space="preserve"> this case</w:t>
      </w:r>
      <w:r w:rsidR="00815F92">
        <w:rPr>
          <w:rFonts w:ascii="Verdana" w:hAnsi="Verdana"/>
          <w:sz w:val="20"/>
          <w:szCs w:val="20"/>
          <w:lang w:val="en-US"/>
        </w:rPr>
        <w:t xml:space="preserve"> pu</w:t>
      </w:r>
      <w:r w:rsidR="00815F92" w:rsidRPr="00815F92">
        <w:rPr>
          <w:rFonts w:ascii="Verdana" w:hAnsi="Verdana"/>
          <w:sz w:val="20"/>
          <w:szCs w:val="20"/>
          <w:lang w:val="en-US"/>
        </w:rPr>
        <w:t>rsuant to Article 62(3) of the Convention</w:t>
      </w:r>
      <w:r w:rsidR="008F798A" w:rsidRPr="00FE7BA7">
        <w:rPr>
          <w:rFonts w:ascii="Verdana" w:hAnsi="Verdana"/>
          <w:sz w:val="20"/>
          <w:szCs w:val="20"/>
          <w:lang w:val="en-US"/>
        </w:rPr>
        <w:t xml:space="preserve"> because </w:t>
      </w:r>
      <w:r w:rsidRPr="00FE7BA7">
        <w:rPr>
          <w:rFonts w:ascii="Verdana" w:hAnsi="Verdana"/>
          <w:sz w:val="20"/>
          <w:szCs w:val="20"/>
          <w:lang w:val="en-US"/>
        </w:rPr>
        <w:t xml:space="preserve">Suriname </w:t>
      </w:r>
      <w:r w:rsidR="008F798A" w:rsidRPr="00FE7BA7">
        <w:rPr>
          <w:rFonts w:ascii="Verdana" w:hAnsi="Verdana"/>
          <w:sz w:val="20"/>
          <w:szCs w:val="20"/>
          <w:lang w:val="en-US"/>
        </w:rPr>
        <w:t>has been a State Party to</w:t>
      </w:r>
      <w:r w:rsidRPr="00FE7BA7">
        <w:rPr>
          <w:rFonts w:ascii="Verdana" w:hAnsi="Verdana"/>
          <w:sz w:val="20"/>
          <w:szCs w:val="20"/>
          <w:lang w:val="en-US"/>
        </w:rPr>
        <w:t xml:space="preserve"> the American Convention</w:t>
      </w:r>
      <w:r w:rsidR="00E4033A" w:rsidRPr="00FE7BA7">
        <w:rPr>
          <w:rFonts w:ascii="Verdana" w:hAnsi="Verdana"/>
          <w:sz w:val="20"/>
          <w:szCs w:val="20"/>
          <w:lang w:val="en-US"/>
        </w:rPr>
        <w:t xml:space="preserve"> </w:t>
      </w:r>
      <w:r w:rsidR="008F798A" w:rsidRPr="00FE7BA7">
        <w:rPr>
          <w:rFonts w:ascii="Verdana" w:hAnsi="Verdana"/>
          <w:sz w:val="20"/>
          <w:szCs w:val="20"/>
          <w:lang w:val="en-US"/>
        </w:rPr>
        <w:t xml:space="preserve">since November 12, </w:t>
      </w:r>
      <w:bookmarkEnd w:id="4"/>
      <w:r w:rsidR="00E4033A" w:rsidRPr="00FE7BA7">
        <w:rPr>
          <w:rFonts w:ascii="Verdana" w:hAnsi="Verdana"/>
          <w:sz w:val="20"/>
          <w:szCs w:val="20"/>
          <w:lang w:val="en-US"/>
        </w:rPr>
        <w:t>1987</w:t>
      </w:r>
      <w:r w:rsidR="008F798A" w:rsidRPr="00FE7BA7">
        <w:rPr>
          <w:rFonts w:ascii="Verdana" w:hAnsi="Verdana"/>
          <w:sz w:val="20"/>
          <w:szCs w:val="20"/>
          <w:lang w:val="en-US"/>
        </w:rPr>
        <w:t>, and accepted the Court’s contentious jurisdiction the same day.</w:t>
      </w:r>
    </w:p>
    <w:p w14:paraId="63126847" w14:textId="77777777" w:rsidR="009B781F" w:rsidRPr="00FE7BA7" w:rsidRDefault="009B781F" w:rsidP="007E20F9">
      <w:pPr>
        <w:pStyle w:val="ListParagraph"/>
        <w:ind w:left="0"/>
        <w:jc w:val="both"/>
        <w:rPr>
          <w:rFonts w:ascii="Verdana" w:hAnsi="Verdana"/>
          <w:sz w:val="20"/>
          <w:szCs w:val="20"/>
          <w:lang w:val="en-US"/>
        </w:rPr>
      </w:pPr>
    </w:p>
    <w:p w14:paraId="63126848" w14:textId="77777777" w:rsidR="00E4033A" w:rsidRPr="00FE7BA7" w:rsidRDefault="00E4033A" w:rsidP="00E4033A">
      <w:pPr>
        <w:pStyle w:val="Heading1"/>
        <w:tabs>
          <w:tab w:val="left" w:pos="851"/>
        </w:tabs>
        <w:spacing w:before="0"/>
        <w:jc w:val="center"/>
        <w:rPr>
          <w:rFonts w:ascii="Verdana" w:hAnsi="Verdana" w:cs="Verdana"/>
          <w:caps/>
          <w:snapToGrid w:val="0"/>
          <w:color w:val="auto"/>
          <w:sz w:val="20"/>
          <w:szCs w:val="20"/>
          <w:lang w:val="en-US"/>
        </w:rPr>
      </w:pPr>
      <w:bookmarkStart w:id="5" w:name="_Toc441673179"/>
      <w:r w:rsidRPr="00FE7BA7">
        <w:rPr>
          <w:rFonts w:ascii="Verdana" w:hAnsi="Verdana" w:cs="Verdana"/>
          <w:caps/>
          <w:snapToGrid w:val="0"/>
          <w:color w:val="auto"/>
          <w:sz w:val="20"/>
          <w:szCs w:val="20"/>
          <w:lang w:val="en-US"/>
        </w:rPr>
        <w:t>IV</w:t>
      </w:r>
      <w:r w:rsidRPr="00FE7BA7">
        <w:rPr>
          <w:rFonts w:ascii="Verdana" w:hAnsi="Verdana" w:cs="Verdana"/>
          <w:caps/>
          <w:snapToGrid w:val="0"/>
          <w:color w:val="auto"/>
          <w:sz w:val="20"/>
          <w:szCs w:val="20"/>
          <w:lang w:val="en-US"/>
        </w:rPr>
        <w:br/>
      </w:r>
      <w:r w:rsidR="008F798A" w:rsidRPr="00FE7BA7">
        <w:rPr>
          <w:rFonts w:ascii="Verdana" w:hAnsi="Verdana" w:cs="Verdana"/>
          <w:caps/>
          <w:snapToGrid w:val="0"/>
          <w:color w:val="auto"/>
          <w:sz w:val="20"/>
          <w:szCs w:val="20"/>
          <w:lang w:val="en-US"/>
        </w:rPr>
        <w:t>EVIDENCE</w:t>
      </w:r>
      <w:bookmarkEnd w:id="5"/>
    </w:p>
    <w:p w14:paraId="63126849" w14:textId="77777777" w:rsidR="00E4033A" w:rsidRPr="00FE7BA7" w:rsidRDefault="00E4033A" w:rsidP="00E4033A">
      <w:pPr>
        <w:jc w:val="both"/>
        <w:rPr>
          <w:rFonts w:ascii="Verdana" w:hAnsi="Verdana"/>
          <w:sz w:val="20"/>
          <w:szCs w:val="20"/>
          <w:lang w:val="en-US"/>
        </w:rPr>
      </w:pPr>
    </w:p>
    <w:p w14:paraId="6312684A" w14:textId="77777777" w:rsidR="00E4033A" w:rsidRPr="00FE7BA7" w:rsidRDefault="008F798A" w:rsidP="00E4033A">
      <w:pPr>
        <w:pStyle w:val="Heading2"/>
        <w:numPr>
          <w:ilvl w:val="0"/>
          <w:numId w:val="1"/>
        </w:numPr>
        <w:spacing w:before="0"/>
        <w:rPr>
          <w:rFonts w:ascii="Verdana" w:hAnsi="Verdana"/>
          <w:i/>
          <w:sz w:val="20"/>
          <w:szCs w:val="20"/>
          <w:lang w:val="en-US"/>
        </w:rPr>
      </w:pPr>
      <w:bookmarkStart w:id="6" w:name="_Toc441673180"/>
      <w:r w:rsidRPr="00FE7BA7">
        <w:rPr>
          <w:rFonts w:ascii="Verdana" w:hAnsi="Verdana"/>
          <w:i/>
          <w:color w:val="auto"/>
          <w:sz w:val="20"/>
          <w:szCs w:val="20"/>
          <w:lang w:val="en-US"/>
        </w:rPr>
        <w:t>Documentary, testimonial and expert evidence</w:t>
      </w:r>
      <w:bookmarkEnd w:id="6"/>
    </w:p>
    <w:p w14:paraId="6312684B" w14:textId="77777777" w:rsidR="00E4033A" w:rsidRPr="00FE7BA7" w:rsidRDefault="00E4033A" w:rsidP="00E4033A">
      <w:pPr>
        <w:pStyle w:val="ListParagraph"/>
        <w:ind w:left="0"/>
        <w:jc w:val="both"/>
        <w:rPr>
          <w:rFonts w:ascii="Verdana" w:hAnsi="Verdana"/>
          <w:sz w:val="20"/>
          <w:szCs w:val="20"/>
          <w:lang w:val="en-US"/>
        </w:rPr>
      </w:pPr>
    </w:p>
    <w:p w14:paraId="6312684C" w14:textId="506609B9" w:rsidR="00E4033A" w:rsidRPr="00FE7BA7" w:rsidRDefault="002B5CCD" w:rsidP="00E4033A">
      <w:pPr>
        <w:pStyle w:val="ListParagraph"/>
        <w:numPr>
          <w:ilvl w:val="0"/>
          <w:numId w:val="2"/>
        </w:numPr>
        <w:ind w:left="0" w:hanging="11"/>
        <w:jc w:val="both"/>
        <w:rPr>
          <w:rFonts w:ascii="Verdana" w:hAnsi="Verdana"/>
          <w:sz w:val="20"/>
          <w:szCs w:val="20"/>
          <w:lang w:val="en-US"/>
        </w:rPr>
      </w:pPr>
      <w:r w:rsidRPr="00320486">
        <w:rPr>
          <w:rFonts w:ascii="Verdana" w:hAnsi="Verdana"/>
          <w:sz w:val="20"/>
          <w:szCs w:val="20"/>
          <w:lang w:val="en-US"/>
        </w:rPr>
        <w:t>The Court</w:t>
      </w:r>
      <w:r w:rsidR="00E4033A" w:rsidRPr="00320486">
        <w:rPr>
          <w:rFonts w:ascii="Verdana" w:hAnsi="Verdana"/>
          <w:sz w:val="20"/>
          <w:szCs w:val="20"/>
          <w:lang w:val="en-US"/>
        </w:rPr>
        <w:t xml:space="preserve"> rec</w:t>
      </w:r>
      <w:r w:rsidR="008F798A" w:rsidRPr="00320486">
        <w:rPr>
          <w:rFonts w:ascii="Verdana" w:hAnsi="Verdana"/>
          <w:sz w:val="20"/>
          <w:szCs w:val="20"/>
          <w:lang w:val="en-US"/>
        </w:rPr>
        <w:t>eived diverse</w:t>
      </w:r>
      <w:r w:rsidR="008F798A" w:rsidRPr="00FE7BA7">
        <w:rPr>
          <w:rFonts w:ascii="Verdana" w:hAnsi="Verdana"/>
          <w:sz w:val="20"/>
          <w:szCs w:val="20"/>
          <w:lang w:val="en-US"/>
        </w:rPr>
        <w:t xml:space="preserve"> documents presented as evidence by </w:t>
      </w:r>
      <w:r w:rsidRPr="00FE7BA7">
        <w:rPr>
          <w:rFonts w:ascii="Verdana" w:hAnsi="Verdana"/>
          <w:sz w:val="20"/>
          <w:szCs w:val="20"/>
          <w:lang w:val="en-US"/>
        </w:rPr>
        <w:t>the Commission</w:t>
      </w:r>
      <w:r w:rsidR="00E4033A"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Pr="00FE7BA7">
        <w:rPr>
          <w:rFonts w:ascii="Verdana" w:hAnsi="Verdana"/>
          <w:sz w:val="20"/>
          <w:szCs w:val="20"/>
          <w:lang w:val="en-US"/>
        </w:rPr>
        <w:t xml:space="preserve"> and the State</w:t>
      </w:r>
      <w:r w:rsidR="00E4033A" w:rsidRPr="00FE7BA7">
        <w:rPr>
          <w:rFonts w:ascii="Verdana" w:hAnsi="Verdana"/>
          <w:sz w:val="20"/>
          <w:szCs w:val="20"/>
          <w:lang w:val="en-US"/>
        </w:rPr>
        <w:t xml:space="preserve"> a</w:t>
      </w:r>
      <w:r w:rsidR="008F798A" w:rsidRPr="00FE7BA7">
        <w:rPr>
          <w:rFonts w:ascii="Verdana" w:hAnsi="Verdana"/>
          <w:sz w:val="20"/>
          <w:szCs w:val="20"/>
          <w:lang w:val="en-US"/>
        </w:rPr>
        <w:t xml:space="preserve">ttached to their main briefs </w:t>
      </w:r>
      <w:r w:rsidR="00E4033A" w:rsidRPr="00FE7BA7">
        <w:rPr>
          <w:rFonts w:ascii="Verdana" w:hAnsi="Verdana"/>
          <w:sz w:val="20"/>
          <w:szCs w:val="20"/>
          <w:lang w:val="en-US"/>
        </w:rPr>
        <w:t>(</w:t>
      </w:r>
      <w:r w:rsidR="00366D91" w:rsidRPr="00FE7BA7">
        <w:rPr>
          <w:rFonts w:ascii="Verdana" w:hAnsi="Verdana"/>
          <w:i/>
          <w:sz w:val="20"/>
          <w:szCs w:val="20"/>
          <w:lang w:val="en-US"/>
        </w:rPr>
        <w:t>supra</w:t>
      </w:r>
      <w:r w:rsidR="00E4033A" w:rsidRPr="00FE7BA7">
        <w:rPr>
          <w:rFonts w:ascii="Verdana" w:hAnsi="Verdana"/>
          <w:sz w:val="20"/>
          <w:szCs w:val="20"/>
          <w:lang w:val="en-US"/>
        </w:rPr>
        <w:t xml:space="preserve"> </w:t>
      </w:r>
      <w:r w:rsidR="008F798A" w:rsidRPr="00FE7BA7">
        <w:rPr>
          <w:rFonts w:ascii="Verdana" w:hAnsi="Verdana"/>
          <w:sz w:val="20"/>
          <w:szCs w:val="20"/>
          <w:lang w:val="en-US"/>
        </w:rPr>
        <w:t>paras.</w:t>
      </w:r>
      <w:r w:rsidR="00E4033A" w:rsidRPr="00FE7BA7">
        <w:rPr>
          <w:rFonts w:ascii="Verdana" w:hAnsi="Verdana"/>
          <w:sz w:val="20"/>
          <w:szCs w:val="20"/>
          <w:lang w:val="en-US"/>
        </w:rPr>
        <w:t xml:space="preserve"> </w:t>
      </w:r>
      <w:r w:rsidR="008A4ABB" w:rsidRPr="00FE7BA7">
        <w:rPr>
          <w:rFonts w:ascii="Verdana" w:hAnsi="Verdana"/>
          <w:sz w:val="20"/>
          <w:szCs w:val="20"/>
          <w:lang w:val="en-US"/>
        </w:rPr>
        <w:t>2.f, 5</w:t>
      </w:r>
      <w:r w:rsidRPr="00FE7BA7">
        <w:rPr>
          <w:rFonts w:ascii="Verdana" w:hAnsi="Verdana"/>
          <w:sz w:val="20"/>
          <w:szCs w:val="20"/>
          <w:lang w:val="en-US"/>
        </w:rPr>
        <w:t xml:space="preserve"> and </w:t>
      </w:r>
      <w:r w:rsidR="008A4ABB" w:rsidRPr="00FE7BA7">
        <w:rPr>
          <w:rFonts w:ascii="Verdana" w:hAnsi="Verdana"/>
          <w:sz w:val="20"/>
          <w:szCs w:val="20"/>
          <w:lang w:val="en-US"/>
        </w:rPr>
        <w:t>6)</w:t>
      </w:r>
      <w:r w:rsidR="000A0311" w:rsidRPr="00FE7BA7">
        <w:rPr>
          <w:rFonts w:ascii="Verdana" w:hAnsi="Verdana"/>
          <w:b/>
          <w:sz w:val="20"/>
          <w:szCs w:val="20"/>
          <w:lang w:val="en-US"/>
        </w:rPr>
        <w:t xml:space="preserve"> </w:t>
      </w:r>
      <w:r w:rsidR="008F798A" w:rsidRPr="00FE7BA7">
        <w:rPr>
          <w:rFonts w:ascii="Verdana" w:hAnsi="Verdana"/>
          <w:sz w:val="20"/>
          <w:szCs w:val="20"/>
          <w:lang w:val="en-US"/>
        </w:rPr>
        <w:t>In addition</w:t>
      </w:r>
      <w:r w:rsidR="00E4033A" w:rsidRPr="00FE7BA7">
        <w:rPr>
          <w:rFonts w:ascii="Verdana" w:hAnsi="Verdana"/>
          <w:sz w:val="20"/>
          <w:szCs w:val="20"/>
          <w:lang w:val="en-US"/>
        </w:rPr>
        <w:t xml:space="preserve">, </w:t>
      </w:r>
      <w:r w:rsidRPr="00FE7BA7">
        <w:rPr>
          <w:rFonts w:ascii="Verdana" w:hAnsi="Verdana"/>
          <w:sz w:val="20"/>
          <w:szCs w:val="20"/>
          <w:lang w:val="en-US"/>
        </w:rPr>
        <w:t>the Court</w:t>
      </w:r>
      <w:r w:rsidR="008F798A" w:rsidRPr="00FE7BA7">
        <w:rPr>
          <w:rFonts w:ascii="Verdana" w:hAnsi="Verdana"/>
          <w:sz w:val="20"/>
          <w:szCs w:val="20"/>
          <w:lang w:val="en-US"/>
        </w:rPr>
        <w:t xml:space="preserve"> received the affidavits made by</w:t>
      </w:r>
      <w:r w:rsidR="00D575AE" w:rsidRPr="00FE7BA7">
        <w:rPr>
          <w:rFonts w:ascii="Verdana" w:hAnsi="Verdana"/>
          <w:sz w:val="20"/>
          <w:szCs w:val="20"/>
          <w:lang w:val="en-US"/>
        </w:rPr>
        <w:t xml:space="preserve">: </w:t>
      </w:r>
      <w:r w:rsidR="008F798A" w:rsidRPr="00FE7BA7">
        <w:rPr>
          <w:rFonts w:ascii="Verdana" w:hAnsi="Verdana"/>
          <w:sz w:val="20"/>
          <w:szCs w:val="20"/>
          <w:lang w:val="en-US"/>
        </w:rPr>
        <w:t>(</w:t>
      </w:r>
      <w:r w:rsidR="00D575AE" w:rsidRPr="00FE7BA7">
        <w:rPr>
          <w:rFonts w:ascii="Verdana" w:hAnsi="Verdana"/>
          <w:sz w:val="20"/>
          <w:szCs w:val="20"/>
          <w:lang w:val="en-US"/>
        </w:rPr>
        <w:t xml:space="preserve">1) </w:t>
      </w:r>
      <w:r w:rsidR="008F798A" w:rsidRPr="00FE7BA7">
        <w:rPr>
          <w:rFonts w:ascii="Verdana" w:hAnsi="Verdana"/>
          <w:sz w:val="20"/>
          <w:szCs w:val="20"/>
          <w:lang w:val="en-US"/>
        </w:rPr>
        <w:t>the witnesses</w:t>
      </w:r>
      <w:r w:rsidR="00E4033A" w:rsidRPr="00FE7BA7">
        <w:rPr>
          <w:rFonts w:ascii="Verdana" w:hAnsi="Verdana"/>
          <w:sz w:val="20"/>
          <w:szCs w:val="20"/>
          <w:lang w:val="en-US"/>
        </w:rPr>
        <w:t xml:space="preserve"> Claudine Sakimin</w:t>
      </w:r>
      <w:r w:rsidRPr="00FE7BA7">
        <w:rPr>
          <w:rFonts w:ascii="Verdana" w:hAnsi="Verdana"/>
          <w:sz w:val="20"/>
          <w:szCs w:val="20"/>
          <w:lang w:val="en-US"/>
        </w:rPr>
        <w:t xml:space="preserve"> and </w:t>
      </w:r>
      <w:r w:rsidR="00E4033A" w:rsidRPr="00FE7BA7">
        <w:rPr>
          <w:rFonts w:ascii="Verdana" w:hAnsi="Verdana"/>
          <w:sz w:val="20"/>
          <w:szCs w:val="20"/>
          <w:lang w:val="en-US"/>
        </w:rPr>
        <w:t xml:space="preserve">Loreen Jubitana, </w:t>
      </w:r>
      <w:r w:rsidR="008F798A" w:rsidRPr="00FE7BA7">
        <w:rPr>
          <w:rFonts w:ascii="Verdana" w:hAnsi="Verdana"/>
          <w:sz w:val="20"/>
          <w:szCs w:val="20"/>
          <w:lang w:val="en-US"/>
        </w:rPr>
        <w:t>proposed by</w:t>
      </w:r>
      <w:r w:rsidR="00E4033A" w:rsidRPr="00FE7BA7">
        <w:rPr>
          <w:rFonts w:ascii="Verdana" w:hAnsi="Verdana"/>
          <w:sz w:val="20"/>
          <w:szCs w:val="20"/>
          <w:lang w:val="en-US"/>
        </w:rPr>
        <w:t xml:space="preserve"> </w:t>
      </w:r>
      <w:r w:rsidRPr="00FE7BA7">
        <w:rPr>
          <w:rFonts w:ascii="Verdana" w:hAnsi="Verdana"/>
          <w:sz w:val="20"/>
          <w:szCs w:val="20"/>
          <w:lang w:val="en-US"/>
        </w:rPr>
        <w:t xml:space="preserve">the State and </w:t>
      </w:r>
      <w:r w:rsidR="00810FAD" w:rsidRPr="00FE7BA7">
        <w:rPr>
          <w:rFonts w:ascii="Verdana" w:hAnsi="Verdana"/>
          <w:sz w:val="20"/>
          <w:szCs w:val="20"/>
          <w:lang w:val="en-US"/>
        </w:rPr>
        <w:t>the representatives</w:t>
      </w:r>
      <w:r w:rsidR="00D575AE" w:rsidRPr="00FE7BA7">
        <w:rPr>
          <w:rFonts w:ascii="Verdana" w:hAnsi="Verdana"/>
          <w:sz w:val="20"/>
          <w:szCs w:val="20"/>
          <w:lang w:val="en-US"/>
        </w:rPr>
        <w:t>,</w:t>
      </w:r>
      <w:r w:rsidR="00E4033A" w:rsidRPr="00FE7BA7">
        <w:rPr>
          <w:rFonts w:ascii="Verdana" w:hAnsi="Verdana"/>
          <w:sz w:val="20"/>
          <w:szCs w:val="20"/>
          <w:lang w:val="en-US"/>
        </w:rPr>
        <w:t xml:space="preserve"> </w:t>
      </w:r>
      <w:r w:rsidR="00D16DA7" w:rsidRPr="00FE7BA7">
        <w:rPr>
          <w:rFonts w:ascii="Verdana" w:hAnsi="Verdana"/>
          <w:sz w:val="20"/>
          <w:szCs w:val="20"/>
          <w:lang w:val="en-US"/>
        </w:rPr>
        <w:t>respectively</w:t>
      </w:r>
      <w:r w:rsidR="008F798A" w:rsidRPr="00FE7BA7">
        <w:rPr>
          <w:rFonts w:ascii="Verdana" w:hAnsi="Verdana"/>
          <w:sz w:val="20"/>
          <w:szCs w:val="20"/>
          <w:lang w:val="en-US"/>
        </w:rPr>
        <w:t>;</w:t>
      </w:r>
      <w:r w:rsidR="00E4033A" w:rsidRPr="00FE7BA7">
        <w:rPr>
          <w:rFonts w:ascii="Verdana" w:hAnsi="Verdana"/>
          <w:sz w:val="20"/>
          <w:szCs w:val="20"/>
          <w:lang w:val="en-US"/>
        </w:rPr>
        <w:t xml:space="preserve"> </w:t>
      </w:r>
      <w:r w:rsidR="008F798A" w:rsidRPr="00FE7BA7">
        <w:rPr>
          <w:rFonts w:ascii="Verdana" w:hAnsi="Verdana"/>
          <w:sz w:val="20"/>
          <w:szCs w:val="20"/>
          <w:lang w:val="en-US"/>
        </w:rPr>
        <w:t>(</w:t>
      </w:r>
      <w:r w:rsidR="00E4033A" w:rsidRPr="00FE7BA7">
        <w:rPr>
          <w:rFonts w:ascii="Verdana" w:hAnsi="Verdana"/>
          <w:sz w:val="20"/>
          <w:szCs w:val="20"/>
          <w:lang w:val="en-US"/>
        </w:rPr>
        <w:t xml:space="preserve">2) </w:t>
      </w:r>
      <w:r w:rsidR="008F798A" w:rsidRPr="00FE7BA7">
        <w:rPr>
          <w:rFonts w:ascii="Verdana" w:hAnsi="Verdana"/>
          <w:sz w:val="20"/>
          <w:szCs w:val="20"/>
          <w:lang w:val="en-US"/>
        </w:rPr>
        <w:t>the opinion of the expert witness,</w:t>
      </w:r>
      <w:r w:rsidR="00E4033A" w:rsidRPr="00FE7BA7">
        <w:rPr>
          <w:rFonts w:ascii="Verdana" w:hAnsi="Verdana"/>
          <w:sz w:val="20"/>
          <w:szCs w:val="20"/>
          <w:lang w:val="en-US"/>
        </w:rPr>
        <w:t xml:space="preserve"> Dr. Stuart Kirsch</w:t>
      </w:r>
      <w:r w:rsidR="008F798A" w:rsidRPr="00FE7BA7">
        <w:rPr>
          <w:rFonts w:ascii="Verdana" w:hAnsi="Verdana"/>
          <w:sz w:val="20"/>
          <w:szCs w:val="20"/>
          <w:lang w:val="en-US"/>
        </w:rPr>
        <w:t>,</w:t>
      </w:r>
      <w:r w:rsidR="00E4033A" w:rsidRPr="00FE7BA7">
        <w:rPr>
          <w:rStyle w:val="FootnoteReference"/>
          <w:szCs w:val="20"/>
          <w:lang w:val="en-US"/>
        </w:rPr>
        <w:footnoteReference w:id="18"/>
      </w:r>
      <w:r w:rsidR="00E4033A" w:rsidRPr="00FE7BA7">
        <w:rPr>
          <w:rFonts w:ascii="Verdana" w:hAnsi="Verdana"/>
          <w:sz w:val="20"/>
          <w:szCs w:val="20"/>
          <w:lang w:val="en-US"/>
        </w:rPr>
        <w:t xml:space="preserve"> </w:t>
      </w:r>
      <w:r w:rsidR="008F798A" w:rsidRPr="00FE7BA7">
        <w:rPr>
          <w:rFonts w:ascii="Verdana" w:hAnsi="Verdana"/>
          <w:sz w:val="20"/>
          <w:szCs w:val="20"/>
          <w:lang w:val="en-US"/>
        </w:rPr>
        <w:t>proposed by</w:t>
      </w:r>
      <w:r w:rsidR="00E4033A"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8F798A" w:rsidRPr="00FE7BA7">
        <w:rPr>
          <w:rFonts w:ascii="Verdana" w:hAnsi="Verdana"/>
          <w:sz w:val="20"/>
          <w:szCs w:val="20"/>
          <w:lang w:val="en-US"/>
        </w:rPr>
        <w:t>;</w:t>
      </w:r>
      <w:r w:rsidR="00E4033A" w:rsidRPr="00FE7BA7">
        <w:rPr>
          <w:rFonts w:ascii="Verdana" w:hAnsi="Verdana"/>
          <w:sz w:val="20"/>
          <w:szCs w:val="20"/>
          <w:lang w:val="en-US"/>
        </w:rPr>
        <w:t xml:space="preserve"> </w:t>
      </w:r>
      <w:r w:rsidR="008F798A" w:rsidRPr="00FE7BA7">
        <w:rPr>
          <w:rFonts w:ascii="Verdana" w:hAnsi="Verdana"/>
          <w:sz w:val="20"/>
          <w:szCs w:val="20"/>
          <w:lang w:val="en-US"/>
        </w:rPr>
        <w:t xml:space="preserve">(3) the statement 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F798A" w:rsidRPr="00FE7BA7">
        <w:rPr>
          <w:rFonts w:ascii="Verdana" w:hAnsi="Verdana"/>
          <w:sz w:val="20"/>
          <w:szCs w:val="20"/>
          <w:lang w:val="en-US"/>
        </w:rPr>
        <w:t>victim Captain</w:t>
      </w:r>
      <w:r w:rsidR="00E4033A" w:rsidRPr="00FE7BA7">
        <w:rPr>
          <w:rFonts w:ascii="Verdana" w:hAnsi="Verdana"/>
          <w:sz w:val="20"/>
          <w:szCs w:val="20"/>
          <w:lang w:val="en-US"/>
        </w:rPr>
        <w:t xml:space="preserve"> Grace Watamaleo</w:t>
      </w:r>
      <w:r w:rsidR="006C44DC" w:rsidRPr="00FE7BA7">
        <w:rPr>
          <w:rFonts w:ascii="Verdana" w:hAnsi="Verdana"/>
          <w:sz w:val="20"/>
          <w:szCs w:val="20"/>
          <w:lang w:val="en-US"/>
        </w:rPr>
        <w:t xml:space="preserve">, </w:t>
      </w:r>
      <w:r w:rsidR="008F798A" w:rsidRPr="00FE7BA7">
        <w:rPr>
          <w:rFonts w:ascii="Verdana" w:hAnsi="Verdana"/>
          <w:sz w:val="20"/>
          <w:szCs w:val="20"/>
          <w:lang w:val="en-US"/>
        </w:rPr>
        <w:t>proposed by</w:t>
      </w:r>
      <w:r w:rsidR="006C44DC"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320486">
        <w:rPr>
          <w:rFonts w:ascii="Verdana" w:hAnsi="Verdana"/>
          <w:sz w:val="20"/>
          <w:szCs w:val="20"/>
          <w:lang w:val="en-US"/>
        </w:rPr>
        <w:t xml:space="preserve">, </w:t>
      </w:r>
      <w:r w:rsidRPr="00FE7BA7">
        <w:rPr>
          <w:rFonts w:ascii="Verdana" w:hAnsi="Verdana"/>
          <w:sz w:val="20"/>
          <w:szCs w:val="20"/>
          <w:lang w:val="en-US"/>
        </w:rPr>
        <w:t xml:space="preserve">and </w:t>
      </w:r>
      <w:r w:rsidR="008F798A" w:rsidRPr="00FE7BA7">
        <w:rPr>
          <w:rFonts w:ascii="Verdana" w:hAnsi="Verdana"/>
          <w:sz w:val="20"/>
          <w:szCs w:val="20"/>
          <w:lang w:val="en-US"/>
        </w:rPr>
        <w:t>(</w:t>
      </w:r>
      <w:r w:rsidR="00E4033A" w:rsidRPr="00FE7BA7">
        <w:rPr>
          <w:rFonts w:ascii="Verdana" w:hAnsi="Verdana"/>
          <w:sz w:val="20"/>
          <w:szCs w:val="20"/>
          <w:lang w:val="en-US"/>
        </w:rPr>
        <w:t xml:space="preserve">4) </w:t>
      </w:r>
      <w:r w:rsidRPr="00FE7BA7">
        <w:rPr>
          <w:rFonts w:ascii="Verdana" w:hAnsi="Verdana"/>
          <w:sz w:val="20"/>
          <w:szCs w:val="20"/>
          <w:lang w:val="en-US"/>
        </w:rPr>
        <w:t>the Court</w:t>
      </w:r>
      <w:r w:rsidR="006C44DC" w:rsidRPr="00FE7BA7">
        <w:rPr>
          <w:rFonts w:ascii="Verdana" w:hAnsi="Verdana"/>
          <w:sz w:val="20"/>
          <w:szCs w:val="20"/>
          <w:lang w:val="en-US"/>
        </w:rPr>
        <w:t xml:space="preserve"> </w:t>
      </w:r>
      <w:r w:rsidR="00E4033A" w:rsidRPr="00FE7BA7">
        <w:rPr>
          <w:rFonts w:ascii="Verdana" w:hAnsi="Verdana"/>
          <w:sz w:val="20"/>
          <w:szCs w:val="20"/>
          <w:lang w:val="en-US"/>
        </w:rPr>
        <w:t>tra</w:t>
      </w:r>
      <w:r w:rsidR="00320486">
        <w:rPr>
          <w:rFonts w:ascii="Verdana" w:hAnsi="Verdana"/>
          <w:sz w:val="20"/>
          <w:szCs w:val="20"/>
          <w:lang w:val="en-US"/>
        </w:rPr>
        <w:t xml:space="preserve">nsferred to this case the expert opinions provided by </w:t>
      </w:r>
      <w:r w:rsidR="007C4412" w:rsidRPr="00FE7BA7">
        <w:rPr>
          <w:rFonts w:ascii="Verdana" w:hAnsi="Verdana"/>
          <w:sz w:val="20"/>
          <w:szCs w:val="20"/>
          <w:lang w:val="en-US"/>
        </w:rPr>
        <w:t>Mariska Muskiet</w:t>
      </w:r>
      <w:r w:rsidR="00AA203B" w:rsidRPr="00FE7BA7">
        <w:rPr>
          <w:rStyle w:val="FootnoteReference"/>
          <w:szCs w:val="20"/>
          <w:lang w:val="en-US"/>
        </w:rPr>
        <w:footnoteReference w:id="19"/>
      </w:r>
      <w:r w:rsidRPr="00FE7BA7">
        <w:rPr>
          <w:rFonts w:ascii="Verdana" w:hAnsi="Verdana"/>
          <w:sz w:val="20"/>
          <w:szCs w:val="20"/>
          <w:lang w:val="en-US"/>
        </w:rPr>
        <w:t xml:space="preserve"> and </w:t>
      </w:r>
      <w:r w:rsidR="007C4412" w:rsidRPr="00FE7BA7">
        <w:rPr>
          <w:rFonts w:ascii="Verdana" w:hAnsi="Verdana"/>
          <w:sz w:val="20"/>
          <w:szCs w:val="20"/>
          <w:lang w:val="en-US"/>
        </w:rPr>
        <w:t>Magda Hoever-</w:t>
      </w:r>
      <w:r w:rsidR="007C4412" w:rsidRPr="00FE7BA7">
        <w:rPr>
          <w:rFonts w:ascii="Verdana" w:hAnsi="Verdana"/>
          <w:sz w:val="20"/>
          <w:szCs w:val="20"/>
          <w:lang w:val="en-US"/>
        </w:rPr>
        <w:lastRenderedPageBreak/>
        <w:t>Venoaks</w:t>
      </w:r>
      <w:r w:rsidR="00AA203B" w:rsidRPr="00FE7BA7">
        <w:rPr>
          <w:rStyle w:val="FootnoteReference"/>
          <w:szCs w:val="20"/>
          <w:lang w:val="en-US"/>
        </w:rPr>
        <w:footnoteReference w:id="20"/>
      </w:r>
      <w:r w:rsidR="008F798A" w:rsidRPr="00FE7BA7">
        <w:rPr>
          <w:rFonts w:ascii="Verdana" w:hAnsi="Verdana"/>
          <w:sz w:val="20"/>
          <w:szCs w:val="20"/>
          <w:lang w:val="en-US"/>
        </w:rPr>
        <w:t xml:space="preserve"> in the </w:t>
      </w:r>
      <w:r w:rsidR="008F798A" w:rsidRPr="00815F92">
        <w:rPr>
          <w:rFonts w:ascii="Verdana" w:hAnsi="Verdana"/>
          <w:i/>
          <w:sz w:val="20"/>
          <w:szCs w:val="20"/>
          <w:lang w:val="en-US"/>
        </w:rPr>
        <w:t>case of the</w:t>
      </w:r>
      <w:r w:rsidR="008F798A" w:rsidRPr="00FE7BA7">
        <w:rPr>
          <w:rFonts w:ascii="Verdana" w:hAnsi="Verdana"/>
          <w:sz w:val="20"/>
          <w:szCs w:val="20"/>
          <w:lang w:val="en-US"/>
        </w:rPr>
        <w:t xml:space="preserve"> </w:t>
      </w:r>
      <w:r w:rsidR="00E4033A" w:rsidRPr="00FE7BA7">
        <w:rPr>
          <w:rFonts w:ascii="Verdana" w:hAnsi="Verdana"/>
          <w:i/>
          <w:sz w:val="20"/>
          <w:szCs w:val="20"/>
          <w:lang w:val="en-US"/>
        </w:rPr>
        <w:t>Saramaka</w:t>
      </w:r>
      <w:r w:rsidR="008F798A" w:rsidRPr="00FE7BA7">
        <w:rPr>
          <w:rFonts w:ascii="Verdana" w:hAnsi="Verdana"/>
          <w:i/>
          <w:sz w:val="20"/>
          <w:szCs w:val="20"/>
          <w:lang w:val="en-US"/>
        </w:rPr>
        <w:t xml:space="preserve"> People</w:t>
      </w:r>
      <w:r w:rsidR="00E4033A" w:rsidRPr="00FE7BA7">
        <w:rPr>
          <w:rFonts w:ascii="Verdana" w:hAnsi="Verdana"/>
          <w:i/>
          <w:sz w:val="20"/>
          <w:szCs w:val="20"/>
          <w:lang w:val="en-US"/>
        </w:rPr>
        <w:t xml:space="preserve"> </w:t>
      </w:r>
      <w:r w:rsidRPr="00FE7BA7">
        <w:rPr>
          <w:rFonts w:ascii="Verdana" w:hAnsi="Verdana"/>
          <w:i/>
          <w:sz w:val="20"/>
          <w:szCs w:val="20"/>
          <w:lang w:val="en-US"/>
        </w:rPr>
        <w:t>v.</w:t>
      </w:r>
      <w:r w:rsidR="00E4033A" w:rsidRPr="00FE7BA7">
        <w:rPr>
          <w:rFonts w:ascii="Verdana" w:hAnsi="Verdana"/>
          <w:i/>
          <w:sz w:val="20"/>
          <w:szCs w:val="20"/>
          <w:lang w:val="en-US"/>
        </w:rPr>
        <w:t xml:space="preserve"> </w:t>
      </w:r>
      <w:r w:rsidRPr="00FE7BA7">
        <w:rPr>
          <w:rFonts w:ascii="Verdana" w:hAnsi="Verdana"/>
          <w:i/>
          <w:sz w:val="20"/>
          <w:szCs w:val="20"/>
          <w:lang w:val="en-US"/>
        </w:rPr>
        <w:t>Suriname</w:t>
      </w:r>
      <w:r w:rsidR="008F798A" w:rsidRPr="00FE7BA7">
        <w:rPr>
          <w:rFonts w:ascii="Verdana" w:hAnsi="Verdana"/>
          <w:sz w:val="20"/>
          <w:szCs w:val="20"/>
          <w:lang w:val="en-US"/>
        </w:rPr>
        <w:t xml:space="preserve">. </w:t>
      </w:r>
      <w:r w:rsidR="00815F92">
        <w:rPr>
          <w:rFonts w:ascii="Verdana" w:hAnsi="Verdana"/>
          <w:sz w:val="20"/>
          <w:szCs w:val="20"/>
          <w:lang w:val="en-US"/>
        </w:rPr>
        <w:t xml:space="preserve">Regarding </w:t>
      </w:r>
      <w:r w:rsidR="008F798A" w:rsidRPr="00FE7BA7">
        <w:rPr>
          <w:rFonts w:ascii="Verdana" w:hAnsi="Verdana"/>
          <w:sz w:val="20"/>
          <w:szCs w:val="20"/>
          <w:lang w:val="en-US"/>
        </w:rPr>
        <w:t xml:space="preserve">the evidence provided during the </w:t>
      </w:r>
      <w:r w:rsidR="00810FAD" w:rsidRPr="00FE7BA7">
        <w:rPr>
          <w:rFonts w:ascii="Verdana" w:hAnsi="Verdana"/>
          <w:sz w:val="20"/>
          <w:szCs w:val="20"/>
          <w:lang w:val="en-US"/>
        </w:rPr>
        <w:t>public hearing</w:t>
      </w:r>
      <w:r w:rsidR="00E4033A" w:rsidRPr="00FE7BA7">
        <w:rPr>
          <w:rFonts w:ascii="Verdana" w:hAnsi="Verdana"/>
          <w:sz w:val="20"/>
          <w:szCs w:val="20"/>
          <w:lang w:val="en-US"/>
        </w:rPr>
        <w:t xml:space="preserve">, </w:t>
      </w:r>
      <w:r w:rsidRPr="00FE7BA7">
        <w:rPr>
          <w:rFonts w:ascii="Verdana" w:hAnsi="Verdana"/>
          <w:sz w:val="20"/>
          <w:szCs w:val="20"/>
          <w:lang w:val="en-US"/>
        </w:rPr>
        <w:t>the Court</w:t>
      </w:r>
      <w:r w:rsidR="00E4033A" w:rsidRPr="00FE7BA7">
        <w:rPr>
          <w:rFonts w:ascii="Verdana" w:hAnsi="Verdana"/>
          <w:sz w:val="20"/>
          <w:szCs w:val="20"/>
          <w:lang w:val="en-US"/>
        </w:rPr>
        <w:t xml:space="preserve"> </w:t>
      </w:r>
      <w:r w:rsidR="008F798A" w:rsidRPr="00FE7BA7">
        <w:rPr>
          <w:rFonts w:ascii="Verdana" w:hAnsi="Verdana"/>
          <w:sz w:val="20"/>
          <w:szCs w:val="20"/>
          <w:lang w:val="en-US"/>
        </w:rPr>
        <w:t xml:space="preserve">received the testimony </w:t>
      </w:r>
      <w:r w:rsidR="00810FAD" w:rsidRPr="00FE7BA7">
        <w:rPr>
          <w:rFonts w:ascii="Verdana" w:hAnsi="Verdana"/>
          <w:sz w:val="20"/>
          <w:szCs w:val="20"/>
          <w:lang w:val="en-US"/>
        </w:rPr>
        <w:t xml:space="preserve">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10FAD" w:rsidRPr="00FE7BA7">
        <w:rPr>
          <w:rFonts w:ascii="Verdana" w:hAnsi="Verdana"/>
          <w:sz w:val="20"/>
          <w:szCs w:val="20"/>
          <w:lang w:val="en-US"/>
        </w:rPr>
        <w:t>victims</w:t>
      </w:r>
      <w:r w:rsidR="00320486">
        <w:rPr>
          <w:rFonts w:ascii="Verdana" w:hAnsi="Verdana"/>
          <w:sz w:val="20"/>
          <w:szCs w:val="20"/>
          <w:lang w:val="en-US"/>
        </w:rPr>
        <w:t>,</w:t>
      </w:r>
      <w:r w:rsidR="00E4033A" w:rsidRPr="00FE7BA7">
        <w:rPr>
          <w:rFonts w:ascii="Verdana" w:hAnsi="Verdana"/>
          <w:sz w:val="20"/>
          <w:szCs w:val="20"/>
          <w:lang w:val="en-US"/>
        </w:rPr>
        <w:t xml:space="preserve"> </w:t>
      </w:r>
      <w:r w:rsidR="00810FAD" w:rsidRPr="00FE7BA7">
        <w:rPr>
          <w:rFonts w:ascii="Verdana" w:hAnsi="Verdana"/>
          <w:sz w:val="20"/>
          <w:szCs w:val="20"/>
          <w:lang w:val="en-US"/>
        </w:rPr>
        <w:t>Captain</w:t>
      </w:r>
      <w:r w:rsidR="00E4033A" w:rsidRPr="00FE7BA7">
        <w:rPr>
          <w:rFonts w:ascii="Verdana" w:hAnsi="Verdana"/>
          <w:sz w:val="20"/>
          <w:szCs w:val="20"/>
          <w:lang w:val="en-US"/>
        </w:rPr>
        <w:t xml:space="preserve"> Ricardo Pané</w:t>
      </w:r>
      <w:r w:rsidRPr="00FE7BA7">
        <w:rPr>
          <w:rFonts w:ascii="Verdana" w:hAnsi="Verdana"/>
          <w:sz w:val="20"/>
          <w:szCs w:val="20"/>
          <w:lang w:val="en-US"/>
        </w:rPr>
        <w:t xml:space="preserve"> and </w:t>
      </w:r>
      <w:r w:rsidR="00810FAD" w:rsidRPr="00FE7BA7">
        <w:rPr>
          <w:rFonts w:ascii="Verdana" w:hAnsi="Verdana"/>
          <w:sz w:val="20"/>
          <w:szCs w:val="20"/>
          <w:lang w:val="en-US"/>
        </w:rPr>
        <w:t>Captain</w:t>
      </w:r>
      <w:r w:rsidR="00E4033A" w:rsidRPr="00FE7BA7">
        <w:rPr>
          <w:rFonts w:ascii="Verdana" w:hAnsi="Verdana"/>
          <w:sz w:val="20"/>
          <w:szCs w:val="20"/>
          <w:lang w:val="en-US"/>
        </w:rPr>
        <w:t xml:space="preserve"> Jona Gunt</w:t>
      </w:r>
      <w:r w:rsidR="00C07DBC">
        <w:rPr>
          <w:rFonts w:ascii="Verdana" w:hAnsi="Verdana"/>
          <w:sz w:val="20"/>
          <w:szCs w:val="20"/>
          <w:lang w:val="en-US"/>
        </w:rPr>
        <w:t>h</w:t>
      </w:r>
      <w:r w:rsidR="00E4033A" w:rsidRPr="00FE7BA7">
        <w:rPr>
          <w:rFonts w:ascii="Verdana" w:hAnsi="Verdana"/>
          <w:sz w:val="20"/>
          <w:szCs w:val="20"/>
          <w:lang w:val="en-US"/>
        </w:rPr>
        <w:t>er</w:t>
      </w:r>
      <w:r w:rsidR="008F798A" w:rsidRPr="00FE7BA7">
        <w:rPr>
          <w:rFonts w:ascii="Verdana" w:hAnsi="Verdana"/>
          <w:sz w:val="20"/>
          <w:szCs w:val="20"/>
          <w:lang w:val="en-US"/>
        </w:rPr>
        <w:t>,</w:t>
      </w:r>
      <w:r w:rsidR="00E4033A" w:rsidRPr="00FE7BA7">
        <w:rPr>
          <w:rFonts w:ascii="Verdana" w:hAnsi="Verdana"/>
          <w:sz w:val="20"/>
          <w:szCs w:val="20"/>
          <w:lang w:val="en-US"/>
        </w:rPr>
        <w:t xml:space="preserve"> </w:t>
      </w:r>
      <w:r w:rsidRPr="00FE7BA7">
        <w:rPr>
          <w:rFonts w:ascii="Verdana" w:hAnsi="Verdana"/>
          <w:sz w:val="20"/>
          <w:szCs w:val="20"/>
          <w:lang w:val="en-US"/>
        </w:rPr>
        <w:t xml:space="preserve">and </w:t>
      </w:r>
      <w:r w:rsidR="008F798A" w:rsidRPr="00FE7BA7">
        <w:rPr>
          <w:rFonts w:ascii="Verdana" w:hAnsi="Verdana"/>
          <w:sz w:val="20"/>
          <w:szCs w:val="20"/>
          <w:lang w:val="en-US"/>
        </w:rPr>
        <w:t>of the expert witness,</w:t>
      </w:r>
      <w:r w:rsidR="00D575AE" w:rsidRPr="00FE7BA7">
        <w:rPr>
          <w:rFonts w:ascii="Verdana" w:hAnsi="Verdana"/>
          <w:sz w:val="20"/>
          <w:szCs w:val="20"/>
          <w:lang w:val="en-US"/>
        </w:rPr>
        <w:t xml:space="preserve"> Victoria Tauli-Corpuz</w:t>
      </w:r>
      <w:r w:rsidR="008F798A" w:rsidRPr="00FE7BA7">
        <w:rPr>
          <w:rFonts w:ascii="Verdana" w:hAnsi="Verdana"/>
          <w:sz w:val="20"/>
          <w:szCs w:val="20"/>
          <w:lang w:val="en-US"/>
        </w:rPr>
        <w:t>,</w:t>
      </w:r>
      <w:r w:rsidR="00D575AE" w:rsidRPr="00FE7BA7">
        <w:rPr>
          <w:rStyle w:val="FootnoteReference"/>
          <w:szCs w:val="20"/>
          <w:lang w:val="en-US"/>
        </w:rPr>
        <w:footnoteReference w:id="21"/>
      </w:r>
      <w:r w:rsidR="00D575AE" w:rsidRPr="00FE7BA7">
        <w:rPr>
          <w:rFonts w:ascii="Verdana" w:hAnsi="Verdana"/>
          <w:sz w:val="20"/>
          <w:szCs w:val="20"/>
          <w:lang w:val="en-US"/>
        </w:rPr>
        <w:t xml:space="preserve"> </w:t>
      </w:r>
      <w:r w:rsidR="008F798A" w:rsidRPr="00FE7BA7">
        <w:rPr>
          <w:rFonts w:ascii="Verdana" w:hAnsi="Verdana"/>
          <w:sz w:val="20"/>
          <w:szCs w:val="20"/>
          <w:lang w:val="en-US"/>
        </w:rPr>
        <w:t>proposed by</w:t>
      </w:r>
      <w:r w:rsidR="00E4033A"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8F798A" w:rsidRPr="00FE7BA7">
        <w:rPr>
          <w:rFonts w:ascii="Verdana" w:hAnsi="Verdana"/>
          <w:sz w:val="20"/>
          <w:szCs w:val="20"/>
          <w:lang w:val="en-US"/>
        </w:rPr>
        <w:t>, and also the opinion of the expert</w:t>
      </w:r>
      <w:r w:rsidR="00E4033A" w:rsidRPr="00FE7BA7">
        <w:rPr>
          <w:rFonts w:ascii="Verdana" w:hAnsi="Verdana"/>
          <w:sz w:val="20"/>
          <w:szCs w:val="20"/>
          <w:lang w:val="en-US"/>
        </w:rPr>
        <w:t xml:space="preserve"> </w:t>
      </w:r>
      <w:r w:rsidR="008F798A" w:rsidRPr="00FE7BA7">
        <w:rPr>
          <w:rFonts w:ascii="Verdana" w:hAnsi="Verdana"/>
          <w:sz w:val="20"/>
          <w:szCs w:val="20"/>
          <w:lang w:val="en-US"/>
        </w:rPr>
        <w:t xml:space="preserve">witness </w:t>
      </w:r>
      <w:r w:rsidR="00E4033A" w:rsidRPr="00FE7BA7">
        <w:rPr>
          <w:rFonts w:ascii="Verdana" w:hAnsi="Verdana"/>
          <w:sz w:val="20"/>
          <w:szCs w:val="20"/>
          <w:lang w:val="en-US"/>
        </w:rPr>
        <w:t>Jeremie Gilbert</w:t>
      </w:r>
      <w:r w:rsidR="008F798A" w:rsidRPr="00FE7BA7">
        <w:rPr>
          <w:rFonts w:ascii="Verdana" w:hAnsi="Verdana"/>
          <w:sz w:val="20"/>
          <w:szCs w:val="20"/>
          <w:lang w:val="en-US"/>
        </w:rPr>
        <w:t>,</w:t>
      </w:r>
      <w:r w:rsidR="00E4033A" w:rsidRPr="00FE7BA7">
        <w:rPr>
          <w:rStyle w:val="FootnoteReference"/>
          <w:szCs w:val="20"/>
          <w:lang w:val="en-US"/>
        </w:rPr>
        <w:footnoteReference w:id="22"/>
      </w:r>
      <w:r w:rsidR="00D575AE" w:rsidRPr="00FE7BA7">
        <w:rPr>
          <w:rFonts w:ascii="Verdana" w:hAnsi="Verdana"/>
          <w:sz w:val="20"/>
          <w:szCs w:val="20"/>
          <w:lang w:val="en-US"/>
        </w:rPr>
        <w:t xml:space="preserve"> </w:t>
      </w:r>
      <w:r w:rsidR="008F798A" w:rsidRPr="00FE7BA7">
        <w:rPr>
          <w:rFonts w:ascii="Verdana" w:hAnsi="Verdana"/>
          <w:sz w:val="20"/>
          <w:szCs w:val="20"/>
          <w:lang w:val="en-US"/>
        </w:rPr>
        <w:t>proposed by</w:t>
      </w:r>
      <w:r w:rsidR="00D575AE" w:rsidRPr="00FE7BA7">
        <w:rPr>
          <w:rFonts w:ascii="Verdana" w:hAnsi="Verdana"/>
          <w:sz w:val="20"/>
          <w:szCs w:val="20"/>
          <w:lang w:val="en-US"/>
        </w:rPr>
        <w:t xml:space="preserve"> </w:t>
      </w:r>
      <w:r w:rsidRPr="00FE7BA7">
        <w:rPr>
          <w:rFonts w:ascii="Verdana" w:hAnsi="Verdana"/>
          <w:sz w:val="20"/>
          <w:szCs w:val="20"/>
          <w:lang w:val="en-US"/>
        </w:rPr>
        <w:t>the Commission</w:t>
      </w:r>
      <w:r w:rsidR="008F798A" w:rsidRPr="00FE7BA7">
        <w:rPr>
          <w:rFonts w:ascii="Verdana" w:hAnsi="Verdana"/>
          <w:sz w:val="20"/>
          <w:szCs w:val="20"/>
          <w:lang w:val="en-US"/>
        </w:rPr>
        <w:t>.</w:t>
      </w:r>
      <w:r w:rsidR="00206475" w:rsidRPr="00FE7BA7">
        <w:rPr>
          <w:rStyle w:val="FootnoteReference"/>
          <w:szCs w:val="20"/>
          <w:lang w:val="en-US"/>
        </w:rPr>
        <w:footnoteReference w:id="23"/>
      </w:r>
      <w:r w:rsidR="00E4033A" w:rsidRPr="00FE7BA7">
        <w:rPr>
          <w:rFonts w:ascii="Verdana" w:hAnsi="Verdana"/>
          <w:sz w:val="20"/>
          <w:szCs w:val="20"/>
          <w:lang w:val="en-US"/>
        </w:rPr>
        <w:t xml:space="preserve"> </w:t>
      </w:r>
      <w:r w:rsidR="008F798A" w:rsidRPr="00FE7BA7">
        <w:rPr>
          <w:rFonts w:ascii="Verdana" w:hAnsi="Verdana"/>
          <w:sz w:val="20"/>
          <w:szCs w:val="20"/>
          <w:lang w:val="en-US"/>
        </w:rPr>
        <w:t xml:space="preserve">The Court also received various documents as helpful evidence following the hearing in this case, as well as after it had </w:t>
      </w:r>
      <w:r w:rsidR="00815F92">
        <w:rPr>
          <w:rFonts w:ascii="Verdana" w:hAnsi="Verdana"/>
          <w:sz w:val="20"/>
          <w:szCs w:val="20"/>
          <w:lang w:val="en-US"/>
        </w:rPr>
        <w:t>conducted</w:t>
      </w:r>
      <w:r w:rsidR="008F798A" w:rsidRPr="00FE7BA7">
        <w:rPr>
          <w:rFonts w:ascii="Verdana" w:hAnsi="Verdana"/>
          <w:sz w:val="20"/>
          <w:szCs w:val="20"/>
          <w:lang w:val="en-US"/>
        </w:rPr>
        <w:t xml:space="preserve"> the on-site procedure </w:t>
      </w:r>
      <w:r w:rsidR="00206475" w:rsidRPr="00FE7BA7">
        <w:rPr>
          <w:rFonts w:ascii="Verdana" w:hAnsi="Verdana"/>
          <w:sz w:val="20"/>
          <w:szCs w:val="20"/>
          <w:lang w:val="en-US"/>
        </w:rPr>
        <w:t>(</w:t>
      </w:r>
      <w:r w:rsidR="00366D91" w:rsidRPr="00FE7BA7">
        <w:rPr>
          <w:rFonts w:ascii="Verdana" w:hAnsi="Verdana"/>
          <w:i/>
          <w:sz w:val="20"/>
          <w:szCs w:val="20"/>
          <w:lang w:val="en-US"/>
        </w:rPr>
        <w:t>supra</w:t>
      </w:r>
      <w:r w:rsidR="00206475" w:rsidRPr="00FE7BA7">
        <w:rPr>
          <w:rFonts w:ascii="Verdana" w:hAnsi="Verdana"/>
          <w:sz w:val="20"/>
          <w:szCs w:val="20"/>
          <w:lang w:val="en-US"/>
        </w:rPr>
        <w:t xml:space="preserve"> </w:t>
      </w:r>
      <w:r w:rsidR="008F798A" w:rsidRPr="00FE7BA7">
        <w:rPr>
          <w:rFonts w:ascii="Verdana" w:hAnsi="Verdana"/>
          <w:sz w:val="20"/>
          <w:szCs w:val="20"/>
          <w:lang w:val="en-US"/>
        </w:rPr>
        <w:t>paras.</w:t>
      </w:r>
      <w:r w:rsidR="00206475" w:rsidRPr="00FE7BA7">
        <w:rPr>
          <w:rFonts w:ascii="Verdana" w:hAnsi="Verdana"/>
          <w:sz w:val="20"/>
          <w:szCs w:val="20"/>
          <w:lang w:val="en-US"/>
        </w:rPr>
        <w:t xml:space="preserve"> </w:t>
      </w:r>
      <w:r w:rsidR="006E00F8" w:rsidRPr="00FE7BA7">
        <w:rPr>
          <w:rFonts w:ascii="Verdana" w:hAnsi="Verdana"/>
          <w:sz w:val="20"/>
          <w:szCs w:val="20"/>
          <w:lang w:val="en-US"/>
        </w:rPr>
        <w:t>12, 15</w:t>
      </w:r>
      <w:r w:rsidRPr="00FE7BA7">
        <w:rPr>
          <w:rFonts w:ascii="Verdana" w:hAnsi="Verdana"/>
          <w:sz w:val="20"/>
          <w:szCs w:val="20"/>
          <w:lang w:val="en-US"/>
        </w:rPr>
        <w:t xml:space="preserve"> and </w:t>
      </w:r>
      <w:r w:rsidR="006E00F8" w:rsidRPr="00FE7BA7">
        <w:rPr>
          <w:rFonts w:ascii="Verdana" w:hAnsi="Verdana"/>
          <w:sz w:val="20"/>
          <w:szCs w:val="20"/>
          <w:lang w:val="en-US"/>
        </w:rPr>
        <w:t>16</w:t>
      </w:r>
      <w:r w:rsidR="00206475" w:rsidRPr="00FE7BA7">
        <w:rPr>
          <w:rFonts w:ascii="Verdana" w:hAnsi="Verdana"/>
          <w:sz w:val="20"/>
          <w:szCs w:val="20"/>
          <w:lang w:val="en-US"/>
        </w:rPr>
        <w:t>).</w:t>
      </w:r>
    </w:p>
    <w:p w14:paraId="6312684D" w14:textId="77777777" w:rsidR="00E4033A" w:rsidRPr="00FE7BA7" w:rsidRDefault="00E4033A" w:rsidP="00E4033A">
      <w:pPr>
        <w:jc w:val="both"/>
        <w:rPr>
          <w:rFonts w:ascii="Verdana" w:hAnsi="Verdana"/>
          <w:sz w:val="20"/>
          <w:szCs w:val="20"/>
          <w:lang w:val="en-US"/>
        </w:rPr>
      </w:pPr>
    </w:p>
    <w:p w14:paraId="6312684E" w14:textId="77777777" w:rsidR="00E4033A" w:rsidRPr="00FE7BA7" w:rsidRDefault="008F798A" w:rsidP="00E4033A">
      <w:pPr>
        <w:pStyle w:val="Heading2"/>
        <w:numPr>
          <w:ilvl w:val="0"/>
          <w:numId w:val="1"/>
        </w:numPr>
        <w:spacing w:before="0"/>
        <w:rPr>
          <w:rFonts w:ascii="Verdana" w:hAnsi="Verdana"/>
          <w:i/>
          <w:color w:val="auto"/>
          <w:sz w:val="20"/>
          <w:szCs w:val="20"/>
          <w:lang w:val="en-US"/>
        </w:rPr>
      </w:pPr>
      <w:bookmarkStart w:id="7" w:name="_Toc441673181"/>
      <w:r w:rsidRPr="00FE7BA7">
        <w:rPr>
          <w:rFonts w:ascii="Verdana" w:hAnsi="Verdana"/>
          <w:i/>
          <w:color w:val="auto"/>
          <w:sz w:val="20"/>
          <w:szCs w:val="20"/>
          <w:lang w:val="en-US"/>
        </w:rPr>
        <w:t>Admission of the evidence</w:t>
      </w:r>
      <w:bookmarkEnd w:id="7"/>
    </w:p>
    <w:p w14:paraId="6312684F" w14:textId="77777777" w:rsidR="00E4033A" w:rsidRPr="00FE7BA7" w:rsidRDefault="00E4033A" w:rsidP="00E4033A">
      <w:pPr>
        <w:pStyle w:val="ListParagraph"/>
        <w:ind w:left="0"/>
        <w:jc w:val="both"/>
        <w:rPr>
          <w:rFonts w:ascii="Verdana" w:hAnsi="Verdana"/>
          <w:sz w:val="20"/>
          <w:szCs w:val="20"/>
          <w:lang w:val="en-US"/>
        </w:rPr>
      </w:pPr>
    </w:p>
    <w:p w14:paraId="63126850" w14:textId="77777777" w:rsidR="00E4033A" w:rsidRPr="00FE7BA7" w:rsidRDefault="00E4033A" w:rsidP="00E4033A">
      <w:pPr>
        <w:pStyle w:val="Heading3"/>
        <w:spacing w:before="0"/>
        <w:ind w:firstLine="360"/>
        <w:jc w:val="both"/>
        <w:rPr>
          <w:rFonts w:ascii="Verdana" w:hAnsi="Verdana"/>
          <w:i/>
          <w:color w:val="auto"/>
          <w:sz w:val="20"/>
          <w:szCs w:val="20"/>
          <w:lang w:val="en-US"/>
        </w:rPr>
      </w:pPr>
      <w:bookmarkStart w:id="8" w:name="_Toc441673182"/>
      <w:r w:rsidRPr="00FE7BA7">
        <w:rPr>
          <w:rFonts w:ascii="Verdana" w:hAnsi="Verdana"/>
          <w:i/>
          <w:color w:val="auto"/>
          <w:sz w:val="20"/>
          <w:szCs w:val="20"/>
          <w:lang w:val="en-US"/>
        </w:rPr>
        <w:t xml:space="preserve">B.1 </w:t>
      </w:r>
      <w:r w:rsidR="008F798A" w:rsidRPr="00FE7BA7">
        <w:rPr>
          <w:rFonts w:ascii="Verdana" w:hAnsi="Verdana"/>
          <w:i/>
          <w:color w:val="auto"/>
          <w:sz w:val="20"/>
          <w:szCs w:val="20"/>
          <w:lang w:val="en-US"/>
        </w:rPr>
        <w:t xml:space="preserve">Admission </w:t>
      </w:r>
      <w:r w:rsidR="00074D3A" w:rsidRPr="00FE7BA7">
        <w:rPr>
          <w:rFonts w:ascii="Verdana" w:hAnsi="Verdana"/>
          <w:i/>
          <w:color w:val="auto"/>
          <w:sz w:val="20"/>
          <w:szCs w:val="20"/>
          <w:lang w:val="en-US"/>
        </w:rPr>
        <w:t>of the documentary evidence</w:t>
      </w:r>
      <w:bookmarkEnd w:id="8"/>
    </w:p>
    <w:p w14:paraId="63126851" w14:textId="77777777" w:rsidR="00E4033A" w:rsidRPr="00FE7BA7" w:rsidRDefault="00E4033A" w:rsidP="00E4033A">
      <w:pPr>
        <w:pStyle w:val="ListParagraph"/>
        <w:ind w:left="0"/>
        <w:jc w:val="both"/>
        <w:rPr>
          <w:rFonts w:ascii="Verdana" w:hAnsi="Verdana"/>
          <w:sz w:val="20"/>
          <w:szCs w:val="20"/>
          <w:lang w:val="en-US"/>
        </w:rPr>
      </w:pPr>
    </w:p>
    <w:p w14:paraId="63126852" w14:textId="758FD3C6" w:rsidR="00206475" w:rsidRPr="00FE7BA7" w:rsidRDefault="00EB1C6E" w:rsidP="00865E4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case, as in others, </w:t>
      </w:r>
      <w:r w:rsidR="002B5CCD" w:rsidRPr="00FE7BA7">
        <w:rPr>
          <w:rFonts w:ascii="Verdana" w:hAnsi="Verdana"/>
          <w:sz w:val="20"/>
          <w:szCs w:val="20"/>
          <w:lang w:val="en-US"/>
        </w:rPr>
        <w:t>the Court</w:t>
      </w:r>
      <w:r w:rsidR="00865E4A" w:rsidRPr="00FE7BA7">
        <w:rPr>
          <w:rFonts w:ascii="Verdana" w:hAnsi="Verdana"/>
          <w:sz w:val="20"/>
          <w:szCs w:val="20"/>
          <w:lang w:val="en-US"/>
        </w:rPr>
        <w:t xml:space="preserve"> admits those documents presented by the parties and by </w:t>
      </w:r>
      <w:r w:rsidR="002B5CCD" w:rsidRPr="00FE7BA7">
        <w:rPr>
          <w:rFonts w:ascii="Verdana" w:hAnsi="Verdana"/>
          <w:sz w:val="20"/>
          <w:szCs w:val="20"/>
          <w:lang w:val="en-US"/>
        </w:rPr>
        <w:t>the Commission</w:t>
      </w:r>
      <w:r w:rsidR="00E4033A" w:rsidRPr="00FE7BA7">
        <w:rPr>
          <w:rFonts w:ascii="Verdana" w:hAnsi="Verdana"/>
          <w:sz w:val="20"/>
          <w:szCs w:val="20"/>
          <w:lang w:val="en-US"/>
        </w:rPr>
        <w:t xml:space="preserve"> </w:t>
      </w:r>
      <w:r w:rsidR="00865E4A" w:rsidRPr="00FE7BA7">
        <w:rPr>
          <w:rFonts w:ascii="Verdana" w:hAnsi="Verdana"/>
          <w:sz w:val="20"/>
          <w:szCs w:val="20"/>
          <w:lang w:val="en-US"/>
        </w:rPr>
        <w:t xml:space="preserve">at the appropriate procedural </w:t>
      </w:r>
      <w:r w:rsidR="00FE7BA7" w:rsidRPr="00FE7BA7">
        <w:rPr>
          <w:rFonts w:ascii="Verdana" w:hAnsi="Verdana"/>
          <w:sz w:val="20"/>
          <w:szCs w:val="20"/>
          <w:lang w:val="en-US"/>
        </w:rPr>
        <w:t>moment</w:t>
      </w:r>
      <w:r w:rsidR="00865E4A" w:rsidRPr="00FE7BA7">
        <w:rPr>
          <w:rFonts w:ascii="Verdana" w:hAnsi="Verdana"/>
          <w:sz w:val="20"/>
          <w:szCs w:val="20"/>
          <w:lang w:val="en-US"/>
        </w:rPr>
        <w:t>, or requested as helpful evidence by the Court or its President, which were not contested or opposed, and the authenticity of which was not challenged.</w:t>
      </w:r>
      <w:r w:rsidR="00E4033A" w:rsidRPr="00FE7BA7">
        <w:rPr>
          <w:rFonts w:ascii="Verdana" w:hAnsi="Verdana"/>
          <w:sz w:val="20"/>
          <w:szCs w:val="20"/>
          <w:vertAlign w:val="superscript"/>
          <w:lang w:val="en-US"/>
        </w:rPr>
        <w:footnoteReference w:id="24"/>
      </w:r>
      <w:r w:rsidR="00865E4A" w:rsidRPr="00FE7BA7">
        <w:rPr>
          <w:rFonts w:ascii="Verdana" w:hAnsi="Verdana"/>
          <w:sz w:val="20"/>
          <w:szCs w:val="20"/>
          <w:lang w:val="en-US"/>
        </w:rPr>
        <w:t xml:space="preserve"> The documents requested by the Court that were provided by the parties following </w:t>
      </w:r>
      <w:r w:rsidR="00810FAD" w:rsidRPr="00FE7BA7">
        <w:rPr>
          <w:rFonts w:ascii="Verdana" w:hAnsi="Verdana"/>
          <w:sz w:val="20"/>
          <w:szCs w:val="20"/>
          <w:lang w:val="en-US"/>
        </w:rPr>
        <w:t>the public hearing</w:t>
      </w:r>
      <w:r w:rsidR="002B5CCD" w:rsidRPr="00FE7BA7">
        <w:rPr>
          <w:rFonts w:ascii="Verdana" w:hAnsi="Verdana"/>
          <w:sz w:val="20"/>
          <w:szCs w:val="20"/>
          <w:lang w:val="en-US"/>
        </w:rPr>
        <w:t xml:space="preserve"> and </w:t>
      </w:r>
      <w:r w:rsidR="00865E4A" w:rsidRPr="00FE7BA7">
        <w:rPr>
          <w:rFonts w:ascii="Verdana" w:hAnsi="Verdana"/>
          <w:sz w:val="20"/>
          <w:szCs w:val="20"/>
          <w:lang w:val="en-US"/>
        </w:rPr>
        <w:t xml:space="preserve">the on-site procedure are incorporated into the body of evidence in application </w:t>
      </w:r>
      <w:r w:rsidR="00773D70" w:rsidRPr="00FE7BA7">
        <w:rPr>
          <w:rFonts w:ascii="Verdana" w:hAnsi="Verdana"/>
          <w:sz w:val="20"/>
          <w:szCs w:val="20"/>
          <w:lang w:val="en-US"/>
        </w:rPr>
        <w:t>of Article</w:t>
      </w:r>
      <w:r w:rsidR="00E4033A" w:rsidRPr="00FE7BA7">
        <w:rPr>
          <w:rFonts w:ascii="Verdana" w:hAnsi="Verdana"/>
          <w:sz w:val="20"/>
          <w:szCs w:val="20"/>
          <w:lang w:val="en-US"/>
        </w:rPr>
        <w:t xml:space="preserve"> 58</w:t>
      </w:r>
      <w:r w:rsidR="002B5CCD" w:rsidRPr="00FE7BA7">
        <w:rPr>
          <w:rFonts w:ascii="Verdana" w:hAnsi="Verdana"/>
          <w:sz w:val="20"/>
          <w:szCs w:val="20"/>
          <w:lang w:val="en-US"/>
        </w:rPr>
        <w:t xml:space="preserve"> of the Rules of Procedure</w:t>
      </w:r>
      <w:r w:rsidR="009B0952" w:rsidRPr="00FE7BA7">
        <w:rPr>
          <w:rFonts w:ascii="Verdana" w:hAnsi="Verdana"/>
          <w:sz w:val="20"/>
          <w:szCs w:val="20"/>
          <w:lang w:val="en-US"/>
        </w:rPr>
        <w:t xml:space="preserve"> (</w:t>
      </w:r>
      <w:r w:rsidR="00366D91" w:rsidRPr="00FE7BA7">
        <w:rPr>
          <w:rFonts w:ascii="Verdana" w:hAnsi="Verdana"/>
          <w:i/>
          <w:sz w:val="20"/>
          <w:szCs w:val="20"/>
          <w:lang w:val="en-US"/>
        </w:rPr>
        <w:t>supra</w:t>
      </w:r>
      <w:r w:rsidR="009B0952" w:rsidRPr="00FE7BA7">
        <w:rPr>
          <w:rFonts w:ascii="Verdana" w:hAnsi="Verdana"/>
          <w:sz w:val="20"/>
          <w:szCs w:val="20"/>
          <w:lang w:val="en-US"/>
        </w:rPr>
        <w:t xml:space="preserve"> </w:t>
      </w:r>
      <w:r w:rsidR="008F798A" w:rsidRPr="00FE7BA7">
        <w:rPr>
          <w:rFonts w:ascii="Verdana" w:hAnsi="Verdana"/>
          <w:sz w:val="20"/>
          <w:szCs w:val="20"/>
          <w:lang w:val="en-US"/>
        </w:rPr>
        <w:t>paras.</w:t>
      </w:r>
      <w:r w:rsidR="009B0952" w:rsidRPr="00FE7BA7">
        <w:rPr>
          <w:rFonts w:ascii="Verdana" w:hAnsi="Verdana"/>
          <w:sz w:val="20"/>
          <w:szCs w:val="20"/>
          <w:lang w:val="en-US"/>
        </w:rPr>
        <w:t xml:space="preserve"> </w:t>
      </w:r>
      <w:r w:rsidR="006E00F8" w:rsidRPr="00FE7BA7">
        <w:rPr>
          <w:rFonts w:ascii="Verdana" w:hAnsi="Verdana"/>
          <w:sz w:val="20"/>
          <w:szCs w:val="20"/>
          <w:lang w:val="en-US"/>
        </w:rPr>
        <w:t>10, 12, 15</w:t>
      </w:r>
      <w:r w:rsidR="002B5CCD" w:rsidRPr="00FE7BA7">
        <w:rPr>
          <w:rFonts w:ascii="Verdana" w:hAnsi="Verdana"/>
          <w:sz w:val="20"/>
          <w:szCs w:val="20"/>
          <w:lang w:val="en-US"/>
        </w:rPr>
        <w:t xml:space="preserve"> and </w:t>
      </w:r>
      <w:r w:rsidR="006E00F8" w:rsidRPr="00FE7BA7">
        <w:rPr>
          <w:rFonts w:ascii="Verdana" w:hAnsi="Verdana"/>
          <w:sz w:val="20"/>
          <w:szCs w:val="20"/>
          <w:lang w:val="en-US"/>
        </w:rPr>
        <w:t>16</w:t>
      </w:r>
      <w:r w:rsidR="009B0952" w:rsidRPr="00FE7BA7">
        <w:rPr>
          <w:rFonts w:ascii="Verdana" w:hAnsi="Verdana"/>
          <w:sz w:val="20"/>
          <w:szCs w:val="20"/>
          <w:lang w:val="en-US"/>
        </w:rPr>
        <w:t>)</w:t>
      </w:r>
      <w:r w:rsidR="00206475" w:rsidRPr="00FE7BA7">
        <w:rPr>
          <w:rFonts w:ascii="Verdana" w:hAnsi="Verdana"/>
          <w:sz w:val="20"/>
          <w:szCs w:val="20"/>
          <w:lang w:val="en-US"/>
        </w:rPr>
        <w:t>.</w:t>
      </w:r>
    </w:p>
    <w:p w14:paraId="63126853" w14:textId="77777777" w:rsidR="00206475" w:rsidRPr="00FE7BA7" w:rsidRDefault="00206475" w:rsidP="00690B3D">
      <w:pPr>
        <w:pStyle w:val="ListParagraph"/>
        <w:ind w:left="0"/>
        <w:jc w:val="both"/>
        <w:rPr>
          <w:rFonts w:ascii="Verdana" w:hAnsi="Verdana"/>
          <w:sz w:val="20"/>
          <w:szCs w:val="20"/>
          <w:lang w:val="en-US"/>
        </w:rPr>
      </w:pPr>
    </w:p>
    <w:p w14:paraId="63126854" w14:textId="77777777" w:rsidR="00E4033A" w:rsidRPr="00FE7BA7" w:rsidRDefault="00206475" w:rsidP="00865E4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w:t>
      </w:r>
      <w:r w:rsidR="00865E4A" w:rsidRPr="00FE7BA7">
        <w:rPr>
          <w:rFonts w:ascii="Verdana" w:hAnsi="Verdana"/>
          <w:sz w:val="20"/>
          <w:szCs w:val="20"/>
          <w:lang w:val="en-US"/>
        </w:rPr>
        <w:t xml:space="preserve">garding the helpful evidence requested following the </w:t>
      </w:r>
      <w:r w:rsidR="00D16DA7" w:rsidRPr="00FE7BA7">
        <w:rPr>
          <w:rFonts w:ascii="Verdana" w:hAnsi="Verdana"/>
          <w:sz w:val="20"/>
          <w:szCs w:val="20"/>
          <w:lang w:val="en-US"/>
        </w:rPr>
        <w:t>visit</w:t>
      </w:r>
      <w:r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Pr="00FE7BA7">
        <w:rPr>
          <w:rFonts w:ascii="Verdana" w:hAnsi="Verdana"/>
          <w:sz w:val="20"/>
          <w:szCs w:val="20"/>
          <w:lang w:val="en-US"/>
        </w:rPr>
        <w:t xml:space="preserve"> </w:t>
      </w:r>
      <w:r w:rsidR="00865E4A" w:rsidRPr="00FE7BA7">
        <w:rPr>
          <w:rFonts w:ascii="Verdana" w:hAnsi="Verdana"/>
          <w:sz w:val="20"/>
          <w:szCs w:val="20"/>
          <w:lang w:val="en-US"/>
        </w:rPr>
        <w:t xml:space="preserve">objected to Annex </w:t>
      </w:r>
      <w:r w:rsidRPr="00FE7BA7">
        <w:rPr>
          <w:rFonts w:ascii="Verdana" w:hAnsi="Verdana"/>
          <w:sz w:val="20"/>
          <w:szCs w:val="20"/>
          <w:lang w:val="en-US"/>
        </w:rPr>
        <w:t>7</w:t>
      </w:r>
      <w:r w:rsidR="00865E4A" w:rsidRPr="00FE7BA7">
        <w:rPr>
          <w:rFonts w:ascii="Verdana" w:hAnsi="Verdana"/>
          <w:sz w:val="20"/>
          <w:szCs w:val="20"/>
          <w:lang w:val="en-US"/>
        </w:rPr>
        <w:t>(</w:t>
      </w:r>
      <w:r w:rsidRPr="00FE7BA7">
        <w:rPr>
          <w:rFonts w:ascii="Verdana" w:hAnsi="Verdana"/>
          <w:sz w:val="20"/>
          <w:szCs w:val="20"/>
          <w:lang w:val="en-US"/>
        </w:rPr>
        <w:t>d</w:t>
      </w:r>
      <w:r w:rsidR="00865E4A" w:rsidRPr="00FE7BA7">
        <w:rPr>
          <w:rFonts w:ascii="Verdana" w:hAnsi="Verdana"/>
          <w:sz w:val="20"/>
          <w:szCs w:val="20"/>
          <w:lang w:val="en-US"/>
        </w:rPr>
        <w:t>)</w:t>
      </w:r>
      <w:r w:rsidRPr="00FE7BA7">
        <w:rPr>
          <w:rFonts w:ascii="Verdana" w:hAnsi="Verdana"/>
          <w:sz w:val="20"/>
          <w:szCs w:val="20"/>
          <w:lang w:val="en-US"/>
        </w:rPr>
        <w:t xml:space="preserve"> present</w:t>
      </w:r>
      <w:r w:rsidR="00865E4A" w:rsidRPr="00FE7BA7">
        <w:rPr>
          <w:rFonts w:ascii="Verdana" w:hAnsi="Verdana"/>
          <w:sz w:val="20"/>
          <w:szCs w:val="20"/>
          <w:lang w:val="en-US"/>
        </w:rPr>
        <w:t xml:space="preserve">ed by </w:t>
      </w:r>
      <w:r w:rsidR="002B5CCD" w:rsidRPr="00FE7BA7">
        <w:rPr>
          <w:rFonts w:ascii="Verdana" w:hAnsi="Verdana"/>
          <w:sz w:val="20"/>
          <w:szCs w:val="20"/>
          <w:lang w:val="en-US"/>
        </w:rPr>
        <w:t>the State</w:t>
      </w:r>
      <w:r w:rsidRPr="00FE7BA7">
        <w:rPr>
          <w:rFonts w:ascii="Verdana" w:hAnsi="Verdana"/>
          <w:sz w:val="20"/>
          <w:szCs w:val="20"/>
          <w:lang w:val="en-US"/>
        </w:rPr>
        <w:t xml:space="preserve">, </w:t>
      </w:r>
      <w:r w:rsidR="00865E4A" w:rsidRPr="00FE7BA7">
        <w:rPr>
          <w:rFonts w:ascii="Verdana" w:hAnsi="Verdana"/>
          <w:sz w:val="20"/>
          <w:szCs w:val="20"/>
          <w:lang w:val="en-US"/>
        </w:rPr>
        <w:t xml:space="preserve">which consisted in photographs of the registration of titles </w:t>
      </w:r>
      <w:r w:rsidR="00320486">
        <w:rPr>
          <w:rFonts w:ascii="Verdana" w:hAnsi="Verdana"/>
          <w:sz w:val="20"/>
          <w:szCs w:val="20"/>
          <w:lang w:val="en-US"/>
        </w:rPr>
        <w:t>in</w:t>
      </w:r>
      <w:r w:rsidR="00865E4A" w:rsidRPr="00FE7BA7">
        <w:rPr>
          <w:rFonts w:ascii="Verdana" w:hAnsi="Verdana"/>
          <w:sz w:val="20"/>
          <w:szCs w:val="20"/>
          <w:lang w:val="en-US"/>
        </w:rPr>
        <w:t xml:space="preserve"> the Domain Office in </w:t>
      </w:r>
      <w:r w:rsidR="002B5CCD" w:rsidRPr="00FE7BA7">
        <w:rPr>
          <w:rFonts w:ascii="Verdana" w:hAnsi="Verdana"/>
          <w:sz w:val="20"/>
          <w:szCs w:val="20"/>
          <w:lang w:val="en-US"/>
        </w:rPr>
        <w:t>Suriname</w:t>
      </w:r>
      <w:r w:rsidR="00865E4A" w:rsidRPr="00FE7BA7">
        <w:rPr>
          <w:rFonts w:ascii="Verdana" w:hAnsi="Verdana"/>
          <w:sz w:val="20"/>
          <w:szCs w:val="20"/>
          <w:lang w:val="en-US"/>
        </w:rPr>
        <w:t>,</w:t>
      </w:r>
      <w:r w:rsidR="002B5CCD" w:rsidRPr="00FE7BA7">
        <w:rPr>
          <w:rFonts w:ascii="Verdana" w:hAnsi="Verdana"/>
          <w:sz w:val="20"/>
          <w:szCs w:val="20"/>
          <w:lang w:val="en-US"/>
        </w:rPr>
        <w:t xml:space="preserve"> </w:t>
      </w:r>
      <w:r w:rsidR="00865E4A" w:rsidRPr="00FE7BA7">
        <w:rPr>
          <w:rFonts w:ascii="Verdana" w:hAnsi="Verdana"/>
          <w:sz w:val="20"/>
          <w:szCs w:val="20"/>
          <w:lang w:val="en-US"/>
        </w:rPr>
        <w:t xml:space="preserve">because </w:t>
      </w:r>
      <w:r w:rsidR="00320486">
        <w:rPr>
          <w:rFonts w:ascii="Verdana" w:hAnsi="Verdana"/>
          <w:sz w:val="20"/>
          <w:szCs w:val="20"/>
          <w:lang w:val="en-US"/>
        </w:rPr>
        <w:t xml:space="preserve">parts of them </w:t>
      </w:r>
      <w:r w:rsidR="00865E4A" w:rsidRPr="00FE7BA7">
        <w:rPr>
          <w:rFonts w:ascii="Verdana" w:hAnsi="Verdana"/>
          <w:sz w:val="20"/>
          <w:szCs w:val="20"/>
          <w:lang w:val="en-US"/>
        </w:rPr>
        <w:t xml:space="preserve">were </w:t>
      </w:r>
      <w:r w:rsidR="00865E4A" w:rsidRPr="00320486">
        <w:rPr>
          <w:rFonts w:ascii="Verdana" w:hAnsi="Verdana"/>
          <w:sz w:val="20"/>
          <w:szCs w:val="20"/>
          <w:lang w:val="en-US"/>
        </w:rPr>
        <w:t>illegible</w:t>
      </w:r>
      <w:r w:rsidR="00320486">
        <w:rPr>
          <w:rFonts w:ascii="Verdana" w:hAnsi="Verdana"/>
          <w:sz w:val="20"/>
          <w:szCs w:val="20"/>
          <w:lang w:val="en-US"/>
        </w:rPr>
        <w:t xml:space="preserve"> and because they had been </w:t>
      </w:r>
      <w:r w:rsidR="008D4788">
        <w:rPr>
          <w:rFonts w:ascii="Verdana" w:hAnsi="Verdana"/>
          <w:sz w:val="20"/>
          <w:szCs w:val="20"/>
          <w:lang w:val="en-US"/>
        </w:rPr>
        <w:t>submitted</w:t>
      </w:r>
      <w:r w:rsidR="00865E4A" w:rsidRPr="00FE7BA7">
        <w:rPr>
          <w:rFonts w:ascii="Verdana" w:hAnsi="Verdana"/>
          <w:sz w:val="20"/>
          <w:szCs w:val="20"/>
          <w:lang w:val="en-US"/>
        </w:rPr>
        <w:t xml:space="preserve"> in Dutch.</w:t>
      </w:r>
      <w:r w:rsidR="00A05CA0" w:rsidRPr="00FE7BA7">
        <w:rPr>
          <w:rFonts w:ascii="Verdana" w:hAnsi="Verdana"/>
          <w:b/>
          <w:sz w:val="20"/>
          <w:szCs w:val="20"/>
          <w:lang w:val="en-US"/>
        </w:rPr>
        <w:t xml:space="preserve"> </w:t>
      </w:r>
      <w:r w:rsidR="00320486">
        <w:rPr>
          <w:rFonts w:ascii="Verdana" w:hAnsi="Verdana"/>
          <w:sz w:val="20"/>
          <w:szCs w:val="20"/>
          <w:lang w:val="en-US"/>
        </w:rPr>
        <w:t>Meanwhile</w:t>
      </w:r>
      <w:r w:rsidR="00865E4A" w:rsidRPr="00FE7BA7">
        <w:rPr>
          <w:rFonts w:ascii="Verdana" w:hAnsi="Verdana"/>
          <w:sz w:val="20"/>
          <w:szCs w:val="20"/>
          <w:lang w:val="en-US"/>
        </w:rPr>
        <w:t xml:space="preserve">, the State indicated that the map provided by the representatives that relates to the Maroon population in the territories claimed by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A05CA0" w:rsidRPr="00FE7BA7">
        <w:rPr>
          <w:rFonts w:ascii="Verdana" w:hAnsi="Verdana"/>
          <w:sz w:val="20"/>
          <w:szCs w:val="20"/>
          <w:lang w:val="en-US"/>
        </w:rPr>
        <w:t xml:space="preserve"> </w:t>
      </w:r>
      <w:r w:rsidR="00320486">
        <w:rPr>
          <w:rFonts w:ascii="Verdana" w:hAnsi="Verdana"/>
          <w:sz w:val="20"/>
          <w:szCs w:val="20"/>
          <w:lang w:val="en-US"/>
        </w:rPr>
        <w:t>had been</w:t>
      </w:r>
      <w:r w:rsidR="00865E4A" w:rsidRPr="00FE7BA7">
        <w:rPr>
          <w:rFonts w:ascii="Verdana" w:hAnsi="Verdana"/>
          <w:sz w:val="20"/>
          <w:szCs w:val="20"/>
          <w:lang w:val="en-US"/>
        </w:rPr>
        <w:t xml:space="preserve"> drawn up unilaterally, and therefore did not </w:t>
      </w:r>
      <w:r w:rsidR="00320486">
        <w:rPr>
          <w:rFonts w:ascii="Verdana" w:hAnsi="Verdana"/>
          <w:sz w:val="20"/>
          <w:szCs w:val="20"/>
          <w:lang w:val="en-US"/>
        </w:rPr>
        <w:t>“provide a correct depiction of the truth.”</w:t>
      </w:r>
      <w:r w:rsidR="00865E4A" w:rsidRPr="00FE7BA7">
        <w:rPr>
          <w:rFonts w:ascii="Verdana" w:hAnsi="Verdana"/>
          <w:sz w:val="20"/>
          <w:szCs w:val="20"/>
          <w:lang w:val="en-US"/>
        </w:rPr>
        <w:t xml:space="preserve"> </w:t>
      </w:r>
      <w:r w:rsidR="00320486">
        <w:rPr>
          <w:rFonts w:ascii="Verdana" w:hAnsi="Verdana"/>
          <w:sz w:val="20"/>
          <w:szCs w:val="20"/>
          <w:lang w:val="en-US"/>
        </w:rPr>
        <w:t>In addition</w:t>
      </w:r>
      <w:r w:rsidR="00865E4A" w:rsidRPr="00FE7BA7">
        <w:rPr>
          <w:rFonts w:ascii="Verdana" w:hAnsi="Verdana"/>
          <w:sz w:val="20"/>
          <w:szCs w:val="20"/>
          <w:lang w:val="en-US"/>
        </w:rPr>
        <w:t>, the State contested the map provided by the representatives during the hearing</w:t>
      </w:r>
      <w:r w:rsidR="00320486">
        <w:rPr>
          <w:rFonts w:ascii="Verdana" w:hAnsi="Verdana"/>
          <w:sz w:val="20"/>
          <w:szCs w:val="20"/>
          <w:lang w:val="en-US"/>
        </w:rPr>
        <w:t xml:space="preserve"> establishing</w:t>
      </w:r>
      <w:r w:rsidR="00865E4A" w:rsidRPr="00FE7BA7">
        <w:rPr>
          <w:rFonts w:ascii="Verdana" w:hAnsi="Verdana"/>
          <w:sz w:val="20"/>
          <w:szCs w:val="20"/>
          <w:lang w:val="en-US"/>
        </w:rPr>
        <w:t xml:space="preserve"> the territory claimed by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5342D3" w:rsidRPr="00FE7BA7">
        <w:rPr>
          <w:rFonts w:ascii="Verdana" w:hAnsi="Verdana"/>
          <w:sz w:val="20"/>
          <w:szCs w:val="20"/>
          <w:lang w:val="en-US"/>
        </w:rPr>
        <w:t xml:space="preserve">, </w:t>
      </w:r>
      <w:r w:rsidR="00865E4A" w:rsidRPr="00FE7BA7">
        <w:rPr>
          <w:rFonts w:ascii="Verdana" w:hAnsi="Verdana"/>
          <w:sz w:val="20"/>
          <w:szCs w:val="20"/>
          <w:lang w:val="en-US"/>
        </w:rPr>
        <w:t>because the information it contained was incorrect</w:t>
      </w:r>
      <w:r w:rsidR="00C32CAF" w:rsidRPr="00FE7BA7">
        <w:rPr>
          <w:rFonts w:ascii="Verdana" w:hAnsi="Verdana"/>
          <w:sz w:val="20"/>
          <w:szCs w:val="20"/>
          <w:lang w:val="en-US"/>
        </w:rPr>
        <w:t>.</w:t>
      </w:r>
      <w:r w:rsidR="005342D3" w:rsidRPr="00FE7BA7">
        <w:rPr>
          <w:rFonts w:ascii="Verdana" w:hAnsi="Verdana"/>
          <w:sz w:val="20"/>
          <w:szCs w:val="20"/>
          <w:lang w:val="en-US"/>
        </w:rPr>
        <w:t xml:space="preserve"> </w:t>
      </w:r>
      <w:r w:rsidR="002B5CCD" w:rsidRPr="00FE7BA7">
        <w:rPr>
          <w:rFonts w:ascii="Verdana" w:hAnsi="Verdana"/>
          <w:sz w:val="20"/>
          <w:szCs w:val="20"/>
          <w:lang w:val="en-US"/>
        </w:rPr>
        <w:t>The Court</w:t>
      </w:r>
      <w:r w:rsidRPr="00FE7BA7">
        <w:rPr>
          <w:rFonts w:ascii="Verdana" w:hAnsi="Verdana"/>
          <w:sz w:val="20"/>
          <w:szCs w:val="20"/>
          <w:lang w:val="en-US"/>
        </w:rPr>
        <w:t xml:space="preserve"> decide</w:t>
      </w:r>
      <w:r w:rsidR="00865E4A" w:rsidRPr="00FE7BA7">
        <w:rPr>
          <w:rFonts w:ascii="Verdana" w:hAnsi="Verdana"/>
          <w:sz w:val="20"/>
          <w:szCs w:val="20"/>
          <w:lang w:val="en-US"/>
        </w:rPr>
        <w:t xml:space="preserve">s to admit these documents, taking into consideration the elements in them that have been contested </w:t>
      </w:r>
      <w:r w:rsidR="007829DF" w:rsidRPr="00FE7BA7">
        <w:rPr>
          <w:rFonts w:ascii="Verdana" w:hAnsi="Verdana"/>
          <w:sz w:val="20"/>
          <w:szCs w:val="20"/>
          <w:lang w:val="en-US"/>
        </w:rPr>
        <w:t>(</w:t>
      </w:r>
      <w:r w:rsidR="007829DF" w:rsidRPr="00FE7BA7">
        <w:rPr>
          <w:rFonts w:ascii="Verdana" w:hAnsi="Verdana"/>
          <w:i/>
          <w:sz w:val="20"/>
          <w:szCs w:val="20"/>
          <w:lang w:val="en-US"/>
        </w:rPr>
        <w:t xml:space="preserve">infra </w:t>
      </w:r>
      <w:r w:rsidR="00810FAD" w:rsidRPr="00FE7BA7">
        <w:rPr>
          <w:rFonts w:ascii="Verdana" w:hAnsi="Verdana"/>
          <w:sz w:val="20"/>
          <w:szCs w:val="20"/>
          <w:lang w:val="en-US"/>
        </w:rPr>
        <w:t>para.</w:t>
      </w:r>
      <w:r w:rsidR="006E00F8" w:rsidRPr="00FE7BA7">
        <w:rPr>
          <w:rFonts w:ascii="Verdana" w:hAnsi="Verdana"/>
          <w:sz w:val="20"/>
          <w:szCs w:val="20"/>
          <w:lang w:val="en-US"/>
        </w:rPr>
        <w:t xml:space="preserve"> 27</w:t>
      </w:r>
      <w:r w:rsidR="007829DF" w:rsidRPr="00FE7BA7">
        <w:rPr>
          <w:rFonts w:ascii="Verdana" w:hAnsi="Verdana"/>
          <w:sz w:val="20"/>
          <w:szCs w:val="20"/>
          <w:lang w:val="en-US"/>
        </w:rPr>
        <w:t>)</w:t>
      </w:r>
      <w:r w:rsidR="00A05CA0" w:rsidRPr="00FE7BA7">
        <w:rPr>
          <w:rFonts w:ascii="Verdana" w:hAnsi="Verdana"/>
          <w:sz w:val="20"/>
          <w:szCs w:val="20"/>
          <w:lang w:val="en-US"/>
        </w:rPr>
        <w:t>.</w:t>
      </w:r>
      <w:r w:rsidR="002F315E" w:rsidRPr="00FE7BA7">
        <w:rPr>
          <w:rFonts w:ascii="Verdana" w:hAnsi="Verdana"/>
          <w:sz w:val="20"/>
          <w:szCs w:val="20"/>
          <w:lang w:val="en-US"/>
        </w:rPr>
        <w:t xml:space="preserve"> </w:t>
      </w:r>
      <w:r w:rsidR="00865E4A" w:rsidRPr="00FE7BA7">
        <w:rPr>
          <w:rFonts w:ascii="Verdana" w:hAnsi="Verdana"/>
          <w:sz w:val="20"/>
          <w:szCs w:val="20"/>
          <w:lang w:val="en-US"/>
        </w:rPr>
        <w:t xml:space="preserve">None of the statements and affidavits submitted in this case </w:t>
      </w:r>
      <w:proofErr w:type="gramStart"/>
      <w:r w:rsidR="00865E4A" w:rsidRPr="00FE7BA7">
        <w:rPr>
          <w:rFonts w:ascii="Verdana" w:hAnsi="Verdana"/>
          <w:sz w:val="20"/>
          <w:szCs w:val="20"/>
          <w:lang w:val="en-US"/>
        </w:rPr>
        <w:t>were</w:t>
      </w:r>
      <w:proofErr w:type="gramEnd"/>
      <w:r w:rsidR="00865E4A" w:rsidRPr="00FE7BA7">
        <w:rPr>
          <w:rFonts w:ascii="Verdana" w:hAnsi="Verdana"/>
          <w:sz w:val="20"/>
          <w:szCs w:val="20"/>
          <w:lang w:val="en-US"/>
        </w:rPr>
        <w:t xml:space="preserve"> contested by the parties.</w:t>
      </w:r>
    </w:p>
    <w:p w14:paraId="63126855" w14:textId="77777777" w:rsidR="00E4033A" w:rsidRDefault="00E4033A" w:rsidP="00E4033A">
      <w:pPr>
        <w:jc w:val="both"/>
        <w:rPr>
          <w:rFonts w:ascii="Verdana" w:hAnsi="Verdana"/>
          <w:sz w:val="20"/>
          <w:szCs w:val="20"/>
          <w:u w:val="single"/>
          <w:lang w:val="en-US"/>
        </w:rPr>
      </w:pPr>
    </w:p>
    <w:p w14:paraId="3147FC41" w14:textId="77777777" w:rsidR="00957C13" w:rsidRPr="00FE7BA7" w:rsidRDefault="00957C13" w:rsidP="00E4033A">
      <w:pPr>
        <w:jc w:val="both"/>
        <w:rPr>
          <w:rFonts w:ascii="Verdana" w:hAnsi="Verdana"/>
          <w:sz w:val="20"/>
          <w:szCs w:val="20"/>
          <w:u w:val="single"/>
          <w:lang w:val="en-US"/>
        </w:rPr>
      </w:pPr>
    </w:p>
    <w:p w14:paraId="63126856" w14:textId="77777777" w:rsidR="00E4033A" w:rsidRPr="00FE7BA7" w:rsidRDefault="00E4033A" w:rsidP="00E4033A">
      <w:pPr>
        <w:pStyle w:val="Heading3"/>
        <w:spacing w:before="0"/>
        <w:ind w:firstLine="360"/>
        <w:jc w:val="both"/>
        <w:rPr>
          <w:rFonts w:ascii="Verdana" w:hAnsi="Verdana"/>
          <w:i/>
          <w:color w:val="auto"/>
          <w:sz w:val="20"/>
          <w:szCs w:val="20"/>
          <w:lang w:val="en-US"/>
        </w:rPr>
      </w:pPr>
      <w:bookmarkStart w:id="9" w:name="_Toc441673183"/>
      <w:r w:rsidRPr="00FE7BA7">
        <w:rPr>
          <w:rFonts w:ascii="Verdana" w:hAnsi="Verdana"/>
          <w:i/>
          <w:color w:val="auto"/>
          <w:sz w:val="20"/>
          <w:szCs w:val="20"/>
          <w:lang w:val="en-US"/>
        </w:rPr>
        <w:lastRenderedPageBreak/>
        <w:t xml:space="preserve">B.2 </w:t>
      </w:r>
      <w:r w:rsidR="008F798A" w:rsidRPr="00FE7BA7">
        <w:rPr>
          <w:rFonts w:ascii="Verdana" w:hAnsi="Verdana"/>
          <w:i/>
          <w:color w:val="auto"/>
          <w:sz w:val="20"/>
          <w:szCs w:val="20"/>
          <w:lang w:val="en-US"/>
        </w:rPr>
        <w:t xml:space="preserve">Admission of </w:t>
      </w:r>
      <w:r w:rsidR="00074D3A" w:rsidRPr="00FE7BA7">
        <w:rPr>
          <w:rFonts w:ascii="Verdana" w:hAnsi="Verdana"/>
          <w:i/>
          <w:color w:val="auto"/>
          <w:sz w:val="20"/>
          <w:szCs w:val="20"/>
          <w:lang w:val="en-US"/>
        </w:rPr>
        <w:t>the testimonial and expert evidence</w:t>
      </w:r>
      <w:bookmarkEnd w:id="9"/>
    </w:p>
    <w:p w14:paraId="63126857" w14:textId="77777777" w:rsidR="00E4033A" w:rsidRPr="00FE7BA7" w:rsidRDefault="00E4033A" w:rsidP="00E4033A">
      <w:pPr>
        <w:jc w:val="both"/>
        <w:rPr>
          <w:rFonts w:ascii="Verdana" w:hAnsi="Verdana"/>
          <w:sz w:val="20"/>
          <w:szCs w:val="20"/>
          <w:lang w:val="en-US"/>
        </w:rPr>
      </w:pPr>
    </w:p>
    <w:p w14:paraId="63126858" w14:textId="77777777" w:rsidR="00E4033A" w:rsidRPr="00FE7BA7" w:rsidRDefault="002B5CCD" w:rsidP="00E4033A">
      <w:pPr>
        <w:pStyle w:val="ListParagraph"/>
        <w:numPr>
          <w:ilvl w:val="0"/>
          <w:numId w:val="2"/>
        </w:numPr>
        <w:ind w:left="0" w:hanging="11"/>
        <w:jc w:val="both"/>
        <w:rPr>
          <w:rFonts w:ascii="Verdana" w:hAnsi="Verdana"/>
          <w:sz w:val="20"/>
          <w:szCs w:val="20"/>
          <w:lang w:val="en-US"/>
        </w:rPr>
      </w:pPr>
      <w:r w:rsidRPr="00FE7BA7">
        <w:rPr>
          <w:rFonts w:ascii="Verdana" w:eastAsia="Times New Roman" w:hAnsi="Verdana"/>
          <w:sz w:val="20"/>
          <w:szCs w:val="20"/>
          <w:lang w:val="en-US"/>
        </w:rPr>
        <w:t>The Court</w:t>
      </w:r>
      <w:r w:rsidR="00E4033A" w:rsidRPr="00FE7BA7">
        <w:rPr>
          <w:rFonts w:ascii="Verdana" w:eastAsia="Times New Roman" w:hAnsi="Verdana"/>
          <w:sz w:val="20"/>
          <w:szCs w:val="20"/>
          <w:lang w:val="en-US"/>
        </w:rPr>
        <w:t xml:space="preserve"> </w:t>
      </w:r>
      <w:r w:rsidR="00865E4A" w:rsidRPr="00FE7BA7">
        <w:rPr>
          <w:rFonts w:ascii="Verdana" w:eastAsia="Times New Roman" w:hAnsi="Verdana"/>
          <w:sz w:val="20"/>
          <w:szCs w:val="20"/>
          <w:lang w:val="en-US"/>
        </w:rPr>
        <w:t xml:space="preserve">finds it pertinent to admit the testimony provided during </w:t>
      </w:r>
      <w:r w:rsidR="00810FAD" w:rsidRPr="00FE7BA7">
        <w:rPr>
          <w:rFonts w:ascii="Verdana" w:hAnsi="Verdana"/>
          <w:sz w:val="20"/>
          <w:szCs w:val="20"/>
          <w:lang w:val="en-US"/>
        </w:rPr>
        <w:t>the public hearing</w:t>
      </w:r>
      <w:r w:rsidR="00865E4A" w:rsidRPr="00FE7BA7">
        <w:rPr>
          <w:rFonts w:ascii="Verdana" w:hAnsi="Verdana"/>
          <w:sz w:val="20"/>
          <w:szCs w:val="20"/>
          <w:lang w:val="en-US"/>
        </w:rPr>
        <w:t xml:space="preserve"> and</w:t>
      </w:r>
      <w:r w:rsidR="00E4033A" w:rsidRPr="00FE7BA7">
        <w:rPr>
          <w:rFonts w:ascii="Verdana" w:hAnsi="Verdana"/>
          <w:sz w:val="20"/>
          <w:szCs w:val="20"/>
          <w:lang w:val="en-US"/>
        </w:rPr>
        <w:t xml:space="preserve"> </w:t>
      </w:r>
      <w:r w:rsidR="00865E4A" w:rsidRPr="00FE7BA7">
        <w:rPr>
          <w:rFonts w:ascii="Verdana" w:hAnsi="Verdana"/>
          <w:sz w:val="20"/>
          <w:szCs w:val="20"/>
          <w:lang w:val="en-US"/>
        </w:rPr>
        <w:t xml:space="preserve">by affidavit, as well as the statements offered and received as a result of the on-site procedure in the alleged territories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E4033A" w:rsidRPr="00FE7BA7">
        <w:rPr>
          <w:rFonts w:ascii="Verdana" w:hAnsi="Verdana"/>
          <w:sz w:val="20"/>
          <w:szCs w:val="20"/>
          <w:lang w:val="en-US"/>
        </w:rPr>
        <w:t xml:space="preserve">, </w:t>
      </w:r>
      <w:r w:rsidR="00865E4A" w:rsidRPr="00FE7BA7">
        <w:rPr>
          <w:rFonts w:ascii="Verdana" w:hAnsi="Verdana"/>
          <w:sz w:val="20"/>
          <w:szCs w:val="20"/>
          <w:lang w:val="en-US"/>
        </w:rPr>
        <w:t xml:space="preserve">insofar as they are in keeping with the purpose defined by the President in the order requiring them, </w:t>
      </w:r>
      <w:r w:rsidR="00320486">
        <w:rPr>
          <w:rFonts w:ascii="Verdana" w:hAnsi="Verdana"/>
          <w:sz w:val="20"/>
          <w:szCs w:val="20"/>
          <w:lang w:val="en-US"/>
        </w:rPr>
        <w:t xml:space="preserve">as well as </w:t>
      </w:r>
      <w:r w:rsidR="00865E4A" w:rsidRPr="00FE7BA7">
        <w:rPr>
          <w:rFonts w:ascii="Verdana" w:hAnsi="Verdana"/>
          <w:sz w:val="20"/>
          <w:szCs w:val="20"/>
          <w:lang w:val="en-US"/>
        </w:rPr>
        <w:t>the purpose of this case</w:t>
      </w:r>
      <w:r w:rsidRPr="00FE7BA7">
        <w:rPr>
          <w:rFonts w:ascii="Verdana" w:eastAsia="Times New Roman" w:hAnsi="Verdana"/>
          <w:sz w:val="20"/>
          <w:szCs w:val="20"/>
          <w:lang w:val="en-US"/>
        </w:rPr>
        <w:t xml:space="preserve"> and</w:t>
      </w:r>
      <w:r w:rsidR="008F798A" w:rsidRPr="00FE7BA7">
        <w:rPr>
          <w:rFonts w:ascii="Verdana" w:eastAsia="Times New Roman" w:hAnsi="Verdana"/>
          <w:sz w:val="20"/>
          <w:szCs w:val="20"/>
          <w:lang w:val="en-US"/>
        </w:rPr>
        <w:t xml:space="preserve"> the </w:t>
      </w:r>
      <w:r w:rsidR="00D16DA7" w:rsidRPr="00FE7BA7">
        <w:rPr>
          <w:rFonts w:ascii="Verdana" w:eastAsia="Times New Roman" w:hAnsi="Verdana"/>
          <w:sz w:val="20"/>
          <w:szCs w:val="20"/>
          <w:lang w:val="en-US"/>
        </w:rPr>
        <w:t>visit</w:t>
      </w:r>
      <w:r w:rsidR="00E4033A" w:rsidRPr="00FE7BA7">
        <w:rPr>
          <w:rFonts w:ascii="Verdana" w:eastAsia="Times New Roman" w:hAnsi="Verdana"/>
          <w:sz w:val="20"/>
          <w:szCs w:val="20"/>
          <w:lang w:val="en-US"/>
        </w:rPr>
        <w:t xml:space="preserve"> </w:t>
      </w:r>
      <w:r w:rsidR="00865E4A" w:rsidRPr="00FE7BA7">
        <w:rPr>
          <w:rFonts w:ascii="Verdana" w:eastAsia="Times New Roman" w:hAnsi="Verdana"/>
          <w:sz w:val="20"/>
          <w:szCs w:val="20"/>
          <w:lang w:val="en-US"/>
        </w:rPr>
        <w:t>that was made</w:t>
      </w:r>
      <w:r w:rsidR="006E00F8" w:rsidRPr="00FE7BA7">
        <w:rPr>
          <w:rFonts w:ascii="Verdana" w:eastAsia="Times New Roman" w:hAnsi="Verdana"/>
          <w:sz w:val="20"/>
          <w:szCs w:val="20"/>
          <w:lang w:val="en-US"/>
        </w:rPr>
        <w:t xml:space="preserve"> (</w:t>
      </w:r>
      <w:r w:rsidR="006E00F8" w:rsidRPr="00FE7BA7">
        <w:rPr>
          <w:rFonts w:ascii="Verdana" w:eastAsia="Times New Roman" w:hAnsi="Verdana"/>
          <w:i/>
          <w:sz w:val="20"/>
          <w:szCs w:val="20"/>
          <w:lang w:val="en-US"/>
        </w:rPr>
        <w:t>supra</w:t>
      </w:r>
      <w:r w:rsidR="006E00F8" w:rsidRPr="00FE7BA7">
        <w:rPr>
          <w:rFonts w:ascii="Verdana" w:eastAsia="Times New Roman" w:hAnsi="Verdana"/>
          <w:sz w:val="20"/>
          <w:szCs w:val="20"/>
          <w:lang w:val="en-US"/>
        </w:rPr>
        <w:t xml:space="preserve"> </w:t>
      </w:r>
      <w:r w:rsidR="008F798A" w:rsidRPr="00FE7BA7">
        <w:rPr>
          <w:rFonts w:ascii="Verdana" w:eastAsia="Times New Roman" w:hAnsi="Verdana"/>
          <w:sz w:val="20"/>
          <w:szCs w:val="20"/>
          <w:lang w:val="en-US"/>
        </w:rPr>
        <w:t>paras.</w:t>
      </w:r>
      <w:r w:rsidR="006E00F8" w:rsidRPr="00FE7BA7">
        <w:rPr>
          <w:rFonts w:ascii="Verdana" w:eastAsia="Times New Roman" w:hAnsi="Verdana"/>
          <w:sz w:val="20"/>
          <w:szCs w:val="20"/>
          <w:lang w:val="en-US"/>
        </w:rPr>
        <w:t xml:space="preserve"> 14</w:t>
      </w:r>
      <w:r w:rsidRPr="00FE7BA7">
        <w:rPr>
          <w:rFonts w:ascii="Verdana" w:eastAsia="Times New Roman" w:hAnsi="Verdana"/>
          <w:sz w:val="20"/>
          <w:szCs w:val="20"/>
          <w:lang w:val="en-US"/>
        </w:rPr>
        <w:t xml:space="preserve"> and </w:t>
      </w:r>
      <w:r w:rsidR="006E00F8" w:rsidRPr="00FE7BA7">
        <w:rPr>
          <w:rFonts w:ascii="Verdana" w:eastAsia="Times New Roman" w:hAnsi="Verdana"/>
          <w:sz w:val="20"/>
          <w:szCs w:val="20"/>
          <w:lang w:val="en-US"/>
        </w:rPr>
        <w:t>20).</w:t>
      </w:r>
    </w:p>
    <w:p w14:paraId="63126859" w14:textId="77777777" w:rsidR="00E4033A" w:rsidRPr="00FE7BA7" w:rsidRDefault="00E4033A" w:rsidP="00E4033A">
      <w:pPr>
        <w:jc w:val="both"/>
        <w:rPr>
          <w:rFonts w:ascii="Verdana" w:hAnsi="Verdana"/>
          <w:sz w:val="20"/>
          <w:szCs w:val="20"/>
          <w:lang w:val="en-US"/>
        </w:rPr>
      </w:pPr>
    </w:p>
    <w:p w14:paraId="6312685A" w14:textId="77777777" w:rsidR="00E4033A" w:rsidRPr="00FE7BA7" w:rsidRDefault="00865E4A" w:rsidP="00E4033A">
      <w:pPr>
        <w:pStyle w:val="Heading2"/>
        <w:numPr>
          <w:ilvl w:val="0"/>
          <w:numId w:val="1"/>
        </w:numPr>
        <w:spacing w:before="0"/>
        <w:rPr>
          <w:rFonts w:ascii="Verdana" w:hAnsi="Verdana"/>
          <w:i/>
          <w:color w:val="auto"/>
          <w:sz w:val="20"/>
          <w:szCs w:val="20"/>
          <w:lang w:val="en-US"/>
        </w:rPr>
      </w:pPr>
      <w:bookmarkStart w:id="10" w:name="_Toc441673184"/>
      <w:r w:rsidRPr="00FE7BA7">
        <w:rPr>
          <w:rFonts w:ascii="Verdana" w:hAnsi="Verdana"/>
          <w:i/>
          <w:color w:val="auto"/>
          <w:sz w:val="20"/>
          <w:szCs w:val="20"/>
          <w:lang w:val="en-US"/>
        </w:rPr>
        <w:t>Assessment of the evidence</w:t>
      </w:r>
      <w:bookmarkEnd w:id="10"/>
    </w:p>
    <w:p w14:paraId="6312685B" w14:textId="77777777" w:rsidR="00E4033A" w:rsidRPr="00FE7BA7" w:rsidRDefault="00E4033A" w:rsidP="00E4033A">
      <w:pPr>
        <w:pStyle w:val="ListParagraph"/>
        <w:rPr>
          <w:rFonts w:ascii="Verdana" w:hAnsi="Verdana"/>
          <w:sz w:val="20"/>
          <w:szCs w:val="20"/>
          <w:lang w:val="en-US"/>
        </w:rPr>
      </w:pPr>
    </w:p>
    <w:p w14:paraId="6312685C" w14:textId="29BC3D68" w:rsidR="00E4033A" w:rsidRPr="00FE7BA7" w:rsidRDefault="00865E4A" w:rsidP="00E4033A">
      <w:pPr>
        <w:pStyle w:val="ListParagraph"/>
        <w:numPr>
          <w:ilvl w:val="0"/>
          <w:numId w:val="2"/>
        </w:numPr>
        <w:ind w:left="0" w:hanging="11"/>
        <w:jc w:val="both"/>
        <w:rPr>
          <w:rFonts w:ascii="Verdana" w:eastAsia="Times New Roman" w:hAnsi="Verdana"/>
          <w:sz w:val="20"/>
          <w:szCs w:val="20"/>
          <w:lang w:val="en-US"/>
        </w:rPr>
      </w:pPr>
      <w:r w:rsidRPr="00FE7BA7">
        <w:rPr>
          <w:rFonts w:ascii="Verdana" w:eastAsia="Times New Roman" w:hAnsi="Verdana"/>
          <w:sz w:val="20"/>
          <w:szCs w:val="20"/>
          <w:lang w:val="en-US"/>
        </w:rPr>
        <w:t>Based on its consistent case law concerning evidence and its assessment,</w:t>
      </w:r>
      <w:r w:rsidR="00E4033A" w:rsidRPr="00FE7BA7">
        <w:rPr>
          <w:rFonts w:ascii="Verdana" w:eastAsia="Times New Roman" w:hAnsi="Verdana"/>
          <w:sz w:val="20"/>
          <w:szCs w:val="20"/>
          <w:vertAlign w:val="superscript"/>
          <w:lang w:val="en-US"/>
        </w:rPr>
        <w:footnoteReference w:id="25"/>
      </w:r>
      <w:r w:rsidR="00E4033A" w:rsidRPr="00FE7BA7">
        <w:rPr>
          <w:rFonts w:ascii="Verdana" w:eastAsia="Times New Roman" w:hAnsi="Verdana"/>
          <w:sz w:val="20"/>
          <w:szCs w:val="20"/>
          <w:lang w:val="en-US"/>
        </w:rPr>
        <w:t xml:space="preserve"> </w:t>
      </w:r>
      <w:r w:rsidR="002B5CCD" w:rsidRPr="00FE7BA7">
        <w:rPr>
          <w:rFonts w:ascii="Verdana" w:eastAsia="Times New Roman" w:hAnsi="Verdana"/>
          <w:sz w:val="20"/>
          <w:szCs w:val="20"/>
          <w:lang w:val="en-US"/>
        </w:rPr>
        <w:t>the Court</w:t>
      </w:r>
      <w:r w:rsidR="00E4033A" w:rsidRPr="00FE7BA7">
        <w:rPr>
          <w:rFonts w:ascii="Verdana" w:eastAsia="Times New Roman" w:hAnsi="Verdana"/>
          <w:sz w:val="20"/>
          <w:szCs w:val="20"/>
          <w:lang w:val="en-US"/>
        </w:rPr>
        <w:t xml:space="preserve"> </w:t>
      </w:r>
      <w:r w:rsidRPr="00FE7BA7">
        <w:rPr>
          <w:rFonts w:ascii="Verdana" w:eastAsia="Times New Roman" w:hAnsi="Verdana"/>
          <w:sz w:val="20"/>
          <w:szCs w:val="20"/>
          <w:lang w:val="en-US"/>
        </w:rPr>
        <w:t xml:space="preserve">will examine and assess the documentary probative elements </w:t>
      </w:r>
      <w:r w:rsidR="001030B1">
        <w:rPr>
          <w:rFonts w:ascii="Verdana" w:hAnsi="Verdana"/>
          <w:sz w:val="20"/>
          <w:szCs w:val="20"/>
          <w:lang w:val="en-US"/>
        </w:rPr>
        <w:t>submitted</w:t>
      </w:r>
      <w:r w:rsidR="001030B1" w:rsidRPr="00FE7BA7">
        <w:rPr>
          <w:rFonts w:ascii="Verdana" w:hAnsi="Verdana"/>
          <w:sz w:val="20"/>
          <w:szCs w:val="20"/>
          <w:lang w:val="en-US"/>
        </w:rPr>
        <w:t xml:space="preserve"> </w:t>
      </w:r>
      <w:r w:rsidRPr="00FE7BA7">
        <w:rPr>
          <w:rFonts w:ascii="Verdana" w:eastAsia="Times New Roman" w:hAnsi="Verdana"/>
          <w:sz w:val="20"/>
          <w:szCs w:val="20"/>
          <w:lang w:val="en-US"/>
        </w:rPr>
        <w:t xml:space="preserve">by the parties </w:t>
      </w:r>
      <w:r w:rsidR="002B5CCD" w:rsidRPr="00FE7BA7">
        <w:rPr>
          <w:rFonts w:ascii="Verdana" w:eastAsia="Times New Roman" w:hAnsi="Verdana"/>
          <w:sz w:val="20"/>
          <w:szCs w:val="20"/>
          <w:lang w:val="en-US"/>
        </w:rPr>
        <w:t>and the Commission</w:t>
      </w:r>
      <w:r w:rsidR="00E4033A" w:rsidRPr="00FE7BA7">
        <w:rPr>
          <w:rFonts w:ascii="Verdana" w:eastAsia="Times New Roman" w:hAnsi="Verdana"/>
          <w:sz w:val="20"/>
          <w:szCs w:val="20"/>
          <w:lang w:val="en-US"/>
        </w:rPr>
        <w:t xml:space="preserve">, </w:t>
      </w:r>
      <w:r w:rsidRPr="00FE7BA7">
        <w:rPr>
          <w:rFonts w:ascii="Verdana" w:eastAsia="Times New Roman" w:hAnsi="Verdana"/>
          <w:sz w:val="20"/>
          <w:szCs w:val="20"/>
          <w:lang w:val="en-US"/>
        </w:rPr>
        <w:t xml:space="preserve">the statements, testimony and expert opinions, and also the helpful evidence requested and incorporated by </w:t>
      </w:r>
      <w:r w:rsidR="00AB2117" w:rsidRPr="00FE7BA7">
        <w:rPr>
          <w:rFonts w:ascii="Verdana" w:eastAsia="Times New Roman" w:hAnsi="Verdana"/>
          <w:sz w:val="20"/>
          <w:szCs w:val="20"/>
          <w:lang w:val="en-US"/>
        </w:rPr>
        <w:t>this Court</w:t>
      </w:r>
      <w:r w:rsidR="00E4033A" w:rsidRPr="00FE7BA7">
        <w:rPr>
          <w:rFonts w:ascii="Verdana" w:eastAsia="Times New Roman" w:hAnsi="Verdana"/>
          <w:sz w:val="20"/>
          <w:szCs w:val="20"/>
          <w:lang w:val="en-US"/>
        </w:rPr>
        <w:t xml:space="preserve">, </w:t>
      </w:r>
      <w:r w:rsidRPr="00FE7BA7">
        <w:rPr>
          <w:rFonts w:ascii="Verdana" w:eastAsia="Times New Roman" w:hAnsi="Verdana"/>
          <w:sz w:val="20"/>
          <w:szCs w:val="20"/>
          <w:lang w:val="en-US"/>
        </w:rPr>
        <w:t>when establishing the facts of the case and ruling on the merits. To this end, it will abide by the principles of sound judicial discretion, within the corresponding legal framework, taking into account the body of evidence, and the arguments that have been submitted.</w:t>
      </w:r>
      <w:r w:rsidR="00E4033A" w:rsidRPr="00FE7BA7">
        <w:rPr>
          <w:rFonts w:ascii="Verdana" w:eastAsia="Times New Roman" w:hAnsi="Verdana"/>
          <w:sz w:val="20"/>
          <w:szCs w:val="20"/>
          <w:vertAlign w:val="superscript"/>
          <w:lang w:val="en-US"/>
        </w:rPr>
        <w:footnoteReference w:id="26"/>
      </w:r>
    </w:p>
    <w:p w14:paraId="6312685D" w14:textId="77777777" w:rsidR="00E4033A" w:rsidRPr="00FE7BA7" w:rsidRDefault="00E4033A" w:rsidP="00E4033A">
      <w:pPr>
        <w:jc w:val="both"/>
        <w:rPr>
          <w:rFonts w:ascii="Verdana" w:eastAsia="Times New Roman" w:hAnsi="Verdana"/>
          <w:sz w:val="20"/>
          <w:szCs w:val="20"/>
          <w:lang w:val="en-US"/>
        </w:rPr>
      </w:pPr>
    </w:p>
    <w:p w14:paraId="6312685E" w14:textId="358C769B" w:rsidR="00E4033A" w:rsidRPr="00FE7BA7" w:rsidRDefault="00865E4A" w:rsidP="00E4033A">
      <w:pPr>
        <w:pStyle w:val="ListParagraph"/>
        <w:numPr>
          <w:ilvl w:val="0"/>
          <w:numId w:val="2"/>
        </w:numPr>
        <w:ind w:left="0" w:hanging="11"/>
        <w:jc w:val="both"/>
        <w:rPr>
          <w:rFonts w:ascii="Verdana" w:eastAsia="Times New Roman" w:hAnsi="Verdana"/>
          <w:sz w:val="20"/>
          <w:szCs w:val="20"/>
          <w:lang w:val="en-US"/>
        </w:rPr>
      </w:pPr>
      <w:bookmarkStart w:id="11" w:name="_Ref402038884"/>
      <w:r w:rsidRPr="00FE7BA7">
        <w:rPr>
          <w:rFonts w:ascii="Verdana" w:eastAsia="Times New Roman" w:hAnsi="Verdana"/>
          <w:sz w:val="20"/>
          <w:szCs w:val="20"/>
          <w:lang w:val="en-US"/>
        </w:rPr>
        <w:t>Furthermore, pursu</w:t>
      </w:r>
      <w:r w:rsidR="00184E23">
        <w:rPr>
          <w:rFonts w:ascii="Verdana" w:eastAsia="Times New Roman" w:hAnsi="Verdana"/>
          <w:sz w:val="20"/>
          <w:szCs w:val="20"/>
          <w:lang w:val="en-US"/>
        </w:rPr>
        <w:t>ant to the</w:t>
      </w:r>
      <w:r w:rsidRPr="00FE7BA7">
        <w:rPr>
          <w:rFonts w:ascii="Verdana" w:eastAsia="Times New Roman" w:hAnsi="Verdana"/>
          <w:sz w:val="20"/>
          <w:szCs w:val="20"/>
          <w:lang w:val="en-US"/>
        </w:rPr>
        <w:t xml:space="preserve"> Court’s case law, the statements made by</w:t>
      </w:r>
      <w:r w:rsidR="00E4033A" w:rsidRPr="00FE7BA7">
        <w:rPr>
          <w:rFonts w:ascii="Verdana" w:eastAsia="Times New Roman" w:hAnsi="Verdana"/>
          <w:sz w:val="20"/>
          <w:szCs w:val="20"/>
          <w:lang w:val="en-US"/>
        </w:rPr>
        <w:t xml:space="preserve"> </w:t>
      </w:r>
      <w:r w:rsidR="00810FAD" w:rsidRPr="00FE7BA7">
        <w:rPr>
          <w:rFonts w:ascii="Verdana" w:eastAsia="Times New Roman" w:hAnsi="Verdana"/>
          <w:sz w:val="20"/>
          <w:szCs w:val="20"/>
          <w:lang w:val="en-US"/>
        </w:rPr>
        <w:t xml:space="preserve">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10FAD" w:rsidRPr="00FE7BA7">
        <w:rPr>
          <w:rFonts w:ascii="Verdana" w:eastAsia="Times New Roman" w:hAnsi="Verdana"/>
          <w:sz w:val="20"/>
          <w:szCs w:val="20"/>
          <w:lang w:val="en-US"/>
        </w:rPr>
        <w:t>victims</w:t>
      </w:r>
      <w:r w:rsidR="00E4033A" w:rsidRPr="00FE7BA7">
        <w:rPr>
          <w:rFonts w:ascii="Verdana" w:eastAsia="Times New Roman" w:hAnsi="Verdana"/>
          <w:sz w:val="20"/>
          <w:szCs w:val="20"/>
          <w:lang w:val="en-US"/>
        </w:rPr>
        <w:t xml:space="preserve"> </w:t>
      </w:r>
      <w:r w:rsidRPr="00FE7BA7">
        <w:rPr>
          <w:rFonts w:ascii="Verdana" w:eastAsia="Times New Roman" w:hAnsi="Verdana"/>
          <w:sz w:val="20"/>
          <w:szCs w:val="20"/>
          <w:lang w:val="en-US"/>
        </w:rPr>
        <w:t>cannot be assessed in isolation, but rathe</w:t>
      </w:r>
      <w:r w:rsidR="00184E23">
        <w:rPr>
          <w:rFonts w:ascii="Verdana" w:eastAsia="Times New Roman" w:hAnsi="Verdana"/>
          <w:sz w:val="20"/>
          <w:szCs w:val="20"/>
          <w:lang w:val="en-US"/>
        </w:rPr>
        <w:t>r within the body of evidence in</w:t>
      </w:r>
      <w:r w:rsidRPr="00FE7BA7">
        <w:rPr>
          <w:rFonts w:ascii="Verdana" w:eastAsia="Times New Roman" w:hAnsi="Verdana"/>
          <w:sz w:val="20"/>
          <w:szCs w:val="20"/>
          <w:lang w:val="en-US"/>
        </w:rPr>
        <w:t xml:space="preserve"> the proceedings, insofar as </w:t>
      </w:r>
      <w:r w:rsidR="00184E23">
        <w:rPr>
          <w:rFonts w:ascii="Verdana" w:eastAsia="Times New Roman" w:hAnsi="Verdana"/>
          <w:sz w:val="20"/>
          <w:szCs w:val="20"/>
          <w:lang w:val="en-US"/>
        </w:rPr>
        <w:t>such statements</w:t>
      </w:r>
      <w:r w:rsidRPr="00FE7BA7">
        <w:rPr>
          <w:rFonts w:ascii="Verdana" w:eastAsia="Times New Roman" w:hAnsi="Verdana"/>
          <w:sz w:val="20"/>
          <w:szCs w:val="20"/>
          <w:lang w:val="en-US"/>
        </w:rPr>
        <w:t xml:space="preserve"> may provide further information on the presumed violations and their consequences.</w:t>
      </w:r>
      <w:r w:rsidR="00E4033A" w:rsidRPr="00FE7BA7">
        <w:rPr>
          <w:rFonts w:ascii="Verdana" w:eastAsia="Times New Roman" w:hAnsi="Verdana"/>
          <w:sz w:val="20"/>
          <w:szCs w:val="20"/>
          <w:vertAlign w:val="superscript"/>
          <w:lang w:val="en-US"/>
        </w:rPr>
        <w:footnoteReference w:id="27"/>
      </w:r>
      <w:bookmarkEnd w:id="11"/>
    </w:p>
    <w:p w14:paraId="6312685F" w14:textId="77777777" w:rsidR="00B15FEF" w:rsidRPr="00FE7BA7" w:rsidRDefault="00B15FEF">
      <w:pPr>
        <w:pStyle w:val="ListParagraph"/>
        <w:ind w:left="0"/>
        <w:jc w:val="both"/>
        <w:rPr>
          <w:rFonts w:ascii="Verdana" w:eastAsia="Times New Roman" w:hAnsi="Verdana"/>
          <w:sz w:val="20"/>
          <w:szCs w:val="20"/>
          <w:lang w:val="en-US"/>
        </w:rPr>
      </w:pPr>
    </w:p>
    <w:p w14:paraId="63126860" w14:textId="68AED825" w:rsidR="00E4033A" w:rsidRPr="00FE7BA7" w:rsidRDefault="00865E4A" w:rsidP="00865E4A">
      <w:pPr>
        <w:pStyle w:val="ListParagraph"/>
        <w:numPr>
          <w:ilvl w:val="0"/>
          <w:numId w:val="2"/>
        </w:numPr>
        <w:ind w:left="0" w:hanging="11"/>
        <w:jc w:val="both"/>
        <w:rPr>
          <w:rFonts w:ascii="Verdana" w:eastAsia="Times New Roman" w:hAnsi="Verdana"/>
          <w:sz w:val="20"/>
          <w:szCs w:val="20"/>
          <w:lang w:val="en-US"/>
        </w:rPr>
      </w:pPr>
      <w:r w:rsidRPr="00FE7BA7">
        <w:rPr>
          <w:rFonts w:ascii="Verdana" w:hAnsi="Verdana"/>
          <w:sz w:val="20"/>
          <w:szCs w:val="20"/>
          <w:lang w:val="en-US"/>
        </w:rPr>
        <w:t xml:space="preserve">With regard to the on-site procedure </w:t>
      </w:r>
      <w:r w:rsidR="00E4033A" w:rsidRPr="00FE7BA7">
        <w:rPr>
          <w:rFonts w:ascii="Verdana" w:hAnsi="Verdana"/>
          <w:sz w:val="20"/>
          <w:szCs w:val="20"/>
          <w:lang w:val="en-US"/>
        </w:rPr>
        <w:t>(</w:t>
      </w:r>
      <w:r w:rsidR="00366D91" w:rsidRPr="00FE7BA7">
        <w:rPr>
          <w:rFonts w:ascii="Verdana" w:hAnsi="Verdana"/>
          <w:i/>
          <w:sz w:val="20"/>
          <w:szCs w:val="20"/>
          <w:lang w:val="en-US"/>
        </w:rPr>
        <w:t>supra</w:t>
      </w:r>
      <w:r w:rsidR="00E4033A" w:rsidRPr="00FE7BA7">
        <w:rPr>
          <w:rFonts w:ascii="Verdana" w:hAnsi="Verdana"/>
          <w:i/>
          <w:sz w:val="20"/>
          <w:szCs w:val="20"/>
          <w:lang w:val="en-US"/>
        </w:rPr>
        <w:t xml:space="preserve"> </w:t>
      </w:r>
      <w:r w:rsidR="00810FAD" w:rsidRPr="00FE7BA7">
        <w:rPr>
          <w:rFonts w:ascii="Verdana" w:hAnsi="Verdana"/>
          <w:sz w:val="20"/>
          <w:szCs w:val="20"/>
          <w:lang w:val="en-US"/>
        </w:rPr>
        <w:t>para.</w:t>
      </w:r>
      <w:r w:rsidR="00E4033A" w:rsidRPr="00FE7BA7">
        <w:rPr>
          <w:rFonts w:ascii="Verdana" w:hAnsi="Verdana"/>
          <w:sz w:val="20"/>
          <w:szCs w:val="20"/>
          <w:lang w:val="en-US"/>
        </w:rPr>
        <w:t xml:space="preserve"> </w:t>
      </w:r>
      <w:r w:rsidR="006E00F8" w:rsidRPr="00FE7BA7">
        <w:rPr>
          <w:rFonts w:ascii="Verdana" w:hAnsi="Verdana"/>
          <w:sz w:val="20"/>
          <w:szCs w:val="20"/>
          <w:lang w:val="en-US"/>
        </w:rPr>
        <w:t>14</w:t>
      </w:r>
      <w:r w:rsidRPr="00FE7BA7">
        <w:rPr>
          <w:rFonts w:ascii="Verdana" w:hAnsi="Verdana"/>
          <w:sz w:val="20"/>
          <w:szCs w:val="20"/>
          <w:lang w:val="en-US"/>
        </w:rPr>
        <w:t xml:space="preserve">) aimed at obtaining additional information on the situation </w:t>
      </w:r>
      <w:r w:rsidR="00810FAD" w:rsidRPr="00FE7BA7">
        <w:rPr>
          <w:rFonts w:ascii="Verdana" w:hAnsi="Verdana"/>
          <w:sz w:val="20"/>
          <w:szCs w:val="20"/>
          <w:lang w:val="en-US"/>
        </w:rPr>
        <w:t xml:space="preserve">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10FAD" w:rsidRPr="00FE7BA7">
        <w:rPr>
          <w:rFonts w:ascii="Verdana" w:hAnsi="Verdana"/>
          <w:sz w:val="20"/>
          <w:szCs w:val="20"/>
          <w:lang w:val="en-US"/>
        </w:rPr>
        <w:t>victims</w:t>
      </w:r>
      <w:r w:rsidR="002B5CCD" w:rsidRPr="00FE7BA7">
        <w:rPr>
          <w:rFonts w:ascii="Verdana" w:hAnsi="Verdana"/>
          <w:sz w:val="20"/>
          <w:szCs w:val="20"/>
          <w:lang w:val="en-US"/>
        </w:rPr>
        <w:t xml:space="preserve"> and</w:t>
      </w:r>
      <w:r w:rsidR="00184E23">
        <w:rPr>
          <w:rFonts w:ascii="Verdana" w:hAnsi="Verdana"/>
          <w:sz w:val="20"/>
          <w:szCs w:val="20"/>
          <w:lang w:val="en-US"/>
        </w:rPr>
        <w:t xml:space="preserve"> the</w:t>
      </w:r>
      <w:r w:rsidR="002B5CCD" w:rsidRPr="00FE7BA7">
        <w:rPr>
          <w:rFonts w:ascii="Verdana" w:hAnsi="Verdana"/>
          <w:sz w:val="20"/>
          <w:szCs w:val="20"/>
          <w:lang w:val="en-US"/>
        </w:rPr>
        <w:t xml:space="preserve"> </w:t>
      </w:r>
      <w:r w:rsidRPr="00FE7BA7">
        <w:rPr>
          <w:rFonts w:ascii="Verdana" w:hAnsi="Verdana"/>
          <w:sz w:val="20"/>
          <w:szCs w:val="20"/>
          <w:lang w:val="en-US"/>
        </w:rPr>
        <w:t xml:space="preserve">places in which some of the facts alleged in the case </w:t>
      </w:r>
      <w:r w:rsidR="00184E23">
        <w:rPr>
          <w:rFonts w:ascii="Verdana" w:hAnsi="Verdana"/>
          <w:sz w:val="20"/>
          <w:szCs w:val="20"/>
          <w:lang w:val="en-US"/>
        </w:rPr>
        <w:t>took</w:t>
      </w:r>
      <w:r w:rsidRPr="00FE7BA7">
        <w:rPr>
          <w:rFonts w:ascii="Verdana" w:hAnsi="Verdana"/>
          <w:sz w:val="20"/>
          <w:szCs w:val="20"/>
          <w:lang w:val="en-US"/>
        </w:rPr>
        <w:t xml:space="preserve"> place, th</w:t>
      </w:r>
      <w:r w:rsidR="003A5E79">
        <w:rPr>
          <w:rFonts w:ascii="Verdana" w:hAnsi="Verdana"/>
          <w:sz w:val="20"/>
          <w:szCs w:val="20"/>
          <w:lang w:val="en-US"/>
        </w:rPr>
        <w:t>e statements, documents, and</w:t>
      </w:r>
      <w:r w:rsidRPr="00FE7BA7">
        <w:rPr>
          <w:rFonts w:ascii="Verdana" w:hAnsi="Verdana"/>
          <w:sz w:val="20"/>
          <w:szCs w:val="20"/>
          <w:lang w:val="en-US"/>
        </w:rPr>
        <w:t xml:space="preserve"> information received will be assessed bearing in mind the particular circumstances in which they were produced</w:t>
      </w:r>
      <w:r w:rsidRPr="00FE7BA7">
        <w:rPr>
          <w:rFonts w:ascii="Verdana" w:eastAsia="Times New Roman" w:hAnsi="Verdana"/>
          <w:sz w:val="20"/>
          <w:szCs w:val="20"/>
          <w:lang w:val="en-US"/>
        </w:rPr>
        <w:t>.</w:t>
      </w:r>
      <w:r w:rsidR="00E4033A" w:rsidRPr="00FE7BA7">
        <w:rPr>
          <w:rStyle w:val="FootnoteReference"/>
          <w:szCs w:val="20"/>
          <w:lang w:val="en-US"/>
        </w:rPr>
        <w:footnoteReference w:id="28"/>
      </w:r>
      <w:r w:rsidRPr="00FE7BA7">
        <w:rPr>
          <w:rFonts w:ascii="Verdana" w:hAnsi="Verdana"/>
          <w:sz w:val="20"/>
          <w:szCs w:val="20"/>
          <w:lang w:val="en-US"/>
        </w:rPr>
        <w:t xml:space="preserve"> In this regard, the Court incorporated into the case file the video containing </w:t>
      </w:r>
      <w:r w:rsidRPr="00184E23">
        <w:rPr>
          <w:rFonts w:ascii="Verdana" w:hAnsi="Verdana"/>
          <w:sz w:val="20"/>
          <w:szCs w:val="20"/>
          <w:lang w:val="en-US"/>
        </w:rPr>
        <w:t>the recordings</w:t>
      </w:r>
      <w:r w:rsidRPr="00FE7BA7">
        <w:rPr>
          <w:rFonts w:ascii="Verdana" w:hAnsi="Verdana"/>
          <w:sz w:val="20"/>
          <w:szCs w:val="20"/>
          <w:lang w:val="en-US"/>
        </w:rPr>
        <w:t xml:space="preserve"> made by the State during the on-site procedure and forwarded </w:t>
      </w:r>
      <w:r w:rsidR="00184E23">
        <w:rPr>
          <w:rFonts w:ascii="Verdana" w:hAnsi="Verdana"/>
          <w:sz w:val="20"/>
          <w:szCs w:val="20"/>
          <w:lang w:val="en-US"/>
        </w:rPr>
        <w:t xml:space="preserve">a copy of </w:t>
      </w:r>
      <w:r w:rsidRPr="00FE7BA7">
        <w:rPr>
          <w:rFonts w:ascii="Verdana" w:hAnsi="Verdana"/>
          <w:sz w:val="20"/>
          <w:szCs w:val="20"/>
          <w:lang w:val="en-US"/>
        </w:rPr>
        <w:t>this to the partie</w:t>
      </w:r>
      <w:r w:rsidR="00F3781A">
        <w:rPr>
          <w:rFonts w:ascii="Verdana" w:hAnsi="Verdana"/>
          <w:sz w:val="20"/>
          <w:szCs w:val="20"/>
          <w:lang w:val="en-US"/>
        </w:rPr>
        <w:t>s.</w:t>
      </w:r>
      <w:r w:rsidR="003945D9" w:rsidRPr="00FE7BA7">
        <w:rPr>
          <w:rFonts w:ascii="Verdana" w:eastAsia="Times New Roman" w:hAnsi="Verdana"/>
          <w:sz w:val="20"/>
          <w:szCs w:val="20"/>
          <w:lang w:val="en-US"/>
        </w:rPr>
        <w:t xml:space="preserve"> </w:t>
      </w:r>
    </w:p>
    <w:p w14:paraId="63126861" w14:textId="77777777" w:rsidR="009B0952" w:rsidRPr="00FE7BA7" w:rsidRDefault="009B0952" w:rsidP="00690B3D">
      <w:pPr>
        <w:pStyle w:val="ListParagraph"/>
        <w:rPr>
          <w:rFonts w:ascii="Verdana" w:eastAsia="Times New Roman" w:hAnsi="Verdana"/>
          <w:sz w:val="20"/>
          <w:szCs w:val="20"/>
          <w:lang w:val="en-US"/>
        </w:rPr>
      </w:pPr>
    </w:p>
    <w:p w14:paraId="63126862" w14:textId="77777777" w:rsidR="00E4033A" w:rsidRPr="00FE7BA7" w:rsidRDefault="002B5CCD" w:rsidP="00865E4A">
      <w:pPr>
        <w:pStyle w:val="ListParagraph"/>
        <w:numPr>
          <w:ilvl w:val="0"/>
          <w:numId w:val="2"/>
        </w:numPr>
        <w:ind w:left="0" w:hanging="11"/>
        <w:jc w:val="both"/>
        <w:rPr>
          <w:rFonts w:ascii="Verdana" w:eastAsia="Times New Roman" w:hAnsi="Verdana"/>
          <w:sz w:val="20"/>
          <w:szCs w:val="20"/>
          <w:lang w:val="en-US"/>
        </w:rPr>
      </w:pPr>
      <w:r w:rsidRPr="00FE7BA7">
        <w:rPr>
          <w:rFonts w:ascii="Verdana" w:eastAsia="Times New Roman" w:hAnsi="Verdana"/>
          <w:sz w:val="20"/>
          <w:szCs w:val="20"/>
          <w:lang w:val="en-US"/>
        </w:rPr>
        <w:t>The Court</w:t>
      </w:r>
      <w:r w:rsidR="004C7D14" w:rsidRPr="00FE7BA7">
        <w:rPr>
          <w:rFonts w:ascii="Verdana" w:eastAsia="Times New Roman" w:hAnsi="Verdana"/>
          <w:sz w:val="20"/>
          <w:szCs w:val="20"/>
          <w:lang w:val="en-US"/>
        </w:rPr>
        <w:t xml:space="preserve"> notes that </w:t>
      </w:r>
      <w:r w:rsidRPr="00FE7BA7">
        <w:rPr>
          <w:rFonts w:ascii="Verdana" w:eastAsia="Times New Roman" w:hAnsi="Verdana"/>
          <w:sz w:val="20"/>
          <w:szCs w:val="20"/>
          <w:lang w:val="en-US"/>
        </w:rPr>
        <w:t xml:space="preserve">Suriname </w:t>
      </w:r>
      <w:r w:rsidR="004C7D14" w:rsidRPr="00184E23">
        <w:rPr>
          <w:rFonts w:ascii="Verdana" w:eastAsia="Times New Roman" w:hAnsi="Verdana"/>
          <w:sz w:val="20"/>
          <w:szCs w:val="20"/>
          <w:lang w:val="en-US"/>
        </w:rPr>
        <w:t xml:space="preserve">sent </w:t>
      </w:r>
      <w:r w:rsidR="00865E4A" w:rsidRPr="00184E23">
        <w:rPr>
          <w:rFonts w:ascii="Verdana" w:eastAsia="Times New Roman" w:hAnsi="Verdana"/>
          <w:sz w:val="20"/>
          <w:szCs w:val="20"/>
          <w:lang w:val="en-US"/>
        </w:rPr>
        <w:t>scanned</w:t>
      </w:r>
      <w:r w:rsidR="004C7D14" w:rsidRPr="00184E23">
        <w:rPr>
          <w:rFonts w:ascii="Verdana" w:eastAsia="Times New Roman" w:hAnsi="Verdana"/>
          <w:sz w:val="20"/>
          <w:szCs w:val="20"/>
          <w:lang w:val="en-US"/>
        </w:rPr>
        <w:t xml:space="preserve"> copies</w:t>
      </w:r>
      <w:r w:rsidR="004C7D14" w:rsidRPr="00FE7BA7">
        <w:rPr>
          <w:rFonts w:ascii="Verdana" w:eastAsia="Times New Roman" w:hAnsi="Verdana"/>
          <w:sz w:val="20"/>
          <w:szCs w:val="20"/>
          <w:lang w:val="en-US"/>
        </w:rPr>
        <w:t xml:space="preserve"> of the titl</w:t>
      </w:r>
      <w:r w:rsidR="00184E23">
        <w:rPr>
          <w:rFonts w:ascii="Verdana" w:eastAsia="Times New Roman" w:hAnsi="Verdana"/>
          <w:sz w:val="20"/>
          <w:szCs w:val="20"/>
          <w:lang w:val="en-US"/>
        </w:rPr>
        <w:t>e records of the Domains Office</w:t>
      </w:r>
      <w:r w:rsidR="004C7D14" w:rsidRPr="00FE7BA7">
        <w:rPr>
          <w:rFonts w:ascii="Verdana" w:eastAsia="Times New Roman" w:hAnsi="Verdana"/>
          <w:sz w:val="20"/>
          <w:szCs w:val="20"/>
          <w:lang w:val="en-US"/>
        </w:rPr>
        <w:t xml:space="preserve"> in Dutch</w:t>
      </w:r>
      <w:r w:rsidR="009B0952" w:rsidRPr="00FE7BA7">
        <w:rPr>
          <w:rFonts w:ascii="Verdana" w:eastAsia="Times New Roman" w:hAnsi="Verdana"/>
          <w:sz w:val="20"/>
          <w:szCs w:val="20"/>
          <w:lang w:val="en-US"/>
        </w:rPr>
        <w:t xml:space="preserve"> (</w:t>
      </w:r>
      <w:r w:rsidR="00366D91" w:rsidRPr="00FE7BA7">
        <w:rPr>
          <w:rFonts w:ascii="Verdana" w:eastAsia="Times New Roman" w:hAnsi="Verdana"/>
          <w:i/>
          <w:sz w:val="20"/>
          <w:szCs w:val="20"/>
          <w:lang w:val="en-US"/>
        </w:rPr>
        <w:t>supra</w:t>
      </w:r>
      <w:r w:rsidR="009B0952" w:rsidRPr="00FE7BA7">
        <w:rPr>
          <w:rFonts w:ascii="Verdana" w:eastAsia="Times New Roman" w:hAnsi="Verdana"/>
          <w:sz w:val="20"/>
          <w:szCs w:val="20"/>
          <w:lang w:val="en-US"/>
        </w:rPr>
        <w:t xml:space="preserve"> </w:t>
      </w:r>
      <w:r w:rsidR="00810FAD" w:rsidRPr="00FE7BA7">
        <w:rPr>
          <w:rFonts w:ascii="Verdana" w:eastAsia="Times New Roman" w:hAnsi="Verdana"/>
          <w:sz w:val="20"/>
          <w:szCs w:val="20"/>
          <w:lang w:val="en-US"/>
        </w:rPr>
        <w:t>para.</w:t>
      </w:r>
      <w:r w:rsidR="009B0952" w:rsidRPr="00FE7BA7">
        <w:rPr>
          <w:rFonts w:ascii="Verdana" w:eastAsia="Times New Roman" w:hAnsi="Verdana"/>
          <w:sz w:val="20"/>
          <w:szCs w:val="20"/>
          <w:lang w:val="en-US"/>
        </w:rPr>
        <w:t xml:space="preserve"> </w:t>
      </w:r>
      <w:r w:rsidR="006E00F8" w:rsidRPr="00FE7BA7">
        <w:rPr>
          <w:rFonts w:ascii="Verdana" w:eastAsia="Times New Roman" w:hAnsi="Verdana"/>
          <w:sz w:val="20"/>
          <w:szCs w:val="20"/>
          <w:lang w:val="en-US"/>
        </w:rPr>
        <w:t>22</w:t>
      </w:r>
      <w:r w:rsidR="009B0952" w:rsidRPr="00FE7BA7">
        <w:rPr>
          <w:rFonts w:ascii="Verdana" w:eastAsia="Times New Roman" w:hAnsi="Verdana"/>
          <w:sz w:val="20"/>
          <w:szCs w:val="20"/>
          <w:lang w:val="en-US"/>
        </w:rPr>
        <w:t>)</w:t>
      </w:r>
      <w:r w:rsidR="00206475" w:rsidRPr="00FE7BA7">
        <w:rPr>
          <w:rFonts w:ascii="Verdana" w:eastAsia="Times New Roman" w:hAnsi="Verdana"/>
          <w:sz w:val="20"/>
          <w:szCs w:val="20"/>
          <w:lang w:val="en-US"/>
        </w:rPr>
        <w:t xml:space="preserve">, </w:t>
      </w:r>
      <w:r w:rsidR="004C7D14" w:rsidRPr="00FE7BA7">
        <w:rPr>
          <w:rFonts w:ascii="Verdana" w:eastAsia="Times New Roman" w:hAnsi="Verdana"/>
          <w:sz w:val="20"/>
          <w:szCs w:val="20"/>
          <w:lang w:val="en-US"/>
        </w:rPr>
        <w:t>and this evidence has been contested by</w:t>
      </w:r>
      <w:r w:rsidR="00206475" w:rsidRPr="00FE7BA7">
        <w:rPr>
          <w:rFonts w:ascii="Verdana" w:eastAsia="Times New Roman" w:hAnsi="Verdana"/>
          <w:sz w:val="20"/>
          <w:szCs w:val="20"/>
          <w:lang w:val="en-US"/>
        </w:rPr>
        <w:t xml:space="preserve"> </w:t>
      </w:r>
      <w:r w:rsidR="00810FAD" w:rsidRPr="00FE7BA7">
        <w:rPr>
          <w:rFonts w:ascii="Verdana" w:eastAsia="Times New Roman" w:hAnsi="Verdana"/>
          <w:sz w:val="20"/>
          <w:szCs w:val="20"/>
          <w:lang w:val="en-US"/>
        </w:rPr>
        <w:t>the representatives</w:t>
      </w:r>
      <w:r w:rsidR="00206475" w:rsidRPr="00FE7BA7">
        <w:rPr>
          <w:rFonts w:ascii="Verdana" w:eastAsia="Times New Roman" w:hAnsi="Verdana"/>
          <w:sz w:val="20"/>
          <w:szCs w:val="20"/>
          <w:lang w:val="en-US"/>
        </w:rPr>
        <w:t>.</w:t>
      </w:r>
      <w:r w:rsidR="009B0952" w:rsidRPr="00FE7BA7">
        <w:rPr>
          <w:rFonts w:ascii="Verdana" w:eastAsia="Times New Roman" w:hAnsi="Verdana"/>
          <w:sz w:val="20"/>
          <w:szCs w:val="20"/>
          <w:lang w:val="en-US"/>
        </w:rPr>
        <w:t xml:space="preserve"> </w:t>
      </w:r>
      <w:r w:rsidR="00184E23">
        <w:rPr>
          <w:rFonts w:ascii="Verdana" w:eastAsia="Times New Roman" w:hAnsi="Verdana"/>
          <w:sz w:val="20"/>
          <w:szCs w:val="20"/>
          <w:lang w:val="en-US"/>
        </w:rPr>
        <w:t>However</w:t>
      </w:r>
      <w:r w:rsidR="004C7D14" w:rsidRPr="00FE7BA7">
        <w:rPr>
          <w:rFonts w:ascii="Verdana" w:eastAsia="Times New Roman" w:hAnsi="Verdana"/>
          <w:sz w:val="20"/>
          <w:szCs w:val="20"/>
          <w:lang w:val="en-US"/>
        </w:rPr>
        <w:t>, the Court underlines that, this information merely reveals, in some cases, the names of those who possess the said titles</w:t>
      </w:r>
      <w:r w:rsidR="009B0952" w:rsidRPr="00FE7BA7">
        <w:rPr>
          <w:rFonts w:ascii="Verdana" w:eastAsia="Times New Roman" w:hAnsi="Verdana"/>
          <w:sz w:val="20"/>
          <w:szCs w:val="20"/>
          <w:lang w:val="en-US"/>
        </w:rPr>
        <w:t xml:space="preserve">, </w:t>
      </w:r>
      <w:r w:rsidR="004C7D14" w:rsidRPr="00FE7BA7">
        <w:rPr>
          <w:rFonts w:ascii="Verdana" w:eastAsia="Times New Roman" w:hAnsi="Verdana"/>
          <w:sz w:val="20"/>
          <w:szCs w:val="20"/>
          <w:lang w:val="en-US"/>
        </w:rPr>
        <w:t>and the location</w:t>
      </w:r>
      <w:r w:rsidR="009B0952" w:rsidRPr="00FE7BA7">
        <w:rPr>
          <w:rFonts w:ascii="Verdana" w:eastAsia="Times New Roman" w:hAnsi="Verdana"/>
          <w:sz w:val="20"/>
          <w:szCs w:val="20"/>
          <w:lang w:val="en-US"/>
        </w:rPr>
        <w:t xml:space="preserve"> </w:t>
      </w:r>
      <w:r w:rsidR="004C7D14" w:rsidRPr="00FE7BA7">
        <w:rPr>
          <w:rFonts w:ascii="Verdana" w:eastAsia="Times New Roman" w:hAnsi="Verdana"/>
          <w:sz w:val="20"/>
          <w:szCs w:val="20"/>
          <w:lang w:val="en-US"/>
        </w:rPr>
        <w:t>in the</w:t>
      </w:r>
      <w:r w:rsidR="009B0952" w:rsidRPr="00FE7BA7">
        <w:rPr>
          <w:rFonts w:ascii="Verdana" w:eastAsia="Times New Roman" w:hAnsi="Verdana"/>
          <w:sz w:val="20"/>
          <w:szCs w:val="20"/>
          <w:lang w:val="en-US"/>
        </w:rPr>
        <w:t xml:space="preserve"> Tuinstad Albina</w:t>
      </w:r>
      <w:r w:rsidR="004C7D14" w:rsidRPr="00FE7BA7">
        <w:rPr>
          <w:rFonts w:ascii="Verdana" w:eastAsia="Times New Roman" w:hAnsi="Verdana"/>
          <w:sz w:val="20"/>
          <w:szCs w:val="20"/>
          <w:lang w:val="en-US"/>
        </w:rPr>
        <w:t xml:space="preserve"> </w:t>
      </w:r>
      <w:r w:rsidR="00184E23">
        <w:rPr>
          <w:rFonts w:ascii="Verdana" w:eastAsia="Times New Roman" w:hAnsi="Verdana"/>
          <w:sz w:val="20"/>
          <w:szCs w:val="20"/>
          <w:lang w:val="en-US"/>
        </w:rPr>
        <w:t>subdivision project</w:t>
      </w:r>
      <w:r w:rsidR="004C7D14" w:rsidRPr="00FE7BA7">
        <w:rPr>
          <w:rFonts w:ascii="Verdana" w:eastAsia="Times New Roman" w:hAnsi="Verdana"/>
          <w:sz w:val="20"/>
          <w:szCs w:val="20"/>
          <w:lang w:val="en-US"/>
        </w:rPr>
        <w:t>.</w:t>
      </w:r>
      <w:r w:rsidR="001B19DD" w:rsidRPr="00FE7BA7">
        <w:rPr>
          <w:rStyle w:val="FootnoteReference"/>
          <w:rFonts w:eastAsia="Times New Roman"/>
          <w:szCs w:val="20"/>
          <w:lang w:val="en-US"/>
        </w:rPr>
        <w:footnoteReference w:id="29"/>
      </w:r>
      <w:r w:rsidR="009B0952" w:rsidRPr="00FE7BA7">
        <w:rPr>
          <w:rFonts w:ascii="Verdana" w:eastAsia="Times New Roman" w:hAnsi="Verdana"/>
          <w:sz w:val="20"/>
          <w:szCs w:val="20"/>
          <w:lang w:val="en-US"/>
        </w:rPr>
        <w:t xml:space="preserve"> </w:t>
      </w:r>
      <w:r w:rsidR="00865E4A" w:rsidRPr="00FE7BA7">
        <w:rPr>
          <w:rFonts w:ascii="Verdana" w:eastAsia="Times New Roman" w:hAnsi="Verdana"/>
          <w:sz w:val="20"/>
          <w:szCs w:val="20"/>
          <w:lang w:val="en-US"/>
        </w:rPr>
        <w:t xml:space="preserve">Thus, the Court will examine this </w:t>
      </w:r>
      <w:r w:rsidR="00FE7BA7" w:rsidRPr="00FE7BA7">
        <w:rPr>
          <w:rFonts w:ascii="Verdana" w:eastAsia="Times New Roman" w:hAnsi="Verdana"/>
          <w:sz w:val="20"/>
          <w:szCs w:val="20"/>
          <w:lang w:val="en-US"/>
        </w:rPr>
        <w:t>information</w:t>
      </w:r>
      <w:r w:rsidR="00865E4A" w:rsidRPr="00FE7BA7">
        <w:rPr>
          <w:rFonts w:ascii="Verdana" w:eastAsia="Times New Roman" w:hAnsi="Verdana"/>
          <w:sz w:val="20"/>
          <w:szCs w:val="20"/>
          <w:lang w:val="en-US"/>
        </w:rPr>
        <w:t xml:space="preserve">, provided it can clearly establish its usefulness. In addition, the Court will examine this information, </w:t>
      </w:r>
      <w:r w:rsidR="00184E23">
        <w:rPr>
          <w:rFonts w:ascii="Verdana" w:eastAsia="Times New Roman" w:hAnsi="Verdana"/>
          <w:sz w:val="20"/>
          <w:szCs w:val="20"/>
          <w:lang w:val="en-US"/>
        </w:rPr>
        <w:t>as well</w:t>
      </w:r>
      <w:r w:rsidR="00865E4A" w:rsidRPr="00FE7BA7">
        <w:rPr>
          <w:rFonts w:ascii="Verdana" w:eastAsia="Times New Roman" w:hAnsi="Verdana"/>
          <w:sz w:val="20"/>
          <w:szCs w:val="20"/>
          <w:lang w:val="en-US"/>
        </w:rPr>
        <w:t xml:space="preserve"> all the documentation provide as helpful evidence</w:t>
      </w:r>
      <w:r w:rsidR="00184E23">
        <w:rPr>
          <w:rFonts w:ascii="Verdana" w:eastAsia="Times New Roman" w:hAnsi="Verdana"/>
          <w:sz w:val="20"/>
          <w:szCs w:val="20"/>
          <w:lang w:val="en-US"/>
        </w:rPr>
        <w:t>,</w:t>
      </w:r>
      <w:r w:rsidR="00865E4A" w:rsidRPr="00FE7BA7">
        <w:rPr>
          <w:rFonts w:ascii="Verdana" w:eastAsia="Times New Roman" w:hAnsi="Verdana"/>
          <w:sz w:val="20"/>
          <w:szCs w:val="20"/>
          <w:lang w:val="en-US"/>
        </w:rPr>
        <w:t xml:space="preserve"> together with the observations of the parties on the visit, </w:t>
      </w:r>
      <w:r w:rsidR="00184E23">
        <w:rPr>
          <w:rFonts w:ascii="Verdana" w:eastAsia="Times New Roman" w:hAnsi="Verdana"/>
          <w:sz w:val="20"/>
          <w:szCs w:val="20"/>
          <w:lang w:val="en-US"/>
        </w:rPr>
        <w:t>bearing in mind the</w:t>
      </w:r>
      <w:r w:rsidR="00865E4A" w:rsidRPr="00FE7BA7">
        <w:rPr>
          <w:rFonts w:ascii="Verdana" w:eastAsia="Times New Roman" w:hAnsi="Verdana"/>
          <w:sz w:val="20"/>
          <w:szCs w:val="20"/>
          <w:lang w:val="en-US"/>
        </w:rPr>
        <w:t xml:space="preserve"> rules of </w:t>
      </w:r>
      <w:r w:rsidR="00865E4A" w:rsidRPr="00FE7BA7">
        <w:rPr>
          <w:rFonts w:ascii="Verdana" w:eastAsia="Times New Roman" w:hAnsi="Verdana"/>
          <w:sz w:val="20"/>
          <w:szCs w:val="20"/>
          <w:lang w:val="en-US"/>
        </w:rPr>
        <w:lastRenderedPageBreak/>
        <w:t>sound judicial discretion and insofar as they c</w:t>
      </w:r>
      <w:r w:rsidR="00184E23">
        <w:rPr>
          <w:rFonts w:ascii="Verdana" w:eastAsia="Times New Roman" w:hAnsi="Verdana"/>
          <w:sz w:val="20"/>
          <w:szCs w:val="20"/>
          <w:lang w:val="en-US"/>
        </w:rPr>
        <w:t>omply with</w:t>
      </w:r>
      <w:r w:rsidR="00865E4A" w:rsidRPr="00FE7BA7">
        <w:rPr>
          <w:rFonts w:ascii="Verdana" w:eastAsia="Times New Roman" w:hAnsi="Verdana"/>
          <w:sz w:val="20"/>
          <w:szCs w:val="20"/>
          <w:lang w:val="en-US"/>
        </w:rPr>
        <w:t xml:space="preserve"> the specific </w:t>
      </w:r>
      <w:r w:rsidR="00184E23">
        <w:rPr>
          <w:rFonts w:ascii="Verdana" w:eastAsia="Times New Roman" w:hAnsi="Verdana"/>
          <w:sz w:val="20"/>
          <w:szCs w:val="20"/>
          <w:lang w:val="en-US"/>
        </w:rPr>
        <w:t>purpose</w:t>
      </w:r>
      <w:r w:rsidR="00865E4A" w:rsidRPr="00FE7BA7">
        <w:rPr>
          <w:rFonts w:ascii="Verdana" w:eastAsia="Times New Roman" w:hAnsi="Verdana"/>
          <w:sz w:val="20"/>
          <w:szCs w:val="20"/>
          <w:lang w:val="en-US"/>
        </w:rPr>
        <w:t xml:space="preserve"> of the </w:t>
      </w:r>
      <w:r w:rsidR="00184E23">
        <w:rPr>
          <w:rFonts w:ascii="Verdana" w:eastAsia="Times New Roman" w:hAnsi="Verdana"/>
          <w:sz w:val="20"/>
          <w:szCs w:val="20"/>
          <w:lang w:val="en-US"/>
        </w:rPr>
        <w:t>information</w:t>
      </w:r>
      <w:r w:rsidR="00865E4A" w:rsidRPr="00FE7BA7">
        <w:rPr>
          <w:rFonts w:ascii="Verdana" w:eastAsia="Times New Roman" w:hAnsi="Verdana"/>
          <w:sz w:val="20"/>
          <w:szCs w:val="20"/>
          <w:lang w:val="en-US"/>
        </w:rPr>
        <w:t>.</w:t>
      </w:r>
      <w:r w:rsidR="009619CE" w:rsidRPr="00FE7BA7">
        <w:rPr>
          <w:rStyle w:val="FootnoteReference"/>
          <w:rFonts w:eastAsia="Times New Roman"/>
          <w:szCs w:val="20"/>
          <w:lang w:val="en-US"/>
        </w:rPr>
        <w:footnoteReference w:id="30"/>
      </w:r>
      <w:r w:rsidR="00E4033A" w:rsidRPr="00FE7BA7">
        <w:rPr>
          <w:rFonts w:ascii="Verdana" w:eastAsia="Times New Roman" w:hAnsi="Verdana"/>
          <w:sz w:val="20"/>
          <w:szCs w:val="20"/>
          <w:lang w:val="en-US"/>
        </w:rPr>
        <w:t xml:space="preserve">  </w:t>
      </w:r>
    </w:p>
    <w:p w14:paraId="63126863" w14:textId="77777777" w:rsidR="00E4033A" w:rsidRPr="00FE7BA7" w:rsidRDefault="00E4033A" w:rsidP="00E4033A">
      <w:pPr>
        <w:pStyle w:val="ListParagraph"/>
        <w:ind w:left="0"/>
        <w:jc w:val="both"/>
        <w:rPr>
          <w:rFonts w:ascii="Verdana" w:eastAsia="Times New Roman" w:hAnsi="Verdana"/>
          <w:sz w:val="20"/>
          <w:szCs w:val="20"/>
          <w:lang w:val="en-US"/>
        </w:rPr>
      </w:pPr>
    </w:p>
    <w:p w14:paraId="63126864" w14:textId="77777777" w:rsidR="00E26926" w:rsidRPr="00FE7BA7" w:rsidRDefault="00E26926" w:rsidP="00E26926">
      <w:pPr>
        <w:pStyle w:val="Heading1"/>
        <w:tabs>
          <w:tab w:val="left" w:pos="851"/>
        </w:tabs>
        <w:spacing w:before="0"/>
        <w:jc w:val="center"/>
        <w:rPr>
          <w:rFonts w:ascii="Verdana" w:hAnsi="Verdana" w:cs="Verdana"/>
          <w:caps/>
          <w:snapToGrid w:val="0"/>
          <w:color w:val="auto"/>
          <w:sz w:val="20"/>
          <w:szCs w:val="20"/>
          <w:lang w:val="en-US"/>
        </w:rPr>
      </w:pPr>
      <w:bookmarkStart w:id="12" w:name="_Toc441673185"/>
      <w:r w:rsidRPr="00FE7BA7">
        <w:rPr>
          <w:rFonts w:ascii="Verdana" w:hAnsi="Verdana" w:cs="Verdana"/>
          <w:caps/>
          <w:snapToGrid w:val="0"/>
          <w:color w:val="auto"/>
          <w:sz w:val="20"/>
          <w:szCs w:val="20"/>
          <w:lang w:val="en-US"/>
        </w:rPr>
        <w:t>V</w:t>
      </w:r>
      <w:r w:rsidRPr="00FE7BA7">
        <w:rPr>
          <w:rFonts w:ascii="Verdana" w:hAnsi="Verdana" w:cs="Verdana"/>
          <w:caps/>
          <w:snapToGrid w:val="0"/>
          <w:color w:val="auto"/>
          <w:sz w:val="20"/>
          <w:szCs w:val="20"/>
          <w:lang w:val="en-US"/>
        </w:rPr>
        <w:br/>
      </w:r>
      <w:r w:rsidR="004C7D14" w:rsidRPr="00FE7BA7">
        <w:rPr>
          <w:rFonts w:ascii="Verdana" w:hAnsi="Verdana" w:cs="Verdana"/>
          <w:caps/>
          <w:snapToGrid w:val="0"/>
          <w:color w:val="auto"/>
          <w:sz w:val="20"/>
          <w:szCs w:val="20"/>
          <w:lang w:val="en-US"/>
        </w:rPr>
        <w:t>FACTS</w:t>
      </w:r>
      <w:bookmarkEnd w:id="12"/>
    </w:p>
    <w:p w14:paraId="63126865" w14:textId="77777777" w:rsidR="00E26926" w:rsidRPr="00FE7BA7" w:rsidRDefault="00E26926" w:rsidP="00926E61">
      <w:pPr>
        <w:jc w:val="both"/>
        <w:rPr>
          <w:rFonts w:ascii="Verdana" w:hAnsi="Verdana"/>
          <w:spacing w:val="-2"/>
          <w:sz w:val="20"/>
          <w:szCs w:val="20"/>
          <w:lang w:val="en-US"/>
        </w:rPr>
      </w:pPr>
    </w:p>
    <w:p w14:paraId="63126866" w14:textId="77777777" w:rsidR="00926E61" w:rsidRPr="00FE7BA7" w:rsidRDefault="00865E4A" w:rsidP="00E26926">
      <w:pPr>
        <w:pStyle w:val="ListParagraph"/>
        <w:numPr>
          <w:ilvl w:val="0"/>
          <w:numId w:val="2"/>
        </w:numPr>
        <w:ind w:left="0" w:hanging="11"/>
        <w:jc w:val="both"/>
        <w:rPr>
          <w:rFonts w:ascii="Verdana" w:hAnsi="Verdana"/>
          <w:sz w:val="20"/>
          <w:szCs w:val="20"/>
          <w:lang w:val="en-US"/>
        </w:rPr>
      </w:pPr>
      <w:r w:rsidRPr="00FE7BA7">
        <w:rPr>
          <w:rFonts w:ascii="Verdana" w:hAnsi="Verdana"/>
          <w:spacing w:val="-2"/>
          <w:sz w:val="20"/>
          <w:szCs w:val="20"/>
          <w:lang w:val="en-US"/>
        </w:rPr>
        <w:t xml:space="preserve">In this chapter, the Court will establish the facts of this case, based on the factual framework submitted to the </w:t>
      </w:r>
      <w:r w:rsidR="00FE7BA7" w:rsidRPr="00FE7BA7">
        <w:rPr>
          <w:rFonts w:ascii="Verdana" w:hAnsi="Verdana"/>
          <w:spacing w:val="-2"/>
          <w:sz w:val="20"/>
          <w:szCs w:val="20"/>
          <w:lang w:val="en-US"/>
        </w:rPr>
        <w:t>Court’s</w:t>
      </w:r>
      <w:r w:rsidRPr="00FE7BA7">
        <w:rPr>
          <w:rFonts w:ascii="Verdana" w:hAnsi="Verdana"/>
          <w:spacing w:val="-2"/>
          <w:sz w:val="20"/>
          <w:szCs w:val="20"/>
          <w:lang w:val="en-US"/>
        </w:rPr>
        <w:t xml:space="preserve"> consideration by </w:t>
      </w:r>
      <w:r w:rsidR="002B5CCD" w:rsidRPr="00FE7BA7">
        <w:rPr>
          <w:rFonts w:ascii="Verdana" w:hAnsi="Verdana"/>
          <w:spacing w:val="-2"/>
          <w:sz w:val="20"/>
          <w:szCs w:val="20"/>
          <w:lang w:val="en-US"/>
        </w:rPr>
        <w:t>the Commission</w:t>
      </w:r>
      <w:r w:rsidR="00926E61" w:rsidRPr="00FE7BA7">
        <w:rPr>
          <w:rFonts w:ascii="Verdana" w:hAnsi="Verdana"/>
          <w:spacing w:val="-2"/>
          <w:sz w:val="20"/>
          <w:szCs w:val="20"/>
          <w:lang w:val="en-US"/>
        </w:rPr>
        <w:t>, t</w:t>
      </w:r>
      <w:r w:rsidRPr="00FE7BA7">
        <w:rPr>
          <w:rFonts w:ascii="Verdana" w:hAnsi="Verdana"/>
          <w:spacing w:val="-2"/>
          <w:sz w:val="20"/>
          <w:szCs w:val="20"/>
          <w:lang w:val="en-US"/>
        </w:rPr>
        <w:t>aking into account t</w:t>
      </w:r>
      <w:r w:rsidR="00184E23">
        <w:rPr>
          <w:rFonts w:ascii="Verdana" w:hAnsi="Verdana"/>
          <w:spacing w:val="-2"/>
          <w:sz w:val="20"/>
          <w:szCs w:val="20"/>
          <w:lang w:val="en-US"/>
        </w:rPr>
        <w:t>he body of evidence in the case</w:t>
      </w:r>
      <w:r w:rsidRPr="00FE7BA7">
        <w:rPr>
          <w:rFonts w:ascii="Verdana" w:hAnsi="Verdana"/>
          <w:spacing w:val="-2"/>
          <w:sz w:val="20"/>
          <w:szCs w:val="20"/>
          <w:lang w:val="en-US"/>
        </w:rPr>
        <w:t xml:space="preserve"> and the arguments of </w:t>
      </w:r>
      <w:r w:rsidR="00810FAD" w:rsidRPr="00FE7BA7">
        <w:rPr>
          <w:rFonts w:ascii="Verdana" w:hAnsi="Verdana"/>
          <w:spacing w:val="-2"/>
          <w:sz w:val="20"/>
          <w:szCs w:val="20"/>
          <w:lang w:val="en-US"/>
        </w:rPr>
        <w:t>the representatives</w:t>
      </w:r>
      <w:r w:rsidR="002B5CCD" w:rsidRPr="00FE7BA7">
        <w:rPr>
          <w:rFonts w:ascii="Verdana" w:hAnsi="Verdana"/>
          <w:spacing w:val="-2"/>
          <w:sz w:val="20"/>
          <w:szCs w:val="20"/>
          <w:lang w:val="en-US"/>
        </w:rPr>
        <w:t xml:space="preserve"> and the State</w:t>
      </w:r>
      <w:r w:rsidR="00926E61" w:rsidRPr="00FE7BA7">
        <w:rPr>
          <w:rFonts w:ascii="Verdana" w:hAnsi="Verdana"/>
          <w:spacing w:val="-2"/>
          <w:sz w:val="20"/>
          <w:szCs w:val="20"/>
          <w:lang w:val="en-US"/>
        </w:rPr>
        <w:t xml:space="preserve">. </w:t>
      </w:r>
      <w:r w:rsidRPr="00FE7BA7">
        <w:rPr>
          <w:rFonts w:ascii="Verdana" w:hAnsi="Verdana"/>
          <w:spacing w:val="-2"/>
          <w:sz w:val="20"/>
          <w:szCs w:val="20"/>
          <w:lang w:val="en-US"/>
        </w:rPr>
        <w:t xml:space="preserve">These facts will be described in the following sections: </w:t>
      </w:r>
      <w:r w:rsidR="004C7D14" w:rsidRPr="00FE7BA7">
        <w:rPr>
          <w:rFonts w:ascii="Verdana" w:hAnsi="Verdana"/>
          <w:spacing w:val="-2"/>
          <w:sz w:val="20"/>
          <w:szCs w:val="20"/>
          <w:lang w:val="en-US"/>
        </w:rPr>
        <w:t>(</w:t>
      </w:r>
      <w:r w:rsidR="00926E61" w:rsidRPr="00FE7BA7">
        <w:rPr>
          <w:rFonts w:ascii="Verdana" w:hAnsi="Verdana"/>
          <w:spacing w:val="-2"/>
          <w:sz w:val="20"/>
          <w:szCs w:val="20"/>
          <w:lang w:val="en-US"/>
        </w:rPr>
        <w:t xml:space="preserve">1) </w:t>
      </w:r>
      <w:r w:rsidR="002B5CCD" w:rsidRPr="00FE7BA7">
        <w:rPr>
          <w:rFonts w:ascii="Verdana" w:hAnsi="Verdana"/>
          <w:spacing w:val="-2"/>
          <w:sz w:val="20"/>
          <w:szCs w:val="20"/>
          <w:lang w:val="en-US"/>
        </w:rPr>
        <w:t xml:space="preserve">the </w:t>
      </w:r>
      <w:r w:rsidR="004C7D14" w:rsidRPr="00FE7BA7">
        <w:rPr>
          <w:rFonts w:ascii="Verdana" w:hAnsi="Verdana"/>
          <w:spacing w:val="-2"/>
          <w:sz w:val="20"/>
          <w:szCs w:val="20"/>
          <w:lang w:val="en-US"/>
        </w:rPr>
        <w:t>Kaliña and Lokono peoples</w:t>
      </w:r>
      <w:r w:rsidR="00926E61" w:rsidRPr="00FE7BA7">
        <w:rPr>
          <w:rFonts w:ascii="Verdana" w:hAnsi="Verdana"/>
          <w:spacing w:val="-2"/>
          <w:sz w:val="20"/>
          <w:szCs w:val="20"/>
          <w:lang w:val="en-US"/>
        </w:rPr>
        <w:t xml:space="preserve">; </w:t>
      </w:r>
      <w:r w:rsidR="004C7D14" w:rsidRPr="00FE7BA7">
        <w:rPr>
          <w:rFonts w:ascii="Verdana" w:hAnsi="Verdana"/>
          <w:spacing w:val="-2"/>
          <w:sz w:val="20"/>
          <w:szCs w:val="20"/>
          <w:lang w:val="en-US"/>
        </w:rPr>
        <w:t>(</w:t>
      </w:r>
      <w:r w:rsidR="00926E61" w:rsidRPr="00FE7BA7">
        <w:rPr>
          <w:rFonts w:ascii="Verdana" w:hAnsi="Verdana"/>
          <w:spacing w:val="-2"/>
          <w:sz w:val="20"/>
          <w:szCs w:val="20"/>
          <w:lang w:val="en-US"/>
        </w:rPr>
        <w:t xml:space="preserve">2) </w:t>
      </w:r>
      <w:r w:rsidR="00CA7C7B" w:rsidRPr="00FE7BA7">
        <w:rPr>
          <w:rFonts w:ascii="Verdana" w:hAnsi="Verdana"/>
          <w:spacing w:val="-2"/>
          <w:sz w:val="20"/>
          <w:szCs w:val="20"/>
          <w:lang w:val="en-US"/>
        </w:rPr>
        <w:t>Maroon settlements in the territory claimed as ancestral by</w:t>
      </w:r>
      <w:r w:rsidR="00926E61" w:rsidRPr="00FE7BA7">
        <w:rPr>
          <w:rStyle w:val="Strong"/>
          <w:rFonts w:ascii="Verdana" w:hAnsi="Verdana"/>
          <w:b w:val="0"/>
          <w:sz w:val="20"/>
          <w:szCs w:val="20"/>
          <w:lang w:val="en-US"/>
        </w:rPr>
        <w:t xml:space="preserve"> </w:t>
      </w:r>
      <w:r w:rsidR="002B5CCD" w:rsidRPr="00FE7BA7">
        <w:rPr>
          <w:rStyle w:val="Strong"/>
          <w:rFonts w:ascii="Verdana" w:hAnsi="Verdana"/>
          <w:b w:val="0"/>
          <w:sz w:val="20"/>
          <w:szCs w:val="20"/>
          <w:lang w:val="en-US"/>
        </w:rPr>
        <w:t xml:space="preserve">the </w:t>
      </w:r>
      <w:r w:rsidR="004C7D14" w:rsidRPr="00FE7BA7">
        <w:rPr>
          <w:rStyle w:val="Strong"/>
          <w:rFonts w:ascii="Verdana" w:hAnsi="Verdana"/>
          <w:b w:val="0"/>
          <w:sz w:val="20"/>
          <w:szCs w:val="20"/>
          <w:lang w:val="en-US"/>
        </w:rPr>
        <w:t>Kaliña and Lokono peoples</w:t>
      </w:r>
      <w:r w:rsidR="00926E61" w:rsidRPr="00FE7BA7">
        <w:rPr>
          <w:rStyle w:val="Strong"/>
          <w:rFonts w:ascii="Verdana" w:hAnsi="Verdana"/>
          <w:b w:val="0"/>
          <w:sz w:val="20"/>
          <w:szCs w:val="20"/>
          <w:lang w:val="en-US"/>
        </w:rPr>
        <w:t xml:space="preserve">; </w:t>
      </w:r>
      <w:r w:rsidR="004C7D14" w:rsidRPr="00FE7BA7">
        <w:rPr>
          <w:rStyle w:val="Strong"/>
          <w:rFonts w:ascii="Verdana" w:hAnsi="Verdana"/>
          <w:b w:val="0"/>
          <w:sz w:val="20"/>
          <w:szCs w:val="20"/>
          <w:lang w:val="en-US"/>
        </w:rPr>
        <w:t>(</w:t>
      </w:r>
      <w:r w:rsidR="00926E61" w:rsidRPr="00FE7BA7">
        <w:rPr>
          <w:rStyle w:val="Strong"/>
          <w:rFonts w:ascii="Verdana" w:hAnsi="Verdana"/>
          <w:b w:val="0"/>
          <w:sz w:val="20"/>
          <w:szCs w:val="20"/>
          <w:lang w:val="en-US"/>
        </w:rPr>
        <w:t>3)</w:t>
      </w:r>
      <w:r w:rsidR="00926E61" w:rsidRPr="00FE7BA7">
        <w:rPr>
          <w:rStyle w:val="Strong"/>
          <w:rFonts w:ascii="Verdana" w:hAnsi="Verdana"/>
          <w:sz w:val="20"/>
          <w:szCs w:val="20"/>
          <w:lang w:val="en-US"/>
        </w:rPr>
        <w:t xml:space="preserve"> </w:t>
      </w:r>
      <w:r w:rsidRPr="00FE7BA7">
        <w:rPr>
          <w:rFonts w:ascii="Verdana" w:hAnsi="Verdana"/>
          <w:sz w:val="20"/>
          <w:szCs w:val="20"/>
          <w:lang w:val="en-US"/>
        </w:rPr>
        <w:t>t</w:t>
      </w:r>
      <w:r w:rsidR="00CA7C7B" w:rsidRPr="00FE7BA7">
        <w:rPr>
          <w:rFonts w:ascii="Verdana" w:hAnsi="Verdana"/>
          <w:sz w:val="20"/>
          <w:szCs w:val="20"/>
          <w:lang w:val="en-US"/>
        </w:rPr>
        <w:t xml:space="preserve">he indigenous peoples under the </w:t>
      </w:r>
      <w:r w:rsidR="00184E23">
        <w:rPr>
          <w:rFonts w:ascii="Verdana" w:hAnsi="Verdana"/>
          <w:sz w:val="20"/>
          <w:szCs w:val="20"/>
          <w:lang w:val="en-US"/>
        </w:rPr>
        <w:t>Suriname</w:t>
      </w:r>
      <w:r w:rsidR="00CA7C7B" w:rsidRPr="00FE7BA7">
        <w:rPr>
          <w:rFonts w:ascii="Verdana" w:hAnsi="Verdana"/>
          <w:sz w:val="20"/>
          <w:szCs w:val="20"/>
          <w:lang w:val="en-US"/>
        </w:rPr>
        <w:t xml:space="preserve"> legal system</w:t>
      </w:r>
      <w:r w:rsidR="00926E61" w:rsidRPr="00FE7BA7">
        <w:rPr>
          <w:rFonts w:ascii="Verdana" w:hAnsi="Verdana"/>
          <w:sz w:val="20"/>
          <w:szCs w:val="20"/>
          <w:lang w:val="en-US"/>
        </w:rPr>
        <w:t xml:space="preserve">; </w:t>
      </w:r>
      <w:r w:rsidR="004C7D14" w:rsidRPr="00FE7BA7">
        <w:rPr>
          <w:rFonts w:ascii="Verdana" w:hAnsi="Verdana"/>
          <w:sz w:val="20"/>
          <w:szCs w:val="20"/>
          <w:lang w:val="en-US"/>
        </w:rPr>
        <w:t>(</w:t>
      </w:r>
      <w:r w:rsidR="00926E61" w:rsidRPr="00FE7BA7">
        <w:rPr>
          <w:rFonts w:ascii="Verdana" w:hAnsi="Verdana"/>
          <w:sz w:val="20"/>
          <w:szCs w:val="20"/>
          <w:lang w:val="en-US"/>
        </w:rPr>
        <w:t xml:space="preserve">4) </w:t>
      </w:r>
      <w:r w:rsidR="00184E23">
        <w:rPr>
          <w:rFonts w:ascii="Verdana" w:hAnsi="Verdana"/>
          <w:sz w:val="20"/>
          <w:szCs w:val="20"/>
          <w:lang w:val="en-US"/>
        </w:rPr>
        <w:t xml:space="preserve">the </w:t>
      </w:r>
      <w:r w:rsidRPr="00FE7BA7">
        <w:rPr>
          <w:rFonts w:ascii="Verdana" w:hAnsi="Verdana"/>
          <w:sz w:val="20"/>
          <w:szCs w:val="20"/>
          <w:lang w:val="en-US"/>
        </w:rPr>
        <w:t>s</w:t>
      </w:r>
      <w:r w:rsidR="00CA7C7B" w:rsidRPr="00FE7BA7">
        <w:rPr>
          <w:rFonts w:ascii="Verdana" w:hAnsi="Verdana"/>
          <w:sz w:val="20"/>
          <w:szCs w:val="20"/>
          <w:lang w:val="en-US"/>
        </w:rPr>
        <w:t>teps taken by the indigenous peoples to obtain recognition of their rights</w:t>
      </w:r>
      <w:r w:rsidR="00926E61" w:rsidRPr="00FE7BA7">
        <w:rPr>
          <w:rFonts w:ascii="Verdana" w:hAnsi="Verdana"/>
          <w:sz w:val="20"/>
          <w:szCs w:val="20"/>
          <w:lang w:val="en-US"/>
        </w:rPr>
        <w:t xml:space="preserve">; </w:t>
      </w:r>
      <w:r w:rsidR="004C7D14" w:rsidRPr="00FE7BA7">
        <w:rPr>
          <w:rFonts w:ascii="Verdana" w:hAnsi="Verdana"/>
          <w:sz w:val="20"/>
          <w:szCs w:val="20"/>
          <w:lang w:val="en-US"/>
        </w:rPr>
        <w:t>(</w:t>
      </w:r>
      <w:r w:rsidR="00926E61" w:rsidRPr="00FE7BA7">
        <w:rPr>
          <w:rFonts w:ascii="Verdana" w:hAnsi="Verdana"/>
          <w:sz w:val="20"/>
          <w:szCs w:val="20"/>
          <w:lang w:val="en-US"/>
        </w:rPr>
        <w:t>5)</w:t>
      </w:r>
      <w:r w:rsidR="00184E23">
        <w:rPr>
          <w:rFonts w:ascii="Verdana" w:hAnsi="Verdana"/>
          <w:sz w:val="20"/>
          <w:szCs w:val="20"/>
          <w:lang w:val="en-US"/>
        </w:rPr>
        <w:t xml:space="preserve"> the</w:t>
      </w:r>
      <w:r w:rsidR="00926E61" w:rsidRPr="00FE7BA7">
        <w:rPr>
          <w:rFonts w:ascii="Verdana" w:hAnsi="Verdana"/>
          <w:sz w:val="20"/>
          <w:szCs w:val="20"/>
          <w:lang w:val="en-US"/>
        </w:rPr>
        <w:t xml:space="preserve"> </w:t>
      </w:r>
      <w:r w:rsidRPr="00FE7BA7">
        <w:rPr>
          <w:rFonts w:ascii="Verdana" w:hAnsi="Verdana"/>
          <w:sz w:val="20"/>
          <w:szCs w:val="20"/>
          <w:lang w:val="en-US"/>
        </w:rPr>
        <w:t>c</w:t>
      </w:r>
      <w:r w:rsidR="00B07A66" w:rsidRPr="00FE7BA7">
        <w:rPr>
          <w:rFonts w:ascii="Verdana" w:hAnsi="Verdana"/>
          <w:sz w:val="20"/>
          <w:szCs w:val="20"/>
          <w:lang w:val="en-US"/>
        </w:rPr>
        <w:t>reation of the nature reserves</w:t>
      </w:r>
      <w:r w:rsidR="00926E61" w:rsidRPr="00FE7BA7">
        <w:rPr>
          <w:rFonts w:ascii="Verdana" w:hAnsi="Verdana"/>
          <w:sz w:val="20"/>
          <w:szCs w:val="20"/>
          <w:lang w:val="en-US"/>
        </w:rPr>
        <w:t>,</w:t>
      </w:r>
      <w:r w:rsidR="002B5CCD" w:rsidRPr="00FE7BA7">
        <w:rPr>
          <w:rFonts w:ascii="Verdana" w:hAnsi="Verdana"/>
          <w:sz w:val="20"/>
          <w:szCs w:val="20"/>
          <w:lang w:val="en-US"/>
        </w:rPr>
        <w:t xml:space="preserve"> and </w:t>
      </w:r>
      <w:r w:rsidR="004C7D14" w:rsidRPr="00FE7BA7">
        <w:rPr>
          <w:rFonts w:ascii="Verdana" w:hAnsi="Verdana"/>
          <w:sz w:val="20"/>
          <w:szCs w:val="20"/>
          <w:lang w:val="en-US"/>
        </w:rPr>
        <w:t>(</w:t>
      </w:r>
      <w:r w:rsidR="00926E61" w:rsidRPr="00FE7BA7">
        <w:rPr>
          <w:rFonts w:ascii="Verdana" w:hAnsi="Verdana"/>
          <w:sz w:val="20"/>
          <w:szCs w:val="20"/>
          <w:lang w:val="en-US"/>
        </w:rPr>
        <w:t xml:space="preserve">6) </w:t>
      </w:r>
      <w:r w:rsidR="00184E23">
        <w:rPr>
          <w:rFonts w:ascii="Verdana" w:hAnsi="Verdana"/>
          <w:sz w:val="20"/>
          <w:szCs w:val="20"/>
          <w:lang w:val="en-US"/>
        </w:rPr>
        <w:t xml:space="preserve">the </w:t>
      </w:r>
      <w:r w:rsidRPr="00FE7BA7">
        <w:rPr>
          <w:rFonts w:ascii="Verdana" w:hAnsi="Verdana"/>
          <w:sz w:val="20"/>
          <w:szCs w:val="20"/>
          <w:lang w:val="en-US"/>
        </w:rPr>
        <w:t xml:space="preserve">urban </w:t>
      </w:r>
      <w:r w:rsidR="00607406">
        <w:rPr>
          <w:rFonts w:ascii="Verdana" w:hAnsi="Verdana"/>
          <w:sz w:val="20"/>
          <w:szCs w:val="20"/>
          <w:lang w:val="en-US"/>
        </w:rPr>
        <w:t>subdivision</w:t>
      </w:r>
      <w:r w:rsidRPr="00FE7BA7">
        <w:rPr>
          <w:rFonts w:ascii="Verdana" w:hAnsi="Verdana"/>
          <w:sz w:val="20"/>
          <w:szCs w:val="20"/>
          <w:lang w:val="en-US"/>
        </w:rPr>
        <w:t xml:space="preserve"> project known as </w:t>
      </w:r>
      <w:r w:rsidR="00926E61" w:rsidRPr="00FE7BA7">
        <w:rPr>
          <w:rFonts w:ascii="Verdana" w:hAnsi="Verdana"/>
          <w:sz w:val="20"/>
          <w:szCs w:val="20"/>
          <w:lang w:val="en-US"/>
        </w:rPr>
        <w:t>"Tuinstad Albina" (“Garden City Albina”).</w:t>
      </w:r>
      <w:r w:rsidR="00CD6884" w:rsidRPr="00FE7BA7">
        <w:rPr>
          <w:rFonts w:ascii="Verdana" w:hAnsi="Verdana"/>
          <w:sz w:val="20"/>
          <w:szCs w:val="20"/>
          <w:lang w:val="en-US"/>
        </w:rPr>
        <w:t xml:space="preserve"> </w:t>
      </w:r>
      <w:r w:rsidRPr="00FE7BA7">
        <w:rPr>
          <w:rFonts w:ascii="Verdana" w:hAnsi="Verdana"/>
          <w:sz w:val="20"/>
          <w:szCs w:val="20"/>
          <w:lang w:val="en-US"/>
        </w:rPr>
        <w:t xml:space="preserve">Any facts that took place prior to Suriname’s </w:t>
      </w:r>
      <w:r w:rsidR="00FE7BA7" w:rsidRPr="00FE7BA7">
        <w:rPr>
          <w:rFonts w:ascii="Verdana" w:hAnsi="Verdana"/>
          <w:sz w:val="20"/>
          <w:szCs w:val="20"/>
          <w:lang w:val="en-US"/>
        </w:rPr>
        <w:t>ratification</w:t>
      </w:r>
      <w:r w:rsidRPr="00FE7BA7">
        <w:rPr>
          <w:rFonts w:ascii="Verdana" w:hAnsi="Verdana"/>
          <w:sz w:val="20"/>
          <w:szCs w:val="20"/>
          <w:lang w:val="en-US"/>
        </w:rPr>
        <w:t xml:space="preserve"> of the contentious jurisdiction of the Court </w:t>
      </w:r>
      <w:r w:rsidR="00CD6884" w:rsidRPr="00FE7BA7">
        <w:rPr>
          <w:rFonts w:ascii="Verdana" w:hAnsi="Verdana"/>
          <w:spacing w:val="-2"/>
          <w:sz w:val="20"/>
          <w:szCs w:val="20"/>
          <w:lang w:val="en-US"/>
        </w:rPr>
        <w:t>(</w:t>
      </w:r>
      <w:r w:rsidRPr="00FE7BA7">
        <w:rPr>
          <w:rFonts w:ascii="Verdana" w:hAnsi="Verdana"/>
          <w:spacing w:val="-2"/>
          <w:sz w:val="20"/>
          <w:szCs w:val="20"/>
          <w:lang w:val="en-US"/>
        </w:rPr>
        <w:t xml:space="preserve">on </w:t>
      </w:r>
      <w:r w:rsidR="004C7D14" w:rsidRPr="00FE7BA7">
        <w:rPr>
          <w:rFonts w:ascii="Verdana" w:hAnsi="Verdana"/>
          <w:spacing w:val="-2"/>
          <w:sz w:val="20"/>
          <w:szCs w:val="20"/>
          <w:lang w:val="en-US"/>
        </w:rPr>
        <w:t>November 12,</w:t>
      </w:r>
      <w:r w:rsidR="00CD6884" w:rsidRPr="00FE7BA7">
        <w:rPr>
          <w:rFonts w:ascii="Verdana" w:hAnsi="Verdana"/>
          <w:spacing w:val="-2"/>
          <w:sz w:val="20"/>
          <w:szCs w:val="20"/>
          <w:lang w:val="en-US"/>
        </w:rPr>
        <w:t xml:space="preserve"> 1987)</w:t>
      </w:r>
      <w:r w:rsidRPr="00FE7BA7">
        <w:rPr>
          <w:rFonts w:ascii="Verdana" w:hAnsi="Verdana"/>
          <w:spacing w:val="-2"/>
          <w:sz w:val="20"/>
          <w:szCs w:val="20"/>
          <w:lang w:val="en-US"/>
        </w:rPr>
        <w:t xml:space="preserve"> will only be referred to as part of the background to the case submitted to </w:t>
      </w:r>
      <w:r w:rsidR="002B5CCD" w:rsidRPr="00FE7BA7">
        <w:rPr>
          <w:rFonts w:ascii="Verdana" w:hAnsi="Verdana"/>
          <w:spacing w:val="-2"/>
          <w:sz w:val="20"/>
          <w:szCs w:val="20"/>
          <w:lang w:val="en-US"/>
        </w:rPr>
        <w:t>the Court</w:t>
      </w:r>
      <w:r w:rsidR="00CD6884" w:rsidRPr="00FE7BA7">
        <w:rPr>
          <w:rFonts w:ascii="Verdana" w:hAnsi="Verdana"/>
          <w:sz w:val="20"/>
          <w:szCs w:val="20"/>
          <w:lang w:val="en-US"/>
        </w:rPr>
        <w:t>.</w:t>
      </w:r>
    </w:p>
    <w:p w14:paraId="63126867" w14:textId="77777777" w:rsidR="00926E61" w:rsidRPr="00FE7BA7" w:rsidRDefault="00926E61" w:rsidP="00926E61">
      <w:pPr>
        <w:jc w:val="both"/>
        <w:rPr>
          <w:rFonts w:ascii="Verdana" w:hAnsi="Verdana"/>
          <w:sz w:val="20"/>
          <w:szCs w:val="20"/>
          <w:lang w:val="en-US"/>
        </w:rPr>
      </w:pPr>
    </w:p>
    <w:p w14:paraId="63126868" w14:textId="77777777" w:rsidR="00926E61" w:rsidRPr="00FE7BA7" w:rsidRDefault="002B5CCD" w:rsidP="00E26926">
      <w:pPr>
        <w:pStyle w:val="Heading2"/>
        <w:numPr>
          <w:ilvl w:val="0"/>
          <w:numId w:val="10"/>
        </w:numPr>
        <w:spacing w:before="0"/>
        <w:rPr>
          <w:rFonts w:ascii="Verdana" w:hAnsi="Verdana"/>
          <w:i/>
          <w:color w:val="auto"/>
          <w:sz w:val="20"/>
          <w:szCs w:val="20"/>
          <w:lang w:val="en-US"/>
        </w:rPr>
      </w:pPr>
      <w:bookmarkStart w:id="13" w:name="_Toc441673186"/>
      <w:r w:rsidRPr="00FE7BA7">
        <w:rPr>
          <w:rFonts w:ascii="Verdana" w:hAnsi="Verdana"/>
          <w:i/>
          <w:color w:val="auto"/>
          <w:sz w:val="20"/>
          <w:szCs w:val="20"/>
          <w:lang w:val="en-US"/>
        </w:rPr>
        <w:t xml:space="preserve">The </w:t>
      </w:r>
      <w:r w:rsidR="004C7D14" w:rsidRPr="00FE7BA7">
        <w:rPr>
          <w:rFonts w:ascii="Verdana" w:hAnsi="Verdana"/>
          <w:i/>
          <w:color w:val="auto"/>
          <w:sz w:val="20"/>
          <w:szCs w:val="20"/>
          <w:lang w:val="en-US"/>
        </w:rPr>
        <w:t>Kaliña and Lokono peoples</w:t>
      </w:r>
      <w:bookmarkEnd w:id="13"/>
    </w:p>
    <w:p w14:paraId="63126869" w14:textId="77777777" w:rsidR="00926E61" w:rsidRPr="00FE7BA7" w:rsidRDefault="00926E61" w:rsidP="00926E61">
      <w:pPr>
        <w:jc w:val="both"/>
        <w:rPr>
          <w:rFonts w:ascii="Verdana" w:hAnsi="Verdana"/>
          <w:sz w:val="20"/>
          <w:szCs w:val="20"/>
          <w:lang w:val="en-US"/>
        </w:rPr>
      </w:pPr>
    </w:p>
    <w:p w14:paraId="6312686A" w14:textId="77777777" w:rsidR="00AE3C94" w:rsidRPr="00FE7BA7" w:rsidRDefault="004C7D14"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area of the Lower Marowijne River</w:t>
      </w:r>
      <w:r w:rsidR="00926E61" w:rsidRPr="00FE7BA7">
        <w:rPr>
          <w:rFonts w:ascii="Verdana" w:hAnsi="Verdana"/>
          <w:sz w:val="20"/>
          <w:szCs w:val="20"/>
          <w:lang w:val="en-US"/>
        </w:rPr>
        <w:t xml:space="preserve">, </w:t>
      </w:r>
      <w:r w:rsidRPr="00FE7BA7">
        <w:rPr>
          <w:rFonts w:ascii="Verdana" w:hAnsi="Verdana"/>
          <w:sz w:val="20"/>
          <w:szCs w:val="20"/>
          <w:lang w:val="en-US"/>
        </w:rPr>
        <w:t xml:space="preserve">located in the extreme northeast of Suriname, which borders on French Guiana, has been territory used and occupied ancestrally by indigenous peoples, particularly </w:t>
      </w:r>
      <w:r w:rsidR="00635ACD" w:rsidRPr="00FE7BA7">
        <w:rPr>
          <w:rFonts w:ascii="Verdana" w:hAnsi="Verdana"/>
          <w:sz w:val="20"/>
          <w:szCs w:val="20"/>
          <w:lang w:val="en-US"/>
        </w:rPr>
        <w:t xml:space="preserve">of the </w:t>
      </w:r>
      <w:r w:rsidRPr="00FE7BA7">
        <w:rPr>
          <w:rFonts w:ascii="Verdana" w:hAnsi="Verdana"/>
          <w:sz w:val="20"/>
          <w:szCs w:val="20"/>
          <w:lang w:val="en-US"/>
        </w:rPr>
        <w:t>Kaliña and Lokono peoples.</w:t>
      </w:r>
      <w:r w:rsidR="00926E61" w:rsidRPr="00FE7BA7">
        <w:rPr>
          <w:rStyle w:val="FootnoteReference"/>
          <w:szCs w:val="20"/>
          <w:lang w:val="en-US"/>
        </w:rPr>
        <w:footnoteReference w:id="31"/>
      </w:r>
      <w:r w:rsidR="00926E61"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865E4A" w:rsidRPr="00FE7BA7">
        <w:rPr>
          <w:rFonts w:ascii="Verdana" w:hAnsi="Verdana"/>
          <w:sz w:val="20"/>
          <w:szCs w:val="20"/>
          <w:lang w:val="en-US"/>
        </w:rPr>
        <w:t xml:space="preserve">Kaliña and Lokono peoples are </w:t>
      </w:r>
      <w:r w:rsidRPr="00FE7BA7">
        <w:rPr>
          <w:rFonts w:ascii="Verdana" w:hAnsi="Verdana"/>
          <w:sz w:val="20"/>
          <w:szCs w:val="20"/>
          <w:lang w:val="en-US"/>
        </w:rPr>
        <w:t>two of the four indigenous peoples with the largest population in</w:t>
      </w:r>
      <w:r w:rsidR="00926E61" w:rsidRPr="00FE7BA7">
        <w:rPr>
          <w:rFonts w:ascii="Verdana" w:hAnsi="Verdana"/>
          <w:sz w:val="20"/>
          <w:szCs w:val="20"/>
          <w:lang w:val="en-US"/>
        </w:rPr>
        <w:t xml:space="preserve"> </w:t>
      </w:r>
      <w:r w:rsidRPr="00FE7BA7">
        <w:rPr>
          <w:rFonts w:ascii="Verdana" w:hAnsi="Verdana"/>
          <w:sz w:val="20"/>
          <w:szCs w:val="20"/>
          <w:lang w:val="en-US"/>
        </w:rPr>
        <w:t>Suriname,</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are known as the </w:t>
      </w:r>
      <w:r w:rsidR="00926E61" w:rsidRPr="00FE7BA7">
        <w:rPr>
          <w:rFonts w:ascii="Verdana" w:hAnsi="Verdana"/>
          <w:sz w:val="20"/>
          <w:szCs w:val="20"/>
          <w:lang w:val="en-US"/>
        </w:rPr>
        <w:t>“</w:t>
      </w:r>
      <w:r w:rsidR="00635ACD" w:rsidRPr="00FE7BA7">
        <w:rPr>
          <w:rFonts w:ascii="Verdana" w:hAnsi="Verdana"/>
          <w:sz w:val="20"/>
          <w:szCs w:val="20"/>
          <w:lang w:val="en-US"/>
        </w:rPr>
        <w:t>Lower Marowijne</w:t>
      </w:r>
      <w:r w:rsidRPr="00FE7BA7">
        <w:rPr>
          <w:rFonts w:ascii="Verdana" w:hAnsi="Verdana"/>
          <w:sz w:val="20"/>
          <w:szCs w:val="20"/>
          <w:lang w:val="en-US"/>
        </w:rPr>
        <w:t xml:space="preserve"> </w:t>
      </w:r>
      <w:r w:rsidR="00FE7BA7" w:rsidRPr="00FE7BA7">
        <w:rPr>
          <w:rFonts w:ascii="Verdana" w:hAnsi="Verdana"/>
          <w:sz w:val="20"/>
          <w:szCs w:val="20"/>
          <w:lang w:val="en-US"/>
        </w:rPr>
        <w:t>Peoples</w:t>
      </w:r>
      <w:r w:rsidRPr="00FE7BA7">
        <w:rPr>
          <w:rFonts w:ascii="Verdana" w:hAnsi="Verdana"/>
          <w:sz w:val="20"/>
          <w:szCs w:val="20"/>
          <w:lang w:val="en-US"/>
        </w:rPr>
        <w:t>.</w:t>
      </w:r>
      <w:r w:rsidR="00926E61" w:rsidRPr="00FE7BA7">
        <w:rPr>
          <w:rFonts w:ascii="Verdana" w:hAnsi="Verdana"/>
          <w:sz w:val="20"/>
          <w:szCs w:val="20"/>
          <w:lang w:val="en-US"/>
        </w:rPr>
        <w:t>”</w:t>
      </w:r>
      <w:r w:rsidR="00926E61" w:rsidRPr="00FE7BA7">
        <w:rPr>
          <w:rStyle w:val="FootnoteReference"/>
          <w:szCs w:val="20"/>
          <w:lang w:val="en-US"/>
        </w:rPr>
        <w:footnoteReference w:id="32"/>
      </w:r>
    </w:p>
    <w:p w14:paraId="6312686B" w14:textId="77777777" w:rsidR="009B781F" w:rsidRPr="00FE7BA7" w:rsidRDefault="00926E61" w:rsidP="007E20F9">
      <w:pPr>
        <w:pStyle w:val="ListParagraph"/>
        <w:ind w:left="0"/>
        <w:jc w:val="both"/>
        <w:rPr>
          <w:rFonts w:ascii="Verdana" w:hAnsi="Verdana"/>
          <w:sz w:val="20"/>
          <w:szCs w:val="20"/>
          <w:lang w:val="en-US"/>
        </w:rPr>
      </w:pPr>
      <w:r w:rsidRPr="00FE7BA7">
        <w:rPr>
          <w:rFonts w:ascii="Verdana" w:hAnsi="Verdana"/>
          <w:sz w:val="20"/>
          <w:szCs w:val="20"/>
          <w:lang w:val="en-US"/>
        </w:rPr>
        <w:t xml:space="preserve"> </w:t>
      </w:r>
    </w:p>
    <w:p w14:paraId="6312686C" w14:textId="6A887173" w:rsidR="00926E61" w:rsidRPr="00FE7BA7" w:rsidRDefault="002B5CCD"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004C7D14" w:rsidRPr="00FE7BA7">
        <w:rPr>
          <w:rFonts w:ascii="Verdana" w:hAnsi="Verdana"/>
          <w:sz w:val="20"/>
          <w:szCs w:val="20"/>
          <w:lang w:val="en-US"/>
        </w:rPr>
        <w:t>Kaliña and Lokono communities consist of eight villages that</w:t>
      </w:r>
      <w:r w:rsidR="00072765">
        <w:rPr>
          <w:rFonts w:ascii="Verdana" w:hAnsi="Verdana"/>
          <w:sz w:val="20"/>
          <w:szCs w:val="20"/>
          <w:lang w:val="en-US"/>
        </w:rPr>
        <w:t xml:space="preserve"> are parties to </w:t>
      </w:r>
      <w:r w:rsidR="004C7D14" w:rsidRPr="00FE7BA7">
        <w:rPr>
          <w:rFonts w:ascii="Verdana" w:hAnsi="Verdana"/>
          <w:sz w:val="20"/>
          <w:szCs w:val="20"/>
          <w:lang w:val="en-US"/>
        </w:rPr>
        <w:t>this case; of these six are</w:t>
      </w:r>
      <w:r w:rsidR="00926E61" w:rsidRPr="00FE7BA7">
        <w:rPr>
          <w:rFonts w:ascii="Verdana" w:hAnsi="Verdana"/>
          <w:sz w:val="20"/>
          <w:szCs w:val="20"/>
          <w:lang w:val="en-US"/>
        </w:rPr>
        <w:t xml:space="preserve"> Kaliña</w:t>
      </w:r>
      <w:r w:rsidRPr="00FE7BA7">
        <w:rPr>
          <w:rFonts w:ascii="Verdana" w:hAnsi="Verdana"/>
          <w:sz w:val="20"/>
          <w:szCs w:val="20"/>
          <w:lang w:val="en-US"/>
        </w:rPr>
        <w:t xml:space="preserve"> and </w:t>
      </w:r>
      <w:r w:rsidR="004C7D14" w:rsidRPr="00FE7BA7">
        <w:rPr>
          <w:rFonts w:ascii="Verdana" w:hAnsi="Verdana"/>
          <w:sz w:val="20"/>
          <w:szCs w:val="20"/>
          <w:lang w:val="en-US"/>
        </w:rPr>
        <w:t>two are</w:t>
      </w:r>
      <w:r w:rsidR="00926E61" w:rsidRPr="00FE7BA7">
        <w:rPr>
          <w:rFonts w:ascii="Verdana" w:hAnsi="Verdana"/>
          <w:sz w:val="20"/>
          <w:szCs w:val="20"/>
          <w:lang w:val="en-US"/>
        </w:rPr>
        <w:t xml:space="preserve"> Lokono. </w:t>
      </w:r>
      <w:r w:rsidR="004C7D14" w:rsidRPr="00FE7BA7">
        <w:rPr>
          <w:rFonts w:ascii="Verdana" w:hAnsi="Verdana"/>
          <w:sz w:val="20"/>
          <w:szCs w:val="20"/>
          <w:lang w:val="en-US"/>
        </w:rPr>
        <w:t xml:space="preserve">The villages of the </w:t>
      </w:r>
      <w:r w:rsidR="00926E61" w:rsidRPr="00FE7BA7">
        <w:rPr>
          <w:rFonts w:ascii="Verdana" w:hAnsi="Verdana"/>
          <w:sz w:val="20"/>
          <w:szCs w:val="20"/>
          <w:lang w:val="en-US"/>
        </w:rPr>
        <w:t>Kaliña</w:t>
      </w:r>
      <w:r w:rsidR="004C7D14" w:rsidRPr="00FE7BA7">
        <w:rPr>
          <w:rFonts w:ascii="Verdana" w:hAnsi="Verdana"/>
          <w:sz w:val="20"/>
          <w:szCs w:val="20"/>
          <w:lang w:val="en-US"/>
        </w:rPr>
        <w:t xml:space="preserve"> people are</w:t>
      </w:r>
      <w:r w:rsidR="00926E61" w:rsidRPr="00FE7BA7">
        <w:rPr>
          <w:rFonts w:ascii="Verdana" w:hAnsi="Verdana"/>
          <w:sz w:val="20"/>
          <w:szCs w:val="20"/>
          <w:lang w:val="en-US"/>
        </w:rPr>
        <w:t xml:space="preserve"> Christiaankondre, Langamankondre, Pierrekondre, Bigiston, Erowarte</w:t>
      </w:r>
      <w:r w:rsidRPr="00FE7BA7">
        <w:rPr>
          <w:rFonts w:ascii="Verdana" w:hAnsi="Verdana"/>
          <w:sz w:val="20"/>
          <w:szCs w:val="20"/>
          <w:lang w:val="en-US"/>
        </w:rPr>
        <w:t xml:space="preserve"> and </w:t>
      </w:r>
      <w:r w:rsidR="004C7D14" w:rsidRPr="00FE7BA7">
        <w:rPr>
          <w:rFonts w:ascii="Verdana" w:hAnsi="Verdana"/>
          <w:sz w:val="20"/>
          <w:szCs w:val="20"/>
          <w:lang w:val="en-US"/>
        </w:rPr>
        <w:t xml:space="preserve">Tapuku; while the two villages of the Lokono people are </w:t>
      </w:r>
      <w:r w:rsidR="00926E61" w:rsidRPr="00FE7BA7">
        <w:rPr>
          <w:rFonts w:ascii="Verdana" w:hAnsi="Verdana"/>
          <w:sz w:val="20"/>
          <w:szCs w:val="20"/>
          <w:lang w:val="en-US"/>
        </w:rPr>
        <w:t>Marijkedorp (o</w:t>
      </w:r>
      <w:r w:rsidR="004C7D14" w:rsidRPr="00FE7BA7">
        <w:rPr>
          <w:rFonts w:ascii="Verdana" w:hAnsi="Verdana"/>
          <w:sz w:val="20"/>
          <w:szCs w:val="20"/>
          <w:lang w:val="en-US"/>
        </w:rPr>
        <w:t>r</w:t>
      </w:r>
      <w:r w:rsidR="00926E61" w:rsidRPr="00FE7BA7">
        <w:rPr>
          <w:rFonts w:ascii="Verdana" w:hAnsi="Verdana"/>
          <w:sz w:val="20"/>
          <w:szCs w:val="20"/>
          <w:lang w:val="en-US"/>
        </w:rPr>
        <w:t xml:space="preserve"> Wan Shi Sha)</w:t>
      </w:r>
      <w:r w:rsidRPr="00FE7BA7">
        <w:rPr>
          <w:rFonts w:ascii="Verdana" w:hAnsi="Verdana"/>
          <w:sz w:val="20"/>
          <w:szCs w:val="20"/>
          <w:lang w:val="en-US"/>
        </w:rPr>
        <w:t xml:space="preserve"> and </w:t>
      </w:r>
      <w:r w:rsidR="00926E61" w:rsidRPr="00FE7BA7">
        <w:rPr>
          <w:rFonts w:ascii="Verdana" w:hAnsi="Verdana"/>
          <w:sz w:val="20"/>
          <w:szCs w:val="20"/>
          <w:lang w:val="en-US"/>
        </w:rPr>
        <w:t>Alfonsdorp</w:t>
      </w:r>
      <w:r w:rsidR="004C7D14" w:rsidRPr="00FE7BA7">
        <w:rPr>
          <w:rFonts w:ascii="Verdana" w:hAnsi="Verdana"/>
          <w:sz w:val="20"/>
          <w:szCs w:val="20"/>
          <w:lang w:val="en-US"/>
        </w:rPr>
        <w:t>.</w:t>
      </w:r>
      <w:r w:rsidR="00926E61" w:rsidRPr="00FE7BA7">
        <w:rPr>
          <w:rStyle w:val="FootnoteReference"/>
          <w:szCs w:val="20"/>
          <w:lang w:val="en-US"/>
        </w:rPr>
        <w:footnoteReference w:id="33"/>
      </w:r>
      <w:r w:rsidR="00926E61" w:rsidRPr="00FE7BA7">
        <w:rPr>
          <w:rFonts w:ascii="Verdana" w:hAnsi="Verdana"/>
          <w:sz w:val="20"/>
          <w:szCs w:val="20"/>
          <w:lang w:val="en-US"/>
        </w:rPr>
        <w:t xml:space="preserve"> </w:t>
      </w:r>
      <w:r w:rsidR="00865E4A" w:rsidRPr="00FE7BA7">
        <w:rPr>
          <w:rFonts w:ascii="Verdana" w:hAnsi="Verdana"/>
          <w:sz w:val="20"/>
          <w:szCs w:val="20"/>
          <w:lang w:val="en-US"/>
        </w:rPr>
        <w:t xml:space="preserve">According to the oral history of the elders, the main area inhabited by the </w:t>
      </w:r>
      <w:r w:rsidR="00926E61" w:rsidRPr="00FE7BA7">
        <w:rPr>
          <w:rFonts w:ascii="Verdana" w:hAnsi="Verdana"/>
          <w:sz w:val="20"/>
          <w:szCs w:val="20"/>
          <w:lang w:val="en-US"/>
        </w:rPr>
        <w:t>Kaliña</w:t>
      </w:r>
      <w:r w:rsidR="00865E4A" w:rsidRPr="00FE7BA7">
        <w:rPr>
          <w:rFonts w:ascii="Verdana" w:hAnsi="Verdana"/>
          <w:sz w:val="20"/>
          <w:szCs w:val="20"/>
          <w:lang w:val="en-US"/>
        </w:rPr>
        <w:t xml:space="preserve"> was along the coast and </w:t>
      </w:r>
      <w:r w:rsidR="0064667B" w:rsidRPr="00FE7BA7">
        <w:rPr>
          <w:rFonts w:ascii="Verdana" w:hAnsi="Verdana"/>
          <w:sz w:val="20"/>
          <w:szCs w:val="20"/>
          <w:lang w:val="en-US"/>
        </w:rPr>
        <w:t xml:space="preserve">on the banks of the </w:t>
      </w:r>
      <w:r w:rsidR="00926E61" w:rsidRPr="00FE7BA7">
        <w:rPr>
          <w:rFonts w:ascii="Verdana" w:hAnsi="Verdana"/>
          <w:sz w:val="20"/>
          <w:szCs w:val="20"/>
          <w:lang w:val="en-US"/>
        </w:rPr>
        <w:t>Marowijne</w:t>
      </w:r>
      <w:r w:rsidR="0064667B" w:rsidRPr="00FE7BA7">
        <w:rPr>
          <w:rFonts w:ascii="Verdana" w:hAnsi="Verdana"/>
          <w:sz w:val="20"/>
          <w:szCs w:val="20"/>
          <w:lang w:val="en-US"/>
        </w:rPr>
        <w:t xml:space="preserve"> River</w:t>
      </w:r>
      <w:r w:rsidR="00926E61" w:rsidRPr="00FE7BA7">
        <w:rPr>
          <w:rFonts w:ascii="Verdana" w:hAnsi="Verdana"/>
          <w:sz w:val="20"/>
          <w:szCs w:val="20"/>
          <w:lang w:val="en-US"/>
        </w:rPr>
        <w:t>,</w:t>
      </w:r>
      <w:r w:rsidR="0064667B" w:rsidRPr="00FE7BA7">
        <w:rPr>
          <w:rFonts w:ascii="Verdana" w:hAnsi="Verdana"/>
          <w:sz w:val="20"/>
          <w:szCs w:val="20"/>
          <w:lang w:val="en-US"/>
        </w:rPr>
        <w:t xml:space="preserve"> while the </w:t>
      </w:r>
      <w:r w:rsidR="00926E61" w:rsidRPr="00FE7BA7">
        <w:rPr>
          <w:rFonts w:ascii="Verdana" w:hAnsi="Verdana"/>
          <w:sz w:val="20"/>
          <w:szCs w:val="20"/>
          <w:lang w:val="en-US"/>
        </w:rPr>
        <w:t>Lokono tend</w:t>
      </w:r>
      <w:r w:rsidR="0064667B" w:rsidRPr="00FE7BA7">
        <w:rPr>
          <w:rFonts w:ascii="Verdana" w:hAnsi="Verdana"/>
          <w:sz w:val="20"/>
          <w:szCs w:val="20"/>
          <w:lang w:val="en-US"/>
        </w:rPr>
        <w:t>ed to set up their villages in the interior, alongside streams</w:t>
      </w:r>
      <w:r w:rsidR="003A5E79">
        <w:rPr>
          <w:rFonts w:ascii="Verdana" w:hAnsi="Verdana"/>
          <w:sz w:val="20"/>
          <w:szCs w:val="20"/>
          <w:lang w:val="en-US"/>
        </w:rPr>
        <w:t xml:space="preserve"> or creeks</w:t>
      </w:r>
      <w:r w:rsidR="0064667B" w:rsidRPr="00FE7BA7">
        <w:rPr>
          <w:rFonts w:ascii="Verdana" w:hAnsi="Verdana"/>
          <w:sz w:val="20"/>
          <w:szCs w:val="20"/>
          <w:lang w:val="en-US"/>
        </w:rPr>
        <w:t>.</w:t>
      </w:r>
      <w:r w:rsidR="00926E61" w:rsidRPr="00FE7BA7">
        <w:rPr>
          <w:rStyle w:val="FootnoteReference"/>
          <w:szCs w:val="20"/>
          <w:lang w:val="en-US"/>
        </w:rPr>
        <w:footnoteReference w:id="34"/>
      </w:r>
      <w:r w:rsidR="00926E61"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926E61" w:rsidRPr="00FE7BA7">
        <w:rPr>
          <w:rFonts w:ascii="Verdana" w:hAnsi="Verdana"/>
          <w:sz w:val="20"/>
          <w:szCs w:val="20"/>
          <w:lang w:val="en-US"/>
        </w:rPr>
        <w:t xml:space="preserve"> </w:t>
      </w:r>
      <w:r w:rsidR="0064667B" w:rsidRPr="00FE7BA7">
        <w:rPr>
          <w:rFonts w:ascii="Verdana" w:hAnsi="Verdana"/>
          <w:sz w:val="20"/>
          <w:szCs w:val="20"/>
          <w:lang w:val="en-US"/>
        </w:rPr>
        <w:t xml:space="preserve">indicated that the ancestral territory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926E61" w:rsidRPr="00FE7BA7">
        <w:rPr>
          <w:rFonts w:ascii="Verdana" w:hAnsi="Verdana"/>
          <w:sz w:val="20"/>
          <w:szCs w:val="20"/>
          <w:lang w:val="en-US"/>
        </w:rPr>
        <w:t xml:space="preserve"> </w:t>
      </w:r>
      <w:r w:rsidR="0064667B" w:rsidRPr="00FE7BA7">
        <w:rPr>
          <w:rFonts w:ascii="Verdana" w:hAnsi="Verdana"/>
          <w:sz w:val="20"/>
          <w:szCs w:val="20"/>
          <w:lang w:val="en-US"/>
        </w:rPr>
        <w:t xml:space="preserve">covered </w:t>
      </w:r>
      <w:r w:rsidR="00BE4D11" w:rsidRPr="00FE7BA7">
        <w:rPr>
          <w:rFonts w:ascii="Verdana" w:hAnsi="Verdana"/>
          <w:sz w:val="20"/>
          <w:szCs w:val="20"/>
          <w:lang w:val="en-US"/>
        </w:rPr>
        <w:t>a</w:t>
      </w:r>
      <w:r w:rsidR="0064667B" w:rsidRPr="00FE7BA7">
        <w:rPr>
          <w:rFonts w:ascii="Verdana" w:hAnsi="Verdana"/>
          <w:sz w:val="20"/>
          <w:szCs w:val="20"/>
          <w:lang w:val="en-US"/>
        </w:rPr>
        <w:t>round</w:t>
      </w:r>
      <w:r w:rsidR="00926E61" w:rsidRPr="00FE7BA7">
        <w:rPr>
          <w:rFonts w:ascii="Verdana" w:hAnsi="Verdana"/>
          <w:sz w:val="20"/>
          <w:szCs w:val="20"/>
          <w:lang w:val="en-US"/>
        </w:rPr>
        <w:t xml:space="preserve"> 133,945 </w:t>
      </w:r>
      <w:r w:rsidR="00B07A66" w:rsidRPr="00FE7BA7">
        <w:rPr>
          <w:rFonts w:ascii="Verdana" w:hAnsi="Verdana"/>
          <w:sz w:val="20"/>
          <w:szCs w:val="20"/>
          <w:lang w:val="en-US"/>
        </w:rPr>
        <w:t>hectares</w:t>
      </w:r>
      <w:r w:rsidR="00B628A8">
        <w:rPr>
          <w:rFonts w:ascii="Verdana" w:hAnsi="Verdana"/>
          <w:sz w:val="20"/>
          <w:szCs w:val="20"/>
          <w:lang w:val="en-US"/>
        </w:rPr>
        <w:t xml:space="preserve"> </w:t>
      </w:r>
      <w:r w:rsidR="00B628A8" w:rsidRPr="00FE7BA7">
        <w:rPr>
          <w:rFonts w:ascii="Verdana" w:hAnsi="Verdana"/>
          <w:sz w:val="20"/>
          <w:szCs w:val="20"/>
          <w:lang w:val="en-US"/>
        </w:rPr>
        <w:t>(hereinafter “</w:t>
      </w:r>
      <w:r w:rsidR="00B628A8">
        <w:rPr>
          <w:rFonts w:ascii="Verdana" w:hAnsi="Verdana"/>
          <w:sz w:val="20"/>
          <w:szCs w:val="20"/>
          <w:lang w:val="en-US"/>
        </w:rPr>
        <w:t>ha”).</w:t>
      </w:r>
    </w:p>
    <w:p w14:paraId="6312686D" w14:textId="77777777" w:rsidR="00926E61" w:rsidRPr="00FE7BA7" w:rsidRDefault="00926E61" w:rsidP="002C323A">
      <w:pPr>
        <w:pStyle w:val="ListParagraph"/>
        <w:ind w:left="0"/>
        <w:jc w:val="center"/>
        <w:rPr>
          <w:rFonts w:ascii="Verdana" w:hAnsi="Verdana"/>
          <w:sz w:val="20"/>
          <w:szCs w:val="20"/>
          <w:lang w:val="en-US"/>
        </w:rPr>
      </w:pPr>
    </w:p>
    <w:p w14:paraId="6312686E" w14:textId="77777777" w:rsidR="00B935FA" w:rsidRPr="00FE7BA7" w:rsidRDefault="00F678CF" w:rsidP="00926E6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Regarding the population, according to domestic records, in 2005, the eight communities consisted of around 2,026 persons distributed as follows</w:t>
      </w:r>
      <w:r w:rsidR="00926E61" w:rsidRPr="00FE7BA7">
        <w:rPr>
          <w:rFonts w:ascii="Verdana" w:hAnsi="Verdana"/>
          <w:sz w:val="20"/>
          <w:szCs w:val="20"/>
          <w:lang w:val="en-US"/>
        </w:rPr>
        <w:t xml:space="preserve">: 800 </w:t>
      </w:r>
      <w:r w:rsidRPr="00FE7BA7">
        <w:rPr>
          <w:rFonts w:ascii="Verdana" w:hAnsi="Verdana"/>
          <w:sz w:val="20"/>
          <w:szCs w:val="20"/>
          <w:lang w:val="en-US"/>
        </w:rPr>
        <w:t>between</w:t>
      </w:r>
      <w:r w:rsidR="00926E61" w:rsidRPr="00FE7BA7">
        <w:rPr>
          <w:rFonts w:ascii="Verdana" w:hAnsi="Verdana"/>
          <w:sz w:val="20"/>
          <w:szCs w:val="20"/>
          <w:lang w:val="en-US"/>
        </w:rPr>
        <w:t xml:space="preserve"> Christiaankondre</w:t>
      </w:r>
      <w:r w:rsidR="002B5CCD" w:rsidRPr="00FE7BA7">
        <w:rPr>
          <w:rFonts w:ascii="Verdana" w:hAnsi="Verdana"/>
          <w:sz w:val="20"/>
          <w:szCs w:val="20"/>
          <w:lang w:val="en-US"/>
        </w:rPr>
        <w:t xml:space="preserve"> and </w:t>
      </w:r>
      <w:r w:rsidRPr="00FE7BA7">
        <w:rPr>
          <w:rFonts w:ascii="Verdana" w:hAnsi="Verdana"/>
          <w:sz w:val="20"/>
          <w:szCs w:val="20"/>
          <w:lang w:val="en-US"/>
        </w:rPr>
        <w:t>Langamankondre; 125 in Erowarte; 129 in Tapuku; 150 in Pierrekondre; 287 i</w:t>
      </w:r>
      <w:r w:rsidR="00926E61" w:rsidRPr="00FE7BA7">
        <w:rPr>
          <w:rFonts w:ascii="Verdana" w:hAnsi="Verdana"/>
          <w:sz w:val="20"/>
          <w:szCs w:val="20"/>
          <w:lang w:val="en-US"/>
        </w:rPr>
        <w:t xml:space="preserve">n </w:t>
      </w:r>
      <w:r w:rsidR="0063316B" w:rsidRPr="00FE7BA7">
        <w:rPr>
          <w:rFonts w:ascii="Verdana" w:hAnsi="Verdana"/>
          <w:sz w:val="20"/>
          <w:szCs w:val="20"/>
          <w:lang w:val="en-US"/>
        </w:rPr>
        <w:t xml:space="preserve">Marijkedorp </w:t>
      </w:r>
      <w:r w:rsidR="0063316B" w:rsidRPr="00FE7BA7">
        <w:rPr>
          <w:rFonts w:ascii="Verdana" w:hAnsi="Verdana"/>
          <w:sz w:val="20"/>
          <w:szCs w:val="20"/>
          <w:lang w:val="en-US"/>
        </w:rPr>
        <w:lastRenderedPageBreak/>
        <w:t>(</w:t>
      </w:r>
      <w:r w:rsidR="00926E61" w:rsidRPr="00FE7BA7">
        <w:rPr>
          <w:rFonts w:ascii="Verdana" w:hAnsi="Verdana"/>
          <w:sz w:val="20"/>
          <w:szCs w:val="20"/>
          <w:lang w:val="en-US"/>
        </w:rPr>
        <w:t>Wan Shi Sha</w:t>
      </w:r>
      <w:r w:rsidR="0063316B" w:rsidRPr="00FE7BA7">
        <w:rPr>
          <w:rFonts w:ascii="Verdana" w:hAnsi="Verdana"/>
          <w:sz w:val="20"/>
          <w:szCs w:val="20"/>
          <w:lang w:val="en-US"/>
        </w:rPr>
        <w:t>)</w:t>
      </w:r>
      <w:r w:rsidRPr="00FE7BA7">
        <w:rPr>
          <w:rFonts w:ascii="Verdana" w:hAnsi="Verdana"/>
          <w:sz w:val="20"/>
          <w:szCs w:val="20"/>
          <w:lang w:val="en-US"/>
        </w:rPr>
        <w:t>; 285 i</w:t>
      </w:r>
      <w:r w:rsidR="00926E61" w:rsidRPr="00FE7BA7">
        <w:rPr>
          <w:rFonts w:ascii="Verdana" w:hAnsi="Verdana"/>
          <w:sz w:val="20"/>
          <w:szCs w:val="20"/>
          <w:lang w:val="en-US"/>
        </w:rPr>
        <w:t>n Alfonsdorp,</w:t>
      </w:r>
      <w:r w:rsidR="002B5CCD" w:rsidRPr="00FE7BA7">
        <w:rPr>
          <w:rFonts w:ascii="Verdana" w:hAnsi="Verdana"/>
          <w:sz w:val="20"/>
          <w:szCs w:val="20"/>
          <w:lang w:val="en-US"/>
        </w:rPr>
        <w:t xml:space="preserve"> and </w:t>
      </w:r>
      <w:r w:rsidRPr="00FE7BA7">
        <w:rPr>
          <w:rFonts w:ascii="Verdana" w:hAnsi="Verdana"/>
          <w:sz w:val="20"/>
          <w:szCs w:val="20"/>
          <w:lang w:val="en-US"/>
        </w:rPr>
        <w:t>250 i</w:t>
      </w:r>
      <w:r w:rsidR="00926E61" w:rsidRPr="00FE7BA7">
        <w:rPr>
          <w:rFonts w:ascii="Verdana" w:hAnsi="Verdana"/>
          <w:sz w:val="20"/>
          <w:szCs w:val="20"/>
          <w:lang w:val="en-US"/>
        </w:rPr>
        <w:t>n Bigiston</w:t>
      </w:r>
      <w:r w:rsidRPr="00FE7BA7">
        <w:rPr>
          <w:rFonts w:ascii="Verdana" w:hAnsi="Verdana"/>
          <w:sz w:val="20"/>
          <w:szCs w:val="20"/>
          <w:lang w:val="en-US"/>
        </w:rPr>
        <w:t>.</w:t>
      </w:r>
      <w:r w:rsidR="00926E61" w:rsidRPr="00FE7BA7">
        <w:rPr>
          <w:rStyle w:val="FootnoteReference"/>
          <w:szCs w:val="20"/>
          <w:lang w:val="en-US"/>
        </w:rPr>
        <w:footnoteReference w:id="35"/>
      </w:r>
      <w:r w:rsidRPr="00FE7BA7">
        <w:rPr>
          <w:rFonts w:ascii="Verdana" w:hAnsi="Verdana"/>
          <w:sz w:val="20"/>
          <w:szCs w:val="20"/>
          <w:lang w:val="en-US"/>
        </w:rPr>
        <w:t xml:space="preserve"> In addition, according to the Suriname General Directorate of Statistics, in 2015, </w:t>
      </w:r>
      <w:r w:rsidR="00926E61" w:rsidRPr="00FE7BA7">
        <w:rPr>
          <w:rFonts w:ascii="Verdana" w:hAnsi="Verdana"/>
          <w:sz w:val="20"/>
          <w:szCs w:val="20"/>
          <w:lang w:val="en-US"/>
        </w:rPr>
        <w:t xml:space="preserve">1,673 </w:t>
      </w:r>
      <w:r w:rsidRPr="00FE7BA7">
        <w:rPr>
          <w:rFonts w:ascii="Verdana" w:hAnsi="Verdana"/>
          <w:sz w:val="20"/>
          <w:szCs w:val="20"/>
          <w:lang w:val="en-US"/>
        </w:rPr>
        <w:t xml:space="preserve">indigenous persons lived in the Lower Marowijne </w:t>
      </w:r>
      <w:r w:rsidR="003A5E79">
        <w:rPr>
          <w:rFonts w:ascii="Verdana" w:hAnsi="Verdana"/>
          <w:sz w:val="20"/>
          <w:szCs w:val="20"/>
          <w:lang w:val="en-US"/>
        </w:rPr>
        <w:t>region</w:t>
      </w:r>
      <w:r w:rsidRPr="00FE7BA7">
        <w:rPr>
          <w:rFonts w:ascii="Verdana" w:hAnsi="Verdana"/>
          <w:sz w:val="20"/>
          <w:szCs w:val="20"/>
          <w:lang w:val="en-US"/>
        </w:rPr>
        <w:t xml:space="preserve">, distributed mainly between the sub-district </w:t>
      </w:r>
      <w:r w:rsidR="00926E61" w:rsidRPr="00FE7BA7">
        <w:rPr>
          <w:rFonts w:ascii="Verdana" w:hAnsi="Verdana"/>
          <w:sz w:val="20"/>
          <w:szCs w:val="20"/>
          <w:lang w:val="en-US"/>
        </w:rPr>
        <w:t>(</w:t>
      </w:r>
      <w:r w:rsidR="00926E61" w:rsidRPr="00FE7BA7">
        <w:rPr>
          <w:rFonts w:ascii="Verdana" w:hAnsi="Verdana"/>
          <w:i/>
          <w:sz w:val="20"/>
          <w:szCs w:val="20"/>
          <w:lang w:val="en-US"/>
        </w:rPr>
        <w:t>ressorten</w:t>
      </w:r>
      <w:r w:rsidRPr="00FE7BA7">
        <w:rPr>
          <w:rFonts w:ascii="Verdana" w:hAnsi="Verdana"/>
          <w:sz w:val="20"/>
          <w:szCs w:val="20"/>
          <w:lang w:val="en-US"/>
        </w:rPr>
        <w:t>) of</w:t>
      </w:r>
      <w:r w:rsidR="00926E61" w:rsidRPr="00FE7BA7">
        <w:rPr>
          <w:rFonts w:ascii="Verdana" w:hAnsi="Verdana"/>
          <w:sz w:val="20"/>
          <w:szCs w:val="20"/>
          <w:lang w:val="en-US"/>
        </w:rPr>
        <w:t xml:space="preserve"> Galibi, </w:t>
      </w:r>
      <w:r w:rsidRPr="00FE7BA7">
        <w:rPr>
          <w:rFonts w:ascii="Verdana" w:hAnsi="Verdana"/>
          <w:sz w:val="20"/>
          <w:szCs w:val="20"/>
          <w:lang w:val="en-US"/>
        </w:rPr>
        <w:t>with</w:t>
      </w:r>
      <w:r w:rsidR="00926E61" w:rsidRPr="00FE7BA7">
        <w:rPr>
          <w:rFonts w:ascii="Verdana" w:hAnsi="Verdana"/>
          <w:sz w:val="20"/>
          <w:szCs w:val="20"/>
          <w:lang w:val="en-US"/>
        </w:rPr>
        <w:t xml:space="preserve"> 677 ind</w:t>
      </w:r>
      <w:r w:rsidRPr="00FE7BA7">
        <w:rPr>
          <w:rFonts w:ascii="Verdana" w:hAnsi="Verdana"/>
          <w:sz w:val="20"/>
          <w:szCs w:val="20"/>
          <w:lang w:val="en-US"/>
        </w:rPr>
        <w:t>igenous persons</w:t>
      </w:r>
      <w:r w:rsidR="00926E61"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Albina, with</w:t>
      </w:r>
      <w:r w:rsidR="00926E61" w:rsidRPr="00FE7BA7">
        <w:rPr>
          <w:rFonts w:ascii="Verdana" w:hAnsi="Verdana"/>
          <w:sz w:val="20"/>
          <w:szCs w:val="20"/>
          <w:lang w:val="en-US"/>
        </w:rPr>
        <w:t xml:space="preserve"> 915</w:t>
      </w:r>
      <w:r w:rsidRPr="00FE7BA7">
        <w:rPr>
          <w:rFonts w:ascii="Verdana" w:hAnsi="Verdana"/>
          <w:sz w:val="20"/>
          <w:szCs w:val="20"/>
          <w:lang w:val="en-US"/>
        </w:rPr>
        <w:t>.</w:t>
      </w:r>
      <w:r w:rsidR="00926E61" w:rsidRPr="00FE7BA7">
        <w:rPr>
          <w:rStyle w:val="FootnoteReference"/>
          <w:szCs w:val="20"/>
          <w:lang w:val="en-US"/>
        </w:rPr>
        <w:footnoteReference w:id="36"/>
      </w:r>
      <w:r w:rsidR="00B935FA" w:rsidRPr="00FE7BA7">
        <w:rPr>
          <w:rFonts w:ascii="Verdana" w:hAnsi="Verdana"/>
          <w:sz w:val="20"/>
          <w:szCs w:val="20"/>
          <w:lang w:val="en-US"/>
        </w:rPr>
        <w:t xml:space="preserve"> </w:t>
      </w:r>
    </w:p>
    <w:p w14:paraId="6312686F" w14:textId="77777777" w:rsidR="00B935FA" w:rsidRPr="00FE7BA7" w:rsidRDefault="00B935FA" w:rsidP="00B935FA">
      <w:pPr>
        <w:pStyle w:val="ListParagraph"/>
        <w:ind w:left="0"/>
        <w:jc w:val="both"/>
        <w:rPr>
          <w:rFonts w:ascii="Verdana" w:hAnsi="Verdana"/>
          <w:sz w:val="20"/>
          <w:szCs w:val="20"/>
          <w:lang w:val="en-US"/>
        </w:rPr>
      </w:pPr>
    </w:p>
    <w:p w14:paraId="63126870" w14:textId="77777777" w:rsidR="00926E61" w:rsidRPr="00FE7BA7" w:rsidRDefault="00F678CF" w:rsidP="00926E6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main subsistence activities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926E61" w:rsidRPr="00FE7BA7">
        <w:rPr>
          <w:rFonts w:ascii="Verdana" w:hAnsi="Verdana"/>
          <w:sz w:val="20"/>
          <w:szCs w:val="20"/>
          <w:lang w:val="en-US"/>
        </w:rPr>
        <w:t xml:space="preserve"> </w:t>
      </w:r>
      <w:r w:rsidRPr="00FE7BA7">
        <w:rPr>
          <w:rFonts w:ascii="Verdana" w:hAnsi="Verdana"/>
          <w:sz w:val="20"/>
          <w:szCs w:val="20"/>
          <w:lang w:val="en-US"/>
        </w:rPr>
        <w:t>are agriculture,</w:t>
      </w:r>
      <w:r w:rsidR="00926E61" w:rsidRPr="00FE7BA7">
        <w:rPr>
          <w:rStyle w:val="FootnoteReference"/>
          <w:szCs w:val="20"/>
          <w:lang w:val="en-US"/>
        </w:rPr>
        <w:footnoteReference w:id="37"/>
      </w:r>
      <w:r w:rsidR="00926E61" w:rsidRPr="00FE7BA7">
        <w:rPr>
          <w:rFonts w:ascii="Verdana" w:hAnsi="Verdana"/>
          <w:sz w:val="20"/>
          <w:szCs w:val="20"/>
          <w:lang w:val="en-US"/>
        </w:rPr>
        <w:t xml:space="preserve"> </w:t>
      </w:r>
      <w:r w:rsidRPr="00FE7BA7">
        <w:rPr>
          <w:rFonts w:ascii="Verdana" w:hAnsi="Verdana"/>
          <w:sz w:val="20"/>
          <w:szCs w:val="20"/>
          <w:lang w:val="en-US"/>
        </w:rPr>
        <w:t>fishing,</w:t>
      </w:r>
      <w:r w:rsidR="00926E61" w:rsidRPr="00FE7BA7">
        <w:rPr>
          <w:rStyle w:val="FootnoteReference"/>
          <w:szCs w:val="20"/>
          <w:lang w:val="en-US"/>
        </w:rPr>
        <w:footnoteReference w:id="38"/>
      </w:r>
      <w:r w:rsidR="00926E61" w:rsidRPr="00FE7BA7">
        <w:rPr>
          <w:rFonts w:ascii="Verdana" w:hAnsi="Verdana"/>
          <w:sz w:val="20"/>
          <w:szCs w:val="20"/>
          <w:lang w:val="en-US"/>
        </w:rPr>
        <w:t xml:space="preserve"> </w:t>
      </w:r>
      <w:r w:rsidRPr="00FE7BA7">
        <w:rPr>
          <w:rFonts w:ascii="Verdana" w:hAnsi="Verdana"/>
          <w:sz w:val="20"/>
          <w:szCs w:val="20"/>
          <w:lang w:val="en-US"/>
        </w:rPr>
        <w:t>hunting,</w:t>
      </w:r>
      <w:r w:rsidR="00926E61" w:rsidRPr="00FE7BA7">
        <w:rPr>
          <w:rStyle w:val="FootnoteReference"/>
          <w:szCs w:val="20"/>
          <w:lang w:val="en-US"/>
        </w:rPr>
        <w:footnoteReference w:id="39"/>
      </w:r>
      <w:r w:rsidR="002B5CCD" w:rsidRPr="00FE7BA7">
        <w:rPr>
          <w:rFonts w:ascii="Verdana" w:hAnsi="Verdana"/>
          <w:sz w:val="20"/>
          <w:szCs w:val="20"/>
          <w:lang w:val="en-US"/>
        </w:rPr>
        <w:t xml:space="preserve"> and</w:t>
      </w:r>
      <w:r w:rsidRPr="00FE7BA7">
        <w:rPr>
          <w:rFonts w:ascii="Verdana" w:hAnsi="Verdana"/>
          <w:sz w:val="20"/>
          <w:szCs w:val="20"/>
          <w:lang w:val="en-US"/>
        </w:rPr>
        <w:t xml:space="preserve"> gathering non-timber forest products, such as fruits.</w:t>
      </w:r>
      <w:r w:rsidR="00926E61" w:rsidRPr="00FE7BA7">
        <w:rPr>
          <w:rStyle w:val="FootnoteReference"/>
          <w:szCs w:val="20"/>
          <w:lang w:val="en-US"/>
        </w:rPr>
        <w:footnoteReference w:id="40"/>
      </w:r>
      <w:r w:rsidR="00926E61" w:rsidRPr="00FE7BA7">
        <w:rPr>
          <w:rFonts w:ascii="Verdana" w:hAnsi="Verdana"/>
          <w:sz w:val="20"/>
          <w:szCs w:val="20"/>
          <w:lang w:val="en-US"/>
        </w:rPr>
        <w:t xml:space="preserve"> </w:t>
      </w:r>
    </w:p>
    <w:p w14:paraId="63126871" w14:textId="77777777" w:rsidR="00926E61" w:rsidRPr="00FE7BA7" w:rsidRDefault="00926E61" w:rsidP="00926E61">
      <w:pPr>
        <w:jc w:val="both"/>
        <w:rPr>
          <w:rFonts w:ascii="Verdana" w:hAnsi="Verdana"/>
          <w:sz w:val="20"/>
          <w:szCs w:val="20"/>
          <w:lang w:val="en-US"/>
        </w:rPr>
      </w:pPr>
    </w:p>
    <w:p w14:paraId="63126872" w14:textId="77777777" w:rsidR="00926E61" w:rsidRPr="00FE7BA7" w:rsidRDefault="00F678CF"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addition,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926E61" w:rsidRPr="00FE7BA7">
        <w:rPr>
          <w:rFonts w:ascii="Verdana" w:hAnsi="Verdana"/>
          <w:sz w:val="20"/>
          <w:szCs w:val="20"/>
          <w:lang w:val="en-US"/>
        </w:rPr>
        <w:t xml:space="preserve"> </w:t>
      </w:r>
      <w:r w:rsidRPr="00FE7BA7">
        <w:rPr>
          <w:rFonts w:ascii="Verdana" w:hAnsi="Verdana"/>
          <w:sz w:val="20"/>
          <w:szCs w:val="20"/>
          <w:lang w:val="en-US"/>
        </w:rPr>
        <w:t>of the Lower Marowi</w:t>
      </w:r>
      <w:r w:rsidR="00926E61" w:rsidRPr="00FE7BA7">
        <w:rPr>
          <w:rFonts w:ascii="Verdana" w:hAnsi="Verdana"/>
          <w:sz w:val="20"/>
          <w:szCs w:val="20"/>
          <w:lang w:val="en-US"/>
        </w:rPr>
        <w:t>j</w:t>
      </w:r>
      <w:r w:rsidRPr="00FE7BA7">
        <w:rPr>
          <w:rFonts w:ascii="Verdana" w:hAnsi="Verdana"/>
          <w:sz w:val="20"/>
          <w:szCs w:val="20"/>
          <w:lang w:val="en-US"/>
        </w:rPr>
        <w:t>n</w:t>
      </w:r>
      <w:r w:rsidR="00926E61" w:rsidRPr="00FE7BA7">
        <w:rPr>
          <w:rFonts w:ascii="Verdana" w:hAnsi="Verdana"/>
          <w:sz w:val="20"/>
          <w:szCs w:val="20"/>
          <w:lang w:val="en-US"/>
        </w:rPr>
        <w:t>e</w:t>
      </w:r>
      <w:r w:rsidRPr="00FE7BA7">
        <w:rPr>
          <w:rFonts w:ascii="Verdana" w:hAnsi="Verdana"/>
          <w:sz w:val="20"/>
          <w:szCs w:val="20"/>
          <w:lang w:val="en-US"/>
        </w:rPr>
        <w:t xml:space="preserve"> </w:t>
      </w:r>
      <w:r w:rsidR="003A5E79">
        <w:rPr>
          <w:rFonts w:ascii="Verdana" w:hAnsi="Verdana"/>
          <w:sz w:val="20"/>
          <w:szCs w:val="20"/>
          <w:lang w:val="en-US"/>
        </w:rPr>
        <w:t>area</w:t>
      </w:r>
      <w:r w:rsidR="00926E61" w:rsidRPr="00FE7BA7">
        <w:rPr>
          <w:rFonts w:ascii="Verdana" w:hAnsi="Verdana"/>
          <w:sz w:val="20"/>
          <w:szCs w:val="20"/>
          <w:lang w:val="en-US"/>
        </w:rPr>
        <w:t xml:space="preserve"> </w:t>
      </w:r>
      <w:r w:rsidRPr="00FE7BA7">
        <w:rPr>
          <w:rFonts w:ascii="Verdana" w:hAnsi="Verdana"/>
          <w:sz w:val="20"/>
          <w:szCs w:val="20"/>
          <w:lang w:val="en-US"/>
        </w:rPr>
        <w:t xml:space="preserve">have a special physical and </w:t>
      </w:r>
      <w:r w:rsidR="00FE7BA7" w:rsidRPr="00FE7BA7">
        <w:rPr>
          <w:rFonts w:ascii="Verdana" w:hAnsi="Verdana"/>
          <w:sz w:val="20"/>
          <w:szCs w:val="20"/>
          <w:lang w:val="en-US"/>
        </w:rPr>
        <w:t>spiritual</w:t>
      </w:r>
      <w:r w:rsidRPr="00FE7BA7">
        <w:rPr>
          <w:rFonts w:ascii="Verdana" w:hAnsi="Verdana"/>
          <w:sz w:val="20"/>
          <w:szCs w:val="20"/>
          <w:lang w:val="en-US"/>
        </w:rPr>
        <w:t xml:space="preserve"> relationship with their </w:t>
      </w:r>
      <w:r w:rsidR="003A5E79">
        <w:rPr>
          <w:rFonts w:ascii="Verdana" w:hAnsi="Verdana"/>
          <w:sz w:val="20"/>
          <w:szCs w:val="20"/>
          <w:lang w:val="en-US"/>
        </w:rPr>
        <w:t>lands</w:t>
      </w:r>
      <w:r w:rsidRPr="00FE7BA7">
        <w:rPr>
          <w:rFonts w:ascii="Verdana" w:hAnsi="Verdana"/>
          <w:sz w:val="20"/>
          <w:szCs w:val="20"/>
          <w:lang w:val="en-US"/>
        </w:rPr>
        <w:t xml:space="preserve"> and natural resources. They consider that all the animals, plants, fish, stones, streams and rivers are interconnected living beings that have protective spirits.</w:t>
      </w:r>
      <w:r w:rsidR="00926E61" w:rsidRPr="00FE7BA7">
        <w:rPr>
          <w:rStyle w:val="FootnoteReference"/>
          <w:szCs w:val="20"/>
          <w:lang w:val="en-US"/>
        </w:rPr>
        <w:footnoteReference w:id="41"/>
      </w:r>
      <w:r w:rsidR="00926E61" w:rsidRPr="00FE7BA7">
        <w:rPr>
          <w:rFonts w:ascii="Verdana" w:hAnsi="Verdana"/>
          <w:sz w:val="20"/>
          <w:szCs w:val="20"/>
          <w:lang w:val="en-US"/>
        </w:rPr>
        <w:t xml:space="preserve"> </w:t>
      </w:r>
    </w:p>
    <w:p w14:paraId="63126873" w14:textId="77777777" w:rsidR="00926E61" w:rsidRPr="00FE7BA7" w:rsidRDefault="00926E61" w:rsidP="00926E61">
      <w:pPr>
        <w:pStyle w:val="ListParagraph"/>
        <w:ind w:left="0"/>
        <w:jc w:val="both"/>
        <w:rPr>
          <w:rFonts w:ascii="Verdana" w:hAnsi="Verdana"/>
          <w:sz w:val="20"/>
          <w:szCs w:val="20"/>
          <w:lang w:val="en-US"/>
        </w:rPr>
      </w:pPr>
    </w:p>
    <w:p w14:paraId="63126874" w14:textId="77777777" w:rsidR="00926E61" w:rsidRPr="00FE7BA7" w:rsidRDefault="00F678CF"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Regarding this spiritual rel</w:t>
      </w:r>
      <w:r w:rsidR="00FE7BA7">
        <w:rPr>
          <w:rFonts w:ascii="Verdana" w:hAnsi="Verdana"/>
          <w:sz w:val="20"/>
          <w:szCs w:val="20"/>
          <w:lang w:val="en-US"/>
        </w:rPr>
        <w:t>ationship, the Court underscores</w:t>
      </w:r>
      <w:r w:rsidRPr="00FE7BA7">
        <w:rPr>
          <w:rFonts w:ascii="Verdana" w:hAnsi="Verdana"/>
          <w:sz w:val="20"/>
          <w:szCs w:val="20"/>
          <w:lang w:val="en-US"/>
        </w:rPr>
        <w:t xml:space="preserve"> that, </w:t>
      </w:r>
      <w:r w:rsidR="002272A7">
        <w:rPr>
          <w:rFonts w:ascii="Verdana" w:hAnsi="Verdana"/>
          <w:sz w:val="20"/>
          <w:szCs w:val="20"/>
          <w:lang w:val="en-US"/>
        </w:rPr>
        <w:t>based on</w:t>
      </w:r>
      <w:r w:rsidRPr="00FE7BA7">
        <w:rPr>
          <w:rFonts w:ascii="Verdana" w:hAnsi="Verdana"/>
          <w:sz w:val="20"/>
          <w:szCs w:val="20"/>
          <w:lang w:val="en-US"/>
        </w:rPr>
        <w:t xml:space="preserve"> their world </w:t>
      </w:r>
      <w:r w:rsidR="00FE7BA7" w:rsidRPr="00FE7BA7">
        <w:rPr>
          <w:rFonts w:ascii="Verdana" w:hAnsi="Verdana"/>
          <w:sz w:val="20"/>
          <w:szCs w:val="20"/>
          <w:lang w:val="en-US"/>
        </w:rPr>
        <w:t>vision</w:t>
      </w:r>
      <w:r w:rsidRPr="00FE7BA7">
        <w:rPr>
          <w:rFonts w:ascii="Verdana" w:hAnsi="Verdana"/>
          <w:sz w:val="20"/>
          <w:szCs w:val="20"/>
          <w:lang w:val="en-US"/>
        </w:rPr>
        <w:t>, the indigenous people</w:t>
      </w:r>
      <w:r w:rsidR="003A5E79">
        <w:rPr>
          <w:rFonts w:ascii="Verdana" w:hAnsi="Verdana"/>
          <w:sz w:val="20"/>
          <w:szCs w:val="20"/>
          <w:lang w:val="en-US"/>
        </w:rPr>
        <w:t>s</w:t>
      </w:r>
      <w:r w:rsidRPr="00FE7BA7">
        <w:rPr>
          <w:rFonts w:ascii="Verdana" w:hAnsi="Verdana"/>
          <w:sz w:val="20"/>
          <w:szCs w:val="20"/>
          <w:lang w:val="en-US"/>
        </w:rPr>
        <w:t xml:space="preserve"> restrict the entry into certain </w:t>
      </w:r>
      <w:r w:rsidR="002272A7">
        <w:rPr>
          <w:rFonts w:ascii="Verdana" w:hAnsi="Verdana"/>
          <w:sz w:val="20"/>
          <w:szCs w:val="20"/>
          <w:lang w:val="en-US"/>
        </w:rPr>
        <w:t>areas</w:t>
      </w:r>
      <w:r w:rsidRPr="00FE7BA7">
        <w:rPr>
          <w:rFonts w:ascii="Verdana" w:hAnsi="Verdana"/>
          <w:sz w:val="20"/>
          <w:szCs w:val="20"/>
          <w:lang w:val="en-US"/>
        </w:rPr>
        <w:t xml:space="preserve">, the logging of certain trees – such as the </w:t>
      </w:r>
      <w:r w:rsidR="00926E61" w:rsidRPr="002272A7">
        <w:rPr>
          <w:rFonts w:ascii="Verdana" w:hAnsi="Verdana"/>
          <w:i/>
          <w:sz w:val="20"/>
          <w:szCs w:val="20"/>
          <w:lang w:val="en-US"/>
        </w:rPr>
        <w:t>takini, kuma</w:t>
      </w:r>
      <w:r w:rsidR="0063316B" w:rsidRPr="002272A7">
        <w:rPr>
          <w:rFonts w:ascii="Verdana" w:hAnsi="Verdana"/>
          <w:i/>
          <w:sz w:val="20"/>
          <w:szCs w:val="20"/>
          <w:lang w:val="en-US"/>
        </w:rPr>
        <w:t>k</w:t>
      </w:r>
      <w:r w:rsidR="00926E61" w:rsidRPr="002272A7">
        <w:rPr>
          <w:rFonts w:ascii="Verdana" w:hAnsi="Verdana"/>
          <w:i/>
          <w:sz w:val="20"/>
          <w:szCs w:val="20"/>
          <w:lang w:val="en-US"/>
        </w:rPr>
        <w:t>a, uremari</w:t>
      </w:r>
      <w:r w:rsidR="002B5CCD" w:rsidRPr="002272A7">
        <w:rPr>
          <w:rFonts w:ascii="Verdana" w:hAnsi="Verdana"/>
          <w:i/>
          <w:sz w:val="20"/>
          <w:szCs w:val="20"/>
          <w:lang w:val="en-US"/>
        </w:rPr>
        <w:t xml:space="preserve"> </w:t>
      </w:r>
      <w:r w:rsidR="002B5CCD" w:rsidRPr="002272A7">
        <w:rPr>
          <w:rFonts w:ascii="Verdana" w:hAnsi="Verdana"/>
          <w:sz w:val="20"/>
          <w:szCs w:val="20"/>
          <w:lang w:val="en-US"/>
        </w:rPr>
        <w:t xml:space="preserve">and </w:t>
      </w:r>
      <w:r w:rsidR="00926E61" w:rsidRPr="002272A7">
        <w:rPr>
          <w:rFonts w:ascii="Verdana" w:hAnsi="Verdana"/>
          <w:i/>
          <w:sz w:val="20"/>
          <w:szCs w:val="20"/>
          <w:lang w:val="en-US"/>
        </w:rPr>
        <w:t>kwasini</w:t>
      </w:r>
      <w:r w:rsidR="00926E61" w:rsidRPr="00FE7BA7">
        <w:rPr>
          <w:rStyle w:val="FootnoteReference"/>
          <w:szCs w:val="20"/>
          <w:lang w:val="en-US"/>
        </w:rPr>
        <w:footnoteReference w:id="42"/>
      </w:r>
      <w:r w:rsidRPr="00FE7BA7">
        <w:rPr>
          <w:rFonts w:ascii="Verdana" w:hAnsi="Verdana"/>
          <w:sz w:val="20"/>
          <w:szCs w:val="20"/>
          <w:lang w:val="en-US"/>
        </w:rPr>
        <w:t xml:space="preserve"> - and the hunting or capture of some animals and fish, such as boa constrictors, </w:t>
      </w:r>
      <w:r w:rsidR="00FE7BA7" w:rsidRPr="00FE7BA7">
        <w:rPr>
          <w:rFonts w:ascii="Verdana" w:hAnsi="Verdana"/>
          <w:sz w:val="20"/>
          <w:szCs w:val="20"/>
          <w:lang w:val="en-US"/>
        </w:rPr>
        <w:t>manatees</w:t>
      </w:r>
      <w:r w:rsidRPr="00FE7BA7">
        <w:rPr>
          <w:rFonts w:ascii="Verdana" w:hAnsi="Verdana"/>
          <w:sz w:val="20"/>
          <w:szCs w:val="20"/>
          <w:lang w:val="en-US"/>
        </w:rPr>
        <w:t>, dolphins and turtles.</w:t>
      </w:r>
      <w:r w:rsidR="00926E61" w:rsidRPr="00FE7BA7">
        <w:rPr>
          <w:rStyle w:val="FootnoteReference"/>
          <w:szCs w:val="20"/>
          <w:lang w:val="en-US"/>
        </w:rPr>
        <w:footnoteReference w:id="43"/>
      </w:r>
      <w:r w:rsidRPr="00FE7BA7">
        <w:rPr>
          <w:rFonts w:ascii="Verdana" w:hAnsi="Verdana"/>
          <w:sz w:val="20"/>
          <w:szCs w:val="20"/>
          <w:lang w:val="en-US"/>
        </w:rPr>
        <w:t xml:space="preserve"> They also have two general rules that gui</w:t>
      </w:r>
      <w:r w:rsidR="00FE7BA7">
        <w:rPr>
          <w:rFonts w:ascii="Verdana" w:hAnsi="Verdana"/>
          <w:sz w:val="20"/>
          <w:szCs w:val="20"/>
          <w:lang w:val="en-US"/>
        </w:rPr>
        <w:t>de</w:t>
      </w:r>
      <w:r w:rsidR="003231F8" w:rsidRPr="00FE7BA7">
        <w:rPr>
          <w:rFonts w:ascii="Verdana" w:hAnsi="Verdana"/>
          <w:sz w:val="20"/>
          <w:szCs w:val="20"/>
          <w:lang w:val="en-US"/>
        </w:rPr>
        <w:t xml:space="preserve"> </w:t>
      </w:r>
      <w:r w:rsidR="00FE7BA7" w:rsidRPr="00FE7BA7">
        <w:rPr>
          <w:rFonts w:ascii="Verdana" w:hAnsi="Verdana"/>
          <w:sz w:val="20"/>
          <w:szCs w:val="20"/>
          <w:lang w:val="en-US"/>
        </w:rPr>
        <w:t>the extraction</w:t>
      </w:r>
      <w:r w:rsidRPr="00FE7BA7">
        <w:rPr>
          <w:rFonts w:ascii="Verdana" w:hAnsi="Verdana"/>
          <w:sz w:val="20"/>
          <w:szCs w:val="20"/>
          <w:lang w:val="en-US"/>
        </w:rPr>
        <w:t xml:space="preserve"> and use of natural resources, namely: (i) the prohibition to hunt or cut down young </w:t>
      </w:r>
      <w:r w:rsidRPr="002272A7">
        <w:rPr>
          <w:rFonts w:ascii="Verdana" w:hAnsi="Verdana"/>
          <w:sz w:val="20"/>
          <w:szCs w:val="20"/>
          <w:lang w:val="en-US"/>
        </w:rPr>
        <w:t>specimens, and</w:t>
      </w:r>
      <w:r w:rsidR="002272A7">
        <w:rPr>
          <w:rFonts w:ascii="Verdana" w:hAnsi="Verdana"/>
          <w:sz w:val="20"/>
          <w:szCs w:val="20"/>
          <w:lang w:val="en-US"/>
        </w:rPr>
        <w:t xml:space="preserve"> (ii) to use only what they need</w:t>
      </w:r>
      <w:r w:rsidRPr="00FE7BA7">
        <w:rPr>
          <w:rFonts w:ascii="Verdana" w:hAnsi="Verdana"/>
          <w:sz w:val="20"/>
          <w:szCs w:val="20"/>
          <w:lang w:val="en-US"/>
        </w:rPr>
        <w:t>.</w:t>
      </w:r>
      <w:r w:rsidR="00926E61" w:rsidRPr="00FE7BA7">
        <w:rPr>
          <w:rStyle w:val="FootnoteReference"/>
          <w:szCs w:val="20"/>
          <w:lang w:val="en-US"/>
        </w:rPr>
        <w:footnoteReference w:id="44"/>
      </w:r>
      <w:r w:rsidR="00926E61" w:rsidRPr="00FE7BA7">
        <w:rPr>
          <w:rFonts w:ascii="Verdana" w:hAnsi="Verdana"/>
          <w:sz w:val="20"/>
          <w:szCs w:val="20"/>
          <w:lang w:val="en-US"/>
        </w:rPr>
        <w:t xml:space="preserve"> </w:t>
      </w:r>
    </w:p>
    <w:p w14:paraId="63126875" w14:textId="77777777" w:rsidR="00926E61" w:rsidRPr="00FE7BA7" w:rsidRDefault="00926E61" w:rsidP="00926E61">
      <w:pPr>
        <w:pStyle w:val="ListParagraph"/>
        <w:ind w:left="0"/>
        <w:jc w:val="both"/>
        <w:rPr>
          <w:rFonts w:ascii="Verdana" w:hAnsi="Verdana"/>
          <w:sz w:val="20"/>
          <w:szCs w:val="20"/>
          <w:lang w:val="en-US"/>
        </w:rPr>
      </w:pPr>
    </w:p>
    <w:p w14:paraId="63126876" w14:textId="77777777" w:rsidR="00926E61" w:rsidRPr="00FE7BA7" w:rsidRDefault="005269B1"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indigenous peoples of the area have a strong spiritual relationship with the </w:t>
      </w:r>
      <w:r w:rsidR="00926E61" w:rsidRPr="00FE7BA7">
        <w:rPr>
          <w:rFonts w:ascii="Verdana" w:hAnsi="Verdana"/>
          <w:sz w:val="20"/>
          <w:szCs w:val="20"/>
          <w:lang w:val="en-US"/>
        </w:rPr>
        <w:t>Marowijne</w:t>
      </w:r>
      <w:r w:rsidRPr="00FE7BA7">
        <w:rPr>
          <w:rFonts w:ascii="Verdana" w:hAnsi="Verdana"/>
          <w:sz w:val="20"/>
          <w:szCs w:val="20"/>
          <w:lang w:val="en-US"/>
        </w:rPr>
        <w:t xml:space="preserve"> River</w:t>
      </w:r>
      <w:r w:rsidR="00926E61" w:rsidRPr="00FE7BA7">
        <w:rPr>
          <w:rFonts w:ascii="Verdana" w:hAnsi="Verdana"/>
          <w:sz w:val="20"/>
          <w:szCs w:val="20"/>
          <w:lang w:val="en-US"/>
        </w:rPr>
        <w:t xml:space="preserve">, </w:t>
      </w:r>
      <w:r w:rsidRPr="00FE7BA7">
        <w:rPr>
          <w:rFonts w:ascii="Verdana" w:hAnsi="Verdana"/>
          <w:sz w:val="20"/>
          <w:szCs w:val="20"/>
          <w:lang w:val="en-US"/>
        </w:rPr>
        <w:t>which is an essential element of their cultural identity and traditions; thus they consider t</w:t>
      </w:r>
      <w:r w:rsidR="002272A7">
        <w:rPr>
          <w:rFonts w:ascii="Verdana" w:hAnsi="Verdana"/>
          <w:sz w:val="20"/>
          <w:szCs w:val="20"/>
          <w:lang w:val="en-US"/>
        </w:rPr>
        <w:t>hat they belong to this</w:t>
      </w:r>
      <w:r w:rsidRPr="00FE7BA7">
        <w:rPr>
          <w:rFonts w:ascii="Verdana" w:hAnsi="Verdana"/>
          <w:sz w:val="20"/>
          <w:szCs w:val="20"/>
          <w:lang w:val="en-US"/>
        </w:rPr>
        <w:t xml:space="preserve"> place in the same way that it belongs to them. In addition, </w:t>
      </w:r>
      <w:r w:rsidR="002B5CCD" w:rsidRPr="00FE7BA7">
        <w:rPr>
          <w:rFonts w:ascii="Verdana" w:hAnsi="Verdana"/>
          <w:sz w:val="20"/>
          <w:szCs w:val="20"/>
          <w:lang w:val="en-US"/>
        </w:rPr>
        <w:t xml:space="preserve">the </w:t>
      </w:r>
      <w:r w:rsidR="004C7D14" w:rsidRPr="00FE7BA7">
        <w:rPr>
          <w:rFonts w:ascii="Verdana" w:hAnsi="Verdana"/>
          <w:sz w:val="20"/>
          <w:szCs w:val="20"/>
          <w:lang w:val="en-US"/>
        </w:rPr>
        <w:t xml:space="preserve">Kaliña </w:t>
      </w:r>
      <w:r w:rsidR="004C7D14" w:rsidRPr="00FE7BA7">
        <w:rPr>
          <w:rFonts w:ascii="Verdana" w:hAnsi="Verdana"/>
          <w:sz w:val="20"/>
          <w:szCs w:val="20"/>
          <w:lang w:val="en-US"/>
        </w:rPr>
        <w:lastRenderedPageBreak/>
        <w:t>and Lokono peoples</w:t>
      </w:r>
      <w:r w:rsidR="00CB39E1" w:rsidRPr="00FE7BA7">
        <w:rPr>
          <w:rFonts w:ascii="Verdana" w:hAnsi="Verdana"/>
          <w:sz w:val="20"/>
          <w:szCs w:val="20"/>
          <w:lang w:val="en-US"/>
        </w:rPr>
        <w:t xml:space="preserve"> </w:t>
      </w:r>
      <w:r w:rsidRPr="00FE7BA7">
        <w:rPr>
          <w:rFonts w:ascii="Verdana" w:hAnsi="Verdana"/>
          <w:sz w:val="20"/>
          <w:szCs w:val="20"/>
          <w:lang w:val="en-US"/>
        </w:rPr>
        <w:t xml:space="preserve">take care of their lands, not only because they and their future generations need a place </w:t>
      </w:r>
      <w:r w:rsidR="00FE7BA7" w:rsidRPr="00FE7BA7">
        <w:rPr>
          <w:rFonts w:ascii="Verdana" w:hAnsi="Verdana"/>
          <w:sz w:val="20"/>
          <w:szCs w:val="20"/>
          <w:lang w:val="en-US"/>
        </w:rPr>
        <w:t>to live</w:t>
      </w:r>
      <w:r w:rsidRPr="00FE7BA7">
        <w:rPr>
          <w:rFonts w:ascii="Verdana" w:hAnsi="Verdana"/>
          <w:sz w:val="20"/>
          <w:szCs w:val="20"/>
          <w:lang w:val="en-US"/>
        </w:rPr>
        <w:t>, but also because the culture and customs that their ancestors have instilled in them are based on a profound respect for the environment, which includes both living beings and inanimate objects.</w:t>
      </w:r>
      <w:r w:rsidR="00926E61" w:rsidRPr="00FE7BA7">
        <w:rPr>
          <w:rStyle w:val="FootnoteReference"/>
          <w:szCs w:val="20"/>
          <w:lang w:val="en-US"/>
        </w:rPr>
        <w:footnoteReference w:id="45"/>
      </w:r>
    </w:p>
    <w:p w14:paraId="63126877" w14:textId="77777777" w:rsidR="00926E61" w:rsidRPr="00FE7BA7" w:rsidRDefault="00926E61" w:rsidP="00926E61">
      <w:pPr>
        <w:pStyle w:val="ListParagraph"/>
        <w:ind w:left="0"/>
        <w:jc w:val="both"/>
        <w:rPr>
          <w:rFonts w:ascii="Verdana" w:hAnsi="Verdana"/>
          <w:sz w:val="20"/>
          <w:szCs w:val="20"/>
          <w:lang w:val="en-US"/>
        </w:rPr>
      </w:pPr>
    </w:p>
    <w:p w14:paraId="63126878" w14:textId="77777777" w:rsidR="00926E61" w:rsidRPr="00FE7BA7" w:rsidRDefault="005269B1"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Hence, for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926E61" w:rsidRPr="00FE7BA7">
        <w:rPr>
          <w:rFonts w:ascii="Verdana" w:hAnsi="Verdana"/>
          <w:sz w:val="20"/>
          <w:szCs w:val="20"/>
          <w:lang w:val="en-US"/>
        </w:rPr>
        <w:t xml:space="preserve"> </w:t>
      </w:r>
      <w:r w:rsidRPr="00FE7BA7">
        <w:rPr>
          <w:rFonts w:ascii="Verdana" w:hAnsi="Verdana"/>
          <w:sz w:val="20"/>
          <w:szCs w:val="20"/>
          <w:lang w:val="en-US"/>
        </w:rPr>
        <w:t xml:space="preserve">it is vitally important to maintain the balance between </w:t>
      </w:r>
      <w:r w:rsidR="002272A7">
        <w:rPr>
          <w:rFonts w:ascii="Verdana" w:hAnsi="Verdana"/>
          <w:sz w:val="20"/>
          <w:szCs w:val="20"/>
          <w:lang w:val="en-US"/>
        </w:rPr>
        <w:t>man</w:t>
      </w:r>
      <w:r w:rsidRPr="00FE7BA7">
        <w:rPr>
          <w:rFonts w:ascii="Verdana" w:hAnsi="Verdana"/>
          <w:sz w:val="20"/>
          <w:szCs w:val="20"/>
          <w:lang w:val="en-US"/>
        </w:rPr>
        <w:t xml:space="preserve"> and nature, and this task is the responsibility of the shamans, known as </w:t>
      </w:r>
      <w:r w:rsidR="00926E61" w:rsidRPr="00FE7BA7">
        <w:rPr>
          <w:rFonts w:ascii="Verdana" w:hAnsi="Verdana"/>
          <w:i/>
          <w:sz w:val="20"/>
          <w:szCs w:val="20"/>
          <w:lang w:val="en-US"/>
        </w:rPr>
        <w:t>piay</w:t>
      </w:r>
      <w:r w:rsidR="00926E61" w:rsidRPr="00FE7BA7">
        <w:rPr>
          <w:rFonts w:ascii="Verdana" w:hAnsi="Verdana"/>
          <w:sz w:val="20"/>
          <w:szCs w:val="20"/>
          <w:lang w:val="en-US"/>
        </w:rPr>
        <w:t xml:space="preserve"> o</w:t>
      </w:r>
      <w:r w:rsidRPr="00FE7BA7">
        <w:rPr>
          <w:rFonts w:ascii="Verdana" w:hAnsi="Verdana"/>
          <w:sz w:val="20"/>
          <w:szCs w:val="20"/>
          <w:lang w:val="en-US"/>
        </w:rPr>
        <w:t>r</w:t>
      </w:r>
      <w:r w:rsidR="00926E61" w:rsidRPr="00FE7BA7">
        <w:rPr>
          <w:rFonts w:ascii="Verdana" w:hAnsi="Verdana"/>
          <w:sz w:val="20"/>
          <w:szCs w:val="20"/>
          <w:lang w:val="en-US"/>
        </w:rPr>
        <w:t xml:space="preserve"> s</w:t>
      </w:r>
      <w:r w:rsidR="00926E61" w:rsidRPr="00FE7BA7">
        <w:rPr>
          <w:rFonts w:ascii="Verdana" w:hAnsi="Verdana"/>
          <w:i/>
          <w:sz w:val="20"/>
          <w:szCs w:val="20"/>
          <w:lang w:val="en-US"/>
        </w:rPr>
        <w:t>emechichi</w:t>
      </w:r>
      <w:r w:rsidR="00926E61" w:rsidRPr="00FE7BA7">
        <w:rPr>
          <w:rFonts w:ascii="Verdana" w:hAnsi="Verdana"/>
          <w:sz w:val="20"/>
          <w:szCs w:val="20"/>
          <w:lang w:val="en-US"/>
        </w:rPr>
        <w:t xml:space="preserve">. </w:t>
      </w:r>
      <w:r w:rsidRPr="00FE7BA7">
        <w:rPr>
          <w:rFonts w:ascii="Verdana" w:hAnsi="Verdana"/>
          <w:sz w:val="20"/>
          <w:szCs w:val="20"/>
          <w:lang w:val="en-US"/>
        </w:rPr>
        <w:t>According to their world vision, the</w:t>
      </w:r>
      <w:r w:rsidR="00926E61" w:rsidRPr="00FE7BA7">
        <w:rPr>
          <w:rFonts w:ascii="Verdana" w:hAnsi="Verdana"/>
          <w:sz w:val="20"/>
          <w:szCs w:val="20"/>
          <w:lang w:val="en-US"/>
        </w:rPr>
        <w:t xml:space="preserve"> </w:t>
      </w:r>
      <w:r w:rsidR="00926E61" w:rsidRPr="00FE7BA7">
        <w:rPr>
          <w:rFonts w:ascii="Verdana" w:hAnsi="Verdana"/>
          <w:i/>
          <w:sz w:val="20"/>
          <w:szCs w:val="20"/>
          <w:lang w:val="en-US"/>
        </w:rPr>
        <w:t>piay</w:t>
      </w:r>
      <w:r w:rsidRPr="00FE7BA7">
        <w:rPr>
          <w:rFonts w:ascii="Verdana" w:hAnsi="Verdana"/>
          <w:sz w:val="20"/>
          <w:szCs w:val="20"/>
          <w:lang w:val="en-US"/>
        </w:rPr>
        <w:t xml:space="preserve"> is able to discover if anyone has negatively altered the balance between </w:t>
      </w:r>
      <w:r w:rsidR="002272A7">
        <w:rPr>
          <w:rFonts w:ascii="Verdana" w:hAnsi="Verdana"/>
          <w:sz w:val="20"/>
          <w:szCs w:val="20"/>
          <w:lang w:val="en-US"/>
        </w:rPr>
        <w:t>men</w:t>
      </w:r>
      <w:r w:rsidRPr="00FE7BA7">
        <w:rPr>
          <w:rFonts w:ascii="Verdana" w:hAnsi="Verdana"/>
          <w:sz w:val="20"/>
          <w:szCs w:val="20"/>
          <w:lang w:val="en-US"/>
        </w:rPr>
        <w:t xml:space="preserve"> and nature through the guardians or guiding </w:t>
      </w:r>
      <w:r w:rsidR="00FE7BA7" w:rsidRPr="00FE7BA7">
        <w:rPr>
          <w:rFonts w:ascii="Verdana" w:hAnsi="Verdana"/>
          <w:sz w:val="20"/>
          <w:szCs w:val="20"/>
          <w:lang w:val="en-US"/>
        </w:rPr>
        <w:t>spirits</w:t>
      </w:r>
      <w:r w:rsidRPr="00FE7BA7">
        <w:rPr>
          <w:rFonts w:ascii="Verdana" w:hAnsi="Verdana"/>
          <w:sz w:val="20"/>
          <w:szCs w:val="20"/>
          <w:lang w:val="en-US"/>
        </w:rPr>
        <w:t xml:space="preserve">, known as </w:t>
      </w:r>
      <w:r w:rsidRPr="00FE7BA7">
        <w:rPr>
          <w:rFonts w:ascii="Verdana" w:hAnsi="Verdana"/>
          <w:i/>
          <w:sz w:val="20"/>
          <w:szCs w:val="20"/>
          <w:lang w:val="en-US"/>
        </w:rPr>
        <w:t>jakoewa</w:t>
      </w:r>
      <w:r w:rsidRPr="00FE7BA7">
        <w:rPr>
          <w:rFonts w:ascii="Verdana" w:hAnsi="Verdana"/>
          <w:sz w:val="20"/>
          <w:szCs w:val="20"/>
          <w:lang w:val="en-US"/>
        </w:rPr>
        <w:t>.</w:t>
      </w:r>
      <w:r w:rsidR="00926E61" w:rsidRPr="00FE7BA7">
        <w:rPr>
          <w:rStyle w:val="FootnoteReference"/>
          <w:szCs w:val="20"/>
          <w:lang w:val="en-US"/>
        </w:rPr>
        <w:footnoteReference w:id="46"/>
      </w:r>
    </w:p>
    <w:p w14:paraId="63126879" w14:textId="77777777" w:rsidR="00926E61" w:rsidRPr="00FE7BA7" w:rsidRDefault="00926E61" w:rsidP="00926E61">
      <w:pPr>
        <w:pStyle w:val="ListParagraph"/>
        <w:ind w:left="0"/>
        <w:jc w:val="both"/>
        <w:rPr>
          <w:rFonts w:ascii="Verdana" w:hAnsi="Verdana"/>
          <w:sz w:val="20"/>
          <w:szCs w:val="20"/>
          <w:lang w:val="en-US"/>
        </w:rPr>
      </w:pPr>
    </w:p>
    <w:p w14:paraId="6312687A" w14:textId="77777777" w:rsidR="00926E61" w:rsidRPr="00FE7BA7" w:rsidRDefault="005269B1" w:rsidP="005269B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Within </w:t>
      </w:r>
      <w:r w:rsidR="00511E56" w:rsidRPr="00FE7BA7">
        <w:rPr>
          <w:rFonts w:ascii="Verdana" w:hAnsi="Verdana"/>
          <w:sz w:val="20"/>
          <w:szCs w:val="20"/>
          <w:lang w:val="en-US"/>
        </w:rPr>
        <w:t>the</w:t>
      </w:r>
      <w:r w:rsidR="002272A7">
        <w:rPr>
          <w:rFonts w:ascii="Verdana" w:hAnsi="Verdana"/>
          <w:sz w:val="20"/>
          <w:szCs w:val="20"/>
          <w:lang w:val="en-US"/>
        </w:rPr>
        <w:t xml:space="preserve"> ancestral</w:t>
      </w:r>
      <w:r w:rsidR="00511E56" w:rsidRPr="00FE7BA7">
        <w:rPr>
          <w:rFonts w:ascii="Verdana" w:hAnsi="Verdana"/>
          <w:sz w:val="20"/>
          <w:szCs w:val="20"/>
          <w:lang w:val="en-US"/>
        </w:rPr>
        <w:t xml:space="preserve"> </w:t>
      </w:r>
      <w:r w:rsidR="002272A7">
        <w:rPr>
          <w:rFonts w:ascii="Verdana" w:hAnsi="Verdana"/>
          <w:sz w:val="20"/>
          <w:szCs w:val="20"/>
          <w:lang w:val="en-US"/>
        </w:rPr>
        <w:t>land</w:t>
      </w:r>
      <w:r w:rsidR="00926E61" w:rsidRPr="00FE7BA7">
        <w:rPr>
          <w:rFonts w:ascii="Verdana" w:hAnsi="Verdana"/>
          <w:sz w:val="20"/>
          <w:szCs w:val="20"/>
          <w:lang w:val="en-US"/>
        </w:rPr>
        <w:t xml:space="preserve">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 xml:space="preserve">certain </w:t>
      </w:r>
      <w:r w:rsidR="00FE7BA7" w:rsidRPr="00FE7BA7">
        <w:rPr>
          <w:rFonts w:ascii="Verdana" w:hAnsi="Verdana"/>
          <w:sz w:val="20"/>
          <w:szCs w:val="20"/>
          <w:lang w:val="en-US"/>
        </w:rPr>
        <w:t>areas</w:t>
      </w:r>
      <w:r w:rsidRPr="00FE7BA7">
        <w:rPr>
          <w:rFonts w:ascii="Verdana" w:hAnsi="Verdana"/>
          <w:sz w:val="20"/>
          <w:szCs w:val="20"/>
          <w:lang w:val="en-US"/>
        </w:rPr>
        <w:t xml:space="preserve"> are considere</w:t>
      </w:r>
      <w:r w:rsidR="003A5E79">
        <w:rPr>
          <w:rFonts w:ascii="Verdana" w:hAnsi="Verdana"/>
          <w:sz w:val="20"/>
          <w:szCs w:val="20"/>
          <w:lang w:val="en-US"/>
        </w:rPr>
        <w:t>d sacred or spiritual sites</w:t>
      </w:r>
      <w:r w:rsidRPr="00FE7BA7">
        <w:rPr>
          <w:rFonts w:ascii="Verdana" w:hAnsi="Verdana"/>
          <w:sz w:val="20"/>
          <w:szCs w:val="20"/>
          <w:lang w:val="en-US"/>
        </w:rPr>
        <w:t xml:space="preserve"> to which the indigenous peoples themselves </w:t>
      </w:r>
      <w:r w:rsidR="00FE7BA7" w:rsidRPr="00FE7BA7">
        <w:rPr>
          <w:rFonts w:ascii="Verdana" w:hAnsi="Verdana"/>
          <w:sz w:val="20"/>
          <w:szCs w:val="20"/>
          <w:lang w:val="en-US"/>
        </w:rPr>
        <w:t>restrict</w:t>
      </w:r>
      <w:r w:rsidRPr="00FE7BA7">
        <w:rPr>
          <w:rFonts w:ascii="Verdana" w:hAnsi="Verdana"/>
          <w:sz w:val="20"/>
          <w:szCs w:val="20"/>
          <w:lang w:val="en-US"/>
        </w:rPr>
        <w:t xml:space="preserve"> entry based on their world vision. The following are among the most important in the areas near Galibi and the Marowijne River: </w:t>
      </w:r>
      <w:r w:rsidR="00926E61" w:rsidRPr="00FE7BA7">
        <w:rPr>
          <w:rFonts w:ascii="Verdana" w:hAnsi="Verdana"/>
          <w:sz w:val="20"/>
          <w:szCs w:val="20"/>
          <w:lang w:val="en-US"/>
        </w:rPr>
        <w:t>Kumakande; Korotoko yume; Sek´se</w:t>
      </w:r>
      <w:r w:rsidR="0063316B" w:rsidRPr="00FE7BA7">
        <w:rPr>
          <w:rFonts w:ascii="Verdana" w:hAnsi="Verdana"/>
          <w:sz w:val="20"/>
          <w:szCs w:val="20"/>
          <w:lang w:val="en-US"/>
        </w:rPr>
        <w:t>ki</w:t>
      </w:r>
      <w:r w:rsidR="00926E61" w:rsidRPr="00FE7BA7">
        <w:rPr>
          <w:rFonts w:ascii="Verdana" w:hAnsi="Verdana"/>
          <w:sz w:val="20"/>
          <w:szCs w:val="20"/>
          <w:lang w:val="en-US"/>
        </w:rPr>
        <w:t xml:space="preserve"> sabana; Alakoeserie bate; Masjipe Itjoeloe,</w:t>
      </w:r>
      <w:r w:rsidR="002B5CCD" w:rsidRPr="00FE7BA7">
        <w:rPr>
          <w:rFonts w:ascii="Verdana" w:hAnsi="Verdana"/>
          <w:sz w:val="20"/>
          <w:szCs w:val="20"/>
          <w:lang w:val="en-US"/>
        </w:rPr>
        <w:t xml:space="preserve"> and </w:t>
      </w:r>
      <w:r w:rsidR="00926E61" w:rsidRPr="00FE7BA7">
        <w:rPr>
          <w:rFonts w:ascii="Verdana" w:hAnsi="Verdana"/>
          <w:sz w:val="20"/>
          <w:szCs w:val="20"/>
          <w:lang w:val="en-US"/>
        </w:rPr>
        <w:t xml:space="preserve">Kanawa. </w:t>
      </w:r>
      <w:r w:rsidRPr="00FE7BA7">
        <w:rPr>
          <w:rFonts w:ascii="Verdana" w:hAnsi="Verdana"/>
          <w:sz w:val="20"/>
          <w:szCs w:val="20"/>
          <w:lang w:val="en-US"/>
        </w:rPr>
        <w:t xml:space="preserve">While, near </w:t>
      </w:r>
      <w:r w:rsidR="00926E61" w:rsidRPr="00FE7BA7">
        <w:rPr>
          <w:rFonts w:ascii="Verdana" w:hAnsi="Verdana"/>
          <w:sz w:val="20"/>
          <w:szCs w:val="20"/>
          <w:lang w:val="en-US"/>
        </w:rPr>
        <w:t>Alfonsdo</w:t>
      </w:r>
      <w:r w:rsidR="0063316B" w:rsidRPr="00FE7BA7">
        <w:rPr>
          <w:rFonts w:ascii="Verdana" w:hAnsi="Verdana"/>
          <w:sz w:val="20"/>
          <w:szCs w:val="20"/>
          <w:lang w:val="en-US"/>
        </w:rPr>
        <w:t>r</w:t>
      </w:r>
      <w:r w:rsidR="00926E61" w:rsidRPr="00FE7BA7">
        <w:rPr>
          <w:rFonts w:ascii="Verdana" w:hAnsi="Verdana"/>
          <w:sz w:val="20"/>
          <w:szCs w:val="20"/>
          <w:lang w:val="en-US"/>
        </w:rPr>
        <w:t>p</w:t>
      </w:r>
      <w:r w:rsidR="002B5CCD" w:rsidRPr="00FE7BA7">
        <w:rPr>
          <w:rFonts w:ascii="Verdana" w:hAnsi="Verdana"/>
          <w:sz w:val="20"/>
          <w:szCs w:val="20"/>
          <w:lang w:val="en-US"/>
        </w:rPr>
        <w:t xml:space="preserve"> and </w:t>
      </w:r>
      <w:r w:rsidR="00926E61" w:rsidRPr="00FE7BA7">
        <w:rPr>
          <w:rFonts w:ascii="Verdana" w:hAnsi="Verdana"/>
          <w:sz w:val="20"/>
          <w:szCs w:val="20"/>
          <w:lang w:val="en-US"/>
        </w:rPr>
        <w:t xml:space="preserve">Wane Kreek </w:t>
      </w:r>
      <w:r w:rsidRPr="00FE7BA7">
        <w:rPr>
          <w:rFonts w:ascii="Verdana" w:hAnsi="Verdana"/>
          <w:sz w:val="20"/>
          <w:szCs w:val="20"/>
          <w:lang w:val="en-US"/>
        </w:rPr>
        <w:t>the following are important</w:t>
      </w:r>
      <w:r w:rsidR="00926E61" w:rsidRPr="00FE7BA7">
        <w:rPr>
          <w:rFonts w:ascii="Verdana" w:hAnsi="Verdana"/>
          <w:sz w:val="20"/>
          <w:szCs w:val="20"/>
          <w:lang w:val="en-US"/>
        </w:rPr>
        <w:t>: Dede Betre; Balakaiman,</w:t>
      </w:r>
      <w:r w:rsidR="002B5CCD" w:rsidRPr="00FE7BA7">
        <w:rPr>
          <w:rFonts w:ascii="Verdana" w:hAnsi="Verdana"/>
          <w:sz w:val="20"/>
          <w:szCs w:val="20"/>
          <w:lang w:val="en-US"/>
        </w:rPr>
        <w:t xml:space="preserve"> and </w:t>
      </w:r>
      <w:r w:rsidR="00926E61" w:rsidRPr="00FE7BA7">
        <w:rPr>
          <w:rFonts w:ascii="Verdana" w:hAnsi="Verdana"/>
          <w:sz w:val="20"/>
          <w:szCs w:val="20"/>
          <w:lang w:val="en-US"/>
        </w:rPr>
        <w:t>Awaradaja.</w:t>
      </w:r>
      <w:r w:rsidRPr="00FE7BA7">
        <w:rPr>
          <w:rFonts w:ascii="Verdana" w:hAnsi="Verdana"/>
          <w:sz w:val="20"/>
          <w:szCs w:val="20"/>
          <w:lang w:val="en-US"/>
        </w:rPr>
        <w:t xml:space="preserve"> Lastly, in the area of</w:t>
      </w:r>
      <w:r w:rsidR="00926E61" w:rsidRPr="00FE7BA7">
        <w:rPr>
          <w:rFonts w:ascii="Verdana" w:hAnsi="Verdana"/>
          <w:sz w:val="20"/>
          <w:szCs w:val="20"/>
          <w:lang w:val="en-US"/>
        </w:rPr>
        <w:t xml:space="preserve"> Bigiston </w:t>
      </w:r>
      <w:r w:rsidRPr="00FE7BA7">
        <w:rPr>
          <w:rFonts w:ascii="Verdana" w:hAnsi="Verdana"/>
          <w:sz w:val="20"/>
          <w:szCs w:val="20"/>
          <w:lang w:val="en-US"/>
        </w:rPr>
        <w:t xml:space="preserve">the most important are </w:t>
      </w:r>
      <w:r w:rsidR="00926E61" w:rsidRPr="00FE7BA7">
        <w:rPr>
          <w:rFonts w:ascii="Verdana" w:hAnsi="Verdana"/>
          <w:sz w:val="20"/>
          <w:szCs w:val="20"/>
          <w:lang w:val="en-US"/>
        </w:rPr>
        <w:t>Jorka-creek</w:t>
      </w:r>
      <w:r w:rsidR="002B5CCD" w:rsidRPr="00FE7BA7">
        <w:rPr>
          <w:rFonts w:ascii="Verdana" w:hAnsi="Verdana"/>
          <w:sz w:val="20"/>
          <w:szCs w:val="20"/>
          <w:lang w:val="en-US"/>
        </w:rPr>
        <w:t xml:space="preserve"> and </w:t>
      </w:r>
      <w:r w:rsidR="00926E61" w:rsidRPr="00FE7BA7">
        <w:rPr>
          <w:rFonts w:ascii="Verdana" w:hAnsi="Verdana"/>
          <w:sz w:val="20"/>
          <w:szCs w:val="20"/>
          <w:lang w:val="en-US"/>
        </w:rPr>
        <w:t>Zwampoe</w:t>
      </w:r>
      <w:r w:rsidRPr="00FE7BA7">
        <w:rPr>
          <w:rFonts w:ascii="Verdana" w:hAnsi="Verdana"/>
          <w:sz w:val="20"/>
          <w:szCs w:val="20"/>
          <w:lang w:val="en-US"/>
        </w:rPr>
        <w:t>.</w:t>
      </w:r>
      <w:r w:rsidR="00926E61" w:rsidRPr="00FE7BA7">
        <w:rPr>
          <w:rStyle w:val="FootnoteReference"/>
          <w:szCs w:val="20"/>
          <w:lang w:val="en-US"/>
        </w:rPr>
        <w:footnoteReference w:id="47"/>
      </w:r>
    </w:p>
    <w:p w14:paraId="6312687B" w14:textId="77777777" w:rsidR="00926E61" w:rsidRPr="00FE7BA7" w:rsidRDefault="00926E61" w:rsidP="00926E61">
      <w:pPr>
        <w:jc w:val="both"/>
        <w:rPr>
          <w:rFonts w:ascii="Verdana" w:hAnsi="Verdana"/>
          <w:sz w:val="20"/>
          <w:szCs w:val="20"/>
          <w:lang w:val="en-US"/>
        </w:rPr>
      </w:pPr>
    </w:p>
    <w:p w14:paraId="6312687C" w14:textId="77777777" w:rsidR="00926E61" w:rsidRPr="00FE7BA7" w:rsidRDefault="005269B1" w:rsidP="00B935FA">
      <w:pPr>
        <w:pStyle w:val="ListParagraph"/>
        <w:numPr>
          <w:ilvl w:val="0"/>
          <w:numId w:val="2"/>
        </w:numPr>
        <w:ind w:left="0" w:hanging="11"/>
        <w:jc w:val="both"/>
        <w:rPr>
          <w:rFonts w:ascii="Verdana" w:eastAsia="Times New Roman" w:hAnsi="Verdana"/>
          <w:sz w:val="20"/>
          <w:szCs w:val="20"/>
          <w:lang w:val="en-US"/>
        </w:rPr>
      </w:pPr>
      <w:r w:rsidRPr="00FE7BA7">
        <w:rPr>
          <w:rFonts w:ascii="Verdana" w:eastAsia="Times New Roman" w:hAnsi="Verdana"/>
          <w:sz w:val="20"/>
          <w:szCs w:val="20"/>
          <w:lang w:val="en-US"/>
        </w:rPr>
        <w:t xml:space="preserve">The eight indigenous communities </w:t>
      </w:r>
      <w:r w:rsidR="00635ACD" w:rsidRPr="00FE7BA7">
        <w:rPr>
          <w:rFonts w:ascii="Verdana" w:eastAsia="Times New Roman" w:hAnsi="Verdana"/>
          <w:sz w:val="20"/>
          <w:szCs w:val="20"/>
          <w:lang w:val="en-US"/>
        </w:rPr>
        <w:t>of the Lower Marowijne</w:t>
      </w:r>
      <w:r w:rsidR="00F678CF" w:rsidRPr="00FE7BA7">
        <w:rPr>
          <w:rFonts w:ascii="Verdana" w:eastAsia="Times New Roman" w:hAnsi="Verdana"/>
          <w:sz w:val="20"/>
          <w:szCs w:val="20"/>
          <w:lang w:val="en-US"/>
        </w:rPr>
        <w:t xml:space="preserve"> </w:t>
      </w:r>
      <w:r w:rsidR="003A5E79">
        <w:rPr>
          <w:rFonts w:ascii="Verdana" w:eastAsia="Times New Roman" w:hAnsi="Verdana"/>
          <w:sz w:val="20"/>
          <w:szCs w:val="20"/>
          <w:lang w:val="en-US"/>
        </w:rPr>
        <w:t>area</w:t>
      </w:r>
      <w:r w:rsidR="00926E61" w:rsidRPr="00FE7BA7">
        <w:rPr>
          <w:rFonts w:ascii="Verdana" w:eastAsia="Times New Roman" w:hAnsi="Verdana"/>
          <w:sz w:val="20"/>
          <w:szCs w:val="20"/>
          <w:lang w:val="en-US"/>
        </w:rPr>
        <w:t xml:space="preserve"> </w:t>
      </w:r>
      <w:r w:rsidRPr="00FE7BA7">
        <w:rPr>
          <w:rFonts w:ascii="Verdana" w:eastAsia="Times New Roman" w:hAnsi="Verdana"/>
          <w:sz w:val="20"/>
          <w:szCs w:val="20"/>
          <w:lang w:val="en-US"/>
        </w:rPr>
        <w:t xml:space="preserve">have their own authorities, which consist of a village “captain” or “chief,” known as </w:t>
      </w:r>
      <w:r w:rsidR="00926E61" w:rsidRPr="00FE7BA7">
        <w:rPr>
          <w:rFonts w:ascii="Verdana" w:eastAsia="Times New Roman" w:hAnsi="Verdana" w:cs="Arial"/>
          <w:i/>
          <w:sz w:val="20"/>
          <w:szCs w:val="20"/>
          <w:lang w:val="en-US"/>
        </w:rPr>
        <w:t>yopoto</w:t>
      </w:r>
      <w:r w:rsidR="00926E61" w:rsidRPr="00FE7BA7">
        <w:rPr>
          <w:rFonts w:ascii="Verdana" w:eastAsia="Times New Roman" w:hAnsi="Verdana" w:cs="Arial"/>
          <w:sz w:val="20"/>
          <w:szCs w:val="20"/>
          <w:lang w:val="en-US"/>
        </w:rPr>
        <w:t xml:space="preserve"> o</w:t>
      </w:r>
      <w:r w:rsidRPr="00FE7BA7">
        <w:rPr>
          <w:rFonts w:ascii="Verdana" w:eastAsia="Times New Roman" w:hAnsi="Verdana" w:cs="Arial"/>
          <w:sz w:val="20"/>
          <w:szCs w:val="20"/>
          <w:lang w:val="en-US"/>
        </w:rPr>
        <w:t>r</w:t>
      </w:r>
      <w:r w:rsidR="00926E61" w:rsidRPr="00FE7BA7">
        <w:rPr>
          <w:rFonts w:ascii="Verdana" w:eastAsia="Times New Roman" w:hAnsi="Verdana" w:cs="Arial"/>
          <w:sz w:val="20"/>
          <w:szCs w:val="20"/>
          <w:lang w:val="en-US"/>
        </w:rPr>
        <w:t xml:space="preserve"> </w:t>
      </w:r>
      <w:r w:rsidR="00926E61" w:rsidRPr="00FE7BA7">
        <w:rPr>
          <w:rFonts w:ascii="Verdana" w:eastAsia="Times New Roman" w:hAnsi="Verdana" w:cs="Arial"/>
          <w:i/>
          <w:sz w:val="20"/>
          <w:szCs w:val="20"/>
          <w:lang w:val="en-US"/>
        </w:rPr>
        <w:t>wakorokoro</w:t>
      </w:r>
      <w:r w:rsidR="00926E61" w:rsidRPr="00FE7BA7">
        <w:rPr>
          <w:rFonts w:ascii="Verdana" w:eastAsia="Times New Roman" w:hAnsi="Verdana"/>
          <w:sz w:val="20"/>
          <w:szCs w:val="20"/>
          <w:lang w:val="en-US"/>
        </w:rPr>
        <w:t>,</w:t>
      </w:r>
      <w:r w:rsidR="002B5CCD" w:rsidRPr="00FE7BA7">
        <w:rPr>
          <w:rFonts w:ascii="Verdana" w:eastAsia="Times New Roman" w:hAnsi="Verdana"/>
          <w:sz w:val="20"/>
          <w:szCs w:val="20"/>
          <w:lang w:val="en-US"/>
        </w:rPr>
        <w:t xml:space="preserve"> and</w:t>
      </w:r>
      <w:r w:rsidRPr="00FE7BA7">
        <w:rPr>
          <w:rFonts w:ascii="Verdana" w:eastAsia="Times New Roman" w:hAnsi="Verdana"/>
          <w:sz w:val="20"/>
          <w:szCs w:val="20"/>
          <w:lang w:val="en-US"/>
        </w:rPr>
        <w:t xml:space="preserve"> an average of two assistant</w:t>
      </w:r>
      <w:r w:rsidR="002272A7">
        <w:rPr>
          <w:rFonts w:ascii="Verdana" w:eastAsia="Times New Roman" w:hAnsi="Verdana"/>
          <w:sz w:val="20"/>
          <w:szCs w:val="20"/>
          <w:lang w:val="en-US"/>
        </w:rPr>
        <w:t>s</w:t>
      </w:r>
      <w:r w:rsidRPr="00FE7BA7">
        <w:rPr>
          <w:rFonts w:ascii="Verdana" w:eastAsia="Times New Roman" w:hAnsi="Verdana"/>
          <w:sz w:val="20"/>
          <w:szCs w:val="20"/>
          <w:lang w:val="en-US"/>
        </w:rPr>
        <w:t xml:space="preserve">, known as </w:t>
      </w:r>
      <w:r w:rsidR="00926E61" w:rsidRPr="00FE7BA7">
        <w:rPr>
          <w:rFonts w:ascii="Verdana" w:eastAsia="Times New Roman" w:hAnsi="Verdana"/>
          <w:i/>
          <w:sz w:val="20"/>
          <w:szCs w:val="20"/>
          <w:lang w:val="en-US"/>
        </w:rPr>
        <w:t>basyas</w:t>
      </w:r>
      <w:r w:rsidR="00926E61" w:rsidRPr="00FE7BA7">
        <w:rPr>
          <w:rFonts w:ascii="Verdana" w:eastAsia="Times New Roman" w:hAnsi="Verdana"/>
          <w:sz w:val="20"/>
          <w:szCs w:val="20"/>
          <w:lang w:val="en-US"/>
        </w:rPr>
        <w:t xml:space="preserve"> o</w:t>
      </w:r>
      <w:r w:rsidRPr="00FE7BA7">
        <w:rPr>
          <w:rFonts w:ascii="Verdana" w:eastAsia="Times New Roman" w:hAnsi="Verdana"/>
          <w:sz w:val="20"/>
          <w:szCs w:val="20"/>
          <w:lang w:val="en-US"/>
        </w:rPr>
        <w:t>r</w:t>
      </w:r>
      <w:r w:rsidR="00926E61" w:rsidRPr="00FE7BA7">
        <w:rPr>
          <w:rFonts w:ascii="Verdana" w:eastAsia="Times New Roman" w:hAnsi="Verdana"/>
          <w:sz w:val="20"/>
          <w:szCs w:val="20"/>
          <w:lang w:val="en-US"/>
        </w:rPr>
        <w:t xml:space="preserve"> </w:t>
      </w:r>
      <w:r w:rsidR="00926E61" w:rsidRPr="00FE7BA7">
        <w:rPr>
          <w:rFonts w:ascii="Verdana" w:eastAsia="Times New Roman" w:hAnsi="Verdana" w:cs="Arial"/>
          <w:i/>
          <w:sz w:val="20"/>
          <w:szCs w:val="20"/>
          <w:lang w:val="en-US"/>
        </w:rPr>
        <w:t>yopoto petjore</w:t>
      </w:r>
      <w:r w:rsidR="00926E61" w:rsidRPr="00FE7BA7">
        <w:rPr>
          <w:rFonts w:ascii="Verdana" w:eastAsia="Times New Roman" w:hAnsi="Verdana"/>
          <w:sz w:val="20"/>
          <w:szCs w:val="20"/>
          <w:lang w:val="en-US"/>
        </w:rPr>
        <w:t>. Tradi</w:t>
      </w:r>
      <w:r w:rsidRPr="00FE7BA7">
        <w:rPr>
          <w:rFonts w:ascii="Verdana" w:eastAsia="Times New Roman" w:hAnsi="Verdana"/>
          <w:sz w:val="20"/>
          <w:szCs w:val="20"/>
          <w:lang w:val="en-US"/>
        </w:rPr>
        <w:t xml:space="preserve">tionally, the authorities are </w:t>
      </w:r>
      <w:r w:rsidR="00FE7BA7" w:rsidRPr="00FE7BA7">
        <w:rPr>
          <w:rFonts w:ascii="Verdana" w:eastAsia="Times New Roman" w:hAnsi="Verdana"/>
          <w:sz w:val="20"/>
          <w:szCs w:val="20"/>
          <w:lang w:val="en-US"/>
        </w:rPr>
        <w:t>responsible</w:t>
      </w:r>
      <w:r w:rsidR="003A5E79">
        <w:rPr>
          <w:rFonts w:ascii="Verdana" w:eastAsia="Times New Roman" w:hAnsi="Verdana"/>
          <w:sz w:val="20"/>
          <w:szCs w:val="20"/>
          <w:lang w:val="en-US"/>
        </w:rPr>
        <w:t xml:space="preserve"> for keeping </w:t>
      </w:r>
      <w:r w:rsidRPr="00FE7BA7">
        <w:rPr>
          <w:rFonts w:ascii="Verdana" w:eastAsia="Times New Roman" w:hAnsi="Verdana"/>
          <w:sz w:val="20"/>
          <w:szCs w:val="20"/>
          <w:lang w:val="en-US"/>
        </w:rPr>
        <w:t>peace and order in the community and for re</w:t>
      </w:r>
      <w:r w:rsidR="002272A7">
        <w:rPr>
          <w:rFonts w:ascii="Verdana" w:eastAsia="Times New Roman" w:hAnsi="Verdana"/>
          <w:sz w:val="20"/>
          <w:szCs w:val="20"/>
          <w:lang w:val="en-US"/>
        </w:rPr>
        <w:t>presenting it in matters relating</w:t>
      </w:r>
      <w:r w:rsidRPr="00FE7BA7">
        <w:rPr>
          <w:rFonts w:ascii="Verdana" w:eastAsia="Times New Roman" w:hAnsi="Verdana"/>
          <w:sz w:val="20"/>
          <w:szCs w:val="20"/>
          <w:lang w:val="en-US"/>
        </w:rPr>
        <w:t xml:space="preserve"> to the Government and to third parties from outsi</w:t>
      </w:r>
      <w:r w:rsidR="00FE7BA7">
        <w:rPr>
          <w:rFonts w:ascii="Verdana" w:eastAsia="Times New Roman" w:hAnsi="Verdana"/>
          <w:sz w:val="20"/>
          <w:szCs w:val="20"/>
          <w:lang w:val="en-US"/>
        </w:rPr>
        <w:t>de</w:t>
      </w:r>
      <w:r w:rsidR="003231F8" w:rsidRPr="00FE7BA7">
        <w:rPr>
          <w:rFonts w:ascii="Verdana" w:eastAsia="Times New Roman" w:hAnsi="Verdana"/>
          <w:sz w:val="20"/>
          <w:szCs w:val="20"/>
          <w:lang w:val="en-US"/>
        </w:rPr>
        <w:t xml:space="preserve"> </w:t>
      </w:r>
      <w:r w:rsidR="00FE7BA7" w:rsidRPr="00FE7BA7">
        <w:rPr>
          <w:rFonts w:ascii="Verdana" w:eastAsia="Times New Roman" w:hAnsi="Verdana"/>
          <w:sz w:val="20"/>
          <w:szCs w:val="20"/>
          <w:lang w:val="en-US"/>
        </w:rPr>
        <w:t>the community</w:t>
      </w:r>
      <w:r w:rsidRPr="00FE7BA7">
        <w:rPr>
          <w:rFonts w:ascii="Verdana" w:eastAsia="Times New Roman" w:hAnsi="Verdana"/>
          <w:sz w:val="20"/>
          <w:szCs w:val="20"/>
          <w:lang w:val="en-US"/>
        </w:rPr>
        <w:t>. Owing to their functions, the State provides them with a monthly stipend.</w:t>
      </w:r>
      <w:r w:rsidR="00926E61" w:rsidRPr="00FE7BA7">
        <w:rPr>
          <w:rStyle w:val="FootnoteReference"/>
          <w:rFonts w:eastAsia="Times New Roman"/>
          <w:szCs w:val="20"/>
          <w:lang w:val="en-US"/>
        </w:rPr>
        <w:footnoteReference w:id="48"/>
      </w:r>
      <w:r w:rsidR="00926E61" w:rsidRPr="00FE7BA7">
        <w:rPr>
          <w:rFonts w:ascii="Verdana" w:eastAsia="Times New Roman" w:hAnsi="Verdana"/>
          <w:sz w:val="20"/>
          <w:szCs w:val="20"/>
          <w:lang w:val="en-US"/>
        </w:rPr>
        <w:t xml:space="preserve"> </w:t>
      </w:r>
    </w:p>
    <w:p w14:paraId="6312687D" w14:textId="77777777" w:rsidR="00926E61" w:rsidRPr="00FE7BA7" w:rsidRDefault="00926E61" w:rsidP="00926E61">
      <w:pPr>
        <w:pStyle w:val="ListParagraph"/>
        <w:ind w:left="0"/>
        <w:jc w:val="both"/>
        <w:rPr>
          <w:rFonts w:ascii="Verdana" w:hAnsi="Verdana"/>
          <w:sz w:val="20"/>
          <w:szCs w:val="20"/>
          <w:lang w:val="en-US"/>
        </w:rPr>
      </w:pPr>
    </w:p>
    <w:p w14:paraId="6312687E" w14:textId="2104DC4A" w:rsidR="00926E61" w:rsidRPr="00FE7BA7" w:rsidRDefault="005269B1" w:rsidP="00B935FA">
      <w:pPr>
        <w:pStyle w:val="ListParagraph"/>
        <w:numPr>
          <w:ilvl w:val="0"/>
          <w:numId w:val="2"/>
        </w:numPr>
        <w:ind w:left="0" w:hanging="11"/>
        <w:jc w:val="both"/>
        <w:rPr>
          <w:rStyle w:val="Strong"/>
          <w:rFonts w:ascii="Verdana" w:hAnsi="Verdana"/>
          <w:b w:val="0"/>
          <w:sz w:val="20"/>
          <w:szCs w:val="20"/>
          <w:lang w:val="en-US"/>
        </w:rPr>
      </w:pPr>
      <w:r w:rsidRPr="00FE7BA7">
        <w:rPr>
          <w:rFonts w:ascii="Verdana" w:hAnsi="Verdana"/>
          <w:sz w:val="20"/>
          <w:szCs w:val="20"/>
          <w:lang w:val="en-US"/>
        </w:rPr>
        <w:t xml:space="preserve">In addition, as verified previously </w:t>
      </w:r>
      <w:r w:rsidR="00863A9E" w:rsidRPr="00FE7BA7">
        <w:rPr>
          <w:rFonts w:ascii="Verdana" w:hAnsi="Verdana"/>
          <w:sz w:val="20"/>
          <w:szCs w:val="20"/>
          <w:lang w:val="en-US"/>
        </w:rPr>
        <w:t xml:space="preserve">by this Court in the </w:t>
      </w:r>
      <w:r w:rsidR="002272A7">
        <w:rPr>
          <w:rStyle w:val="Strong"/>
          <w:rFonts w:ascii="Verdana" w:hAnsi="Verdana"/>
          <w:b w:val="0"/>
          <w:i/>
          <w:sz w:val="20"/>
          <w:szCs w:val="20"/>
          <w:lang w:val="en-US"/>
        </w:rPr>
        <w:t>c</w:t>
      </w:r>
      <w:r w:rsidR="00863A9E" w:rsidRPr="00FE7BA7">
        <w:rPr>
          <w:rStyle w:val="Strong"/>
          <w:rFonts w:ascii="Verdana" w:hAnsi="Verdana"/>
          <w:b w:val="0"/>
          <w:i/>
          <w:sz w:val="20"/>
          <w:szCs w:val="20"/>
          <w:lang w:val="en-US"/>
        </w:rPr>
        <w:t>ase of the Moiwana Community</w:t>
      </w:r>
      <w:r w:rsidR="00926E61" w:rsidRPr="00FE7BA7">
        <w:rPr>
          <w:rStyle w:val="Strong"/>
          <w:rFonts w:ascii="Verdana" w:hAnsi="Verdana"/>
          <w:b w:val="0"/>
          <w:i/>
          <w:sz w:val="20"/>
          <w:szCs w:val="20"/>
          <w:lang w:val="en-US"/>
        </w:rPr>
        <w:t xml:space="preserve"> </w:t>
      </w:r>
      <w:r w:rsidR="002B5CCD" w:rsidRPr="00FE7BA7">
        <w:rPr>
          <w:rStyle w:val="Strong"/>
          <w:rFonts w:ascii="Verdana" w:hAnsi="Verdana"/>
          <w:b w:val="0"/>
          <w:i/>
          <w:sz w:val="20"/>
          <w:szCs w:val="20"/>
          <w:lang w:val="en-US"/>
        </w:rPr>
        <w:t>v.</w:t>
      </w:r>
      <w:r w:rsidR="00926E61" w:rsidRPr="00FE7BA7">
        <w:rPr>
          <w:rStyle w:val="Strong"/>
          <w:rFonts w:ascii="Verdana" w:hAnsi="Verdana"/>
          <w:b w:val="0"/>
          <w:i/>
          <w:sz w:val="20"/>
          <w:szCs w:val="20"/>
          <w:lang w:val="en-US"/>
        </w:rPr>
        <w:t xml:space="preserve"> </w:t>
      </w:r>
      <w:r w:rsidR="004C7D14" w:rsidRPr="00FE7BA7">
        <w:rPr>
          <w:rStyle w:val="Strong"/>
          <w:rFonts w:ascii="Verdana" w:hAnsi="Verdana"/>
          <w:b w:val="0"/>
          <w:i/>
          <w:sz w:val="20"/>
          <w:szCs w:val="20"/>
          <w:lang w:val="en-US"/>
        </w:rPr>
        <w:t>Suriname,</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 xml:space="preserve">the internal conflict in </w:t>
      </w:r>
      <w:r w:rsidR="002B5CCD" w:rsidRPr="00FE7BA7">
        <w:rPr>
          <w:rStyle w:val="Strong"/>
          <w:rFonts w:ascii="Verdana" w:hAnsi="Verdana"/>
          <w:b w:val="0"/>
          <w:sz w:val="20"/>
          <w:szCs w:val="20"/>
          <w:lang w:val="en-US"/>
        </w:rPr>
        <w:t>Suriname</w:t>
      </w:r>
      <w:r w:rsidRPr="00FE7BA7">
        <w:rPr>
          <w:rStyle w:val="Strong"/>
          <w:rFonts w:ascii="Verdana" w:hAnsi="Verdana"/>
          <w:b w:val="0"/>
          <w:sz w:val="20"/>
          <w:szCs w:val="20"/>
          <w:lang w:val="en-US"/>
        </w:rPr>
        <w:t xml:space="preserve">, which began in 1986, had a </w:t>
      </w:r>
      <w:r w:rsidR="002272A7">
        <w:rPr>
          <w:rStyle w:val="Strong"/>
          <w:rFonts w:ascii="Verdana" w:hAnsi="Verdana"/>
          <w:b w:val="0"/>
          <w:sz w:val="20"/>
          <w:szCs w:val="20"/>
          <w:lang w:val="en-US"/>
        </w:rPr>
        <w:t>particular</w:t>
      </w:r>
      <w:r w:rsidRPr="00FE7BA7">
        <w:rPr>
          <w:rStyle w:val="Strong"/>
          <w:rFonts w:ascii="Verdana" w:hAnsi="Verdana"/>
          <w:b w:val="0"/>
          <w:sz w:val="20"/>
          <w:szCs w:val="20"/>
          <w:lang w:val="en-US"/>
        </w:rPr>
        <w:t xml:space="preserve"> impact in the eastern part of the country, where the territory claimed by </w:t>
      </w:r>
      <w:r w:rsidR="002B5CCD" w:rsidRPr="00FE7BA7">
        <w:rPr>
          <w:rStyle w:val="Strong"/>
          <w:rFonts w:ascii="Verdana" w:hAnsi="Verdana"/>
          <w:b w:val="0"/>
          <w:sz w:val="20"/>
          <w:szCs w:val="20"/>
          <w:lang w:val="en-US"/>
        </w:rPr>
        <w:t xml:space="preserve">the </w:t>
      </w:r>
      <w:r w:rsidR="004C7D14" w:rsidRPr="00FE7BA7">
        <w:rPr>
          <w:rStyle w:val="Strong"/>
          <w:rFonts w:ascii="Verdana" w:hAnsi="Verdana"/>
          <w:b w:val="0"/>
          <w:sz w:val="20"/>
          <w:szCs w:val="20"/>
          <w:lang w:val="en-US"/>
        </w:rPr>
        <w:t>Kaliña and Lokono peoples</w:t>
      </w:r>
      <w:r w:rsidRPr="00FE7BA7">
        <w:rPr>
          <w:rStyle w:val="Strong"/>
          <w:rFonts w:ascii="Verdana" w:hAnsi="Verdana"/>
          <w:b w:val="0"/>
          <w:sz w:val="20"/>
          <w:szCs w:val="20"/>
          <w:lang w:val="en-US"/>
        </w:rPr>
        <w:t xml:space="preserve"> is located</w:t>
      </w:r>
      <w:r w:rsidR="00926E61" w:rsidRPr="00FE7BA7">
        <w:rPr>
          <w:rStyle w:val="Strong"/>
          <w:rFonts w:ascii="Verdana" w:hAnsi="Verdana"/>
          <w:b w:val="0"/>
          <w:sz w:val="20"/>
          <w:szCs w:val="20"/>
          <w:lang w:val="en-US"/>
        </w:rPr>
        <w:t xml:space="preserve">. </w:t>
      </w:r>
      <w:r w:rsidR="00863A9E" w:rsidRPr="00FE7BA7">
        <w:rPr>
          <w:rStyle w:val="Strong"/>
          <w:rFonts w:ascii="Verdana" w:hAnsi="Verdana"/>
          <w:b w:val="0"/>
          <w:sz w:val="20"/>
          <w:szCs w:val="20"/>
          <w:lang w:val="en-US"/>
        </w:rPr>
        <w:t>The armed group known as the</w:t>
      </w:r>
      <w:r w:rsidR="00926E61" w:rsidRPr="00FE7BA7">
        <w:rPr>
          <w:rStyle w:val="Strong"/>
          <w:rFonts w:ascii="Verdana" w:hAnsi="Verdana"/>
          <w:b w:val="0"/>
          <w:sz w:val="20"/>
          <w:szCs w:val="20"/>
          <w:lang w:val="en-US"/>
        </w:rPr>
        <w:t xml:space="preserve"> </w:t>
      </w:r>
      <w:r w:rsidR="00863A9E" w:rsidRPr="00FE7BA7">
        <w:rPr>
          <w:rStyle w:val="Strong"/>
          <w:rFonts w:ascii="Verdana" w:hAnsi="Verdana"/>
          <w:b w:val="0"/>
          <w:sz w:val="20"/>
          <w:szCs w:val="20"/>
          <w:lang w:val="en-US"/>
        </w:rPr>
        <w:t>“</w:t>
      </w:r>
      <w:r w:rsidR="008A4ABB" w:rsidRPr="00FE7BA7">
        <w:rPr>
          <w:rStyle w:val="Strong"/>
          <w:rFonts w:ascii="Verdana" w:hAnsi="Verdana"/>
          <w:b w:val="0"/>
          <w:sz w:val="20"/>
          <w:szCs w:val="20"/>
          <w:lang w:val="en-US"/>
        </w:rPr>
        <w:t>Jungle Command</w:t>
      </w:r>
      <w:r w:rsidR="00863A9E" w:rsidRPr="00FE7BA7">
        <w:rPr>
          <w:rStyle w:val="Strong"/>
          <w:rFonts w:ascii="Verdana" w:hAnsi="Verdana"/>
          <w:b w:val="0"/>
          <w:sz w:val="20"/>
          <w:szCs w:val="20"/>
          <w:lang w:val="en-US"/>
        </w:rPr>
        <w:t>,” headed by Maroons and opposed to the military regime</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had</w:t>
      </w:r>
      <w:r w:rsidR="00863A9E" w:rsidRPr="00FE7BA7">
        <w:rPr>
          <w:rStyle w:val="Strong"/>
          <w:rFonts w:ascii="Verdana" w:hAnsi="Verdana"/>
          <w:b w:val="0"/>
          <w:sz w:val="20"/>
          <w:szCs w:val="20"/>
          <w:lang w:val="en-US"/>
        </w:rPr>
        <w:t xml:space="preserve"> its headquarters on </w:t>
      </w:r>
      <w:r w:rsidR="00926E61" w:rsidRPr="00FE7BA7">
        <w:rPr>
          <w:rStyle w:val="Strong"/>
          <w:rFonts w:ascii="Verdana" w:hAnsi="Verdana"/>
          <w:b w:val="0"/>
          <w:sz w:val="20"/>
          <w:szCs w:val="20"/>
          <w:lang w:val="en-US"/>
        </w:rPr>
        <w:t>Stoelmans</w:t>
      </w:r>
      <w:r w:rsidR="00863A9E" w:rsidRPr="00FE7BA7">
        <w:rPr>
          <w:rStyle w:val="Strong"/>
          <w:rFonts w:ascii="Verdana" w:hAnsi="Verdana"/>
          <w:b w:val="0"/>
          <w:sz w:val="20"/>
          <w:szCs w:val="20"/>
          <w:lang w:val="en-US"/>
        </w:rPr>
        <w:t xml:space="preserve"> Island</w:t>
      </w:r>
      <w:r w:rsidR="00926E61" w:rsidRPr="00FE7BA7">
        <w:rPr>
          <w:rStyle w:val="Strong"/>
          <w:rFonts w:ascii="Verdana" w:hAnsi="Verdana"/>
          <w:b w:val="0"/>
          <w:sz w:val="20"/>
          <w:szCs w:val="20"/>
          <w:lang w:val="en-US"/>
        </w:rPr>
        <w:t xml:space="preserve"> </w:t>
      </w:r>
      <w:r w:rsidR="00863A9E" w:rsidRPr="00FE7BA7">
        <w:rPr>
          <w:rStyle w:val="Strong"/>
          <w:rFonts w:ascii="Verdana" w:hAnsi="Verdana"/>
          <w:b w:val="0"/>
          <w:sz w:val="20"/>
          <w:szCs w:val="20"/>
          <w:lang w:val="en-US"/>
        </w:rPr>
        <w:t>in the</w:t>
      </w:r>
      <w:r w:rsidR="008B0F0D" w:rsidRPr="00FE7BA7">
        <w:rPr>
          <w:rStyle w:val="Strong"/>
          <w:rFonts w:ascii="Verdana" w:hAnsi="Verdana"/>
          <w:b w:val="0"/>
          <w:sz w:val="20"/>
          <w:szCs w:val="20"/>
          <w:lang w:val="en-US"/>
        </w:rPr>
        <w:t xml:space="preserve"> </w:t>
      </w:r>
      <w:r w:rsidR="00926E61" w:rsidRPr="00FE7BA7">
        <w:rPr>
          <w:rStyle w:val="Strong"/>
          <w:rFonts w:ascii="Verdana" w:hAnsi="Verdana"/>
          <w:b w:val="0"/>
          <w:sz w:val="20"/>
          <w:szCs w:val="20"/>
          <w:lang w:val="en-US"/>
        </w:rPr>
        <w:t>Marowijne</w:t>
      </w:r>
      <w:r w:rsidR="00863A9E" w:rsidRPr="00FE7BA7">
        <w:rPr>
          <w:rStyle w:val="Strong"/>
          <w:rFonts w:ascii="Verdana" w:hAnsi="Verdana"/>
          <w:b w:val="0"/>
          <w:sz w:val="20"/>
          <w:szCs w:val="20"/>
          <w:lang w:val="en-US"/>
        </w:rPr>
        <w:t xml:space="preserve"> River</w:t>
      </w:r>
      <w:r w:rsidR="00926E61" w:rsidRPr="00FE7BA7">
        <w:rPr>
          <w:rStyle w:val="Strong"/>
          <w:rFonts w:ascii="Verdana" w:hAnsi="Verdana"/>
          <w:b w:val="0"/>
          <w:sz w:val="20"/>
          <w:szCs w:val="20"/>
          <w:lang w:val="en-US"/>
        </w:rPr>
        <w:t xml:space="preserve">, </w:t>
      </w:r>
      <w:r w:rsidR="00863A9E" w:rsidRPr="00FE7BA7">
        <w:rPr>
          <w:rStyle w:val="Strong"/>
          <w:rFonts w:ascii="Verdana" w:hAnsi="Verdana"/>
          <w:b w:val="0"/>
          <w:sz w:val="20"/>
          <w:szCs w:val="20"/>
          <w:lang w:val="en-US"/>
        </w:rPr>
        <w:t>so that most co</w:t>
      </w:r>
      <w:r w:rsidR="002272A7">
        <w:rPr>
          <w:rStyle w:val="Strong"/>
          <w:rFonts w:ascii="Verdana" w:hAnsi="Verdana"/>
          <w:b w:val="0"/>
          <w:sz w:val="20"/>
          <w:szCs w:val="20"/>
          <w:lang w:val="en-US"/>
        </w:rPr>
        <w:t>nfrontations</w:t>
      </w:r>
      <w:r w:rsidR="00863A9E" w:rsidRPr="00FE7BA7">
        <w:rPr>
          <w:rStyle w:val="Strong"/>
          <w:rFonts w:ascii="Verdana" w:hAnsi="Verdana"/>
          <w:b w:val="0"/>
          <w:sz w:val="20"/>
          <w:szCs w:val="20"/>
          <w:lang w:val="en-US"/>
        </w:rPr>
        <w:t xml:space="preserve"> occur in that </w:t>
      </w:r>
      <w:r w:rsidRPr="00FE7BA7">
        <w:rPr>
          <w:rStyle w:val="Strong"/>
          <w:rFonts w:ascii="Verdana" w:hAnsi="Verdana"/>
          <w:b w:val="0"/>
          <w:sz w:val="20"/>
          <w:szCs w:val="20"/>
          <w:lang w:val="en-US"/>
        </w:rPr>
        <w:t>area</w:t>
      </w:r>
      <w:r w:rsidR="00926E61" w:rsidRPr="00FE7BA7">
        <w:rPr>
          <w:rStyle w:val="Strong"/>
          <w:rFonts w:ascii="Verdana" w:hAnsi="Verdana"/>
          <w:b w:val="0"/>
          <w:sz w:val="20"/>
          <w:szCs w:val="20"/>
          <w:lang w:val="en-US"/>
        </w:rPr>
        <w:t>.</w:t>
      </w:r>
      <w:r w:rsidR="00926E61" w:rsidRPr="00FE7BA7">
        <w:rPr>
          <w:rStyle w:val="Strong"/>
          <w:rFonts w:ascii="Verdana" w:hAnsi="Verdana"/>
          <w:sz w:val="20"/>
          <w:szCs w:val="20"/>
          <w:lang w:val="en-US"/>
        </w:rPr>
        <w:t xml:space="preserve"> </w:t>
      </w:r>
      <w:r w:rsidRPr="00FE7BA7">
        <w:rPr>
          <w:rFonts w:ascii="Verdana" w:hAnsi="Verdana"/>
          <w:sz w:val="20"/>
          <w:szCs w:val="20"/>
          <w:lang w:val="en-US"/>
        </w:rPr>
        <w:t>In</w:t>
      </w:r>
      <w:r w:rsidR="00926E61" w:rsidRPr="00FE7BA7">
        <w:rPr>
          <w:rFonts w:ascii="Verdana" w:hAnsi="Verdana"/>
          <w:sz w:val="20"/>
          <w:szCs w:val="20"/>
          <w:lang w:val="en-US"/>
        </w:rPr>
        <w:t xml:space="preserve"> 1986</w:t>
      </w:r>
      <w:r w:rsidR="002B5CCD" w:rsidRPr="00FE7BA7">
        <w:rPr>
          <w:rFonts w:ascii="Verdana" w:hAnsi="Verdana"/>
          <w:sz w:val="20"/>
          <w:szCs w:val="20"/>
          <w:lang w:val="en-US"/>
        </w:rPr>
        <w:t xml:space="preserve"> and </w:t>
      </w:r>
      <w:r w:rsidR="00926E61" w:rsidRPr="00FE7BA7">
        <w:rPr>
          <w:rFonts w:ascii="Verdana" w:hAnsi="Verdana"/>
          <w:sz w:val="20"/>
          <w:szCs w:val="20"/>
          <w:lang w:val="en-US"/>
        </w:rPr>
        <w:t>1987, ap</w:t>
      </w:r>
      <w:r w:rsidR="00863A9E" w:rsidRPr="00FE7BA7">
        <w:rPr>
          <w:rFonts w:ascii="Verdana" w:hAnsi="Verdana"/>
          <w:sz w:val="20"/>
          <w:szCs w:val="20"/>
          <w:lang w:val="en-US"/>
        </w:rPr>
        <w:t>proximately 15,000 person</w:t>
      </w:r>
      <w:r w:rsidR="00926E61" w:rsidRPr="00FE7BA7">
        <w:rPr>
          <w:rFonts w:ascii="Verdana" w:hAnsi="Verdana"/>
          <w:sz w:val="20"/>
          <w:szCs w:val="20"/>
          <w:lang w:val="en-US"/>
        </w:rPr>
        <w:t xml:space="preserve">s </w:t>
      </w:r>
      <w:r w:rsidR="00863A9E" w:rsidRPr="00FE7BA7">
        <w:rPr>
          <w:rFonts w:ascii="Verdana" w:hAnsi="Verdana"/>
          <w:sz w:val="20"/>
          <w:szCs w:val="20"/>
          <w:lang w:val="en-US"/>
        </w:rPr>
        <w:t xml:space="preserve">fled from the combat zone to the capital city, </w:t>
      </w:r>
      <w:r w:rsidR="00926E61" w:rsidRPr="00FE7BA7">
        <w:rPr>
          <w:rFonts w:ascii="Verdana" w:hAnsi="Verdana"/>
          <w:sz w:val="20"/>
          <w:szCs w:val="20"/>
          <w:lang w:val="en-US"/>
        </w:rPr>
        <w:t>Paramaribo,</w:t>
      </w:r>
      <w:r w:rsidR="002B5CCD" w:rsidRPr="00FE7BA7">
        <w:rPr>
          <w:rFonts w:ascii="Verdana" w:hAnsi="Verdana"/>
          <w:sz w:val="20"/>
          <w:szCs w:val="20"/>
          <w:lang w:val="en-US"/>
        </w:rPr>
        <w:t xml:space="preserve"> and </w:t>
      </w:r>
      <w:r w:rsidR="00863A9E" w:rsidRPr="00FE7BA7">
        <w:rPr>
          <w:rFonts w:ascii="Verdana" w:hAnsi="Verdana"/>
          <w:sz w:val="20"/>
          <w:szCs w:val="20"/>
          <w:lang w:val="en-US"/>
        </w:rPr>
        <w:t>another</w:t>
      </w:r>
      <w:r w:rsidR="00926E61" w:rsidRPr="00FE7BA7">
        <w:rPr>
          <w:rFonts w:ascii="Verdana" w:hAnsi="Verdana"/>
          <w:sz w:val="20"/>
          <w:szCs w:val="20"/>
          <w:lang w:val="en-US"/>
        </w:rPr>
        <w:t xml:space="preserve"> 8,500 </w:t>
      </w:r>
      <w:r w:rsidR="002272A7">
        <w:rPr>
          <w:rFonts w:ascii="Verdana" w:hAnsi="Verdana"/>
          <w:sz w:val="20"/>
          <w:szCs w:val="20"/>
          <w:lang w:val="en-US"/>
        </w:rPr>
        <w:t>escaped to French Guiana;</w:t>
      </w:r>
      <w:r w:rsidR="00863A9E" w:rsidRPr="00FE7BA7">
        <w:rPr>
          <w:rFonts w:ascii="Verdana" w:hAnsi="Verdana"/>
          <w:sz w:val="20"/>
          <w:szCs w:val="20"/>
          <w:lang w:val="en-US"/>
        </w:rPr>
        <w:t xml:space="preserve"> of these</w:t>
      </w:r>
      <w:r w:rsidR="002272A7">
        <w:rPr>
          <w:rFonts w:ascii="Verdana" w:hAnsi="Verdana"/>
          <w:sz w:val="20"/>
          <w:szCs w:val="20"/>
          <w:lang w:val="en-US"/>
        </w:rPr>
        <w:t>,</w:t>
      </w:r>
      <w:r w:rsidR="00863A9E" w:rsidRPr="00FE7BA7">
        <w:rPr>
          <w:rFonts w:ascii="Verdana" w:hAnsi="Verdana"/>
          <w:sz w:val="20"/>
          <w:szCs w:val="20"/>
          <w:lang w:val="en-US"/>
        </w:rPr>
        <w:t xml:space="preserve"> around 1,000 were indigenous people</w:t>
      </w:r>
      <w:r w:rsidRPr="00FE7BA7">
        <w:rPr>
          <w:rFonts w:ascii="Verdana" w:hAnsi="Verdana"/>
          <w:sz w:val="20"/>
          <w:szCs w:val="20"/>
          <w:lang w:val="en-US"/>
        </w:rPr>
        <w:t>.</w:t>
      </w:r>
      <w:r w:rsidR="00926E61" w:rsidRPr="00FE7BA7">
        <w:rPr>
          <w:rStyle w:val="FootnoteReference"/>
          <w:bCs/>
          <w:szCs w:val="20"/>
          <w:lang w:val="en-US"/>
        </w:rPr>
        <w:footnoteReference w:id="49"/>
      </w:r>
      <w:r w:rsidR="00926E61" w:rsidRPr="00FE7BA7">
        <w:rPr>
          <w:rStyle w:val="Strong"/>
          <w:rFonts w:ascii="Verdana" w:hAnsi="Verdana"/>
          <w:sz w:val="20"/>
          <w:szCs w:val="20"/>
          <w:lang w:val="en-US"/>
        </w:rPr>
        <w:t xml:space="preserve"> </w:t>
      </w:r>
      <w:r w:rsidRPr="00FE7BA7">
        <w:rPr>
          <w:rStyle w:val="Strong"/>
          <w:rFonts w:ascii="Verdana" w:hAnsi="Verdana"/>
          <w:b w:val="0"/>
          <w:sz w:val="20"/>
          <w:szCs w:val="20"/>
          <w:lang w:val="en-US"/>
        </w:rPr>
        <w:t xml:space="preserve">Thus, the events that occurred between </w:t>
      </w:r>
      <w:r w:rsidR="00926E61" w:rsidRPr="00FE7BA7">
        <w:rPr>
          <w:rStyle w:val="Strong"/>
          <w:rFonts w:ascii="Verdana" w:hAnsi="Verdana"/>
          <w:b w:val="0"/>
          <w:sz w:val="20"/>
          <w:szCs w:val="20"/>
          <w:lang w:val="en-US"/>
        </w:rPr>
        <w:t>1986</w:t>
      </w:r>
      <w:r w:rsidR="002B5CCD" w:rsidRPr="00FE7BA7">
        <w:rPr>
          <w:rStyle w:val="Strong"/>
          <w:rFonts w:ascii="Verdana" w:hAnsi="Verdana"/>
          <w:b w:val="0"/>
          <w:sz w:val="20"/>
          <w:szCs w:val="20"/>
          <w:lang w:val="en-US"/>
        </w:rPr>
        <w:t xml:space="preserve"> and </w:t>
      </w:r>
      <w:r w:rsidR="00926E61" w:rsidRPr="00FE7BA7">
        <w:rPr>
          <w:rStyle w:val="Strong"/>
          <w:rFonts w:ascii="Verdana" w:hAnsi="Verdana"/>
          <w:b w:val="0"/>
          <w:sz w:val="20"/>
          <w:szCs w:val="20"/>
          <w:lang w:val="en-US"/>
        </w:rPr>
        <w:t xml:space="preserve">1992 </w:t>
      </w:r>
      <w:r w:rsidRPr="00FE7BA7">
        <w:rPr>
          <w:rStyle w:val="Strong"/>
          <w:rFonts w:ascii="Verdana" w:hAnsi="Verdana"/>
          <w:b w:val="0"/>
          <w:sz w:val="20"/>
          <w:szCs w:val="20"/>
          <w:lang w:val="en-US"/>
        </w:rPr>
        <w:t xml:space="preserve">had a direct impact on the lives </w:t>
      </w:r>
      <w:r w:rsidR="00635ACD" w:rsidRPr="00FE7BA7">
        <w:rPr>
          <w:rStyle w:val="Strong"/>
          <w:rFonts w:ascii="Verdana" w:hAnsi="Verdana"/>
          <w:b w:val="0"/>
          <w:sz w:val="20"/>
          <w:szCs w:val="20"/>
          <w:lang w:val="en-US"/>
        </w:rPr>
        <w:t xml:space="preserve">of the </w:t>
      </w:r>
      <w:r w:rsidR="004C7D14" w:rsidRPr="00FE7BA7">
        <w:rPr>
          <w:rStyle w:val="Strong"/>
          <w:rFonts w:ascii="Verdana" w:hAnsi="Verdana"/>
          <w:b w:val="0"/>
          <w:sz w:val="20"/>
          <w:szCs w:val="20"/>
          <w:lang w:val="en-US"/>
        </w:rPr>
        <w:t>Kaliña and Lokono peoples</w:t>
      </w:r>
      <w:r w:rsidR="00926E61" w:rsidRPr="00FE7BA7">
        <w:rPr>
          <w:rStyle w:val="Strong"/>
          <w:rFonts w:ascii="Verdana" w:hAnsi="Verdana"/>
          <w:b w:val="0"/>
          <w:sz w:val="20"/>
          <w:szCs w:val="20"/>
          <w:lang w:val="en-US"/>
        </w:rPr>
        <w:t xml:space="preserve"> </w:t>
      </w:r>
      <w:r w:rsidR="00863A9E" w:rsidRPr="00FE7BA7">
        <w:rPr>
          <w:rStyle w:val="Strong"/>
          <w:rFonts w:ascii="Verdana" w:hAnsi="Verdana"/>
          <w:b w:val="0"/>
          <w:sz w:val="20"/>
          <w:szCs w:val="20"/>
          <w:lang w:val="en-US"/>
        </w:rPr>
        <w:t>in the region</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because houses, schools, health clinics and State offices were sacked, set fire to, and destroyed</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 xml:space="preserve">However, the 1992 Lelydorp Peace Accord that ended the </w:t>
      </w:r>
      <w:r w:rsidR="00FE7BA7" w:rsidRPr="00FE7BA7">
        <w:rPr>
          <w:rStyle w:val="Strong"/>
          <w:rFonts w:ascii="Verdana" w:hAnsi="Verdana"/>
          <w:b w:val="0"/>
          <w:sz w:val="20"/>
          <w:szCs w:val="20"/>
          <w:lang w:val="en-US"/>
        </w:rPr>
        <w:t>conflict</w:t>
      </w:r>
      <w:r w:rsidRPr="00FE7BA7">
        <w:rPr>
          <w:rStyle w:val="Strong"/>
          <w:rFonts w:ascii="Verdana" w:hAnsi="Verdana"/>
          <w:b w:val="0"/>
          <w:sz w:val="20"/>
          <w:szCs w:val="20"/>
          <w:lang w:val="en-US"/>
        </w:rPr>
        <w:t xml:space="preserve"> resulted in many of the former inhabitants returning to the Albina area, </w:t>
      </w:r>
      <w:r w:rsidR="002272A7">
        <w:rPr>
          <w:rStyle w:val="Strong"/>
          <w:rFonts w:ascii="Verdana" w:hAnsi="Verdana"/>
          <w:b w:val="0"/>
          <w:sz w:val="20"/>
          <w:szCs w:val="20"/>
          <w:lang w:val="en-US"/>
        </w:rPr>
        <w:t>together with</w:t>
      </w:r>
      <w:r w:rsidRPr="00FE7BA7">
        <w:rPr>
          <w:rStyle w:val="Strong"/>
          <w:rFonts w:ascii="Verdana" w:hAnsi="Verdana"/>
          <w:b w:val="0"/>
          <w:sz w:val="20"/>
          <w:szCs w:val="20"/>
          <w:lang w:val="en-US"/>
        </w:rPr>
        <w:t xml:space="preserve"> new residents, as well as an increase in tourism </w:t>
      </w:r>
      <w:r w:rsidR="00863A9E" w:rsidRPr="00FE7BA7">
        <w:rPr>
          <w:rStyle w:val="Strong"/>
          <w:rFonts w:ascii="Verdana" w:hAnsi="Verdana"/>
          <w:b w:val="0"/>
          <w:sz w:val="20"/>
          <w:szCs w:val="20"/>
          <w:lang w:val="en-US"/>
        </w:rPr>
        <w:t>in the region</w:t>
      </w:r>
      <w:r w:rsidRPr="00FE7BA7">
        <w:rPr>
          <w:rStyle w:val="Strong"/>
          <w:rFonts w:ascii="Verdana" w:hAnsi="Verdana"/>
          <w:b w:val="0"/>
          <w:sz w:val="20"/>
          <w:szCs w:val="20"/>
          <w:lang w:val="en-US"/>
        </w:rPr>
        <w:t>.</w:t>
      </w:r>
      <w:r w:rsidR="008A4ABB" w:rsidRPr="00FE7BA7">
        <w:rPr>
          <w:rStyle w:val="FootnoteReference"/>
          <w:bCs/>
          <w:szCs w:val="20"/>
          <w:lang w:val="en-US"/>
        </w:rPr>
        <w:footnoteReference w:id="50"/>
      </w:r>
      <w:r w:rsidR="00926E61" w:rsidRPr="00FE7BA7">
        <w:rPr>
          <w:rStyle w:val="Strong"/>
          <w:rFonts w:ascii="Verdana" w:hAnsi="Verdana"/>
          <w:sz w:val="20"/>
          <w:szCs w:val="20"/>
          <w:lang w:val="en-US"/>
        </w:rPr>
        <w:t xml:space="preserve"> </w:t>
      </w:r>
    </w:p>
    <w:p w14:paraId="6312687F" w14:textId="77777777" w:rsidR="00926E61" w:rsidRPr="00FE7BA7" w:rsidRDefault="00926E61" w:rsidP="00926E61">
      <w:pPr>
        <w:pStyle w:val="ListParagraph"/>
        <w:ind w:left="0"/>
        <w:jc w:val="both"/>
        <w:rPr>
          <w:rStyle w:val="Strong"/>
          <w:rFonts w:ascii="Verdana" w:hAnsi="Verdana"/>
          <w:b w:val="0"/>
          <w:sz w:val="20"/>
          <w:szCs w:val="20"/>
          <w:lang w:val="en-US"/>
        </w:rPr>
      </w:pPr>
    </w:p>
    <w:p w14:paraId="63126880" w14:textId="77777777" w:rsidR="00926E61" w:rsidRPr="00FE7BA7" w:rsidRDefault="00CA7C7B" w:rsidP="00E26926">
      <w:pPr>
        <w:pStyle w:val="Heading2"/>
        <w:numPr>
          <w:ilvl w:val="0"/>
          <w:numId w:val="10"/>
        </w:numPr>
        <w:spacing w:before="0"/>
        <w:jc w:val="both"/>
        <w:rPr>
          <w:rFonts w:ascii="Verdana" w:hAnsi="Verdana"/>
          <w:bCs w:val="0"/>
          <w:i/>
          <w:color w:val="auto"/>
          <w:sz w:val="20"/>
          <w:szCs w:val="20"/>
          <w:lang w:val="en-US"/>
        </w:rPr>
      </w:pPr>
      <w:bookmarkStart w:id="14" w:name="_Toc441673187"/>
      <w:r w:rsidRPr="00FE7BA7">
        <w:rPr>
          <w:rFonts w:ascii="Verdana" w:hAnsi="Verdana"/>
          <w:bCs w:val="0"/>
          <w:i/>
          <w:color w:val="auto"/>
          <w:sz w:val="20"/>
          <w:szCs w:val="20"/>
          <w:lang w:val="en-US"/>
        </w:rPr>
        <w:lastRenderedPageBreak/>
        <w:t>Maroon settlements in the territory claimed as ancestral by</w:t>
      </w:r>
      <w:r w:rsidR="00AF148A" w:rsidRPr="00FE7BA7">
        <w:rPr>
          <w:rFonts w:ascii="Verdana" w:hAnsi="Verdana"/>
          <w:bCs w:val="0"/>
          <w:i/>
          <w:color w:val="auto"/>
          <w:sz w:val="20"/>
          <w:szCs w:val="20"/>
          <w:lang w:val="en-US"/>
        </w:rPr>
        <w:t xml:space="preserve"> </w:t>
      </w:r>
      <w:r w:rsidR="002B5CCD" w:rsidRPr="00FE7BA7">
        <w:rPr>
          <w:rFonts w:ascii="Verdana" w:hAnsi="Verdana"/>
          <w:bCs w:val="0"/>
          <w:i/>
          <w:color w:val="auto"/>
          <w:sz w:val="20"/>
          <w:szCs w:val="20"/>
          <w:lang w:val="en-US"/>
        </w:rPr>
        <w:t xml:space="preserve">the </w:t>
      </w:r>
      <w:r w:rsidR="004C7D14" w:rsidRPr="00FE7BA7">
        <w:rPr>
          <w:rFonts w:ascii="Verdana" w:hAnsi="Verdana"/>
          <w:bCs w:val="0"/>
          <w:i/>
          <w:color w:val="auto"/>
          <w:sz w:val="20"/>
          <w:szCs w:val="20"/>
          <w:lang w:val="en-US"/>
        </w:rPr>
        <w:t>Kaliña and Lokono peoples</w:t>
      </w:r>
      <w:bookmarkEnd w:id="14"/>
    </w:p>
    <w:p w14:paraId="63126881" w14:textId="77777777" w:rsidR="00926E61" w:rsidRPr="00FE7BA7" w:rsidRDefault="00926E61" w:rsidP="00926E61">
      <w:pPr>
        <w:jc w:val="both"/>
        <w:rPr>
          <w:rStyle w:val="Strong"/>
          <w:rFonts w:ascii="Verdana" w:hAnsi="Verdana"/>
          <w:b w:val="0"/>
          <w:sz w:val="20"/>
          <w:szCs w:val="20"/>
          <w:lang w:val="en-US"/>
        </w:rPr>
      </w:pPr>
    </w:p>
    <w:p w14:paraId="63126882" w14:textId="77777777" w:rsidR="00926E61" w:rsidRPr="00FE7BA7" w:rsidRDefault="00184EAD" w:rsidP="00B935FA">
      <w:pPr>
        <w:pStyle w:val="ListParagraph"/>
        <w:numPr>
          <w:ilvl w:val="0"/>
          <w:numId w:val="2"/>
        </w:numPr>
        <w:ind w:left="0" w:hanging="11"/>
        <w:jc w:val="both"/>
        <w:rPr>
          <w:rFonts w:ascii="Verdana" w:hAnsi="Verdana"/>
          <w:sz w:val="20"/>
          <w:szCs w:val="20"/>
          <w:lang w:val="en-US"/>
        </w:rPr>
      </w:pPr>
      <w:r w:rsidRPr="00FE7BA7">
        <w:rPr>
          <w:rStyle w:val="Strong"/>
          <w:rFonts w:ascii="Verdana" w:hAnsi="Verdana"/>
          <w:b w:val="0"/>
          <w:sz w:val="20"/>
          <w:szCs w:val="20"/>
          <w:lang w:val="en-US"/>
        </w:rPr>
        <w:t>When presenting its</w:t>
      </w:r>
      <w:r w:rsidR="009B6F40" w:rsidRPr="00FE7BA7">
        <w:rPr>
          <w:rStyle w:val="Strong"/>
          <w:rFonts w:ascii="Verdana" w:hAnsi="Verdana"/>
          <w:b w:val="0"/>
          <w:sz w:val="20"/>
          <w:szCs w:val="20"/>
          <w:lang w:val="en-US"/>
        </w:rPr>
        <w:t xml:space="preserve"> </w:t>
      </w:r>
      <w:r w:rsidR="00D16DA7" w:rsidRPr="00FE7BA7">
        <w:rPr>
          <w:rStyle w:val="Strong"/>
          <w:rFonts w:ascii="Verdana" w:hAnsi="Verdana"/>
          <w:b w:val="0"/>
          <w:sz w:val="20"/>
          <w:szCs w:val="20"/>
          <w:lang w:val="en-US"/>
        </w:rPr>
        <w:t>final written arguments</w:t>
      </w:r>
      <w:r w:rsidR="009B6F40" w:rsidRPr="00FE7BA7">
        <w:rPr>
          <w:rStyle w:val="Strong"/>
          <w:rFonts w:ascii="Verdana" w:hAnsi="Verdana"/>
          <w:b w:val="0"/>
          <w:sz w:val="20"/>
          <w:szCs w:val="20"/>
          <w:lang w:val="en-US"/>
        </w:rPr>
        <w:t xml:space="preserve">, </w:t>
      </w:r>
      <w:r w:rsidR="002B5CCD" w:rsidRPr="00FE7BA7">
        <w:rPr>
          <w:rStyle w:val="Strong"/>
          <w:rFonts w:ascii="Verdana" w:hAnsi="Verdana"/>
          <w:b w:val="0"/>
          <w:sz w:val="20"/>
          <w:szCs w:val="20"/>
          <w:lang w:val="en-US"/>
        </w:rPr>
        <w:t>the State</w:t>
      </w:r>
      <w:r w:rsidR="009B6F40"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 xml:space="preserve">advised the Court that Maroon communities also inhabited the territory claimed by </w:t>
      </w:r>
      <w:r w:rsidR="002B5CCD" w:rsidRPr="00FE7BA7">
        <w:rPr>
          <w:rStyle w:val="Strong"/>
          <w:rFonts w:ascii="Verdana" w:hAnsi="Verdana"/>
          <w:b w:val="0"/>
          <w:sz w:val="20"/>
          <w:szCs w:val="20"/>
          <w:lang w:val="en-US"/>
        </w:rPr>
        <w:t xml:space="preserve">the </w:t>
      </w:r>
      <w:r w:rsidR="004C7D14" w:rsidRPr="00FE7BA7">
        <w:rPr>
          <w:rStyle w:val="Strong"/>
          <w:rFonts w:ascii="Verdana" w:hAnsi="Verdana"/>
          <w:b w:val="0"/>
          <w:sz w:val="20"/>
          <w:szCs w:val="20"/>
          <w:lang w:val="en-US"/>
        </w:rPr>
        <w:t>Kaliña and Lokono peoples</w:t>
      </w:r>
      <w:r w:rsidR="009B6F40"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in this case.</w:t>
      </w:r>
      <w:r w:rsidR="00C15E08" w:rsidRPr="00FE7BA7">
        <w:rPr>
          <w:rStyle w:val="FootnoteReference"/>
          <w:bCs/>
          <w:szCs w:val="20"/>
          <w:lang w:val="en-US"/>
        </w:rPr>
        <w:footnoteReference w:id="51"/>
      </w:r>
      <w:r w:rsidRPr="00FE7BA7">
        <w:rPr>
          <w:rStyle w:val="Strong"/>
          <w:rFonts w:ascii="Verdana" w:hAnsi="Verdana"/>
          <w:b w:val="0"/>
          <w:sz w:val="20"/>
          <w:szCs w:val="20"/>
          <w:lang w:val="en-US"/>
        </w:rPr>
        <w:t xml:space="preserve"> Thus,</w:t>
      </w:r>
      <w:r w:rsidR="009B6F40" w:rsidRPr="00FE7BA7">
        <w:rPr>
          <w:rStyle w:val="Strong"/>
          <w:rFonts w:ascii="Verdana" w:hAnsi="Verdana"/>
          <w:b w:val="0"/>
          <w:sz w:val="20"/>
          <w:szCs w:val="20"/>
          <w:lang w:val="en-US"/>
        </w:rPr>
        <w:t xml:space="preserve"> </w:t>
      </w:r>
      <w:r w:rsidR="00FD14B3" w:rsidRPr="00FE7BA7">
        <w:rPr>
          <w:rStyle w:val="Strong"/>
          <w:rFonts w:ascii="Verdana" w:hAnsi="Verdana"/>
          <w:b w:val="0"/>
          <w:sz w:val="20"/>
          <w:szCs w:val="20"/>
          <w:lang w:val="en-US"/>
        </w:rPr>
        <w:t xml:space="preserve">during </w:t>
      </w:r>
      <w:r w:rsidR="003F59F5" w:rsidRPr="00FE7BA7">
        <w:rPr>
          <w:rStyle w:val="Strong"/>
          <w:rFonts w:ascii="Verdana" w:hAnsi="Verdana"/>
          <w:b w:val="0"/>
          <w:sz w:val="20"/>
          <w:szCs w:val="20"/>
          <w:lang w:val="en-US"/>
        </w:rPr>
        <w:t>the on-site procedure</w:t>
      </w:r>
      <w:r w:rsidR="00926E61" w:rsidRPr="00FE7BA7">
        <w:rPr>
          <w:rStyle w:val="Strong"/>
          <w:rFonts w:ascii="Verdana" w:hAnsi="Verdana"/>
          <w:b w:val="0"/>
          <w:sz w:val="20"/>
          <w:szCs w:val="20"/>
          <w:lang w:val="en-US"/>
        </w:rPr>
        <w:t xml:space="preserve"> </w:t>
      </w:r>
      <w:r w:rsidR="002B5CCD" w:rsidRPr="00FE7BA7">
        <w:rPr>
          <w:rStyle w:val="Strong"/>
          <w:rFonts w:ascii="Verdana" w:hAnsi="Verdana"/>
          <w:b w:val="0"/>
          <w:sz w:val="20"/>
          <w:szCs w:val="20"/>
          <w:lang w:val="en-US"/>
        </w:rPr>
        <w:t>the Court</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verified that, in different areas, the territory claimed by</w:t>
      </w:r>
      <w:r w:rsidR="00926E61" w:rsidRPr="00FE7BA7">
        <w:rPr>
          <w:rStyle w:val="Strong"/>
          <w:rFonts w:ascii="Verdana" w:hAnsi="Verdana"/>
          <w:b w:val="0"/>
          <w:sz w:val="20"/>
          <w:szCs w:val="20"/>
          <w:lang w:val="en-US"/>
        </w:rPr>
        <w:t xml:space="preserve"> </w:t>
      </w:r>
      <w:r w:rsidR="002B5CCD" w:rsidRPr="00FE7BA7">
        <w:rPr>
          <w:rStyle w:val="Strong"/>
          <w:rFonts w:ascii="Verdana" w:hAnsi="Verdana"/>
          <w:b w:val="0"/>
          <w:sz w:val="20"/>
          <w:szCs w:val="20"/>
          <w:lang w:val="en-US"/>
        </w:rPr>
        <w:t xml:space="preserve">the </w:t>
      </w:r>
      <w:r w:rsidR="004C7D14" w:rsidRPr="00FE7BA7">
        <w:rPr>
          <w:rStyle w:val="Strong"/>
          <w:rFonts w:ascii="Verdana" w:hAnsi="Verdana"/>
          <w:b w:val="0"/>
          <w:sz w:val="20"/>
          <w:szCs w:val="20"/>
          <w:lang w:val="en-US"/>
        </w:rPr>
        <w:t>Kaliña and Lokono peoples</w:t>
      </w:r>
      <w:r w:rsidRPr="00FE7BA7">
        <w:rPr>
          <w:rStyle w:val="Strong"/>
          <w:rFonts w:ascii="Verdana" w:hAnsi="Verdana"/>
          <w:b w:val="0"/>
          <w:sz w:val="20"/>
          <w:szCs w:val="20"/>
          <w:lang w:val="en-US"/>
        </w:rPr>
        <w:t xml:space="preserve"> adjoins settlements of the N’</w:t>
      </w:r>
      <w:r w:rsidR="00926E61" w:rsidRPr="00FE7BA7">
        <w:rPr>
          <w:rStyle w:val="Strong"/>
          <w:rFonts w:ascii="Verdana" w:hAnsi="Verdana"/>
          <w:b w:val="0"/>
          <w:sz w:val="20"/>
          <w:szCs w:val="20"/>
          <w:lang w:val="en-US"/>
        </w:rPr>
        <w:t xml:space="preserve">djuka </w:t>
      </w:r>
      <w:r w:rsidRPr="00FE7BA7">
        <w:rPr>
          <w:rStyle w:val="Strong"/>
          <w:rFonts w:ascii="Verdana" w:hAnsi="Verdana"/>
          <w:b w:val="0"/>
          <w:sz w:val="20"/>
          <w:szCs w:val="20"/>
          <w:lang w:val="en-US"/>
        </w:rPr>
        <w:t>Maroon tribe.</w:t>
      </w:r>
      <w:r w:rsidR="00926E61" w:rsidRPr="00FE7BA7">
        <w:rPr>
          <w:rStyle w:val="FootnoteReference"/>
          <w:bCs/>
          <w:szCs w:val="20"/>
          <w:lang w:val="en-US"/>
        </w:rPr>
        <w:footnoteReference w:id="52"/>
      </w:r>
      <w:r w:rsidRPr="00FE7BA7">
        <w:rPr>
          <w:rStyle w:val="Strong"/>
          <w:rFonts w:ascii="Verdana" w:hAnsi="Verdana"/>
          <w:b w:val="0"/>
          <w:sz w:val="20"/>
          <w:szCs w:val="20"/>
          <w:lang w:val="en-US"/>
        </w:rPr>
        <w:t xml:space="preserve"> In this regard, in the </w:t>
      </w:r>
      <w:r w:rsidRPr="00FE7BA7">
        <w:rPr>
          <w:rStyle w:val="Strong"/>
          <w:rFonts w:ascii="Verdana" w:hAnsi="Verdana"/>
          <w:b w:val="0"/>
          <w:i/>
          <w:sz w:val="20"/>
          <w:szCs w:val="20"/>
          <w:lang w:val="en-US"/>
        </w:rPr>
        <w:t>c</w:t>
      </w:r>
      <w:r w:rsidR="00863A9E" w:rsidRPr="00FE7BA7">
        <w:rPr>
          <w:rStyle w:val="Strong"/>
          <w:rFonts w:ascii="Verdana" w:hAnsi="Verdana"/>
          <w:b w:val="0"/>
          <w:i/>
          <w:sz w:val="20"/>
          <w:szCs w:val="20"/>
          <w:lang w:val="en-US"/>
        </w:rPr>
        <w:t>ase of the Moiwana Community</w:t>
      </w:r>
      <w:r w:rsidR="00926E61" w:rsidRPr="00FE7BA7">
        <w:rPr>
          <w:rStyle w:val="Strong"/>
          <w:rFonts w:ascii="Verdana" w:hAnsi="Verdana"/>
          <w:b w:val="0"/>
          <w:i/>
          <w:sz w:val="20"/>
          <w:szCs w:val="20"/>
          <w:lang w:val="en-US"/>
        </w:rPr>
        <w:t xml:space="preserve"> </w:t>
      </w:r>
      <w:r w:rsidR="002B5CCD" w:rsidRPr="00FE7BA7">
        <w:rPr>
          <w:rStyle w:val="Strong"/>
          <w:rFonts w:ascii="Verdana" w:hAnsi="Verdana"/>
          <w:b w:val="0"/>
          <w:i/>
          <w:sz w:val="20"/>
          <w:szCs w:val="20"/>
          <w:lang w:val="en-US"/>
        </w:rPr>
        <w:t>v.</w:t>
      </w:r>
      <w:r w:rsidR="00926E61" w:rsidRPr="00FE7BA7">
        <w:rPr>
          <w:rStyle w:val="Strong"/>
          <w:rFonts w:ascii="Verdana" w:hAnsi="Verdana"/>
          <w:b w:val="0"/>
          <w:i/>
          <w:sz w:val="20"/>
          <w:szCs w:val="20"/>
          <w:lang w:val="en-US"/>
        </w:rPr>
        <w:t xml:space="preserve"> </w:t>
      </w:r>
      <w:r w:rsidR="004C7D14" w:rsidRPr="00FE7BA7">
        <w:rPr>
          <w:rStyle w:val="Strong"/>
          <w:rFonts w:ascii="Verdana" w:hAnsi="Verdana"/>
          <w:b w:val="0"/>
          <w:i/>
          <w:sz w:val="20"/>
          <w:szCs w:val="20"/>
          <w:lang w:val="en-US"/>
        </w:rPr>
        <w:t>Suriname,</w:t>
      </w:r>
      <w:r w:rsidR="00926E61" w:rsidRPr="00FE7BA7">
        <w:rPr>
          <w:rStyle w:val="Strong"/>
          <w:rFonts w:ascii="Verdana" w:hAnsi="Verdana"/>
          <w:b w:val="0"/>
          <w:sz w:val="20"/>
          <w:szCs w:val="20"/>
          <w:lang w:val="en-US"/>
        </w:rPr>
        <w:t xml:space="preserve"> </w:t>
      </w:r>
      <w:r w:rsidR="002B5CCD" w:rsidRPr="00FE7BA7">
        <w:rPr>
          <w:rStyle w:val="Strong"/>
          <w:rFonts w:ascii="Verdana" w:hAnsi="Verdana"/>
          <w:b w:val="0"/>
          <w:sz w:val="20"/>
          <w:szCs w:val="20"/>
          <w:lang w:val="en-US"/>
        </w:rPr>
        <w:t>the Court</w:t>
      </w:r>
      <w:r w:rsidR="00926E61" w:rsidRPr="00FE7BA7">
        <w:rPr>
          <w:rStyle w:val="Strong"/>
          <w:rFonts w:ascii="Verdana" w:hAnsi="Verdana"/>
          <w:b w:val="0"/>
          <w:sz w:val="20"/>
          <w:szCs w:val="20"/>
          <w:lang w:val="en-US"/>
        </w:rPr>
        <w:t xml:space="preserve"> observ</w:t>
      </w:r>
      <w:r w:rsidRPr="00FE7BA7">
        <w:rPr>
          <w:rStyle w:val="Strong"/>
          <w:rFonts w:ascii="Verdana" w:hAnsi="Verdana"/>
          <w:b w:val="0"/>
          <w:sz w:val="20"/>
          <w:szCs w:val="20"/>
          <w:lang w:val="en-US"/>
        </w:rPr>
        <w:t xml:space="preserve">ed that the </w:t>
      </w:r>
      <w:r w:rsidR="00FD14B3" w:rsidRPr="00FE7BA7">
        <w:rPr>
          <w:rFonts w:ascii="Verdana" w:hAnsi="Verdana"/>
          <w:sz w:val="20"/>
          <w:szCs w:val="20"/>
          <w:lang w:val="en-US"/>
        </w:rPr>
        <w:t>traditional lands</w:t>
      </w:r>
      <w:r w:rsidR="00926E61" w:rsidRPr="00FE7BA7">
        <w:rPr>
          <w:rFonts w:ascii="Verdana" w:hAnsi="Verdana"/>
          <w:sz w:val="20"/>
          <w:szCs w:val="20"/>
          <w:lang w:val="en-US"/>
        </w:rPr>
        <w:t xml:space="preserve"> </w:t>
      </w:r>
      <w:r w:rsidRPr="00FE7BA7">
        <w:rPr>
          <w:rFonts w:ascii="Verdana" w:hAnsi="Verdana"/>
          <w:sz w:val="20"/>
          <w:szCs w:val="20"/>
          <w:lang w:val="en-US"/>
        </w:rPr>
        <w:t xml:space="preserve">of the </w:t>
      </w:r>
      <w:r w:rsidR="00926E61" w:rsidRPr="00FE7BA7">
        <w:rPr>
          <w:rFonts w:ascii="Verdana" w:hAnsi="Verdana"/>
          <w:sz w:val="20"/>
          <w:szCs w:val="20"/>
          <w:lang w:val="en-US"/>
        </w:rPr>
        <w:t xml:space="preserve">N’djuka </w:t>
      </w:r>
      <w:r w:rsidRPr="00FE7BA7">
        <w:rPr>
          <w:rFonts w:ascii="Verdana" w:hAnsi="Verdana"/>
          <w:sz w:val="20"/>
          <w:szCs w:val="20"/>
          <w:lang w:val="en-US"/>
        </w:rPr>
        <w:t>M</w:t>
      </w:r>
      <w:r w:rsidR="006D4D2C" w:rsidRPr="00FE7BA7">
        <w:rPr>
          <w:rFonts w:ascii="Verdana" w:hAnsi="Verdana"/>
          <w:sz w:val="20"/>
          <w:szCs w:val="20"/>
          <w:lang w:val="en-US"/>
        </w:rPr>
        <w:t>aroon</w:t>
      </w:r>
      <w:r w:rsidR="00F57D87" w:rsidRPr="00FE7BA7">
        <w:rPr>
          <w:rFonts w:ascii="Verdana" w:hAnsi="Verdana"/>
          <w:sz w:val="20"/>
          <w:szCs w:val="20"/>
          <w:lang w:val="en-US"/>
        </w:rPr>
        <w:t>s</w:t>
      </w:r>
      <w:r w:rsidR="00926E61" w:rsidRPr="00FE7BA7">
        <w:rPr>
          <w:rFonts w:ascii="Verdana" w:hAnsi="Verdana"/>
          <w:sz w:val="20"/>
          <w:szCs w:val="20"/>
          <w:lang w:val="en-US"/>
        </w:rPr>
        <w:t xml:space="preserve"> </w:t>
      </w:r>
      <w:r w:rsidRPr="00FE7BA7">
        <w:rPr>
          <w:rFonts w:ascii="Verdana" w:hAnsi="Verdana"/>
          <w:sz w:val="20"/>
          <w:szCs w:val="20"/>
          <w:lang w:val="en-US"/>
        </w:rPr>
        <w:t>are located alongside the</w:t>
      </w:r>
      <w:r w:rsidR="00926E61" w:rsidRPr="00FE7BA7">
        <w:rPr>
          <w:rFonts w:ascii="Verdana" w:hAnsi="Verdana"/>
          <w:sz w:val="20"/>
          <w:szCs w:val="20"/>
          <w:lang w:val="en-US"/>
        </w:rPr>
        <w:t xml:space="preserve"> Tapanahoni</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the </w:t>
      </w:r>
      <w:r w:rsidR="00926E61" w:rsidRPr="00FE7BA7">
        <w:rPr>
          <w:rFonts w:ascii="Verdana" w:hAnsi="Verdana"/>
          <w:sz w:val="20"/>
          <w:szCs w:val="20"/>
          <w:lang w:val="en-US"/>
        </w:rPr>
        <w:t>Cottica</w:t>
      </w:r>
      <w:r w:rsidRPr="00FE7BA7">
        <w:rPr>
          <w:rFonts w:ascii="Verdana" w:hAnsi="Verdana"/>
          <w:sz w:val="20"/>
          <w:szCs w:val="20"/>
          <w:lang w:val="en-US"/>
        </w:rPr>
        <w:t xml:space="preserve"> Rivers.</w:t>
      </w:r>
      <w:r w:rsidR="00926E61" w:rsidRPr="00FE7BA7">
        <w:rPr>
          <w:rStyle w:val="FootnoteReference"/>
          <w:szCs w:val="20"/>
          <w:lang w:val="en-US"/>
        </w:rPr>
        <w:footnoteReference w:id="53"/>
      </w:r>
      <w:r w:rsidR="00926E61" w:rsidRPr="00FE7BA7">
        <w:rPr>
          <w:rFonts w:ascii="Verdana" w:hAnsi="Verdana"/>
          <w:sz w:val="20"/>
          <w:szCs w:val="20"/>
          <w:lang w:val="en-US"/>
        </w:rPr>
        <w:t xml:space="preserve"> </w:t>
      </w:r>
    </w:p>
    <w:p w14:paraId="63126883" w14:textId="77777777" w:rsidR="00065894" w:rsidRPr="00FE7BA7" w:rsidRDefault="00065894" w:rsidP="00926E61">
      <w:pPr>
        <w:pStyle w:val="ListParagraph"/>
        <w:ind w:left="0"/>
        <w:jc w:val="both"/>
        <w:rPr>
          <w:rFonts w:ascii="Verdana" w:hAnsi="Verdana"/>
          <w:sz w:val="20"/>
          <w:szCs w:val="20"/>
          <w:lang w:val="en-US"/>
        </w:rPr>
      </w:pPr>
    </w:p>
    <w:p w14:paraId="63126884" w14:textId="77777777" w:rsidR="00D2614E" w:rsidRPr="00FE7BA7" w:rsidRDefault="00184EAD" w:rsidP="00D2614E">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w:t>
      </w:r>
      <w:r w:rsidR="00592D21">
        <w:rPr>
          <w:rFonts w:ascii="Verdana" w:hAnsi="Verdana"/>
          <w:sz w:val="20"/>
          <w:szCs w:val="20"/>
          <w:lang w:val="en-US"/>
        </w:rPr>
        <w:t xml:space="preserve">the State indicated </w:t>
      </w:r>
      <w:r w:rsidR="00FD14B3" w:rsidRPr="00FE7BA7">
        <w:rPr>
          <w:rFonts w:ascii="Verdana" w:hAnsi="Verdana"/>
          <w:sz w:val="20"/>
          <w:szCs w:val="20"/>
          <w:lang w:val="en-US"/>
        </w:rPr>
        <w:t xml:space="preserve">during </w:t>
      </w:r>
      <w:r w:rsidR="003F59F5" w:rsidRPr="00FE7BA7">
        <w:rPr>
          <w:rFonts w:ascii="Verdana" w:hAnsi="Verdana"/>
          <w:sz w:val="20"/>
          <w:szCs w:val="20"/>
          <w:lang w:val="en-US"/>
        </w:rPr>
        <w:t>the on-site procedure</w:t>
      </w:r>
      <w:r w:rsidR="002B5CCD" w:rsidRPr="00FE7BA7">
        <w:rPr>
          <w:rFonts w:ascii="Verdana" w:hAnsi="Verdana"/>
          <w:sz w:val="20"/>
          <w:szCs w:val="20"/>
          <w:lang w:val="en-US"/>
        </w:rPr>
        <w:t xml:space="preserve"> and</w:t>
      </w:r>
      <w:r w:rsidRPr="00FE7BA7">
        <w:rPr>
          <w:rFonts w:ascii="Verdana" w:hAnsi="Verdana"/>
          <w:sz w:val="20"/>
          <w:szCs w:val="20"/>
          <w:lang w:val="en-US"/>
        </w:rPr>
        <w:t xml:space="preserve"> in its corresponding written obs</w:t>
      </w:r>
      <w:r w:rsidR="00592D21">
        <w:rPr>
          <w:rFonts w:ascii="Verdana" w:hAnsi="Verdana"/>
          <w:sz w:val="20"/>
          <w:szCs w:val="20"/>
          <w:lang w:val="en-US"/>
        </w:rPr>
        <w:t xml:space="preserve">ervations </w:t>
      </w:r>
      <w:r w:rsidRPr="00FE7BA7">
        <w:rPr>
          <w:rFonts w:ascii="Verdana" w:hAnsi="Verdana"/>
          <w:sz w:val="20"/>
          <w:szCs w:val="20"/>
          <w:lang w:val="en-US"/>
        </w:rPr>
        <w:t>that, in the area claimed by</w:t>
      </w:r>
      <w:r w:rsidR="00D2614E"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there were Maroons living in the following settlements</w:t>
      </w:r>
      <w:r w:rsidR="00D2614E" w:rsidRPr="00FE7BA7">
        <w:rPr>
          <w:rFonts w:ascii="Verdana" w:hAnsi="Verdana"/>
          <w:sz w:val="20"/>
          <w:szCs w:val="20"/>
          <w:lang w:val="en-US"/>
        </w:rPr>
        <w:t>: 1) Albina; 2) Papatam; 3) Mankele Kampu; 4) Maria Kondre; 5) Eduard Kondre; 6) Bamboesie; 7) Onikai Kondre; 8) Manja Bong; 9) Kronto Kondre; 10) Boni Kondre o</w:t>
      </w:r>
      <w:r w:rsidR="00CA7C7B" w:rsidRPr="00FE7BA7">
        <w:rPr>
          <w:rFonts w:ascii="Verdana" w:hAnsi="Verdana"/>
          <w:sz w:val="20"/>
          <w:szCs w:val="20"/>
          <w:lang w:val="en-US"/>
        </w:rPr>
        <w:t>r</w:t>
      </w:r>
      <w:r w:rsidR="00D2614E" w:rsidRPr="00FE7BA7">
        <w:rPr>
          <w:rFonts w:ascii="Verdana" w:hAnsi="Verdana"/>
          <w:sz w:val="20"/>
          <w:szCs w:val="20"/>
          <w:lang w:val="en-US"/>
        </w:rPr>
        <w:t xml:space="preserve"> Baa Joebe kampoe; 11) Moengo Tapu; 12) Adjuma Kondre; 13) Nengre Kriki; 14) Bilo Kondre; 15) Akoloikondre; 16) Baajoebkampu; 17) Solegakampu,</w:t>
      </w:r>
      <w:r w:rsidR="002B5CCD" w:rsidRPr="00FE7BA7">
        <w:rPr>
          <w:rFonts w:ascii="Verdana" w:hAnsi="Verdana"/>
          <w:sz w:val="20"/>
          <w:szCs w:val="20"/>
          <w:lang w:val="en-US"/>
        </w:rPr>
        <w:t xml:space="preserve"> and </w:t>
      </w:r>
      <w:r w:rsidR="00D2614E" w:rsidRPr="00FE7BA7">
        <w:rPr>
          <w:rFonts w:ascii="Verdana" w:hAnsi="Verdana"/>
          <w:sz w:val="20"/>
          <w:szCs w:val="20"/>
          <w:lang w:val="en-US"/>
        </w:rPr>
        <w:t xml:space="preserve">18) Brunswijkkampu. </w:t>
      </w:r>
      <w:r w:rsidRPr="00FE7BA7">
        <w:rPr>
          <w:rFonts w:ascii="Verdana" w:hAnsi="Verdana"/>
          <w:sz w:val="20"/>
          <w:szCs w:val="20"/>
          <w:lang w:val="en-US"/>
        </w:rPr>
        <w:t xml:space="preserve">It also asserted that more </w:t>
      </w:r>
      <w:r w:rsidR="005269B1" w:rsidRPr="00FE7BA7">
        <w:rPr>
          <w:rFonts w:ascii="Verdana" w:hAnsi="Verdana"/>
          <w:sz w:val="20"/>
          <w:szCs w:val="20"/>
          <w:lang w:val="en-US"/>
        </w:rPr>
        <w:t>Maroon settlements</w:t>
      </w:r>
      <w:r w:rsidR="00D2614E" w:rsidRPr="00FE7BA7">
        <w:rPr>
          <w:rFonts w:ascii="Verdana" w:hAnsi="Verdana"/>
          <w:sz w:val="20"/>
          <w:szCs w:val="20"/>
          <w:lang w:val="en-US"/>
        </w:rPr>
        <w:t xml:space="preserve"> </w:t>
      </w:r>
      <w:r w:rsidRPr="00FE7BA7">
        <w:rPr>
          <w:rFonts w:ascii="Verdana" w:hAnsi="Verdana"/>
          <w:sz w:val="20"/>
          <w:szCs w:val="20"/>
          <w:lang w:val="en-US"/>
        </w:rPr>
        <w:t xml:space="preserve">existed within the territory claimed, but they could not be indicated because the map provided by </w:t>
      </w:r>
      <w:r w:rsidR="00810FAD" w:rsidRPr="00FE7BA7">
        <w:rPr>
          <w:rFonts w:ascii="Verdana" w:hAnsi="Verdana"/>
          <w:sz w:val="20"/>
          <w:szCs w:val="20"/>
          <w:lang w:val="en-US"/>
        </w:rPr>
        <w:t>the representatives</w:t>
      </w:r>
      <w:r w:rsidR="00FD14B3" w:rsidRPr="00FE7BA7">
        <w:rPr>
          <w:rFonts w:ascii="Verdana" w:hAnsi="Verdana"/>
          <w:sz w:val="20"/>
          <w:szCs w:val="20"/>
          <w:lang w:val="en-US"/>
        </w:rPr>
        <w:t xml:space="preserve"> during </w:t>
      </w:r>
      <w:r w:rsidR="00810FAD" w:rsidRPr="00FE7BA7">
        <w:rPr>
          <w:rFonts w:ascii="Verdana" w:hAnsi="Verdana"/>
          <w:sz w:val="20"/>
          <w:szCs w:val="20"/>
          <w:lang w:val="en-US"/>
        </w:rPr>
        <w:t>the public hearing</w:t>
      </w:r>
      <w:r w:rsidR="00D2614E" w:rsidRPr="00FE7BA7">
        <w:rPr>
          <w:rFonts w:ascii="Verdana" w:hAnsi="Verdana"/>
          <w:sz w:val="20"/>
          <w:szCs w:val="20"/>
          <w:lang w:val="en-US"/>
        </w:rPr>
        <w:t xml:space="preserve"> </w:t>
      </w:r>
      <w:r w:rsidRPr="00FE7BA7">
        <w:rPr>
          <w:rFonts w:ascii="Verdana" w:hAnsi="Verdana"/>
          <w:sz w:val="20"/>
          <w:szCs w:val="20"/>
          <w:lang w:val="en-US"/>
        </w:rPr>
        <w:t>was imprecise</w:t>
      </w:r>
      <w:r w:rsidR="00D2614E" w:rsidRPr="00FE7BA7">
        <w:rPr>
          <w:rFonts w:ascii="Verdana" w:hAnsi="Verdana"/>
          <w:sz w:val="20"/>
          <w:szCs w:val="20"/>
          <w:lang w:val="en-US"/>
        </w:rPr>
        <w:t>.</w:t>
      </w:r>
    </w:p>
    <w:p w14:paraId="63126885" w14:textId="77777777" w:rsidR="00D2614E" w:rsidRPr="00FE7BA7" w:rsidRDefault="00D2614E" w:rsidP="00D2614E">
      <w:pPr>
        <w:pStyle w:val="ListParagraph"/>
        <w:ind w:left="0"/>
        <w:jc w:val="both"/>
        <w:rPr>
          <w:rFonts w:ascii="Verdana" w:hAnsi="Verdana"/>
          <w:sz w:val="20"/>
          <w:szCs w:val="20"/>
          <w:lang w:val="en-US"/>
        </w:rPr>
      </w:pPr>
    </w:p>
    <w:p w14:paraId="63126886" w14:textId="77777777" w:rsidR="00A84F18" w:rsidRPr="00FE7BA7" w:rsidRDefault="00184EAD" w:rsidP="00A84F18">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in their written observations on </w:t>
      </w:r>
      <w:r w:rsidR="003F59F5" w:rsidRPr="00FE7BA7">
        <w:rPr>
          <w:rFonts w:ascii="Verdana" w:hAnsi="Verdana"/>
          <w:sz w:val="20"/>
          <w:szCs w:val="20"/>
          <w:lang w:val="en-US"/>
        </w:rPr>
        <w:t>the on-site procedure</w:t>
      </w:r>
      <w:r w:rsidR="004A692B" w:rsidRPr="00FE7BA7">
        <w:rPr>
          <w:rFonts w:ascii="Verdana" w:hAnsi="Verdana"/>
          <w:sz w:val="20"/>
          <w:szCs w:val="20"/>
          <w:lang w:val="en-US"/>
        </w:rPr>
        <w:t>, the representatives affirmed</w:t>
      </w:r>
      <w:r w:rsidR="00D2614E" w:rsidRPr="00FE7BA7">
        <w:rPr>
          <w:rFonts w:ascii="Verdana" w:hAnsi="Verdana"/>
          <w:sz w:val="20"/>
          <w:szCs w:val="20"/>
          <w:lang w:val="en-US"/>
        </w:rPr>
        <w:t xml:space="preserve"> </w:t>
      </w:r>
      <w:r w:rsidRPr="00FE7BA7">
        <w:rPr>
          <w:rFonts w:ascii="Verdana" w:hAnsi="Verdana"/>
          <w:sz w:val="20"/>
          <w:szCs w:val="20"/>
          <w:lang w:val="en-US"/>
        </w:rPr>
        <w:t xml:space="preserve">that the </w:t>
      </w:r>
      <w:r w:rsidR="00592D21">
        <w:rPr>
          <w:rFonts w:ascii="Verdana" w:hAnsi="Verdana"/>
          <w:sz w:val="20"/>
          <w:szCs w:val="20"/>
          <w:lang w:val="en-US"/>
        </w:rPr>
        <w:t>land</w:t>
      </w:r>
      <w:r w:rsidRPr="00FE7BA7">
        <w:rPr>
          <w:rFonts w:ascii="Verdana" w:hAnsi="Verdana"/>
          <w:sz w:val="20"/>
          <w:szCs w:val="20"/>
          <w:lang w:val="en-US"/>
        </w:rPr>
        <w:t xml:space="preserve"> to the south of </w:t>
      </w:r>
      <w:r w:rsidR="00D2614E" w:rsidRPr="00FE7BA7">
        <w:rPr>
          <w:rStyle w:val="Strong"/>
          <w:rFonts w:ascii="Verdana" w:hAnsi="Verdana"/>
          <w:b w:val="0"/>
          <w:sz w:val="20"/>
          <w:lang w:val="en-US"/>
        </w:rPr>
        <w:t>Anjoemara Creek</w:t>
      </w:r>
      <w:r w:rsidR="002B5CCD" w:rsidRPr="00FE7BA7">
        <w:rPr>
          <w:rStyle w:val="Strong"/>
          <w:rFonts w:ascii="Verdana" w:hAnsi="Verdana"/>
          <w:b w:val="0"/>
          <w:sz w:val="20"/>
          <w:szCs w:val="20"/>
          <w:lang w:val="en-US"/>
        </w:rPr>
        <w:t xml:space="preserve"> and </w:t>
      </w:r>
      <w:r w:rsidR="004A692B" w:rsidRPr="00FE7BA7">
        <w:rPr>
          <w:rStyle w:val="Strong"/>
          <w:rFonts w:ascii="Verdana" w:hAnsi="Verdana"/>
          <w:b w:val="0"/>
          <w:sz w:val="20"/>
          <w:szCs w:val="20"/>
          <w:lang w:val="en-US"/>
        </w:rPr>
        <w:t xml:space="preserve">to the north of </w:t>
      </w:r>
      <w:r w:rsidR="00D2614E" w:rsidRPr="00FE7BA7">
        <w:rPr>
          <w:rStyle w:val="Strong"/>
          <w:rFonts w:ascii="Verdana" w:hAnsi="Verdana"/>
          <w:b w:val="0"/>
          <w:sz w:val="20"/>
          <w:lang w:val="en-US"/>
        </w:rPr>
        <w:t>Aloemada Creek</w:t>
      </w:r>
      <w:r w:rsidR="00D2614E" w:rsidRPr="00FE7BA7">
        <w:rPr>
          <w:rStyle w:val="FootnoteReference"/>
          <w:bCs/>
          <w:szCs w:val="20"/>
          <w:lang w:val="en-US"/>
        </w:rPr>
        <w:footnoteReference w:id="54"/>
      </w:r>
      <w:r w:rsidR="00D2614E" w:rsidRPr="00FE7BA7">
        <w:rPr>
          <w:rStyle w:val="Strong"/>
          <w:rFonts w:ascii="Verdana" w:hAnsi="Verdana"/>
          <w:b w:val="0"/>
          <w:sz w:val="20"/>
          <w:szCs w:val="20"/>
          <w:lang w:val="en-US"/>
        </w:rPr>
        <w:t xml:space="preserve"> </w:t>
      </w:r>
      <w:r w:rsidR="004A692B" w:rsidRPr="00FE7BA7">
        <w:rPr>
          <w:rStyle w:val="Strong"/>
          <w:rFonts w:ascii="Verdana" w:hAnsi="Verdana"/>
          <w:b w:val="0"/>
          <w:sz w:val="20"/>
          <w:szCs w:val="20"/>
          <w:lang w:val="en-US"/>
        </w:rPr>
        <w:t xml:space="preserve">did not form part of the claim in this case. </w:t>
      </w:r>
      <w:r w:rsidR="003A5E79">
        <w:rPr>
          <w:rStyle w:val="Strong"/>
          <w:rFonts w:ascii="Verdana" w:hAnsi="Verdana"/>
          <w:b w:val="0"/>
          <w:sz w:val="20"/>
          <w:szCs w:val="20"/>
          <w:lang w:val="en-US"/>
        </w:rPr>
        <w:t>In this regard</w:t>
      </w:r>
      <w:r w:rsidR="004A692B" w:rsidRPr="00FE7BA7">
        <w:rPr>
          <w:rStyle w:val="Strong"/>
          <w:rFonts w:ascii="Verdana" w:hAnsi="Verdana"/>
          <w:b w:val="0"/>
          <w:sz w:val="20"/>
          <w:szCs w:val="20"/>
          <w:lang w:val="en-US"/>
        </w:rPr>
        <w:t xml:space="preserve">, </w:t>
      </w:r>
      <w:r w:rsidR="00810FAD" w:rsidRPr="00FE7BA7">
        <w:rPr>
          <w:rStyle w:val="Strong"/>
          <w:rFonts w:ascii="Verdana" w:hAnsi="Verdana"/>
          <w:b w:val="0"/>
          <w:sz w:val="20"/>
          <w:szCs w:val="20"/>
          <w:lang w:val="en-US"/>
        </w:rPr>
        <w:t>the representatives</w:t>
      </w:r>
      <w:r w:rsidR="004A692B" w:rsidRPr="00FE7BA7">
        <w:rPr>
          <w:rStyle w:val="Strong"/>
          <w:rFonts w:ascii="Verdana" w:hAnsi="Verdana"/>
          <w:b w:val="0"/>
          <w:sz w:val="20"/>
          <w:szCs w:val="20"/>
          <w:lang w:val="en-US"/>
        </w:rPr>
        <w:t xml:space="preserve"> provided a list of</w:t>
      </w:r>
      <w:r w:rsidR="003231F8" w:rsidRPr="00FE7BA7">
        <w:rPr>
          <w:rFonts w:ascii="Verdana" w:hAnsi="Verdana"/>
          <w:sz w:val="20"/>
          <w:szCs w:val="20"/>
          <w:lang w:val="en-US"/>
        </w:rPr>
        <w:t xml:space="preserve"> the</w:t>
      </w:r>
      <w:r w:rsidR="004A692B" w:rsidRPr="00FE7BA7">
        <w:rPr>
          <w:rFonts w:ascii="Verdana" w:hAnsi="Verdana"/>
          <w:sz w:val="20"/>
          <w:szCs w:val="20"/>
          <w:lang w:val="en-US"/>
        </w:rPr>
        <w:t xml:space="preserve"> relevant </w:t>
      </w:r>
      <w:r w:rsidR="005269B1" w:rsidRPr="00FE7BA7">
        <w:rPr>
          <w:rFonts w:ascii="Verdana" w:hAnsi="Verdana"/>
          <w:sz w:val="20"/>
          <w:szCs w:val="20"/>
          <w:lang w:val="en-US"/>
        </w:rPr>
        <w:t>settlements</w:t>
      </w:r>
      <w:r w:rsidR="00D2614E" w:rsidRPr="00FE7BA7">
        <w:rPr>
          <w:rFonts w:ascii="Verdana" w:hAnsi="Verdana"/>
          <w:sz w:val="20"/>
          <w:szCs w:val="20"/>
          <w:lang w:val="en-US"/>
        </w:rPr>
        <w:t xml:space="preserve"> </w:t>
      </w:r>
      <w:r w:rsidR="004A692B" w:rsidRPr="00FE7BA7">
        <w:rPr>
          <w:rFonts w:ascii="Verdana" w:hAnsi="Verdana"/>
          <w:sz w:val="20"/>
          <w:szCs w:val="20"/>
          <w:lang w:val="en-US"/>
        </w:rPr>
        <w:t xml:space="preserve">that were within the limits indicated and that, consequently, were not part </w:t>
      </w:r>
      <w:r w:rsidR="00511E56" w:rsidRPr="00FE7BA7">
        <w:rPr>
          <w:rFonts w:ascii="Verdana" w:hAnsi="Verdana"/>
          <w:sz w:val="20"/>
          <w:szCs w:val="20"/>
          <w:lang w:val="en-US"/>
        </w:rPr>
        <w:t xml:space="preserve">of the </w:t>
      </w:r>
      <w:r w:rsidR="00592D21">
        <w:rPr>
          <w:rFonts w:ascii="Verdana" w:hAnsi="Verdana"/>
          <w:sz w:val="20"/>
          <w:szCs w:val="20"/>
          <w:lang w:val="en-US"/>
        </w:rPr>
        <w:t xml:space="preserve">territory </w:t>
      </w:r>
      <w:r w:rsidR="004A692B" w:rsidRPr="00FE7BA7">
        <w:rPr>
          <w:rFonts w:ascii="Verdana" w:hAnsi="Verdana"/>
          <w:sz w:val="20"/>
          <w:szCs w:val="20"/>
          <w:lang w:val="en-US"/>
        </w:rPr>
        <w:t>over which</w:t>
      </w:r>
      <w:r w:rsidR="00D2614E"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D2614E" w:rsidRPr="00FE7BA7">
        <w:rPr>
          <w:rFonts w:ascii="Verdana" w:hAnsi="Verdana"/>
          <w:sz w:val="20"/>
          <w:szCs w:val="20"/>
          <w:lang w:val="en-US"/>
        </w:rPr>
        <w:t xml:space="preserve"> a</w:t>
      </w:r>
      <w:r w:rsidR="00592D21">
        <w:rPr>
          <w:rFonts w:ascii="Verdana" w:hAnsi="Verdana"/>
          <w:sz w:val="20"/>
          <w:szCs w:val="20"/>
          <w:lang w:val="en-US"/>
        </w:rPr>
        <w:t>llege</w:t>
      </w:r>
      <w:r w:rsidR="004A692B" w:rsidRPr="00FE7BA7">
        <w:rPr>
          <w:rFonts w:ascii="Verdana" w:hAnsi="Verdana"/>
          <w:sz w:val="20"/>
          <w:szCs w:val="20"/>
          <w:lang w:val="en-US"/>
        </w:rPr>
        <w:t xml:space="preserve"> their right to ancestral property; namely: </w:t>
      </w:r>
      <w:r w:rsidR="00D2614E" w:rsidRPr="00FE7BA7">
        <w:rPr>
          <w:rFonts w:ascii="Verdana" w:hAnsi="Verdana"/>
          <w:sz w:val="20"/>
          <w:szCs w:val="20"/>
          <w:lang w:val="en-US"/>
        </w:rPr>
        <w:t>1) Albina; 2) Papatam; 3) Mankilikampoe; 4) Mariakondre; 5) Eduard</w:t>
      </w:r>
      <w:r w:rsidR="00FD618D" w:rsidRPr="00FE7BA7">
        <w:rPr>
          <w:rFonts w:ascii="Verdana" w:hAnsi="Verdana"/>
          <w:sz w:val="20"/>
          <w:szCs w:val="20"/>
          <w:lang w:val="en-US"/>
        </w:rPr>
        <w:t>k</w:t>
      </w:r>
      <w:r w:rsidR="00D2614E" w:rsidRPr="00FE7BA7">
        <w:rPr>
          <w:rFonts w:ascii="Verdana" w:hAnsi="Verdana"/>
          <w:sz w:val="20"/>
          <w:szCs w:val="20"/>
          <w:lang w:val="en-US"/>
        </w:rPr>
        <w:t>ondre; 6) Akoloikondre; 7) Bamb</w:t>
      </w:r>
      <w:r w:rsidR="00635B8D" w:rsidRPr="00FE7BA7">
        <w:rPr>
          <w:rFonts w:ascii="Verdana" w:hAnsi="Verdana"/>
          <w:sz w:val="20"/>
          <w:szCs w:val="20"/>
          <w:lang w:val="en-US"/>
        </w:rPr>
        <w:t>oesi</w:t>
      </w:r>
      <w:r w:rsidR="002B5CCD" w:rsidRPr="00FE7BA7">
        <w:rPr>
          <w:rFonts w:ascii="Verdana" w:hAnsi="Verdana"/>
          <w:sz w:val="20"/>
          <w:szCs w:val="20"/>
          <w:lang w:val="en-US"/>
        </w:rPr>
        <w:t xml:space="preserve"> and </w:t>
      </w:r>
      <w:r w:rsidR="00D2614E" w:rsidRPr="00FE7BA7">
        <w:rPr>
          <w:rFonts w:ascii="Verdana" w:hAnsi="Verdana"/>
          <w:sz w:val="20"/>
          <w:szCs w:val="20"/>
          <w:lang w:val="en-US"/>
        </w:rPr>
        <w:t xml:space="preserve">8) Koni. </w:t>
      </w:r>
      <w:r w:rsidR="003A5E79">
        <w:rPr>
          <w:rFonts w:ascii="Verdana" w:hAnsi="Verdana"/>
          <w:sz w:val="20"/>
          <w:szCs w:val="20"/>
          <w:lang w:val="en-US"/>
        </w:rPr>
        <w:t>The representatives</w:t>
      </w:r>
      <w:r w:rsidR="004A692B" w:rsidRPr="00FE7BA7">
        <w:rPr>
          <w:rFonts w:ascii="Verdana" w:hAnsi="Verdana"/>
          <w:sz w:val="20"/>
          <w:szCs w:val="20"/>
          <w:lang w:val="en-US"/>
        </w:rPr>
        <w:t xml:space="preserve"> also indicated that the Maroon settlements of 9) Mongo Tapu and 10) Adjoemakondre are near the Lokono community of </w:t>
      </w:r>
      <w:r w:rsidR="00A84F18" w:rsidRPr="00FE7BA7">
        <w:rPr>
          <w:rFonts w:ascii="Verdana" w:hAnsi="Verdana"/>
          <w:sz w:val="20"/>
          <w:szCs w:val="20"/>
          <w:lang w:val="en-US"/>
        </w:rPr>
        <w:t>Alfonsdorp</w:t>
      </w:r>
      <w:r w:rsidR="004A692B" w:rsidRPr="00FE7BA7">
        <w:rPr>
          <w:rFonts w:ascii="Verdana" w:hAnsi="Verdana"/>
          <w:sz w:val="20"/>
          <w:szCs w:val="20"/>
          <w:lang w:val="en-US"/>
        </w:rPr>
        <w:t xml:space="preserve">; however, those settlements were </w:t>
      </w:r>
      <w:r w:rsidR="00592D21">
        <w:rPr>
          <w:rFonts w:ascii="Verdana" w:hAnsi="Verdana"/>
          <w:sz w:val="20"/>
          <w:szCs w:val="20"/>
          <w:lang w:val="en-US"/>
        </w:rPr>
        <w:t xml:space="preserve">located </w:t>
      </w:r>
      <w:r w:rsidR="004A692B" w:rsidRPr="00FE7BA7">
        <w:rPr>
          <w:rFonts w:ascii="Verdana" w:hAnsi="Verdana"/>
          <w:sz w:val="20"/>
          <w:szCs w:val="20"/>
          <w:lang w:val="en-US"/>
        </w:rPr>
        <w:t xml:space="preserve">outside the indigenous ancestral </w:t>
      </w:r>
      <w:r w:rsidR="00511E56" w:rsidRPr="00FE7BA7">
        <w:rPr>
          <w:rFonts w:ascii="Verdana" w:hAnsi="Verdana"/>
          <w:sz w:val="20"/>
          <w:szCs w:val="20"/>
          <w:lang w:val="en-US"/>
        </w:rPr>
        <w:t>territory</w:t>
      </w:r>
      <w:r w:rsidR="00A84F18" w:rsidRPr="00FE7BA7">
        <w:rPr>
          <w:rFonts w:ascii="Verdana" w:hAnsi="Verdana"/>
          <w:sz w:val="20"/>
          <w:szCs w:val="20"/>
          <w:lang w:val="en-US"/>
        </w:rPr>
        <w:t xml:space="preserve"> </w:t>
      </w:r>
      <w:r w:rsidR="004A692B" w:rsidRPr="00FE7BA7">
        <w:rPr>
          <w:rFonts w:ascii="Verdana" w:hAnsi="Verdana"/>
          <w:sz w:val="20"/>
          <w:szCs w:val="20"/>
          <w:lang w:val="en-US"/>
        </w:rPr>
        <w:t>claimed.</w:t>
      </w:r>
      <w:r w:rsidR="00A84F18" w:rsidRPr="00FE7BA7">
        <w:rPr>
          <w:rStyle w:val="FootnoteReference"/>
          <w:szCs w:val="20"/>
          <w:lang w:val="en-US"/>
        </w:rPr>
        <w:footnoteReference w:id="55"/>
      </w:r>
    </w:p>
    <w:p w14:paraId="63126887" w14:textId="77777777" w:rsidR="00A84F18" w:rsidRPr="00FE7BA7" w:rsidRDefault="00A84F18" w:rsidP="00A84F18">
      <w:pPr>
        <w:pStyle w:val="ListParagraph"/>
        <w:rPr>
          <w:rFonts w:ascii="Verdana" w:hAnsi="Verdana"/>
          <w:sz w:val="20"/>
          <w:szCs w:val="20"/>
          <w:lang w:val="en-US"/>
        </w:rPr>
      </w:pPr>
    </w:p>
    <w:p w14:paraId="63126888" w14:textId="30FD709A" w:rsidR="00A84F18" w:rsidRPr="00FE7BA7" w:rsidRDefault="004A692B" w:rsidP="00A84F18">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addition, </w:t>
      </w:r>
      <w:r w:rsidR="00810FAD" w:rsidRPr="00FE7BA7">
        <w:rPr>
          <w:rFonts w:ascii="Verdana" w:hAnsi="Verdana"/>
          <w:sz w:val="20"/>
          <w:szCs w:val="20"/>
          <w:lang w:val="en-US"/>
        </w:rPr>
        <w:t>the representatives</w:t>
      </w:r>
      <w:r w:rsidR="00A84F18" w:rsidRPr="00FE7BA7">
        <w:rPr>
          <w:rFonts w:ascii="Verdana" w:hAnsi="Verdana"/>
          <w:sz w:val="20"/>
          <w:szCs w:val="20"/>
          <w:lang w:val="en-US"/>
        </w:rPr>
        <w:t xml:space="preserve"> </w:t>
      </w:r>
      <w:r w:rsidRPr="00FE7BA7">
        <w:rPr>
          <w:rFonts w:ascii="Verdana" w:hAnsi="Verdana"/>
          <w:sz w:val="20"/>
          <w:szCs w:val="20"/>
          <w:lang w:val="en-US"/>
        </w:rPr>
        <w:t xml:space="preserve">clarified the situation of several Maroon families who live in the </w:t>
      </w:r>
      <w:r w:rsidR="00804BD4" w:rsidRPr="00FE7BA7">
        <w:rPr>
          <w:rFonts w:ascii="Verdana" w:hAnsi="Verdana"/>
          <w:sz w:val="20"/>
          <w:szCs w:val="20"/>
          <w:lang w:val="en-US"/>
        </w:rPr>
        <w:t>territories</w:t>
      </w:r>
      <w:r w:rsidR="00A84F18" w:rsidRPr="00FE7BA7">
        <w:rPr>
          <w:rFonts w:ascii="Verdana" w:hAnsi="Verdana"/>
          <w:sz w:val="20"/>
          <w:szCs w:val="20"/>
          <w:lang w:val="en-US"/>
        </w:rPr>
        <w:t xml:space="preserve"> </w:t>
      </w:r>
      <w:r w:rsidRPr="00FE7BA7">
        <w:rPr>
          <w:rFonts w:ascii="Verdana" w:hAnsi="Verdana"/>
          <w:sz w:val="20"/>
          <w:szCs w:val="20"/>
          <w:lang w:val="en-US"/>
        </w:rPr>
        <w:t>of the Lokono community of</w:t>
      </w:r>
      <w:r w:rsidR="00A84F18" w:rsidRPr="00FE7BA7">
        <w:rPr>
          <w:rFonts w:ascii="Verdana" w:hAnsi="Verdana"/>
          <w:sz w:val="20"/>
          <w:szCs w:val="20"/>
          <w:lang w:val="en-US"/>
        </w:rPr>
        <w:t xml:space="preserve"> Alfonsdorp; </w:t>
      </w:r>
      <w:r w:rsidRPr="00FE7BA7">
        <w:rPr>
          <w:rFonts w:ascii="Verdana" w:hAnsi="Verdana"/>
          <w:sz w:val="20"/>
          <w:szCs w:val="20"/>
          <w:lang w:val="en-US"/>
        </w:rPr>
        <w:t xml:space="preserve">of a Maroon settlement called </w:t>
      </w:r>
      <w:r w:rsidR="00A84F18" w:rsidRPr="00FE7BA7">
        <w:rPr>
          <w:rFonts w:ascii="Verdana" w:hAnsi="Verdana"/>
          <w:sz w:val="20"/>
          <w:szCs w:val="20"/>
          <w:lang w:val="en-US"/>
        </w:rPr>
        <w:t xml:space="preserve">11) Bilokondre, </w:t>
      </w:r>
      <w:r w:rsidRPr="00FE7BA7">
        <w:rPr>
          <w:rFonts w:ascii="Verdana" w:hAnsi="Verdana"/>
          <w:sz w:val="20"/>
          <w:szCs w:val="20"/>
          <w:lang w:val="en-US"/>
        </w:rPr>
        <w:t>which is between the communities of</w:t>
      </w:r>
      <w:r w:rsidR="00A84F18" w:rsidRPr="00FE7BA7">
        <w:rPr>
          <w:rFonts w:ascii="Verdana" w:hAnsi="Verdana"/>
          <w:sz w:val="20"/>
          <w:szCs w:val="20"/>
          <w:lang w:val="en-US"/>
        </w:rPr>
        <w:t xml:space="preserve"> Marijkedorp (Wan Shi Sha)</w:t>
      </w:r>
      <w:r w:rsidR="002B5CCD" w:rsidRPr="00FE7BA7">
        <w:rPr>
          <w:rFonts w:ascii="Verdana" w:hAnsi="Verdana"/>
          <w:sz w:val="20"/>
          <w:szCs w:val="20"/>
          <w:lang w:val="en-US"/>
        </w:rPr>
        <w:t xml:space="preserve"> and </w:t>
      </w:r>
      <w:r w:rsidR="00A84F18" w:rsidRPr="00FE7BA7">
        <w:rPr>
          <w:rFonts w:ascii="Verdana" w:hAnsi="Verdana"/>
          <w:sz w:val="20"/>
          <w:szCs w:val="20"/>
          <w:lang w:val="en-US"/>
        </w:rPr>
        <w:t>Pierre</w:t>
      </w:r>
      <w:r w:rsidR="00631DB5" w:rsidRPr="00FE7BA7">
        <w:rPr>
          <w:rFonts w:ascii="Verdana" w:hAnsi="Verdana"/>
          <w:sz w:val="20"/>
          <w:szCs w:val="20"/>
          <w:lang w:val="en-US"/>
        </w:rPr>
        <w:t>k</w:t>
      </w:r>
      <w:r w:rsidR="00A84F18" w:rsidRPr="00FE7BA7">
        <w:rPr>
          <w:rFonts w:ascii="Verdana" w:hAnsi="Verdana"/>
          <w:sz w:val="20"/>
          <w:szCs w:val="20"/>
          <w:lang w:val="en-US"/>
        </w:rPr>
        <w:t>ondre,</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of </w:t>
      </w:r>
      <w:r w:rsidR="005269B1" w:rsidRPr="00FE7BA7">
        <w:rPr>
          <w:rFonts w:ascii="Verdana" w:hAnsi="Verdana"/>
          <w:sz w:val="20"/>
          <w:szCs w:val="20"/>
          <w:lang w:val="en-US"/>
        </w:rPr>
        <w:t>the Maroon settlements</w:t>
      </w:r>
      <w:r w:rsidR="00592D21">
        <w:rPr>
          <w:rFonts w:ascii="Verdana" w:hAnsi="Verdana"/>
          <w:sz w:val="20"/>
          <w:szCs w:val="20"/>
          <w:lang w:val="en-US"/>
        </w:rPr>
        <w:t xml:space="preserve"> of</w:t>
      </w:r>
      <w:r w:rsidR="00A84F18" w:rsidRPr="00FE7BA7">
        <w:rPr>
          <w:rFonts w:ascii="Verdana" w:hAnsi="Verdana"/>
          <w:sz w:val="20"/>
          <w:szCs w:val="20"/>
          <w:lang w:val="en-US"/>
        </w:rPr>
        <w:t xml:space="preserve"> 12) Kronto</w:t>
      </w:r>
      <w:r w:rsidR="00631DB5" w:rsidRPr="00FE7BA7">
        <w:rPr>
          <w:rFonts w:ascii="Verdana" w:hAnsi="Verdana"/>
          <w:sz w:val="20"/>
          <w:szCs w:val="20"/>
          <w:lang w:val="en-US"/>
        </w:rPr>
        <w:t>k</w:t>
      </w:r>
      <w:r w:rsidR="00A84F18" w:rsidRPr="00FE7BA7">
        <w:rPr>
          <w:rFonts w:ascii="Verdana" w:hAnsi="Verdana"/>
          <w:sz w:val="20"/>
          <w:szCs w:val="20"/>
          <w:lang w:val="en-US"/>
        </w:rPr>
        <w:t>ondre, 13) Soke, 14) Pakirakondre</w:t>
      </w:r>
      <w:r w:rsidR="002B5CCD" w:rsidRPr="00FE7BA7">
        <w:rPr>
          <w:rFonts w:ascii="Verdana" w:hAnsi="Verdana"/>
          <w:sz w:val="20"/>
          <w:szCs w:val="20"/>
          <w:lang w:val="en-US"/>
        </w:rPr>
        <w:t xml:space="preserve"> and </w:t>
      </w:r>
      <w:r w:rsidR="00A84F18" w:rsidRPr="00FE7BA7">
        <w:rPr>
          <w:rFonts w:ascii="Verdana" w:hAnsi="Verdana"/>
          <w:sz w:val="20"/>
          <w:szCs w:val="20"/>
          <w:lang w:val="en-US"/>
        </w:rPr>
        <w:t xml:space="preserve">15) Mopikondre </w:t>
      </w:r>
      <w:r w:rsidRPr="00FE7BA7">
        <w:rPr>
          <w:rFonts w:ascii="Verdana" w:hAnsi="Verdana"/>
          <w:sz w:val="20"/>
          <w:szCs w:val="20"/>
          <w:lang w:val="en-US"/>
        </w:rPr>
        <w:t xml:space="preserve">located in the </w:t>
      </w:r>
      <w:r w:rsidR="000228D3">
        <w:rPr>
          <w:rFonts w:ascii="Verdana" w:hAnsi="Verdana"/>
          <w:sz w:val="20"/>
          <w:szCs w:val="20"/>
          <w:lang w:val="en-US"/>
        </w:rPr>
        <w:t>Kaliña</w:t>
      </w:r>
      <w:r w:rsidR="000228D3" w:rsidRPr="00FE7BA7">
        <w:rPr>
          <w:rFonts w:ascii="Verdana" w:hAnsi="Verdana"/>
          <w:sz w:val="20"/>
          <w:szCs w:val="20"/>
          <w:lang w:val="en-US"/>
        </w:rPr>
        <w:t xml:space="preserve"> </w:t>
      </w:r>
      <w:r w:rsidRPr="00FE7BA7">
        <w:rPr>
          <w:rFonts w:ascii="Verdana" w:hAnsi="Verdana"/>
          <w:sz w:val="20"/>
          <w:szCs w:val="20"/>
          <w:lang w:val="en-US"/>
        </w:rPr>
        <w:t xml:space="preserve">community of </w:t>
      </w:r>
      <w:r w:rsidR="00A84F18" w:rsidRPr="00FE7BA7">
        <w:rPr>
          <w:rFonts w:ascii="Verdana" w:hAnsi="Verdana"/>
          <w:sz w:val="20"/>
          <w:szCs w:val="20"/>
          <w:lang w:val="en-US"/>
        </w:rPr>
        <w:t xml:space="preserve">Bigiston. </w:t>
      </w:r>
    </w:p>
    <w:p w14:paraId="63126889" w14:textId="77777777" w:rsidR="00D2614E" w:rsidRPr="00FE7BA7" w:rsidRDefault="00D2614E" w:rsidP="00D2614E">
      <w:pPr>
        <w:pStyle w:val="ListParagraph"/>
        <w:ind w:left="0"/>
        <w:jc w:val="both"/>
        <w:rPr>
          <w:rFonts w:ascii="Verdana" w:hAnsi="Verdana"/>
          <w:sz w:val="20"/>
          <w:szCs w:val="20"/>
          <w:lang w:val="en-US"/>
        </w:rPr>
      </w:pPr>
    </w:p>
    <w:p w14:paraId="6312688A" w14:textId="77777777" w:rsidR="004A692B" w:rsidRPr="00FE7BA7" w:rsidRDefault="00D2614E" w:rsidP="00D2614E">
      <w:pPr>
        <w:pStyle w:val="ListParagraph"/>
        <w:numPr>
          <w:ilvl w:val="0"/>
          <w:numId w:val="2"/>
        </w:numPr>
        <w:ind w:left="0" w:hanging="11"/>
        <w:jc w:val="both"/>
        <w:rPr>
          <w:rStyle w:val="Strong"/>
          <w:rFonts w:ascii="Verdana" w:hAnsi="Verdana"/>
          <w:b w:val="0"/>
          <w:bCs w:val="0"/>
          <w:sz w:val="20"/>
          <w:szCs w:val="20"/>
          <w:lang w:val="en-US"/>
        </w:rPr>
      </w:pPr>
      <w:r w:rsidRPr="00FE7BA7">
        <w:rPr>
          <w:rStyle w:val="Strong"/>
          <w:rFonts w:ascii="Verdana" w:hAnsi="Verdana"/>
          <w:b w:val="0"/>
          <w:sz w:val="20"/>
          <w:szCs w:val="20"/>
          <w:lang w:val="en-US"/>
        </w:rPr>
        <w:lastRenderedPageBreak/>
        <w:t>Re</w:t>
      </w:r>
      <w:r w:rsidR="004A692B" w:rsidRPr="00FE7BA7">
        <w:rPr>
          <w:rStyle w:val="Strong"/>
          <w:rFonts w:ascii="Verdana" w:hAnsi="Verdana"/>
          <w:b w:val="0"/>
          <w:sz w:val="20"/>
          <w:szCs w:val="20"/>
          <w:lang w:val="en-US"/>
        </w:rPr>
        <w:t xml:space="preserve">garding the </w:t>
      </w:r>
      <w:r w:rsidR="004A692B" w:rsidRPr="00FE7BA7">
        <w:rPr>
          <w:rFonts w:ascii="Verdana" w:hAnsi="Verdana"/>
          <w:sz w:val="20"/>
          <w:szCs w:val="20"/>
          <w:lang w:val="en-US"/>
        </w:rPr>
        <w:t xml:space="preserve">Lokono community of </w:t>
      </w:r>
      <w:r w:rsidRPr="00FE7BA7">
        <w:rPr>
          <w:rStyle w:val="Strong"/>
          <w:rFonts w:ascii="Verdana" w:hAnsi="Verdana"/>
          <w:b w:val="0"/>
          <w:sz w:val="20"/>
          <w:szCs w:val="20"/>
          <w:lang w:val="en-US"/>
        </w:rPr>
        <w:t xml:space="preserve">Alfonsdorp, </w:t>
      </w:r>
      <w:r w:rsidR="00810FAD" w:rsidRPr="00FE7BA7">
        <w:rPr>
          <w:rStyle w:val="Strong"/>
          <w:rFonts w:ascii="Verdana" w:hAnsi="Verdana"/>
          <w:b w:val="0"/>
          <w:sz w:val="20"/>
          <w:szCs w:val="20"/>
          <w:lang w:val="en-US"/>
        </w:rPr>
        <w:t>the representatives</w:t>
      </w:r>
      <w:r w:rsidRPr="00FE7BA7">
        <w:rPr>
          <w:rStyle w:val="Strong"/>
          <w:rFonts w:ascii="Verdana" w:hAnsi="Verdana"/>
          <w:b w:val="0"/>
          <w:sz w:val="20"/>
          <w:szCs w:val="20"/>
          <w:lang w:val="en-US"/>
        </w:rPr>
        <w:t xml:space="preserve"> </w:t>
      </w:r>
      <w:r w:rsidR="004A692B" w:rsidRPr="00FE7BA7">
        <w:rPr>
          <w:rStyle w:val="Strong"/>
          <w:rFonts w:ascii="Verdana" w:hAnsi="Verdana"/>
          <w:b w:val="0"/>
          <w:sz w:val="20"/>
          <w:szCs w:val="20"/>
          <w:lang w:val="en-US"/>
        </w:rPr>
        <w:t xml:space="preserve">affirmed that one family of </w:t>
      </w:r>
      <w:r w:rsidR="00FE7BA7" w:rsidRPr="00FE7BA7">
        <w:rPr>
          <w:rStyle w:val="Strong"/>
          <w:rFonts w:ascii="Verdana" w:hAnsi="Verdana"/>
          <w:b w:val="0"/>
          <w:sz w:val="20"/>
          <w:szCs w:val="20"/>
          <w:lang w:val="en-US"/>
        </w:rPr>
        <w:t>Maroons</w:t>
      </w:r>
      <w:r w:rsidR="004A692B" w:rsidRPr="00FE7BA7">
        <w:rPr>
          <w:rStyle w:val="Strong"/>
          <w:rFonts w:ascii="Verdana" w:hAnsi="Verdana"/>
          <w:b w:val="0"/>
          <w:sz w:val="20"/>
          <w:szCs w:val="20"/>
          <w:lang w:val="en-US"/>
        </w:rPr>
        <w:t xml:space="preserve"> who had the permission of the Alfonsdorp</w:t>
      </w:r>
      <w:r w:rsidR="00592D21">
        <w:rPr>
          <w:rStyle w:val="Strong"/>
          <w:rFonts w:ascii="Verdana" w:hAnsi="Verdana"/>
          <w:b w:val="0"/>
          <w:sz w:val="20"/>
          <w:szCs w:val="20"/>
          <w:lang w:val="en-US"/>
        </w:rPr>
        <w:t xml:space="preserve"> captain,</w:t>
      </w:r>
      <w:r w:rsidR="004A692B" w:rsidRPr="00FE7BA7">
        <w:rPr>
          <w:rStyle w:val="Strong"/>
          <w:rFonts w:ascii="Verdana" w:hAnsi="Verdana"/>
          <w:b w:val="0"/>
          <w:sz w:val="20"/>
          <w:szCs w:val="20"/>
          <w:lang w:val="en-US"/>
        </w:rPr>
        <w:t xml:space="preserve"> and three families of</w:t>
      </w:r>
      <w:r w:rsidR="00592D21">
        <w:rPr>
          <w:rStyle w:val="Strong"/>
          <w:rFonts w:ascii="Verdana" w:hAnsi="Verdana"/>
          <w:b w:val="0"/>
          <w:sz w:val="20"/>
          <w:szCs w:val="20"/>
          <w:lang w:val="en-US"/>
        </w:rPr>
        <w:t xml:space="preserve"> Maroons who did not have this c</w:t>
      </w:r>
      <w:r w:rsidR="004A692B" w:rsidRPr="00FE7BA7">
        <w:rPr>
          <w:rStyle w:val="Strong"/>
          <w:rFonts w:ascii="Verdana" w:hAnsi="Verdana"/>
          <w:b w:val="0"/>
          <w:sz w:val="20"/>
          <w:szCs w:val="20"/>
          <w:lang w:val="en-US"/>
        </w:rPr>
        <w:t>aptain’s authorization</w:t>
      </w:r>
      <w:r w:rsidR="00592D21">
        <w:rPr>
          <w:rStyle w:val="Strong"/>
          <w:rFonts w:ascii="Verdana" w:hAnsi="Verdana"/>
          <w:b w:val="0"/>
          <w:sz w:val="20"/>
          <w:szCs w:val="20"/>
          <w:lang w:val="en-US"/>
        </w:rPr>
        <w:t>,</w:t>
      </w:r>
      <w:r w:rsidR="004A692B" w:rsidRPr="00FE7BA7">
        <w:rPr>
          <w:rStyle w:val="Strong"/>
          <w:rFonts w:ascii="Verdana" w:hAnsi="Verdana"/>
          <w:b w:val="0"/>
          <w:sz w:val="20"/>
          <w:szCs w:val="20"/>
          <w:lang w:val="en-US"/>
        </w:rPr>
        <w:t xml:space="preserve"> lived within the territory claimed.</w:t>
      </w:r>
    </w:p>
    <w:p w14:paraId="6312688B" w14:textId="77777777" w:rsidR="00D2614E" w:rsidRPr="00FE7BA7" w:rsidRDefault="00D2614E" w:rsidP="00D2614E">
      <w:pPr>
        <w:jc w:val="both"/>
        <w:rPr>
          <w:rStyle w:val="Strong"/>
          <w:rFonts w:ascii="Verdana" w:hAnsi="Verdana"/>
          <w:b w:val="0"/>
          <w:sz w:val="20"/>
          <w:szCs w:val="20"/>
          <w:lang w:val="en-US"/>
        </w:rPr>
      </w:pPr>
    </w:p>
    <w:p w14:paraId="6312688C" w14:textId="6EE21BE3" w:rsidR="00D2614E" w:rsidRPr="00FE7BA7" w:rsidRDefault="004A692B" w:rsidP="00D2614E">
      <w:pPr>
        <w:pStyle w:val="ListParagraph"/>
        <w:numPr>
          <w:ilvl w:val="0"/>
          <w:numId w:val="2"/>
        </w:numPr>
        <w:ind w:left="0" w:hanging="11"/>
        <w:jc w:val="both"/>
        <w:rPr>
          <w:rStyle w:val="Strong"/>
          <w:rFonts w:ascii="Verdana" w:hAnsi="Verdana"/>
          <w:b w:val="0"/>
          <w:sz w:val="20"/>
          <w:szCs w:val="20"/>
          <w:lang w:val="en-US"/>
        </w:rPr>
      </w:pPr>
      <w:r w:rsidRPr="00FE7BA7">
        <w:rPr>
          <w:rStyle w:val="Strong"/>
          <w:rFonts w:ascii="Verdana" w:hAnsi="Verdana"/>
          <w:b w:val="0"/>
          <w:sz w:val="20"/>
          <w:szCs w:val="20"/>
          <w:lang w:val="en-US"/>
        </w:rPr>
        <w:t>With regard to the communities of</w:t>
      </w:r>
      <w:r w:rsidR="00D2614E" w:rsidRPr="00FE7BA7">
        <w:rPr>
          <w:rStyle w:val="Strong"/>
          <w:rFonts w:ascii="Verdana" w:hAnsi="Verdana"/>
          <w:b w:val="0"/>
          <w:sz w:val="20"/>
          <w:szCs w:val="20"/>
          <w:lang w:val="en-US"/>
        </w:rPr>
        <w:t xml:space="preserve"> Pierrekondre</w:t>
      </w:r>
      <w:r w:rsidR="002B5CCD" w:rsidRPr="00FE7BA7">
        <w:rPr>
          <w:rStyle w:val="Strong"/>
          <w:rFonts w:ascii="Verdana" w:hAnsi="Verdana"/>
          <w:b w:val="0"/>
          <w:sz w:val="20"/>
          <w:szCs w:val="20"/>
          <w:lang w:val="en-US"/>
        </w:rPr>
        <w:t xml:space="preserve"> and </w:t>
      </w:r>
      <w:r w:rsidR="00D2614E" w:rsidRPr="00FE7BA7">
        <w:rPr>
          <w:rStyle w:val="Strong"/>
          <w:rFonts w:ascii="Verdana" w:hAnsi="Verdana"/>
          <w:b w:val="0"/>
          <w:sz w:val="20"/>
          <w:szCs w:val="20"/>
          <w:lang w:val="en-US"/>
        </w:rPr>
        <w:t>Marijkedorp (Wan Shi Sha), particular</w:t>
      </w:r>
      <w:r w:rsidRPr="00FE7BA7">
        <w:rPr>
          <w:rStyle w:val="Strong"/>
          <w:rFonts w:ascii="Verdana" w:hAnsi="Verdana"/>
          <w:b w:val="0"/>
          <w:sz w:val="20"/>
          <w:szCs w:val="20"/>
          <w:lang w:val="en-US"/>
        </w:rPr>
        <w:t xml:space="preserve">ly in the area known as </w:t>
      </w:r>
      <w:r w:rsidR="00D2614E" w:rsidRPr="00FE7BA7">
        <w:rPr>
          <w:rStyle w:val="Strong"/>
          <w:rFonts w:ascii="Verdana" w:hAnsi="Verdana"/>
          <w:b w:val="0"/>
          <w:sz w:val="20"/>
          <w:szCs w:val="20"/>
          <w:lang w:val="en-US"/>
        </w:rPr>
        <w:t>Tuinstad Albina (</w:t>
      </w:r>
      <w:r w:rsidR="007829DF" w:rsidRPr="00FE7BA7">
        <w:rPr>
          <w:rStyle w:val="Strong"/>
          <w:rFonts w:ascii="Verdana" w:hAnsi="Verdana"/>
          <w:b w:val="0"/>
          <w:i/>
          <w:sz w:val="20"/>
          <w:szCs w:val="20"/>
          <w:lang w:val="en-US"/>
        </w:rPr>
        <w:t>infra</w:t>
      </w:r>
      <w:r w:rsidR="00D2614E" w:rsidRPr="00FE7BA7">
        <w:rPr>
          <w:rStyle w:val="Strong"/>
          <w:rFonts w:ascii="Verdana" w:hAnsi="Verdana"/>
          <w:b w:val="0"/>
          <w:sz w:val="20"/>
          <w:szCs w:val="20"/>
          <w:lang w:val="en-US"/>
        </w:rPr>
        <w:t xml:space="preserve"> </w:t>
      </w:r>
      <w:r w:rsidR="008F798A" w:rsidRPr="00FE7BA7">
        <w:rPr>
          <w:rStyle w:val="Strong"/>
          <w:rFonts w:ascii="Verdana" w:hAnsi="Verdana"/>
          <w:b w:val="0"/>
          <w:sz w:val="20"/>
          <w:szCs w:val="20"/>
          <w:lang w:val="en-US"/>
        </w:rPr>
        <w:t>paras.</w:t>
      </w:r>
      <w:r w:rsidR="00D2614E"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96 to</w:t>
      </w:r>
      <w:r w:rsidR="00631DB5" w:rsidRPr="00FE7BA7">
        <w:rPr>
          <w:rStyle w:val="Strong"/>
          <w:rFonts w:ascii="Verdana" w:hAnsi="Verdana"/>
          <w:b w:val="0"/>
          <w:sz w:val="20"/>
          <w:szCs w:val="20"/>
          <w:lang w:val="en-US"/>
        </w:rPr>
        <w:t xml:space="preserve"> 99</w:t>
      </w:r>
      <w:r w:rsidR="00D2614E"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 xml:space="preserve">there was a Maroon settlement called </w:t>
      </w:r>
      <w:r w:rsidR="00D2614E" w:rsidRPr="00FE7BA7">
        <w:rPr>
          <w:rStyle w:val="Strong"/>
          <w:rFonts w:ascii="Verdana" w:hAnsi="Verdana"/>
          <w:b w:val="0"/>
          <w:sz w:val="20"/>
          <w:szCs w:val="20"/>
          <w:lang w:val="en-US"/>
        </w:rPr>
        <w:t>Bilokondre</w:t>
      </w:r>
      <w:r w:rsidRPr="00FE7BA7">
        <w:rPr>
          <w:rStyle w:val="Strong"/>
          <w:rFonts w:ascii="Verdana" w:hAnsi="Verdana"/>
          <w:b w:val="0"/>
          <w:sz w:val="20"/>
          <w:szCs w:val="20"/>
          <w:lang w:val="en-US"/>
        </w:rPr>
        <w:t>.</w:t>
      </w:r>
      <w:r w:rsidR="00D2614E" w:rsidRPr="00FE7BA7">
        <w:rPr>
          <w:rStyle w:val="FootnoteReference"/>
          <w:bCs/>
          <w:szCs w:val="20"/>
          <w:lang w:val="en-US"/>
        </w:rPr>
        <w:footnoteReference w:id="56"/>
      </w:r>
      <w:r w:rsidRPr="00FE7BA7">
        <w:rPr>
          <w:rStyle w:val="Strong"/>
          <w:rFonts w:ascii="Verdana" w:hAnsi="Verdana"/>
          <w:b w:val="0"/>
          <w:sz w:val="20"/>
          <w:szCs w:val="20"/>
          <w:lang w:val="en-US"/>
        </w:rPr>
        <w:t xml:space="preserve"> However, </w:t>
      </w:r>
      <w:r w:rsidR="00CA7C7B" w:rsidRPr="00FE7BA7">
        <w:rPr>
          <w:rStyle w:val="Strong"/>
          <w:rFonts w:ascii="Verdana" w:hAnsi="Verdana"/>
          <w:b w:val="0"/>
          <w:sz w:val="20"/>
          <w:szCs w:val="20"/>
          <w:lang w:val="en-US"/>
        </w:rPr>
        <w:t xml:space="preserve">the </w:t>
      </w:r>
      <w:r w:rsidRPr="00FE7BA7">
        <w:rPr>
          <w:rStyle w:val="Strong"/>
          <w:rFonts w:ascii="Verdana" w:hAnsi="Verdana"/>
          <w:b w:val="0"/>
          <w:sz w:val="20"/>
          <w:szCs w:val="20"/>
          <w:lang w:val="en-US"/>
        </w:rPr>
        <w:t xml:space="preserve">captains of </w:t>
      </w:r>
      <w:r w:rsidR="00D2614E" w:rsidRPr="00FE7BA7">
        <w:rPr>
          <w:rStyle w:val="Strong"/>
          <w:rFonts w:ascii="Verdana" w:hAnsi="Verdana"/>
          <w:b w:val="0"/>
          <w:sz w:val="20"/>
          <w:szCs w:val="20"/>
          <w:lang w:val="en-US"/>
        </w:rPr>
        <w:t>Marijkedorp (Wan Shi Sha)</w:t>
      </w:r>
      <w:r w:rsidR="002B5CCD" w:rsidRPr="00FE7BA7">
        <w:rPr>
          <w:rStyle w:val="Strong"/>
          <w:rFonts w:ascii="Verdana" w:hAnsi="Verdana"/>
          <w:b w:val="0"/>
          <w:sz w:val="20"/>
          <w:szCs w:val="20"/>
          <w:lang w:val="en-US"/>
        </w:rPr>
        <w:t xml:space="preserve"> and </w:t>
      </w:r>
      <w:r w:rsidR="00D2614E" w:rsidRPr="00FE7BA7">
        <w:rPr>
          <w:rStyle w:val="Strong"/>
          <w:rFonts w:ascii="Verdana" w:hAnsi="Verdana"/>
          <w:b w:val="0"/>
          <w:sz w:val="20"/>
          <w:szCs w:val="20"/>
          <w:lang w:val="en-US"/>
        </w:rPr>
        <w:t xml:space="preserve">Pierrekondre </w:t>
      </w:r>
      <w:r w:rsidR="00592D21">
        <w:rPr>
          <w:rStyle w:val="Strong"/>
          <w:rFonts w:ascii="Verdana" w:hAnsi="Verdana"/>
          <w:b w:val="0"/>
          <w:sz w:val="20"/>
          <w:szCs w:val="20"/>
          <w:lang w:val="en-US"/>
        </w:rPr>
        <w:t>explained</w:t>
      </w:r>
      <w:r w:rsidRPr="00FE7BA7">
        <w:rPr>
          <w:rStyle w:val="Strong"/>
          <w:rFonts w:ascii="Verdana" w:hAnsi="Verdana"/>
          <w:b w:val="0"/>
          <w:sz w:val="20"/>
          <w:szCs w:val="20"/>
          <w:lang w:val="en-US"/>
        </w:rPr>
        <w:t xml:space="preserve"> that they were not opposed to the Maroon settlement of </w:t>
      </w:r>
      <w:r w:rsidR="00D2614E" w:rsidRPr="00FE7BA7">
        <w:rPr>
          <w:rFonts w:ascii="Verdana" w:hAnsi="Verdana"/>
          <w:sz w:val="20"/>
          <w:szCs w:val="20"/>
          <w:lang w:val="en-US"/>
        </w:rPr>
        <w:t xml:space="preserve">Bilokondre </w:t>
      </w:r>
      <w:r w:rsidR="00592D21">
        <w:rPr>
          <w:rFonts w:ascii="Verdana" w:hAnsi="Verdana"/>
          <w:sz w:val="20"/>
          <w:szCs w:val="20"/>
          <w:lang w:val="en-US"/>
        </w:rPr>
        <w:t>remaining in the place</w:t>
      </w:r>
      <w:r w:rsidRPr="00FE7BA7">
        <w:rPr>
          <w:rFonts w:ascii="Verdana" w:hAnsi="Verdana"/>
          <w:sz w:val="20"/>
          <w:szCs w:val="20"/>
          <w:lang w:val="en-US"/>
        </w:rPr>
        <w:t xml:space="preserve"> it currently occupies.</w:t>
      </w:r>
      <w:r w:rsidR="00D2614E" w:rsidRPr="00FE7BA7">
        <w:rPr>
          <w:rStyle w:val="FootnoteReference"/>
          <w:bCs/>
          <w:szCs w:val="20"/>
          <w:lang w:val="en-US"/>
        </w:rPr>
        <w:footnoteReference w:id="57"/>
      </w:r>
    </w:p>
    <w:p w14:paraId="6312688D" w14:textId="77777777" w:rsidR="00D2614E" w:rsidRPr="00FE7BA7" w:rsidRDefault="00D2614E" w:rsidP="00D2614E">
      <w:pPr>
        <w:jc w:val="both"/>
        <w:rPr>
          <w:rFonts w:ascii="Verdana" w:hAnsi="Verdana"/>
          <w:sz w:val="20"/>
          <w:szCs w:val="20"/>
          <w:lang w:val="en-US"/>
        </w:rPr>
      </w:pPr>
    </w:p>
    <w:p w14:paraId="6312688E" w14:textId="1CD5128D" w:rsidR="00D2614E" w:rsidRPr="00FE7BA7" w:rsidRDefault="004A692B" w:rsidP="00147672">
      <w:pPr>
        <w:pStyle w:val="ListParagraph"/>
        <w:numPr>
          <w:ilvl w:val="0"/>
          <w:numId w:val="2"/>
        </w:numPr>
        <w:ind w:left="11" w:hanging="11"/>
        <w:jc w:val="both"/>
        <w:rPr>
          <w:rFonts w:ascii="Verdana" w:hAnsi="Verdana"/>
          <w:sz w:val="20"/>
          <w:szCs w:val="20"/>
          <w:lang w:val="en-US"/>
        </w:rPr>
      </w:pPr>
      <w:r w:rsidRPr="00FE7BA7">
        <w:rPr>
          <w:rStyle w:val="Strong"/>
          <w:rFonts w:ascii="Verdana" w:hAnsi="Verdana"/>
          <w:b w:val="0"/>
          <w:sz w:val="20"/>
          <w:szCs w:val="20"/>
          <w:lang w:val="en-US"/>
        </w:rPr>
        <w:t>In relation to</w:t>
      </w:r>
      <w:r w:rsidR="00D2614E"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 xml:space="preserve">the </w:t>
      </w:r>
      <w:r w:rsidR="00957DC2">
        <w:rPr>
          <w:rStyle w:val="Strong"/>
          <w:rFonts w:ascii="Verdana" w:hAnsi="Verdana"/>
          <w:b w:val="0"/>
          <w:sz w:val="20"/>
          <w:szCs w:val="20"/>
          <w:lang w:val="en-US"/>
        </w:rPr>
        <w:t>Kaliña</w:t>
      </w:r>
      <w:r w:rsidR="00957DC2"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community of</w:t>
      </w:r>
      <w:r w:rsidR="00D2614E" w:rsidRPr="00FE7BA7">
        <w:rPr>
          <w:rStyle w:val="Strong"/>
          <w:rFonts w:ascii="Verdana" w:hAnsi="Verdana"/>
          <w:b w:val="0"/>
          <w:sz w:val="20"/>
          <w:szCs w:val="20"/>
          <w:lang w:val="en-US"/>
        </w:rPr>
        <w:t xml:space="preserve"> Bigiston</w:t>
      </w:r>
      <w:r w:rsidR="00D2614E" w:rsidRPr="00FE7BA7">
        <w:rPr>
          <w:rFonts w:ascii="Verdana" w:hAnsi="Verdana"/>
          <w:sz w:val="20"/>
          <w:szCs w:val="20"/>
          <w:lang w:val="en-US"/>
        </w:rPr>
        <w:t xml:space="preserve">, </w:t>
      </w:r>
      <w:r w:rsidR="002B5CCD" w:rsidRPr="00FE7BA7">
        <w:rPr>
          <w:rFonts w:ascii="Verdana" w:hAnsi="Verdana"/>
          <w:sz w:val="20"/>
          <w:szCs w:val="20"/>
          <w:lang w:val="en-US"/>
        </w:rPr>
        <w:t>the Court</w:t>
      </w:r>
      <w:r w:rsidR="00D2614E" w:rsidRPr="00FE7BA7">
        <w:rPr>
          <w:rFonts w:ascii="Verdana" w:hAnsi="Verdana"/>
          <w:sz w:val="20"/>
          <w:szCs w:val="20"/>
          <w:lang w:val="en-US"/>
        </w:rPr>
        <w:t xml:space="preserve"> t</w:t>
      </w:r>
      <w:r w:rsidRPr="00FE7BA7">
        <w:rPr>
          <w:rFonts w:ascii="Verdana" w:hAnsi="Verdana"/>
          <w:sz w:val="20"/>
          <w:szCs w:val="20"/>
          <w:lang w:val="en-US"/>
        </w:rPr>
        <w:t xml:space="preserve">akes note of the </w:t>
      </w:r>
      <w:r w:rsidR="00810FAD" w:rsidRPr="00FE7BA7">
        <w:rPr>
          <w:rFonts w:ascii="Verdana" w:hAnsi="Verdana"/>
          <w:sz w:val="20"/>
          <w:szCs w:val="20"/>
          <w:lang w:val="en-US"/>
        </w:rPr>
        <w:t>representatives</w:t>
      </w:r>
      <w:r w:rsidR="00592D21">
        <w:rPr>
          <w:rFonts w:ascii="Verdana" w:hAnsi="Verdana"/>
          <w:sz w:val="20"/>
          <w:szCs w:val="20"/>
          <w:lang w:val="en-US"/>
        </w:rPr>
        <w:t>’ comment</w:t>
      </w:r>
      <w:r w:rsidR="00D2614E" w:rsidRPr="00FE7BA7">
        <w:rPr>
          <w:rFonts w:ascii="Verdana" w:hAnsi="Verdana"/>
          <w:sz w:val="20"/>
          <w:szCs w:val="20"/>
          <w:lang w:val="en-US"/>
        </w:rPr>
        <w:t xml:space="preserve"> </w:t>
      </w:r>
      <w:r w:rsidRPr="00FE7BA7">
        <w:rPr>
          <w:rFonts w:ascii="Verdana" w:hAnsi="Verdana"/>
          <w:sz w:val="20"/>
          <w:szCs w:val="20"/>
          <w:lang w:val="en-US"/>
        </w:rPr>
        <w:t xml:space="preserve">that several </w:t>
      </w:r>
      <w:r w:rsidR="00FE7BA7" w:rsidRPr="00FE7BA7">
        <w:rPr>
          <w:rFonts w:ascii="Verdana" w:hAnsi="Verdana"/>
          <w:sz w:val="20"/>
          <w:szCs w:val="20"/>
          <w:lang w:val="en-US"/>
        </w:rPr>
        <w:t>Maroon</w:t>
      </w:r>
      <w:r w:rsidRPr="00FE7BA7">
        <w:rPr>
          <w:rFonts w:ascii="Verdana" w:hAnsi="Verdana"/>
          <w:sz w:val="20"/>
          <w:szCs w:val="20"/>
          <w:lang w:val="en-US"/>
        </w:rPr>
        <w:t xml:space="preserve"> settlements exist in</w:t>
      </w:r>
      <w:r w:rsidR="003A5E79">
        <w:rPr>
          <w:rFonts w:ascii="Verdana" w:hAnsi="Verdana"/>
          <w:sz w:val="20"/>
          <w:szCs w:val="20"/>
          <w:lang w:val="en-US"/>
        </w:rPr>
        <w:t xml:space="preserve"> and around</w:t>
      </w:r>
      <w:r w:rsidRPr="00FE7BA7">
        <w:rPr>
          <w:rFonts w:ascii="Verdana" w:hAnsi="Verdana"/>
          <w:sz w:val="20"/>
          <w:szCs w:val="20"/>
          <w:lang w:val="en-US"/>
        </w:rPr>
        <w:t xml:space="preserve"> that community, namely: </w:t>
      </w:r>
      <w:r w:rsidR="00D2614E" w:rsidRPr="00FE7BA7">
        <w:rPr>
          <w:rFonts w:ascii="Verdana" w:hAnsi="Verdana"/>
          <w:sz w:val="20"/>
          <w:szCs w:val="20"/>
          <w:lang w:val="en-US"/>
        </w:rPr>
        <w:t>Kronto</w:t>
      </w:r>
      <w:r w:rsidR="00631DB5" w:rsidRPr="00FE7BA7">
        <w:rPr>
          <w:rFonts w:ascii="Verdana" w:hAnsi="Verdana"/>
          <w:sz w:val="20"/>
          <w:szCs w:val="20"/>
          <w:lang w:val="en-US"/>
        </w:rPr>
        <w:t>k</w:t>
      </w:r>
      <w:r w:rsidR="00D2614E" w:rsidRPr="00FE7BA7">
        <w:rPr>
          <w:rFonts w:ascii="Verdana" w:hAnsi="Verdana"/>
          <w:sz w:val="20"/>
          <w:szCs w:val="20"/>
          <w:lang w:val="en-US"/>
        </w:rPr>
        <w:t>ondre, Soke, Pakirakondre</w:t>
      </w:r>
      <w:r w:rsidR="002B5CCD" w:rsidRPr="00FE7BA7">
        <w:rPr>
          <w:rFonts w:ascii="Verdana" w:hAnsi="Verdana"/>
          <w:sz w:val="20"/>
          <w:szCs w:val="20"/>
          <w:lang w:val="en-US"/>
        </w:rPr>
        <w:t xml:space="preserve"> and </w:t>
      </w:r>
      <w:r w:rsidR="00D2614E" w:rsidRPr="00FE7BA7">
        <w:rPr>
          <w:rFonts w:ascii="Verdana" w:hAnsi="Verdana"/>
          <w:sz w:val="20"/>
          <w:szCs w:val="20"/>
          <w:lang w:val="en-US"/>
        </w:rPr>
        <w:t xml:space="preserve">Mopikondre. </w:t>
      </w:r>
      <w:r w:rsidRPr="00FE7BA7">
        <w:rPr>
          <w:rFonts w:ascii="Verdana" w:hAnsi="Verdana"/>
          <w:sz w:val="20"/>
          <w:szCs w:val="20"/>
          <w:lang w:val="en-US"/>
        </w:rPr>
        <w:t xml:space="preserve">In this regard, according to </w:t>
      </w:r>
      <w:r w:rsidR="00D2614E" w:rsidRPr="00FE7BA7">
        <w:rPr>
          <w:rFonts w:ascii="Verdana" w:hAnsi="Verdana"/>
          <w:sz w:val="20"/>
          <w:szCs w:val="20"/>
          <w:lang w:val="en-US"/>
        </w:rPr>
        <w:t xml:space="preserve">Marchiano Aroepa, </w:t>
      </w:r>
      <w:r w:rsidR="00592D21">
        <w:rPr>
          <w:rFonts w:ascii="Verdana" w:hAnsi="Verdana"/>
          <w:sz w:val="20"/>
          <w:szCs w:val="20"/>
          <w:lang w:val="en-US"/>
        </w:rPr>
        <w:t>Assistant to</w:t>
      </w:r>
      <w:r w:rsidRPr="00FE7BA7">
        <w:rPr>
          <w:rFonts w:ascii="Verdana" w:hAnsi="Verdana"/>
          <w:sz w:val="20"/>
          <w:szCs w:val="20"/>
          <w:lang w:val="en-US"/>
        </w:rPr>
        <w:t xml:space="preserve"> the </w:t>
      </w:r>
      <w:r w:rsidR="00957DC2">
        <w:rPr>
          <w:rFonts w:ascii="Verdana" w:hAnsi="Verdana"/>
          <w:sz w:val="20"/>
          <w:szCs w:val="20"/>
          <w:lang w:val="en-US"/>
        </w:rPr>
        <w:t>Kaliña</w:t>
      </w:r>
      <w:r w:rsidR="00957DC2" w:rsidRPr="00FE7BA7">
        <w:rPr>
          <w:rFonts w:ascii="Verdana" w:hAnsi="Verdana"/>
          <w:sz w:val="20"/>
          <w:szCs w:val="20"/>
          <w:lang w:val="en-US"/>
        </w:rPr>
        <w:t xml:space="preserve"> </w:t>
      </w:r>
      <w:r w:rsidR="00810FAD" w:rsidRPr="00FE7BA7">
        <w:rPr>
          <w:rFonts w:ascii="Verdana" w:hAnsi="Verdana"/>
          <w:sz w:val="20"/>
          <w:szCs w:val="20"/>
          <w:lang w:val="en-US"/>
        </w:rPr>
        <w:t>Captain</w:t>
      </w:r>
      <w:r w:rsidR="00D2614E" w:rsidRPr="00FE7BA7">
        <w:rPr>
          <w:rFonts w:ascii="Verdana" w:hAnsi="Verdana"/>
          <w:sz w:val="20"/>
          <w:szCs w:val="20"/>
          <w:lang w:val="en-US"/>
        </w:rPr>
        <w:t xml:space="preserve"> </w:t>
      </w:r>
      <w:r w:rsidRPr="00FE7BA7">
        <w:rPr>
          <w:rFonts w:ascii="Verdana" w:hAnsi="Verdana"/>
          <w:sz w:val="20"/>
          <w:szCs w:val="20"/>
          <w:lang w:val="en-US"/>
        </w:rPr>
        <w:t>of</w:t>
      </w:r>
      <w:r w:rsidR="00D2614E" w:rsidRPr="00FE7BA7">
        <w:rPr>
          <w:rFonts w:ascii="Verdana" w:hAnsi="Verdana"/>
          <w:sz w:val="20"/>
          <w:szCs w:val="20"/>
          <w:lang w:val="en-US"/>
        </w:rPr>
        <w:t xml:space="preserve"> Bigiston, </w:t>
      </w:r>
      <w:r w:rsidRPr="00FE7BA7">
        <w:rPr>
          <w:rFonts w:ascii="Verdana" w:hAnsi="Verdana"/>
          <w:sz w:val="20"/>
          <w:szCs w:val="20"/>
          <w:lang w:val="en-US"/>
        </w:rPr>
        <w:t xml:space="preserve">these groups have coexisted in harmony with the </w:t>
      </w:r>
      <w:r w:rsidR="000228D3">
        <w:rPr>
          <w:rFonts w:ascii="Verdana" w:hAnsi="Verdana"/>
          <w:sz w:val="20"/>
          <w:szCs w:val="20"/>
          <w:lang w:val="en-US"/>
        </w:rPr>
        <w:t>Kaliña</w:t>
      </w:r>
      <w:r w:rsidR="000228D3" w:rsidRPr="00FE7BA7">
        <w:rPr>
          <w:rFonts w:ascii="Verdana" w:hAnsi="Verdana"/>
          <w:sz w:val="20"/>
          <w:szCs w:val="20"/>
          <w:lang w:val="en-US"/>
        </w:rPr>
        <w:t xml:space="preserve"> </w:t>
      </w:r>
      <w:r w:rsidRPr="00FE7BA7">
        <w:rPr>
          <w:rFonts w:ascii="Verdana" w:hAnsi="Verdana"/>
          <w:sz w:val="20"/>
          <w:szCs w:val="20"/>
          <w:lang w:val="en-US"/>
        </w:rPr>
        <w:t>of Bigiston for a long time, under the authority of the Bigiston Captain</w:t>
      </w:r>
      <w:r w:rsidR="00D2614E" w:rsidRPr="00FE7BA7">
        <w:rPr>
          <w:rFonts w:ascii="Verdana" w:hAnsi="Verdana"/>
          <w:sz w:val="20"/>
          <w:szCs w:val="20"/>
          <w:lang w:val="en-US"/>
        </w:rPr>
        <w:t>.</w:t>
      </w:r>
      <w:r w:rsidRPr="00FE7BA7">
        <w:rPr>
          <w:rFonts w:ascii="Verdana" w:hAnsi="Verdana"/>
          <w:sz w:val="20"/>
          <w:szCs w:val="20"/>
          <w:lang w:val="en-US"/>
        </w:rPr>
        <w:t xml:space="preserve"> Thus, </w:t>
      </w:r>
      <w:r w:rsidR="00D2614E" w:rsidRPr="00FE7BA7">
        <w:rPr>
          <w:rFonts w:ascii="Verdana" w:hAnsi="Verdana"/>
          <w:sz w:val="20"/>
          <w:szCs w:val="20"/>
          <w:lang w:val="en-US"/>
        </w:rPr>
        <w:t xml:space="preserve">Marchiano Aroepa </w:t>
      </w:r>
      <w:r w:rsidRPr="00FE7BA7">
        <w:rPr>
          <w:rFonts w:ascii="Verdana" w:hAnsi="Verdana"/>
          <w:sz w:val="20"/>
          <w:szCs w:val="20"/>
          <w:lang w:val="en-US"/>
        </w:rPr>
        <w:t xml:space="preserve">indicated that an eventual </w:t>
      </w:r>
      <w:r w:rsidR="00592D21">
        <w:rPr>
          <w:rFonts w:ascii="Verdana" w:hAnsi="Verdana"/>
          <w:sz w:val="20"/>
          <w:szCs w:val="20"/>
          <w:lang w:val="en-US"/>
        </w:rPr>
        <w:t xml:space="preserve">recognition of the right to </w:t>
      </w:r>
      <w:r w:rsidRPr="00FE7BA7">
        <w:rPr>
          <w:rFonts w:ascii="Verdana" w:hAnsi="Verdana"/>
          <w:sz w:val="20"/>
          <w:szCs w:val="20"/>
          <w:lang w:val="en-US"/>
        </w:rPr>
        <w:t xml:space="preserve">ancestral </w:t>
      </w:r>
      <w:r w:rsidR="00592D21">
        <w:rPr>
          <w:rFonts w:ascii="Verdana" w:hAnsi="Verdana"/>
          <w:sz w:val="20"/>
          <w:szCs w:val="20"/>
          <w:lang w:val="en-US"/>
        </w:rPr>
        <w:t>land of the i</w:t>
      </w:r>
      <w:r w:rsidRPr="00FE7BA7">
        <w:rPr>
          <w:rFonts w:ascii="Verdana" w:hAnsi="Verdana"/>
          <w:sz w:val="20"/>
          <w:szCs w:val="20"/>
          <w:lang w:val="en-US"/>
        </w:rPr>
        <w:t xml:space="preserve">ndigenous community of Bigiston over the territory claimed would not affect the harmonious relationship with these </w:t>
      </w:r>
      <w:r w:rsidR="005269B1" w:rsidRPr="00FE7BA7">
        <w:rPr>
          <w:rFonts w:ascii="Verdana" w:hAnsi="Verdana"/>
          <w:sz w:val="20"/>
          <w:szCs w:val="20"/>
          <w:lang w:val="en-US"/>
        </w:rPr>
        <w:t>Maroon settlements</w:t>
      </w:r>
      <w:r w:rsidRPr="00FE7BA7">
        <w:rPr>
          <w:rFonts w:ascii="Verdana" w:hAnsi="Verdana"/>
          <w:sz w:val="20"/>
          <w:szCs w:val="20"/>
          <w:lang w:val="en-US"/>
        </w:rPr>
        <w:t>.</w:t>
      </w:r>
      <w:r w:rsidR="00D2614E" w:rsidRPr="00FE7BA7">
        <w:rPr>
          <w:rStyle w:val="FootnoteReference"/>
          <w:szCs w:val="20"/>
          <w:lang w:val="en-US"/>
        </w:rPr>
        <w:footnoteReference w:id="58"/>
      </w:r>
      <w:r w:rsidRPr="00FE7BA7">
        <w:rPr>
          <w:rFonts w:ascii="Verdana" w:hAnsi="Verdana"/>
          <w:sz w:val="20"/>
          <w:szCs w:val="20"/>
          <w:lang w:val="en-US"/>
        </w:rPr>
        <w:t xml:space="preserve"> However, according to the State, these Maroon villages have their own traditional authorities. </w:t>
      </w:r>
      <w:r w:rsidR="00592D21">
        <w:rPr>
          <w:rFonts w:ascii="Verdana" w:hAnsi="Verdana"/>
          <w:sz w:val="20"/>
          <w:szCs w:val="20"/>
          <w:lang w:val="en-US"/>
        </w:rPr>
        <w:t>Nevertheless</w:t>
      </w:r>
      <w:r w:rsidRPr="00FE7BA7">
        <w:rPr>
          <w:rFonts w:ascii="Verdana" w:hAnsi="Verdana"/>
          <w:sz w:val="20"/>
          <w:szCs w:val="20"/>
          <w:lang w:val="en-US"/>
        </w:rPr>
        <w:t xml:space="preserve">, the Court observes that, in a letter addressed to the Maroon leader of </w:t>
      </w:r>
      <w:r w:rsidR="00792118">
        <w:rPr>
          <w:rFonts w:ascii="Verdana" w:hAnsi="Verdana"/>
          <w:sz w:val="20"/>
          <w:szCs w:val="20"/>
          <w:lang w:val="en-US"/>
        </w:rPr>
        <w:t>Krontokondre</w:t>
      </w:r>
      <w:r w:rsidRPr="00FE7BA7">
        <w:rPr>
          <w:rFonts w:ascii="Verdana" w:hAnsi="Verdana"/>
          <w:sz w:val="20"/>
          <w:szCs w:val="20"/>
          <w:lang w:val="en-US"/>
        </w:rPr>
        <w:t>,</w:t>
      </w:r>
      <w:r w:rsidR="00D2614E" w:rsidRPr="00FE7BA7">
        <w:rPr>
          <w:rFonts w:ascii="Verdana" w:hAnsi="Verdana"/>
          <w:sz w:val="20"/>
          <w:szCs w:val="20"/>
          <w:lang w:val="en-US"/>
        </w:rPr>
        <w:t xml:space="preserve"> </w:t>
      </w:r>
      <w:r w:rsidR="00147672">
        <w:rPr>
          <w:rFonts w:ascii="Verdana" w:hAnsi="Verdana"/>
          <w:sz w:val="20"/>
          <w:szCs w:val="20"/>
          <w:lang w:val="en-US"/>
        </w:rPr>
        <w:t xml:space="preserve">Da </w:t>
      </w:r>
      <w:r w:rsidR="00147672" w:rsidRPr="00FE7BA7">
        <w:rPr>
          <w:rFonts w:ascii="Verdana" w:hAnsi="Verdana"/>
          <w:sz w:val="20"/>
          <w:szCs w:val="20"/>
          <w:lang w:val="en-US"/>
        </w:rPr>
        <w:t>Gazon</w:t>
      </w:r>
      <w:r w:rsidR="00147672">
        <w:rPr>
          <w:rFonts w:ascii="Verdana" w:hAnsi="Verdana"/>
          <w:sz w:val="20"/>
          <w:szCs w:val="20"/>
          <w:lang w:val="en-US"/>
        </w:rPr>
        <w:t xml:space="preserve"> M</w:t>
      </w:r>
      <w:r w:rsidR="00147672" w:rsidRPr="00FE7BA7">
        <w:rPr>
          <w:rFonts w:ascii="Verdana" w:hAnsi="Verdana"/>
          <w:sz w:val="20"/>
          <w:szCs w:val="20"/>
          <w:lang w:val="en-US"/>
        </w:rPr>
        <w:t xml:space="preserve">atodja, </w:t>
      </w:r>
      <w:r w:rsidR="00592D21">
        <w:rPr>
          <w:rFonts w:ascii="Verdana" w:hAnsi="Verdana"/>
          <w:sz w:val="20"/>
          <w:szCs w:val="20"/>
          <w:lang w:val="en-US"/>
        </w:rPr>
        <w:t xml:space="preserve">the </w:t>
      </w:r>
      <w:r w:rsidR="00147672">
        <w:rPr>
          <w:rFonts w:ascii="Verdana" w:hAnsi="Verdana"/>
          <w:sz w:val="20"/>
          <w:szCs w:val="20"/>
          <w:lang w:val="en-US"/>
        </w:rPr>
        <w:t>Paramount Chief (Gaa</w:t>
      </w:r>
      <w:r w:rsidR="00D2614E" w:rsidRPr="00FE7BA7">
        <w:rPr>
          <w:rFonts w:ascii="Verdana" w:hAnsi="Verdana"/>
          <w:sz w:val="20"/>
          <w:szCs w:val="20"/>
          <w:lang w:val="en-US"/>
        </w:rPr>
        <w:t xml:space="preserve">man) </w:t>
      </w:r>
      <w:r w:rsidRPr="00FE7BA7">
        <w:rPr>
          <w:rFonts w:ascii="Verdana" w:hAnsi="Verdana"/>
          <w:sz w:val="20"/>
          <w:szCs w:val="20"/>
          <w:lang w:val="en-US"/>
        </w:rPr>
        <w:t>of the</w:t>
      </w:r>
      <w:r w:rsidR="00592D21">
        <w:rPr>
          <w:rFonts w:ascii="Verdana" w:hAnsi="Verdana"/>
          <w:sz w:val="20"/>
          <w:szCs w:val="20"/>
          <w:lang w:val="en-US"/>
        </w:rPr>
        <w:t xml:space="preserve"> N’</w:t>
      </w:r>
      <w:r w:rsidR="00D2614E" w:rsidRPr="00FE7BA7">
        <w:rPr>
          <w:rFonts w:ascii="Verdana" w:hAnsi="Verdana"/>
          <w:sz w:val="20"/>
          <w:szCs w:val="20"/>
          <w:lang w:val="en-US"/>
        </w:rPr>
        <w:t xml:space="preserve">djuka </w:t>
      </w:r>
      <w:r w:rsidRPr="00FE7BA7">
        <w:rPr>
          <w:rFonts w:ascii="Verdana" w:hAnsi="Verdana"/>
          <w:sz w:val="20"/>
          <w:szCs w:val="20"/>
          <w:lang w:val="en-US"/>
        </w:rPr>
        <w:t>M</w:t>
      </w:r>
      <w:r w:rsidR="006D4D2C" w:rsidRPr="00FE7BA7">
        <w:rPr>
          <w:rFonts w:ascii="Verdana" w:hAnsi="Verdana"/>
          <w:sz w:val="20"/>
          <w:szCs w:val="20"/>
          <w:lang w:val="en-US"/>
        </w:rPr>
        <w:t>aroon</w:t>
      </w:r>
      <w:r w:rsidR="00F57D87" w:rsidRPr="00FE7BA7">
        <w:rPr>
          <w:rFonts w:ascii="Verdana" w:hAnsi="Verdana"/>
          <w:sz w:val="20"/>
          <w:szCs w:val="20"/>
          <w:lang w:val="en-US"/>
        </w:rPr>
        <w:t>s</w:t>
      </w:r>
      <w:r w:rsidR="00147672">
        <w:rPr>
          <w:rFonts w:ascii="Verdana" w:hAnsi="Verdana"/>
          <w:sz w:val="20"/>
          <w:szCs w:val="20"/>
          <w:lang w:val="en-US"/>
        </w:rPr>
        <w:t>,</w:t>
      </w:r>
      <w:r w:rsidR="00D2614E" w:rsidRPr="00FE7BA7">
        <w:rPr>
          <w:rFonts w:ascii="Verdana" w:hAnsi="Verdana"/>
          <w:sz w:val="20"/>
          <w:szCs w:val="20"/>
          <w:lang w:val="en-US"/>
        </w:rPr>
        <w:t xml:space="preserve"> </w:t>
      </w:r>
      <w:r w:rsidRPr="00FE7BA7">
        <w:rPr>
          <w:rFonts w:ascii="Verdana" w:hAnsi="Verdana"/>
          <w:sz w:val="20"/>
          <w:szCs w:val="20"/>
          <w:lang w:val="en-US"/>
        </w:rPr>
        <w:t>referred to conflicts that the Maroons had had with the indigenous peoples in 2009, and indicated that the territory in question was owned by the indigenous peoples.</w:t>
      </w:r>
      <w:r w:rsidR="00D2614E" w:rsidRPr="00FE7BA7">
        <w:rPr>
          <w:rStyle w:val="FootnoteReference"/>
          <w:szCs w:val="20"/>
          <w:lang w:val="en-US"/>
        </w:rPr>
        <w:footnoteReference w:id="59"/>
      </w:r>
      <w:r w:rsidRPr="00FE7BA7">
        <w:rPr>
          <w:rFonts w:ascii="Verdana" w:hAnsi="Verdana"/>
          <w:sz w:val="20"/>
          <w:szCs w:val="20"/>
          <w:lang w:val="en-US"/>
        </w:rPr>
        <w:t xml:space="preserve"> Consequently, the Court lacks probative elements to determine the situation </w:t>
      </w:r>
      <w:r w:rsidR="003231F8" w:rsidRPr="00FE7BA7">
        <w:rPr>
          <w:rFonts w:ascii="Verdana" w:hAnsi="Verdana"/>
          <w:sz w:val="20"/>
          <w:szCs w:val="20"/>
          <w:lang w:val="en-US"/>
        </w:rPr>
        <w:t>of the</w:t>
      </w:r>
      <w:r w:rsidRPr="00FE7BA7">
        <w:rPr>
          <w:rFonts w:ascii="Verdana" w:hAnsi="Verdana"/>
          <w:sz w:val="20"/>
          <w:szCs w:val="20"/>
          <w:lang w:val="en-US"/>
        </w:rPr>
        <w:t xml:space="preserve"> </w:t>
      </w:r>
      <w:r w:rsidR="005269B1" w:rsidRPr="00FE7BA7">
        <w:rPr>
          <w:rFonts w:ascii="Verdana" w:hAnsi="Verdana"/>
          <w:sz w:val="20"/>
          <w:szCs w:val="20"/>
          <w:lang w:val="en-US"/>
        </w:rPr>
        <w:t>Maroon settlements</w:t>
      </w:r>
      <w:r w:rsidRPr="00FE7BA7">
        <w:rPr>
          <w:rFonts w:ascii="Verdana" w:hAnsi="Verdana"/>
          <w:sz w:val="20"/>
          <w:szCs w:val="20"/>
          <w:lang w:val="en-US"/>
        </w:rPr>
        <w:t xml:space="preserve"> i</w:t>
      </w:r>
      <w:r w:rsidR="00D2614E" w:rsidRPr="00FE7BA7">
        <w:rPr>
          <w:rFonts w:ascii="Verdana" w:hAnsi="Verdana"/>
          <w:sz w:val="20"/>
          <w:szCs w:val="20"/>
          <w:lang w:val="en-US"/>
        </w:rPr>
        <w:t>n Bigiston.</w:t>
      </w:r>
    </w:p>
    <w:p w14:paraId="6312688F" w14:textId="77777777" w:rsidR="00D2614E" w:rsidRPr="00FE7BA7" w:rsidRDefault="00D2614E" w:rsidP="00D2614E">
      <w:pPr>
        <w:pStyle w:val="ListParagraph"/>
        <w:jc w:val="both"/>
        <w:rPr>
          <w:rFonts w:ascii="Verdana" w:hAnsi="Verdana"/>
          <w:sz w:val="20"/>
          <w:szCs w:val="20"/>
          <w:lang w:val="en-US"/>
        </w:rPr>
      </w:pPr>
      <w:r w:rsidRPr="00FE7BA7">
        <w:rPr>
          <w:rStyle w:val="Strong"/>
          <w:rFonts w:ascii="Verdana" w:hAnsi="Verdana"/>
          <w:b w:val="0"/>
          <w:sz w:val="20"/>
          <w:szCs w:val="20"/>
          <w:lang w:val="en-US"/>
        </w:rPr>
        <w:t xml:space="preserve"> </w:t>
      </w:r>
    </w:p>
    <w:p w14:paraId="63126890" w14:textId="77777777" w:rsidR="00D2614E" w:rsidRPr="00792118" w:rsidRDefault="005269B1" w:rsidP="00D2614E">
      <w:pPr>
        <w:pStyle w:val="ListParagraph"/>
        <w:numPr>
          <w:ilvl w:val="0"/>
          <w:numId w:val="2"/>
        </w:numPr>
        <w:ind w:left="0" w:hanging="11"/>
        <w:jc w:val="both"/>
        <w:rPr>
          <w:rStyle w:val="Strong"/>
          <w:rFonts w:ascii="Verdana" w:hAnsi="Verdana"/>
          <w:b w:val="0"/>
          <w:bCs w:val="0"/>
          <w:sz w:val="20"/>
          <w:szCs w:val="20"/>
          <w:lang w:val="en-US"/>
        </w:rPr>
      </w:pPr>
      <w:r w:rsidRPr="00FE7BA7">
        <w:rPr>
          <w:rFonts w:ascii="Verdana" w:hAnsi="Verdana"/>
          <w:sz w:val="20"/>
          <w:szCs w:val="20"/>
          <w:lang w:val="en-US"/>
        </w:rPr>
        <w:t xml:space="preserve">Based on the foregoing, the Court notes that the </w:t>
      </w:r>
      <w:r w:rsidR="00592D21">
        <w:rPr>
          <w:rFonts w:ascii="Verdana" w:hAnsi="Verdana"/>
          <w:sz w:val="20"/>
          <w:szCs w:val="20"/>
          <w:lang w:val="en-US"/>
        </w:rPr>
        <w:t>land</w:t>
      </w:r>
      <w:r w:rsidRPr="00FE7BA7">
        <w:rPr>
          <w:rFonts w:ascii="Verdana" w:hAnsi="Verdana"/>
          <w:sz w:val="20"/>
          <w:szCs w:val="20"/>
          <w:lang w:val="en-US"/>
        </w:rPr>
        <w:t xml:space="preserve"> located to the south of the </w:t>
      </w:r>
      <w:r w:rsidR="00D2614E" w:rsidRPr="00FE7BA7">
        <w:rPr>
          <w:rStyle w:val="Strong"/>
          <w:rFonts w:ascii="Verdana" w:hAnsi="Verdana"/>
          <w:b w:val="0"/>
          <w:sz w:val="20"/>
          <w:lang w:val="en-US"/>
        </w:rPr>
        <w:t>Anjoemara Creek</w:t>
      </w:r>
      <w:r w:rsidRPr="00FE7BA7">
        <w:rPr>
          <w:rStyle w:val="Strong"/>
          <w:rFonts w:ascii="Verdana" w:hAnsi="Verdana"/>
          <w:b w:val="0"/>
          <w:sz w:val="20"/>
          <w:szCs w:val="20"/>
          <w:lang w:val="en-US"/>
        </w:rPr>
        <w:t xml:space="preserve"> </w:t>
      </w:r>
      <w:r w:rsidR="002B5CCD" w:rsidRPr="00FE7BA7">
        <w:rPr>
          <w:rStyle w:val="Strong"/>
          <w:rFonts w:ascii="Verdana" w:hAnsi="Verdana"/>
          <w:b w:val="0"/>
          <w:sz w:val="20"/>
          <w:szCs w:val="20"/>
          <w:lang w:val="en-US"/>
        </w:rPr>
        <w:t xml:space="preserve">and </w:t>
      </w:r>
      <w:r w:rsidRPr="00FE7BA7">
        <w:rPr>
          <w:rStyle w:val="Strong"/>
          <w:rFonts w:ascii="Verdana" w:hAnsi="Verdana"/>
          <w:b w:val="0"/>
          <w:sz w:val="20"/>
          <w:szCs w:val="20"/>
          <w:lang w:val="en-US"/>
        </w:rPr>
        <w:t xml:space="preserve">to the north of the </w:t>
      </w:r>
      <w:r w:rsidR="00D2614E" w:rsidRPr="00FE7BA7">
        <w:rPr>
          <w:rStyle w:val="Strong"/>
          <w:rFonts w:ascii="Verdana" w:hAnsi="Verdana"/>
          <w:b w:val="0"/>
          <w:sz w:val="20"/>
          <w:lang w:val="en-US"/>
        </w:rPr>
        <w:t>Aloemada Creek</w:t>
      </w:r>
      <w:r w:rsidR="00D2614E" w:rsidRPr="00FE7BA7">
        <w:rPr>
          <w:rStyle w:val="Strong"/>
          <w:rFonts w:ascii="Verdana" w:hAnsi="Verdana"/>
          <w:b w:val="0"/>
          <w:sz w:val="20"/>
          <w:szCs w:val="20"/>
          <w:lang w:val="en-US"/>
        </w:rPr>
        <w:t xml:space="preserve">, </w:t>
      </w:r>
      <w:r w:rsidR="00592D21">
        <w:rPr>
          <w:rStyle w:val="Strong"/>
          <w:rFonts w:ascii="Verdana" w:hAnsi="Verdana"/>
          <w:b w:val="0"/>
          <w:sz w:val="20"/>
          <w:szCs w:val="20"/>
          <w:lang w:val="en-US"/>
        </w:rPr>
        <w:t>is</w:t>
      </w:r>
      <w:r w:rsidRPr="00FE7BA7">
        <w:rPr>
          <w:rStyle w:val="Strong"/>
          <w:rFonts w:ascii="Verdana" w:hAnsi="Verdana"/>
          <w:b w:val="0"/>
          <w:sz w:val="20"/>
          <w:szCs w:val="20"/>
          <w:lang w:val="en-US"/>
        </w:rPr>
        <w:t xml:space="preserve"> exclud</w:t>
      </w:r>
      <w:r w:rsidR="00592D21">
        <w:rPr>
          <w:rStyle w:val="Strong"/>
          <w:rFonts w:ascii="Verdana" w:hAnsi="Verdana"/>
          <w:b w:val="0"/>
          <w:sz w:val="20"/>
          <w:szCs w:val="20"/>
          <w:lang w:val="en-US"/>
        </w:rPr>
        <w:t>ed from the territories claimed. In addition, the</w:t>
      </w:r>
      <w:r w:rsidRPr="00FE7BA7">
        <w:rPr>
          <w:rStyle w:val="Strong"/>
          <w:rFonts w:ascii="Verdana" w:hAnsi="Verdana"/>
          <w:b w:val="0"/>
          <w:sz w:val="20"/>
          <w:szCs w:val="20"/>
          <w:lang w:val="en-US"/>
        </w:rPr>
        <w:t xml:space="preserve"> following Maroon settlements are </w:t>
      </w:r>
      <w:r w:rsidR="00592D21">
        <w:rPr>
          <w:rStyle w:val="Strong"/>
          <w:rFonts w:ascii="Verdana" w:hAnsi="Verdana"/>
          <w:b w:val="0"/>
          <w:sz w:val="20"/>
          <w:szCs w:val="20"/>
          <w:lang w:val="en-US"/>
        </w:rPr>
        <w:t xml:space="preserve">also </w:t>
      </w:r>
      <w:r w:rsidRPr="00FE7BA7">
        <w:rPr>
          <w:rStyle w:val="Strong"/>
          <w:rFonts w:ascii="Verdana" w:hAnsi="Verdana"/>
          <w:b w:val="0"/>
          <w:sz w:val="20"/>
          <w:szCs w:val="20"/>
          <w:lang w:val="en-US"/>
        </w:rPr>
        <w:t xml:space="preserve">excluded from the territories claimed: </w:t>
      </w:r>
      <w:r w:rsidR="00D2614E" w:rsidRPr="00FE7BA7">
        <w:rPr>
          <w:rFonts w:ascii="Verdana" w:hAnsi="Verdana"/>
          <w:sz w:val="20"/>
          <w:szCs w:val="20"/>
          <w:lang w:val="en-US"/>
        </w:rPr>
        <w:t>1</w:t>
      </w:r>
      <w:r w:rsidR="00D2614E" w:rsidRPr="00FE7BA7">
        <w:rPr>
          <w:rStyle w:val="Strong"/>
          <w:rFonts w:ascii="Verdana" w:hAnsi="Verdana"/>
          <w:b w:val="0"/>
          <w:sz w:val="20"/>
          <w:szCs w:val="20"/>
          <w:lang w:val="en-US"/>
        </w:rPr>
        <w:t>) Albina; 2) Papatam; 3) Mankelekampu; 4) Mariakondre; 5) Eduardkondre; 6) Akoloikondre; 7) Bamboesi; 8) Koni</w:t>
      </w:r>
      <w:r w:rsidR="00D2614E" w:rsidRPr="00FE7BA7">
        <w:rPr>
          <w:rFonts w:ascii="Verdana" w:hAnsi="Verdana"/>
          <w:sz w:val="20"/>
          <w:szCs w:val="20"/>
          <w:lang w:val="en-US"/>
        </w:rPr>
        <w:t xml:space="preserve">; 9) </w:t>
      </w:r>
      <w:r w:rsidR="00D2614E" w:rsidRPr="00FE7BA7">
        <w:rPr>
          <w:rStyle w:val="Strong"/>
          <w:rFonts w:ascii="Verdana" w:hAnsi="Verdana"/>
          <w:b w:val="0"/>
          <w:sz w:val="20"/>
          <w:szCs w:val="20"/>
          <w:lang w:val="en-US"/>
        </w:rPr>
        <w:t>Moengotapu,</w:t>
      </w:r>
      <w:r w:rsidR="002B5CCD" w:rsidRPr="00FE7BA7">
        <w:rPr>
          <w:rStyle w:val="Strong"/>
          <w:rFonts w:ascii="Verdana" w:hAnsi="Verdana"/>
          <w:b w:val="0"/>
          <w:sz w:val="20"/>
          <w:szCs w:val="20"/>
          <w:lang w:val="en-US"/>
        </w:rPr>
        <w:t xml:space="preserve"> and </w:t>
      </w:r>
      <w:r w:rsidR="00D2614E" w:rsidRPr="00FE7BA7">
        <w:rPr>
          <w:rStyle w:val="Strong"/>
          <w:rFonts w:ascii="Verdana" w:hAnsi="Verdana"/>
          <w:b w:val="0"/>
          <w:sz w:val="20"/>
          <w:szCs w:val="20"/>
          <w:lang w:val="en-US"/>
        </w:rPr>
        <w:t>10) Adjoemakondre.</w:t>
      </w:r>
    </w:p>
    <w:p w14:paraId="2312E5C0" w14:textId="77777777" w:rsidR="00792118" w:rsidRPr="00147672" w:rsidRDefault="00792118" w:rsidP="006C4E70">
      <w:pPr>
        <w:pStyle w:val="ListParagraph"/>
        <w:ind w:left="0"/>
        <w:jc w:val="both"/>
        <w:rPr>
          <w:rFonts w:ascii="Verdana" w:hAnsi="Verdana"/>
          <w:sz w:val="20"/>
          <w:szCs w:val="20"/>
          <w:lang w:val="en-US"/>
        </w:rPr>
      </w:pPr>
    </w:p>
    <w:p w14:paraId="63126891" w14:textId="5CE8FA67" w:rsidR="00D2614E" w:rsidRPr="00FE7BA7" w:rsidRDefault="00592D21" w:rsidP="00D2614E">
      <w:pPr>
        <w:pStyle w:val="ListParagraph"/>
        <w:numPr>
          <w:ilvl w:val="0"/>
          <w:numId w:val="2"/>
        </w:numPr>
        <w:ind w:left="0" w:hanging="11"/>
        <w:jc w:val="both"/>
        <w:rPr>
          <w:rFonts w:ascii="Verdana" w:hAnsi="Verdana"/>
          <w:sz w:val="20"/>
          <w:szCs w:val="20"/>
          <w:lang w:val="en-US"/>
        </w:rPr>
      </w:pPr>
      <w:r>
        <w:rPr>
          <w:rFonts w:ascii="Verdana" w:hAnsi="Verdana"/>
          <w:sz w:val="20"/>
          <w:szCs w:val="20"/>
          <w:lang w:val="en-US"/>
        </w:rPr>
        <w:t>However</w:t>
      </w:r>
      <w:r w:rsidR="005269B1" w:rsidRPr="00FE7BA7">
        <w:rPr>
          <w:rFonts w:ascii="Verdana" w:hAnsi="Verdana"/>
          <w:sz w:val="20"/>
          <w:szCs w:val="20"/>
          <w:lang w:val="en-US"/>
        </w:rPr>
        <w:t>, the Court has insufficient information to clarify the arguments related to several Maroon settlements</w:t>
      </w:r>
      <w:r w:rsidR="00D2614E" w:rsidRPr="00FE7BA7">
        <w:rPr>
          <w:rFonts w:ascii="Verdana" w:hAnsi="Verdana"/>
          <w:sz w:val="20"/>
          <w:szCs w:val="20"/>
          <w:lang w:val="en-US"/>
        </w:rPr>
        <w:t xml:space="preserve">. </w:t>
      </w:r>
      <w:r w:rsidR="005269B1" w:rsidRPr="00FE7BA7">
        <w:rPr>
          <w:rFonts w:ascii="Verdana" w:hAnsi="Verdana"/>
          <w:sz w:val="20"/>
          <w:szCs w:val="20"/>
          <w:lang w:val="en-US"/>
        </w:rPr>
        <w:t>Regarding</w:t>
      </w:r>
      <w:r w:rsidR="00D2614E" w:rsidRPr="00FE7BA7">
        <w:rPr>
          <w:rFonts w:ascii="Verdana" w:hAnsi="Verdana"/>
          <w:sz w:val="20"/>
          <w:szCs w:val="20"/>
          <w:lang w:val="en-US"/>
        </w:rPr>
        <w:t xml:space="preserve"> </w:t>
      </w:r>
      <w:r w:rsidR="005269B1" w:rsidRPr="00FE7BA7">
        <w:rPr>
          <w:rFonts w:ascii="Verdana" w:hAnsi="Verdana"/>
          <w:sz w:val="20"/>
          <w:szCs w:val="20"/>
          <w:lang w:val="en-US"/>
        </w:rPr>
        <w:t>the Maroon settlements of:</w:t>
      </w:r>
      <w:r w:rsidR="00D2614E" w:rsidRPr="00FE7BA7">
        <w:rPr>
          <w:rFonts w:ascii="Verdana" w:hAnsi="Verdana"/>
          <w:sz w:val="20"/>
          <w:szCs w:val="20"/>
          <w:lang w:val="en-US"/>
        </w:rPr>
        <w:t xml:space="preserve"> 1) Bilokondre, </w:t>
      </w:r>
      <w:r w:rsidR="005269B1" w:rsidRPr="00FE7BA7">
        <w:rPr>
          <w:rFonts w:ascii="Verdana" w:hAnsi="Verdana"/>
          <w:sz w:val="20"/>
          <w:szCs w:val="20"/>
          <w:lang w:val="en-US"/>
        </w:rPr>
        <w:t>located between the communities of</w:t>
      </w:r>
      <w:r w:rsidR="00D2614E" w:rsidRPr="00FE7BA7">
        <w:rPr>
          <w:rFonts w:ascii="Verdana" w:hAnsi="Verdana"/>
          <w:sz w:val="20"/>
          <w:szCs w:val="20"/>
          <w:lang w:val="en-US"/>
        </w:rPr>
        <w:t xml:space="preserve"> </w:t>
      </w:r>
      <w:r w:rsidR="00D2614E" w:rsidRPr="00FE7BA7">
        <w:rPr>
          <w:rStyle w:val="Strong"/>
          <w:rFonts w:ascii="Verdana" w:hAnsi="Verdana"/>
          <w:b w:val="0"/>
          <w:sz w:val="20"/>
          <w:szCs w:val="20"/>
          <w:lang w:val="en-US"/>
        </w:rPr>
        <w:t>Pierrekondre</w:t>
      </w:r>
      <w:r w:rsidR="002B5CCD" w:rsidRPr="00FE7BA7">
        <w:rPr>
          <w:rStyle w:val="Strong"/>
          <w:rFonts w:ascii="Verdana" w:hAnsi="Verdana"/>
          <w:b w:val="0"/>
          <w:sz w:val="20"/>
          <w:szCs w:val="20"/>
          <w:lang w:val="en-US"/>
        </w:rPr>
        <w:t xml:space="preserve"> and </w:t>
      </w:r>
      <w:r w:rsidR="00D2614E" w:rsidRPr="00FE7BA7">
        <w:rPr>
          <w:rStyle w:val="Strong"/>
          <w:rFonts w:ascii="Verdana" w:hAnsi="Verdana"/>
          <w:b w:val="0"/>
          <w:sz w:val="20"/>
          <w:szCs w:val="20"/>
          <w:lang w:val="en-US"/>
        </w:rPr>
        <w:t>Marijkedorp (Wan Shi Sha)</w:t>
      </w:r>
      <w:r w:rsidR="00D2614E" w:rsidRPr="00FE7BA7">
        <w:rPr>
          <w:rFonts w:ascii="Verdana" w:hAnsi="Verdana"/>
          <w:sz w:val="20"/>
          <w:szCs w:val="20"/>
          <w:lang w:val="en-US"/>
        </w:rPr>
        <w:t>; 2) Kronto</w:t>
      </w:r>
      <w:r w:rsidR="00635B8D" w:rsidRPr="00FE7BA7">
        <w:rPr>
          <w:rFonts w:ascii="Verdana" w:hAnsi="Verdana"/>
          <w:sz w:val="20"/>
          <w:szCs w:val="20"/>
          <w:lang w:val="en-US"/>
        </w:rPr>
        <w:t>k</w:t>
      </w:r>
      <w:r w:rsidR="00D2614E" w:rsidRPr="00FE7BA7">
        <w:rPr>
          <w:rFonts w:ascii="Verdana" w:hAnsi="Verdana"/>
          <w:sz w:val="20"/>
          <w:szCs w:val="20"/>
          <w:lang w:val="en-US"/>
        </w:rPr>
        <w:t>ondre; 3) Soke, 4) Pakirakondre</w:t>
      </w:r>
      <w:r w:rsidR="00FB4175" w:rsidRPr="00FE7BA7">
        <w:rPr>
          <w:rFonts w:ascii="Verdana" w:hAnsi="Verdana"/>
          <w:sz w:val="20"/>
          <w:szCs w:val="20"/>
          <w:lang w:val="en-US"/>
        </w:rPr>
        <w:t>,</w:t>
      </w:r>
      <w:r w:rsidR="002B5CCD" w:rsidRPr="00FE7BA7">
        <w:rPr>
          <w:rFonts w:ascii="Verdana" w:hAnsi="Verdana"/>
          <w:sz w:val="20"/>
          <w:szCs w:val="20"/>
          <w:lang w:val="en-US"/>
        </w:rPr>
        <w:t xml:space="preserve"> and </w:t>
      </w:r>
      <w:r w:rsidR="00D2614E" w:rsidRPr="00FE7BA7">
        <w:rPr>
          <w:rFonts w:ascii="Verdana" w:hAnsi="Verdana"/>
          <w:sz w:val="20"/>
          <w:szCs w:val="20"/>
          <w:lang w:val="en-US"/>
        </w:rPr>
        <w:t xml:space="preserve">5) Mopikondre, </w:t>
      </w:r>
      <w:r w:rsidR="005269B1" w:rsidRPr="00FE7BA7">
        <w:rPr>
          <w:rFonts w:ascii="Verdana" w:hAnsi="Verdana"/>
          <w:sz w:val="20"/>
          <w:szCs w:val="20"/>
          <w:lang w:val="en-US"/>
        </w:rPr>
        <w:t xml:space="preserve">which are located near the </w:t>
      </w:r>
      <w:r w:rsidR="005311C4">
        <w:rPr>
          <w:rFonts w:ascii="Verdana" w:hAnsi="Verdana"/>
          <w:sz w:val="20"/>
          <w:szCs w:val="20"/>
          <w:lang w:val="en-US"/>
        </w:rPr>
        <w:t xml:space="preserve">Kaliña </w:t>
      </w:r>
      <w:r w:rsidR="005269B1" w:rsidRPr="00FE7BA7">
        <w:rPr>
          <w:rFonts w:ascii="Verdana" w:hAnsi="Verdana"/>
          <w:sz w:val="20"/>
          <w:szCs w:val="20"/>
          <w:lang w:val="en-US"/>
        </w:rPr>
        <w:t xml:space="preserve">community of </w:t>
      </w:r>
      <w:r w:rsidR="00D2614E" w:rsidRPr="00FE7BA7">
        <w:rPr>
          <w:rFonts w:ascii="Verdana" w:hAnsi="Verdana"/>
          <w:sz w:val="20"/>
          <w:szCs w:val="20"/>
          <w:lang w:val="en-US"/>
        </w:rPr>
        <w:t xml:space="preserve">Bigiston, </w:t>
      </w:r>
      <w:r w:rsidR="002B5CCD" w:rsidRPr="00FE7BA7">
        <w:rPr>
          <w:rFonts w:ascii="Verdana" w:hAnsi="Verdana"/>
          <w:sz w:val="20"/>
          <w:szCs w:val="20"/>
          <w:lang w:val="en-US"/>
        </w:rPr>
        <w:t>the Court</w:t>
      </w:r>
      <w:r w:rsidR="005269B1" w:rsidRPr="00FE7BA7">
        <w:rPr>
          <w:rFonts w:ascii="Verdana" w:hAnsi="Verdana"/>
          <w:sz w:val="20"/>
          <w:szCs w:val="20"/>
          <w:lang w:val="en-US"/>
        </w:rPr>
        <w:t xml:space="preserve"> observes that </w:t>
      </w:r>
      <w:r w:rsidR="00810FAD" w:rsidRPr="00FE7BA7">
        <w:rPr>
          <w:rFonts w:ascii="Verdana" w:hAnsi="Verdana"/>
          <w:sz w:val="20"/>
          <w:szCs w:val="20"/>
          <w:lang w:val="en-US"/>
        </w:rPr>
        <w:t>the representatives</w:t>
      </w:r>
      <w:r w:rsidR="00D2614E" w:rsidRPr="00FE7BA7">
        <w:rPr>
          <w:rFonts w:ascii="Verdana" w:hAnsi="Verdana"/>
          <w:sz w:val="20"/>
          <w:szCs w:val="20"/>
          <w:lang w:val="en-US"/>
        </w:rPr>
        <w:t xml:space="preserve"> </w:t>
      </w:r>
      <w:r w:rsidR="005269B1" w:rsidRPr="00FE7BA7">
        <w:rPr>
          <w:rFonts w:ascii="Verdana" w:hAnsi="Verdana"/>
          <w:sz w:val="20"/>
          <w:szCs w:val="20"/>
          <w:lang w:val="en-US"/>
        </w:rPr>
        <w:t xml:space="preserve">have not </w:t>
      </w:r>
      <w:r>
        <w:rPr>
          <w:rFonts w:ascii="Verdana" w:hAnsi="Verdana"/>
          <w:sz w:val="20"/>
          <w:szCs w:val="20"/>
          <w:lang w:val="en-US"/>
        </w:rPr>
        <w:t>explained</w:t>
      </w:r>
      <w:r w:rsidR="005269B1" w:rsidRPr="00FE7BA7">
        <w:rPr>
          <w:rFonts w:ascii="Verdana" w:hAnsi="Verdana"/>
          <w:sz w:val="20"/>
          <w:szCs w:val="20"/>
          <w:lang w:val="en-US"/>
        </w:rPr>
        <w:t xml:space="preserve"> whether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D2614E" w:rsidRPr="00FE7BA7">
        <w:rPr>
          <w:rFonts w:ascii="Verdana" w:hAnsi="Verdana"/>
          <w:sz w:val="20"/>
          <w:szCs w:val="20"/>
          <w:lang w:val="en-US"/>
        </w:rPr>
        <w:t xml:space="preserve"> </w:t>
      </w:r>
      <w:r w:rsidR="005269B1" w:rsidRPr="00FE7BA7">
        <w:rPr>
          <w:rFonts w:ascii="Verdana" w:hAnsi="Verdana"/>
          <w:sz w:val="20"/>
          <w:szCs w:val="20"/>
          <w:lang w:val="en-US"/>
        </w:rPr>
        <w:t xml:space="preserve">claim rights to ancestral indigenous ownership over the </w:t>
      </w:r>
      <w:r>
        <w:rPr>
          <w:rFonts w:ascii="Verdana" w:hAnsi="Verdana"/>
          <w:sz w:val="20"/>
          <w:szCs w:val="20"/>
          <w:lang w:val="en-US"/>
        </w:rPr>
        <w:t>land</w:t>
      </w:r>
      <w:r w:rsidR="005269B1" w:rsidRPr="00FE7BA7">
        <w:rPr>
          <w:rFonts w:ascii="Verdana" w:hAnsi="Verdana"/>
          <w:sz w:val="20"/>
          <w:szCs w:val="20"/>
          <w:lang w:val="en-US"/>
        </w:rPr>
        <w:t xml:space="preserve"> on which these Maroon settlements are located, while the State did not refer to the settlements of</w:t>
      </w:r>
      <w:r w:rsidR="00D2614E" w:rsidRPr="00FE7BA7">
        <w:rPr>
          <w:rFonts w:ascii="Verdana" w:hAnsi="Verdana"/>
          <w:sz w:val="20"/>
          <w:szCs w:val="20"/>
          <w:lang w:val="en-US"/>
        </w:rPr>
        <w:t xml:space="preserve"> Soke, Pakirakondre</w:t>
      </w:r>
      <w:r w:rsidR="002B5CCD" w:rsidRPr="00FE7BA7">
        <w:rPr>
          <w:rFonts w:ascii="Verdana" w:hAnsi="Verdana"/>
          <w:sz w:val="20"/>
          <w:szCs w:val="20"/>
          <w:lang w:val="en-US"/>
        </w:rPr>
        <w:t xml:space="preserve"> and </w:t>
      </w:r>
      <w:r w:rsidR="005269B1" w:rsidRPr="00FE7BA7">
        <w:rPr>
          <w:rFonts w:ascii="Verdana" w:hAnsi="Verdana"/>
          <w:sz w:val="20"/>
          <w:szCs w:val="20"/>
          <w:lang w:val="en-US"/>
        </w:rPr>
        <w:t>Mopikondre</w:t>
      </w:r>
      <w:r w:rsidR="00D2614E" w:rsidRPr="00FE7BA7">
        <w:rPr>
          <w:rFonts w:ascii="Verdana" w:hAnsi="Verdana"/>
          <w:sz w:val="20"/>
          <w:szCs w:val="20"/>
          <w:lang w:val="en-US"/>
        </w:rPr>
        <w:t xml:space="preserve">. </w:t>
      </w:r>
    </w:p>
    <w:p w14:paraId="63126892" w14:textId="77777777" w:rsidR="00D2614E" w:rsidRPr="00FE7BA7" w:rsidRDefault="00D2614E" w:rsidP="00D2614E">
      <w:pPr>
        <w:pStyle w:val="ListParagraph"/>
        <w:rPr>
          <w:rFonts w:ascii="Verdana" w:hAnsi="Verdana"/>
          <w:sz w:val="20"/>
          <w:szCs w:val="20"/>
          <w:lang w:val="en-US"/>
        </w:rPr>
      </w:pPr>
    </w:p>
    <w:p w14:paraId="63126893" w14:textId="77777777" w:rsidR="00D2614E" w:rsidRPr="00FE7BA7" w:rsidRDefault="003A5E79" w:rsidP="00D2614E">
      <w:pPr>
        <w:pStyle w:val="ListParagraph"/>
        <w:numPr>
          <w:ilvl w:val="0"/>
          <w:numId w:val="2"/>
        </w:numPr>
        <w:ind w:left="0" w:hanging="11"/>
        <w:jc w:val="both"/>
        <w:rPr>
          <w:rFonts w:ascii="Verdana" w:hAnsi="Verdana"/>
          <w:sz w:val="20"/>
          <w:szCs w:val="20"/>
          <w:lang w:val="en-US"/>
        </w:rPr>
      </w:pPr>
      <w:r>
        <w:rPr>
          <w:rFonts w:ascii="Verdana" w:hAnsi="Verdana"/>
          <w:sz w:val="20"/>
          <w:szCs w:val="20"/>
          <w:lang w:val="en-US"/>
        </w:rPr>
        <w:t>The</w:t>
      </w:r>
      <w:r w:rsidR="00592D21">
        <w:rPr>
          <w:rFonts w:ascii="Verdana" w:hAnsi="Verdana"/>
          <w:sz w:val="20"/>
          <w:szCs w:val="20"/>
          <w:lang w:val="en-US"/>
        </w:rPr>
        <w:t xml:space="preserve"> State</w:t>
      </w:r>
      <w:r>
        <w:rPr>
          <w:rFonts w:ascii="Verdana" w:hAnsi="Verdana"/>
          <w:sz w:val="20"/>
          <w:szCs w:val="20"/>
          <w:lang w:val="en-US"/>
        </w:rPr>
        <w:t xml:space="preserve"> also</w:t>
      </w:r>
      <w:r w:rsidR="00592D21">
        <w:rPr>
          <w:rFonts w:ascii="Verdana" w:hAnsi="Verdana"/>
          <w:sz w:val="20"/>
          <w:szCs w:val="20"/>
          <w:lang w:val="en-US"/>
        </w:rPr>
        <w:t xml:space="preserve"> referred to the</w:t>
      </w:r>
      <w:r w:rsidR="005269B1" w:rsidRPr="00FE7BA7">
        <w:rPr>
          <w:rFonts w:ascii="Verdana" w:hAnsi="Verdana"/>
          <w:sz w:val="20"/>
          <w:szCs w:val="20"/>
          <w:lang w:val="en-US"/>
        </w:rPr>
        <w:t xml:space="preserve"> Maroon settlements of</w:t>
      </w:r>
      <w:r w:rsidR="00D2614E" w:rsidRPr="00FE7BA7">
        <w:rPr>
          <w:rFonts w:ascii="Verdana" w:hAnsi="Verdana"/>
          <w:sz w:val="20"/>
          <w:szCs w:val="20"/>
          <w:lang w:val="en-US"/>
        </w:rPr>
        <w:t>: 1) Onikaikondre; 2) Manjabong; 3) Bonikondre o</w:t>
      </w:r>
      <w:r w:rsidR="00FE7BA7">
        <w:rPr>
          <w:rFonts w:ascii="Verdana" w:hAnsi="Verdana"/>
          <w:sz w:val="20"/>
          <w:szCs w:val="20"/>
          <w:lang w:val="en-US"/>
        </w:rPr>
        <w:t>r</w:t>
      </w:r>
      <w:r w:rsidR="00D2614E" w:rsidRPr="00FE7BA7">
        <w:rPr>
          <w:rFonts w:ascii="Verdana" w:hAnsi="Verdana"/>
          <w:sz w:val="20"/>
          <w:szCs w:val="20"/>
          <w:lang w:val="en-US"/>
        </w:rPr>
        <w:t xml:space="preserve"> Baajoebekampu; 4) Nengrekriki; 5) Solegakampu</w:t>
      </w:r>
      <w:r w:rsidR="002B5CCD" w:rsidRPr="00FE7BA7">
        <w:rPr>
          <w:rFonts w:ascii="Verdana" w:hAnsi="Verdana"/>
          <w:sz w:val="20"/>
          <w:szCs w:val="20"/>
          <w:lang w:val="en-US"/>
        </w:rPr>
        <w:t xml:space="preserve"> and </w:t>
      </w:r>
      <w:r w:rsidR="00592D21">
        <w:rPr>
          <w:rFonts w:ascii="Verdana" w:hAnsi="Verdana"/>
          <w:sz w:val="20"/>
          <w:szCs w:val="20"/>
          <w:lang w:val="en-US"/>
        </w:rPr>
        <w:t xml:space="preserve">6) Brunswijkkamp, </w:t>
      </w:r>
      <w:r w:rsidR="005269B1" w:rsidRPr="00FE7BA7">
        <w:rPr>
          <w:rFonts w:ascii="Verdana" w:hAnsi="Verdana"/>
          <w:sz w:val="20"/>
          <w:szCs w:val="20"/>
          <w:lang w:val="en-US"/>
        </w:rPr>
        <w:t>but</w:t>
      </w:r>
      <w:r w:rsidR="00D2614E"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D2614E" w:rsidRPr="00FE7BA7">
        <w:rPr>
          <w:rFonts w:ascii="Verdana" w:hAnsi="Verdana"/>
          <w:sz w:val="20"/>
          <w:szCs w:val="20"/>
          <w:lang w:val="en-US"/>
        </w:rPr>
        <w:t xml:space="preserve"> </w:t>
      </w:r>
      <w:r w:rsidR="00592D21">
        <w:rPr>
          <w:rFonts w:ascii="Verdana" w:hAnsi="Verdana"/>
          <w:sz w:val="20"/>
          <w:szCs w:val="20"/>
          <w:lang w:val="en-US"/>
        </w:rPr>
        <w:t>made no reference to them. T</w:t>
      </w:r>
      <w:r w:rsidR="005269B1" w:rsidRPr="00FE7BA7">
        <w:rPr>
          <w:rFonts w:ascii="Verdana" w:hAnsi="Verdana"/>
          <w:sz w:val="20"/>
          <w:szCs w:val="20"/>
          <w:lang w:val="en-US"/>
        </w:rPr>
        <w:t xml:space="preserve">hus, the Court is uncertain about their location and </w:t>
      </w:r>
      <w:r w:rsidR="005269B1" w:rsidRPr="00FE7BA7">
        <w:rPr>
          <w:rFonts w:ascii="Verdana" w:hAnsi="Verdana"/>
          <w:sz w:val="20"/>
          <w:szCs w:val="20"/>
          <w:lang w:val="en-US"/>
        </w:rPr>
        <w:lastRenderedPageBreak/>
        <w:t xml:space="preserve">whether the territories in which these Maroon settlements are located are included in the </w:t>
      </w:r>
      <w:r w:rsidR="00FE7BA7" w:rsidRPr="00FE7BA7">
        <w:rPr>
          <w:rFonts w:ascii="Verdana" w:hAnsi="Verdana"/>
          <w:sz w:val="20"/>
          <w:szCs w:val="20"/>
          <w:lang w:val="en-US"/>
        </w:rPr>
        <w:t>claims of</w:t>
      </w:r>
      <w:r w:rsidR="00635ACD" w:rsidRPr="00FE7BA7">
        <w:rPr>
          <w:rFonts w:ascii="Verdana" w:hAnsi="Verdana"/>
          <w:sz w:val="20"/>
          <w:szCs w:val="20"/>
          <w:lang w:val="en-US"/>
        </w:rPr>
        <w:t xml:space="preserve"> the </w:t>
      </w:r>
      <w:r w:rsidR="004C7D14" w:rsidRPr="00FE7BA7">
        <w:rPr>
          <w:rFonts w:ascii="Verdana" w:hAnsi="Verdana"/>
          <w:sz w:val="20"/>
          <w:szCs w:val="20"/>
          <w:lang w:val="en-US"/>
        </w:rPr>
        <w:t>Kaliña and Lokono peoples</w:t>
      </w:r>
      <w:r w:rsidR="00D2614E" w:rsidRPr="00FE7BA7">
        <w:rPr>
          <w:rFonts w:ascii="Verdana" w:hAnsi="Verdana"/>
          <w:sz w:val="20"/>
          <w:szCs w:val="20"/>
          <w:lang w:val="en-US"/>
        </w:rPr>
        <w:t>.</w:t>
      </w:r>
    </w:p>
    <w:p w14:paraId="63126894" w14:textId="77777777" w:rsidR="00926E61" w:rsidRPr="00FE7BA7" w:rsidRDefault="00926E61" w:rsidP="00366D91">
      <w:pPr>
        <w:pStyle w:val="ListParagraph"/>
        <w:ind w:left="0"/>
        <w:jc w:val="both"/>
        <w:rPr>
          <w:rFonts w:ascii="Verdana" w:hAnsi="Verdana"/>
          <w:sz w:val="20"/>
          <w:szCs w:val="20"/>
          <w:lang w:val="en-US"/>
        </w:rPr>
      </w:pPr>
    </w:p>
    <w:p w14:paraId="63126895" w14:textId="77777777" w:rsidR="00926E61" w:rsidRPr="00FE7BA7" w:rsidRDefault="00CA7C7B" w:rsidP="00E26926">
      <w:pPr>
        <w:pStyle w:val="Heading2"/>
        <w:numPr>
          <w:ilvl w:val="0"/>
          <w:numId w:val="10"/>
        </w:numPr>
        <w:spacing w:before="0"/>
        <w:jc w:val="both"/>
        <w:rPr>
          <w:rFonts w:ascii="Verdana" w:hAnsi="Verdana"/>
          <w:b w:val="0"/>
          <w:sz w:val="20"/>
          <w:szCs w:val="20"/>
          <w:lang w:val="en-US"/>
        </w:rPr>
      </w:pPr>
      <w:bookmarkStart w:id="15" w:name="_Toc441673188"/>
      <w:r w:rsidRPr="00FE7BA7">
        <w:rPr>
          <w:rFonts w:ascii="Verdana" w:hAnsi="Verdana"/>
          <w:bCs w:val="0"/>
          <w:i/>
          <w:color w:val="auto"/>
          <w:sz w:val="20"/>
          <w:szCs w:val="20"/>
          <w:lang w:val="en-US"/>
        </w:rPr>
        <w:t xml:space="preserve">The indigenous peoples under the </w:t>
      </w:r>
      <w:r w:rsidR="00592D21">
        <w:rPr>
          <w:rFonts w:ascii="Verdana" w:hAnsi="Verdana"/>
          <w:bCs w:val="0"/>
          <w:i/>
          <w:color w:val="auto"/>
          <w:sz w:val="20"/>
          <w:szCs w:val="20"/>
          <w:lang w:val="en-US"/>
        </w:rPr>
        <w:t>Suriname</w:t>
      </w:r>
      <w:r w:rsidRPr="00FE7BA7">
        <w:rPr>
          <w:rFonts w:ascii="Verdana" w:hAnsi="Verdana"/>
          <w:bCs w:val="0"/>
          <w:i/>
          <w:color w:val="auto"/>
          <w:sz w:val="20"/>
          <w:szCs w:val="20"/>
          <w:lang w:val="en-US"/>
        </w:rPr>
        <w:t xml:space="preserve"> legal system</w:t>
      </w:r>
      <w:bookmarkEnd w:id="15"/>
    </w:p>
    <w:p w14:paraId="63126896" w14:textId="77777777" w:rsidR="00926E61" w:rsidRPr="00FE7BA7" w:rsidRDefault="00926E61" w:rsidP="00926E61">
      <w:pPr>
        <w:jc w:val="both"/>
        <w:rPr>
          <w:rStyle w:val="Strong"/>
          <w:rFonts w:ascii="Verdana" w:hAnsi="Verdana"/>
          <w:b w:val="0"/>
          <w:sz w:val="20"/>
          <w:szCs w:val="20"/>
          <w:lang w:val="en-US"/>
        </w:rPr>
      </w:pPr>
    </w:p>
    <w:p w14:paraId="63126897" w14:textId="77777777" w:rsidR="00926E61" w:rsidRPr="00EC45EE" w:rsidRDefault="00B14403" w:rsidP="00B935FA">
      <w:pPr>
        <w:pStyle w:val="ListParagraph"/>
        <w:numPr>
          <w:ilvl w:val="0"/>
          <w:numId w:val="2"/>
        </w:numPr>
        <w:ind w:left="0" w:hanging="11"/>
        <w:jc w:val="both"/>
        <w:rPr>
          <w:rStyle w:val="Strong"/>
          <w:rFonts w:ascii="Verdana" w:hAnsi="Verdana"/>
          <w:b w:val="0"/>
          <w:sz w:val="20"/>
          <w:szCs w:val="20"/>
          <w:lang w:val="en-US"/>
        </w:rPr>
      </w:pPr>
      <w:r w:rsidRPr="00160FA8">
        <w:rPr>
          <w:rStyle w:val="Strong"/>
          <w:rFonts w:ascii="Verdana" w:hAnsi="Verdana"/>
          <w:b w:val="0"/>
          <w:sz w:val="20"/>
          <w:szCs w:val="20"/>
          <w:lang w:val="en-US"/>
        </w:rPr>
        <w:t xml:space="preserve">It is an undisputed fact that the laws of Suriname do not recognize the possibility that </w:t>
      </w:r>
      <w:r w:rsidR="00BD40EF" w:rsidRPr="00160FA8">
        <w:rPr>
          <w:rStyle w:val="Strong"/>
          <w:rFonts w:ascii="Verdana" w:hAnsi="Verdana"/>
          <w:b w:val="0"/>
          <w:sz w:val="20"/>
          <w:szCs w:val="20"/>
          <w:lang w:val="en-US"/>
        </w:rPr>
        <w:t>the</w:t>
      </w:r>
      <w:r w:rsidR="00BD40EF" w:rsidRPr="00FE7BA7">
        <w:rPr>
          <w:rStyle w:val="Strong"/>
          <w:rFonts w:ascii="Verdana" w:hAnsi="Verdana"/>
          <w:b w:val="0"/>
          <w:sz w:val="20"/>
          <w:szCs w:val="20"/>
          <w:lang w:val="en-US"/>
        </w:rPr>
        <w:t xml:space="preserve"> indigenous peoples</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 xml:space="preserve">may be constituted as </w:t>
      </w:r>
      <w:r w:rsidR="00160FA8">
        <w:rPr>
          <w:rStyle w:val="Strong"/>
          <w:rFonts w:ascii="Verdana" w:hAnsi="Verdana"/>
          <w:b w:val="0"/>
          <w:sz w:val="20"/>
          <w:szCs w:val="20"/>
          <w:lang w:val="en-US"/>
        </w:rPr>
        <w:t>lega</w:t>
      </w:r>
      <w:r w:rsidRPr="00FE7BA7">
        <w:rPr>
          <w:rStyle w:val="Strong"/>
          <w:rFonts w:ascii="Verdana" w:hAnsi="Verdana"/>
          <w:b w:val="0"/>
          <w:sz w:val="20"/>
          <w:szCs w:val="20"/>
          <w:lang w:val="en-US"/>
        </w:rPr>
        <w:t xml:space="preserve">l persons and, consequently, they lack standing to hold collective property titles. In this regard, </w:t>
      </w:r>
      <w:r w:rsidR="00FD14B3" w:rsidRPr="00FE7BA7">
        <w:rPr>
          <w:rStyle w:val="Strong"/>
          <w:rFonts w:ascii="Verdana" w:hAnsi="Verdana"/>
          <w:b w:val="0"/>
          <w:sz w:val="20"/>
          <w:szCs w:val="20"/>
          <w:lang w:val="en-US"/>
        </w:rPr>
        <w:t xml:space="preserve">during </w:t>
      </w:r>
      <w:r w:rsidR="00810FAD" w:rsidRPr="00FE7BA7">
        <w:rPr>
          <w:rStyle w:val="Strong"/>
          <w:rFonts w:ascii="Verdana" w:hAnsi="Verdana"/>
          <w:b w:val="0"/>
          <w:sz w:val="20"/>
          <w:szCs w:val="20"/>
          <w:lang w:val="en-US"/>
        </w:rPr>
        <w:t>the public hearing</w:t>
      </w:r>
      <w:r w:rsidRPr="00FE7BA7">
        <w:rPr>
          <w:rStyle w:val="Strong"/>
          <w:rFonts w:ascii="Verdana" w:hAnsi="Verdana"/>
          <w:b w:val="0"/>
          <w:sz w:val="20"/>
          <w:szCs w:val="20"/>
          <w:lang w:val="en-US"/>
        </w:rPr>
        <w:t xml:space="preserve"> in this case, the State </w:t>
      </w:r>
      <w:r w:rsidR="00160FA8">
        <w:rPr>
          <w:rStyle w:val="Strong"/>
          <w:rFonts w:ascii="Verdana" w:hAnsi="Verdana"/>
          <w:b w:val="0"/>
          <w:sz w:val="20"/>
          <w:szCs w:val="20"/>
          <w:lang w:val="en-US"/>
        </w:rPr>
        <w:t>asserted</w:t>
      </w:r>
      <w:r w:rsidRPr="00FE7BA7">
        <w:rPr>
          <w:rStyle w:val="Strong"/>
          <w:rFonts w:ascii="Verdana" w:hAnsi="Verdana"/>
          <w:b w:val="0"/>
          <w:sz w:val="20"/>
          <w:szCs w:val="20"/>
          <w:lang w:val="en-US"/>
        </w:rPr>
        <w:t xml:space="preserve"> that “</w:t>
      </w:r>
      <w:r w:rsidRPr="00EC45EE">
        <w:rPr>
          <w:rStyle w:val="Strong"/>
          <w:rFonts w:ascii="Verdana" w:hAnsi="Verdana"/>
          <w:b w:val="0"/>
          <w:sz w:val="20"/>
          <w:szCs w:val="20"/>
          <w:lang w:val="en-US"/>
        </w:rPr>
        <w:t>the laws of Suriname only grant [</w:t>
      </w:r>
      <w:r w:rsidR="00160FA8" w:rsidRPr="00EC45EE">
        <w:rPr>
          <w:rStyle w:val="Strong"/>
          <w:rFonts w:ascii="Verdana" w:hAnsi="Verdana"/>
          <w:b w:val="0"/>
          <w:sz w:val="20"/>
          <w:szCs w:val="20"/>
          <w:lang w:val="en-US"/>
        </w:rPr>
        <w:t>legal</w:t>
      </w:r>
      <w:r w:rsidRPr="00EC45EE">
        <w:rPr>
          <w:rStyle w:val="Strong"/>
          <w:rFonts w:ascii="Verdana" w:hAnsi="Verdana"/>
          <w:b w:val="0"/>
          <w:sz w:val="20"/>
          <w:szCs w:val="20"/>
          <w:lang w:val="en-US"/>
        </w:rPr>
        <w:t xml:space="preserve"> personality] to natural and legal persons, and not […] to </w:t>
      </w:r>
      <w:r w:rsidR="00967E6B" w:rsidRPr="00EC45EE">
        <w:rPr>
          <w:rFonts w:ascii="Verdana" w:hAnsi="Verdana"/>
          <w:sz w:val="20"/>
          <w:szCs w:val="20"/>
          <w:lang w:val="en-US"/>
        </w:rPr>
        <w:t xml:space="preserve">the indigenous and </w:t>
      </w:r>
      <w:r w:rsidR="00F32607" w:rsidRPr="00EC45EE">
        <w:rPr>
          <w:rFonts w:ascii="Verdana" w:hAnsi="Verdana"/>
          <w:sz w:val="20"/>
          <w:szCs w:val="20"/>
          <w:lang w:val="en-US"/>
        </w:rPr>
        <w:t>tribal peoples</w:t>
      </w:r>
      <w:r w:rsidRPr="00EC45EE">
        <w:rPr>
          <w:rFonts w:ascii="Verdana" w:hAnsi="Verdana"/>
          <w:sz w:val="20"/>
          <w:szCs w:val="20"/>
          <w:lang w:val="en-US"/>
        </w:rPr>
        <w:t>.</w:t>
      </w:r>
      <w:r w:rsidR="00926E61" w:rsidRPr="00EC45EE">
        <w:rPr>
          <w:rFonts w:ascii="Verdana" w:hAnsi="Verdana"/>
          <w:sz w:val="20"/>
          <w:szCs w:val="20"/>
          <w:lang w:val="en-US"/>
        </w:rPr>
        <w:t>”</w:t>
      </w:r>
      <w:r w:rsidRPr="00EC45EE">
        <w:rPr>
          <w:rFonts w:ascii="Verdana" w:hAnsi="Verdana"/>
          <w:sz w:val="20"/>
          <w:szCs w:val="20"/>
          <w:lang w:val="en-US"/>
        </w:rPr>
        <w:t xml:space="preserve"> This was reaffirmed by </w:t>
      </w:r>
      <w:r w:rsidR="00810FAD" w:rsidRPr="00EC45EE">
        <w:rPr>
          <w:rFonts w:ascii="Verdana" w:hAnsi="Verdana"/>
          <w:sz w:val="20"/>
          <w:szCs w:val="20"/>
          <w:lang w:val="en-US"/>
        </w:rPr>
        <w:t>the</w:t>
      </w:r>
      <w:r w:rsidRPr="00EC45EE">
        <w:rPr>
          <w:rFonts w:ascii="Verdana" w:hAnsi="Verdana"/>
          <w:sz w:val="20"/>
          <w:szCs w:val="20"/>
          <w:lang w:val="en-US"/>
        </w:rPr>
        <w:t xml:space="preserve"> indigenous</w:t>
      </w:r>
      <w:r w:rsidR="00810FAD" w:rsidRPr="00EC45EE">
        <w:rPr>
          <w:rFonts w:ascii="Verdana" w:hAnsi="Verdana"/>
          <w:sz w:val="20"/>
          <w:szCs w:val="20"/>
          <w:lang w:val="en-US"/>
        </w:rPr>
        <w:t xml:space="preserve"> representatives</w:t>
      </w:r>
      <w:r w:rsidR="00926E61" w:rsidRPr="00EC45EE">
        <w:rPr>
          <w:rFonts w:ascii="Verdana" w:hAnsi="Verdana"/>
          <w:sz w:val="20"/>
          <w:szCs w:val="20"/>
          <w:lang w:val="en-US"/>
        </w:rPr>
        <w:t xml:space="preserve"> </w:t>
      </w:r>
      <w:r w:rsidRPr="00EC45EE">
        <w:rPr>
          <w:rFonts w:ascii="Verdana" w:hAnsi="Verdana"/>
          <w:sz w:val="20"/>
          <w:szCs w:val="20"/>
          <w:lang w:val="en-US"/>
        </w:rPr>
        <w:t>to</w:t>
      </w:r>
      <w:r w:rsidR="00926E61" w:rsidRPr="00EC45EE">
        <w:rPr>
          <w:rFonts w:ascii="Verdana" w:hAnsi="Verdana"/>
          <w:sz w:val="20"/>
          <w:szCs w:val="20"/>
          <w:lang w:val="en-US"/>
        </w:rPr>
        <w:t xml:space="preserve"> </w:t>
      </w:r>
      <w:r w:rsidR="00146E01" w:rsidRPr="00EC45EE">
        <w:rPr>
          <w:rFonts w:ascii="Verdana" w:hAnsi="Verdana"/>
          <w:sz w:val="20"/>
          <w:szCs w:val="20"/>
          <w:lang w:val="en-US"/>
        </w:rPr>
        <w:t>the National Assembly</w:t>
      </w:r>
      <w:r w:rsidR="002F0F93" w:rsidRPr="00EC45EE">
        <w:rPr>
          <w:rFonts w:ascii="Verdana" w:hAnsi="Verdana"/>
          <w:sz w:val="20"/>
          <w:szCs w:val="20"/>
          <w:lang w:val="en-US"/>
        </w:rPr>
        <w:t xml:space="preserve"> of Suriname</w:t>
      </w:r>
      <w:r w:rsidR="00FD14B3" w:rsidRPr="00EC45EE">
        <w:rPr>
          <w:rFonts w:ascii="Verdana" w:hAnsi="Verdana"/>
          <w:sz w:val="20"/>
          <w:szCs w:val="20"/>
          <w:lang w:val="en-US"/>
        </w:rPr>
        <w:t xml:space="preserve"> during </w:t>
      </w:r>
      <w:r w:rsidR="00160FA8" w:rsidRPr="00EC45EE">
        <w:rPr>
          <w:rFonts w:ascii="Verdana" w:hAnsi="Verdana"/>
          <w:sz w:val="20"/>
          <w:szCs w:val="20"/>
          <w:lang w:val="en-US"/>
        </w:rPr>
        <w:t>the on-site procedure</w:t>
      </w:r>
      <w:r w:rsidR="00926E61" w:rsidRPr="00EC45EE">
        <w:rPr>
          <w:rFonts w:ascii="Verdana" w:hAnsi="Verdana"/>
          <w:sz w:val="20"/>
          <w:szCs w:val="20"/>
          <w:lang w:val="en-US"/>
        </w:rPr>
        <w:t xml:space="preserve"> </w:t>
      </w:r>
      <w:r w:rsidRPr="00EC45EE">
        <w:rPr>
          <w:rFonts w:ascii="Verdana" w:hAnsi="Verdana"/>
          <w:sz w:val="20"/>
          <w:szCs w:val="20"/>
          <w:lang w:val="en-US"/>
        </w:rPr>
        <w:t>in this case</w:t>
      </w:r>
      <w:r w:rsidR="00926E61" w:rsidRPr="00EC45EE">
        <w:rPr>
          <w:rFonts w:ascii="Verdana" w:hAnsi="Verdana"/>
          <w:sz w:val="20"/>
          <w:szCs w:val="20"/>
          <w:lang w:val="en-US"/>
        </w:rPr>
        <w:t xml:space="preserve">. </w:t>
      </w:r>
    </w:p>
    <w:p w14:paraId="63126898" w14:textId="77777777" w:rsidR="00926E61" w:rsidRPr="00EC45EE" w:rsidRDefault="00926E61" w:rsidP="00926E61">
      <w:pPr>
        <w:jc w:val="both"/>
        <w:rPr>
          <w:rStyle w:val="Strong"/>
          <w:rFonts w:ascii="Verdana" w:hAnsi="Verdana"/>
          <w:b w:val="0"/>
          <w:sz w:val="20"/>
          <w:szCs w:val="20"/>
          <w:lang w:val="en-US"/>
        </w:rPr>
      </w:pPr>
    </w:p>
    <w:p w14:paraId="63126899" w14:textId="77777777" w:rsidR="00926E61" w:rsidRPr="00EC45EE" w:rsidRDefault="00B14403" w:rsidP="00B14403">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 xml:space="preserve">In addition, the Court notes that, under the </w:t>
      </w:r>
      <w:r w:rsidR="00CA7C7B" w:rsidRPr="00EC45EE">
        <w:rPr>
          <w:rFonts w:ascii="Verdana" w:hAnsi="Verdana"/>
          <w:sz w:val="20"/>
          <w:szCs w:val="20"/>
          <w:lang w:val="en-US"/>
        </w:rPr>
        <w:t>1992</w:t>
      </w:r>
      <w:r w:rsidR="00926E61" w:rsidRPr="00EC45EE">
        <w:rPr>
          <w:rFonts w:ascii="Verdana" w:hAnsi="Verdana"/>
          <w:sz w:val="20"/>
          <w:szCs w:val="20"/>
          <w:lang w:val="en-US"/>
        </w:rPr>
        <w:t xml:space="preserve"> Lelydorp</w:t>
      </w:r>
      <w:r w:rsidR="00CA7C7B" w:rsidRPr="00EC45EE">
        <w:rPr>
          <w:rFonts w:ascii="Verdana" w:hAnsi="Verdana"/>
          <w:sz w:val="20"/>
          <w:szCs w:val="20"/>
          <w:lang w:val="en-US"/>
        </w:rPr>
        <w:t xml:space="preserve"> Peace Accord, </w:t>
      </w:r>
      <w:r w:rsidR="002B5CCD" w:rsidRPr="00EC45EE">
        <w:rPr>
          <w:rFonts w:ascii="Verdana" w:hAnsi="Verdana"/>
          <w:sz w:val="20"/>
          <w:szCs w:val="20"/>
          <w:lang w:val="en-US"/>
        </w:rPr>
        <w:t>the State</w:t>
      </w:r>
      <w:r w:rsidR="00926E61" w:rsidRPr="00EC45EE">
        <w:rPr>
          <w:rFonts w:ascii="Verdana" w:hAnsi="Verdana"/>
          <w:sz w:val="20"/>
          <w:szCs w:val="20"/>
          <w:lang w:val="en-US"/>
        </w:rPr>
        <w:t xml:space="preserve"> </w:t>
      </w:r>
      <w:r w:rsidRPr="00EC45EE">
        <w:rPr>
          <w:rFonts w:ascii="Verdana" w:hAnsi="Verdana"/>
          <w:sz w:val="20"/>
          <w:szCs w:val="20"/>
          <w:lang w:val="en-US"/>
        </w:rPr>
        <w:t xml:space="preserve">undertook to establish legal mechanisms to provide protection to the </w:t>
      </w:r>
      <w:r w:rsidR="00804BD4" w:rsidRPr="00EC45EE">
        <w:rPr>
          <w:rFonts w:ascii="Verdana" w:hAnsi="Verdana"/>
          <w:sz w:val="20"/>
          <w:szCs w:val="20"/>
          <w:lang w:val="en-US"/>
        </w:rPr>
        <w:t>lands</w:t>
      </w:r>
      <w:r w:rsidR="00511E56" w:rsidRPr="00EC45EE">
        <w:rPr>
          <w:rFonts w:ascii="Verdana" w:hAnsi="Verdana"/>
          <w:sz w:val="20"/>
          <w:szCs w:val="20"/>
          <w:lang w:val="en-US"/>
        </w:rPr>
        <w:t xml:space="preserve"> of the </w:t>
      </w:r>
      <w:r w:rsidR="00967E6B" w:rsidRPr="00EC45EE">
        <w:rPr>
          <w:rFonts w:ascii="Verdana" w:hAnsi="Verdana"/>
          <w:sz w:val="20"/>
          <w:szCs w:val="20"/>
          <w:lang w:val="en-US"/>
        </w:rPr>
        <w:t xml:space="preserve">indigenous and </w:t>
      </w:r>
      <w:r w:rsidR="00F32607" w:rsidRPr="00EC45EE">
        <w:rPr>
          <w:rFonts w:ascii="Verdana" w:hAnsi="Verdana"/>
          <w:sz w:val="20"/>
          <w:szCs w:val="20"/>
          <w:lang w:val="en-US"/>
        </w:rPr>
        <w:t>tribal peoples</w:t>
      </w:r>
      <w:r w:rsidR="00926E61" w:rsidRPr="00EC45EE">
        <w:rPr>
          <w:rFonts w:ascii="Verdana" w:hAnsi="Verdana"/>
          <w:sz w:val="20"/>
          <w:szCs w:val="20"/>
          <w:lang w:val="en-US"/>
        </w:rPr>
        <w:t xml:space="preserve">. </w:t>
      </w:r>
      <w:r w:rsidRPr="00EC45EE">
        <w:rPr>
          <w:rFonts w:ascii="Verdana" w:hAnsi="Verdana"/>
          <w:sz w:val="20"/>
          <w:szCs w:val="20"/>
          <w:lang w:val="en-US"/>
        </w:rPr>
        <w:t>In this regard, a</w:t>
      </w:r>
      <w:r w:rsidR="002B5CCD" w:rsidRPr="00EC45EE">
        <w:rPr>
          <w:rFonts w:ascii="Verdana" w:hAnsi="Verdana"/>
          <w:sz w:val="20"/>
          <w:szCs w:val="20"/>
          <w:lang w:val="en-US"/>
        </w:rPr>
        <w:t>rticle</w:t>
      </w:r>
      <w:r w:rsidR="00926E61" w:rsidRPr="00EC45EE">
        <w:rPr>
          <w:rFonts w:ascii="Verdana" w:hAnsi="Verdana"/>
          <w:sz w:val="20"/>
          <w:szCs w:val="20"/>
          <w:lang w:val="en-US"/>
        </w:rPr>
        <w:t xml:space="preserve"> 10 </w:t>
      </w:r>
      <w:r w:rsidRPr="00EC45EE">
        <w:rPr>
          <w:rFonts w:ascii="Verdana" w:hAnsi="Verdana"/>
          <w:sz w:val="20"/>
          <w:szCs w:val="20"/>
          <w:lang w:val="en-US"/>
        </w:rPr>
        <w:t>of the Accord established, among other matters, that “[t]he Government shall endeavor that legal mechanisms be created under which citizens who live and reside in tribal settlements will be able to secure a real title to land requested by them in their areas of residence [</w:t>
      </w:r>
      <w:r w:rsidRPr="00EC45EE">
        <w:rPr>
          <w:rFonts w:ascii="Verdana" w:hAnsi="Verdana"/>
          <w:i/>
          <w:sz w:val="20"/>
          <w:szCs w:val="20"/>
          <w:lang w:val="en-US"/>
        </w:rPr>
        <w:t>woongebieden</w:t>
      </w:r>
      <w:r w:rsidRPr="00EC45EE">
        <w:rPr>
          <w:rFonts w:ascii="Verdana" w:hAnsi="Verdana"/>
          <w:sz w:val="20"/>
          <w:szCs w:val="20"/>
          <w:lang w:val="en-US"/>
        </w:rPr>
        <w:t>]. 2. The demarcation and size of the respective residential areas, referred to in the first paragraph, shall be determined on the basis of a study carried out with respect thereto by the Council for the Development of the Interior […].” However, the State has not taken any measure to implement this provision</w:t>
      </w:r>
      <w:r w:rsidR="00CA7C7B" w:rsidRPr="00EC45EE">
        <w:rPr>
          <w:rFonts w:ascii="Verdana" w:hAnsi="Verdana"/>
          <w:sz w:val="20"/>
          <w:szCs w:val="20"/>
          <w:lang w:val="en-US"/>
        </w:rPr>
        <w:t>.</w:t>
      </w:r>
      <w:r w:rsidR="00926E61" w:rsidRPr="00EC45EE">
        <w:rPr>
          <w:rStyle w:val="FootnoteReference"/>
          <w:szCs w:val="20"/>
          <w:lang w:val="en-US"/>
        </w:rPr>
        <w:footnoteReference w:id="60"/>
      </w:r>
    </w:p>
    <w:p w14:paraId="6312689A" w14:textId="77777777" w:rsidR="00CA7C7B" w:rsidRPr="00EC45EE" w:rsidRDefault="00CA7C7B" w:rsidP="00CA7C7B">
      <w:pPr>
        <w:pStyle w:val="ListParagraph"/>
        <w:ind w:left="0"/>
        <w:jc w:val="both"/>
        <w:rPr>
          <w:rFonts w:ascii="Verdana" w:hAnsi="Verdana"/>
          <w:sz w:val="20"/>
          <w:szCs w:val="20"/>
          <w:lang w:val="en-US"/>
        </w:rPr>
      </w:pPr>
    </w:p>
    <w:p w14:paraId="6312689B" w14:textId="77777777" w:rsidR="00926E61" w:rsidRPr="00FE7BA7" w:rsidRDefault="009A197E" w:rsidP="00B935FA">
      <w:pPr>
        <w:pStyle w:val="ListParagraph"/>
        <w:numPr>
          <w:ilvl w:val="0"/>
          <w:numId w:val="2"/>
        </w:numPr>
        <w:ind w:left="0" w:hanging="11"/>
        <w:jc w:val="both"/>
        <w:rPr>
          <w:rFonts w:ascii="Verdana" w:hAnsi="Verdana"/>
          <w:sz w:val="20"/>
          <w:szCs w:val="20"/>
          <w:lang w:val="en-US"/>
        </w:rPr>
      </w:pPr>
      <w:r w:rsidRPr="00EC45EE">
        <w:rPr>
          <w:rStyle w:val="Strong"/>
          <w:rFonts w:ascii="Verdana" w:hAnsi="Verdana"/>
          <w:b w:val="0"/>
          <w:sz w:val="20"/>
          <w:szCs w:val="20"/>
          <w:lang w:val="en-US"/>
        </w:rPr>
        <w:t xml:space="preserve">This situation was analyzed by the Court previously in the </w:t>
      </w:r>
      <w:r w:rsidRPr="00EC45EE">
        <w:rPr>
          <w:rStyle w:val="Strong"/>
          <w:rFonts w:ascii="Verdana" w:hAnsi="Verdana"/>
          <w:b w:val="0"/>
          <w:i/>
          <w:color w:val="000000"/>
          <w:sz w:val="20"/>
          <w:szCs w:val="20"/>
          <w:shd w:val="clear" w:color="auto" w:fill="FFFFFF"/>
          <w:lang w:val="en-US"/>
        </w:rPr>
        <w:t>c</w:t>
      </w:r>
      <w:r w:rsidR="00863A9E" w:rsidRPr="00EC45EE">
        <w:rPr>
          <w:rStyle w:val="Strong"/>
          <w:rFonts w:ascii="Verdana" w:hAnsi="Verdana"/>
          <w:b w:val="0"/>
          <w:i/>
          <w:color w:val="000000"/>
          <w:sz w:val="20"/>
          <w:szCs w:val="20"/>
          <w:shd w:val="clear" w:color="auto" w:fill="FFFFFF"/>
          <w:lang w:val="en-US"/>
        </w:rPr>
        <w:t>ase of the Moiwana Community</w:t>
      </w:r>
      <w:r w:rsidR="00926E61" w:rsidRPr="00EC45EE">
        <w:rPr>
          <w:rStyle w:val="Strong"/>
          <w:rFonts w:ascii="Verdana" w:hAnsi="Verdana"/>
          <w:b w:val="0"/>
          <w:i/>
          <w:color w:val="000000"/>
          <w:sz w:val="20"/>
          <w:szCs w:val="20"/>
          <w:shd w:val="clear" w:color="auto" w:fill="FFFFFF"/>
          <w:lang w:val="en-US"/>
        </w:rPr>
        <w:t xml:space="preserve"> </w:t>
      </w:r>
      <w:r w:rsidR="002B5CCD" w:rsidRPr="00EC45EE">
        <w:rPr>
          <w:rStyle w:val="Strong"/>
          <w:rFonts w:ascii="Verdana" w:hAnsi="Verdana"/>
          <w:b w:val="0"/>
          <w:i/>
          <w:color w:val="000000"/>
          <w:sz w:val="20"/>
          <w:szCs w:val="20"/>
          <w:shd w:val="clear" w:color="auto" w:fill="FFFFFF"/>
          <w:lang w:val="en-US"/>
        </w:rPr>
        <w:t>v.</w:t>
      </w:r>
      <w:r w:rsidR="00926E61" w:rsidRPr="00EC45EE">
        <w:rPr>
          <w:rStyle w:val="Strong"/>
          <w:rFonts w:ascii="Verdana" w:hAnsi="Verdana"/>
          <w:b w:val="0"/>
          <w:i/>
          <w:color w:val="000000"/>
          <w:sz w:val="20"/>
          <w:szCs w:val="20"/>
          <w:shd w:val="clear" w:color="auto" w:fill="FFFFFF"/>
          <w:lang w:val="en-US"/>
        </w:rPr>
        <w:t xml:space="preserve"> </w:t>
      </w:r>
      <w:r w:rsidR="004C7D14" w:rsidRPr="00EC45EE">
        <w:rPr>
          <w:rStyle w:val="Strong"/>
          <w:rFonts w:ascii="Verdana" w:hAnsi="Verdana"/>
          <w:b w:val="0"/>
          <w:i/>
          <w:color w:val="000000"/>
          <w:sz w:val="20"/>
          <w:szCs w:val="20"/>
          <w:shd w:val="clear" w:color="auto" w:fill="FFFFFF"/>
          <w:lang w:val="en-US"/>
        </w:rPr>
        <w:t>Suriname,</w:t>
      </w:r>
      <w:r w:rsidR="00926E61" w:rsidRPr="00EC45EE">
        <w:rPr>
          <w:rStyle w:val="Strong"/>
          <w:rFonts w:ascii="Verdana" w:hAnsi="Verdana"/>
          <w:b w:val="0"/>
          <w:color w:val="000000"/>
          <w:sz w:val="20"/>
          <w:szCs w:val="20"/>
          <w:shd w:val="clear" w:color="auto" w:fill="FFFFFF"/>
          <w:lang w:val="en-US"/>
        </w:rPr>
        <w:t xml:space="preserve"> </w:t>
      </w:r>
      <w:r w:rsidRPr="00EC45EE">
        <w:rPr>
          <w:rStyle w:val="Strong"/>
          <w:rFonts w:ascii="Verdana" w:hAnsi="Verdana"/>
          <w:b w:val="0"/>
          <w:color w:val="000000"/>
          <w:sz w:val="20"/>
          <w:szCs w:val="20"/>
          <w:shd w:val="clear" w:color="auto" w:fill="FFFFFF"/>
          <w:lang w:val="en-US"/>
        </w:rPr>
        <w:t>in which it established as a proven fact that “[e]ven though the individual members of the indigenous and tribal communities are recognized as pe</w:t>
      </w:r>
      <w:r w:rsidRPr="00FE7BA7">
        <w:rPr>
          <w:rStyle w:val="Strong"/>
          <w:rFonts w:ascii="Verdana" w:hAnsi="Verdana"/>
          <w:b w:val="0"/>
          <w:color w:val="000000"/>
          <w:sz w:val="20"/>
          <w:szCs w:val="20"/>
          <w:shd w:val="clear" w:color="auto" w:fill="FFFFFF"/>
          <w:lang w:val="en-US"/>
        </w:rPr>
        <w:t xml:space="preserve">rsons in the </w:t>
      </w:r>
      <w:r w:rsidR="00160FA8">
        <w:rPr>
          <w:rStyle w:val="Strong"/>
          <w:rFonts w:ascii="Verdana" w:hAnsi="Verdana"/>
          <w:b w:val="0"/>
          <w:color w:val="000000"/>
          <w:sz w:val="20"/>
          <w:szCs w:val="20"/>
          <w:shd w:val="clear" w:color="auto" w:fill="FFFFFF"/>
          <w:lang w:val="en-US"/>
        </w:rPr>
        <w:t>Suriname Constitution</w:t>
      </w:r>
      <w:r w:rsidR="004C7D14" w:rsidRPr="00FE7BA7">
        <w:rPr>
          <w:rFonts w:ascii="Verdana" w:hAnsi="Verdana"/>
          <w:sz w:val="20"/>
          <w:szCs w:val="20"/>
          <w:lang w:val="en-US"/>
        </w:rPr>
        <w:t>,</w:t>
      </w:r>
      <w:r w:rsidR="00926E61" w:rsidRPr="00FE7BA7">
        <w:rPr>
          <w:rFonts w:ascii="Verdana" w:hAnsi="Verdana"/>
          <w:sz w:val="20"/>
          <w:szCs w:val="20"/>
          <w:lang w:val="en-US"/>
        </w:rPr>
        <w:t xml:space="preserve"> </w:t>
      </w:r>
      <w:r w:rsidRPr="00FE7BA7">
        <w:rPr>
          <w:rFonts w:ascii="Verdana" w:hAnsi="Verdana"/>
          <w:sz w:val="20"/>
          <w:szCs w:val="20"/>
          <w:lang w:val="en-US"/>
        </w:rPr>
        <w:t>the laws of the State do not recognize these communit</w:t>
      </w:r>
      <w:r w:rsidR="003A5E79">
        <w:rPr>
          <w:rFonts w:ascii="Verdana" w:hAnsi="Verdana"/>
          <w:sz w:val="20"/>
          <w:szCs w:val="20"/>
          <w:lang w:val="en-US"/>
        </w:rPr>
        <w:t>ies as legal entities. Also,</w:t>
      </w:r>
      <w:r w:rsidRPr="00FE7BA7">
        <w:rPr>
          <w:rFonts w:ascii="Verdana" w:hAnsi="Verdana"/>
          <w:sz w:val="20"/>
          <w:szCs w:val="20"/>
          <w:lang w:val="en-US"/>
        </w:rPr>
        <w:t xml:space="preserve"> domestic law does not establish collective property rights.</w:t>
      </w:r>
      <w:r w:rsidR="00926E61" w:rsidRPr="00FE7BA7">
        <w:rPr>
          <w:rFonts w:ascii="Verdana" w:hAnsi="Verdana"/>
          <w:sz w:val="20"/>
          <w:szCs w:val="20"/>
          <w:lang w:val="en-US"/>
        </w:rPr>
        <w:t>”</w:t>
      </w:r>
      <w:r w:rsidR="00926E61" w:rsidRPr="00FE7BA7">
        <w:rPr>
          <w:rStyle w:val="FootnoteReference"/>
          <w:szCs w:val="20"/>
          <w:lang w:val="en-US"/>
        </w:rPr>
        <w:footnoteReference w:id="61"/>
      </w:r>
    </w:p>
    <w:p w14:paraId="6312689C" w14:textId="77777777" w:rsidR="00926E61" w:rsidRPr="00FE7BA7" w:rsidRDefault="00926E61" w:rsidP="00926E61">
      <w:pPr>
        <w:jc w:val="both"/>
        <w:rPr>
          <w:rFonts w:ascii="Verdana" w:hAnsi="Verdana"/>
          <w:sz w:val="20"/>
          <w:szCs w:val="20"/>
          <w:lang w:val="en-US"/>
        </w:rPr>
      </w:pPr>
    </w:p>
    <w:p w14:paraId="6312689D" w14:textId="77777777" w:rsidR="00926E61" w:rsidRPr="00FE7BA7" w:rsidRDefault="00926E61"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A</w:t>
      </w:r>
      <w:r w:rsidR="009A197E" w:rsidRPr="00FE7BA7">
        <w:rPr>
          <w:rFonts w:ascii="Verdana" w:hAnsi="Verdana"/>
          <w:sz w:val="20"/>
          <w:szCs w:val="20"/>
          <w:lang w:val="en-US"/>
        </w:rPr>
        <w:t xml:space="preserve">lso, in the </w:t>
      </w:r>
      <w:r w:rsidR="00D63518" w:rsidRPr="00160FA8">
        <w:rPr>
          <w:rStyle w:val="Strong"/>
          <w:rFonts w:ascii="Verdana" w:hAnsi="Verdana"/>
          <w:b w:val="0"/>
          <w:i/>
          <w:color w:val="000000"/>
          <w:sz w:val="20"/>
          <w:szCs w:val="20"/>
          <w:shd w:val="clear" w:color="auto" w:fill="FFFFFF"/>
          <w:lang w:val="en-US"/>
        </w:rPr>
        <w:t>case of the</w:t>
      </w:r>
      <w:r w:rsidR="00D63518" w:rsidRPr="00FE7BA7">
        <w:rPr>
          <w:rStyle w:val="Strong"/>
          <w:rFonts w:ascii="Verdana" w:hAnsi="Verdana"/>
          <w:b w:val="0"/>
          <w:i/>
          <w:color w:val="000000"/>
          <w:sz w:val="20"/>
          <w:szCs w:val="20"/>
          <w:shd w:val="clear" w:color="auto" w:fill="FFFFFF"/>
          <w:lang w:val="en-US"/>
        </w:rPr>
        <w:t xml:space="preserve"> Saramaka People</w:t>
      </w:r>
      <w:r w:rsidRPr="00FE7BA7">
        <w:rPr>
          <w:rStyle w:val="Strong"/>
          <w:rFonts w:ascii="Verdana" w:hAnsi="Verdana"/>
          <w:b w:val="0"/>
          <w:i/>
          <w:color w:val="000000"/>
          <w:sz w:val="20"/>
          <w:szCs w:val="20"/>
          <w:shd w:val="clear" w:color="auto" w:fill="FFFFFF"/>
          <w:lang w:val="en-US"/>
        </w:rPr>
        <w:t xml:space="preserve"> </w:t>
      </w:r>
      <w:r w:rsidR="002B5CCD" w:rsidRPr="00FE7BA7">
        <w:rPr>
          <w:rStyle w:val="Strong"/>
          <w:rFonts w:ascii="Verdana" w:hAnsi="Verdana"/>
          <w:b w:val="0"/>
          <w:i/>
          <w:color w:val="000000"/>
          <w:sz w:val="20"/>
          <w:szCs w:val="20"/>
          <w:shd w:val="clear" w:color="auto" w:fill="FFFFFF"/>
          <w:lang w:val="en-US"/>
        </w:rPr>
        <w:t>v.</w:t>
      </w:r>
      <w:r w:rsidRPr="00FE7BA7">
        <w:rPr>
          <w:rStyle w:val="Strong"/>
          <w:rFonts w:ascii="Verdana" w:hAnsi="Verdana"/>
          <w:b w:val="0"/>
          <w:i/>
          <w:color w:val="000000"/>
          <w:sz w:val="20"/>
          <w:szCs w:val="20"/>
          <w:shd w:val="clear" w:color="auto" w:fill="FFFFFF"/>
          <w:lang w:val="en-US"/>
        </w:rPr>
        <w:t xml:space="preserve"> </w:t>
      </w:r>
      <w:r w:rsidR="004C7D14" w:rsidRPr="00FE7BA7">
        <w:rPr>
          <w:rStyle w:val="Strong"/>
          <w:rFonts w:ascii="Verdana" w:hAnsi="Verdana"/>
          <w:b w:val="0"/>
          <w:i/>
          <w:color w:val="000000"/>
          <w:sz w:val="20"/>
          <w:szCs w:val="20"/>
          <w:shd w:val="clear" w:color="auto" w:fill="FFFFFF"/>
          <w:lang w:val="en-US"/>
        </w:rPr>
        <w:t>Suriname,</w:t>
      </w:r>
      <w:r w:rsidRPr="00FE7BA7">
        <w:rPr>
          <w:rStyle w:val="Strong"/>
          <w:rFonts w:ascii="Verdana" w:hAnsi="Verdana"/>
          <w:b w:val="0"/>
          <w:color w:val="000000"/>
          <w:sz w:val="20"/>
          <w:szCs w:val="20"/>
          <w:shd w:val="clear" w:color="auto" w:fill="FFFFFF"/>
          <w:lang w:val="en-US"/>
        </w:rPr>
        <w:t xml:space="preserve"> </w:t>
      </w:r>
      <w:r w:rsidR="002B5CCD" w:rsidRPr="00FE7BA7">
        <w:rPr>
          <w:rFonts w:ascii="Verdana" w:hAnsi="Verdana"/>
          <w:sz w:val="20"/>
          <w:szCs w:val="20"/>
          <w:lang w:val="en-US"/>
        </w:rPr>
        <w:t>the Court</w:t>
      </w:r>
      <w:r w:rsidRPr="00FE7BA7">
        <w:rPr>
          <w:rFonts w:ascii="Verdana" w:hAnsi="Verdana"/>
          <w:sz w:val="20"/>
          <w:szCs w:val="20"/>
          <w:lang w:val="en-US"/>
        </w:rPr>
        <w:t xml:space="preserve"> conclu</w:t>
      </w:r>
      <w:r w:rsidR="009A197E" w:rsidRPr="00FE7BA7">
        <w:rPr>
          <w:rFonts w:ascii="Verdana" w:hAnsi="Verdana"/>
          <w:sz w:val="20"/>
          <w:szCs w:val="20"/>
          <w:lang w:val="en-US"/>
        </w:rPr>
        <w:t>ded that “the State’s legal framework merely grants the members of the Saramaka people a privilege to use the land, which does not guarantee the</w:t>
      </w:r>
      <w:r w:rsidR="003A5E79">
        <w:rPr>
          <w:rFonts w:ascii="Verdana" w:hAnsi="Verdana"/>
          <w:sz w:val="20"/>
          <w:szCs w:val="20"/>
          <w:lang w:val="en-US"/>
        </w:rPr>
        <w:t>ir right to control and own their</w:t>
      </w:r>
      <w:r w:rsidR="009A197E" w:rsidRPr="00FE7BA7">
        <w:rPr>
          <w:rFonts w:ascii="Verdana" w:hAnsi="Verdana"/>
          <w:sz w:val="20"/>
          <w:szCs w:val="20"/>
          <w:lang w:val="en-US"/>
        </w:rPr>
        <w:t xml:space="preserve"> territ</w:t>
      </w:r>
      <w:r w:rsidR="00160FA8">
        <w:rPr>
          <w:rFonts w:ascii="Verdana" w:hAnsi="Verdana"/>
          <w:sz w:val="20"/>
          <w:szCs w:val="20"/>
          <w:lang w:val="en-US"/>
        </w:rPr>
        <w:t>ory without any type of outside</w:t>
      </w:r>
      <w:r w:rsidR="009A197E" w:rsidRPr="00FE7BA7">
        <w:rPr>
          <w:rFonts w:ascii="Verdana" w:hAnsi="Verdana"/>
          <w:sz w:val="20"/>
          <w:szCs w:val="20"/>
          <w:lang w:val="en-US"/>
        </w:rPr>
        <w:t xml:space="preserve"> interference.</w:t>
      </w:r>
      <w:r w:rsidRPr="00FE7BA7">
        <w:rPr>
          <w:rFonts w:ascii="Verdana" w:hAnsi="Verdana"/>
          <w:sz w:val="20"/>
          <w:lang w:val="en-US"/>
        </w:rPr>
        <w:t>”</w:t>
      </w:r>
      <w:r w:rsidRPr="00FE7BA7">
        <w:rPr>
          <w:rStyle w:val="FootnoteReference"/>
          <w:lang w:val="en-US"/>
        </w:rPr>
        <w:footnoteReference w:id="62"/>
      </w:r>
      <w:r w:rsidRPr="00FE7BA7">
        <w:rPr>
          <w:rFonts w:ascii="Verdana" w:hAnsi="Verdana"/>
          <w:sz w:val="20"/>
          <w:lang w:val="en-US"/>
        </w:rPr>
        <w:t xml:space="preserve">  </w:t>
      </w:r>
    </w:p>
    <w:p w14:paraId="6312689E" w14:textId="77777777" w:rsidR="00926E61" w:rsidRPr="00FE7BA7" w:rsidRDefault="00926E61" w:rsidP="00926E61">
      <w:pPr>
        <w:jc w:val="both"/>
        <w:rPr>
          <w:rFonts w:ascii="Verdana" w:hAnsi="Verdana"/>
          <w:sz w:val="20"/>
          <w:szCs w:val="20"/>
          <w:lang w:val="en-US"/>
        </w:rPr>
      </w:pPr>
    </w:p>
    <w:p w14:paraId="6312689F" w14:textId="77777777" w:rsidR="00926E61" w:rsidRPr="00FE7BA7" w:rsidRDefault="008601DF"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addition, on September 27, </w:t>
      </w:r>
      <w:r w:rsidR="00926E61" w:rsidRPr="00FE7BA7">
        <w:rPr>
          <w:rFonts w:ascii="Verdana" w:hAnsi="Verdana"/>
          <w:sz w:val="20"/>
          <w:szCs w:val="20"/>
          <w:lang w:val="en-US"/>
        </w:rPr>
        <w:t>2013</w:t>
      </w:r>
      <w:r w:rsidRPr="00FE7BA7">
        <w:rPr>
          <w:rFonts w:ascii="Verdana" w:hAnsi="Verdana"/>
          <w:sz w:val="20"/>
          <w:szCs w:val="20"/>
          <w:lang w:val="en-US"/>
        </w:rPr>
        <w:t>, a meeting was held between State authorities and representatives of indigenous and Maroon communities during which three comm</w:t>
      </w:r>
      <w:r w:rsidR="00160FA8">
        <w:rPr>
          <w:rFonts w:ascii="Verdana" w:hAnsi="Verdana"/>
          <w:sz w:val="20"/>
          <w:szCs w:val="20"/>
          <w:lang w:val="en-US"/>
        </w:rPr>
        <w:t>issions</w:t>
      </w:r>
      <w:r w:rsidRPr="00FE7BA7">
        <w:rPr>
          <w:rFonts w:ascii="Verdana" w:hAnsi="Verdana"/>
          <w:sz w:val="20"/>
          <w:szCs w:val="20"/>
          <w:lang w:val="en-US"/>
        </w:rPr>
        <w:t xml:space="preserve"> were created in order to develop legislation on traditional authorities, awareness-raising campaigns, and prior and informed consultation. </w:t>
      </w:r>
    </w:p>
    <w:p w14:paraId="631268A0" w14:textId="77777777" w:rsidR="00926E61" w:rsidRPr="00FE7BA7" w:rsidRDefault="00926E61" w:rsidP="00926E61">
      <w:pPr>
        <w:jc w:val="both"/>
        <w:rPr>
          <w:rFonts w:ascii="Verdana" w:hAnsi="Verdana"/>
          <w:sz w:val="20"/>
          <w:szCs w:val="20"/>
          <w:lang w:val="en-US"/>
        </w:rPr>
      </w:pPr>
    </w:p>
    <w:p w14:paraId="631268A1" w14:textId="77777777" w:rsidR="00926E61" w:rsidRPr="00FE7BA7" w:rsidRDefault="008601DF" w:rsidP="005E1E84">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On January 6,</w:t>
      </w:r>
      <w:r w:rsidR="00926E61" w:rsidRPr="00FE7BA7">
        <w:rPr>
          <w:rFonts w:ascii="Verdana" w:hAnsi="Verdana"/>
          <w:sz w:val="20"/>
          <w:szCs w:val="20"/>
          <w:lang w:val="en-US"/>
        </w:rPr>
        <w:t xml:space="preserve"> 2014</w:t>
      </w:r>
      <w:r w:rsidRPr="00FE7BA7">
        <w:rPr>
          <w:rFonts w:ascii="Verdana" w:hAnsi="Verdana"/>
          <w:sz w:val="20"/>
          <w:szCs w:val="20"/>
          <w:lang w:val="en-US"/>
        </w:rPr>
        <w:t>,</w:t>
      </w:r>
      <w:r w:rsidR="00926E61" w:rsidRPr="00FE7BA7">
        <w:rPr>
          <w:rFonts w:ascii="Verdana" w:hAnsi="Verdana"/>
          <w:sz w:val="20"/>
          <w:szCs w:val="20"/>
          <w:lang w:val="en-US"/>
        </w:rPr>
        <w:t xml:space="preserve"> </w:t>
      </w:r>
      <w:r w:rsidR="002B5CCD" w:rsidRPr="00FE7BA7">
        <w:rPr>
          <w:rFonts w:ascii="Verdana" w:hAnsi="Verdana"/>
          <w:sz w:val="20"/>
          <w:szCs w:val="20"/>
          <w:lang w:val="en-US"/>
        </w:rPr>
        <w:t>the State</w:t>
      </w:r>
      <w:r w:rsidR="00926E61" w:rsidRPr="00FE7BA7">
        <w:rPr>
          <w:rFonts w:ascii="Verdana" w:hAnsi="Verdana"/>
          <w:sz w:val="20"/>
          <w:szCs w:val="20"/>
          <w:lang w:val="en-US"/>
        </w:rPr>
        <w:t xml:space="preserve"> </w:t>
      </w:r>
      <w:r w:rsidRPr="00FE7BA7">
        <w:rPr>
          <w:rFonts w:ascii="Verdana" w:hAnsi="Verdana"/>
          <w:sz w:val="20"/>
          <w:szCs w:val="20"/>
          <w:lang w:val="en-US"/>
        </w:rPr>
        <w:t>hired a team of consultants to draft a bill on traditional authorities.</w:t>
      </w:r>
      <w:r w:rsidR="00926E61" w:rsidRPr="00FE7BA7">
        <w:rPr>
          <w:rStyle w:val="FootnoteReference"/>
          <w:szCs w:val="20"/>
          <w:lang w:val="en-US"/>
        </w:rPr>
        <w:footnoteReference w:id="63"/>
      </w:r>
      <w:r w:rsidR="00926E61" w:rsidRPr="00FE7BA7">
        <w:rPr>
          <w:rFonts w:ascii="Verdana" w:hAnsi="Verdana"/>
          <w:sz w:val="20"/>
          <w:szCs w:val="20"/>
          <w:lang w:val="en-US"/>
        </w:rPr>
        <w:t xml:space="preserve"> </w:t>
      </w:r>
      <w:r w:rsidRPr="00FE7BA7">
        <w:rPr>
          <w:rFonts w:ascii="Verdana" w:hAnsi="Verdana"/>
          <w:sz w:val="20"/>
          <w:szCs w:val="20"/>
          <w:lang w:val="en-US"/>
        </w:rPr>
        <w:t xml:space="preserve">The document of June 3, </w:t>
      </w:r>
      <w:r w:rsidR="00926E61" w:rsidRPr="00FE7BA7">
        <w:rPr>
          <w:rFonts w:ascii="Verdana" w:hAnsi="Verdana"/>
          <w:sz w:val="20"/>
          <w:szCs w:val="20"/>
          <w:lang w:val="en-US"/>
        </w:rPr>
        <w:t>2014</w:t>
      </w:r>
      <w:r w:rsidR="00160FA8">
        <w:rPr>
          <w:rFonts w:ascii="Verdana" w:hAnsi="Verdana"/>
          <w:sz w:val="20"/>
          <w:szCs w:val="20"/>
          <w:lang w:val="en-US"/>
        </w:rPr>
        <w:t xml:space="preserve">, entitled </w:t>
      </w:r>
      <w:r w:rsidR="00926E61" w:rsidRPr="00FE7BA7">
        <w:rPr>
          <w:rFonts w:ascii="Verdana" w:hAnsi="Verdana"/>
          <w:sz w:val="20"/>
          <w:szCs w:val="20"/>
          <w:lang w:val="en-US"/>
        </w:rPr>
        <w:t>“</w:t>
      </w:r>
      <w:r w:rsidR="008A4ABB" w:rsidRPr="00FE7BA7">
        <w:rPr>
          <w:rFonts w:ascii="Verdana" w:hAnsi="Verdana"/>
          <w:sz w:val="20"/>
          <w:szCs w:val="20"/>
          <w:lang w:val="en-US"/>
        </w:rPr>
        <w:t>Draft Bill on Traditional Authorities</w:t>
      </w:r>
      <w:r w:rsidR="00926E61" w:rsidRPr="00FE7BA7">
        <w:rPr>
          <w:rFonts w:ascii="Verdana" w:hAnsi="Verdana"/>
          <w:sz w:val="20"/>
          <w:szCs w:val="20"/>
          <w:lang w:val="en-US"/>
        </w:rPr>
        <w:t>” establ</w:t>
      </w:r>
      <w:r w:rsidRPr="00FE7BA7">
        <w:rPr>
          <w:rFonts w:ascii="Verdana" w:hAnsi="Verdana"/>
          <w:sz w:val="20"/>
          <w:szCs w:val="20"/>
          <w:lang w:val="en-US"/>
        </w:rPr>
        <w:t xml:space="preserve">ished, among other matters, that a Minister </w:t>
      </w:r>
      <w:r w:rsidR="00FE7BA7" w:rsidRPr="00FE7BA7">
        <w:rPr>
          <w:rFonts w:ascii="Verdana" w:hAnsi="Verdana"/>
          <w:sz w:val="20"/>
          <w:szCs w:val="20"/>
          <w:lang w:val="en-US"/>
        </w:rPr>
        <w:t>responsible</w:t>
      </w:r>
      <w:r w:rsidRPr="00FE7BA7">
        <w:rPr>
          <w:rFonts w:ascii="Verdana" w:hAnsi="Verdana"/>
          <w:sz w:val="20"/>
          <w:szCs w:val="20"/>
          <w:lang w:val="en-US"/>
        </w:rPr>
        <w:t xml:space="preserve"> for matters relating to traditional </w:t>
      </w:r>
      <w:r w:rsidRPr="00160FA8">
        <w:rPr>
          <w:rFonts w:ascii="Verdana" w:hAnsi="Verdana"/>
          <w:sz w:val="20"/>
          <w:szCs w:val="20"/>
          <w:lang w:val="en-US"/>
        </w:rPr>
        <w:t xml:space="preserve">authorities would appoint a group of </w:t>
      </w:r>
      <w:r w:rsidR="005E1E84" w:rsidRPr="00160FA8">
        <w:rPr>
          <w:rFonts w:ascii="Verdana" w:hAnsi="Verdana"/>
          <w:sz w:val="20"/>
          <w:szCs w:val="20"/>
          <w:lang w:val="en-US"/>
        </w:rPr>
        <w:t>dignitarie</w:t>
      </w:r>
      <w:r w:rsidR="00926E61" w:rsidRPr="00160FA8">
        <w:rPr>
          <w:rFonts w:ascii="Verdana" w:hAnsi="Verdana"/>
          <w:sz w:val="20"/>
          <w:szCs w:val="20"/>
          <w:lang w:val="en-US"/>
        </w:rPr>
        <w:t xml:space="preserve">s </w:t>
      </w:r>
      <w:r w:rsidR="005E1E84" w:rsidRPr="00160FA8">
        <w:rPr>
          <w:rFonts w:ascii="Verdana" w:hAnsi="Verdana"/>
          <w:sz w:val="20"/>
          <w:szCs w:val="20"/>
          <w:lang w:val="en-US"/>
        </w:rPr>
        <w:t>to serve as intermediaries between the Government and the indigenous and/or Maroon communities and to be responsible for keeping peace and order in th</w:t>
      </w:r>
      <w:r w:rsidR="00286843">
        <w:rPr>
          <w:rFonts w:ascii="Verdana" w:hAnsi="Verdana"/>
          <w:sz w:val="20"/>
          <w:szCs w:val="20"/>
          <w:lang w:val="en-US"/>
        </w:rPr>
        <w:t>e communities. To this end, these intermediaries</w:t>
      </w:r>
      <w:r w:rsidR="005E1E84" w:rsidRPr="00160FA8">
        <w:rPr>
          <w:rFonts w:ascii="Verdana" w:hAnsi="Verdana"/>
          <w:sz w:val="20"/>
          <w:szCs w:val="20"/>
          <w:lang w:val="en-US"/>
        </w:rPr>
        <w:t xml:space="preserve"> would </w:t>
      </w:r>
      <w:r w:rsidR="00160FA8">
        <w:rPr>
          <w:rFonts w:ascii="Verdana" w:hAnsi="Verdana"/>
          <w:sz w:val="20"/>
          <w:szCs w:val="20"/>
          <w:lang w:val="en-US"/>
        </w:rPr>
        <w:t>work</w:t>
      </w:r>
      <w:r w:rsidR="005E1E84" w:rsidRPr="00160FA8">
        <w:rPr>
          <w:rFonts w:ascii="Verdana" w:hAnsi="Verdana"/>
          <w:sz w:val="20"/>
          <w:szCs w:val="20"/>
          <w:lang w:val="en-US"/>
        </w:rPr>
        <w:t xml:space="preserve"> a normal </w:t>
      </w:r>
      <w:r w:rsidR="005E1E84" w:rsidRPr="00160FA8">
        <w:rPr>
          <w:rFonts w:ascii="Verdana" w:hAnsi="Verdana"/>
          <w:sz w:val="20"/>
          <w:szCs w:val="20"/>
          <w:lang w:val="en-US"/>
        </w:rPr>
        <w:lastRenderedPageBreak/>
        <w:t>work</w:t>
      </w:r>
      <w:r w:rsidR="00160FA8">
        <w:rPr>
          <w:rFonts w:ascii="Verdana" w:hAnsi="Verdana"/>
          <w:sz w:val="20"/>
          <w:szCs w:val="20"/>
          <w:lang w:val="en-US"/>
        </w:rPr>
        <w:t xml:space="preserve">ing </w:t>
      </w:r>
      <w:r w:rsidR="005E1E84" w:rsidRPr="00160FA8">
        <w:rPr>
          <w:rFonts w:ascii="Verdana" w:hAnsi="Verdana"/>
          <w:sz w:val="20"/>
          <w:szCs w:val="20"/>
          <w:lang w:val="en-US"/>
        </w:rPr>
        <w:t>day and be paid by the State.</w:t>
      </w:r>
      <w:r w:rsidR="00926E61" w:rsidRPr="00160FA8">
        <w:rPr>
          <w:rStyle w:val="FootnoteReference"/>
          <w:szCs w:val="20"/>
          <w:lang w:val="en-US"/>
        </w:rPr>
        <w:footnoteReference w:id="64"/>
      </w:r>
      <w:r w:rsidR="00926E61" w:rsidRPr="00160FA8">
        <w:rPr>
          <w:rFonts w:ascii="Verdana" w:hAnsi="Verdana"/>
          <w:sz w:val="20"/>
          <w:szCs w:val="20"/>
          <w:lang w:val="en-US"/>
        </w:rPr>
        <w:t xml:space="preserve"> </w:t>
      </w:r>
      <w:r w:rsidR="005E1E84" w:rsidRPr="00160FA8">
        <w:rPr>
          <w:rFonts w:ascii="Verdana" w:hAnsi="Verdana"/>
          <w:sz w:val="20"/>
          <w:szCs w:val="20"/>
          <w:lang w:val="en-US"/>
        </w:rPr>
        <w:t>It</w:t>
      </w:r>
      <w:r w:rsidR="005E1E84" w:rsidRPr="00FE7BA7">
        <w:rPr>
          <w:rFonts w:ascii="Verdana" w:hAnsi="Verdana"/>
          <w:sz w:val="20"/>
          <w:szCs w:val="20"/>
          <w:lang w:val="en-US"/>
        </w:rPr>
        <w:t xml:space="preserve"> should be noted that the Court has verified that this bill did not include the recognition of </w:t>
      </w:r>
      <w:r w:rsidR="00967E6B" w:rsidRPr="00FE7BA7">
        <w:rPr>
          <w:rFonts w:ascii="Verdana" w:hAnsi="Verdana"/>
          <w:sz w:val="20"/>
          <w:szCs w:val="20"/>
          <w:lang w:val="en-US"/>
        </w:rPr>
        <w:t xml:space="preserve">the indigenous and </w:t>
      </w:r>
      <w:r w:rsidR="00F32607" w:rsidRPr="00FE7BA7">
        <w:rPr>
          <w:rFonts w:ascii="Verdana" w:hAnsi="Verdana"/>
          <w:sz w:val="20"/>
          <w:szCs w:val="20"/>
          <w:lang w:val="en-US"/>
        </w:rPr>
        <w:t>tribal peoples</w:t>
      </w:r>
      <w:r w:rsidR="00926E61" w:rsidRPr="00FE7BA7">
        <w:rPr>
          <w:rStyle w:val="Strong"/>
          <w:rFonts w:ascii="Verdana" w:hAnsi="Verdana"/>
          <w:b w:val="0"/>
          <w:sz w:val="20"/>
          <w:szCs w:val="20"/>
          <w:lang w:val="en-US"/>
        </w:rPr>
        <w:t xml:space="preserve"> </w:t>
      </w:r>
      <w:r w:rsidR="005E1E84" w:rsidRPr="00FE7BA7">
        <w:rPr>
          <w:rStyle w:val="Strong"/>
          <w:rFonts w:ascii="Verdana" w:hAnsi="Verdana"/>
          <w:b w:val="0"/>
          <w:sz w:val="20"/>
          <w:szCs w:val="20"/>
          <w:lang w:val="en-US"/>
        </w:rPr>
        <w:t xml:space="preserve">as juridical persons or </w:t>
      </w:r>
      <w:r w:rsidR="00160FA8">
        <w:rPr>
          <w:rStyle w:val="Strong"/>
          <w:rFonts w:ascii="Verdana" w:hAnsi="Verdana"/>
          <w:b w:val="0"/>
          <w:sz w:val="20"/>
          <w:szCs w:val="20"/>
          <w:lang w:val="en-US"/>
        </w:rPr>
        <w:t xml:space="preserve">their </w:t>
      </w:r>
      <w:r w:rsidR="005E1E84" w:rsidRPr="00FE7BA7">
        <w:rPr>
          <w:rStyle w:val="Strong"/>
          <w:rFonts w:ascii="Verdana" w:hAnsi="Verdana"/>
          <w:b w:val="0"/>
          <w:sz w:val="20"/>
          <w:szCs w:val="20"/>
          <w:lang w:val="en-US"/>
        </w:rPr>
        <w:t xml:space="preserve">rights to lands, resources and communal </w:t>
      </w:r>
      <w:r w:rsidR="00286843">
        <w:rPr>
          <w:rStyle w:val="Strong"/>
          <w:rFonts w:ascii="Verdana" w:hAnsi="Verdana"/>
          <w:b w:val="0"/>
          <w:sz w:val="20"/>
          <w:szCs w:val="20"/>
          <w:lang w:val="en-US"/>
        </w:rPr>
        <w:t>lands</w:t>
      </w:r>
      <w:r w:rsidR="005E1E84" w:rsidRPr="00FE7BA7">
        <w:rPr>
          <w:rStyle w:val="Strong"/>
          <w:rFonts w:ascii="Verdana" w:hAnsi="Verdana"/>
          <w:b w:val="0"/>
          <w:sz w:val="20"/>
          <w:szCs w:val="20"/>
          <w:lang w:val="en-US"/>
        </w:rPr>
        <w:t>.</w:t>
      </w:r>
    </w:p>
    <w:p w14:paraId="631268A2" w14:textId="77777777" w:rsidR="00926E61" w:rsidRPr="00FE7BA7" w:rsidRDefault="00926E61" w:rsidP="00926E61">
      <w:pPr>
        <w:jc w:val="both"/>
        <w:rPr>
          <w:rFonts w:ascii="Verdana" w:hAnsi="Verdana"/>
          <w:sz w:val="20"/>
          <w:szCs w:val="20"/>
          <w:lang w:val="en-US"/>
        </w:rPr>
      </w:pPr>
    </w:p>
    <w:p w14:paraId="631268A3" w14:textId="77777777" w:rsidR="00926E61" w:rsidRPr="00FE7BA7" w:rsidRDefault="005E1E84" w:rsidP="00B935FA">
      <w:pPr>
        <w:pStyle w:val="ListParagraph"/>
        <w:numPr>
          <w:ilvl w:val="0"/>
          <w:numId w:val="2"/>
        </w:numPr>
        <w:ind w:left="0" w:hanging="11"/>
        <w:jc w:val="both"/>
        <w:rPr>
          <w:rFonts w:ascii="Verdana" w:hAnsi="Verdana"/>
          <w:sz w:val="20"/>
          <w:lang w:val="en-US"/>
        </w:rPr>
      </w:pPr>
      <w:r w:rsidRPr="00FE7BA7">
        <w:rPr>
          <w:rFonts w:ascii="Verdana" w:hAnsi="Verdana"/>
          <w:sz w:val="20"/>
          <w:lang w:val="en-US"/>
        </w:rPr>
        <w:t xml:space="preserve">In this regard, a letter that </w:t>
      </w:r>
      <w:r w:rsidR="00926E61" w:rsidRPr="00FE7BA7">
        <w:rPr>
          <w:rFonts w:ascii="Verdana" w:hAnsi="Verdana"/>
          <w:sz w:val="20"/>
          <w:lang w:val="en-US"/>
        </w:rPr>
        <w:t xml:space="preserve">Martin Misiedjan, </w:t>
      </w:r>
      <w:r w:rsidR="002B5CCD" w:rsidRPr="00FE7BA7">
        <w:rPr>
          <w:rFonts w:ascii="Verdana" w:hAnsi="Verdana"/>
          <w:sz w:val="20"/>
          <w:lang w:val="en-US"/>
        </w:rPr>
        <w:t xml:space="preserve">President of </w:t>
      </w:r>
      <w:r w:rsidR="002B5CCD" w:rsidRPr="003A10A3">
        <w:rPr>
          <w:rFonts w:ascii="Verdana" w:hAnsi="Verdana"/>
          <w:sz w:val="20"/>
          <w:lang w:val="en-US"/>
        </w:rPr>
        <w:t xml:space="preserve">the </w:t>
      </w:r>
      <w:r w:rsidRPr="003A10A3">
        <w:rPr>
          <w:rFonts w:ascii="Verdana" w:hAnsi="Verdana"/>
          <w:sz w:val="20"/>
          <w:lang w:val="en-US"/>
        </w:rPr>
        <w:t xml:space="preserve">Land Rights </w:t>
      </w:r>
      <w:r w:rsidR="003A10A3" w:rsidRPr="003A10A3">
        <w:rPr>
          <w:rFonts w:ascii="Verdana" w:hAnsi="Verdana"/>
          <w:sz w:val="20"/>
          <w:lang w:val="en-US"/>
        </w:rPr>
        <w:t>Bureau</w:t>
      </w:r>
      <w:r w:rsidRPr="00FE7BA7">
        <w:rPr>
          <w:rFonts w:ascii="Verdana" w:hAnsi="Verdana"/>
          <w:sz w:val="20"/>
          <w:lang w:val="en-US"/>
        </w:rPr>
        <w:t>, and State agent for this case, addressed to indigenous and Maroon communities indicated that the draft bill had been prepared without the contribution of indigenous and Maroon communities and they were therefore invited to a meeting to discuss the draft.</w:t>
      </w:r>
      <w:r w:rsidR="00926E61" w:rsidRPr="00FE7BA7">
        <w:rPr>
          <w:rStyle w:val="FootnoteReference"/>
          <w:lang w:val="en-US"/>
        </w:rPr>
        <w:footnoteReference w:id="65"/>
      </w:r>
      <w:r w:rsidRPr="00FE7BA7">
        <w:rPr>
          <w:rFonts w:ascii="Verdana" w:hAnsi="Verdana"/>
          <w:sz w:val="20"/>
          <w:lang w:val="en-US"/>
        </w:rPr>
        <w:t xml:space="preserve"> Nevertheless, the Court has no information regarding </w:t>
      </w:r>
      <w:r w:rsidR="00286843">
        <w:rPr>
          <w:rFonts w:ascii="Verdana" w:hAnsi="Verdana"/>
          <w:sz w:val="20"/>
          <w:lang w:val="en-US"/>
        </w:rPr>
        <w:t xml:space="preserve">to </w:t>
      </w:r>
      <w:r w:rsidRPr="00FE7BA7">
        <w:rPr>
          <w:rFonts w:ascii="Verdana" w:hAnsi="Verdana"/>
          <w:sz w:val="20"/>
          <w:lang w:val="en-US"/>
        </w:rPr>
        <w:t>whom</w:t>
      </w:r>
      <w:r w:rsidR="00286843">
        <w:rPr>
          <w:rFonts w:ascii="Verdana" w:hAnsi="Verdana"/>
          <w:sz w:val="20"/>
          <w:lang w:val="en-US"/>
        </w:rPr>
        <w:t xml:space="preserve"> the invitation was addressed</w:t>
      </w:r>
      <w:r w:rsidRPr="00FE7BA7">
        <w:rPr>
          <w:rFonts w:ascii="Verdana" w:hAnsi="Verdana"/>
          <w:sz w:val="20"/>
          <w:lang w:val="en-US"/>
        </w:rPr>
        <w:t>, whethe</w:t>
      </w:r>
      <w:r w:rsidR="005F1ABF">
        <w:rPr>
          <w:rFonts w:ascii="Verdana" w:hAnsi="Verdana"/>
          <w:sz w:val="20"/>
          <w:lang w:val="en-US"/>
        </w:rPr>
        <w:t>r the meeting was held, and the</w:t>
      </w:r>
      <w:r w:rsidRPr="00FE7BA7">
        <w:rPr>
          <w:rFonts w:ascii="Verdana" w:hAnsi="Verdana"/>
          <w:sz w:val="20"/>
          <w:lang w:val="en-US"/>
        </w:rPr>
        <w:t xml:space="preserve"> results. </w:t>
      </w:r>
    </w:p>
    <w:p w14:paraId="631268A4" w14:textId="77777777" w:rsidR="00926E61" w:rsidRPr="00FE7BA7" w:rsidRDefault="00926E61" w:rsidP="00926E61">
      <w:pPr>
        <w:jc w:val="both"/>
        <w:rPr>
          <w:rFonts w:ascii="Verdana" w:hAnsi="Verdana"/>
          <w:strike/>
          <w:sz w:val="20"/>
          <w:highlight w:val="yellow"/>
          <w:lang w:val="en-US"/>
        </w:rPr>
      </w:pPr>
    </w:p>
    <w:p w14:paraId="631268A5" w14:textId="77777777" w:rsidR="00926E61" w:rsidRPr="00FE7BA7" w:rsidRDefault="005E1E84" w:rsidP="00B935FA">
      <w:pPr>
        <w:pStyle w:val="ListParagraph"/>
        <w:numPr>
          <w:ilvl w:val="0"/>
          <w:numId w:val="2"/>
        </w:numPr>
        <w:ind w:left="0" w:hanging="11"/>
        <w:jc w:val="both"/>
        <w:rPr>
          <w:rFonts w:ascii="Verdana" w:hAnsi="Verdana"/>
          <w:sz w:val="20"/>
          <w:lang w:val="en-US"/>
        </w:rPr>
      </w:pPr>
      <w:r w:rsidRPr="00FE7BA7">
        <w:rPr>
          <w:rFonts w:ascii="Verdana" w:hAnsi="Verdana"/>
          <w:sz w:val="20"/>
          <w:lang w:val="en-US"/>
        </w:rPr>
        <w:t xml:space="preserve">The Court also takes note that, on October 1, 2014, </w:t>
      </w:r>
      <w:r w:rsidR="00926E61" w:rsidRPr="00FE7BA7">
        <w:rPr>
          <w:rFonts w:ascii="Verdana" w:hAnsi="Verdana"/>
          <w:sz w:val="20"/>
          <w:lang w:val="en-US"/>
        </w:rPr>
        <w:t>Martin Misiedjan</w:t>
      </w:r>
      <w:r w:rsidRPr="00FE7BA7">
        <w:rPr>
          <w:rFonts w:ascii="Verdana" w:hAnsi="Verdana"/>
          <w:sz w:val="20"/>
          <w:lang w:val="en-US"/>
        </w:rPr>
        <w:t xml:space="preserve"> sent a letter to the Executive Director of</w:t>
      </w:r>
      <w:r w:rsidR="00926E61" w:rsidRPr="00FE7BA7">
        <w:rPr>
          <w:rFonts w:ascii="Verdana" w:hAnsi="Verdana"/>
          <w:sz w:val="20"/>
          <w:lang w:val="en-US"/>
        </w:rPr>
        <w:t xml:space="preserve"> </w:t>
      </w:r>
      <w:r w:rsidR="008A4ABB" w:rsidRPr="00FE7BA7">
        <w:rPr>
          <w:rFonts w:ascii="Verdana" w:hAnsi="Verdana"/>
          <w:sz w:val="20"/>
          <w:lang w:val="en-US"/>
        </w:rPr>
        <w:t>Conservation International Surinam</w:t>
      </w:r>
      <w:r w:rsidRPr="00FE7BA7">
        <w:rPr>
          <w:rFonts w:ascii="Verdana" w:hAnsi="Verdana"/>
          <w:sz w:val="20"/>
          <w:lang w:val="en-US"/>
        </w:rPr>
        <w:t>e</w:t>
      </w:r>
      <w:r w:rsidR="00926E61" w:rsidRPr="00FE7BA7">
        <w:rPr>
          <w:rFonts w:ascii="Verdana" w:hAnsi="Verdana"/>
          <w:sz w:val="20"/>
          <w:lang w:val="en-US"/>
        </w:rPr>
        <w:t xml:space="preserve"> </w:t>
      </w:r>
      <w:r w:rsidRPr="00FE7BA7">
        <w:rPr>
          <w:rFonts w:ascii="Verdana" w:hAnsi="Verdana"/>
          <w:sz w:val="20"/>
          <w:lang w:val="en-US"/>
        </w:rPr>
        <w:t>requesting funding for future meetings with the indigenous and Maroon communities in relation to the draft bill.</w:t>
      </w:r>
      <w:r w:rsidR="00926E61" w:rsidRPr="00FE7BA7">
        <w:rPr>
          <w:rStyle w:val="FootnoteReference"/>
          <w:lang w:val="en-US"/>
        </w:rPr>
        <w:footnoteReference w:id="66"/>
      </w:r>
      <w:r w:rsidR="00926E61" w:rsidRPr="00FE7BA7">
        <w:rPr>
          <w:rFonts w:ascii="Verdana" w:hAnsi="Verdana"/>
          <w:sz w:val="20"/>
          <w:lang w:val="en-US"/>
        </w:rPr>
        <w:t xml:space="preserve"> </w:t>
      </w:r>
      <w:r w:rsidRPr="00FE7BA7">
        <w:rPr>
          <w:rFonts w:ascii="Verdana" w:hAnsi="Verdana"/>
          <w:sz w:val="20"/>
          <w:lang w:val="en-US"/>
        </w:rPr>
        <w:t xml:space="preserve">However, the Court has no </w:t>
      </w:r>
      <w:r w:rsidR="00286843">
        <w:rPr>
          <w:rFonts w:ascii="Verdana" w:hAnsi="Verdana"/>
          <w:sz w:val="20"/>
          <w:lang w:val="en-US"/>
        </w:rPr>
        <w:t>further</w:t>
      </w:r>
      <w:r w:rsidRPr="00FE7BA7">
        <w:rPr>
          <w:rFonts w:ascii="Verdana" w:hAnsi="Verdana"/>
          <w:sz w:val="20"/>
          <w:lang w:val="en-US"/>
        </w:rPr>
        <w:t xml:space="preserve"> information concerning this request.</w:t>
      </w:r>
    </w:p>
    <w:p w14:paraId="631268A6" w14:textId="77777777" w:rsidR="00926E61" w:rsidRPr="00FE7BA7" w:rsidRDefault="00926E61" w:rsidP="00926E61">
      <w:pPr>
        <w:jc w:val="both"/>
        <w:rPr>
          <w:rFonts w:ascii="Verdana" w:hAnsi="Verdana"/>
          <w:sz w:val="20"/>
          <w:szCs w:val="20"/>
          <w:lang w:val="en-US"/>
        </w:rPr>
      </w:pPr>
    </w:p>
    <w:p w14:paraId="631268A7" w14:textId="77777777" w:rsidR="00926E61" w:rsidRPr="00FE7BA7" w:rsidRDefault="005F1ABF" w:rsidP="00E26926">
      <w:pPr>
        <w:pStyle w:val="Heading2"/>
        <w:numPr>
          <w:ilvl w:val="0"/>
          <w:numId w:val="10"/>
        </w:numPr>
        <w:spacing w:before="0"/>
        <w:jc w:val="both"/>
        <w:rPr>
          <w:rFonts w:ascii="Verdana" w:hAnsi="Verdana"/>
          <w:bCs w:val="0"/>
          <w:i/>
          <w:color w:val="auto"/>
          <w:sz w:val="20"/>
          <w:szCs w:val="20"/>
          <w:lang w:val="en-US"/>
        </w:rPr>
      </w:pPr>
      <w:bookmarkStart w:id="16" w:name="_Toc441673189"/>
      <w:r>
        <w:rPr>
          <w:rFonts w:ascii="Verdana" w:hAnsi="Verdana"/>
          <w:bCs w:val="0"/>
          <w:i/>
          <w:color w:val="auto"/>
          <w:sz w:val="20"/>
          <w:szCs w:val="20"/>
          <w:lang w:val="en-US"/>
        </w:rPr>
        <w:t>The s</w:t>
      </w:r>
      <w:r w:rsidR="00CA7C7B" w:rsidRPr="00FE7BA7">
        <w:rPr>
          <w:rFonts w:ascii="Verdana" w:hAnsi="Verdana"/>
          <w:bCs w:val="0"/>
          <w:i/>
          <w:color w:val="auto"/>
          <w:sz w:val="20"/>
          <w:szCs w:val="20"/>
          <w:lang w:val="en-US"/>
        </w:rPr>
        <w:t>teps taken by the indigenous peoples to obtain recognition of their rights</w:t>
      </w:r>
      <w:bookmarkEnd w:id="16"/>
    </w:p>
    <w:p w14:paraId="631268A8" w14:textId="77777777" w:rsidR="00926E61" w:rsidRPr="00FE7BA7" w:rsidRDefault="00926E61" w:rsidP="00926E61">
      <w:pPr>
        <w:jc w:val="both"/>
        <w:rPr>
          <w:rFonts w:ascii="Verdana" w:hAnsi="Verdana"/>
          <w:sz w:val="20"/>
          <w:szCs w:val="20"/>
          <w:lang w:val="en-US"/>
        </w:rPr>
      </w:pPr>
    </w:p>
    <w:p w14:paraId="631268A9" w14:textId="77777777" w:rsidR="00926E61" w:rsidRPr="00FE7BA7" w:rsidRDefault="005E1E84"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the following section, the Court will refer to diverse social protest</w:t>
      </w:r>
      <w:r w:rsidR="005F1ABF">
        <w:rPr>
          <w:rFonts w:ascii="Verdana" w:hAnsi="Verdana"/>
          <w:sz w:val="20"/>
          <w:szCs w:val="20"/>
          <w:lang w:val="en-US"/>
        </w:rPr>
        <w:t>s, and administrative petitions</w:t>
      </w:r>
      <w:r w:rsidRPr="00FE7BA7">
        <w:rPr>
          <w:rFonts w:ascii="Verdana" w:hAnsi="Verdana"/>
          <w:sz w:val="20"/>
          <w:szCs w:val="20"/>
          <w:lang w:val="en-US"/>
        </w:rPr>
        <w:t xml:space="preserve"> and judicial proceedings filed before the State authorities </w:t>
      </w:r>
      <w:r w:rsidR="005F1ABF">
        <w:rPr>
          <w:rFonts w:ascii="Verdana" w:hAnsi="Verdana"/>
          <w:sz w:val="20"/>
          <w:szCs w:val="20"/>
          <w:lang w:val="en-US"/>
        </w:rPr>
        <w:t>in relation to</w:t>
      </w:r>
      <w:r w:rsidRPr="00FE7BA7">
        <w:rPr>
          <w:rFonts w:ascii="Verdana" w:hAnsi="Verdana"/>
          <w:sz w:val="20"/>
          <w:szCs w:val="20"/>
          <w:lang w:val="en-US"/>
        </w:rPr>
        <w:t xml:space="preserve"> the </w:t>
      </w:r>
      <w:r w:rsidR="005F1ABF">
        <w:rPr>
          <w:rFonts w:ascii="Verdana" w:hAnsi="Verdana"/>
          <w:sz w:val="20"/>
          <w:szCs w:val="20"/>
          <w:lang w:val="en-US"/>
        </w:rPr>
        <w:t>land</w:t>
      </w:r>
      <w:r w:rsidRPr="00FE7BA7">
        <w:rPr>
          <w:rFonts w:ascii="Verdana" w:hAnsi="Verdana"/>
          <w:sz w:val="20"/>
          <w:szCs w:val="20"/>
          <w:lang w:val="en-US"/>
        </w:rPr>
        <w:t xml:space="preserve"> claimed in this case, by which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 xml:space="preserve">demanded recognition of their rights by domestic law and practice. </w:t>
      </w:r>
    </w:p>
    <w:p w14:paraId="631268AA" w14:textId="77777777" w:rsidR="00926E61" w:rsidRPr="00FE7BA7" w:rsidRDefault="00926E61" w:rsidP="00926E61">
      <w:pPr>
        <w:jc w:val="both"/>
        <w:rPr>
          <w:rFonts w:ascii="Verdana" w:hAnsi="Verdana"/>
          <w:sz w:val="20"/>
          <w:szCs w:val="20"/>
          <w:lang w:val="en-US"/>
        </w:rPr>
      </w:pPr>
    </w:p>
    <w:p w14:paraId="631268AB" w14:textId="77777777" w:rsidR="00926E61" w:rsidRPr="00FE7BA7" w:rsidRDefault="007624EC" w:rsidP="007624EC">
      <w:pPr>
        <w:pStyle w:val="Heading3"/>
        <w:spacing w:before="0"/>
        <w:ind w:firstLine="360"/>
        <w:jc w:val="both"/>
        <w:rPr>
          <w:rFonts w:ascii="Verdana" w:hAnsi="Verdana"/>
          <w:i/>
          <w:color w:val="auto"/>
          <w:sz w:val="20"/>
          <w:szCs w:val="20"/>
          <w:lang w:val="en-US"/>
        </w:rPr>
      </w:pPr>
      <w:bookmarkStart w:id="17" w:name="_Toc441673190"/>
      <w:r w:rsidRPr="00FE7BA7">
        <w:rPr>
          <w:rFonts w:ascii="Verdana" w:hAnsi="Verdana"/>
          <w:i/>
          <w:color w:val="auto"/>
          <w:sz w:val="20"/>
          <w:szCs w:val="20"/>
          <w:lang w:val="en-US"/>
        </w:rPr>
        <w:t>D</w:t>
      </w:r>
      <w:r w:rsidR="00926E61" w:rsidRPr="00FE7BA7">
        <w:rPr>
          <w:rFonts w:ascii="Verdana" w:hAnsi="Verdana"/>
          <w:i/>
          <w:color w:val="auto"/>
          <w:sz w:val="20"/>
          <w:szCs w:val="20"/>
          <w:lang w:val="en-US"/>
        </w:rPr>
        <w:t xml:space="preserve">.1 </w:t>
      </w:r>
      <w:r w:rsidR="00CA7C7B" w:rsidRPr="00FE7BA7">
        <w:rPr>
          <w:rFonts w:ascii="Verdana" w:hAnsi="Verdana"/>
          <w:i/>
          <w:color w:val="auto"/>
          <w:sz w:val="20"/>
          <w:szCs w:val="20"/>
          <w:lang w:val="en-US"/>
        </w:rPr>
        <w:t>Steps taken prior to the acceptance of the Court’s jurisdiction</w:t>
      </w:r>
      <w:r w:rsidR="00926E61" w:rsidRPr="00FE7BA7">
        <w:rPr>
          <w:rFonts w:ascii="Verdana" w:hAnsi="Verdana"/>
          <w:i/>
          <w:color w:val="auto"/>
          <w:sz w:val="20"/>
          <w:szCs w:val="20"/>
          <w:lang w:val="en-US"/>
        </w:rPr>
        <w:t xml:space="preserve"> (</w:t>
      </w:r>
      <w:r w:rsidR="004C7D14" w:rsidRPr="00FE7BA7">
        <w:rPr>
          <w:rFonts w:ascii="Verdana" w:hAnsi="Verdana"/>
          <w:i/>
          <w:color w:val="auto"/>
          <w:sz w:val="20"/>
          <w:szCs w:val="20"/>
          <w:lang w:val="en-US"/>
        </w:rPr>
        <w:t>November 12,</w:t>
      </w:r>
      <w:r w:rsidR="00926E61" w:rsidRPr="00FE7BA7">
        <w:rPr>
          <w:rFonts w:ascii="Verdana" w:hAnsi="Verdana"/>
          <w:i/>
          <w:color w:val="auto"/>
          <w:sz w:val="20"/>
          <w:szCs w:val="20"/>
          <w:lang w:val="en-US"/>
        </w:rPr>
        <w:t xml:space="preserve"> 1987)</w:t>
      </w:r>
      <w:bookmarkEnd w:id="17"/>
    </w:p>
    <w:p w14:paraId="631268AC" w14:textId="77777777" w:rsidR="00926E61" w:rsidRPr="00FE7BA7" w:rsidRDefault="00926E61" w:rsidP="00926E61">
      <w:pPr>
        <w:pStyle w:val="ListParagraph"/>
        <w:ind w:left="0"/>
        <w:jc w:val="both"/>
        <w:rPr>
          <w:rFonts w:ascii="Verdana" w:hAnsi="Verdana"/>
          <w:sz w:val="20"/>
          <w:szCs w:val="20"/>
          <w:lang w:val="en-US"/>
        </w:rPr>
      </w:pPr>
    </w:p>
    <w:p w14:paraId="631268AD" w14:textId="77777777" w:rsidR="00926E61" w:rsidRPr="00EC45EE" w:rsidRDefault="005E1E84"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steps taken by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 xml:space="preserve">to obtain </w:t>
      </w:r>
      <w:r w:rsidRPr="00EC45EE">
        <w:rPr>
          <w:rFonts w:ascii="Verdana" w:hAnsi="Verdana"/>
          <w:sz w:val="20"/>
          <w:szCs w:val="20"/>
          <w:lang w:val="en-US"/>
        </w:rPr>
        <w:t>recognition of their right</w:t>
      </w:r>
      <w:r w:rsidR="005F1ABF" w:rsidRPr="00EC45EE">
        <w:rPr>
          <w:rFonts w:ascii="Verdana" w:hAnsi="Verdana"/>
          <w:sz w:val="20"/>
          <w:szCs w:val="20"/>
          <w:lang w:val="en-US"/>
        </w:rPr>
        <w:t>s</w:t>
      </w:r>
      <w:r w:rsidRPr="00EC45EE">
        <w:rPr>
          <w:rFonts w:ascii="Verdana" w:hAnsi="Verdana"/>
          <w:sz w:val="20"/>
          <w:szCs w:val="20"/>
          <w:lang w:val="en-US"/>
        </w:rPr>
        <w:t xml:space="preserve"> began prior to the independence </w:t>
      </w:r>
      <w:r w:rsidR="00810FAD" w:rsidRPr="00EC45EE">
        <w:rPr>
          <w:rFonts w:ascii="Verdana" w:hAnsi="Verdana"/>
          <w:sz w:val="20"/>
          <w:szCs w:val="20"/>
          <w:lang w:val="en-US"/>
        </w:rPr>
        <w:t xml:space="preserve">of the </w:t>
      </w:r>
      <w:r w:rsidR="002B5CCD" w:rsidRPr="00EC45EE">
        <w:rPr>
          <w:rFonts w:ascii="Verdana" w:hAnsi="Verdana"/>
          <w:sz w:val="20"/>
          <w:szCs w:val="20"/>
          <w:lang w:val="en-US"/>
        </w:rPr>
        <w:t>State</w:t>
      </w:r>
      <w:r w:rsidR="002F0F93" w:rsidRPr="00EC45EE">
        <w:rPr>
          <w:rFonts w:ascii="Verdana" w:hAnsi="Verdana"/>
          <w:sz w:val="20"/>
          <w:szCs w:val="20"/>
          <w:lang w:val="en-US"/>
        </w:rPr>
        <w:t xml:space="preserve"> of Suriname</w:t>
      </w:r>
      <w:r w:rsidR="004C7D14" w:rsidRPr="00EC45EE">
        <w:rPr>
          <w:rFonts w:ascii="Verdana" w:hAnsi="Verdana"/>
          <w:sz w:val="20"/>
          <w:szCs w:val="20"/>
          <w:lang w:val="en-US"/>
        </w:rPr>
        <w:t>,</w:t>
      </w:r>
      <w:r w:rsidR="00926E61" w:rsidRPr="00EC45EE">
        <w:rPr>
          <w:rFonts w:ascii="Verdana" w:hAnsi="Verdana"/>
          <w:sz w:val="20"/>
          <w:szCs w:val="20"/>
          <w:lang w:val="en-US"/>
        </w:rPr>
        <w:t xml:space="preserve"> </w:t>
      </w:r>
      <w:r w:rsidRPr="00EC45EE">
        <w:rPr>
          <w:rFonts w:ascii="Verdana" w:hAnsi="Verdana"/>
          <w:sz w:val="20"/>
          <w:szCs w:val="20"/>
          <w:lang w:val="en-US"/>
        </w:rPr>
        <w:t xml:space="preserve">which was achieved </w:t>
      </w:r>
      <w:r w:rsidR="002B5CCD" w:rsidRPr="00EC45EE">
        <w:rPr>
          <w:rFonts w:ascii="Verdana" w:hAnsi="Verdana"/>
          <w:sz w:val="20"/>
          <w:szCs w:val="20"/>
          <w:lang w:val="en-US"/>
        </w:rPr>
        <w:t>November 25,</w:t>
      </w:r>
      <w:r w:rsidR="00926E61" w:rsidRPr="00EC45EE">
        <w:rPr>
          <w:rFonts w:ascii="Verdana" w:hAnsi="Verdana"/>
          <w:sz w:val="20"/>
          <w:szCs w:val="20"/>
          <w:lang w:val="en-US"/>
        </w:rPr>
        <w:t xml:space="preserve"> 1975. </w:t>
      </w:r>
      <w:r w:rsidRPr="00EC45EE">
        <w:rPr>
          <w:rFonts w:ascii="Verdana" w:hAnsi="Verdana"/>
          <w:sz w:val="20"/>
          <w:szCs w:val="20"/>
          <w:lang w:val="en-US"/>
        </w:rPr>
        <w:t>I</w:t>
      </w:r>
      <w:r w:rsidR="00926E61" w:rsidRPr="00EC45EE">
        <w:rPr>
          <w:rFonts w:ascii="Verdana" w:hAnsi="Verdana"/>
          <w:sz w:val="20"/>
          <w:szCs w:val="20"/>
          <w:lang w:val="en-US"/>
        </w:rPr>
        <w:t>n 1972</w:t>
      </w:r>
      <w:r w:rsidRPr="00EC45EE">
        <w:rPr>
          <w:rFonts w:ascii="Verdana" w:hAnsi="Verdana"/>
          <w:sz w:val="20"/>
          <w:szCs w:val="20"/>
          <w:lang w:val="en-US"/>
        </w:rPr>
        <w:t xml:space="preserve">, they filed various petition before the Independence Commission in which they denounced, </w:t>
      </w:r>
      <w:r w:rsidR="00FE7BA7" w:rsidRPr="00EC45EE">
        <w:rPr>
          <w:rFonts w:ascii="Verdana" w:hAnsi="Verdana"/>
          <w:sz w:val="20"/>
          <w:szCs w:val="20"/>
          <w:lang w:val="en-US"/>
        </w:rPr>
        <w:t>among</w:t>
      </w:r>
      <w:r w:rsidR="005F1ABF" w:rsidRPr="00EC45EE">
        <w:rPr>
          <w:rFonts w:ascii="Verdana" w:hAnsi="Verdana"/>
          <w:sz w:val="20"/>
          <w:szCs w:val="20"/>
          <w:lang w:val="en-US"/>
        </w:rPr>
        <w:t xml:space="preserve"> other matters, that</w:t>
      </w:r>
      <w:r w:rsidRPr="00EC45EE">
        <w:rPr>
          <w:rFonts w:ascii="Verdana" w:hAnsi="Verdana"/>
          <w:sz w:val="20"/>
          <w:szCs w:val="20"/>
          <w:lang w:val="en-US"/>
        </w:rPr>
        <w:t xml:space="preserve"> </w:t>
      </w:r>
      <w:r w:rsidR="005F1ABF" w:rsidRPr="00EC45EE">
        <w:rPr>
          <w:rFonts w:ascii="Verdana" w:hAnsi="Verdana"/>
          <w:sz w:val="20"/>
          <w:szCs w:val="20"/>
          <w:lang w:val="en-US"/>
        </w:rPr>
        <w:t>classifying indigenous territory</w:t>
      </w:r>
      <w:r w:rsidRPr="00EC45EE">
        <w:rPr>
          <w:rFonts w:ascii="Verdana" w:hAnsi="Verdana"/>
          <w:sz w:val="20"/>
          <w:szCs w:val="20"/>
          <w:lang w:val="en-US"/>
        </w:rPr>
        <w:t xml:space="preserve"> </w:t>
      </w:r>
      <w:r w:rsidR="005F1ABF" w:rsidRPr="00EC45EE">
        <w:rPr>
          <w:rFonts w:ascii="Verdana" w:hAnsi="Verdana"/>
          <w:sz w:val="20"/>
          <w:szCs w:val="20"/>
          <w:lang w:val="en-US"/>
        </w:rPr>
        <w:t>as State-owned lands</w:t>
      </w:r>
      <w:r w:rsidRPr="00EC45EE">
        <w:rPr>
          <w:rFonts w:ascii="Verdana" w:hAnsi="Verdana"/>
          <w:sz w:val="20"/>
          <w:szCs w:val="20"/>
          <w:lang w:val="en-US"/>
        </w:rPr>
        <w:t xml:space="preserve"> was unjust.</w:t>
      </w:r>
      <w:r w:rsidR="00926E61" w:rsidRPr="00EC45EE">
        <w:rPr>
          <w:rStyle w:val="FootnoteReference"/>
          <w:szCs w:val="20"/>
          <w:lang w:val="en-US"/>
        </w:rPr>
        <w:footnoteReference w:id="67"/>
      </w:r>
      <w:r w:rsidR="00926E61" w:rsidRPr="00EC45EE">
        <w:rPr>
          <w:rFonts w:ascii="Verdana" w:hAnsi="Verdana"/>
          <w:sz w:val="20"/>
          <w:szCs w:val="20"/>
          <w:lang w:val="en-US"/>
        </w:rPr>
        <w:t xml:space="preserve"> </w:t>
      </w:r>
    </w:p>
    <w:p w14:paraId="631268AE" w14:textId="77777777" w:rsidR="00926E61" w:rsidRPr="00FE7BA7" w:rsidRDefault="00926E61" w:rsidP="00926E61">
      <w:pPr>
        <w:jc w:val="both"/>
        <w:rPr>
          <w:rFonts w:ascii="Verdana" w:hAnsi="Verdana"/>
          <w:sz w:val="20"/>
          <w:szCs w:val="20"/>
          <w:lang w:val="en-US"/>
        </w:rPr>
      </w:pPr>
    </w:p>
    <w:p w14:paraId="631268AF" w14:textId="77777777" w:rsidR="00926E61" w:rsidRPr="00FE7BA7" w:rsidRDefault="005E1E84"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w:t>
      </w:r>
      <w:r w:rsidR="00926E61" w:rsidRPr="00FE7BA7">
        <w:rPr>
          <w:rFonts w:ascii="Verdana" w:hAnsi="Verdana"/>
          <w:sz w:val="20"/>
          <w:szCs w:val="20"/>
          <w:lang w:val="en-US"/>
        </w:rPr>
        <w:t xml:space="preserve"> 1975</w:t>
      </w:r>
      <w:r w:rsidR="002B5CCD" w:rsidRPr="00FE7BA7">
        <w:rPr>
          <w:rFonts w:ascii="Verdana" w:hAnsi="Verdana"/>
          <w:sz w:val="20"/>
          <w:szCs w:val="20"/>
          <w:lang w:val="en-US"/>
        </w:rPr>
        <w:t xml:space="preserve"> and </w:t>
      </w:r>
      <w:r w:rsidR="00926E61" w:rsidRPr="00FE7BA7">
        <w:rPr>
          <w:rFonts w:ascii="Verdana" w:hAnsi="Verdana"/>
          <w:sz w:val="20"/>
          <w:szCs w:val="20"/>
          <w:lang w:val="en-US"/>
        </w:rPr>
        <w:t>1976</w:t>
      </w:r>
      <w:r w:rsidRPr="00FE7BA7">
        <w:rPr>
          <w:rFonts w:ascii="Verdana" w:hAnsi="Verdana"/>
          <w:sz w:val="20"/>
          <w:szCs w:val="20"/>
          <w:lang w:val="en-US"/>
        </w:rPr>
        <w:t>, they filed three cases before domestic courts to claim their rights to ancestral lands, which were rejected, citing lack of legal grounds.</w:t>
      </w:r>
      <w:r w:rsidR="00926E61" w:rsidRPr="00FE7BA7">
        <w:rPr>
          <w:rStyle w:val="FootnoteReference"/>
          <w:szCs w:val="20"/>
          <w:lang w:val="en-US"/>
        </w:rPr>
        <w:footnoteReference w:id="68"/>
      </w:r>
    </w:p>
    <w:p w14:paraId="631268B0" w14:textId="77777777" w:rsidR="00926E61" w:rsidRPr="00FE7BA7" w:rsidRDefault="00926E61" w:rsidP="00926E61">
      <w:pPr>
        <w:pStyle w:val="ListParagraph"/>
        <w:jc w:val="both"/>
        <w:rPr>
          <w:rFonts w:ascii="Verdana" w:hAnsi="Verdana"/>
          <w:sz w:val="20"/>
          <w:szCs w:val="20"/>
          <w:lang w:val="en-US"/>
        </w:rPr>
      </w:pPr>
    </w:p>
    <w:p w14:paraId="631268B1" w14:textId="77777777" w:rsidR="00926E61" w:rsidRPr="00FE7BA7" w:rsidRDefault="005E1E84"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w:t>
      </w:r>
      <w:r w:rsidR="00926E61" w:rsidRPr="00FE7BA7">
        <w:rPr>
          <w:rFonts w:ascii="Verdana" w:hAnsi="Verdana"/>
          <w:sz w:val="20"/>
          <w:szCs w:val="20"/>
          <w:lang w:val="en-US"/>
        </w:rPr>
        <w:t>n 1976</w:t>
      </w:r>
      <w:r w:rsidRPr="00FE7BA7">
        <w:rPr>
          <w:rFonts w:ascii="Verdana" w:hAnsi="Verdana"/>
          <w:sz w:val="20"/>
          <w:szCs w:val="20"/>
          <w:lang w:val="en-US"/>
        </w:rPr>
        <w:t>,</w:t>
      </w:r>
      <w:r w:rsidR="00926E61"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took part in a 142-kilometer march from Albina to</w:t>
      </w:r>
      <w:r w:rsidR="00926E61" w:rsidRPr="00FE7BA7">
        <w:rPr>
          <w:rFonts w:ascii="Verdana" w:hAnsi="Verdana"/>
          <w:sz w:val="20"/>
          <w:szCs w:val="20"/>
          <w:lang w:val="en-US"/>
        </w:rPr>
        <w:t xml:space="preserve"> Paramaribo</w:t>
      </w:r>
      <w:r w:rsidR="005F1ABF">
        <w:rPr>
          <w:rFonts w:ascii="Verdana" w:hAnsi="Verdana"/>
          <w:sz w:val="20"/>
          <w:szCs w:val="20"/>
          <w:lang w:val="en-US"/>
        </w:rPr>
        <w:t xml:space="preserve"> to protes</w:t>
      </w:r>
      <w:r w:rsidRPr="00FE7BA7">
        <w:rPr>
          <w:rFonts w:ascii="Verdana" w:hAnsi="Verdana"/>
          <w:sz w:val="20"/>
          <w:szCs w:val="20"/>
          <w:lang w:val="en-US"/>
        </w:rPr>
        <w:t xml:space="preserve">t against the violation of their </w:t>
      </w:r>
      <w:r w:rsidR="005F1ABF">
        <w:rPr>
          <w:rFonts w:ascii="Verdana" w:hAnsi="Verdana"/>
          <w:sz w:val="20"/>
          <w:szCs w:val="20"/>
          <w:lang w:val="en-US"/>
        </w:rPr>
        <w:t>land</w:t>
      </w:r>
      <w:r w:rsidRPr="00FE7BA7">
        <w:rPr>
          <w:rFonts w:ascii="Verdana" w:hAnsi="Verdana"/>
          <w:sz w:val="20"/>
          <w:szCs w:val="20"/>
          <w:lang w:val="en-US"/>
        </w:rPr>
        <w:t xml:space="preserve"> rights by the creation of the </w:t>
      </w:r>
      <w:r w:rsidR="00926E61" w:rsidRPr="00FE7BA7">
        <w:rPr>
          <w:rFonts w:ascii="Verdana" w:hAnsi="Verdana"/>
          <w:sz w:val="20"/>
          <w:szCs w:val="20"/>
          <w:lang w:val="en-US"/>
        </w:rPr>
        <w:t>Galibi</w:t>
      </w:r>
      <w:r w:rsidRPr="00FE7BA7">
        <w:rPr>
          <w:rFonts w:ascii="Verdana" w:hAnsi="Verdana"/>
          <w:sz w:val="20"/>
          <w:szCs w:val="20"/>
          <w:lang w:val="en-US"/>
        </w:rPr>
        <w:t xml:space="preserve"> Nature Reserve in 1969, as well as the sub-division and parceling of the villages of </w:t>
      </w:r>
      <w:r w:rsidR="00926E61" w:rsidRPr="00FE7BA7">
        <w:rPr>
          <w:rFonts w:ascii="Verdana" w:hAnsi="Verdana"/>
          <w:sz w:val="20"/>
          <w:szCs w:val="20"/>
          <w:lang w:val="en-US"/>
        </w:rPr>
        <w:t xml:space="preserve">Erowarte, </w:t>
      </w:r>
      <w:r w:rsidR="009F6368" w:rsidRPr="00FE7BA7">
        <w:rPr>
          <w:rFonts w:ascii="Verdana" w:hAnsi="Verdana"/>
          <w:sz w:val="20"/>
          <w:szCs w:val="20"/>
          <w:lang w:val="en-US"/>
        </w:rPr>
        <w:t>Marijkedorp (</w:t>
      </w:r>
      <w:r w:rsidR="00926E61" w:rsidRPr="00FE7BA7">
        <w:rPr>
          <w:rFonts w:ascii="Verdana" w:hAnsi="Verdana"/>
          <w:sz w:val="20"/>
          <w:szCs w:val="20"/>
          <w:lang w:val="en-US"/>
        </w:rPr>
        <w:t>Wan Shi Sha</w:t>
      </w:r>
      <w:r w:rsidR="009F6368" w:rsidRPr="00FE7BA7">
        <w:rPr>
          <w:rFonts w:ascii="Verdana" w:hAnsi="Verdana"/>
          <w:sz w:val="20"/>
          <w:szCs w:val="20"/>
          <w:lang w:val="en-US"/>
        </w:rPr>
        <w:t>)</w:t>
      </w:r>
      <w:r w:rsidR="00926E61" w:rsidRPr="00FE7BA7">
        <w:rPr>
          <w:rFonts w:ascii="Verdana" w:hAnsi="Verdana"/>
          <w:sz w:val="20"/>
          <w:szCs w:val="20"/>
          <w:lang w:val="en-US"/>
        </w:rPr>
        <w:t>, Tapuku</w:t>
      </w:r>
      <w:r w:rsidR="002B5CCD" w:rsidRPr="00FE7BA7">
        <w:rPr>
          <w:rFonts w:ascii="Verdana" w:hAnsi="Verdana"/>
          <w:sz w:val="20"/>
          <w:szCs w:val="20"/>
          <w:lang w:val="en-US"/>
        </w:rPr>
        <w:t xml:space="preserve"> and </w:t>
      </w:r>
      <w:r w:rsidR="00926E61" w:rsidRPr="00FE7BA7">
        <w:rPr>
          <w:rFonts w:ascii="Verdana" w:hAnsi="Verdana"/>
          <w:sz w:val="20"/>
          <w:szCs w:val="20"/>
          <w:lang w:val="en-US"/>
        </w:rPr>
        <w:t xml:space="preserve">Pierrekondre. </w:t>
      </w:r>
      <w:r w:rsidRPr="00FE7BA7">
        <w:rPr>
          <w:rFonts w:ascii="Verdana" w:hAnsi="Verdana"/>
          <w:sz w:val="20"/>
          <w:szCs w:val="20"/>
          <w:lang w:val="en-US"/>
        </w:rPr>
        <w:t xml:space="preserve">The State’s response was that the indigenous peoples had no </w:t>
      </w:r>
      <w:r w:rsidR="005F1ABF">
        <w:rPr>
          <w:rFonts w:ascii="Verdana" w:hAnsi="Verdana"/>
          <w:sz w:val="20"/>
          <w:szCs w:val="20"/>
          <w:lang w:val="en-US"/>
        </w:rPr>
        <w:t>land</w:t>
      </w:r>
      <w:r w:rsidRPr="00FE7BA7">
        <w:rPr>
          <w:rFonts w:ascii="Verdana" w:hAnsi="Verdana"/>
          <w:sz w:val="20"/>
          <w:szCs w:val="20"/>
          <w:lang w:val="en-US"/>
        </w:rPr>
        <w:t xml:space="preserve"> rights and, therefore, </w:t>
      </w:r>
      <w:r w:rsidR="005F1ABF">
        <w:rPr>
          <w:rFonts w:ascii="Verdana" w:hAnsi="Verdana"/>
          <w:sz w:val="20"/>
          <w:szCs w:val="20"/>
          <w:lang w:val="en-US"/>
        </w:rPr>
        <w:t>no objection was admissible</w:t>
      </w:r>
      <w:r w:rsidR="00896645" w:rsidRPr="00FE7BA7">
        <w:rPr>
          <w:rFonts w:ascii="Verdana" w:hAnsi="Verdana"/>
          <w:sz w:val="20"/>
          <w:szCs w:val="20"/>
          <w:lang w:val="en-US"/>
        </w:rPr>
        <w:t>.</w:t>
      </w:r>
      <w:r w:rsidR="00926E61" w:rsidRPr="00FE7BA7">
        <w:rPr>
          <w:rStyle w:val="FootnoteReference"/>
          <w:szCs w:val="20"/>
          <w:lang w:val="en-US"/>
        </w:rPr>
        <w:footnoteReference w:id="69"/>
      </w:r>
      <w:r w:rsidR="00926E61" w:rsidRPr="00FE7BA7">
        <w:rPr>
          <w:rFonts w:ascii="Verdana" w:hAnsi="Verdana"/>
          <w:sz w:val="20"/>
          <w:szCs w:val="20"/>
          <w:lang w:val="en-US"/>
        </w:rPr>
        <w:t xml:space="preserve"> </w:t>
      </w:r>
      <w:r w:rsidR="00896645" w:rsidRPr="00FE7BA7">
        <w:rPr>
          <w:rFonts w:ascii="Verdana" w:hAnsi="Verdana"/>
          <w:sz w:val="20"/>
          <w:szCs w:val="20"/>
          <w:lang w:val="en-US"/>
        </w:rPr>
        <w:t xml:space="preserve">Also, in 1978,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926E61" w:rsidRPr="00FE7BA7">
        <w:rPr>
          <w:rFonts w:ascii="Verdana" w:hAnsi="Verdana"/>
          <w:sz w:val="20"/>
          <w:szCs w:val="20"/>
          <w:lang w:val="en-US"/>
        </w:rPr>
        <w:t xml:space="preserve">, </w:t>
      </w:r>
      <w:r w:rsidR="00896645" w:rsidRPr="00FE7BA7">
        <w:rPr>
          <w:rFonts w:ascii="Verdana" w:hAnsi="Verdana"/>
          <w:sz w:val="20"/>
          <w:szCs w:val="20"/>
          <w:lang w:val="en-US"/>
        </w:rPr>
        <w:t>together with other indigenous peo</w:t>
      </w:r>
      <w:r w:rsidR="005F1ABF">
        <w:rPr>
          <w:rFonts w:ascii="Verdana" w:hAnsi="Verdana"/>
          <w:sz w:val="20"/>
          <w:szCs w:val="20"/>
          <w:lang w:val="en-US"/>
        </w:rPr>
        <w:t xml:space="preserve">ples and Maroons, </w:t>
      </w:r>
      <w:r w:rsidR="005F1ABF">
        <w:rPr>
          <w:rFonts w:ascii="Verdana" w:hAnsi="Verdana"/>
          <w:sz w:val="20"/>
          <w:szCs w:val="20"/>
          <w:lang w:val="en-US"/>
        </w:rPr>
        <w:lastRenderedPageBreak/>
        <w:t>adopted the S</w:t>
      </w:r>
      <w:r w:rsidR="00896645" w:rsidRPr="00FE7BA7">
        <w:rPr>
          <w:rFonts w:ascii="Verdana" w:hAnsi="Verdana"/>
          <w:sz w:val="20"/>
          <w:szCs w:val="20"/>
          <w:lang w:val="en-US"/>
        </w:rPr>
        <w:t>a</w:t>
      </w:r>
      <w:r w:rsidR="005F1ABF">
        <w:rPr>
          <w:rFonts w:ascii="Verdana" w:hAnsi="Verdana"/>
          <w:sz w:val="20"/>
          <w:szCs w:val="20"/>
          <w:lang w:val="en-US"/>
        </w:rPr>
        <w:t>n</w:t>
      </w:r>
      <w:r w:rsidR="00896645" w:rsidRPr="00FE7BA7">
        <w:rPr>
          <w:rFonts w:ascii="Verdana" w:hAnsi="Verdana"/>
          <w:sz w:val="20"/>
          <w:szCs w:val="20"/>
          <w:lang w:val="en-US"/>
        </w:rPr>
        <w:t>tigron Declaration in which they demanded participation in the plans for, and recognition of the property rights over, their territory.</w:t>
      </w:r>
      <w:r w:rsidR="00926E61" w:rsidRPr="00FE7BA7">
        <w:rPr>
          <w:rStyle w:val="FootnoteReference"/>
          <w:szCs w:val="20"/>
          <w:lang w:val="en-US"/>
        </w:rPr>
        <w:footnoteReference w:id="70"/>
      </w:r>
    </w:p>
    <w:p w14:paraId="631268B2" w14:textId="77777777" w:rsidR="00926E61" w:rsidRPr="00FE7BA7" w:rsidRDefault="00926E61" w:rsidP="00926E61">
      <w:pPr>
        <w:pStyle w:val="ListParagraph"/>
        <w:ind w:left="0"/>
        <w:jc w:val="both"/>
        <w:rPr>
          <w:rFonts w:ascii="Verdana" w:hAnsi="Verdana"/>
          <w:sz w:val="20"/>
          <w:szCs w:val="20"/>
          <w:lang w:val="en-US"/>
        </w:rPr>
      </w:pPr>
    </w:p>
    <w:p w14:paraId="631268B3" w14:textId="77777777" w:rsidR="00926E61" w:rsidRPr="00FE7BA7" w:rsidRDefault="007624EC" w:rsidP="007624EC">
      <w:pPr>
        <w:pStyle w:val="Heading3"/>
        <w:spacing w:before="0"/>
        <w:ind w:firstLine="360"/>
        <w:jc w:val="both"/>
        <w:rPr>
          <w:rFonts w:ascii="Verdana" w:hAnsi="Verdana"/>
          <w:i/>
          <w:color w:val="auto"/>
          <w:sz w:val="20"/>
          <w:szCs w:val="20"/>
          <w:lang w:val="en-US"/>
        </w:rPr>
      </w:pPr>
      <w:bookmarkStart w:id="18" w:name="_Toc441673191"/>
      <w:r w:rsidRPr="00FE7BA7">
        <w:rPr>
          <w:rFonts w:ascii="Verdana" w:hAnsi="Verdana"/>
          <w:i/>
          <w:color w:val="auto"/>
          <w:sz w:val="20"/>
          <w:szCs w:val="20"/>
          <w:lang w:val="en-US"/>
        </w:rPr>
        <w:t>D</w:t>
      </w:r>
      <w:r w:rsidR="00926E61" w:rsidRPr="00FE7BA7">
        <w:rPr>
          <w:rFonts w:ascii="Verdana" w:hAnsi="Verdana"/>
          <w:i/>
          <w:color w:val="auto"/>
          <w:sz w:val="20"/>
          <w:szCs w:val="20"/>
          <w:lang w:val="en-US"/>
        </w:rPr>
        <w:t xml:space="preserve">.2 </w:t>
      </w:r>
      <w:r w:rsidR="00CA7C7B" w:rsidRPr="00FE7BA7">
        <w:rPr>
          <w:rFonts w:ascii="Verdana" w:hAnsi="Verdana"/>
          <w:i/>
          <w:color w:val="auto"/>
          <w:sz w:val="20"/>
          <w:szCs w:val="20"/>
          <w:lang w:val="en-US"/>
        </w:rPr>
        <w:t>Steps taken following the acceptance of the Court’s jurisdiction</w:t>
      </w:r>
      <w:r w:rsidR="00926E61" w:rsidRPr="00FE7BA7">
        <w:rPr>
          <w:rFonts w:ascii="Verdana" w:hAnsi="Verdana"/>
          <w:i/>
          <w:color w:val="auto"/>
          <w:sz w:val="20"/>
          <w:szCs w:val="20"/>
          <w:lang w:val="en-US"/>
        </w:rPr>
        <w:t xml:space="preserve"> (</w:t>
      </w:r>
      <w:r w:rsidR="004C7D14" w:rsidRPr="00FE7BA7">
        <w:rPr>
          <w:rFonts w:ascii="Verdana" w:hAnsi="Verdana"/>
          <w:i/>
          <w:color w:val="auto"/>
          <w:sz w:val="20"/>
          <w:szCs w:val="20"/>
          <w:lang w:val="en-US"/>
        </w:rPr>
        <w:t>November 12,</w:t>
      </w:r>
      <w:r w:rsidR="00926E61" w:rsidRPr="00FE7BA7">
        <w:rPr>
          <w:rFonts w:ascii="Verdana" w:hAnsi="Verdana"/>
          <w:i/>
          <w:color w:val="auto"/>
          <w:sz w:val="20"/>
          <w:szCs w:val="20"/>
          <w:lang w:val="en-US"/>
        </w:rPr>
        <w:t xml:space="preserve"> 1987)</w:t>
      </w:r>
      <w:bookmarkEnd w:id="18"/>
    </w:p>
    <w:p w14:paraId="631268B4" w14:textId="77777777" w:rsidR="00926E61" w:rsidRPr="00FE7BA7" w:rsidRDefault="00926E61" w:rsidP="00926E61">
      <w:pPr>
        <w:pStyle w:val="ListParagraph"/>
        <w:ind w:left="0"/>
        <w:jc w:val="both"/>
        <w:rPr>
          <w:rFonts w:ascii="Verdana" w:hAnsi="Verdana"/>
          <w:sz w:val="20"/>
          <w:szCs w:val="20"/>
          <w:lang w:val="en-US"/>
        </w:rPr>
      </w:pPr>
    </w:p>
    <w:p w14:paraId="631268B5" w14:textId="77777777" w:rsidR="00926E61" w:rsidRPr="00FE7BA7" w:rsidRDefault="00896645"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As a result of the ending of the internal conflict in Suriname in 1992 by the </w:t>
      </w:r>
      <w:r w:rsidR="00804BD4" w:rsidRPr="00FE7BA7">
        <w:rPr>
          <w:rFonts w:ascii="Verdana" w:hAnsi="Verdana"/>
          <w:sz w:val="20"/>
          <w:szCs w:val="20"/>
          <w:lang w:val="en-US"/>
        </w:rPr>
        <w:t>Lelydorp Peace Accord</w:t>
      </w:r>
      <w:r w:rsidR="00926E61" w:rsidRPr="00FE7BA7">
        <w:rPr>
          <w:rStyle w:val="Strong"/>
          <w:rFonts w:ascii="Verdana" w:hAnsi="Verdana"/>
          <w:b w:val="0"/>
          <w:sz w:val="20"/>
          <w:szCs w:val="20"/>
          <w:lang w:val="en-US"/>
        </w:rPr>
        <w:t>,</w:t>
      </w:r>
      <w:r w:rsidR="00926E61" w:rsidRPr="00FE7BA7">
        <w:rPr>
          <w:rStyle w:val="Strong"/>
          <w:rFonts w:ascii="Verdana" w:hAnsi="Verdana"/>
          <w:sz w:val="20"/>
          <w:szCs w:val="20"/>
          <w:lang w:val="en-US"/>
        </w:rPr>
        <w:t xml:space="preserve"> </w:t>
      </w:r>
      <w:r w:rsidR="002B5CCD" w:rsidRPr="00FE7BA7">
        <w:rPr>
          <w:rStyle w:val="Strong"/>
          <w:rFonts w:ascii="Verdana" w:hAnsi="Verdana"/>
          <w:b w:val="0"/>
          <w:sz w:val="20"/>
          <w:szCs w:val="20"/>
          <w:lang w:val="en-US"/>
        </w:rPr>
        <w:t xml:space="preserve">the </w:t>
      </w:r>
      <w:r w:rsidR="004C7D14" w:rsidRPr="00FE7BA7">
        <w:rPr>
          <w:rStyle w:val="Strong"/>
          <w:rFonts w:ascii="Verdana" w:hAnsi="Verdana"/>
          <w:b w:val="0"/>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 xml:space="preserve">began to return to their </w:t>
      </w:r>
      <w:r w:rsidR="00804BD4" w:rsidRPr="00FE7BA7">
        <w:rPr>
          <w:rStyle w:val="Strong"/>
          <w:rFonts w:ascii="Verdana" w:hAnsi="Verdana"/>
          <w:b w:val="0"/>
          <w:sz w:val="20"/>
          <w:szCs w:val="20"/>
          <w:lang w:val="en-US"/>
        </w:rPr>
        <w:t>territories</w:t>
      </w:r>
      <w:r w:rsidR="002B5CCD" w:rsidRPr="00FE7BA7">
        <w:rPr>
          <w:rStyle w:val="Strong"/>
          <w:rFonts w:ascii="Verdana" w:hAnsi="Verdana"/>
          <w:b w:val="0"/>
          <w:sz w:val="20"/>
          <w:szCs w:val="20"/>
          <w:lang w:val="en-US"/>
        </w:rPr>
        <w:t xml:space="preserve"> and </w:t>
      </w:r>
      <w:r w:rsidRPr="00FE7BA7">
        <w:rPr>
          <w:rStyle w:val="Strong"/>
          <w:rFonts w:ascii="Verdana" w:hAnsi="Verdana"/>
          <w:b w:val="0"/>
          <w:sz w:val="20"/>
          <w:szCs w:val="20"/>
          <w:lang w:val="en-US"/>
        </w:rPr>
        <w:t>to reconstruct their communities. At the same time, they tried to recover the</w:t>
      </w:r>
      <w:r w:rsidR="00926E61" w:rsidRPr="00FE7BA7">
        <w:rPr>
          <w:rStyle w:val="Strong"/>
          <w:rFonts w:ascii="Verdana" w:hAnsi="Verdana"/>
          <w:b w:val="0"/>
          <w:sz w:val="20"/>
          <w:szCs w:val="20"/>
          <w:lang w:val="en-US"/>
        </w:rPr>
        <w:t xml:space="preserve"> </w:t>
      </w:r>
      <w:r w:rsidR="005F1ABF">
        <w:rPr>
          <w:rStyle w:val="Strong"/>
          <w:rFonts w:ascii="Verdana" w:hAnsi="Verdana"/>
          <w:b w:val="0"/>
          <w:sz w:val="20"/>
          <w:szCs w:val="20"/>
          <w:lang w:val="en-US"/>
        </w:rPr>
        <w:t>land</w:t>
      </w:r>
      <w:r w:rsidR="00926E61" w:rsidRPr="00FE7BA7">
        <w:rPr>
          <w:rStyle w:val="Strong"/>
          <w:rFonts w:ascii="Verdana" w:hAnsi="Verdana"/>
          <w:b w:val="0"/>
          <w:sz w:val="20"/>
          <w:szCs w:val="20"/>
          <w:lang w:val="en-US"/>
        </w:rPr>
        <w:t xml:space="preserve"> </w:t>
      </w:r>
      <w:r w:rsidRPr="00FE7BA7">
        <w:rPr>
          <w:rStyle w:val="Strong"/>
          <w:rFonts w:ascii="Verdana" w:hAnsi="Verdana"/>
          <w:b w:val="0"/>
          <w:sz w:val="20"/>
          <w:szCs w:val="20"/>
          <w:lang w:val="en-US"/>
        </w:rPr>
        <w:t>that the State had granted to third parties. In this context,</w:t>
      </w:r>
      <w:r w:rsidR="00926E61" w:rsidRPr="00FE7BA7">
        <w:rPr>
          <w:rFonts w:ascii="Verdana" w:hAnsi="Verdana"/>
          <w:sz w:val="20"/>
          <w:szCs w:val="20"/>
          <w:lang w:val="en-US"/>
        </w:rPr>
        <w:t xml:space="preserve"> Tjan</w:t>
      </w:r>
      <w:r w:rsidRPr="00FE7BA7">
        <w:rPr>
          <w:rFonts w:ascii="Verdana" w:hAnsi="Verdana"/>
          <w:sz w:val="20"/>
          <w:szCs w:val="20"/>
          <w:lang w:val="en-US"/>
        </w:rPr>
        <w:t>g</w:t>
      </w:r>
      <w:r w:rsidR="00926E61" w:rsidRPr="00FE7BA7">
        <w:rPr>
          <w:rFonts w:ascii="Verdana" w:hAnsi="Verdana"/>
          <w:sz w:val="20"/>
          <w:szCs w:val="20"/>
          <w:lang w:val="en-US"/>
        </w:rPr>
        <w:t xml:space="preserve"> A. Sjin, </w:t>
      </w:r>
      <w:r w:rsidRPr="00FE7BA7">
        <w:rPr>
          <w:rFonts w:ascii="Verdana" w:hAnsi="Verdana"/>
          <w:sz w:val="20"/>
          <w:szCs w:val="20"/>
          <w:lang w:val="en-US"/>
        </w:rPr>
        <w:t xml:space="preserve">owner of a </w:t>
      </w:r>
      <w:r w:rsidR="009566E9">
        <w:rPr>
          <w:rFonts w:ascii="Verdana" w:hAnsi="Verdana"/>
          <w:sz w:val="20"/>
          <w:szCs w:val="20"/>
          <w:lang w:val="en-US"/>
        </w:rPr>
        <w:t>vacation</w:t>
      </w:r>
      <w:r w:rsidRPr="00FE7BA7">
        <w:rPr>
          <w:rFonts w:ascii="Verdana" w:hAnsi="Verdana"/>
          <w:sz w:val="20"/>
          <w:szCs w:val="20"/>
          <w:lang w:val="en-US"/>
        </w:rPr>
        <w:t xml:space="preserve"> home located in the community of </w:t>
      </w:r>
      <w:r w:rsidR="00926E61" w:rsidRPr="00FE7BA7">
        <w:rPr>
          <w:rFonts w:ascii="Verdana" w:hAnsi="Verdana"/>
          <w:sz w:val="20"/>
          <w:szCs w:val="20"/>
          <w:lang w:val="en-US"/>
        </w:rPr>
        <w:t xml:space="preserve">Marijkedorp (Wan Shi Sha), </w:t>
      </w:r>
      <w:r w:rsidRPr="00FE7BA7">
        <w:rPr>
          <w:rFonts w:ascii="Verdana" w:hAnsi="Verdana"/>
          <w:sz w:val="20"/>
          <w:szCs w:val="20"/>
          <w:lang w:val="en-US"/>
        </w:rPr>
        <w:t xml:space="preserve">filed a complaint in the domestic sphere against Lokono </w:t>
      </w:r>
      <w:r w:rsidR="00810FAD" w:rsidRPr="00FE7BA7">
        <w:rPr>
          <w:rFonts w:ascii="Verdana" w:hAnsi="Verdana"/>
          <w:sz w:val="20"/>
          <w:szCs w:val="20"/>
          <w:lang w:val="en-US"/>
        </w:rPr>
        <w:t>Captain</w:t>
      </w:r>
      <w:r w:rsidR="00926E61" w:rsidRPr="00FE7BA7">
        <w:rPr>
          <w:rFonts w:ascii="Verdana" w:hAnsi="Verdana"/>
          <w:sz w:val="20"/>
          <w:szCs w:val="20"/>
          <w:lang w:val="en-US"/>
        </w:rPr>
        <w:t xml:space="preserve"> Erick Zaalman </w:t>
      </w:r>
      <w:r w:rsidRPr="00FE7BA7">
        <w:rPr>
          <w:rFonts w:ascii="Verdana" w:hAnsi="Verdana"/>
          <w:sz w:val="20"/>
          <w:szCs w:val="20"/>
          <w:lang w:val="en-US"/>
        </w:rPr>
        <w:t xml:space="preserve">because he </w:t>
      </w:r>
      <w:r w:rsidR="002B5CCD" w:rsidRPr="00FE7BA7">
        <w:rPr>
          <w:rFonts w:ascii="Verdana" w:hAnsi="Verdana"/>
          <w:sz w:val="20"/>
          <w:szCs w:val="20"/>
          <w:lang w:val="en-US"/>
        </w:rPr>
        <w:t xml:space="preserve">and </w:t>
      </w:r>
      <w:r w:rsidR="00CA7C7B" w:rsidRPr="00FE7BA7">
        <w:rPr>
          <w:rFonts w:ascii="Verdana" w:hAnsi="Verdana"/>
          <w:sz w:val="20"/>
          <w:szCs w:val="20"/>
          <w:lang w:val="en-US"/>
        </w:rPr>
        <w:t>the residents</w:t>
      </w:r>
      <w:r w:rsidR="00926E61" w:rsidRPr="00FE7BA7">
        <w:rPr>
          <w:rFonts w:ascii="Verdana" w:hAnsi="Verdana"/>
          <w:sz w:val="20"/>
          <w:szCs w:val="20"/>
          <w:lang w:val="en-US"/>
        </w:rPr>
        <w:t xml:space="preserve"> </w:t>
      </w:r>
      <w:r w:rsidRPr="00FE7BA7">
        <w:rPr>
          <w:rFonts w:ascii="Verdana" w:hAnsi="Verdana"/>
          <w:sz w:val="20"/>
          <w:szCs w:val="20"/>
          <w:lang w:val="en-US"/>
        </w:rPr>
        <w:t xml:space="preserve">of the </w:t>
      </w:r>
      <w:r w:rsidR="00FE7BA7" w:rsidRPr="00FE7BA7">
        <w:rPr>
          <w:rFonts w:ascii="Verdana" w:hAnsi="Verdana"/>
          <w:sz w:val="20"/>
          <w:szCs w:val="20"/>
          <w:lang w:val="en-US"/>
        </w:rPr>
        <w:t>communities</w:t>
      </w:r>
      <w:r w:rsidRPr="00FE7BA7">
        <w:rPr>
          <w:rFonts w:ascii="Verdana" w:hAnsi="Verdana"/>
          <w:sz w:val="20"/>
          <w:szCs w:val="20"/>
          <w:lang w:val="en-US"/>
        </w:rPr>
        <w:t xml:space="preserve"> had prevented </w:t>
      </w:r>
      <w:r w:rsidR="00926E61" w:rsidRPr="00FE7BA7">
        <w:rPr>
          <w:rFonts w:ascii="Verdana" w:hAnsi="Verdana"/>
          <w:sz w:val="20"/>
          <w:szCs w:val="20"/>
          <w:lang w:val="en-US"/>
        </w:rPr>
        <w:t>Tjan</w:t>
      </w:r>
      <w:r w:rsidRPr="00FE7BA7">
        <w:rPr>
          <w:rFonts w:ascii="Verdana" w:hAnsi="Verdana"/>
          <w:sz w:val="20"/>
          <w:szCs w:val="20"/>
          <w:lang w:val="en-US"/>
        </w:rPr>
        <w:t>g</w:t>
      </w:r>
      <w:r w:rsidR="00926E61" w:rsidRPr="00FE7BA7">
        <w:rPr>
          <w:rFonts w:ascii="Verdana" w:hAnsi="Verdana"/>
          <w:sz w:val="20"/>
          <w:szCs w:val="20"/>
          <w:lang w:val="en-US"/>
        </w:rPr>
        <w:t xml:space="preserve"> A. Sjin </w:t>
      </w:r>
      <w:r w:rsidRPr="00FE7BA7">
        <w:rPr>
          <w:rFonts w:ascii="Verdana" w:hAnsi="Verdana"/>
          <w:sz w:val="20"/>
          <w:szCs w:val="20"/>
          <w:lang w:val="en-US"/>
        </w:rPr>
        <w:t xml:space="preserve">from rebuilding his house, which had been destroyed during the internal conflict. This case was </w:t>
      </w:r>
      <w:r w:rsidR="00FE7BA7" w:rsidRPr="00FE7BA7">
        <w:rPr>
          <w:rFonts w:ascii="Verdana" w:hAnsi="Verdana"/>
          <w:sz w:val="20"/>
          <w:szCs w:val="20"/>
          <w:lang w:val="en-US"/>
        </w:rPr>
        <w:t>known</w:t>
      </w:r>
      <w:r w:rsidRPr="00FE7BA7">
        <w:rPr>
          <w:rFonts w:ascii="Verdana" w:hAnsi="Verdana"/>
          <w:sz w:val="20"/>
          <w:szCs w:val="20"/>
          <w:lang w:val="en-US"/>
        </w:rPr>
        <w:t xml:space="preserve"> as </w:t>
      </w:r>
      <w:r w:rsidR="00926E61" w:rsidRPr="00FE7BA7">
        <w:rPr>
          <w:rFonts w:ascii="Verdana" w:hAnsi="Verdana"/>
          <w:i/>
          <w:sz w:val="20"/>
          <w:szCs w:val="20"/>
          <w:lang w:val="en-US"/>
        </w:rPr>
        <w:t xml:space="preserve">Tjang A Sjin </w:t>
      </w:r>
      <w:r w:rsidR="00FB4175" w:rsidRPr="00FE7BA7">
        <w:rPr>
          <w:rFonts w:ascii="Verdana" w:hAnsi="Verdana"/>
          <w:i/>
          <w:sz w:val="20"/>
          <w:szCs w:val="20"/>
          <w:lang w:val="en-US"/>
        </w:rPr>
        <w:t>v</w:t>
      </w:r>
      <w:r w:rsidR="00926E61" w:rsidRPr="00FE7BA7">
        <w:rPr>
          <w:rFonts w:ascii="Verdana" w:hAnsi="Verdana"/>
          <w:i/>
          <w:sz w:val="20"/>
          <w:szCs w:val="20"/>
          <w:lang w:val="en-US"/>
        </w:rPr>
        <w:t>. Zaalman</w:t>
      </w:r>
      <w:r w:rsidR="002B5CCD" w:rsidRPr="00FE7BA7">
        <w:rPr>
          <w:rFonts w:ascii="Verdana" w:hAnsi="Verdana"/>
          <w:i/>
          <w:sz w:val="20"/>
          <w:szCs w:val="20"/>
          <w:lang w:val="en-US"/>
        </w:rPr>
        <w:t xml:space="preserve"> </w:t>
      </w:r>
      <w:r w:rsidR="009566E9">
        <w:rPr>
          <w:rFonts w:ascii="Verdana" w:hAnsi="Verdana"/>
          <w:i/>
          <w:sz w:val="20"/>
          <w:szCs w:val="20"/>
          <w:lang w:val="en-US"/>
        </w:rPr>
        <w:t>and Others</w:t>
      </w:r>
      <w:r w:rsidRPr="00FE7BA7">
        <w:rPr>
          <w:rFonts w:ascii="Verdana" w:hAnsi="Verdana"/>
          <w:i/>
          <w:sz w:val="20"/>
          <w:szCs w:val="20"/>
          <w:lang w:val="en-US"/>
        </w:rPr>
        <w:t>.</w:t>
      </w:r>
      <w:r w:rsidR="00926E61" w:rsidRPr="00FE7BA7">
        <w:rPr>
          <w:rStyle w:val="FootnoteReference"/>
          <w:bCs/>
          <w:szCs w:val="20"/>
          <w:lang w:val="en-US"/>
        </w:rPr>
        <w:footnoteReference w:id="71"/>
      </w:r>
      <w:r w:rsidR="00926E61" w:rsidRPr="00FE7BA7">
        <w:rPr>
          <w:rFonts w:ascii="Verdana" w:hAnsi="Verdana"/>
          <w:sz w:val="20"/>
          <w:szCs w:val="20"/>
          <w:lang w:val="en-US"/>
        </w:rPr>
        <w:t xml:space="preserve"> </w:t>
      </w:r>
    </w:p>
    <w:p w14:paraId="631268B6" w14:textId="77777777" w:rsidR="00926E61" w:rsidRPr="00FE7BA7" w:rsidRDefault="00926E61" w:rsidP="00926E61">
      <w:pPr>
        <w:jc w:val="both"/>
        <w:rPr>
          <w:rFonts w:ascii="Verdana" w:hAnsi="Verdana"/>
          <w:sz w:val="20"/>
          <w:szCs w:val="20"/>
          <w:lang w:val="en-US"/>
        </w:rPr>
      </w:pPr>
    </w:p>
    <w:p w14:paraId="631268B7" w14:textId="77777777" w:rsidR="00926E61" w:rsidRPr="00FE7BA7" w:rsidRDefault="00896645" w:rsidP="00B935FA">
      <w:pPr>
        <w:pStyle w:val="ListParagraph"/>
        <w:numPr>
          <w:ilvl w:val="0"/>
          <w:numId w:val="2"/>
        </w:numPr>
        <w:ind w:left="0" w:hanging="11"/>
        <w:jc w:val="both"/>
        <w:rPr>
          <w:rFonts w:ascii="Verdana" w:hAnsi="Verdana"/>
          <w:snapToGrid w:val="0"/>
          <w:sz w:val="20"/>
          <w:szCs w:val="20"/>
          <w:lang w:val="en-US"/>
        </w:rPr>
      </w:pPr>
      <w:r w:rsidRPr="00FE7BA7">
        <w:rPr>
          <w:rFonts w:ascii="Verdana" w:hAnsi="Verdana"/>
          <w:sz w:val="20"/>
          <w:szCs w:val="20"/>
          <w:lang w:val="en-US"/>
        </w:rPr>
        <w:t xml:space="preserve">In this regard, in 1998, in protest for the complaint filed against </w:t>
      </w:r>
      <w:r w:rsidR="00810FAD" w:rsidRPr="00FE7BA7">
        <w:rPr>
          <w:rFonts w:ascii="Verdana" w:hAnsi="Verdana"/>
          <w:sz w:val="20"/>
          <w:szCs w:val="20"/>
          <w:lang w:val="en-US"/>
        </w:rPr>
        <w:t>Captain</w:t>
      </w:r>
      <w:r w:rsidR="00926E61" w:rsidRPr="00FE7BA7">
        <w:rPr>
          <w:rFonts w:ascii="Verdana" w:hAnsi="Verdana"/>
          <w:sz w:val="20"/>
          <w:szCs w:val="20"/>
          <w:lang w:val="en-US"/>
        </w:rPr>
        <w:t xml:space="preserve"> Zaalman, m</w:t>
      </w:r>
      <w:r w:rsidRPr="00FE7BA7">
        <w:rPr>
          <w:rFonts w:ascii="Verdana" w:hAnsi="Verdana"/>
          <w:sz w:val="20"/>
          <w:szCs w:val="20"/>
          <w:lang w:val="en-US"/>
        </w:rPr>
        <w:t>embers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Pr="00FE7BA7">
        <w:rPr>
          <w:rFonts w:ascii="Verdana" w:hAnsi="Verdana"/>
          <w:sz w:val="20"/>
          <w:szCs w:val="20"/>
          <w:lang w:val="en-US"/>
        </w:rPr>
        <w:t>, together with indigenous peoples from other regions of Suriname</w:t>
      </w:r>
      <w:r w:rsidR="009566E9">
        <w:rPr>
          <w:rFonts w:ascii="Verdana" w:hAnsi="Verdana"/>
          <w:sz w:val="20"/>
          <w:szCs w:val="20"/>
          <w:lang w:val="en-US"/>
        </w:rPr>
        <w:t>,</w:t>
      </w:r>
      <w:r w:rsidRPr="00FE7BA7">
        <w:rPr>
          <w:rFonts w:ascii="Verdana" w:hAnsi="Verdana"/>
          <w:sz w:val="20"/>
          <w:szCs w:val="20"/>
          <w:lang w:val="en-US"/>
        </w:rPr>
        <w:t xml:space="preserve"> held a vigil in front of the Supreme Court of Justice </w:t>
      </w:r>
      <w:r w:rsidR="002F0F93" w:rsidRPr="00FE7BA7">
        <w:rPr>
          <w:rFonts w:ascii="Verdana" w:hAnsi="Verdana"/>
          <w:sz w:val="20"/>
          <w:szCs w:val="20"/>
          <w:lang w:val="en-US"/>
        </w:rPr>
        <w:t>of Suriname</w:t>
      </w:r>
      <w:r w:rsidR="002B5CCD" w:rsidRPr="00FE7BA7">
        <w:rPr>
          <w:rFonts w:ascii="Verdana" w:hAnsi="Verdana"/>
          <w:sz w:val="20"/>
          <w:szCs w:val="20"/>
          <w:lang w:val="en-US"/>
        </w:rPr>
        <w:t xml:space="preserve"> </w:t>
      </w:r>
      <w:r w:rsidRPr="00FE7BA7">
        <w:rPr>
          <w:rFonts w:ascii="Verdana" w:hAnsi="Verdana"/>
          <w:sz w:val="20"/>
          <w:szCs w:val="20"/>
          <w:lang w:val="en-US"/>
        </w:rPr>
        <w:t>i</w:t>
      </w:r>
      <w:r w:rsidR="00926E61" w:rsidRPr="00FE7BA7">
        <w:rPr>
          <w:rFonts w:ascii="Verdana" w:hAnsi="Verdana"/>
          <w:sz w:val="20"/>
          <w:szCs w:val="20"/>
          <w:lang w:val="en-US"/>
        </w:rPr>
        <w:t>n Paramaribo</w:t>
      </w:r>
      <w:r w:rsidRPr="00FE7BA7">
        <w:rPr>
          <w:rFonts w:ascii="Verdana" w:hAnsi="Verdana"/>
          <w:sz w:val="20"/>
          <w:szCs w:val="20"/>
          <w:lang w:val="en-US"/>
        </w:rPr>
        <w:t xml:space="preserve"> for several days.</w:t>
      </w:r>
      <w:r w:rsidR="00926E61" w:rsidRPr="00FE7BA7">
        <w:rPr>
          <w:rStyle w:val="FootnoteReference"/>
          <w:szCs w:val="20"/>
          <w:lang w:val="en-US"/>
        </w:rPr>
        <w:footnoteReference w:id="72"/>
      </w:r>
      <w:r w:rsidR="00926E61" w:rsidRPr="00FE7BA7">
        <w:rPr>
          <w:rFonts w:ascii="Verdana" w:hAnsi="Verdana"/>
          <w:sz w:val="20"/>
          <w:szCs w:val="20"/>
          <w:lang w:val="en-US"/>
        </w:rPr>
        <w:t xml:space="preserve"> </w:t>
      </w:r>
      <w:r w:rsidRPr="00FE7BA7">
        <w:rPr>
          <w:rFonts w:ascii="Verdana" w:hAnsi="Verdana"/>
          <w:sz w:val="20"/>
          <w:szCs w:val="20"/>
          <w:lang w:val="en-US"/>
        </w:rPr>
        <w:t xml:space="preserve">However, the judgment delivered by </w:t>
      </w:r>
      <w:r w:rsidR="002B5CCD" w:rsidRPr="00FE7BA7">
        <w:rPr>
          <w:rFonts w:ascii="Verdana" w:hAnsi="Verdana"/>
          <w:sz w:val="20"/>
          <w:lang w:val="en-US"/>
        </w:rPr>
        <w:t xml:space="preserve">the </w:t>
      </w:r>
      <w:r w:rsidR="00921C81" w:rsidRPr="00FE7BA7">
        <w:rPr>
          <w:rFonts w:ascii="Verdana" w:hAnsi="Verdana"/>
          <w:sz w:val="20"/>
          <w:lang w:val="en-US"/>
        </w:rPr>
        <w:t>Cantonal Court of the First Canton of</w:t>
      </w:r>
      <w:r w:rsidR="00A84F18" w:rsidRPr="00FE7BA7">
        <w:rPr>
          <w:rFonts w:ascii="Verdana" w:hAnsi="Verdana"/>
          <w:sz w:val="20"/>
          <w:lang w:val="en-US"/>
        </w:rPr>
        <w:t xml:space="preserve"> Paramaribo</w:t>
      </w:r>
      <w:r w:rsidRPr="00FE7BA7">
        <w:rPr>
          <w:rFonts w:ascii="Verdana" w:hAnsi="Verdana"/>
          <w:sz w:val="20"/>
          <w:lang w:val="en-US"/>
        </w:rPr>
        <w:t xml:space="preserve"> on</w:t>
      </w:r>
      <w:r w:rsidRPr="00FE7BA7">
        <w:rPr>
          <w:rFonts w:ascii="Verdana" w:hAnsi="Verdana"/>
          <w:sz w:val="20"/>
          <w:szCs w:val="20"/>
          <w:lang w:val="en-US"/>
        </w:rPr>
        <w:t xml:space="preserve"> May 21, 1998</w:t>
      </w:r>
      <w:r w:rsidR="008A4ABB" w:rsidRPr="00FE7BA7">
        <w:rPr>
          <w:rFonts w:ascii="Verdana" w:hAnsi="Verdana"/>
          <w:snapToGrid w:val="0"/>
          <w:sz w:val="20"/>
          <w:szCs w:val="20"/>
          <w:lang w:val="en-US"/>
        </w:rPr>
        <w:t>,</w:t>
      </w:r>
      <w:r w:rsidR="00A84F18" w:rsidRPr="00FE7BA7">
        <w:rPr>
          <w:rFonts w:ascii="Verdana" w:hAnsi="Verdana"/>
          <w:sz w:val="20"/>
          <w:szCs w:val="20"/>
          <w:lang w:val="en-US"/>
        </w:rPr>
        <w:t xml:space="preserve"> </w:t>
      </w:r>
      <w:r w:rsidR="00926E61" w:rsidRPr="00FE7BA7">
        <w:rPr>
          <w:rFonts w:ascii="Verdana" w:hAnsi="Verdana"/>
          <w:snapToGrid w:val="0"/>
          <w:sz w:val="20"/>
          <w:szCs w:val="20"/>
          <w:lang w:val="en-US"/>
        </w:rPr>
        <w:t>establ</w:t>
      </w:r>
      <w:r w:rsidRPr="00FE7BA7">
        <w:rPr>
          <w:rFonts w:ascii="Verdana" w:hAnsi="Verdana"/>
          <w:snapToGrid w:val="0"/>
          <w:sz w:val="20"/>
          <w:szCs w:val="20"/>
          <w:lang w:val="en-US"/>
        </w:rPr>
        <w:t xml:space="preserve">ished that the indigenous community should respect the right to property of </w:t>
      </w:r>
      <w:r w:rsidR="00926E61" w:rsidRPr="00FE7BA7">
        <w:rPr>
          <w:rFonts w:ascii="Verdana" w:hAnsi="Verdana"/>
          <w:sz w:val="20"/>
          <w:szCs w:val="20"/>
          <w:lang w:val="en-US"/>
        </w:rPr>
        <w:t>Tjan</w:t>
      </w:r>
      <w:r w:rsidRPr="00FE7BA7">
        <w:rPr>
          <w:rFonts w:ascii="Verdana" w:hAnsi="Verdana"/>
          <w:sz w:val="20"/>
          <w:szCs w:val="20"/>
          <w:lang w:val="en-US"/>
        </w:rPr>
        <w:t>g</w:t>
      </w:r>
      <w:r w:rsidR="00926E61" w:rsidRPr="00FE7BA7">
        <w:rPr>
          <w:rFonts w:ascii="Verdana" w:hAnsi="Verdana"/>
          <w:sz w:val="20"/>
          <w:szCs w:val="20"/>
          <w:lang w:val="en-US"/>
        </w:rPr>
        <w:t xml:space="preserve"> A. Sjin, </w:t>
      </w:r>
      <w:r w:rsidRPr="00FE7BA7">
        <w:rPr>
          <w:rFonts w:ascii="Verdana" w:hAnsi="Verdana"/>
          <w:sz w:val="20"/>
          <w:szCs w:val="20"/>
          <w:lang w:val="en-US"/>
        </w:rPr>
        <w:t xml:space="preserve">because he was the legitimate owner of the land according to the respective property title. The Court referred to this domestic judicial </w:t>
      </w:r>
      <w:r w:rsidR="00FE7BA7" w:rsidRPr="00FE7BA7">
        <w:rPr>
          <w:rFonts w:ascii="Verdana" w:hAnsi="Verdana"/>
          <w:sz w:val="20"/>
          <w:szCs w:val="20"/>
          <w:lang w:val="en-US"/>
        </w:rPr>
        <w:t>proceeding</w:t>
      </w:r>
      <w:r w:rsidRPr="00FE7BA7">
        <w:rPr>
          <w:rFonts w:ascii="Verdana" w:hAnsi="Verdana"/>
          <w:sz w:val="20"/>
          <w:szCs w:val="20"/>
          <w:lang w:val="en-US"/>
        </w:rPr>
        <w:t xml:space="preserve"> in the </w:t>
      </w:r>
      <w:r w:rsidRPr="00FE7BA7">
        <w:rPr>
          <w:rFonts w:ascii="Verdana" w:hAnsi="Verdana"/>
          <w:snapToGrid w:val="0"/>
          <w:sz w:val="20"/>
          <w:szCs w:val="20"/>
          <w:lang w:val="en-US"/>
        </w:rPr>
        <w:t>c</w:t>
      </w:r>
      <w:r w:rsidR="00D63518" w:rsidRPr="00FE7BA7">
        <w:rPr>
          <w:rFonts w:ascii="Verdana" w:hAnsi="Verdana"/>
          <w:snapToGrid w:val="0"/>
          <w:sz w:val="20"/>
          <w:szCs w:val="20"/>
          <w:lang w:val="en-US"/>
        </w:rPr>
        <w:t>ase of the</w:t>
      </w:r>
      <w:r w:rsidR="00D63518" w:rsidRPr="00FE7BA7">
        <w:rPr>
          <w:rFonts w:ascii="Verdana" w:hAnsi="Verdana"/>
          <w:i/>
          <w:snapToGrid w:val="0"/>
          <w:sz w:val="20"/>
          <w:szCs w:val="20"/>
          <w:lang w:val="en-US"/>
        </w:rPr>
        <w:t xml:space="preserve"> Saramaka People</w:t>
      </w:r>
      <w:r w:rsidR="00926E61" w:rsidRPr="00FE7BA7">
        <w:rPr>
          <w:rFonts w:ascii="Verdana" w:hAnsi="Verdana"/>
          <w:i/>
          <w:snapToGrid w:val="0"/>
          <w:sz w:val="20"/>
          <w:szCs w:val="20"/>
          <w:lang w:val="en-US"/>
        </w:rPr>
        <w:t xml:space="preserve"> </w:t>
      </w:r>
      <w:r w:rsidR="002B5CCD" w:rsidRPr="00FE7BA7">
        <w:rPr>
          <w:rFonts w:ascii="Verdana" w:hAnsi="Verdana"/>
          <w:i/>
          <w:snapToGrid w:val="0"/>
          <w:sz w:val="20"/>
          <w:szCs w:val="20"/>
          <w:lang w:val="en-US"/>
        </w:rPr>
        <w:t>v.</w:t>
      </w:r>
      <w:r w:rsidR="00926E61" w:rsidRPr="00FE7BA7">
        <w:rPr>
          <w:rFonts w:ascii="Verdana" w:hAnsi="Verdana"/>
          <w:i/>
          <w:snapToGrid w:val="0"/>
          <w:sz w:val="20"/>
          <w:szCs w:val="20"/>
          <w:lang w:val="en-US"/>
        </w:rPr>
        <w:t xml:space="preserve"> </w:t>
      </w:r>
      <w:r w:rsidR="00563E11" w:rsidRPr="00FE7BA7">
        <w:rPr>
          <w:rFonts w:ascii="Verdana" w:hAnsi="Verdana"/>
          <w:i/>
          <w:snapToGrid w:val="0"/>
          <w:sz w:val="20"/>
          <w:szCs w:val="20"/>
          <w:lang w:val="en-US"/>
        </w:rPr>
        <w:t>Surinam</w:t>
      </w:r>
      <w:r w:rsidRPr="00FE7BA7">
        <w:rPr>
          <w:rFonts w:ascii="Verdana" w:hAnsi="Verdana"/>
          <w:i/>
          <w:snapToGrid w:val="0"/>
          <w:sz w:val="20"/>
          <w:szCs w:val="20"/>
          <w:lang w:val="en-US"/>
        </w:rPr>
        <w:t>e.</w:t>
      </w:r>
      <w:r w:rsidR="00926E61" w:rsidRPr="00FE7BA7">
        <w:rPr>
          <w:rStyle w:val="FootnoteReference"/>
          <w:snapToGrid w:val="0"/>
          <w:szCs w:val="20"/>
          <w:lang w:val="en-US"/>
        </w:rPr>
        <w:footnoteReference w:id="73"/>
      </w:r>
    </w:p>
    <w:p w14:paraId="631268B8" w14:textId="77777777" w:rsidR="00926E61" w:rsidRPr="00FE7BA7" w:rsidRDefault="00926E61" w:rsidP="00926E61">
      <w:pPr>
        <w:jc w:val="both"/>
        <w:rPr>
          <w:rFonts w:ascii="Verdana" w:hAnsi="Verdana"/>
          <w:snapToGrid w:val="0"/>
          <w:sz w:val="20"/>
          <w:szCs w:val="20"/>
          <w:lang w:val="en-US"/>
        </w:rPr>
      </w:pPr>
    </w:p>
    <w:p w14:paraId="631268B9" w14:textId="77777777" w:rsidR="00926E61" w:rsidRPr="00FE7BA7" w:rsidRDefault="00CA7C7B" w:rsidP="00896645">
      <w:pPr>
        <w:pStyle w:val="ListParagraph"/>
        <w:numPr>
          <w:ilvl w:val="0"/>
          <w:numId w:val="2"/>
        </w:numPr>
        <w:ind w:left="0" w:hanging="11"/>
        <w:jc w:val="both"/>
        <w:rPr>
          <w:rFonts w:ascii="Verdana" w:hAnsi="Verdana"/>
          <w:snapToGrid w:val="0"/>
          <w:sz w:val="20"/>
          <w:szCs w:val="20"/>
          <w:lang w:val="en-US"/>
        </w:rPr>
      </w:pPr>
      <w:r w:rsidRPr="00FE7BA7">
        <w:rPr>
          <w:rFonts w:ascii="Verdana" w:hAnsi="Verdana"/>
          <w:snapToGrid w:val="0"/>
          <w:sz w:val="20"/>
          <w:szCs w:val="20"/>
          <w:lang w:val="en-US"/>
        </w:rPr>
        <w:t>On December 24,</w:t>
      </w:r>
      <w:r w:rsidR="00926E61" w:rsidRPr="00FE7BA7">
        <w:rPr>
          <w:rFonts w:ascii="Verdana" w:hAnsi="Verdana"/>
          <w:snapToGrid w:val="0"/>
          <w:sz w:val="20"/>
          <w:szCs w:val="20"/>
          <w:lang w:val="en-US"/>
        </w:rPr>
        <w:t xml:space="preserve"> 2002</w:t>
      </w:r>
      <w:r w:rsidRPr="00FE7BA7">
        <w:rPr>
          <w:rFonts w:ascii="Verdana" w:hAnsi="Verdana"/>
          <w:snapToGrid w:val="0"/>
          <w:sz w:val="20"/>
          <w:szCs w:val="20"/>
          <w:lang w:val="en-US"/>
        </w:rPr>
        <w:t>,</w:t>
      </w:r>
      <w:r w:rsidR="00926E61" w:rsidRPr="00FE7BA7">
        <w:rPr>
          <w:rFonts w:ascii="Verdana" w:hAnsi="Verdana"/>
          <w:snapToGrid w:val="0"/>
          <w:sz w:val="20"/>
          <w:szCs w:val="20"/>
          <w:lang w:val="en-US"/>
        </w:rPr>
        <w:t xml:space="preserve"> </w:t>
      </w:r>
      <w:r w:rsidRPr="00FE7BA7">
        <w:rPr>
          <w:rFonts w:ascii="Verdana" w:hAnsi="Verdana"/>
          <w:snapToGrid w:val="0"/>
          <w:sz w:val="20"/>
          <w:szCs w:val="20"/>
          <w:lang w:val="en-US"/>
        </w:rPr>
        <w:t>the residents</w:t>
      </w:r>
      <w:r w:rsidR="00926E61" w:rsidRPr="00FE7BA7">
        <w:rPr>
          <w:rFonts w:ascii="Verdana" w:hAnsi="Verdana"/>
          <w:snapToGrid w:val="0"/>
          <w:sz w:val="20"/>
          <w:szCs w:val="20"/>
          <w:lang w:val="en-US"/>
        </w:rPr>
        <w:t xml:space="preserve"> </w:t>
      </w:r>
      <w:r w:rsidR="00896645" w:rsidRPr="00FE7BA7">
        <w:rPr>
          <w:rFonts w:ascii="Verdana" w:hAnsi="Verdana"/>
          <w:snapToGrid w:val="0"/>
          <w:sz w:val="20"/>
          <w:szCs w:val="20"/>
          <w:lang w:val="en-US"/>
        </w:rPr>
        <w:t>of the community of</w:t>
      </w:r>
      <w:r w:rsidR="00926E61" w:rsidRPr="00FE7BA7">
        <w:rPr>
          <w:rFonts w:ascii="Verdana" w:hAnsi="Verdana"/>
          <w:snapToGrid w:val="0"/>
          <w:sz w:val="20"/>
          <w:szCs w:val="20"/>
          <w:lang w:val="en-US"/>
        </w:rPr>
        <w:t xml:space="preserve"> Pierrekondre </w:t>
      </w:r>
      <w:r w:rsidR="00896645" w:rsidRPr="00FE7BA7">
        <w:rPr>
          <w:rFonts w:ascii="Verdana" w:hAnsi="Verdana"/>
          <w:snapToGrid w:val="0"/>
          <w:sz w:val="20"/>
          <w:szCs w:val="20"/>
          <w:lang w:val="en-US"/>
        </w:rPr>
        <w:t>filed a complaint against the State seeking that the judge revoke a sand mining concession</w:t>
      </w:r>
      <w:r w:rsidR="009566E9">
        <w:rPr>
          <w:rFonts w:ascii="Verdana" w:hAnsi="Verdana"/>
          <w:snapToGrid w:val="0"/>
          <w:sz w:val="20"/>
          <w:szCs w:val="20"/>
          <w:lang w:val="en-US"/>
        </w:rPr>
        <w:t xml:space="preserve"> that had been granted on land o</w:t>
      </w:r>
      <w:r w:rsidR="00896645" w:rsidRPr="00FE7BA7">
        <w:rPr>
          <w:rFonts w:ascii="Verdana" w:hAnsi="Verdana"/>
          <w:snapToGrid w:val="0"/>
          <w:sz w:val="20"/>
          <w:szCs w:val="20"/>
          <w:lang w:val="en-US"/>
        </w:rPr>
        <w:t xml:space="preserve">n which </w:t>
      </w:r>
      <w:r w:rsidRPr="00FE7BA7">
        <w:rPr>
          <w:rFonts w:ascii="Verdana" w:hAnsi="Verdana"/>
          <w:snapToGrid w:val="0"/>
          <w:sz w:val="20"/>
          <w:szCs w:val="20"/>
          <w:lang w:val="en-US"/>
        </w:rPr>
        <w:t>the residents</w:t>
      </w:r>
      <w:r w:rsidR="00926E61" w:rsidRPr="00FE7BA7">
        <w:rPr>
          <w:rFonts w:ascii="Verdana" w:hAnsi="Verdana"/>
          <w:snapToGrid w:val="0"/>
          <w:sz w:val="20"/>
          <w:szCs w:val="20"/>
          <w:lang w:val="en-US"/>
        </w:rPr>
        <w:t xml:space="preserve"> </w:t>
      </w:r>
      <w:r w:rsidR="00896645" w:rsidRPr="00FE7BA7">
        <w:rPr>
          <w:rFonts w:ascii="Verdana" w:hAnsi="Verdana"/>
          <w:snapToGrid w:val="0"/>
          <w:sz w:val="20"/>
          <w:szCs w:val="20"/>
          <w:lang w:val="en-US"/>
        </w:rPr>
        <w:t xml:space="preserve">of the indigenous community had a logging </w:t>
      </w:r>
      <w:r w:rsidR="00FE7BA7" w:rsidRPr="00FE7BA7">
        <w:rPr>
          <w:rFonts w:ascii="Verdana" w:hAnsi="Verdana"/>
          <w:snapToGrid w:val="0"/>
          <w:sz w:val="20"/>
          <w:szCs w:val="20"/>
          <w:lang w:val="en-US"/>
        </w:rPr>
        <w:t>license</w:t>
      </w:r>
      <w:r w:rsidR="00896645" w:rsidRPr="00FE7BA7">
        <w:rPr>
          <w:rFonts w:ascii="Verdana" w:hAnsi="Verdana"/>
          <w:snapToGrid w:val="0"/>
          <w:sz w:val="20"/>
          <w:szCs w:val="20"/>
          <w:lang w:val="en-US"/>
        </w:rPr>
        <w:t xml:space="preserve">. This case was known as </w:t>
      </w:r>
      <w:r w:rsidR="00926E61" w:rsidRPr="00FE7BA7">
        <w:rPr>
          <w:rFonts w:ascii="Verdana" w:hAnsi="Verdana"/>
          <w:i/>
          <w:snapToGrid w:val="0"/>
          <w:sz w:val="20"/>
          <w:szCs w:val="20"/>
          <w:lang w:val="en-US"/>
        </w:rPr>
        <w:t>Celientje Martina Joeroeja-Koewie</w:t>
      </w:r>
      <w:r w:rsidR="002B5CCD" w:rsidRPr="00FE7BA7">
        <w:rPr>
          <w:rFonts w:ascii="Verdana" w:hAnsi="Verdana"/>
          <w:i/>
          <w:snapToGrid w:val="0"/>
          <w:sz w:val="20"/>
          <w:szCs w:val="20"/>
          <w:lang w:val="en-US"/>
        </w:rPr>
        <w:t xml:space="preserve"> </w:t>
      </w:r>
      <w:r w:rsidR="009566E9">
        <w:rPr>
          <w:rFonts w:ascii="Verdana" w:hAnsi="Verdana"/>
          <w:i/>
          <w:snapToGrid w:val="0"/>
          <w:sz w:val="20"/>
          <w:szCs w:val="20"/>
          <w:lang w:val="en-US"/>
        </w:rPr>
        <w:t>and Others</w:t>
      </w:r>
      <w:r w:rsidR="00926E61" w:rsidRPr="00FE7BA7">
        <w:rPr>
          <w:rFonts w:ascii="Verdana" w:hAnsi="Verdana"/>
          <w:i/>
          <w:snapToGrid w:val="0"/>
          <w:sz w:val="20"/>
          <w:szCs w:val="20"/>
          <w:lang w:val="en-US"/>
        </w:rPr>
        <w:t xml:space="preserve"> </w:t>
      </w:r>
      <w:r w:rsidR="00FB4175" w:rsidRPr="00FE7BA7">
        <w:rPr>
          <w:rFonts w:ascii="Verdana" w:hAnsi="Verdana"/>
          <w:i/>
          <w:snapToGrid w:val="0"/>
          <w:sz w:val="20"/>
          <w:szCs w:val="20"/>
          <w:lang w:val="en-US"/>
        </w:rPr>
        <w:t>v</w:t>
      </w:r>
      <w:r w:rsidR="00926E61" w:rsidRPr="00FE7BA7">
        <w:rPr>
          <w:rFonts w:ascii="Verdana" w:hAnsi="Verdana"/>
          <w:i/>
          <w:snapToGrid w:val="0"/>
          <w:sz w:val="20"/>
          <w:szCs w:val="20"/>
          <w:lang w:val="en-US"/>
        </w:rPr>
        <w:t xml:space="preserve">. </w:t>
      </w:r>
      <w:r w:rsidR="002B5CCD" w:rsidRPr="00FE7BA7">
        <w:rPr>
          <w:rFonts w:ascii="Verdana" w:hAnsi="Verdana"/>
          <w:i/>
          <w:snapToGrid w:val="0"/>
          <w:sz w:val="20"/>
          <w:szCs w:val="20"/>
          <w:lang w:val="en-US"/>
        </w:rPr>
        <w:t xml:space="preserve">Suriname </w:t>
      </w:r>
      <w:r w:rsidR="00926E61" w:rsidRPr="00FE7BA7">
        <w:rPr>
          <w:rFonts w:ascii="Verdana" w:hAnsi="Verdana"/>
          <w:i/>
          <w:sz w:val="20"/>
          <w:szCs w:val="20"/>
          <w:lang w:val="en-US"/>
        </w:rPr>
        <w:t xml:space="preserve">&amp; </w:t>
      </w:r>
      <w:r w:rsidR="00B07A66" w:rsidRPr="00FE7BA7">
        <w:rPr>
          <w:rFonts w:ascii="Verdana" w:hAnsi="Verdana"/>
          <w:i/>
          <w:sz w:val="20"/>
          <w:szCs w:val="20"/>
          <w:lang w:val="en-US"/>
        </w:rPr>
        <w:t>Suriname Stone</w:t>
      </w:r>
      <w:r w:rsidR="00926E61" w:rsidRPr="00FE7BA7">
        <w:rPr>
          <w:rFonts w:ascii="Verdana" w:hAnsi="Verdana"/>
          <w:i/>
          <w:sz w:val="20"/>
          <w:szCs w:val="20"/>
          <w:lang w:val="en-US"/>
        </w:rPr>
        <w:t xml:space="preserve"> &amp; Industries N.V</w:t>
      </w:r>
      <w:r w:rsidR="00926E61" w:rsidRPr="00FE7BA7">
        <w:rPr>
          <w:rFonts w:ascii="Verdana" w:hAnsi="Verdana"/>
          <w:i/>
          <w:snapToGrid w:val="0"/>
          <w:sz w:val="20"/>
          <w:szCs w:val="20"/>
          <w:lang w:val="en-US"/>
        </w:rPr>
        <w:t xml:space="preserve">. </w:t>
      </w:r>
      <w:r w:rsidR="00896645" w:rsidRPr="00FE7BA7">
        <w:rPr>
          <w:rFonts w:ascii="Verdana" w:hAnsi="Verdana"/>
          <w:snapToGrid w:val="0"/>
          <w:sz w:val="20"/>
          <w:szCs w:val="20"/>
          <w:lang w:val="en-US"/>
        </w:rPr>
        <w:t>The State’s defense counsel indicated that the argument that</w:t>
      </w:r>
      <w:r w:rsidR="00BE4D11" w:rsidRPr="00FE7BA7">
        <w:rPr>
          <w:rFonts w:ascii="Verdana" w:hAnsi="Verdana"/>
          <w:snapToGrid w:val="0"/>
          <w:sz w:val="20"/>
          <w:szCs w:val="20"/>
          <w:lang w:val="en-US"/>
        </w:rPr>
        <w:t xml:space="preserve"> the </w:t>
      </w:r>
      <w:r w:rsidRPr="00FE7BA7">
        <w:rPr>
          <w:rFonts w:ascii="Verdana" w:hAnsi="Verdana"/>
          <w:snapToGrid w:val="0"/>
          <w:sz w:val="20"/>
          <w:szCs w:val="20"/>
          <w:lang w:val="en-US"/>
        </w:rPr>
        <w:t>residents</w:t>
      </w:r>
      <w:r w:rsidR="00926E61" w:rsidRPr="00FE7BA7">
        <w:rPr>
          <w:rFonts w:ascii="Verdana" w:hAnsi="Verdana"/>
          <w:snapToGrid w:val="0"/>
          <w:sz w:val="20"/>
          <w:szCs w:val="20"/>
          <w:lang w:val="en-US"/>
        </w:rPr>
        <w:t xml:space="preserve"> </w:t>
      </w:r>
      <w:r w:rsidR="00896645" w:rsidRPr="00FE7BA7">
        <w:rPr>
          <w:rFonts w:ascii="Verdana" w:hAnsi="Verdana"/>
          <w:snapToGrid w:val="0"/>
          <w:sz w:val="20"/>
          <w:szCs w:val="20"/>
          <w:lang w:val="en-US"/>
        </w:rPr>
        <w:t>of the community</w:t>
      </w:r>
      <w:r w:rsidR="00926E61" w:rsidRPr="00FE7BA7">
        <w:rPr>
          <w:rFonts w:ascii="Verdana" w:hAnsi="Verdana"/>
          <w:snapToGrid w:val="0"/>
          <w:sz w:val="20"/>
          <w:szCs w:val="20"/>
          <w:lang w:val="en-US"/>
        </w:rPr>
        <w:t xml:space="preserve"> ha</w:t>
      </w:r>
      <w:r w:rsidR="00896645" w:rsidRPr="00FE7BA7">
        <w:rPr>
          <w:rFonts w:ascii="Verdana" w:hAnsi="Verdana"/>
          <w:snapToGrid w:val="0"/>
          <w:sz w:val="20"/>
          <w:szCs w:val="20"/>
          <w:lang w:val="en-US"/>
        </w:rPr>
        <w:t xml:space="preserve">d inhabited the disputed territory for centuries was grossly exaggerated; that domestic law did not establish recognition of ancestral territories, and that the area where the petitioners resided had not been demarcated. On July 24, 2003, </w:t>
      </w:r>
      <w:r w:rsidR="002B5CCD" w:rsidRPr="00FE7BA7">
        <w:rPr>
          <w:rFonts w:ascii="Verdana" w:hAnsi="Verdana"/>
          <w:snapToGrid w:val="0"/>
          <w:sz w:val="20"/>
          <w:szCs w:val="20"/>
          <w:lang w:val="en-US"/>
        </w:rPr>
        <w:t xml:space="preserve">the </w:t>
      </w:r>
      <w:r w:rsidR="00921C81" w:rsidRPr="00FE7BA7">
        <w:rPr>
          <w:rFonts w:ascii="Verdana" w:hAnsi="Verdana"/>
          <w:snapToGrid w:val="0"/>
          <w:sz w:val="20"/>
          <w:szCs w:val="20"/>
          <w:lang w:val="en-US"/>
        </w:rPr>
        <w:t>Cantonal Court of the First Canton of</w:t>
      </w:r>
      <w:r w:rsidR="00926E61" w:rsidRPr="00FE7BA7">
        <w:rPr>
          <w:rFonts w:ascii="Verdana" w:hAnsi="Verdana"/>
          <w:snapToGrid w:val="0"/>
          <w:sz w:val="20"/>
          <w:szCs w:val="20"/>
          <w:lang w:val="en-US"/>
        </w:rPr>
        <w:t xml:space="preserve"> Paramaribo </w:t>
      </w:r>
      <w:r w:rsidR="00896645" w:rsidRPr="00FE7BA7">
        <w:rPr>
          <w:rFonts w:ascii="Verdana" w:hAnsi="Verdana"/>
          <w:snapToGrid w:val="0"/>
          <w:sz w:val="20"/>
          <w:szCs w:val="20"/>
          <w:lang w:val="en-US"/>
        </w:rPr>
        <w:t xml:space="preserve">handed down judgment denying the application because </w:t>
      </w:r>
      <w:r w:rsidR="00DA4B96" w:rsidRPr="00FE7BA7">
        <w:rPr>
          <w:rFonts w:ascii="Verdana" w:hAnsi="Verdana"/>
          <w:snapToGrid w:val="0"/>
          <w:sz w:val="20"/>
          <w:szCs w:val="20"/>
          <w:lang w:val="en-US"/>
        </w:rPr>
        <w:t>the members</w:t>
      </w:r>
      <w:r w:rsidR="00926E61" w:rsidRPr="00FE7BA7">
        <w:rPr>
          <w:rFonts w:ascii="Verdana" w:hAnsi="Verdana"/>
          <w:snapToGrid w:val="0"/>
          <w:sz w:val="20"/>
          <w:szCs w:val="20"/>
          <w:lang w:val="en-US"/>
        </w:rPr>
        <w:t xml:space="preserve"> </w:t>
      </w:r>
      <w:r w:rsidR="00896645" w:rsidRPr="00FE7BA7">
        <w:rPr>
          <w:rFonts w:ascii="Verdana" w:hAnsi="Verdana"/>
          <w:snapToGrid w:val="0"/>
          <w:sz w:val="20"/>
          <w:szCs w:val="20"/>
          <w:lang w:val="en-US"/>
        </w:rPr>
        <w:t>of the indigenous community</w:t>
      </w:r>
      <w:r w:rsidR="00926E61" w:rsidRPr="00FE7BA7">
        <w:rPr>
          <w:rFonts w:ascii="Verdana" w:hAnsi="Verdana"/>
          <w:snapToGrid w:val="0"/>
          <w:sz w:val="20"/>
          <w:szCs w:val="20"/>
          <w:lang w:val="en-US"/>
        </w:rPr>
        <w:t xml:space="preserve"> </w:t>
      </w:r>
      <w:r w:rsidR="00896645" w:rsidRPr="00FE7BA7">
        <w:rPr>
          <w:rFonts w:ascii="Verdana" w:hAnsi="Verdana"/>
          <w:snapToGrid w:val="0"/>
          <w:sz w:val="20"/>
          <w:szCs w:val="20"/>
          <w:lang w:val="en-US"/>
        </w:rPr>
        <w:t>had no legal standing as a collective entity and, therefore, lacked competence to request the cancellation of the mining concession.</w:t>
      </w:r>
      <w:r w:rsidR="00926E61" w:rsidRPr="00FE7BA7">
        <w:rPr>
          <w:rStyle w:val="FootnoteReference"/>
          <w:snapToGrid w:val="0"/>
          <w:szCs w:val="20"/>
          <w:lang w:val="en-US"/>
        </w:rPr>
        <w:footnoteReference w:id="74"/>
      </w:r>
    </w:p>
    <w:p w14:paraId="631268BA" w14:textId="77777777" w:rsidR="00926E61" w:rsidRPr="00FE7BA7" w:rsidRDefault="00926E61" w:rsidP="00926E61">
      <w:pPr>
        <w:jc w:val="both"/>
        <w:rPr>
          <w:rFonts w:ascii="Verdana" w:hAnsi="Verdana"/>
          <w:sz w:val="20"/>
          <w:szCs w:val="20"/>
          <w:lang w:val="en-US"/>
        </w:rPr>
      </w:pPr>
    </w:p>
    <w:p w14:paraId="631268BB" w14:textId="77777777" w:rsidR="00926E61" w:rsidRPr="00FE7BA7" w:rsidRDefault="00896645"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Furthermore</w:t>
      </w:r>
      <w:r w:rsidR="00926E61" w:rsidRPr="00FE7BA7">
        <w:rPr>
          <w:rFonts w:ascii="Verdana" w:hAnsi="Verdana"/>
          <w:sz w:val="20"/>
          <w:szCs w:val="20"/>
          <w:lang w:val="en-US"/>
        </w:rPr>
        <w:t xml:space="preserve">, </w:t>
      </w:r>
      <w:r w:rsidR="00CA7C7B" w:rsidRPr="00FE7BA7">
        <w:rPr>
          <w:rFonts w:ascii="Verdana" w:hAnsi="Verdana"/>
          <w:sz w:val="20"/>
          <w:szCs w:val="20"/>
          <w:lang w:val="en-US"/>
        </w:rPr>
        <w:t>on January 31,</w:t>
      </w:r>
      <w:r w:rsidR="00926E61" w:rsidRPr="00FE7BA7">
        <w:rPr>
          <w:rFonts w:ascii="Verdana" w:hAnsi="Verdana"/>
          <w:sz w:val="20"/>
          <w:szCs w:val="20"/>
          <w:lang w:val="en-US"/>
        </w:rPr>
        <w:t xml:space="preserve"> 2003, </w:t>
      </w:r>
      <w:r w:rsidR="00CA7C7B" w:rsidRPr="00FE7BA7">
        <w:rPr>
          <w:rFonts w:ascii="Verdana" w:hAnsi="Verdana"/>
          <w:sz w:val="20"/>
          <w:szCs w:val="20"/>
          <w:lang w:val="en-US"/>
        </w:rPr>
        <w:t>March 22,</w:t>
      </w:r>
      <w:r w:rsidR="00926E61" w:rsidRPr="00FE7BA7">
        <w:rPr>
          <w:rFonts w:ascii="Verdana" w:hAnsi="Verdana"/>
          <w:sz w:val="20"/>
          <w:szCs w:val="20"/>
          <w:lang w:val="en-US"/>
        </w:rPr>
        <w:t xml:space="preserve"> 2004</w:t>
      </w:r>
      <w:r w:rsidR="00CA7C7B" w:rsidRPr="00FE7BA7">
        <w:rPr>
          <w:rFonts w:ascii="Verdana" w:hAnsi="Verdana"/>
          <w:sz w:val="20"/>
          <w:szCs w:val="20"/>
          <w:lang w:val="en-US"/>
        </w:rPr>
        <w:t>,</w:t>
      </w:r>
      <w:r w:rsidR="002B5CCD" w:rsidRPr="00FE7BA7">
        <w:rPr>
          <w:rFonts w:ascii="Verdana" w:hAnsi="Verdana"/>
          <w:sz w:val="20"/>
          <w:szCs w:val="20"/>
          <w:lang w:val="en-US"/>
        </w:rPr>
        <w:t xml:space="preserve"> and </w:t>
      </w:r>
      <w:r w:rsidR="00CA7C7B" w:rsidRPr="00FE7BA7">
        <w:rPr>
          <w:rFonts w:ascii="Verdana" w:hAnsi="Verdana"/>
          <w:sz w:val="20"/>
          <w:szCs w:val="20"/>
          <w:lang w:val="en-US"/>
        </w:rPr>
        <w:t>September 25,</w:t>
      </w:r>
      <w:r w:rsidR="00926E61" w:rsidRPr="00FE7BA7">
        <w:rPr>
          <w:rFonts w:ascii="Verdana" w:hAnsi="Verdana"/>
          <w:sz w:val="20"/>
          <w:szCs w:val="20"/>
          <w:lang w:val="en-US"/>
        </w:rPr>
        <w:t xml:space="preserve"> 2005</w:t>
      </w:r>
      <w:r w:rsidR="009566E9">
        <w:rPr>
          <w:rFonts w:ascii="Verdana" w:hAnsi="Verdana"/>
          <w:sz w:val="20"/>
          <w:szCs w:val="20"/>
          <w:lang w:val="en-US"/>
        </w:rPr>
        <w:t>, the c</w:t>
      </w:r>
      <w:r w:rsidR="00CA7C7B" w:rsidRPr="00FE7BA7">
        <w:rPr>
          <w:rFonts w:ascii="Verdana" w:hAnsi="Verdana"/>
          <w:sz w:val="20"/>
          <w:szCs w:val="20"/>
          <w:lang w:val="en-US"/>
        </w:rPr>
        <w:t xml:space="preserve">aptains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presented formal petitions to the</w:t>
      </w:r>
      <w:r w:rsidR="00926E61" w:rsidRPr="00FE7BA7">
        <w:rPr>
          <w:rFonts w:ascii="Verdana" w:hAnsi="Verdana"/>
          <w:sz w:val="20"/>
          <w:szCs w:val="20"/>
          <w:lang w:val="en-US"/>
        </w:rPr>
        <w:t xml:space="preserve"> </w:t>
      </w:r>
      <w:r w:rsidR="002B5CCD" w:rsidRPr="00FE7BA7">
        <w:rPr>
          <w:rFonts w:ascii="Verdana" w:hAnsi="Verdana"/>
          <w:sz w:val="20"/>
          <w:szCs w:val="20"/>
          <w:lang w:val="en-US"/>
        </w:rPr>
        <w:t>President</w:t>
      </w:r>
      <w:r w:rsidR="002F0F93" w:rsidRPr="00FE7BA7">
        <w:rPr>
          <w:rFonts w:ascii="Verdana" w:hAnsi="Verdana"/>
          <w:sz w:val="20"/>
          <w:szCs w:val="20"/>
          <w:lang w:val="en-US"/>
        </w:rPr>
        <w:t xml:space="preserve"> of Suriname</w:t>
      </w:r>
      <w:r w:rsidR="004C7D14" w:rsidRPr="00FE7BA7">
        <w:rPr>
          <w:rFonts w:ascii="Verdana" w:hAnsi="Verdana"/>
          <w:sz w:val="20"/>
          <w:szCs w:val="20"/>
          <w:lang w:val="en-US"/>
        </w:rPr>
        <w:t>,</w:t>
      </w:r>
      <w:r w:rsidR="00926E61" w:rsidRPr="00FE7BA7">
        <w:rPr>
          <w:rFonts w:ascii="Verdana" w:hAnsi="Verdana"/>
          <w:sz w:val="20"/>
          <w:szCs w:val="20"/>
          <w:lang w:val="en-US"/>
        </w:rPr>
        <w:t xml:space="preserve"> Ronald Venetiaan,</w:t>
      </w:r>
      <w:r w:rsidRPr="00FE7BA7">
        <w:rPr>
          <w:rFonts w:ascii="Verdana" w:hAnsi="Verdana"/>
          <w:sz w:val="20"/>
          <w:szCs w:val="20"/>
          <w:lang w:val="en-US"/>
        </w:rPr>
        <w:t xml:space="preserve"> under the provisions of a</w:t>
      </w:r>
      <w:r w:rsidR="002B5CCD" w:rsidRPr="00FE7BA7">
        <w:rPr>
          <w:rFonts w:ascii="Verdana" w:hAnsi="Verdana"/>
          <w:sz w:val="20"/>
          <w:szCs w:val="20"/>
          <w:lang w:val="en-US"/>
        </w:rPr>
        <w:t>rticle</w:t>
      </w:r>
      <w:r w:rsidR="00926E61" w:rsidRPr="00FE7BA7">
        <w:rPr>
          <w:rFonts w:ascii="Verdana" w:hAnsi="Verdana"/>
          <w:sz w:val="20"/>
          <w:szCs w:val="20"/>
          <w:lang w:val="en-US"/>
        </w:rPr>
        <w:t xml:space="preserve"> 22 </w:t>
      </w:r>
      <w:r w:rsidR="00CA7C7B" w:rsidRPr="00FE7BA7">
        <w:rPr>
          <w:rFonts w:ascii="Verdana" w:hAnsi="Verdana"/>
          <w:sz w:val="20"/>
          <w:szCs w:val="20"/>
          <w:lang w:val="en-US"/>
        </w:rPr>
        <w:t>o</w:t>
      </w:r>
      <w:r w:rsidR="009566E9">
        <w:rPr>
          <w:rFonts w:ascii="Verdana" w:hAnsi="Verdana"/>
          <w:sz w:val="20"/>
          <w:szCs w:val="20"/>
          <w:lang w:val="en-US"/>
        </w:rPr>
        <w:t>f</w:t>
      </w:r>
      <w:r w:rsidR="00CA7C7B" w:rsidRPr="00FE7BA7">
        <w:rPr>
          <w:rFonts w:ascii="Verdana" w:hAnsi="Verdana"/>
          <w:sz w:val="20"/>
          <w:szCs w:val="20"/>
          <w:lang w:val="en-US"/>
        </w:rPr>
        <w:t xml:space="preserve"> th</w:t>
      </w:r>
      <w:r w:rsidRPr="00FE7BA7">
        <w:rPr>
          <w:rFonts w:ascii="Verdana" w:hAnsi="Verdana"/>
          <w:sz w:val="20"/>
          <w:szCs w:val="20"/>
          <w:lang w:val="en-US"/>
        </w:rPr>
        <w:t>e</w:t>
      </w:r>
      <w:r w:rsidR="00CA7C7B" w:rsidRPr="00FE7BA7">
        <w:rPr>
          <w:rFonts w:ascii="Verdana" w:hAnsi="Verdana"/>
          <w:sz w:val="20"/>
          <w:szCs w:val="20"/>
          <w:lang w:val="en-US"/>
        </w:rPr>
        <w:t xml:space="preserve"> 1987 Constitution.</w:t>
      </w:r>
      <w:r w:rsidR="00926E61" w:rsidRPr="00FE7BA7">
        <w:rPr>
          <w:rStyle w:val="FootnoteReference"/>
          <w:szCs w:val="20"/>
          <w:lang w:val="en-US"/>
        </w:rPr>
        <w:footnoteReference w:id="75"/>
      </w:r>
      <w:r w:rsidR="00926E61" w:rsidRPr="00FE7BA7">
        <w:rPr>
          <w:rFonts w:ascii="Verdana" w:hAnsi="Verdana"/>
          <w:sz w:val="20"/>
          <w:szCs w:val="20"/>
          <w:lang w:val="en-US"/>
        </w:rPr>
        <w:t xml:space="preserve"> </w:t>
      </w:r>
      <w:r w:rsidRPr="00FE7BA7">
        <w:rPr>
          <w:rFonts w:ascii="Verdana" w:hAnsi="Verdana"/>
          <w:sz w:val="20"/>
          <w:szCs w:val="20"/>
          <w:lang w:val="en-US"/>
        </w:rPr>
        <w:t xml:space="preserve">In these petitions, </w:t>
      </w:r>
      <w:r w:rsidR="009566E9">
        <w:rPr>
          <w:rFonts w:ascii="Verdana" w:hAnsi="Verdana"/>
          <w:sz w:val="20"/>
          <w:szCs w:val="20"/>
          <w:lang w:val="en-US"/>
        </w:rPr>
        <w:t>the c</w:t>
      </w:r>
      <w:r w:rsidR="00CA7C7B" w:rsidRPr="00FE7BA7">
        <w:rPr>
          <w:rFonts w:ascii="Verdana" w:hAnsi="Verdana"/>
          <w:sz w:val="20"/>
          <w:szCs w:val="20"/>
          <w:lang w:val="en-US"/>
        </w:rPr>
        <w:t>aptains</w:t>
      </w:r>
      <w:r w:rsidR="00926E61" w:rsidRPr="00FE7BA7">
        <w:rPr>
          <w:rFonts w:ascii="Verdana" w:hAnsi="Verdana"/>
          <w:sz w:val="20"/>
          <w:szCs w:val="20"/>
          <w:lang w:val="en-US"/>
        </w:rPr>
        <w:t xml:space="preserve"> </w:t>
      </w:r>
      <w:r w:rsidRPr="00FE7BA7">
        <w:rPr>
          <w:rFonts w:ascii="Verdana" w:hAnsi="Verdana"/>
          <w:sz w:val="20"/>
          <w:szCs w:val="20"/>
          <w:lang w:val="en-US"/>
        </w:rPr>
        <w:t>request</w:t>
      </w:r>
      <w:r w:rsidR="009566E9">
        <w:rPr>
          <w:rFonts w:ascii="Verdana" w:hAnsi="Verdana"/>
          <w:sz w:val="20"/>
          <w:szCs w:val="20"/>
          <w:lang w:val="en-US"/>
        </w:rPr>
        <w:t>ed the recognition of the right</w:t>
      </w:r>
      <w:r w:rsidRPr="00FE7BA7">
        <w:rPr>
          <w:rFonts w:ascii="Verdana" w:hAnsi="Verdana"/>
          <w:sz w:val="20"/>
          <w:szCs w:val="20"/>
          <w:lang w:val="en-US"/>
        </w:rPr>
        <w:t xml:space="preserve"> to </w:t>
      </w:r>
      <w:r w:rsidR="00086269" w:rsidRPr="00FE7BA7">
        <w:rPr>
          <w:rFonts w:ascii="Verdana" w:hAnsi="Verdana"/>
          <w:sz w:val="20"/>
          <w:szCs w:val="20"/>
          <w:lang w:val="en-US"/>
        </w:rPr>
        <w:t>their ancestral territories</w:t>
      </w:r>
      <w:r w:rsidR="00926E61" w:rsidRPr="00FE7BA7">
        <w:rPr>
          <w:rFonts w:ascii="Verdana" w:hAnsi="Verdana"/>
          <w:sz w:val="20"/>
          <w:szCs w:val="20"/>
          <w:lang w:val="en-US"/>
        </w:rPr>
        <w:t xml:space="preserve">; </w:t>
      </w:r>
      <w:r w:rsidRPr="00FE7BA7">
        <w:rPr>
          <w:rFonts w:ascii="Verdana" w:hAnsi="Verdana"/>
          <w:sz w:val="20"/>
          <w:szCs w:val="20"/>
          <w:lang w:val="en-US"/>
        </w:rPr>
        <w:lastRenderedPageBreak/>
        <w:t xml:space="preserve">they indicated that the laws of Suriname did not include recognition of their </w:t>
      </w:r>
      <w:r w:rsidR="00286843">
        <w:rPr>
          <w:rFonts w:ascii="Verdana" w:hAnsi="Verdana"/>
          <w:sz w:val="20"/>
          <w:szCs w:val="20"/>
          <w:lang w:val="en-US"/>
        </w:rPr>
        <w:t>legal</w:t>
      </w:r>
      <w:r w:rsidRPr="00FE7BA7">
        <w:rPr>
          <w:rFonts w:ascii="Verdana" w:hAnsi="Verdana"/>
          <w:sz w:val="20"/>
          <w:szCs w:val="20"/>
          <w:lang w:val="en-US"/>
        </w:rPr>
        <w:t xml:space="preserve"> personality or the obligation to consult them on situations that affected their </w:t>
      </w:r>
      <w:r w:rsidR="009566E9">
        <w:rPr>
          <w:rFonts w:ascii="Verdana" w:hAnsi="Verdana"/>
          <w:sz w:val="20"/>
          <w:szCs w:val="20"/>
          <w:lang w:val="en-US"/>
        </w:rPr>
        <w:t>lands</w:t>
      </w:r>
      <w:r w:rsidRPr="00FE7BA7">
        <w:rPr>
          <w:rFonts w:ascii="Verdana" w:hAnsi="Verdana"/>
          <w:sz w:val="20"/>
          <w:szCs w:val="20"/>
          <w:lang w:val="en-US"/>
        </w:rPr>
        <w:t xml:space="preserve"> and culture, and they contested the creation of three nature reserves and the granting of mining concessions and logging permits in </w:t>
      </w:r>
      <w:r w:rsidR="00CA7C7B" w:rsidRPr="00FE7BA7">
        <w:rPr>
          <w:rFonts w:ascii="Verdana" w:hAnsi="Verdana"/>
          <w:sz w:val="20"/>
          <w:szCs w:val="20"/>
          <w:lang w:val="en-US"/>
        </w:rPr>
        <w:t>their ancestral territory.</w:t>
      </w:r>
      <w:r w:rsidR="00926E61" w:rsidRPr="00FE7BA7">
        <w:rPr>
          <w:rStyle w:val="FootnoteReference"/>
          <w:szCs w:val="20"/>
          <w:lang w:val="en-US"/>
        </w:rPr>
        <w:footnoteReference w:id="76"/>
      </w:r>
      <w:r w:rsidR="00926E61" w:rsidRPr="00FE7BA7">
        <w:rPr>
          <w:rFonts w:ascii="Verdana" w:hAnsi="Verdana"/>
          <w:sz w:val="20"/>
          <w:szCs w:val="20"/>
          <w:lang w:val="en-US"/>
        </w:rPr>
        <w:t xml:space="preserve"> </w:t>
      </w:r>
      <w:r w:rsidRPr="00FE7BA7">
        <w:rPr>
          <w:rFonts w:ascii="Verdana" w:hAnsi="Verdana"/>
          <w:sz w:val="20"/>
          <w:szCs w:val="20"/>
          <w:lang w:val="en-US"/>
        </w:rPr>
        <w:t>The State did not respond to these petition</w:t>
      </w:r>
      <w:r w:rsidR="009566E9">
        <w:rPr>
          <w:rFonts w:ascii="Verdana" w:hAnsi="Verdana"/>
          <w:sz w:val="20"/>
          <w:szCs w:val="20"/>
          <w:lang w:val="en-US"/>
        </w:rPr>
        <w:t>s</w:t>
      </w:r>
      <w:r w:rsidR="00CA7C7B" w:rsidRPr="00FE7BA7">
        <w:rPr>
          <w:rFonts w:ascii="Verdana" w:hAnsi="Verdana"/>
          <w:sz w:val="20"/>
          <w:szCs w:val="20"/>
          <w:lang w:val="en-US"/>
        </w:rPr>
        <w:t>.</w:t>
      </w:r>
      <w:r w:rsidR="00926E61" w:rsidRPr="00FE7BA7">
        <w:rPr>
          <w:rStyle w:val="FootnoteReference"/>
          <w:szCs w:val="20"/>
          <w:lang w:val="en-US"/>
        </w:rPr>
        <w:footnoteReference w:id="77"/>
      </w:r>
      <w:r w:rsidR="00926E61" w:rsidRPr="00FE7BA7">
        <w:rPr>
          <w:rFonts w:ascii="Verdana" w:hAnsi="Verdana"/>
          <w:sz w:val="20"/>
          <w:szCs w:val="20"/>
          <w:lang w:val="en-US"/>
        </w:rPr>
        <w:t xml:space="preserve"> </w:t>
      </w:r>
    </w:p>
    <w:p w14:paraId="631268BC" w14:textId="77777777" w:rsidR="00926E61" w:rsidRPr="00FE7BA7" w:rsidRDefault="00926E61" w:rsidP="00926E61">
      <w:pPr>
        <w:pStyle w:val="ListParagraph"/>
        <w:ind w:left="0"/>
        <w:jc w:val="both"/>
        <w:rPr>
          <w:rFonts w:ascii="Verdana" w:hAnsi="Verdana"/>
          <w:sz w:val="20"/>
          <w:szCs w:val="20"/>
          <w:lang w:val="en-US"/>
        </w:rPr>
      </w:pPr>
    </w:p>
    <w:p w14:paraId="631268BD" w14:textId="77777777" w:rsidR="00926E61" w:rsidRPr="00FE7BA7" w:rsidRDefault="00CA7C7B"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On January 31 and February 28, 2003, meetings were held with the</w:t>
      </w:r>
      <w:r w:rsidR="00926E61" w:rsidRPr="00FE7BA7">
        <w:rPr>
          <w:rFonts w:ascii="Verdana" w:hAnsi="Verdana"/>
          <w:sz w:val="20"/>
          <w:szCs w:val="20"/>
          <w:lang w:val="en-US"/>
        </w:rPr>
        <w:t xml:space="preserve"> Minist</w:t>
      </w:r>
      <w:r w:rsidRPr="00FE7BA7">
        <w:rPr>
          <w:rFonts w:ascii="Verdana" w:hAnsi="Verdana"/>
          <w:sz w:val="20"/>
          <w:szCs w:val="20"/>
          <w:lang w:val="en-US"/>
        </w:rPr>
        <w:t xml:space="preserve">ers of Regional </w:t>
      </w:r>
      <w:r w:rsidR="00FE7BA7" w:rsidRPr="00FE7BA7">
        <w:rPr>
          <w:rFonts w:ascii="Verdana" w:hAnsi="Verdana"/>
          <w:sz w:val="20"/>
          <w:szCs w:val="20"/>
          <w:lang w:val="en-US"/>
        </w:rPr>
        <w:t>Development</w:t>
      </w:r>
      <w:r w:rsidRPr="00FE7BA7">
        <w:rPr>
          <w:rFonts w:ascii="Verdana" w:hAnsi="Verdana"/>
          <w:sz w:val="20"/>
          <w:szCs w:val="20"/>
          <w:lang w:val="en-US"/>
        </w:rPr>
        <w:t xml:space="preserve"> and of Natural Resources to discuss the concerns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Pr="00FE7BA7">
        <w:rPr>
          <w:rFonts w:ascii="Verdana" w:hAnsi="Verdana"/>
          <w:sz w:val="20"/>
          <w:szCs w:val="20"/>
          <w:lang w:val="en-US"/>
        </w:rPr>
        <w:t>, but without reaching any specific agreements.</w:t>
      </w:r>
      <w:r w:rsidR="00926E61" w:rsidRPr="00FE7BA7">
        <w:rPr>
          <w:rStyle w:val="FootnoteReference"/>
          <w:szCs w:val="20"/>
          <w:lang w:val="en-US"/>
        </w:rPr>
        <w:footnoteReference w:id="78"/>
      </w:r>
    </w:p>
    <w:p w14:paraId="631268BE" w14:textId="77777777" w:rsidR="0049296E" w:rsidRPr="00FE7BA7" w:rsidRDefault="0049296E" w:rsidP="0049296E">
      <w:pPr>
        <w:pStyle w:val="ListParagraph"/>
        <w:rPr>
          <w:rFonts w:ascii="Verdana" w:hAnsi="Verdana"/>
          <w:sz w:val="20"/>
          <w:szCs w:val="20"/>
          <w:lang w:val="en-US"/>
        </w:rPr>
      </w:pPr>
    </w:p>
    <w:p w14:paraId="631268BF" w14:textId="77777777" w:rsidR="00926E61" w:rsidRPr="00FE7BA7" w:rsidRDefault="00CA7C7B" w:rsidP="0049296E">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December</w:t>
      </w:r>
      <w:r w:rsidR="00926E61" w:rsidRPr="00FE7BA7">
        <w:rPr>
          <w:rFonts w:ascii="Verdana" w:hAnsi="Verdana"/>
          <w:sz w:val="20"/>
          <w:szCs w:val="20"/>
          <w:lang w:val="en-US"/>
        </w:rPr>
        <w:t xml:space="preserve"> 2004</w:t>
      </w:r>
      <w:r w:rsidRPr="00FE7BA7">
        <w:rPr>
          <w:rFonts w:ascii="Verdana" w:hAnsi="Verdana"/>
          <w:sz w:val="20"/>
          <w:szCs w:val="20"/>
          <w:lang w:val="en-US"/>
        </w:rPr>
        <w:t>,</w:t>
      </w:r>
      <w:r w:rsidR="00926E61" w:rsidRPr="00FE7BA7">
        <w:rPr>
          <w:rFonts w:ascii="Verdana" w:hAnsi="Verdana"/>
          <w:sz w:val="20"/>
          <w:szCs w:val="20"/>
          <w:lang w:val="en-US"/>
        </w:rPr>
        <w:t xml:space="preserve"> CLIM, </w:t>
      </w:r>
      <w:r w:rsidR="00896645" w:rsidRPr="00FE7BA7">
        <w:rPr>
          <w:rFonts w:ascii="Verdana" w:hAnsi="Verdana"/>
          <w:sz w:val="20"/>
          <w:szCs w:val="20"/>
          <w:lang w:val="en-US"/>
        </w:rPr>
        <w:t>on behalf</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926E61" w:rsidRPr="00FE7BA7">
        <w:rPr>
          <w:rFonts w:ascii="Verdana" w:hAnsi="Verdana"/>
          <w:sz w:val="20"/>
          <w:szCs w:val="20"/>
          <w:lang w:val="en-US"/>
        </w:rPr>
        <w:t xml:space="preserve">, </w:t>
      </w:r>
      <w:r w:rsidR="00896645" w:rsidRPr="00FE7BA7">
        <w:rPr>
          <w:rFonts w:ascii="Verdana" w:hAnsi="Verdana"/>
          <w:sz w:val="20"/>
          <w:szCs w:val="20"/>
          <w:lang w:val="en-US"/>
        </w:rPr>
        <w:t xml:space="preserve">submitted a note to </w:t>
      </w:r>
      <w:r w:rsidR="00896645" w:rsidRPr="009566E9">
        <w:rPr>
          <w:rFonts w:ascii="Verdana" w:hAnsi="Verdana"/>
          <w:sz w:val="20"/>
          <w:szCs w:val="20"/>
          <w:lang w:val="en-US"/>
        </w:rPr>
        <w:t>the</w:t>
      </w:r>
      <w:r w:rsidR="0049296E" w:rsidRPr="009566E9">
        <w:rPr>
          <w:rFonts w:ascii="Verdana" w:hAnsi="Verdana"/>
          <w:sz w:val="20"/>
          <w:szCs w:val="20"/>
          <w:lang w:val="en-US"/>
        </w:rPr>
        <w:t xml:space="preserve"> </w:t>
      </w:r>
      <w:r w:rsidR="00896645" w:rsidRPr="009566E9">
        <w:rPr>
          <w:rFonts w:ascii="Verdana" w:hAnsi="Verdana"/>
          <w:sz w:val="20"/>
          <w:szCs w:val="20"/>
          <w:lang w:val="en-US"/>
        </w:rPr>
        <w:t>State Land</w:t>
      </w:r>
      <w:r w:rsidR="009566E9">
        <w:rPr>
          <w:rFonts w:ascii="Verdana" w:hAnsi="Verdana"/>
          <w:sz w:val="20"/>
          <w:szCs w:val="20"/>
          <w:lang w:val="en-US"/>
        </w:rPr>
        <w:t>s Office</w:t>
      </w:r>
      <w:r w:rsidR="0049296E" w:rsidRPr="009566E9">
        <w:rPr>
          <w:rFonts w:ascii="Verdana" w:hAnsi="Verdana"/>
          <w:sz w:val="20"/>
          <w:szCs w:val="20"/>
          <w:lang w:val="en-US"/>
        </w:rPr>
        <w:t xml:space="preserve"> requesting</w:t>
      </w:r>
      <w:r w:rsidR="0049296E" w:rsidRPr="00FE7BA7">
        <w:rPr>
          <w:rFonts w:ascii="Verdana" w:hAnsi="Verdana"/>
          <w:sz w:val="20"/>
          <w:szCs w:val="20"/>
          <w:lang w:val="en-US"/>
        </w:rPr>
        <w:t xml:space="preserve"> the </w:t>
      </w:r>
      <w:r w:rsidR="00FE7BA7" w:rsidRPr="00FE7BA7">
        <w:rPr>
          <w:rFonts w:ascii="Verdana" w:hAnsi="Verdana"/>
          <w:sz w:val="20"/>
          <w:szCs w:val="20"/>
          <w:lang w:val="en-US"/>
        </w:rPr>
        <w:t>suspension</w:t>
      </w:r>
      <w:r w:rsidR="0049296E" w:rsidRPr="00FE7BA7">
        <w:rPr>
          <w:rFonts w:ascii="Verdana" w:hAnsi="Verdana"/>
          <w:sz w:val="20"/>
          <w:szCs w:val="20"/>
          <w:lang w:val="en-US"/>
        </w:rPr>
        <w:t xml:space="preserve"> of the issue of titles in the area known as </w:t>
      </w:r>
      <w:r w:rsidR="00926E61" w:rsidRPr="00FE7BA7">
        <w:rPr>
          <w:rFonts w:ascii="Verdana" w:hAnsi="Verdana"/>
          <w:sz w:val="20"/>
          <w:szCs w:val="20"/>
          <w:lang w:val="en-US"/>
        </w:rPr>
        <w:t>“Tuinstad</w:t>
      </w:r>
      <w:r w:rsidR="00127AF5" w:rsidRPr="00FE7BA7">
        <w:rPr>
          <w:rFonts w:ascii="Verdana" w:hAnsi="Verdana"/>
          <w:sz w:val="20"/>
          <w:szCs w:val="20"/>
          <w:lang w:val="en-US"/>
        </w:rPr>
        <w:t xml:space="preserve"> Albina</w:t>
      </w:r>
      <w:r w:rsidR="00926E61" w:rsidRPr="00FE7BA7">
        <w:rPr>
          <w:rFonts w:ascii="Verdana" w:hAnsi="Verdana"/>
          <w:sz w:val="20"/>
          <w:szCs w:val="20"/>
          <w:lang w:val="en-US"/>
        </w:rPr>
        <w:t>” (</w:t>
      </w:r>
      <w:r w:rsidR="007829DF" w:rsidRPr="00FE7BA7">
        <w:rPr>
          <w:rFonts w:ascii="Verdana" w:hAnsi="Verdana"/>
          <w:i/>
          <w:sz w:val="20"/>
          <w:szCs w:val="20"/>
          <w:lang w:val="en-US"/>
        </w:rPr>
        <w:t>infra</w:t>
      </w:r>
      <w:r w:rsidR="00926E61" w:rsidRPr="00FE7BA7">
        <w:rPr>
          <w:rFonts w:ascii="Verdana" w:hAnsi="Verdana"/>
          <w:sz w:val="20"/>
          <w:szCs w:val="20"/>
          <w:lang w:val="en-US"/>
        </w:rPr>
        <w:t xml:space="preserve"> </w:t>
      </w:r>
      <w:r w:rsidR="008F798A" w:rsidRPr="00FE7BA7">
        <w:rPr>
          <w:rFonts w:ascii="Verdana" w:hAnsi="Verdana"/>
          <w:sz w:val="20"/>
          <w:szCs w:val="20"/>
          <w:lang w:val="en-US"/>
        </w:rPr>
        <w:t>paras.</w:t>
      </w:r>
      <w:r w:rsidR="00926E61" w:rsidRPr="00FE7BA7">
        <w:rPr>
          <w:rFonts w:ascii="Verdana" w:hAnsi="Verdana"/>
          <w:sz w:val="20"/>
          <w:szCs w:val="20"/>
          <w:lang w:val="en-US"/>
        </w:rPr>
        <w:t xml:space="preserve"> </w:t>
      </w:r>
      <w:r w:rsidRPr="00FE7BA7">
        <w:rPr>
          <w:rFonts w:ascii="Verdana" w:hAnsi="Verdana"/>
          <w:sz w:val="20"/>
          <w:szCs w:val="20"/>
          <w:lang w:val="en-US"/>
        </w:rPr>
        <w:t>96 to</w:t>
      </w:r>
      <w:r w:rsidR="0078039A" w:rsidRPr="00FE7BA7">
        <w:rPr>
          <w:rFonts w:ascii="Verdana" w:hAnsi="Verdana"/>
          <w:sz w:val="20"/>
          <w:szCs w:val="20"/>
          <w:lang w:val="en-US"/>
        </w:rPr>
        <w:t xml:space="preserve"> 99)</w:t>
      </w:r>
      <w:r w:rsidR="0049296E" w:rsidRPr="00FE7BA7">
        <w:rPr>
          <w:rFonts w:ascii="Verdana" w:hAnsi="Verdana"/>
          <w:sz w:val="20"/>
          <w:szCs w:val="20"/>
          <w:lang w:val="en-US"/>
        </w:rPr>
        <w:t>.</w:t>
      </w:r>
      <w:r w:rsidR="0078039A" w:rsidRPr="00FE7BA7">
        <w:rPr>
          <w:rStyle w:val="FootnoteReference"/>
          <w:szCs w:val="20"/>
          <w:lang w:val="en-US"/>
        </w:rPr>
        <w:footnoteReference w:id="79"/>
      </w:r>
      <w:r w:rsidR="0049296E" w:rsidRPr="00FE7BA7">
        <w:rPr>
          <w:rFonts w:ascii="Verdana" w:hAnsi="Verdana"/>
          <w:sz w:val="20"/>
          <w:szCs w:val="20"/>
          <w:lang w:val="en-US"/>
        </w:rPr>
        <w:t xml:space="preserve"> In addition,</w:t>
      </w:r>
      <w:r w:rsidR="0078039A" w:rsidRPr="00FE7BA7">
        <w:rPr>
          <w:rFonts w:ascii="Verdana" w:hAnsi="Verdana"/>
          <w:sz w:val="20"/>
          <w:szCs w:val="20"/>
          <w:lang w:val="en-US"/>
        </w:rPr>
        <w:t xml:space="preserve"> </w:t>
      </w:r>
      <w:r w:rsidRPr="00FE7BA7">
        <w:rPr>
          <w:rFonts w:ascii="Verdana" w:hAnsi="Verdana"/>
          <w:sz w:val="20"/>
          <w:szCs w:val="20"/>
          <w:lang w:val="en-US"/>
        </w:rPr>
        <w:t xml:space="preserve">on May 22, </w:t>
      </w:r>
      <w:r w:rsidR="00926E61" w:rsidRPr="00FE7BA7">
        <w:rPr>
          <w:rFonts w:ascii="Verdana" w:hAnsi="Verdana"/>
          <w:sz w:val="20"/>
          <w:szCs w:val="20"/>
          <w:lang w:val="en-US"/>
        </w:rPr>
        <w:t>2006</w:t>
      </w:r>
      <w:r w:rsidRPr="00FE7BA7">
        <w:rPr>
          <w:rFonts w:ascii="Verdana" w:hAnsi="Verdana"/>
          <w:sz w:val="20"/>
          <w:szCs w:val="20"/>
          <w:lang w:val="en-US"/>
        </w:rPr>
        <w:t>,</w:t>
      </w:r>
      <w:r w:rsidR="0049296E" w:rsidRPr="00FE7BA7">
        <w:rPr>
          <w:rFonts w:ascii="Verdana" w:hAnsi="Verdana"/>
          <w:sz w:val="20"/>
          <w:szCs w:val="20"/>
          <w:lang w:val="en-US"/>
        </w:rPr>
        <w:t xml:space="preserve"> CLIM presented a note to the Minister </w:t>
      </w:r>
      <w:r w:rsidR="0049296E" w:rsidRPr="009566E9">
        <w:rPr>
          <w:rFonts w:ascii="Verdana" w:hAnsi="Verdana"/>
          <w:sz w:val="20"/>
          <w:szCs w:val="20"/>
          <w:lang w:val="en-US"/>
        </w:rPr>
        <w:t xml:space="preserve">of </w:t>
      </w:r>
      <w:r w:rsidR="009566E9" w:rsidRPr="009566E9">
        <w:rPr>
          <w:rFonts w:ascii="Verdana" w:eastAsia="Times New Roman" w:hAnsi="Verdana" w:cs="Arial"/>
          <w:sz w:val="20"/>
          <w:szCs w:val="20"/>
          <w:lang w:val="en-US"/>
        </w:rPr>
        <w:t>Spatial</w:t>
      </w:r>
      <w:r w:rsidR="0049296E" w:rsidRPr="009566E9">
        <w:rPr>
          <w:rFonts w:ascii="Verdana" w:eastAsia="Times New Roman" w:hAnsi="Verdana" w:cs="Arial"/>
          <w:sz w:val="20"/>
          <w:szCs w:val="20"/>
          <w:lang w:val="en-US"/>
        </w:rPr>
        <w:t xml:space="preserve"> Planning, Land and Forest </w:t>
      </w:r>
      <w:r w:rsidR="009566E9" w:rsidRPr="009566E9">
        <w:rPr>
          <w:rFonts w:ascii="Verdana" w:eastAsia="Times New Roman" w:hAnsi="Verdana" w:cs="Arial"/>
          <w:sz w:val="20"/>
          <w:szCs w:val="20"/>
          <w:lang w:val="en-US"/>
        </w:rPr>
        <w:t>Policy</w:t>
      </w:r>
      <w:r w:rsidR="0049296E" w:rsidRPr="009566E9">
        <w:rPr>
          <w:rFonts w:ascii="Verdana" w:eastAsia="Times New Roman" w:hAnsi="Verdana" w:cs="Arial"/>
          <w:sz w:val="20"/>
          <w:szCs w:val="20"/>
          <w:lang w:val="en-US"/>
        </w:rPr>
        <w:t xml:space="preserve"> requesting</w:t>
      </w:r>
      <w:r w:rsidR="0049296E" w:rsidRPr="00FE7BA7">
        <w:rPr>
          <w:rFonts w:ascii="Verdana" w:eastAsia="Times New Roman" w:hAnsi="Verdana" w:cs="Arial"/>
          <w:sz w:val="20"/>
          <w:szCs w:val="20"/>
          <w:lang w:val="en-US"/>
        </w:rPr>
        <w:t xml:space="preserve"> the suspension of any activity that might affect </w:t>
      </w:r>
      <w:r w:rsidR="005269B1" w:rsidRPr="00FE7BA7">
        <w:rPr>
          <w:rFonts w:ascii="Verdana" w:hAnsi="Verdana"/>
          <w:sz w:val="20"/>
          <w:szCs w:val="20"/>
          <w:lang w:val="en-US"/>
        </w:rPr>
        <w:t>their ancestral territory</w:t>
      </w:r>
      <w:r w:rsidR="00926E61" w:rsidRPr="00FE7BA7">
        <w:rPr>
          <w:rFonts w:ascii="Verdana" w:hAnsi="Verdana"/>
          <w:sz w:val="20"/>
          <w:szCs w:val="20"/>
          <w:lang w:val="en-US"/>
        </w:rPr>
        <w:t xml:space="preserve"> </w:t>
      </w:r>
      <w:r w:rsidR="0049296E" w:rsidRPr="00FE7BA7">
        <w:rPr>
          <w:rFonts w:ascii="Verdana" w:hAnsi="Verdana"/>
          <w:sz w:val="20"/>
          <w:szCs w:val="20"/>
          <w:lang w:val="en-US"/>
        </w:rPr>
        <w:t>while the claims that had been presented in this regard were dealt with and decided.</w:t>
      </w:r>
      <w:r w:rsidR="00926E61" w:rsidRPr="00FE7BA7">
        <w:rPr>
          <w:rStyle w:val="FootnoteReference"/>
          <w:szCs w:val="20"/>
          <w:lang w:val="en-US"/>
        </w:rPr>
        <w:footnoteReference w:id="80"/>
      </w:r>
      <w:r w:rsidR="0049296E" w:rsidRPr="00FE7BA7">
        <w:rPr>
          <w:rFonts w:ascii="Verdana" w:hAnsi="Verdana"/>
          <w:sz w:val="20"/>
          <w:szCs w:val="20"/>
          <w:lang w:val="en-US"/>
        </w:rPr>
        <w:t xml:space="preserve"> Neither of the notes obtained a response.</w:t>
      </w:r>
    </w:p>
    <w:p w14:paraId="631268C0" w14:textId="77777777" w:rsidR="009B781F" w:rsidRPr="00FE7BA7" w:rsidRDefault="009B781F" w:rsidP="007E20F9">
      <w:pPr>
        <w:pStyle w:val="ListParagraph"/>
        <w:ind w:left="0"/>
        <w:jc w:val="both"/>
        <w:rPr>
          <w:rFonts w:ascii="Verdana" w:hAnsi="Verdana"/>
          <w:sz w:val="20"/>
          <w:szCs w:val="20"/>
          <w:lang w:val="en-US"/>
        </w:rPr>
      </w:pPr>
    </w:p>
    <w:p w14:paraId="631268C1" w14:textId="77777777" w:rsidR="00926E61" w:rsidRPr="00FE7BA7" w:rsidRDefault="00CA7C7B"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On October 7,</w:t>
      </w:r>
      <w:r w:rsidR="00926E61" w:rsidRPr="00FE7BA7">
        <w:rPr>
          <w:rFonts w:ascii="Verdana" w:hAnsi="Verdana"/>
          <w:sz w:val="20"/>
          <w:szCs w:val="20"/>
          <w:lang w:val="en-US"/>
        </w:rPr>
        <w:t xml:space="preserve"> 2007</w:t>
      </w:r>
      <w:r w:rsidRPr="00FE7BA7">
        <w:rPr>
          <w:rFonts w:ascii="Verdana" w:hAnsi="Verdana"/>
          <w:sz w:val="20"/>
          <w:szCs w:val="20"/>
          <w:lang w:val="en-US"/>
        </w:rPr>
        <w:t>,</w:t>
      </w:r>
      <w:r w:rsidR="00926E61" w:rsidRPr="00FE7BA7">
        <w:rPr>
          <w:rFonts w:ascii="Verdana" w:hAnsi="Verdana"/>
          <w:sz w:val="20"/>
          <w:szCs w:val="20"/>
          <w:lang w:val="en-US"/>
        </w:rPr>
        <w:t xml:space="preserve"> </w:t>
      </w:r>
      <w:r w:rsidR="009566E9">
        <w:rPr>
          <w:rFonts w:ascii="Verdana" w:hAnsi="Verdana"/>
          <w:sz w:val="20"/>
          <w:szCs w:val="20"/>
          <w:lang w:val="en-US"/>
        </w:rPr>
        <w:t>the c</w:t>
      </w:r>
      <w:r w:rsidRPr="00FE7BA7">
        <w:rPr>
          <w:rFonts w:ascii="Verdana" w:hAnsi="Verdana"/>
          <w:sz w:val="20"/>
          <w:szCs w:val="20"/>
          <w:lang w:val="en-US"/>
        </w:rPr>
        <w:t>aptains</w:t>
      </w:r>
      <w:r w:rsidR="00926E61" w:rsidRPr="00FE7BA7">
        <w:rPr>
          <w:rFonts w:ascii="Verdana" w:hAnsi="Verdana"/>
          <w:sz w:val="20"/>
          <w:szCs w:val="20"/>
          <w:lang w:val="en-US"/>
        </w:rPr>
        <w:t xml:space="preserve"> </w:t>
      </w:r>
      <w:r w:rsidR="0049296E" w:rsidRPr="00FE7BA7">
        <w:rPr>
          <w:rFonts w:ascii="Verdana" w:hAnsi="Verdana"/>
          <w:sz w:val="20"/>
          <w:szCs w:val="20"/>
          <w:lang w:val="en-US"/>
        </w:rPr>
        <w:t xml:space="preserve">of the eight </w:t>
      </w:r>
      <w:r w:rsidR="00CB39E1" w:rsidRPr="00FE7BA7">
        <w:rPr>
          <w:rFonts w:ascii="Verdana" w:hAnsi="Verdana"/>
          <w:sz w:val="20"/>
          <w:szCs w:val="20"/>
          <w:lang w:val="en-US"/>
        </w:rPr>
        <w:t>Kaliña</w:t>
      </w:r>
      <w:r w:rsidR="002B5CCD" w:rsidRPr="00FE7BA7">
        <w:rPr>
          <w:rFonts w:ascii="Verdana" w:hAnsi="Verdana"/>
          <w:sz w:val="20"/>
          <w:szCs w:val="20"/>
          <w:lang w:val="en-US"/>
        </w:rPr>
        <w:t xml:space="preserve"> and </w:t>
      </w:r>
      <w:r w:rsidR="00CB39E1" w:rsidRPr="00FE7BA7">
        <w:rPr>
          <w:rFonts w:ascii="Verdana" w:hAnsi="Verdana"/>
          <w:sz w:val="20"/>
          <w:szCs w:val="20"/>
          <w:lang w:val="en-US"/>
        </w:rPr>
        <w:t>Lokono</w:t>
      </w:r>
      <w:r w:rsidR="00926E61" w:rsidRPr="00FE7BA7">
        <w:rPr>
          <w:rFonts w:ascii="Verdana" w:hAnsi="Verdana"/>
          <w:sz w:val="20"/>
          <w:szCs w:val="20"/>
          <w:lang w:val="en-US"/>
        </w:rPr>
        <w:t xml:space="preserve"> </w:t>
      </w:r>
      <w:r w:rsidR="0049296E" w:rsidRPr="00FE7BA7">
        <w:rPr>
          <w:rFonts w:ascii="Verdana" w:hAnsi="Verdana"/>
          <w:sz w:val="20"/>
          <w:szCs w:val="20"/>
          <w:lang w:val="en-US"/>
        </w:rPr>
        <w:t xml:space="preserve">villages submitted a communication to the </w:t>
      </w:r>
      <w:r w:rsidR="002B5CCD" w:rsidRPr="00FE7BA7">
        <w:rPr>
          <w:rFonts w:ascii="Verdana" w:hAnsi="Verdana"/>
          <w:sz w:val="20"/>
          <w:szCs w:val="20"/>
          <w:lang w:val="en-US"/>
        </w:rPr>
        <w:t>President</w:t>
      </w:r>
      <w:r w:rsidR="002F0F93" w:rsidRPr="00FE7BA7">
        <w:rPr>
          <w:rFonts w:ascii="Verdana" w:hAnsi="Verdana"/>
          <w:sz w:val="20"/>
          <w:szCs w:val="20"/>
          <w:lang w:val="en-US"/>
        </w:rPr>
        <w:t xml:space="preserve"> of Suriname</w:t>
      </w:r>
      <w:r w:rsidR="002B5CCD" w:rsidRPr="00FE7BA7">
        <w:rPr>
          <w:rFonts w:ascii="Verdana" w:hAnsi="Verdana"/>
          <w:sz w:val="20"/>
          <w:szCs w:val="20"/>
          <w:lang w:val="en-US"/>
        </w:rPr>
        <w:t xml:space="preserve"> </w:t>
      </w:r>
      <w:r w:rsidR="0049296E" w:rsidRPr="00FE7BA7">
        <w:rPr>
          <w:rFonts w:ascii="Verdana" w:hAnsi="Verdana"/>
          <w:sz w:val="20"/>
          <w:szCs w:val="20"/>
          <w:lang w:val="en-US"/>
        </w:rPr>
        <w:t>contesting t</w:t>
      </w:r>
      <w:r w:rsidR="009566E9">
        <w:rPr>
          <w:rFonts w:ascii="Verdana" w:hAnsi="Verdana"/>
          <w:sz w:val="20"/>
          <w:szCs w:val="20"/>
          <w:lang w:val="en-US"/>
        </w:rPr>
        <w:t>he construction of a home, a filling</w:t>
      </w:r>
      <w:r w:rsidR="0049296E" w:rsidRPr="00FE7BA7">
        <w:rPr>
          <w:rFonts w:ascii="Verdana" w:hAnsi="Verdana"/>
          <w:sz w:val="20"/>
          <w:szCs w:val="20"/>
          <w:lang w:val="en-US"/>
        </w:rPr>
        <w:t xml:space="preserve"> station, and a </w:t>
      </w:r>
      <w:r w:rsidR="00FE7BA7">
        <w:rPr>
          <w:rFonts w:ascii="Verdana" w:hAnsi="Verdana"/>
          <w:sz w:val="20"/>
          <w:szCs w:val="20"/>
          <w:lang w:val="en-US"/>
        </w:rPr>
        <w:t xml:space="preserve">shopping </w:t>
      </w:r>
      <w:r w:rsidR="009566E9">
        <w:rPr>
          <w:rFonts w:ascii="Verdana" w:hAnsi="Verdana"/>
          <w:sz w:val="20"/>
          <w:szCs w:val="20"/>
          <w:lang w:val="en-US"/>
        </w:rPr>
        <w:t>mall</w:t>
      </w:r>
      <w:r w:rsidR="0049296E" w:rsidRPr="00FE7BA7">
        <w:rPr>
          <w:rFonts w:ascii="Verdana" w:hAnsi="Verdana"/>
          <w:sz w:val="20"/>
          <w:szCs w:val="20"/>
          <w:lang w:val="en-US"/>
        </w:rPr>
        <w:t xml:space="preserve"> in the community of </w:t>
      </w:r>
      <w:r w:rsidR="00926E61" w:rsidRPr="00FE7BA7">
        <w:rPr>
          <w:rFonts w:ascii="Verdana" w:hAnsi="Verdana"/>
          <w:sz w:val="20"/>
          <w:szCs w:val="20"/>
          <w:lang w:val="en-US"/>
        </w:rPr>
        <w:t>Pierrekondre</w:t>
      </w:r>
      <w:r w:rsidR="0049296E" w:rsidRPr="00FE7BA7">
        <w:rPr>
          <w:rFonts w:ascii="Verdana" w:hAnsi="Verdana"/>
          <w:sz w:val="20"/>
          <w:szCs w:val="20"/>
          <w:lang w:val="en-US"/>
        </w:rPr>
        <w:t>,</w:t>
      </w:r>
      <w:r w:rsidR="00926E61" w:rsidRPr="00FE7BA7">
        <w:rPr>
          <w:rStyle w:val="FootnoteReference"/>
          <w:szCs w:val="20"/>
          <w:lang w:val="en-US"/>
        </w:rPr>
        <w:footnoteReference w:id="81"/>
      </w:r>
      <w:r w:rsidR="0049296E" w:rsidRPr="00FE7BA7">
        <w:rPr>
          <w:rFonts w:ascii="Verdana" w:hAnsi="Verdana"/>
          <w:sz w:val="20"/>
          <w:szCs w:val="20"/>
          <w:lang w:val="en-US"/>
        </w:rPr>
        <w:t xml:space="preserve"> without obtaining any answer from </w:t>
      </w:r>
      <w:r w:rsidR="00810FAD" w:rsidRPr="00FE7BA7">
        <w:rPr>
          <w:rFonts w:ascii="Verdana" w:hAnsi="Verdana"/>
          <w:sz w:val="20"/>
          <w:szCs w:val="20"/>
          <w:lang w:val="en-US"/>
        </w:rPr>
        <w:t xml:space="preserve">the </w:t>
      </w:r>
      <w:r w:rsidR="002B5CCD" w:rsidRPr="00FE7BA7">
        <w:rPr>
          <w:rFonts w:ascii="Verdana" w:hAnsi="Verdana"/>
          <w:sz w:val="20"/>
          <w:szCs w:val="20"/>
          <w:lang w:val="en-US"/>
        </w:rPr>
        <w:t>State</w:t>
      </w:r>
      <w:r w:rsidR="0049296E" w:rsidRPr="00FE7BA7">
        <w:rPr>
          <w:rFonts w:ascii="Verdana" w:hAnsi="Verdana"/>
          <w:sz w:val="20"/>
          <w:szCs w:val="20"/>
          <w:lang w:val="en-US"/>
        </w:rPr>
        <w:t>.</w:t>
      </w:r>
      <w:r w:rsidR="00926E61" w:rsidRPr="00FE7BA7">
        <w:rPr>
          <w:rStyle w:val="FootnoteReference"/>
          <w:szCs w:val="20"/>
          <w:lang w:val="en-US"/>
        </w:rPr>
        <w:footnoteReference w:id="82"/>
      </w:r>
    </w:p>
    <w:p w14:paraId="631268C2" w14:textId="77777777" w:rsidR="00926E61" w:rsidRPr="00FE7BA7" w:rsidRDefault="00926E61" w:rsidP="00926E61">
      <w:pPr>
        <w:pStyle w:val="ListParagraph"/>
        <w:ind w:left="0"/>
        <w:jc w:val="both"/>
        <w:rPr>
          <w:rFonts w:ascii="Verdana" w:hAnsi="Verdana"/>
          <w:sz w:val="20"/>
          <w:szCs w:val="20"/>
          <w:lang w:val="en-US"/>
        </w:rPr>
      </w:pPr>
    </w:p>
    <w:p w14:paraId="631268C3" w14:textId="77777777" w:rsidR="00926E61" w:rsidRPr="00FE7BA7" w:rsidRDefault="002B5CCD"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On January 28,</w:t>
      </w:r>
      <w:r w:rsidR="00926E61" w:rsidRPr="00FE7BA7">
        <w:rPr>
          <w:rFonts w:ascii="Verdana" w:hAnsi="Verdana"/>
          <w:sz w:val="20"/>
          <w:szCs w:val="20"/>
          <w:lang w:val="en-US"/>
        </w:rPr>
        <w:t xml:space="preserve"> 2013</w:t>
      </w:r>
      <w:r w:rsidR="0049296E" w:rsidRPr="00FE7BA7">
        <w:rPr>
          <w:rFonts w:ascii="Verdana" w:hAnsi="Verdana"/>
          <w:sz w:val="20"/>
          <w:szCs w:val="20"/>
          <w:lang w:val="en-US"/>
        </w:rPr>
        <w:t>,</w:t>
      </w:r>
      <w:r w:rsidR="00926E61" w:rsidRPr="00FE7BA7">
        <w:rPr>
          <w:rFonts w:ascii="Verdana" w:hAnsi="Verdana"/>
          <w:sz w:val="20"/>
          <w:szCs w:val="20"/>
          <w:lang w:val="en-US"/>
        </w:rPr>
        <w:t xml:space="preserve"> </w:t>
      </w:r>
      <w:r w:rsidR="00237833">
        <w:rPr>
          <w:rFonts w:ascii="Verdana" w:hAnsi="Verdana"/>
          <w:sz w:val="20"/>
          <w:szCs w:val="20"/>
          <w:lang w:val="en-US"/>
        </w:rPr>
        <w:t>the c</w:t>
      </w:r>
      <w:r w:rsidR="00CA7C7B" w:rsidRPr="00FE7BA7">
        <w:rPr>
          <w:rFonts w:ascii="Verdana" w:hAnsi="Verdana"/>
          <w:sz w:val="20"/>
          <w:szCs w:val="20"/>
          <w:lang w:val="en-US"/>
        </w:rPr>
        <w:t>aptains</w:t>
      </w:r>
      <w:r w:rsidR="0049296E" w:rsidRPr="00FE7BA7">
        <w:rPr>
          <w:rFonts w:ascii="Verdana" w:hAnsi="Verdana"/>
          <w:sz w:val="20"/>
          <w:szCs w:val="20"/>
          <w:lang w:val="en-US"/>
        </w:rPr>
        <w:t xml:space="preserve"> of</w:t>
      </w:r>
      <w:r w:rsidR="00926E61" w:rsidRPr="00FE7BA7">
        <w:rPr>
          <w:rFonts w:ascii="Verdana" w:hAnsi="Verdana"/>
          <w:sz w:val="20"/>
          <w:szCs w:val="20"/>
          <w:lang w:val="en-US"/>
        </w:rPr>
        <w:t xml:space="preserve"> Marijkedorp (Wan Shi Sha), Pierrekondre, Tapuku</w:t>
      </w:r>
      <w:r w:rsidRPr="00FE7BA7">
        <w:rPr>
          <w:rFonts w:ascii="Verdana" w:hAnsi="Verdana"/>
          <w:sz w:val="20"/>
          <w:szCs w:val="20"/>
          <w:lang w:val="en-US"/>
        </w:rPr>
        <w:t xml:space="preserve"> and </w:t>
      </w:r>
      <w:r w:rsidR="00926E61" w:rsidRPr="00FE7BA7">
        <w:rPr>
          <w:rFonts w:ascii="Verdana" w:hAnsi="Verdana"/>
          <w:sz w:val="20"/>
          <w:szCs w:val="20"/>
          <w:lang w:val="en-US"/>
        </w:rPr>
        <w:t>Erowarte present</w:t>
      </w:r>
      <w:r w:rsidR="0049296E" w:rsidRPr="00FE7BA7">
        <w:rPr>
          <w:rFonts w:ascii="Verdana" w:hAnsi="Verdana"/>
          <w:sz w:val="20"/>
          <w:szCs w:val="20"/>
          <w:lang w:val="en-US"/>
        </w:rPr>
        <w:t xml:space="preserve">ed a communication to the </w:t>
      </w:r>
      <w:r w:rsidRPr="00FE7BA7">
        <w:rPr>
          <w:rFonts w:ascii="Verdana" w:hAnsi="Verdana"/>
          <w:sz w:val="20"/>
          <w:szCs w:val="20"/>
          <w:lang w:val="en-US"/>
        </w:rPr>
        <w:t>President</w:t>
      </w:r>
      <w:r w:rsidR="00926E61" w:rsidRPr="00FE7BA7">
        <w:rPr>
          <w:rFonts w:ascii="Verdana" w:hAnsi="Verdana"/>
          <w:sz w:val="20"/>
          <w:szCs w:val="20"/>
          <w:lang w:val="en-US"/>
        </w:rPr>
        <w:t xml:space="preserve"> </w:t>
      </w:r>
      <w:r w:rsidR="0049296E" w:rsidRPr="00FE7BA7">
        <w:rPr>
          <w:rFonts w:ascii="Verdana" w:hAnsi="Verdana"/>
          <w:sz w:val="20"/>
          <w:szCs w:val="20"/>
          <w:lang w:val="en-US"/>
        </w:rPr>
        <w:t>of the Republic</w:t>
      </w:r>
      <w:r w:rsidR="00926E61" w:rsidRPr="00FE7BA7">
        <w:rPr>
          <w:rFonts w:ascii="Verdana" w:hAnsi="Verdana"/>
          <w:sz w:val="20"/>
          <w:szCs w:val="20"/>
          <w:lang w:val="en-US"/>
        </w:rPr>
        <w:t xml:space="preserve"> protest</w:t>
      </w:r>
      <w:r w:rsidR="0049296E" w:rsidRPr="00FE7BA7">
        <w:rPr>
          <w:rFonts w:ascii="Verdana" w:hAnsi="Verdana"/>
          <w:sz w:val="20"/>
          <w:szCs w:val="20"/>
          <w:lang w:val="en-US"/>
        </w:rPr>
        <w:t xml:space="preserve">ing against the construction of a casino in the community of </w:t>
      </w:r>
      <w:r w:rsidR="00926E61" w:rsidRPr="00FE7BA7">
        <w:rPr>
          <w:rFonts w:ascii="Verdana" w:hAnsi="Verdana"/>
          <w:sz w:val="20"/>
          <w:szCs w:val="20"/>
          <w:lang w:val="en-US"/>
        </w:rPr>
        <w:t xml:space="preserve">Marijkedorp </w:t>
      </w:r>
      <w:r w:rsidR="0078039A" w:rsidRPr="00FE7BA7">
        <w:rPr>
          <w:rFonts w:ascii="Verdana" w:hAnsi="Verdana"/>
          <w:sz w:val="20"/>
          <w:szCs w:val="20"/>
          <w:lang w:val="en-US"/>
        </w:rPr>
        <w:t xml:space="preserve">(Wan Shi Sha) </w:t>
      </w:r>
      <w:r w:rsidR="0049296E" w:rsidRPr="00FE7BA7">
        <w:rPr>
          <w:rFonts w:ascii="Verdana" w:hAnsi="Verdana"/>
          <w:sz w:val="20"/>
          <w:szCs w:val="20"/>
          <w:lang w:val="en-US"/>
        </w:rPr>
        <w:t>without holding the corresponding consultations with the indigenous peoples in the area.</w:t>
      </w:r>
      <w:r w:rsidR="00926E61" w:rsidRPr="00FE7BA7">
        <w:rPr>
          <w:rStyle w:val="FootnoteReference"/>
          <w:szCs w:val="20"/>
          <w:lang w:val="en-US"/>
        </w:rPr>
        <w:footnoteReference w:id="83"/>
      </w:r>
      <w:r w:rsidR="0049296E" w:rsidRPr="00FE7BA7">
        <w:rPr>
          <w:rFonts w:ascii="Verdana" w:hAnsi="Verdana"/>
          <w:sz w:val="20"/>
          <w:szCs w:val="20"/>
          <w:lang w:val="en-US"/>
        </w:rPr>
        <w:t xml:space="preserve"> However, the State did not respond to this protest.</w:t>
      </w:r>
    </w:p>
    <w:p w14:paraId="631268C4" w14:textId="77777777" w:rsidR="00926E61" w:rsidRPr="00FE7BA7" w:rsidRDefault="00926E61" w:rsidP="00926E61">
      <w:pPr>
        <w:pStyle w:val="ListParagraph"/>
        <w:ind w:left="0"/>
        <w:jc w:val="both"/>
        <w:rPr>
          <w:rFonts w:ascii="Verdana" w:hAnsi="Verdana"/>
          <w:sz w:val="20"/>
          <w:szCs w:val="20"/>
          <w:lang w:val="en-US"/>
        </w:rPr>
      </w:pPr>
    </w:p>
    <w:p w14:paraId="631268C5" w14:textId="77777777" w:rsidR="00926E61" w:rsidRPr="00FE7BA7" w:rsidRDefault="00B07A66" w:rsidP="00E26926">
      <w:pPr>
        <w:pStyle w:val="Heading2"/>
        <w:numPr>
          <w:ilvl w:val="0"/>
          <w:numId w:val="10"/>
        </w:numPr>
        <w:spacing w:before="0"/>
        <w:jc w:val="both"/>
        <w:rPr>
          <w:rFonts w:ascii="Verdana" w:hAnsi="Verdana"/>
          <w:bCs w:val="0"/>
          <w:i/>
          <w:color w:val="auto"/>
          <w:sz w:val="20"/>
          <w:szCs w:val="20"/>
          <w:lang w:val="en-US"/>
        </w:rPr>
      </w:pPr>
      <w:bookmarkStart w:id="19" w:name="_Toc441673192"/>
      <w:r w:rsidRPr="00FE7BA7">
        <w:rPr>
          <w:rFonts w:ascii="Verdana" w:hAnsi="Verdana"/>
          <w:bCs w:val="0"/>
          <w:i/>
          <w:color w:val="auto"/>
          <w:sz w:val="20"/>
          <w:szCs w:val="20"/>
          <w:lang w:val="en-US"/>
        </w:rPr>
        <w:t>Creation of the nature reserves</w:t>
      </w:r>
      <w:bookmarkEnd w:id="19"/>
    </w:p>
    <w:p w14:paraId="631268C6" w14:textId="77777777" w:rsidR="00926E61" w:rsidRPr="00FE7BA7" w:rsidRDefault="00926E61" w:rsidP="00926E61">
      <w:pPr>
        <w:jc w:val="both"/>
        <w:rPr>
          <w:rFonts w:ascii="Verdana" w:hAnsi="Verdana"/>
          <w:b/>
          <w:sz w:val="20"/>
          <w:szCs w:val="20"/>
          <w:lang w:val="en-US"/>
        </w:rPr>
      </w:pPr>
    </w:p>
    <w:p w14:paraId="631268C7" w14:textId="3DB17345" w:rsidR="00926E61" w:rsidRPr="00FE7BA7" w:rsidRDefault="00BE4D11" w:rsidP="00B935FA">
      <w:pPr>
        <w:pStyle w:val="ListParagraph"/>
        <w:numPr>
          <w:ilvl w:val="0"/>
          <w:numId w:val="2"/>
        </w:numPr>
        <w:ind w:left="0" w:hanging="11"/>
        <w:jc w:val="both"/>
        <w:rPr>
          <w:rFonts w:ascii="Verdana" w:hAnsi="Verdana"/>
          <w:sz w:val="20"/>
          <w:szCs w:val="20"/>
          <w:lang w:val="en-US"/>
        </w:rPr>
      </w:pPr>
      <w:r w:rsidRPr="005823BE">
        <w:rPr>
          <w:rFonts w:ascii="Verdana" w:hAnsi="Verdana"/>
          <w:sz w:val="20"/>
          <w:szCs w:val="20"/>
          <w:lang w:val="en-US"/>
        </w:rPr>
        <w:t>Three nature reserves were created within the territory that is in dispute in this case, namely:</w:t>
      </w:r>
      <w:r w:rsidRPr="00FE7BA7">
        <w:rPr>
          <w:rFonts w:ascii="Verdana" w:hAnsi="Verdana"/>
          <w:sz w:val="20"/>
          <w:szCs w:val="20"/>
          <w:lang w:val="en-US"/>
        </w:rPr>
        <w:t xml:space="preserve"> (i) t</w:t>
      </w:r>
      <w:r w:rsidR="00B07A66" w:rsidRPr="00FE7BA7">
        <w:rPr>
          <w:rFonts w:ascii="Verdana" w:hAnsi="Verdana"/>
          <w:sz w:val="20"/>
          <w:szCs w:val="20"/>
          <w:lang w:val="en-US"/>
        </w:rPr>
        <w:t xml:space="preserve">he Wia </w:t>
      </w:r>
      <w:proofErr w:type="gramStart"/>
      <w:r w:rsidR="00B07A66" w:rsidRPr="00FE7BA7">
        <w:rPr>
          <w:rFonts w:ascii="Verdana" w:hAnsi="Verdana"/>
          <w:sz w:val="20"/>
          <w:szCs w:val="20"/>
          <w:lang w:val="en-US"/>
        </w:rPr>
        <w:t>Wia</w:t>
      </w:r>
      <w:proofErr w:type="gramEnd"/>
      <w:r w:rsidR="00B07A66" w:rsidRPr="00FE7BA7">
        <w:rPr>
          <w:rFonts w:ascii="Verdana" w:hAnsi="Verdana"/>
          <w:sz w:val="20"/>
          <w:szCs w:val="20"/>
          <w:lang w:val="en-US"/>
        </w:rPr>
        <w:t xml:space="preserve"> Nature Reserve</w:t>
      </w:r>
      <w:r w:rsidRPr="00FE7BA7">
        <w:rPr>
          <w:rFonts w:ascii="Verdana" w:hAnsi="Verdana"/>
          <w:sz w:val="20"/>
          <w:szCs w:val="20"/>
          <w:lang w:val="en-US"/>
        </w:rPr>
        <w:t xml:space="preserve"> i</w:t>
      </w:r>
      <w:r w:rsidR="00926E61" w:rsidRPr="00FE7BA7">
        <w:rPr>
          <w:rFonts w:ascii="Verdana" w:hAnsi="Verdana"/>
          <w:sz w:val="20"/>
          <w:szCs w:val="20"/>
          <w:lang w:val="en-US"/>
        </w:rPr>
        <w:t xml:space="preserve">n 1966; </w:t>
      </w:r>
      <w:r w:rsidRPr="00FE7BA7">
        <w:rPr>
          <w:rFonts w:ascii="Verdana" w:hAnsi="Verdana"/>
          <w:sz w:val="20"/>
          <w:szCs w:val="20"/>
          <w:lang w:val="en-US"/>
        </w:rPr>
        <w:t>(</w:t>
      </w:r>
      <w:r w:rsidR="00926E61" w:rsidRPr="00FE7BA7">
        <w:rPr>
          <w:rFonts w:ascii="Verdana" w:hAnsi="Verdana"/>
          <w:sz w:val="20"/>
          <w:szCs w:val="20"/>
          <w:lang w:val="en-US"/>
        </w:rPr>
        <w:t xml:space="preserve">ii) </w:t>
      </w:r>
      <w:r w:rsidR="00B07A66" w:rsidRPr="00FE7BA7">
        <w:rPr>
          <w:rFonts w:ascii="Verdana" w:hAnsi="Verdana"/>
          <w:sz w:val="20"/>
          <w:szCs w:val="20"/>
          <w:lang w:val="en-US"/>
        </w:rPr>
        <w:t>the Galibi Nature Reserve</w:t>
      </w:r>
      <w:r w:rsidR="00926E61" w:rsidRPr="00FE7BA7">
        <w:rPr>
          <w:rFonts w:ascii="Verdana" w:hAnsi="Verdana"/>
          <w:sz w:val="20"/>
          <w:szCs w:val="20"/>
          <w:lang w:val="en-US"/>
        </w:rPr>
        <w:t xml:space="preserve"> </w:t>
      </w:r>
      <w:r w:rsidRPr="00FE7BA7">
        <w:rPr>
          <w:rFonts w:ascii="Verdana" w:hAnsi="Verdana"/>
          <w:sz w:val="20"/>
          <w:szCs w:val="20"/>
          <w:lang w:val="en-US"/>
        </w:rPr>
        <w:t>i</w:t>
      </w:r>
      <w:r w:rsidR="00926E61" w:rsidRPr="00FE7BA7">
        <w:rPr>
          <w:rFonts w:ascii="Verdana" w:hAnsi="Verdana"/>
          <w:sz w:val="20"/>
          <w:szCs w:val="20"/>
          <w:lang w:val="en-US"/>
        </w:rPr>
        <w:t>n 1969,</w:t>
      </w:r>
      <w:r w:rsidR="002B5CCD" w:rsidRPr="00FE7BA7">
        <w:rPr>
          <w:rFonts w:ascii="Verdana" w:hAnsi="Verdana"/>
          <w:sz w:val="20"/>
          <w:szCs w:val="20"/>
          <w:lang w:val="en-US"/>
        </w:rPr>
        <w:t xml:space="preserve"> </w:t>
      </w:r>
      <w:r w:rsidR="002B5CCD" w:rsidRPr="005823BE">
        <w:rPr>
          <w:rFonts w:ascii="Verdana" w:hAnsi="Verdana"/>
          <w:sz w:val="20"/>
          <w:szCs w:val="20"/>
          <w:lang w:val="en-US"/>
        </w:rPr>
        <w:t>and</w:t>
      </w:r>
      <w:r w:rsidRPr="005823BE">
        <w:rPr>
          <w:rFonts w:ascii="Verdana" w:hAnsi="Verdana"/>
          <w:sz w:val="20"/>
          <w:szCs w:val="20"/>
          <w:lang w:val="en-US"/>
        </w:rPr>
        <w:t xml:space="preserve"> (iii)</w:t>
      </w:r>
      <w:r w:rsidR="002B5CCD" w:rsidRPr="005823BE">
        <w:rPr>
          <w:rFonts w:ascii="Verdana" w:hAnsi="Verdana"/>
          <w:sz w:val="20"/>
          <w:szCs w:val="20"/>
          <w:lang w:val="en-US"/>
        </w:rPr>
        <w:t xml:space="preserve"> </w:t>
      </w:r>
      <w:r w:rsidRPr="005823BE">
        <w:rPr>
          <w:rFonts w:ascii="Verdana" w:hAnsi="Verdana"/>
          <w:sz w:val="20"/>
          <w:szCs w:val="20"/>
          <w:lang w:val="en-US"/>
        </w:rPr>
        <w:t>the</w:t>
      </w:r>
      <w:r w:rsidRPr="00FE7BA7">
        <w:rPr>
          <w:rFonts w:ascii="Verdana" w:hAnsi="Verdana"/>
          <w:sz w:val="20"/>
          <w:szCs w:val="20"/>
          <w:lang w:val="en-US"/>
        </w:rPr>
        <w:t xml:space="preserve"> </w:t>
      </w:r>
      <w:r w:rsidR="00926E61" w:rsidRPr="00FE7BA7">
        <w:rPr>
          <w:rFonts w:ascii="Verdana" w:hAnsi="Verdana"/>
          <w:sz w:val="20"/>
          <w:szCs w:val="20"/>
          <w:lang w:val="en-US"/>
        </w:rPr>
        <w:t>Wane Kreek</w:t>
      </w:r>
      <w:r w:rsidRPr="00FE7BA7">
        <w:rPr>
          <w:rFonts w:ascii="Verdana" w:hAnsi="Verdana"/>
          <w:sz w:val="20"/>
          <w:szCs w:val="20"/>
          <w:lang w:val="en-US"/>
        </w:rPr>
        <w:t xml:space="preserve"> Nature Reserve i</w:t>
      </w:r>
      <w:r w:rsidR="00926E61" w:rsidRPr="00FE7BA7">
        <w:rPr>
          <w:rFonts w:ascii="Verdana" w:hAnsi="Verdana"/>
          <w:sz w:val="20"/>
          <w:szCs w:val="20"/>
          <w:lang w:val="en-US"/>
        </w:rPr>
        <w:t>n 1986</w:t>
      </w:r>
      <w:r w:rsidRPr="00FE7BA7">
        <w:rPr>
          <w:rFonts w:ascii="Verdana" w:hAnsi="Verdana"/>
          <w:sz w:val="20"/>
          <w:szCs w:val="20"/>
          <w:lang w:val="en-US"/>
        </w:rPr>
        <w:t>.</w:t>
      </w:r>
      <w:r w:rsidR="00926E61" w:rsidRPr="00FE7BA7">
        <w:rPr>
          <w:rStyle w:val="FootnoteReference"/>
          <w:szCs w:val="20"/>
          <w:lang w:val="en-US"/>
        </w:rPr>
        <w:footnoteReference w:id="84"/>
      </w:r>
      <w:r w:rsidR="00926E61" w:rsidRPr="00FE7BA7">
        <w:rPr>
          <w:rFonts w:ascii="Verdana" w:hAnsi="Verdana"/>
          <w:sz w:val="20"/>
          <w:szCs w:val="20"/>
          <w:lang w:val="en-US"/>
        </w:rPr>
        <w:t xml:space="preserve"> </w:t>
      </w:r>
      <w:r w:rsidR="0049296E" w:rsidRPr="00FE7BA7">
        <w:rPr>
          <w:rFonts w:ascii="Verdana" w:hAnsi="Verdana"/>
          <w:sz w:val="20"/>
          <w:szCs w:val="20"/>
          <w:lang w:val="en-US"/>
        </w:rPr>
        <w:t xml:space="preserve">There is no dispute between the parties that </w:t>
      </w:r>
      <w:r w:rsidRPr="00FE7BA7">
        <w:rPr>
          <w:rFonts w:ascii="Verdana" w:hAnsi="Verdana"/>
          <w:sz w:val="20"/>
          <w:szCs w:val="20"/>
          <w:lang w:val="en-US"/>
        </w:rPr>
        <w:t>the</w:t>
      </w:r>
      <w:r w:rsidR="00B07A66" w:rsidRPr="00FE7BA7">
        <w:rPr>
          <w:rFonts w:ascii="Verdana" w:hAnsi="Verdana"/>
          <w:sz w:val="20"/>
          <w:szCs w:val="20"/>
          <w:lang w:val="en-US"/>
        </w:rPr>
        <w:t xml:space="preserve"> Wia </w:t>
      </w:r>
      <w:proofErr w:type="gramStart"/>
      <w:r w:rsidR="00B07A66" w:rsidRPr="00FE7BA7">
        <w:rPr>
          <w:rFonts w:ascii="Verdana" w:hAnsi="Verdana"/>
          <w:sz w:val="20"/>
          <w:szCs w:val="20"/>
          <w:lang w:val="en-US"/>
        </w:rPr>
        <w:t>Wia</w:t>
      </w:r>
      <w:proofErr w:type="gramEnd"/>
      <w:r w:rsidR="00B07A66" w:rsidRPr="00FE7BA7">
        <w:rPr>
          <w:rFonts w:ascii="Verdana" w:hAnsi="Verdana"/>
          <w:sz w:val="20"/>
          <w:szCs w:val="20"/>
          <w:lang w:val="en-US"/>
        </w:rPr>
        <w:t xml:space="preserve"> Nature Reserve</w:t>
      </w:r>
      <w:r w:rsidR="00926E61" w:rsidRPr="00FE7BA7">
        <w:rPr>
          <w:rFonts w:ascii="Verdana" w:hAnsi="Verdana"/>
          <w:sz w:val="20"/>
          <w:szCs w:val="20"/>
          <w:lang w:val="en-US"/>
        </w:rPr>
        <w:t xml:space="preserve"> </w:t>
      </w:r>
      <w:r w:rsidR="0049296E" w:rsidRPr="00FE7BA7">
        <w:rPr>
          <w:rFonts w:ascii="Verdana" w:hAnsi="Verdana"/>
          <w:sz w:val="20"/>
          <w:szCs w:val="20"/>
          <w:lang w:val="en-US"/>
        </w:rPr>
        <w:t xml:space="preserve">covers approximately </w:t>
      </w:r>
      <w:r w:rsidR="00926E61" w:rsidRPr="00FE7BA7">
        <w:rPr>
          <w:rFonts w:ascii="Verdana" w:hAnsi="Verdana"/>
          <w:sz w:val="20"/>
          <w:szCs w:val="20"/>
          <w:lang w:val="en-US"/>
        </w:rPr>
        <w:t xml:space="preserve">36,000 </w:t>
      </w:r>
      <w:r w:rsidR="00B07A66" w:rsidRPr="00FE7BA7">
        <w:rPr>
          <w:rFonts w:ascii="Verdana" w:hAnsi="Verdana"/>
          <w:sz w:val="20"/>
          <w:szCs w:val="20"/>
          <w:lang w:val="en-US"/>
        </w:rPr>
        <w:t>h</w:t>
      </w:r>
      <w:r w:rsidR="003A17DD">
        <w:rPr>
          <w:rFonts w:ascii="Verdana" w:hAnsi="Verdana"/>
          <w:sz w:val="20"/>
          <w:szCs w:val="20"/>
          <w:lang w:val="en-US"/>
        </w:rPr>
        <w:t>a</w:t>
      </w:r>
      <w:r w:rsidR="00926E61" w:rsidRPr="00FE7BA7">
        <w:rPr>
          <w:rFonts w:ascii="Verdana" w:hAnsi="Verdana"/>
          <w:sz w:val="20"/>
          <w:szCs w:val="20"/>
          <w:lang w:val="en-US"/>
        </w:rPr>
        <w:t xml:space="preserve">, </w:t>
      </w:r>
      <w:r w:rsidR="00B07A66" w:rsidRPr="00FE7BA7">
        <w:rPr>
          <w:rFonts w:ascii="Verdana" w:hAnsi="Verdana"/>
          <w:sz w:val="20"/>
          <w:szCs w:val="20"/>
          <w:lang w:val="en-US"/>
        </w:rPr>
        <w:t>the Galibi Nature Reserve</w:t>
      </w:r>
      <w:r w:rsidR="0049296E" w:rsidRPr="00FE7BA7">
        <w:rPr>
          <w:rFonts w:ascii="Verdana" w:hAnsi="Verdana"/>
          <w:sz w:val="20"/>
          <w:szCs w:val="20"/>
          <w:lang w:val="en-US"/>
        </w:rPr>
        <w:t>,</w:t>
      </w:r>
      <w:r w:rsidR="00926E61" w:rsidRPr="00FE7BA7">
        <w:rPr>
          <w:rFonts w:ascii="Verdana" w:hAnsi="Verdana"/>
          <w:sz w:val="20"/>
          <w:szCs w:val="20"/>
          <w:lang w:val="en-US"/>
        </w:rPr>
        <w:t xml:space="preserve"> 4,000 </w:t>
      </w:r>
      <w:r w:rsidR="00B07A66" w:rsidRPr="00FE7BA7">
        <w:rPr>
          <w:rFonts w:ascii="Verdana" w:hAnsi="Verdana"/>
          <w:sz w:val="20"/>
          <w:szCs w:val="20"/>
          <w:lang w:val="en-US"/>
        </w:rPr>
        <w:t>h</w:t>
      </w:r>
      <w:r w:rsidR="003A17DD">
        <w:rPr>
          <w:rFonts w:ascii="Verdana" w:hAnsi="Verdana"/>
          <w:sz w:val="20"/>
          <w:szCs w:val="20"/>
          <w:lang w:val="en-US"/>
        </w:rPr>
        <w:t>a</w:t>
      </w:r>
      <w:r w:rsidR="0049296E" w:rsidRPr="00FE7BA7">
        <w:rPr>
          <w:rFonts w:ascii="Verdana" w:hAnsi="Verdana"/>
          <w:sz w:val="20"/>
          <w:szCs w:val="20"/>
          <w:lang w:val="en-US"/>
        </w:rPr>
        <w:t>,</w:t>
      </w:r>
      <w:r w:rsidR="002B5CCD" w:rsidRPr="00FE7BA7">
        <w:rPr>
          <w:rFonts w:ascii="Verdana" w:hAnsi="Verdana"/>
          <w:sz w:val="20"/>
          <w:szCs w:val="20"/>
          <w:lang w:val="en-US"/>
        </w:rPr>
        <w:t xml:space="preserve"> and </w:t>
      </w:r>
      <w:r w:rsidR="00B07A66" w:rsidRPr="00FE7BA7">
        <w:rPr>
          <w:rFonts w:ascii="Verdana" w:hAnsi="Verdana"/>
          <w:sz w:val="20"/>
          <w:szCs w:val="20"/>
          <w:lang w:val="en-US"/>
        </w:rPr>
        <w:t>the Wane Kreek Nature Reserve</w:t>
      </w:r>
      <w:r w:rsidR="0049296E" w:rsidRPr="00FE7BA7">
        <w:rPr>
          <w:rFonts w:ascii="Verdana" w:hAnsi="Verdana"/>
          <w:sz w:val="20"/>
          <w:szCs w:val="20"/>
          <w:lang w:val="en-US"/>
        </w:rPr>
        <w:t>,</w:t>
      </w:r>
      <w:r w:rsidR="00926E61" w:rsidRPr="00FE7BA7">
        <w:rPr>
          <w:rFonts w:ascii="Verdana" w:hAnsi="Verdana"/>
          <w:sz w:val="20"/>
          <w:szCs w:val="20"/>
          <w:lang w:val="en-US"/>
        </w:rPr>
        <w:t xml:space="preserve"> 45,000 </w:t>
      </w:r>
      <w:r w:rsidR="00B07A66" w:rsidRPr="00FE7BA7">
        <w:rPr>
          <w:rFonts w:ascii="Verdana" w:hAnsi="Verdana"/>
          <w:sz w:val="20"/>
          <w:szCs w:val="20"/>
          <w:lang w:val="en-US"/>
        </w:rPr>
        <w:t>h</w:t>
      </w:r>
      <w:r w:rsidR="0094300B">
        <w:rPr>
          <w:rFonts w:ascii="Verdana" w:hAnsi="Verdana"/>
          <w:sz w:val="20"/>
          <w:szCs w:val="20"/>
          <w:lang w:val="en-US"/>
        </w:rPr>
        <w:t>a</w:t>
      </w:r>
      <w:r w:rsidR="00926E61" w:rsidRPr="00FE7BA7">
        <w:rPr>
          <w:rFonts w:ascii="Verdana" w:hAnsi="Verdana"/>
          <w:sz w:val="20"/>
          <w:szCs w:val="20"/>
          <w:lang w:val="en-US"/>
        </w:rPr>
        <w:t xml:space="preserve">. </w:t>
      </w:r>
    </w:p>
    <w:p w14:paraId="631268C8" w14:textId="77777777" w:rsidR="00926E61" w:rsidRPr="00FE7BA7" w:rsidRDefault="00926E61" w:rsidP="00926E61">
      <w:pPr>
        <w:jc w:val="both"/>
        <w:rPr>
          <w:rFonts w:ascii="Verdana" w:hAnsi="Verdana"/>
          <w:sz w:val="20"/>
          <w:szCs w:val="20"/>
          <w:lang w:val="en-US"/>
        </w:rPr>
      </w:pPr>
    </w:p>
    <w:p w14:paraId="631268C9" w14:textId="67A58FFA" w:rsidR="00A84F18" w:rsidRPr="00EC45EE" w:rsidRDefault="0049296E" w:rsidP="00A84F18">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According to </w:t>
      </w:r>
      <w:r w:rsidR="00810FAD" w:rsidRPr="00FE7BA7">
        <w:rPr>
          <w:rFonts w:ascii="Verdana" w:hAnsi="Verdana"/>
          <w:sz w:val="20"/>
          <w:szCs w:val="20"/>
          <w:lang w:val="en-US"/>
        </w:rPr>
        <w:t>the representatives</w:t>
      </w:r>
      <w:r w:rsidR="00A84F18" w:rsidRPr="00FE7BA7">
        <w:rPr>
          <w:rFonts w:ascii="Verdana" w:hAnsi="Verdana"/>
          <w:sz w:val="20"/>
          <w:szCs w:val="20"/>
          <w:lang w:val="en-US"/>
        </w:rPr>
        <w:t xml:space="preserve">, </w:t>
      </w:r>
      <w:r w:rsidR="00BE4D11" w:rsidRPr="00FE7BA7">
        <w:rPr>
          <w:rFonts w:ascii="Verdana" w:hAnsi="Verdana"/>
          <w:sz w:val="20"/>
          <w:szCs w:val="20"/>
          <w:lang w:val="en-US"/>
        </w:rPr>
        <w:t>approximately</w:t>
      </w:r>
      <w:r w:rsidR="00A84F18" w:rsidRPr="00FE7BA7">
        <w:rPr>
          <w:rFonts w:ascii="Verdana" w:hAnsi="Verdana"/>
          <w:sz w:val="20"/>
          <w:szCs w:val="20"/>
          <w:lang w:val="en-US"/>
        </w:rPr>
        <w:t xml:space="preserve"> 10,800 </w:t>
      </w:r>
      <w:r w:rsidR="00B07A66" w:rsidRPr="00FE7BA7">
        <w:rPr>
          <w:rFonts w:ascii="Verdana" w:hAnsi="Verdana"/>
          <w:sz w:val="20"/>
          <w:szCs w:val="20"/>
          <w:lang w:val="en-US"/>
        </w:rPr>
        <w:t>h</w:t>
      </w:r>
      <w:r w:rsidR="003A17DD">
        <w:rPr>
          <w:rFonts w:ascii="Verdana" w:hAnsi="Verdana"/>
          <w:sz w:val="20"/>
          <w:szCs w:val="20"/>
          <w:lang w:val="en-US"/>
        </w:rPr>
        <w:t>a</w:t>
      </w:r>
      <w:r w:rsidR="00BE4D11" w:rsidRPr="00FE7BA7">
        <w:rPr>
          <w:rFonts w:ascii="Verdana" w:hAnsi="Verdana"/>
          <w:sz w:val="20"/>
          <w:szCs w:val="20"/>
          <w:lang w:val="en-US"/>
        </w:rPr>
        <w:t xml:space="preserve"> of the </w:t>
      </w:r>
      <w:r w:rsidR="00B07A66" w:rsidRPr="00FE7BA7">
        <w:rPr>
          <w:rFonts w:ascii="Verdana" w:hAnsi="Verdana"/>
          <w:sz w:val="20"/>
          <w:szCs w:val="20"/>
          <w:lang w:val="en-US"/>
        </w:rPr>
        <w:t xml:space="preserve">Wia </w:t>
      </w:r>
      <w:proofErr w:type="gramStart"/>
      <w:r w:rsidR="00B07A66" w:rsidRPr="00FE7BA7">
        <w:rPr>
          <w:rFonts w:ascii="Verdana" w:hAnsi="Verdana"/>
          <w:sz w:val="20"/>
          <w:szCs w:val="20"/>
          <w:lang w:val="en-US"/>
        </w:rPr>
        <w:t>Wia</w:t>
      </w:r>
      <w:proofErr w:type="gramEnd"/>
      <w:r w:rsidR="00B07A66" w:rsidRPr="00FE7BA7">
        <w:rPr>
          <w:rFonts w:ascii="Verdana" w:hAnsi="Verdana"/>
          <w:sz w:val="20"/>
          <w:szCs w:val="20"/>
          <w:lang w:val="en-US"/>
        </w:rPr>
        <w:t xml:space="preserve"> Nature Reserve</w:t>
      </w:r>
      <w:r w:rsidR="00A84F18" w:rsidRPr="00FE7BA7">
        <w:rPr>
          <w:rFonts w:ascii="Verdana" w:hAnsi="Verdana"/>
          <w:sz w:val="20"/>
          <w:szCs w:val="20"/>
          <w:lang w:val="en-US"/>
        </w:rPr>
        <w:t xml:space="preserve">, 4,000 </w:t>
      </w:r>
      <w:r w:rsidR="00B07A66" w:rsidRPr="00FE7BA7">
        <w:rPr>
          <w:rFonts w:ascii="Verdana" w:hAnsi="Verdana"/>
          <w:sz w:val="20"/>
          <w:szCs w:val="20"/>
          <w:lang w:val="en-US"/>
        </w:rPr>
        <w:t>h</w:t>
      </w:r>
      <w:r w:rsidR="003A17DD">
        <w:rPr>
          <w:rFonts w:ascii="Verdana" w:hAnsi="Verdana"/>
          <w:sz w:val="20"/>
          <w:szCs w:val="20"/>
          <w:lang w:val="en-US"/>
        </w:rPr>
        <w:t>a</w:t>
      </w:r>
      <w:r w:rsidR="00BE4D11" w:rsidRPr="00FE7BA7">
        <w:rPr>
          <w:rFonts w:ascii="Verdana" w:hAnsi="Verdana"/>
          <w:sz w:val="20"/>
          <w:szCs w:val="20"/>
          <w:lang w:val="en-US"/>
        </w:rPr>
        <w:t xml:space="preserve"> of the </w:t>
      </w:r>
      <w:r w:rsidR="00B07A66" w:rsidRPr="00FE7BA7">
        <w:rPr>
          <w:rFonts w:ascii="Verdana" w:hAnsi="Verdana"/>
          <w:sz w:val="20"/>
          <w:szCs w:val="20"/>
          <w:lang w:val="en-US"/>
        </w:rPr>
        <w:t>Galibi Nature Reserve</w:t>
      </w:r>
      <w:r w:rsidR="00A84F18" w:rsidRPr="00FE7BA7">
        <w:rPr>
          <w:rFonts w:ascii="Verdana" w:hAnsi="Verdana"/>
          <w:sz w:val="20"/>
          <w:szCs w:val="20"/>
          <w:lang w:val="en-US"/>
        </w:rPr>
        <w:t>,</w:t>
      </w:r>
      <w:r w:rsidR="002B5CCD" w:rsidRPr="00FE7BA7">
        <w:rPr>
          <w:rFonts w:ascii="Verdana" w:hAnsi="Verdana"/>
          <w:sz w:val="20"/>
          <w:szCs w:val="20"/>
          <w:lang w:val="en-US"/>
        </w:rPr>
        <w:t xml:space="preserve"> and </w:t>
      </w:r>
      <w:r w:rsidR="00A84F18" w:rsidRPr="00FE7BA7">
        <w:rPr>
          <w:rFonts w:ascii="Verdana" w:hAnsi="Verdana"/>
          <w:sz w:val="20"/>
          <w:szCs w:val="20"/>
          <w:lang w:val="en-US"/>
        </w:rPr>
        <w:t xml:space="preserve">45,000 </w:t>
      </w:r>
      <w:r w:rsidR="00B07A66" w:rsidRPr="00FE7BA7">
        <w:rPr>
          <w:rFonts w:ascii="Verdana" w:hAnsi="Verdana"/>
          <w:sz w:val="20"/>
          <w:szCs w:val="20"/>
          <w:lang w:val="en-US"/>
        </w:rPr>
        <w:t>h</w:t>
      </w:r>
      <w:r w:rsidR="003A17DD">
        <w:rPr>
          <w:rFonts w:ascii="Verdana" w:hAnsi="Verdana"/>
          <w:sz w:val="20"/>
          <w:szCs w:val="20"/>
          <w:lang w:val="en-US"/>
        </w:rPr>
        <w:t>a</w:t>
      </w:r>
      <w:r w:rsidR="00BE4D11" w:rsidRPr="00FE7BA7">
        <w:rPr>
          <w:rFonts w:ascii="Verdana" w:hAnsi="Verdana"/>
          <w:sz w:val="20"/>
          <w:szCs w:val="20"/>
          <w:lang w:val="en-US"/>
        </w:rPr>
        <w:t xml:space="preserve"> of the </w:t>
      </w:r>
      <w:r w:rsidR="00C13118" w:rsidRPr="00FE7BA7">
        <w:rPr>
          <w:rFonts w:ascii="Verdana" w:hAnsi="Verdana"/>
          <w:sz w:val="20"/>
          <w:szCs w:val="20"/>
          <w:lang w:val="en-US"/>
        </w:rPr>
        <w:t xml:space="preserve">Wane Kreek </w:t>
      </w:r>
      <w:r w:rsidR="00B07A66" w:rsidRPr="00FE7BA7">
        <w:rPr>
          <w:rFonts w:ascii="Verdana" w:hAnsi="Verdana"/>
          <w:sz w:val="20"/>
          <w:szCs w:val="20"/>
          <w:lang w:val="en-US"/>
        </w:rPr>
        <w:t>Nature Reserve</w:t>
      </w:r>
      <w:r w:rsidRPr="00FE7BA7">
        <w:rPr>
          <w:rFonts w:ascii="Verdana" w:hAnsi="Verdana"/>
          <w:sz w:val="20"/>
          <w:szCs w:val="20"/>
          <w:lang w:val="en-US"/>
        </w:rPr>
        <w:t xml:space="preserve"> are located within the ancestral </w:t>
      </w:r>
      <w:r w:rsidR="00511E56" w:rsidRPr="00FE7BA7">
        <w:rPr>
          <w:rFonts w:ascii="Verdana" w:hAnsi="Verdana"/>
          <w:sz w:val="20"/>
          <w:szCs w:val="20"/>
          <w:lang w:val="en-US"/>
        </w:rPr>
        <w:t>territory</w:t>
      </w:r>
      <w:r w:rsidR="00A84F18" w:rsidRPr="00FE7BA7">
        <w:rPr>
          <w:rFonts w:ascii="Verdana" w:hAnsi="Verdana"/>
          <w:sz w:val="20"/>
          <w:szCs w:val="20"/>
          <w:lang w:val="en-US"/>
        </w:rPr>
        <w:t xml:space="preserve">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A84F18" w:rsidRPr="00FE7BA7">
        <w:rPr>
          <w:rFonts w:ascii="Verdana" w:hAnsi="Verdana"/>
          <w:sz w:val="20"/>
          <w:szCs w:val="20"/>
          <w:lang w:val="en-US"/>
        </w:rPr>
        <w:t xml:space="preserve">. </w:t>
      </w:r>
      <w:r w:rsidRPr="00FE7BA7">
        <w:rPr>
          <w:rFonts w:ascii="Verdana" w:hAnsi="Verdana"/>
          <w:sz w:val="20"/>
          <w:szCs w:val="20"/>
          <w:lang w:val="en-US"/>
        </w:rPr>
        <w:t xml:space="preserve">Thus, </w:t>
      </w:r>
      <w:r w:rsidRPr="00FE7BA7">
        <w:rPr>
          <w:rFonts w:ascii="Verdana" w:hAnsi="Verdana"/>
          <w:sz w:val="20"/>
          <w:szCs w:val="20"/>
          <w:lang w:val="en-US"/>
        </w:rPr>
        <w:lastRenderedPageBreak/>
        <w:t xml:space="preserve">together, the three reserves cover </w:t>
      </w:r>
      <w:r w:rsidRPr="00EC45EE">
        <w:rPr>
          <w:rFonts w:ascii="Verdana" w:hAnsi="Verdana"/>
          <w:sz w:val="20"/>
          <w:szCs w:val="20"/>
          <w:lang w:val="en-US"/>
        </w:rPr>
        <w:t>approximately 59,</w:t>
      </w:r>
      <w:r w:rsidR="00A84F18" w:rsidRPr="00EC45EE">
        <w:rPr>
          <w:rFonts w:ascii="Verdana" w:hAnsi="Verdana"/>
          <w:sz w:val="20"/>
          <w:szCs w:val="20"/>
          <w:lang w:val="en-US"/>
        </w:rPr>
        <w:t xml:space="preserve">800 </w:t>
      </w:r>
      <w:r w:rsidR="00B07A66" w:rsidRPr="00EC45EE">
        <w:rPr>
          <w:rFonts w:ascii="Verdana" w:hAnsi="Verdana"/>
          <w:sz w:val="20"/>
          <w:szCs w:val="20"/>
          <w:lang w:val="en-US"/>
        </w:rPr>
        <w:t>h</w:t>
      </w:r>
      <w:r w:rsidR="003A17DD">
        <w:rPr>
          <w:rFonts w:ascii="Verdana" w:hAnsi="Verdana"/>
          <w:sz w:val="20"/>
          <w:szCs w:val="20"/>
          <w:lang w:val="en-US"/>
        </w:rPr>
        <w:t>a</w:t>
      </w:r>
      <w:r w:rsidR="00A84F18" w:rsidRPr="00EC45EE">
        <w:rPr>
          <w:rFonts w:ascii="Verdana" w:hAnsi="Verdana"/>
          <w:sz w:val="20"/>
          <w:szCs w:val="20"/>
          <w:lang w:val="en-US"/>
        </w:rPr>
        <w:t xml:space="preserve"> </w:t>
      </w:r>
      <w:r w:rsidRPr="00EC45EE">
        <w:rPr>
          <w:rFonts w:ascii="Verdana" w:hAnsi="Verdana"/>
          <w:sz w:val="20"/>
          <w:szCs w:val="20"/>
          <w:lang w:val="en-US"/>
        </w:rPr>
        <w:t>of the</w:t>
      </w:r>
      <w:r w:rsidR="005823BE" w:rsidRPr="00EC45EE">
        <w:rPr>
          <w:rFonts w:ascii="Verdana" w:hAnsi="Verdana"/>
          <w:sz w:val="20"/>
          <w:szCs w:val="20"/>
          <w:lang w:val="en-US"/>
        </w:rPr>
        <w:t xml:space="preserve"> 133,</w:t>
      </w:r>
      <w:r w:rsidR="00A84F18" w:rsidRPr="00EC45EE">
        <w:rPr>
          <w:rFonts w:ascii="Verdana" w:hAnsi="Verdana"/>
          <w:sz w:val="20"/>
          <w:szCs w:val="20"/>
          <w:lang w:val="en-US"/>
        </w:rPr>
        <w:t xml:space="preserve">945 </w:t>
      </w:r>
      <w:r w:rsidR="00B07A66" w:rsidRPr="00EC45EE">
        <w:rPr>
          <w:rFonts w:ascii="Verdana" w:hAnsi="Verdana"/>
          <w:sz w:val="20"/>
          <w:szCs w:val="20"/>
          <w:lang w:val="en-US"/>
        </w:rPr>
        <w:t>h</w:t>
      </w:r>
      <w:r w:rsidR="0094300B">
        <w:rPr>
          <w:rFonts w:ascii="Verdana" w:hAnsi="Verdana"/>
          <w:sz w:val="20"/>
          <w:szCs w:val="20"/>
          <w:lang w:val="en-US"/>
        </w:rPr>
        <w:t>a</w:t>
      </w:r>
      <w:r w:rsidR="00A84F18" w:rsidRPr="00EC45EE">
        <w:rPr>
          <w:rFonts w:ascii="Verdana" w:hAnsi="Verdana"/>
          <w:sz w:val="20"/>
          <w:szCs w:val="20"/>
          <w:lang w:val="en-US"/>
        </w:rPr>
        <w:t xml:space="preserve"> </w:t>
      </w:r>
      <w:r w:rsidRPr="00EC45EE">
        <w:rPr>
          <w:rFonts w:ascii="Verdana" w:hAnsi="Verdana"/>
          <w:sz w:val="20"/>
          <w:szCs w:val="20"/>
          <w:lang w:val="en-US"/>
        </w:rPr>
        <w:t>claimed in this case.</w:t>
      </w:r>
    </w:p>
    <w:p w14:paraId="631268CA" w14:textId="77777777" w:rsidR="00926E61" w:rsidRPr="00EC45EE" w:rsidRDefault="00926E61" w:rsidP="00926E61">
      <w:pPr>
        <w:jc w:val="both"/>
        <w:rPr>
          <w:rFonts w:ascii="Verdana" w:hAnsi="Verdana"/>
          <w:sz w:val="20"/>
          <w:szCs w:val="20"/>
          <w:lang w:val="en-US"/>
        </w:rPr>
      </w:pPr>
    </w:p>
    <w:p w14:paraId="631268CB" w14:textId="77777777" w:rsidR="00926E61" w:rsidRPr="00EC45EE" w:rsidRDefault="00BE4D11" w:rsidP="0049296E">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The nature reserves were established based on the 1954 Nature Protection Act.</w:t>
      </w:r>
      <w:r w:rsidR="00926E61" w:rsidRPr="00EC45EE">
        <w:rPr>
          <w:rStyle w:val="FootnoteReference"/>
          <w:szCs w:val="20"/>
          <w:lang w:val="en-US"/>
        </w:rPr>
        <w:footnoteReference w:id="85"/>
      </w:r>
      <w:r w:rsidR="00926E61" w:rsidRPr="00EC45EE">
        <w:rPr>
          <w:rFonts w:ascii="Verdana" w:hAnsi="Verdana"/>
          <w:sz w:val="20"/>
          <w:szCs w:val="20"/>
          <w:lang w:val="en-US"/>
        </w:rPr>
        <w:t xml:space="preserve"> </w:t>
      </w:r>
      <w:r w:rsidR="0049296E" w:rsidRPr="00EC45EE">
        <w:rPr>
          <w:rFonts w:ascii="Verdana" w:hAnsi="Verdana"/>
          <w:sz w:val="20"/>
          <w:szCs w:val="20"/>
          <w:lang w:val="en-US"/>
        </w:rPr>
        <w:t xml:space="preserve">This act, following the amendments made in </w:t>
      </w:r>
      <w:r w:rsidR="00926E61" w:rsidRPr="00EC45EE">
        <w:rPr>
          <w:rFonts w:ascii="Verdana" w:hAnsi="Verdana"/>
          <w:sz w:val="20"/>
          <w:szCs w:val="20"/>
          <w:lang w:val="en-US"/>
        </w:rPr>
        <w:t>1980</w:t>
      </w:r>
      <w:r w:rsidR="002B5CCD" w:rsidRPr="00EC45EE">
        <w:rPr>
          <w:rFonts w:ascii="Verdana" w:hAnsi="Verdana"/>
          <w:sz w:val="20"/>
          <w:szCs w:val="20"/>
          <w:lang w:val="en-US"/>
        </w:rPr>
        <w:t xml:space="preserve"> and </w:t>
      </w:r>
      <w:r w:rsidR="00926E61" w:rsidRPr="00EC45EE">
        <w:rPr>
          <w:rFonts w:ascii="Verdana" w:hAnsi="Verdana"/>
          <w:sz w:val="20"/>
          <w:szCs w:val="20"/>
          <w:lang w:val="en-US"/>
        </w:rPr>
        <w:t>1992</w:t>
      </w:r>
      <w:r w:rsidR="0049296E" w:rsidRPr="00EC45EE">
        <w:rPr>
          <w:rFonts w:ascii="Verdana" w:hAnsi="Verdana"/>
          <w:sz w:val="20"/>
          <w:szCs w:val="20"/>
          <w:lang w:val="en-US"/>
        </w:rPr>
        <w:t xml:space="preserve">, establishes that the </w:t>
      </w:r>
      <w:r w:rsidR="002B5CCD" w:rsidRPr="00EC45EE">
        <w:rPr>
          <w:rFonts w:ascii="Verdana" w:hAnsi="Verdana"/>
          <w:sz w:val="20"/>
          <w:szCs w:val="20"/>
          <w:lang w:val="en-US"/>
        </w:rPr>
        <w:t>President</w:t>
      </w:r>
      <w:r w:rsidR="002F0F93" w:rsidRPr="00EC45EE">
        <w:rPr>
          <w:rFonts w:ascii="Verdana" w:hAnsi="Verdana"/>
          <w:sz w:val="20"/>
          <w:szCs w:val="20"/>
          <w:lang w:val="en-US"/>
        </w:rPr>
        <w:t xml:space="preserve"> of Suriname</w:t>
      </w:r>
      <w:r w:rsidR="002B5CCD" w:rsidRPr="00EC45EE">
        <w:rPr>
          <w:rFonts w:ascii="Verdana" w:hAnsi="Verdana"/>
          <w:sz w:val="20"/>
          <w:szCs w:val="20"/>
          <w:lang w:val="en-US"/>
        </w:rPr>
        <w:t xml:space="preserve"> </w:t>
      </w:r>
      <w:r w:rsidR="0049296E" w:rsidRPr="00EC45EE">
        <w:rPr>
          <w:rFonts w:ascii="Verdana" w:hAnsi="Verdana"/>
          <w:sz w:val="20"/>
          <w:szCs w:val="20"/>
          <w:lang w:val="en-US"/>
        </w:rPr>
        <w:t>is authorized to designate, by order, lands and water that are State property as a nature reserve.</w:t>
      </w:r>
      <w:r w:rsidR="00926E61" w:rsidRPr="00EC45EE">
        <w:rPr>
          <w:rStyle w:val="FootnoteReference"/>
          <w:szCs w:val="20"/>
          <w:lang w:val="en-US"/>
        </w:rPr>
        <w:footnoteReference w:id="86"/>
      </w:r>
    </w:p>
    <w:p w14:paraId="631268CC" w14:textId="77777777" w:rsidR="00926E61" w:rsidRPr="00EC45EE" w:rsidRDefault="00926E61" w:rsidP="00926E61">
      <w:pPr>
        <w:jc w:val="both"/>
        <w:rPr>
          <w:rFonts w:ascii="Verdana" w:hAnsi="Verdana"/>
          <w:sz w:val="20"/>
          <w:szCs w:val="20"/>
          <w:lang w:val="en-US"/>
        </w:rPr>
      </w:pPr>
    </w:p>
    <w:p w14:paraId="631268CD" w14:textId="77777777" w:rsidR="00926E61" w:rsidRPr="00EC45EE" w:rsidRDefault="0049296E" w:rsidP="00B935FA">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Furthermore</w:t>
      </w:r>
      <w:r w:rsidR="00926E61" w:rsidRPr="00EC45EE">
        <w:rPr>
          <w:rFonts w:ascii="Verdana" w:hAnsi="Verdana"/>
          <w:sz w:val="20"/>
          <w:szCs w:val="20"/>
          <w:lang w:val="en-US"/>
        </w:rPr>
        <w:t xml:space="preserve">, </w:t>
      </w:r>
      <w:r w:rsidRPr="00EC45EE">
        <w:rPr>
          <w:rFonts w:ascii="Verdana" w:hAnsi="Verdana"/>
          <w:sz w:val="20"/>
          <w:szCs w:val="20"/>
          <w:lang w:val="en-US"/>
        </w:rPr>
        <w:t>a</w:t>
      </w:r>
      <w:r w:rsidR="002B5CCD" w:rsidRPr="00EC45EE">
        <w:rPr>
          <w:rFonts w:ascii="Verdana" w:hAnsi="Verdana"/>
          <w:sz w:val="20"/>
          <w:szCs w:val="20"/>
          <w:lang w:val="en-US"/>
        </w:rPr>
        <w:t>rticle</w:t>
      </w:r>
      <w:r w:rsidR="00926E61" w:rsidRPr="00EC45EE">
        <w:rPr>
          <w:rFonts w:ascii="Verdana" w:hAnsi="Verdana"/>
          <w:sz w:val="20"/>
          <w:szCs w:val="20"/>
          <w:lang w:val="en-US"/>
        </w:rPr>
        <w:t xml:space="preserve"> 5(c) </w:t>
      </w:r>
      <w:r w:rsidRPr="00EC45EE">
        <w:rPr>
          <w:rFonts w:ascii="Verdana" w:hAnsi="Verdana"/>
          <w:sz w:val="20"/>
          <w:szCs w:val="20"/>
          <w:lang w:val="en-US"/>
        </w:rPr>
        <w:t>of this act stipulates that hunting and fishing are forbidden within a nature reserve.</w:t>
      </w:r>
      <w:r w:rsidR="00926E61" w:rsidRPr="00EC45EE">
        <w:rPr>
          <w:rStyle w:val="FootnoteReference"/>
          <w:szCs w:val="20"/>
          <w:lang w:val="en-US"/>
        </w:rPr>
        <w:footnoteReference w:id="87"/>
      </w:r>
      <w:r w:rsidRPr="00EC45EE">
        <w:rPr>
          <w:rFonts w:ascii="Verdana" w:hAnsi="Verdana"/>
          <w:sz w:val="20"/>
          <w:szCs w:val="20"/>
          <w:lang w:val="en-US"/>
        </w:rPr>
        <w:t xml:space="preserve"> In this regard,</w:t>
      </w:r>
      <w:r w:rsidR="00926E61" w:rsidRPr="00EC45EE">
        <w:rPr>
          <w:rFonts w:ascii="Verdana" w:hAnsi="Verdana"/>
          <w:sz w:val="20"/>
          <w:szCs w:val="20"/>
          <w:lang w:val="en-US"/>
        </w:rPr>
        <w:t xml:space="preserve"> Ferdinand Baal, Bryan Drakenstein</w:t>
      </w:r>
      <w:r w:rsidR="002B5CCD" w:rsidRPr="00EC45EE">
        <w:rPr>
          <w:rFonts w:ascii="Verdana" w:hAnsi="Verdana"/>
          <w:sz w:val="20"/>
          <w:szCs w:val="20"/>
          <w:lang w:val="en-US"/>
        </w:rPr>
        <w:t xml:space="preserve"> and </w:t>
      </w:r>
      <w:r w:rsidR="00926E61" w:rsidRPr="00EC45EE">
        <w:rPr>
          <w:rFonts w:ascii="Verdana" w:hAnsi="Verdana"/>
          <w:sz w:val="20"/>
          <w:szCs w:val="20"/>
          <w:lang w:val="en-US"/>
        </w:rPr>
        <w:t xml:space="preserve">Claudine Sakimin, </w:t>
      </w:r>
      <w:r w:rsidRPr="00EC45EE">
        <w:rPr>
          <w:rFonts w:ascii="Verdana" w:hAnsi="Verdana"/>
          <w:sz w:val="20"/>
          <w:szCs w:val="20"/>
          <w:lang w:val="en-US"/>
        </w:rPr>
        <w:t xml:space="preserve">who were Directors of the Nature Conservation Division from 1978 to date, have indicated that </w:t>
      </w:r>
      <w:r w:rsidR="00C13118" w:rsidRPr="00EC45EE">
        <w:rPr>
          <w:rFonts w:ascii="Verdana" w:hAnsi="Verdana"/>
          <w:sz w:val="20"/>
          <w:szCs w:val="20"/>
          <w:lang w:val="en-US"/>
        </w:rPr>
        <w:t>the 1954 Nature Protection Act</w:t>
      </w:r>
      <w:r w:rsidR="00926E61" w:rsidRPr="00EC45EE">
        <w:rPr>
          <w:rFonts w:ascii="Verdana" w:hAnsi="Verdana"/>
          <w:sz w:val="20"/>
          <w:szCs w:val="20"/>
          <w:lang w:val="en-US"/>
        </w:rPr>
        <w:t xml:space="preserve"> </w:t>
      </w:r>
      <w:r w:rsidRPr="00EC45EE">
        <w:rPr>
          <w:rFonts w:ascii="Verdana" w:hAnsi="Verdana"/>
          <w:sz w:val="20"/>
          <w:szCs w:val="20"/>
          <w:lang w:val="en-US"/>
        </w:rPr>
        <w:t xml:space="preserve">did not include </w:t>
      </w:r>
      <w:r w:rsidR="00FE7BA7" w:rsidRPr="00EC45EE">
        <w:rPr>
          <w:rFonts w:ascii="Verdana" w:hAnsi="Verdana"/>
          <w:sz w:val="20"/>
          <w:szCs w:val="20"/>
          <w:lang w:val="en-US"/>
        </w:rPr>
        <w:t>the</w:t>
      </w:r>
      <w:r w:rsidRPr="00EC45EE">
        <w:rPr>
          <w:rFonts w:ascii="Verdana" w:hAnsi="Verdana"/>
          <w:sz w:val="20"/>
          <w:szCs w:val="20"/>
          <w:lang w:val="en-US"/>
        </w:rPr>
        <w:t xml:space="preserve"> recognition of rights to </w:t>
      </w:r>
      <w:r w:rsidR="00BD40EF" w:rsidRPr="00EC45EE">
        <w:rPr>
          <w:rFonts w:ascii="Verdana" w:hAnsi="Verdana"/>
          <w:sz w:val="20"/>
          <w:szCs w:val="20"/>
          <w:lang w:val="en-US"/>
        </w:rPr>
        <w:t>the indigenous peoples</w:t>
      </w:r>
      <w:r w:rsidR="00926E61" w:rsidRPr="00EC45EE">
        <w:rPr>
          <w:rFonts w:ascii="Verdana" w:hAnsi="Verdana"/>
          <w:sz w:val="20"/>
          <w:szCs w:val="20"/>
          <w:lang w:val="en-US"/>
        </w:rPr>
        <w:t xml:space="preserve"> </w:t>
      </w:r>
      <w:r w:rsidR="005823BE" w:rsidRPr="00EC45EE">
        <w:rPr>
          <w:rFonts w:ascii="Verdana" w:hAnsi="Verdana"/>
          <w:sz w:val="20"/>
          <w:szCs w:val="20"/>
          <w:lang w:val="en-US"/>
        </w:rPr>
        <w:t>in relation</w:t>
      </w:r>
      <w:r w:rsidRPr="00EC45EE">
        <w:rPr>
          <w:rFonts w:ascii="Verdana" w:hAnsi="Verdana"/>
          <w:sz w:val="20"/>
          <w:szCs w:val="20"/>
          <w:lang w:val="en-US"/>
        </w:rPr>
        <w:t xml:space="preserve"> to their customs and traditions.</w:t>
      </w:r>
      <w:r w:rsidR="00926E61" w:rsidRPr="00EC45EE">
        <w:rPr>
          <w:rStyle w:val="FootnoteReference"/>
          <w:szCs w:val="20"/>
          <w:lang w:val="en-US"/>
        </w:rPr>
        <w:footnoteReference w:id="88"/>
      </w:r>
    </w:p>
    <w:p w14:paraId="631268CE" w14:textId="77777777" w:rsidR="00926E61" w:rsidRPr="00EC45EE" w:rsidRDefault="00926E61" w:rsidP="00926E61">
      <w:pPr>
        <w:jc w:val="both"/>
        <w:rPr>
          <w:rFonts w:ascii="Verdana" w:hAnsi="Verdana"/>
          <w:b/>
          <w:sz w:val="20"/>
          <w:szCs w:val="20"/>
          <w:lang w:val="en-US"/>
        </w:rPr>
      </w:pPr>
    </w:p>
    <w:p w14:paraId="631268CF" w14:textId="77777777" w:rsidR="00926E61" w:rsidRPr="00EC45EE" w:rsidRDefault="00926E61" w:rsidP="007624EC">
      <w:pPr>
        <w:pStyle w:val="Heading3"/>
        <w:spacing w:before="0"/>
        <w:ind w:firstLine="360"/>
        <w:jc w:val="both"/>
        <w:rPr>
          <w:rFonts w:ascii="Verdana" w:hAnsi="Verdana"/>
          <w:i/>
          <w:color w:val="auto"/>
          <w:sz w:val="20"/>
          <w:szCs w:val="20"/>
          <w:lang w:val="en-US"/>
        </w:rPr>
      </w:pPr>
      <w:bookmarkStart w:id="20" w:name="_Toc441673193"/>
      <w:r w:rsidRPr="00EC45EE">
        <w:rPr>
          <w:rFonts w:ascii="Verdana" w:hAnsi="Verdana"/>
          <w:i/>
          <w:color w:val="auto"/>
          <w:sz w:val="20"/>
          <w:szCs w:val="20"/>
          <w:lang w:val="en-US"/>
        </w:rPr>
        <w:t xml:space="preserve">E.1 </w:t>
      </w:r>
      <w:proofErr w:type="gramStart"/>
      <w:r w:rsidR="00BE4D11" w:rsidRPr="00EC45EE">
        <w:rPr>
          <w:rFonts w:ascii="Verdana" w:hAnsi="Verdana"/>
          <w:i/>
          <w:color w:val="auto"/>
          <w:sz w:val="20"/>
          <w:szCs w:val="20"/>
          <w:lang w:val="en-US"/>
        </w:rPr>
        <w:t>The</w:t>
      </w:r>
      <w:proofErr w:type="gramEnd"/>
      <w:r w:rsidR="00BE4D11" w:rsidRPr="00EC45EE">
        <w:rPr>
          <w:rFonts w:ascii="Verdana" w:hAnsi="Verdana"/>
          <w:i/>
          <w:color w:val="auto"/>
          <w:sz w:val="20"/>
          <w:szCs w:val="20"/>
          <w:lang w:val="en-US"/>
        </w:rPr>
        <w:t xml:space="preserve"> Wia Wia and Galibi Nature Reserves</w:t>
      </w:r>
      <w:bookmarkEnd w:id="20"/>
      <w:r w:rsidRPr="00EC45EE">
        <w:rPr>
          <w:rFonts w:ascii="Verdana" w:hAnsi="Verdana"/>
          <w:i/>
          <w:color w:val="auto"/>
          <w:sz w:val="20"/>
          <w:szCs w:val="20"/>
          <w:lang w:val="en-US"/>
        </w:rPr>
        <w:t xml:space="preserve"> </w:t>
      </w:r>
    </w:p>
    <w:p w14:paraId="631268D0" w14:textId="77777777" w:rsidR="00926E61" w:rsidRPr="00EC45EE" w:rsidRDefault="00926E61" w:rsidP="00926E61">
      <w:pPr>
        <w:jc w:val="both"/>
        <w:rPr>
          <w:rFonts w:ascii="Verdana" w:hAnsi="Verdana"/>
          <w:b/>
          <w:sz w:val="20"/>
          <w:szCs w:val="20"/>
          <w:u w:val="single"/>
          <w:lang w:val="en-US"/>
        </w:rPr>
      </w:pPr>
    </w:p>
    <w:p w14:paraId="631268D1" w14:textId="77777777" w:rsidR="00926E61" w:rsidRPr="00FE7BA7" w:rsidRDefault="0049296E" w:rsidP="00B935FA">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The</w:t>
      </w:r>
      <w:r w:rsidR="00926E61" w:rsidRPr="00EC45EE">
        <w:rPr>
          <w:rFonts w:ascii="Verdana" w:hAnsi="Verdana"/>
          <w:sz w:val="20"/>
          <w:szCs w:val="20"/>
          <w:lang w:val="en-US"/>
        </w:rPr>
        <w:t xml:space="preserve"> </w:t>
      </w:r>
      <w:proofErr w:type="gramStart"/>
      <w:r w:rsidR="00926E61" w:rsidRPr="00EC45EE">
        <w:rPr>
          <w:rFonts w:ascii="Verdana" w:hAnsi="Verdana"/>
          <w:sz w:val="20"/>
          <w:szCs w:val="20"/>
          <w:lang w:val="en-US"/>
        </w:rPr>
        <w:t>Wia Wia</w:t>
      </w:r>
      <w:proofErr w:type="gramEnd"/>
      <w:r w:rsidR="002B5CCD" w:rsidRPr="00EC45EE">
        <w:rPr>
          <w:rFonts w:ascii="Verdana" w:hAnsi="Verdana"/>
          <w:sz w:val="20"/>
          <w:szCs w:val="20"/>
          <w:lang w:val="en-US"/>
        </w:rPr>
        <w:t xml:space="preserve"> and </w:t>
      </w:r>
      <w:r w:rsidR="00926E61" w:rsidRPr="00EC45EE">
        <w:rPr>
          <w:rFonts w:ascii="Verdana" w:hAnsi="Verdana"/>
          <w:sz w:val="20"/>
          <w:szCs w:val="20"/>
          <w:lang w:val="en-US"/>
        </w:rPr>
        <w:t>Galibi</w:t>
      </w:r>
      <w:r w:rsidR="005823BE" w:rsidRPr="00EC45EE">
        <w:rPr>
          <w:rFonts w:ascii="Verdana" w:hAnsi="Verdana"/>
          <w:sz w:val="20"/>
          <w:szCs w:val="20"/>
          <w:lang w:val="en-US"/>
        </w:rPr>
        <w:t xml:space="preserve"> Nature R</w:t>
      </w:r>
      <w:r w:rsidRPr="00EC45EE">
        <w:rPr>
          <w:rFonts w:ascii="Verdana" w:hAnsi="Verdana"/>
          <w:sz w:val="20"/>
          <w:szCs w:val="20"/>
          <w:lang w:val="en-US"/>
        </w:rPr>
        <w:t>eserves</w:t>
      </w:r>
      <w:r w:rsidR="00926E61" w:rsidRPr="00EC45EE">
        <w:rPr>
          <w:rFonts w:ascii="Verdana" w:hAnsi="Verdana"/>
          <w:sz w:val="20"/>
          <w:szCs w:val="20"/>
          <w:lang w:val="en-US"/>
        </w:rPr>
        <w:t xml:space="preserve"> </w:t>
      </w:r>
      <w:r w:rsidR="00B95539" w:rsidRPr="00EC45EE">
        <w:rPr>
          <w:rFonts w:ascii="Verdana" w:hAnsi="Verdana"/>
          <w:sz w:val="20"/>
          <w:szCs w:val="20"/>
          <w:lang w:val="en-US"/>
        </w:rPr>
        <w:t xml:space="preserve">were established by the Governor of Suriname on April 22, </w:t>
      </w:r>
      <w:r w:rsidR="00926E61" w:rsidRPr="00EC45EE">
        <w:rPr>
          <w:rFonts w:ascii="Verdana" w:hAnsi="Verdana"/>
          <w:sz w:val="20"/>
          <w:szCs w:val="20"/>
          <w:lang w:val="en-US"/>
        </w:rPr>
        <w:t>1966</w:t>
      </w:r>
      <w:r w:rsidR="00B95539" w:rsidRPr="00EC45EE">
        <w:rPr>
          <w:rFonts w:ascii="Verdana" w:hAnsi="Verdana"/>
          <w:sz w:val="20"/>
          <w:szCs w:val="20"/>
          <w:lang w:val="en-US"/>
        </w:rPr>
        <w:t>,</w:t>
      </w:r>
      <w:r w:rsidR="00926E61" w:rsidRPr="00EC45EE">
        <w:rPr>
          <w:rStyle w:val="FootnoteReference"/>
          <w:szCs w:val="20"/>
          <w:lang w:val="en-US"/>
        </w:rPr>
        <w:footnoteReference w:id="89"/>
      </w:r>
      <w:r w:rsidR="002B5CCD" w:rsidRPr="00EC45EE">
        <w:rPr>
          <w:rFonts w:ascii="Verdana" w:hAnsi="Verdana"/>
          <w:sz w:val="20"/>
          <w:szCs w:val="20"/>
          <w:lang w:val="en-US"/>
        </w:rPr>
        <w:t xml:space="preserve"> and </w:t>
      </w:r>
      <w:r w:rsidR="00B95539" w:rsidRPr="00EC45EE">
        <w:rPr>
          <w:rFonts w:ascii="Verdana" w:hAnsi="Verdana"/>
          <w:sz w:val="20"/>
          <w:szCs w:val="20"/>
          <w:lang w:val="en-US"/>
        </w:rPr>
        <w:t>May 26,</w:t>
      </w:r>
      <w:r w:rsidR="00926E61" w:rsidRPr="00EC45EE">
        <w:rPr>
          <w:rFonts w:ascii="Verdana" w:hAnsi="Verdana"/>
          <w:sz w:val="20"/>
          <w:szCs w:val="20"/>
          <w:lang w:val="en-US"/>
        </w:rPr>
        <w:t xml:space="preserve"> 1969</w:t>
      </w:r>
      <w:r w:rsidR="00B95539" w:rsidRPr="00EC45EE">
        <w:rPr>
          <w:rFonts w:ascii="Verdana" w:hAnsi="Verdana"/>
          <w:sz w:val="20"/>
          <w:szCs w:val="20"/>
          <w:lang w:val="en-US"/>
        </w:rPr>
        <w:t>,</w:t>
      </w:r>
      <w:r w:rsidR="00926E61" w:rsidRPr="00EC45EE">
        <w:rPr>
          <w:rStyle w:val="FootnoteReference"/>
          <w:szCs w:val="20"/>
          <w:lang w:val="en-US"/>
        </w:rPr>
        <w:footnoteReference w:id="90"/>
      </w:r>
      <w:r w:rsidR="00926E61" w:rsidRPr="00EC45EE">
        <w:rPr>
          <w:rFonts w:ascii="Verdana" w:hAnsi="Verdana"/>
          <w:sz w:val="20"/>
          <w:szCs w:val="20"/>
          <w:lang w:val="en-US"/>
        </w:rPr>
        <w:t xml:space="preserve"> </w:t>
      </w:r>
      <w:r w:rsidR="00FE7BA7" w:rsidRPr="00EC45EE">
        <w:rPr>
          <w:rFonts w:ascii="Verdana" w:hAnsi="Verdana"/>
          <w:sz w:val="20"/>
          <w:szCs w:val="20"/>
          <w:lang w:val="en-US"/>
        </w:rPr>
        <w:t>respectively</w:t>
      </w:r>
      <w:r w:rsidR="00926E61" w:rsidRPr="00EC45EE">
        <w:rPr>
          <w:rFonts w:ascii="Verdana" w:hAnsi="Verdana"/>
          <w:sz w:val="20"/>
          <w:szCs w:val="20"/>
          <w:lang w:val="en-US"/>
        </w:rPr>
        <w:t>,</w:t>
      </w:r>
      <w:r w:rsidR="005823BE" w:rsidRPr="00EC45EE">
        <w:rPr>
          <w:rFonts w:ascii="Verdana" w:hAnsi="Verdana"/>
          <w:sz w:val="20"/>
          <w:szCs w:val="20"/>
          <w:lang w:val="en-US"/>
        </w:rPr>
        <w:t xml:space="preserve"> during the Dutch</w:t>
      </w:r>
      <w:r w:rsidR="005823BE" w:rsidRPr="00FE7BA7">
        <w:rPr>
          <w:rFonts w:ascii="Verdana" w:hAnsi="Verdana"/>
          <w:sz w:val="20"/>
          <w:szCs w:val="20"/>
          <w:lang w:val="en-US"/>
        </w:rPr>
        <w:t xml:space="preserve"> colonial administration</w:t>
      </w:r>
      <w:r w:rsidR="005823BE">
        <w:rPr>
          <w:rFonts w:ascii="Verdana" w:hAnsi="Verdana"/>
          <w:sz w:val="20"/>
          <w:szCs w:val="20"/>
          <w:lang w:val="en-US"/>
        </w:rPr>
        <w:t>,</w:t>
      </w:r>
      <w:r w:rsidR="00B95539" w:rsidRPr="00FE7BA7">
        <w:rPr>
          <w:rFonts w:ascii="Verdana" w:hAnsi="Verdana"/>
          <w:sz w:val="20"/>
          <w:szCs w:val="20"/>
          <w:lang w:val="en-US"/>
        </w:rPr>
        <w:t xml:space="preserve"> in order to </w:t>
      </w:r>
      <w:r w:rsidR="00FE7BA7" w:rsidRPr="00FE7BA7">
        <w:rPr>
          <w:rFonts w:ascii="Verdana" w:hAnsi="Verdana"/>
          <w:sz w:val="20"/>
          <w:szCs w:val="20"/>
          <w:lang w:val="en-US"/>
        </w:rPr>
        <w:t>protect</w:t>
      </w:r>
      <w:r w:rsidR="00B95539" w:rsidRPr="00FE7BA7">
        <w:rPr>
          <w:rFonts w:ascii="Verdana" w:hAnsi="Verdana"/>
          <w:sz w:val="20"/>
          <w:szCs w:val="20"/>
          <w:lang w:val="en-US"/>
        </w:rPr>
        <w:t xml:space="preserve"> the nesting beaches of the </w:t>
      </w:r>
      <w:r w:rsidR="005823BE">
        <w:rPr>
          <w:rFonts w:ascii="Verdana" w:hAnsi="Verdana"/>
          <w:sz w:val="20"/>
          <w:szCs w:val="20"/>
          <w:lang w:val="en-US"/>
        </w:rPr>
        <w:t>sea</w:t>
      </w:r>
      <w:r w:rsidR="00B95539" w:rsidRPr="00FE7BA7">
        <w:rPr>
          <w:rFonts w:ascii="Verdana" w:hAnsi="Verdana"/>
          <w:sz w:val="20"/>
          <w:szCs w:val="20"/>
          <w:lang w:val="en-US"/>
        </w:rPr>
        <w:t xml:space="preserve"> turtles.</w:t>
      </w:r>
      <w:r w:rsidR="00926E61" w:rsidRPr="00FE7BA7">
        <w:rPr>
          <w:rStyle w:val="FootnoteReference"/>
          <w:szCs w:val="20"/>
          <w:lang w:val="en-US"/>
        </w:rPr>
        <w:footnoteReference w:id="91"/>
      </w:r>
      <w:r w:rsidR="00B95539" w:rsidRPr="00FE7BA7">
        <w:rPr>
          <w:rFonts w:ascii="Verdana" w:hAnsi="Verdana"/>
          <w:sz w:val="20"/>
          <w:szCs w:val="20"/>
          <w:lang w:val="en-US"/>
        </w:rPr>
        <w:t xml:space="preserve"> </w:t>
      </w:r>
      <w:r w:rsidR="00926E61" w:rsidRPr="00FE7BA7">
        <w:rPr>
          <w:rFonts w:ascii="Verdana" w:hAnsi="Verdana"/>
          <w:sz w:val="20"/>
          <w:szCs w:val="20"/>
          <w:lang w:val="en-US"/>
        </w:rPr>
        <w:t xml:space="preserve"> </w:t>
      </w:r>
      <w:r w:rsidR="00B95539" w:rsidRPr="00FE7BA7">
        <w:rPr>
          <w:rFonts w:ascii="Verdana" w:hAnsi="Verdana"/>
          <w:sz w:val="20"/>
          <w:szCs w:val="20"/>
          <w:lang w:val="en-US"/>
        </w:rPr>
        <w:t xml:space="preserve">The nearest communities to these reserves are </w:t>
      </w:r>
      <w:r w:rsidR="00926E61" w:rsidRPr="00FE7BA7">
        <w:rPr>
          <w:rFonts w:ascii="Verdana" w:hAnsi="Verdana"/>
          <w:sz w:val="20"/>
          <w:szCs w:val="20"/>
          <w:lang w:val="en-US"/>
        </w:rPr>
        <w:t>Christiaankondre</w:t>
      </w:r>
      <w:r w:rsidR="002B5CCD" w:rsidRPr="00FE7BA7">
        <w:rPr>
          <w:rFonts w:ascii="Verdana" w:hAnsi="Verdana"/>
          <w:sz w:val="20"/>
          <w:szCs w:val="20"/>
          <w:lang w:val="en-US"/>
        </w:rPr>
        <w:t xml:space="preserve"> and </w:t>
      </w:r>
      <w:r w:rsidR="00B95539" w:rsidRPr="00FE7BA7">
        <w:rPr>
          <w:rFonts w:ascii="Verdana" w:hAnsi="Verdana"/>
          <w:sz w:val="20"/>
          <w:szCs w:val="20"/>
          <w:lang w:val="en-US"/>
        </w:rPr>
        <w:t xml:space="preserve">Langamankondre; however, they are known locally as </w:t>
      </w:r>
      <w:r w:rsidR="00926E61" w:rsidRPr="00FE7BA7">
        <w:rPr>
          <w:rFonts w:ascii="Verdana" w:hAnsi="Verdana"/>
          <w:sz w:val="20"/>
          <w:szCs w:val="20"/>
          <w:lang w:val="en-US"/>
        </w:rPr>
        <w:t>Galibi</w:t>
      </w:r>
      <w:r w:rsidR="00B95539" w:rsidRPr="00FE7BA7">
        <w:rPr>
          <w:rFonts w:ascii="Verdana" w:hAnsi="Verdana"/>
          <w:sz w:val="20"/>
          <w:szCs w:val="20"/>
          <w:lang w:val="en-US"/>
        </w:rPr>
        <w:t>.</w:t>
      </w:r>
      <w:r w:rsidR="00926E61" w:rsidRPr="00FE7BA7">
        <w:rPr>
          <w:rStyle w:val="FootnoteReference"/>
          <w:szCs w:val="20"/>
          <w:lang w:val="en-US"/>
        </w:rPr>
        <w:footnoteReference w:id="92"/>
      </w:r>
    </w:p>
    <w:p w14:paraId="631268D2" w14:textId="77777777" w:rsidR="00926E61" w:rsidRPr="00FE7BA7" w:rsidRDefault="00926E61" w:rsidP="00926E61">
      <w:pPr>
        <w:jc w:val="both"/>
        <w:rPr>
          <w:rFonts w:ascii="Verdana" w:hAnsi="Verdana"/>
          <w:sz w:val="20"/>
          <w:szCs w:val="20"/>
          <w:lang w:val="en-US"/>
        </w:rPr>
      </w:pPr>
    </w:p>
    <w:p w14:paraId="631268D3" w14:textId="421C8DB6" w:rsidR="00926E61" w:rsidRPr="00FE7BA7" w:rsidRDefault="00BE4D11"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former Directors of </w:t>
      </w:r>
      <w:r w:rsidRPr="00EC45EE">
        <w:rPr>
          <w:rFonts w:ascii="Verdana" w:hAnsi="Verdana"/>
          <w:sz w:val="20"/>
          <w:szCs w:val="20"/>
          <w:lang w:val="en-US"/>
        </w:rPr>
        <w:t>the</w:t>
      </w:r>
      <w:r w:rsidR="00B95539" w:rsidRPr="00EC45EE">
        <w:rPr>
          <w:rFonts w:ascii="Verdana" w:hAnsi="Verdana"/>
          <w:sz w:val="20"/>
          <w:szCs w:val="20"/>
          <w:lang w:val="en-US"/>
        </w:rPr>
        <w:t xml:space="preserve"> Nature Conservation Division, </w:t>
      </w:r>
      <w:r w:rsidR="00926E61" w:rsidRPr="00EC45EE">
        <w:rPr>
          <w:rFonts w:ascii="Verdana" w:hAnsi="Verdana"/>
          <w:sz w:val="20"/>
          <w:szCs w:val="20"/>
          <w:lang w:val="en-US"/>
        </w:rPr>
        <w:t>Ferdinand</w:t>
      </w:r>
      <w:r w:rsidR="00926E61" w:rsidRPr="00FE7BA7">
        <w:rPr>
          <w:rFonts w:ascii="Verdana" w:hAnsi="Verdana"/>
          <w:sz w:val="20"/>
          <w:szCs w:val="20"/>
          <w:lang w:val="en-US"/>
        </w:rPr>
        <w:t xml:space="preserve"> Baal</w:t>
      </w:r>
      <w:r w:rsidR="002B5CCD" w:rsidRPr="00FE7BA7">
        <w:rPr>
          <w:rFonts w:ascii="Verdana" w:hAnsi="Verdana"/>
          <w:sz w:val="20"/>
          <w:szCs w:val="20"/>
          <w:lang w:val="en-US"/>
        </w:rPr>
        <w:t xml:space="preserve"> and </w:t>
      </w:r>
      <w:r w:rsidR="00926E61" w:rsidRPr="00FE7BA7">
        <w:rPr>
          <w:rFonts w:ascii="Verdana" w:hAnsi="Verdana"/>
          <w:sz w:val="20"/>
          <w:szCs w:val="20"/>
          <w:lang w:val="en-US"/>
        </w:rPr>
        <w:t>Bryan Drakenstein</w:t>
      </w:r>
      <w:r w:rsidR="007632DA">
        <w:rPr>
          <w:rFonts w:ascii="Verdana" w:hAnsi="Verdana"/>
          <w:sz w:val="20"/>
          <w:szCs w:val="20"/>
          <w:lang w:val="en-US"/>
        </w:rPr>
        <w:t>,</w:t>
      </w:r>
      <w:r w:rsidR="00926E61" w:rsidRPr="00FE7BA7">
        <w:rPr>
          <w:rFonts w:ascii="Verdana" w:hAnsi="Verdana"/>
          <w:sz w:val="20"/>
          <w:szCs w:val="20"/>
          <w:lang w:val="en-US"/>
        </w:rPr>
        <w:t xml:space="preserve"> </w:t>
      </w:r>
      <w:r w:rsidR="00B95539" w:rsidRPr="00FE7BA7">
        <w:rPr>
          <w:rFonts w:ascii="Verdana" w:hAnsi="Verdana"/>
          <w:sz w:val="20"/>
          <w:szCs w:val="20"/>
          <w:lang w:val="en-US"/>
        </w:rPr>
        <w:t xml:space="preserve">affirmed that there were no indigenous peoples’ settlements in the territory designated as nature reserves and that no indigenous person </w:t>
      </w:r>
      <w:r w:rsidR="005823BE">
        <w:rPr>
          <w:rFonts w:ascii="Verdana" w:hAnsi="Verdana"/>
          <w:sz w:val="20"/>
          <w:szCs w:val="20"/>
          <w:lang w:val="en-US"/>
        </w:rPr>
        <w:t>was</w:t>
      </w:r>
      <w:r w:rsidR="00B95539" w:rsidRPr="00FE7BA7">
        <w:rPr>
          <w:rFonts w:ascii="Verdana" w:hAnsi="Verdana"/>
          <w:sz w:val="20"/>
          <w:szCs w:val="20"/>
          <w:lang w:val="en-US"/>
        </w:rPr>
        <w:t xml:space="preserve"> displaced in the context of the establishment or </w:t>
      </w:r>
      <w:r w:rsidR="005823BE">
        <w:rPr>
          <w:rFonts w:ascii="Verdana" w:hAnsi="Verdana"/>
          <w:sz w:val="20"/>
          <w:szCs w:val="20"/>
          <w:lang w:val="en-US"/>
        </w:rPr>
        <w:t xml:space="preserve">the </w:t>
      </w:r>
      <w:r w:rsidR="007632DA">
        <w:rPr>
          <w:rFonts w:ascii="Verdana" w:hAnsi="Verdana"/>
          <w:sz w:val="20"/>
          <w:szCs w:val="20"/>
          <w:lang w:val="en-US"/>
        </w:rPr>
        <w:t>permanence</w:t>
      </w:r>
      <w:r w:rsidR="007632DA" w:rsidRPr="00FE7BA7">
        <w:rPr>
          <w:rFonts w:ascii="Verdana" w:hAnsi="Verdana"/>
          <w:sz w:val="20"/>
          <w:szCs w:val="20"/>
          <w:lang w:val="en-US"/>
        </w:rPr>
        <w:t xml:space="preserve"> </w:t>
      </w:r>
      <w:r w:rsidR="00B95539" w:rsidRPr="00FE7BA7">
        <w:rPr>
          <w:rFonts w:ascii="Verdana" w:hAnsi="Verdana"/>
          <w:sz w:val="20"/>
          <w:szCs w:val="20"/>
          <w:lang w:val="en-US"/>
        </w:rPr>
        <w:t>of the reserves.</w:t>
      </w:r>
      <w:r w:rsidR="00926E61" w:rsidRPr="00FE7BA7">
        <w:rPr>
          <w:rStyle w:val="FootnoteReference"/>
          <w:szCs w:val="20"/>
          <w:lang w:val="en-US"/>
        </w:rPr>
        <w:footnoteReference w:id="93"/>
      </w:r>
      <w:r w:rsidR="00926E61" w:rsidRPr="00FE7BA7">
        <w:rPr>
          <w:rFonts w:ascii="Verdana" w:hAnsi="Verdana"/>
          <w:sz w:val="20"/>
          <w:szCs w:val="20"/>
          <w:lang w:val="en-US"/>
        </w:rPr>
        <w:t xml:space="preserve"> </w:t>
      </w:r>
    </w:p>
    <w:p w14:paraId="631268D4" w14:textId="77777777" w:rsidR="00926E61" w:rsidRPr="00FE7BA7" w:rsidRDefault="00926E61" w:rsidP="00926E61">
      <w:pPr>
        <w:jc w:val="both"/>
        <w:rPr>
          <w:rFonts w:ascii="Verdana" w:hAnsi="Verdana"/>
          <w:sz w:val="20"/>
          <w:szCs w:val="20"/>
          <w:lang w:val="en-US"/>
        </w:rPr>
      </w:pPr>
    </w:p>
    <w:p w14:paraId="631268D5" w14:textId="77777777" w:rsidR="00926E61" w:rsidRPr="00FE7BA7" w:rsidRDefault="00B95539"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However, both </w:t>
      </w:r>
      <w:r w:rsidR="00BE4D11" w:rsidRPr="00FE7BA7">
        <w:rPr>
          <w:rFonts w:ascii="Verdana" w:hAnsi="Verdana"/>
          <w:sz w:val="20"/>
          <w:szCs w:val="20"/>
          <w:lang w:val="en-US"/>
        </w:rPr>
        <w:t>expert witness</w:t>
      </w:r>
      <w:r w:rsidR="00926E61" w:rsidRPr="00FE7BA7">
        <w:rPr>
          <w:rFonts w:ascii="Verdana" w:hAnsi="Verdana"/>
          <w:sz w:val="20"/>
          <w:szCs w:val="20"/>
          <w:lang w:val="en-US"/>
        </w:rPr>
        <w:t xml:space="preserve"> Stuart Kirsh </w:t>
      </w:r>
      <w:r w:rsidRPr="00FE7BA7">
        <w:rPr>
          <w:rFonts w:ascii="Verdana" w:hAnsi="Verdana"/>
          <w:sz w:val="20"/>
          <w:szCs w:val="20"/>
          <w:lang w:val="en-US"/>
        </w:rPr>
        <w:t>and</w:t>
      </w:r>
      <w:r w:rsidR="00926E61" w:rsidRPr="00FE7BA7">
        <w:rPr>
          <w:rFonts w:ascii="Verdana" w:hAnsi="Verdana"/>
          <w:sz w:val="20"/>
          <w:szCs w:val="20"/>
          <w:lang w:val="en-US"/>
        </w:rPr>
        <w:t xml:space="preserve"> </w:t>
      </w:r>
      <w:r w:rsidR="00810FAD" w:rsidRPr="00FE7BA7">
        <w:rPr>
          <w:rFonts w:ascii="Verdana" w:hAnsi="Verdana"/>
          <w:sz w:val="20"/>
          <w:szCs w:val="20"/>
          <w:lang w:val="en-US"/>
        </w:rPr>
        <w:t>Captain</w:t>
      </w:r>
      <w:r w:rsidR="00926E61" w:rsidRPr="00FE7BA7">
        <w:rPr>
          <w:rFonts w:ascii="Verdana" w:hAnsi="Verdana"/>
          <w:sz w:val="20"/>
          <w:szCs w:val="20"/>
          <w:lang w:val="en-US"/>
        </w:rPr>
        <w:t xml:space="preserve"> Ricardo Pané, </w:t>
      </w:r>
      <w:r w:rsidRPr="00FE7BA7">
        <w:rPr>
          <w:rFonts w:ascii="Verdana" w:hAnsi="Verdana"/>
          <w:sz w:val="20"/>
          <w:szCs w:val="20"/>
          <w:lang w:val="en-US"/>
        </w:rPr>
        <w:t xml:space="preserve">leader of </w:t>
      </w:r>
      <w:r w:rsidR="00896645" w:rsidRPr="00FE7BA7">
        <w:rPr>
          <w:rFonts w:ascii="Verdana" w:hAnsi="Verdana"/>
          <w:sz w:val="20"/>
          <w:szCs w:val="20"/>
          <w:lang w:val="en-US"/>
        </w:rPr>
        <w:t>the community</w:t>
      </w:r>
      <w:r w:rsidR="00CC4954">
        <w:rPr>
          <w:rFonts w:ascii="Verdana" w:hAnsi="Verdana"/>
          <w:sz w:val="20"/>
          <w:szCs w:val="20"/>
          <w:lang w:val="en-US"/>
        </w:rPr>
        <w:t xml:space="preserve"> of</w:t>
      </w:r>
      <w:r w:rsidR="00926E61" w:rsidRPr="00FE7BA7">
        <w:rPr>
          <w:rFonts w:ascii="Verdana" w:hAnsi="Verdana"/>
          <w:sz w:val="20"/>
          <w:szCs w:val="20"/>
          <w:lang w:val="en-US"/>
        </w:rPr>
        <w:t xml:space="preserve"> Christiaankondre, contradi</w:t>
      </w:r>
      <w:r w:rsidRPr="00FE7BA7">
        <w:rPr>
          <w:rFonts w:ascii="Verdana" w:hAnsi="Verdana"/>
          <w:sz w:val="20"/>
          <w:szCs w:val="20"/>
          <w:lang w:val="en-US"/>
        </w:rPr>
        <w:t>cted this version. In this regar</w:t>
      </w:r>
      <w:r w:rsidR="008E2EA0">
        <w:rPr>
          <w:rFonts w:ascii="Verdana" w:hAnsi="Verdana"/>
          <w:sz w:val="20"/>
          <w:szCs w:val="20"/>
          <w:lang w:val="en-US"/>
        </w:rPr>
        <w:t>d, Mr. Kirsh indicated that some</w:t>
      </w:r>
      <w:r w:rsidRPr="00FE7BA7">
        <w:rPr>
          <w:rFonts w:ascii="Verdana" w:hAnsi="Verdana"/>
          <w:sz w:val="20"/>
          <w:szCs w:val="20"/>
          <w:lang w:val="en-US"/>
        </w:rPr>
        <w:t xml:space="preserve"> </w:t>
      </w:r>
      <w:r w:rsidR="00FE7BA7" w:rsidRPr="00FE7BA7">
        <w:rPr>
          <w:rFonts w:ascii="Verdana" w:hAnsi="Verdana"/>
          <w:sz w:val="20"/>
          <w:szCs w:val="20"/>
          <w:lang w:val="en-US"/>
        </w:rPr>
        <w:t>agricultural</w:t>
      </w:r>
      <w:r w:rsidRPr="00FE7BA7">
        <w:rPr>
          <w:rFonts w:ascii="Verdana" w:hAnsi="Verdana"/>
          <w:sz w:val="20"/>
          <w:szCs w:val="20"/>
          <w:lang w:val="en-US"/>
        </w:rPr>
        <w:t xml:space="preserve"> </w:t>
      </w:r>
      <w:r w:rsidR="008E2EA0">
        <w:rPr>
          <w:rFonts w:ascii="Verdana" w:hAnsi="Verdana"/>
          <w:sz w:val="20"/>
          <w:szCs w:val="20"/>
          <w:lang w:val="en-US"/>
        </w:rPr>
        <w:t>plots</w:t>
      </w:r>
      <w:r w:rsidRPr="00FE7BA7">
        <w:rPr>
          <w:rFonts w:ascii="Verdana" w:hAnsi="Verdana"/>
          <w:sz w:val="20"/>
          <w:szCs w:val="20"/>
          <w:lang w:val="en-US"/>
        </w:rPr>
        <w:t xml:space="preserve"> and ho</w:t>
      </w:r>
      <w:r w:rsidR="008E2EA0">
        <w:rPr>
          <w:rFonts w:ascii="Verdana" w:hAnsi="Verdana"/>
          <w:sz w:val="20"/>
          <w:szCs w:val="20"/>
          <w:lang w:val="en-US"/>
        </w:rPr>
        <w:t>uses</w:t>
      </w:r>
      <w:r w:rsidRPr="00FE7BA7">
        <w:rPr>
          <w:rFonts w:ascii="Verdana" w:hAnsi="Verdana"/>
          <w:sz w:val="20"/>
          <w:szCs w:val="20"/>
          <w:lang w:val="en-US"/>
        </w:rPr>
        <w:t xml:space="preserve"> that were located </w:t>
      </w:r>
      <w:r w:rsidR="008E2EA0">
        <w:rPr>
          <w:rFonts w:ascii="Verdana" w:hAnsi="Verdana"/>
          <w:sz w:val="20"/>
          <w:szCs w:val="20"/>
          <w:lang w:val="en-US"/>
        </w:rPr>
        <w:t>inside</w:t>
      </w:r>
      <w:r w:rsidRPr="00FE7BA7">
        <w:rPr>
          <w:rFonts w:ascii="Verdana" w:hAnsi="Verdana"/>
          <w:sz w:val="20"/>
          <w:szCs w:val="20"/>
          <w:lang w:val="en-US"/>
        </w:rPr>
        <w:t xml:space="preserve"> the nature reserves had to be relocated.</w:t>
      </w:r>
      <w:r w:rsidR="00926E61" w:rsidRPr="00FE7BA7">
        <w:rPr>
          <w:rStyle w:val="FootnoteReference"/>
          <w:szCs w:val="20"/>
          <w:lang w:val="en-US"/>
        </w:rPr>
        <w:footnoteReference w:id="94"/>
      </w:r>
      <w:r w:rsidRPr="00FE7BA7">
        <w:rPr>
          <w:rFonts w:ascii="Verdana" w:hAnsi="Verdana"/>
          <w:sz w:val="20"/>
          <w:szCs w:val="20"/>
          <w:lang w:val="en-US"/>
        </w:rPr>
        <w:t xml:space="preserve"> While </w:t>
      </w:r>
      <w:r w:rsidR="00810FAD" w:rsidRPr="00FE7BA7">
        <w:rPr>
          <w:rFonts w:ascii="Verdana" w:hAnsi="Verdana"/>
          <w:sz w:val="20"/>
          <w:szCs w:val="20"/>
          <w:lang w:val="en-US"/>
        </w:rPr>
        <w:t>Captain</w:t>
      </w:r>
      <w:r w:rsidR="00926E61" w:rsidRPr="00FE7BA7">
        <w:rPr>
          <w:rFonts w:ascii="Verdana" w:hAnsi="Verdana"/>
          <w:sz w:val="20"/>
          <w:szCs w:val="20"/>
          <w:lang w:val="en-US"/>
        </w:rPr>
        <w:t xml:space="preserve"> Pané af</w:t>
      </w:r>
      <w:r w:rsidRPr="00FE7BA7">
        <w:rPr>
          <w:rFonts w:ascii="Verdana" w:hAnsi="Verdana"/>
          <w:sz w:val="20"/>
          <w:szCs w:val="20"/>
          <w:lang w:val="en-US"/>
        </w:rPr>
        <w:t xml:space="preserve">firmed that he had witnessed situations in which the police had </w:t>
      </w:r>
      <w:r w:rsidRPr="00FE7BA7">
        <w:rPr>
          <w:rFonts w:ascii="Verdana" w:hAnsi="Verdana"/>
          <w:sz w:val="20"/>
          <w:szCs w:val="20"/>
          <w:lang w:val="en-US"/>
        </w:rPr>
        <w:lastRenderedPageBreak/>
        <w:t xml:space="preserve">forcibly removed the indigenous people who </w:t>
      </w:r>
      <w:r w:rsidR="008E2EA0">
        <w:rPr>
          <w:rFonts w:ascii="Verdana" w:hAnsi="Verdana"/>
          <w:sz w:val="20"/>
          <w:szCs w:val="20"/>
          <w:lang w:val="en-US"/>
        </w:rPr>
        <w:t>lived in the territories covered by</w:t>
      </w:r>
      <w:r w:rsidRPr="00FE7BA7">
        <w:rPr>
          <w:rFonts w:ascii="Verdana" w:hAnsi="Verdana"/>
          <w:sz w:val="20"/>
          <w:szCs w:val="20"/>
          <w:lang w:val="en-US"/>
        </w:rPr>
        <w:t xml:space="preserve"> the reserves when these were established.</w:t>
      </w:r>
      <w:r w:rsidR="00926E61" w:rsidRPr="00FE7BA7">
        <w:rPr>
          <w:rStyle w:val="FootnoteReference"/>
          <w:szCs w:val="20"/>
          <w:lang w:val="en-US"/>
        </w:rPr>
        <w:footnoteReference w:id="95"/>
      </w:r>
    </w:p>
    <w:p w14:paraId="631268D6" w14:textId="77777777" w:rsidR="00926E61" w:rsidRPr="00FE7BA7" w:rsidRDefault="00926E61" w:rsidP="00926E61">
      <w:pPr>
        <w:jc w:val="both"/>
        <w:rPr>
          <w:rFonts w:ascii="Verdana" w:hAnsi="Verdana"/>
          <w:sz w:val="20"/>
          <w:szCs w:val="20"/>
          <w:lang w:val="en-US"/>
        </w:rPr>
      </w:pPr>
    </w:p>
    <w:p w14:paraId="631268D7" w14:textId="77777777" w:rsidR="00926E61" w:rsidRPr="00FE7BA7" w:rsidRDefault="00B95539"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lang w:val="en-US"/>
        </w:rPr>
        <w:t xml:space="preserve">In addition, when the reserves were established, the Government authorities reached an agreement with the </w:t>
      </w:r>
      <w:r w:rsidR="00CA7C7B" w:rsidRPr="00FE7BA7">
        <w:rPr>
          <w:rFonts w:ascii="Verdana" w:hAnsi="Verdana"/>
          <w:sz w:val="20"/>
          <w:szCs w:val="20"/>
          <w:lang w:val="en-US"/>
        </w:rPr>
        <w:t>residents</w:t>
      </w:r>
      <w:r w:rsidR="00926E61" w:rsidRPr="00FE7BA7">
        <w:rPr>
          <w:rFonts w:ascii="Verdana" w:hAnsi="Verdana"/>
          <w:sz w:val="20"/>
          <w:szCs w:val="20"/>
          <w:lang w:val="en-US"/>
        </w:rPr>
        <w:t xml:space="preserve"> </w:t>
      </w:r>
      <w:r w:rsidRPr="00FE7BA7">
        <w:rPr>
          <w:rFonts w:ascii="Verdana" w:hAnsi="Verdana"/>
          <w:sz w:val="20"/>
          <w:szCs w:val="20"/>
          <w:lang w:val="en-US"/>
        </w:rPr>
        <w:t>of the communities of</w:t>
      </w:r>
      <w:r w:rsidR="00926E61" w:rsidRPr="00FE7BA7">
        <w:rPr>
          <w:rFonts w:ascii="Verdana" w:hAnsi="Verdana"/>
          <w:sz w:val="20"/>
          <w:szCs w:val="20"/>
          <w:lang w:val="en-US"/>
        </w:rPr>
        <w:t xml:space="preserve"> Christiaankondre</w:t>
      </w:r>
      <w:r w:rsidR="002B5CCD" w:rsidRPr="00FE7BA7">
        <w:rPr>
          <w:rFonts w:ascii="Verdana" w:hAnsi="Verdana"/>
          <w:sz w:val="20"/>
          <w:szCs w:val="20"/>
          <w:lang w:val="en-US"/>
        </w:rPr>
        <w:t xml:space="preserve"> and </w:t>
      </w:r>
      <w:r w:rsidR="00926E61" w:rsidRPr="00FE7BA7">
        <w:rPr>
          <w:rFonts w:ascii="Verdana" w:hAnsi="Verdana"/>
          <w:sz w:val="20"/>
          <w:szCs w:val="20"/>
          <w:lang w:val="en-US"/>
        </w:rPr>
        <w:t xml:space="preserve">Langamankondre </w:t>
      </w:r>
      <w:r w:rsidRPr="00FE7BA7">
        <w:rPr>
          <w:rFonts w:ascii="Verdana" w:hAnsi="Verdana"/>
          <w:sz w:val="20"/>
          <w:szCs w:val="20"/>
          <w:lang w:val="en-US"/>
        </w:rPr>
        <w:t xml:space="preserve">under which the residents were authorized to extract turtle eggs for their personal consumption, which formed part of their traditions, and </w:t>
      </w:r>
      <w:r w:rsidR="008E2EA0">
        <w:rPr>
          <w:rFonts w:ascii="Verdana" w:hAnsi="Verdana"/>
          <w:sz w:val="20"/>
          <w:szCs w:val="20"/>
          <w:lang w:val="en-US"/>
        </w:rPr>
        <w:t xml:space="preserve">also to sell </w:t>
      </w:r>
      <w:r w:rsidRPr="00FE7BA7">
        <w:rPr>
          <w:rFonts w:ascii="Verdana" w:hAnsi="Verdana"/>
          <w:sz w:val="20"/>
          <w:szCs w:val="20"/>
          <w:lang w:val="en-US"/>
        </w:rPr>
        <w:t>eggs under the supervision of the State authorities.</w:t>
      </w:r>
      <w:r w:rsidR="00926E61" w:rsidRPr="00FE7BA7">
        <w:rPr>
          <w:rStyle w:val="FootnoteReference"/>
          <w:szCs w:val="20"/>
          <w:lang w:val="en-US"/>
        </w:rPr>
        <w:footnoteReference w:id="96"/>
      </w:r>
    </w:p>
    <w:p w14:paraId="631268D8" w14:textId="77777777" w:rsidR="00926E61" w:rsidRPr="00FE7BA7" w:rsidRDefault="00926E61" w:rsidP="00926E61">
      <w:pPr>
        <w:jc w:val="both"/>
        <w:rPr>
          <w:rFonts w:ascii="Verdana" w:hAnsi="Verdana"/>
          <w:sz w:val="20"/>
          <w:szCs w:val="20"/>
          <w:lang w:val="en-US"/>
        </w:rPr>
      </w:pPr>
    </w:p>
    <w:p w14:paraId="631268D9" w14:textId="77777777" w:rsidR="00926E61" w:rsidRPr="00FE7BA7" w:rsidRDefault="00154264"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D</w:t>
      </w:r>
      <w:r w:rsidR="00926E61" w:rsidRPr="00FE7BA7">
        <w:rPr>
          <w:rFonts w:ascii="Verdana" w:hAnsi="Verdana"/>
          <w:sz w:val="20"/>
          <w:szCs w:val="20"/>
          <w:lang w:val="en-US"/>
        </w:rPr>
        <w:t>ur</w:t>
      </w:r>
      <w:r w:rsidR="00B95539" w:rsidRPr="00FE7BA7">
        <w:rPr>
          <w:rFonts w:ascii="Verdana" w:hAnsi="Verdana"/>
          <w:sz w:val="20"/>
          <w:szCs w:val="20"/>
          <w:lang w:val="en-US"/>
        </w:rPr>
        <w:t xml:space="preserve">ing the internal conflict in </w:t>
      </w:r>
      <w:r w:rsidR="002B5CCD" w:rsidRPr="00FE7BA7">
        <w:rPr>
          <w:rFonts w:ascii="Verdana" w:hAnsi="Verdana"/>
          <w:sz w:val="20"/>
          <w:szCs w:val="20"/>
          <w:lang w:val="en-US"/>
        </w:rPr>
        <w:t xml:space="preserve">Suriname </w:t>
      </w:r>
      <w:r w:rsidR="00DA4A40" w:rsidRPr="00FE7BA7">
        <w:rPr>
          <w:rFonts w:ascii="Verdana" w:hAnsi="Verdana"/>
          <w:sz w:val="20"/>
          <w:szCs w:val="20"/>
          <w:lang w:val="en-US"/>
        </w:rPr>
        <w:t>(</w:t>
      </w:r>
      <w:r w:rsidR="008A4ABB" w:rsidRPr="00FE7BA7">
        <w:rPr>
          <w:rFonts w:ascii="Verdana" w:hAnsi="Verdana"/>
          <w:i/>
          <w:sz w:val="20"/>
          <w:szCs w:val="20"/>
          <w:lang w:val="en-US"/>
        </w:rPr>
        <w:t>supra</w:t>
      </w:r>
      <w:r w:rsidR="00DA4A40" w:rsidRPr="00FE7BA7">
        <w:rPr>
          <w:rFonts w:ascii="Verdana" w:hAnsi="Verdana"/>
          <w:sz w:val="20"/>
          <w:szCs w:val="20"/>
          <w:lang w:val="en-US"/>
        </w:rPr>
        <w:t xml:space="preserve"> </w:t>
      </w:r>
      <w:r w:rsidR="00810FAD" w:rsidRPr="00FE7BA7">
        <w:rPr>
          <w:rFonts w:ascii="Verdana" w:hAnsi="Verdana"/>
          <w:sz w:val="20"/>
          <w:szCs w:val="20"/>
          <w:lang w:val="en-US"/>
        </w:rPr>
        <w:t>para.</w:t>
      </w:r>
      <w:r w:rsidR="00DA4A40" w:rsidRPr="00FE7BA7">
        <w:rPr>
          <w:rFonts w:ascii="Verdana" w:hAnsi="Verdana"/>
          <w:sz w:val="20"/>
          <w:szCs w:val="20"/>
          <w:lang w:val="en-US"/>
        </w:rPr>
        <w:t xml:space="preserve"> 39)</w:t>
      </w:r>
      <w:r w:rsidR="008E2EA0">
        <w:rPr>
          <w:rFonts w:ascii="Verdana" w:hAnsi="Verdana"/>
          <w:sz w:val="20"/>
          <w:szCs w:val="20"/>
          <w:lang w:val="en-US"/>
        </w:rPr>
        <w:t>,</w:t>
      </w:r>
      <w:r w:rsidR="00DA4A40" w:rsidRPr="00FE7BA7">
        <w:rPr>
          <w:rFonts w:ascii="Verdana" w:hAnsi="Verdana"/>
          <w:sz w:val="20"/>
          <w:szCs w:val="20"/>
          <w:lang w:val="en-US"/>
        </w:rPr>
        <w:t xml:space="preserve"> </w:t>
      </w:r>
      <w:r w:rsidR="00B95539" w:rsidRPr="00FE7BA7">
        <w:rPr>
          <w:rFonts w:ascii="Verdana" w:hAnsi="Verdana"/>
          <w:sz w:val="20"/>
          <w:szCs w:val="20"/>
          <w:lang w:val="en-US"/>
        </w:rPr>
        <w:t>prohibitions were in force that prevented access to</w:t>
      </w:r>
      <w:r w:rsidR="00926E61" w:rsidRPr="00FE7BA7">
        <w:rPr>
          <w:rFonts w:ascii="Verdana" w:hAnsi="Verdana"/>
          <w:sz w:val="20"/>
          <w:szCs w:val="20"/>
          <w:lang w:val="en-US"/>
        </w:rPr>
        <w:t xml:space="preserve"> </w:t>
      </w:r>
      <w:r w:rsidR="00BE4D11" w:rsidRPr="00FE7BA7">
        <w:rPr>
          <w:rFonts w:ascii="Verdana" w:hAnsi="Verdana"/>
          <w:sz w:val="20"/>
          <w:szCs w:val="20"/>
          <w:lang w:val="en-US"/>
        </w:rPr>
        <w:t>the Galibi Nature Reserve</w:t>
      </w:r>
      <w:r w:rsidR="00926E61" w:rsidRPr="00FE7BA7">
        <w:rPr>
          <w:rFonts w:ascii="Verdana" w:hAnsi="Verdana"/>
          <w:sz w:val="20"/>
          <w:szCs w:val="20"/>
          <w:lang w:val="en-US"/>
        </w:rPr>
        <w:t xml:space="preserve"> </w:t>
      </w:r>
      <w:r w:rsidR="00B95539" w:rsidRPr="00FE7BA7">
        <w:rPr>
          <w:rFonts w:ascii="Verdana" w:hAnsi="Verdana"/>
          <w:sz w:val="20"/>
          <w:szCs w:val="20"/>
          <w:lang w:val="en-US"/>
        </w:rPr>
        <w:t xml:space="preserve">owing to the increase in the </w:t>
      </w:r>
      <w:r w:rsidR="00FE7BA7" w:rsidRPr="00FE7BA7">
        <w:rPr>
          <w:rFonts w:ascii="Verdana" w:hAnsi="Verdana"/>
          <w:sz w:val="20"/>
          <w:szCs w:val="20"/>
          <w:lang w:val="en-US"/>
        </w:rPr>
        <w:t>theft</w:t>
      </w:r>
      <w:r w:rsidR="00B95539" w:rsidRPr="00FE7BA7">
        <w:rPr>
          <w:rFonts w:ascii="Verdana" w:hAnsi="Verdana"/>
          <w:sz w:val="20"/>
          <w:szCs w:val="20"/>
          <w:lang w:val="en-US"/>
        </w:rPr>
        <w:t xml:space="preserve"> of turtle eggs, and military checkpoints were established in the access areas.</w:t>
      </w:r>
      <w:r w:rsidR="00926E61" w:rsidRPr="00FE7BA7">
        <w:rPr>
          <w:rStyle w:val="FootnoteReference"/>
          <w:szCs w:val="20"/>
          <w:lang w:val="en-US"/>
        </w:rPr>
        <w:footnoteReference w:id="97"/>
      </w:r>
    </w:p>
    <w:p w14:paraId="631268DA" w14:textId="77777777" w:rsidR="00926E61" w:rsidRPr="00FE7BA7" w:rsidRDefault="00926E61" w:rsidP="00926E61">
      <w:pPr>
        <w:jc w:val="both"/>
        <w:rPr>
          <w:rFonts w:ascii="Verdana" w:hAnsi="Verdana"/>
          <w:sz w:val="20"/>
          <w:szCs w:val="20"/>
          <w:lang w:val="en-US"/>
        </w:rPr>
      </w:pPr>
    </w:p>
    <w:p w14:paraId="631268DB" w14:textId="0CBCB714" w:rsidR="00926E61" w:rsidRPr="00FE7BA7" w:rsidRDefault="005269B1"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On April 30, </w:t>
      </w:r>
      <w:r w:rsidR="00926E61" w:rsidRPr="00FE7BA7">
        <w:rPr>
          <w:rFonts w:ascii="Verdana" w:hAnsi="Verdana"/>
          <w:sz w:val="20"/>
          <w:szCs w:val="20"/>
          <w:lang w:val="en-US"/>
        </w:rPr>
        <w:t>1998</w:t>
      </w:r>
      <w:r w:rsidRPr="00FE7BA7">
        <w:rPr>
          <w:rFonts w:ascii="Verdana" w:hAnsi="Verdana"/>
          <w:sz w:val="20"/>
          <w:szCs w:val="20"/>
          <w:lang w:val="en-US"/>
        </w:rPr>
        <w:t>,</w:t>
      </w:r>
      <w:r w:rsidR="00926E61" w:rsidRPr="00FE7BA7">
        <w:rPr>
          <w:rFonts w:ascii="Verdana" w:hAnsi="Verdana"/>
          <w:sz w:val="20"/>
          <w:szCs w:val="20"/>
          <w:lang w:val="en-US"/>
        </w:rPr>
        <w:t xml:space="preserve"> </w:t>
      </w:r>
      <w:r w:rsidR="00B95539" w:rsidRPr="00D01653">
        <w:rPr>
          <w:rFonts w:ascii="Verdana" w:hAnsi="Verdana"/>
          <w:sz w:val="20"/>
          <w:szCs w:val="20"/>
          <w:lang w:val="en-US"/>
        </w:rPr>
        <w:t xml:space="preserve">a </w:t>
      </w:r>
      <w:r w:rsidR="002F7C08">
        <w:rPr>
          <w:rFonts w:ascii="Verdana" w:hAnsi="Verdana"/>
          <w:sz w:val="20"/>
          <w:szCs w:val="20"/>
          <w:lang w:val="en-US"/>
        </w:rPr>
        <w:t>Dialogue</w:t>
      </w:r>
      <w:r w:rsidR="00B95539" w:rsidRPr="00D01653">
        <w:rPr>
          <w:rFonts w:ascii="Verdana" w:hAnsi="Verdana"/>
          <w:sz w:val="20"/>
          <w:szCs w:val="20"/>
          <w:lang w:val="en-US"/>
        </w:rPr>
        <w:t xml:space="preserve"> Commission was established</w:t>
      </w:r>
      <w:r w:rsidR="00B95539" w:rsidRPr="00FE7BA7">
        <w:rPr>
          <w:rFonts w:ascii="Verdana" w:hAnsi="Verdana"/>
          <w:sz w:val="20"/>
          <w:szCs w:val="20"/>
          <w:lang w:val="en-US"/>
        </w:rPr>
        <w:t xml:space="preserve"> in Galibi with representatives of the Nature Conservation Division</w:t>
      </w:r>
      <w:r w:rsidR="002F0F93" w:rsidRPr="00FE7BA7">
        <w:rPr>
          <w:rFonts w:ascii="Verdana" w:hAnsi="Verdana"/>
          <w:sz w:val="20"/>
          <w:szCs w:val="20"/>
          <w:lang w:val="en-US"/>
        </w:rPr>
        <w:t xml:space="preserve"> of Suriname</w:t>
      </w:r>
      <w:r w:rsidR="004C7D14" w:rsidRPr="00FE7BA7">
        <w:rPr>
          <w:rFonts w:ascii="Verdana" w:hAnsi="Verdana"/>
          <w:sz w:val="20"/>
          <w:szCs w:val="20"/>
          <w:lang w:val="en-US"/>
        </w:rPr>
        <w:t>,</w:t>
      </w:r>
      <w:r w:rsidR="00926E61" w:rsidRPr="00FE7BA7">
        <w:rPr>
          <w:rFonts w:ascii="Verdana" w:hAnsi="Verdana"/>
          <w:sz w:val="20"/>
          <w:szCs w:val="20"/>
          <w:lang w:val="en-US"/>
        </w:rPr>
        <w:t xml:space="preserve"> </w:t>
      </w:r>
      <w:r w:rsidR="00B95539" w:rsidRPr="00FE7BA7">
        <w:rPr>
          <w:rFonts w:ascii="Verdana" w:hAnsi="Verdana"/>
          <w:sz w:val="20"/>
          <w:szCs w:val="20"/>
          <w:lang w:val="en-US"/>
        </w:rPr>
        <w:t xml:space="preserve">the Foundation for Nature Conservation in Suriname </w:t>
      </w:r>
      <w:r w:rsidR="00926E61" w:rsidRPr="00FE7BA7">
        <w:rPr>
          <w:rFonts w:ascii="Verdana" w:hAnsi="Verdana"/>
          <w:sz w:val="20"/>
          <w:szCs w:val="20"/>
          <w:lang w:val="en-US"/>
        </w:rPr>
        <w:t xml:space="preserve">(STINASU), </w:t>
      </w:r>
      <w:r w:rsidR="00B95539" w:rsidRPr="00FE7BA7">
        <w:rPr>
          <w:rFonts w:ascii="Verdana" w:hAnsi="Verdana"/>
          <w:sz w:val="20"/>
          <w:szCs w:val="20"/>
          <w:lang w:val="en-US"/>
        </w:rPr>
        <w:t>the</w:t>
      </w:r>
      <w:r w:rsidR="00B4131F" w:rsidRPr="00FE7BA7">
        <w:rPr>
          <w:rFonts w:ascii="Verdana" w:hAnsi="Verdana"/>
          <w:sz w:val="20"/>
          <w:szCs w:val="20"/>
          <w:lang w:val="en-US"/>
        </w:rPr>
        <w:t xml:space="preserve"> Marowijne District Commissioner, the Fisheries Service, and residents of </w:t>
      </w:r>
      <w:r w:rsidR="00926E61" w:rsidRPr="00FE7BA7">
        <w:rPr>
          <w:rFonts w:ascii="Verdana" w:hAnsi="Verdana"/>
          <w:sz w:val="20"/>
          <w:szCs w:val="20"/>
          <w:lang w:val="en-US"/>
        </w:rPr>
        <w:t>Christiaankondre</w:t>
      </w:r>
      <w:r w:rsidR="002B5CCD" w:rsidRPr="00FE7BA7">
        <w:rPr>
          <w:rFonts w:ascii="Verdana" w:hAnsi="Verdana"/>
          <w:sz w:val="20"/>
          <w:szCs w:val="20"/>
          <w:lang w:val="en-US"/>
        </w:rPr>
        <w:t xml:space="preserve"> and </w:t>
      </w:r>
      <w:r w:rsidR="00926E61" w:rsidRPr="00FE7BA7">
        <w:rPr>
          <w:rFonts w:ascii="Verdana" w:hAnsi="Verdana"/>
          <w:sz w:val="20"/>
          <w:szCs w:val="20"/>
          <w:lang w:val="en-US"/>
        </w:rPr>
        <w:t>Langamankondre</w:t>
      </w:r>
      <w:r w:rsidR="00B4131F" w:rsidRPr="00FE7BA7">
        <w:rPr>
          <w:rFonts w:ascii="Verdana" w:hAnsi="Verdana"/>
          <w:sz w:val="20"/>
          <w:szCs w:val="20"/>
          <w:lang w:val="en-US"/>
        </w:rPr>
        <w:t>.</w:t>
      </w:r>
      <w:r w:rsidR="00926E61" w:rsidRPr="00FE7BA7">
        <w:rPr>
          <w:rStyle w:val="FootnoteReference"/>
          <w:szCs w:val="20"/>
          <w:lang w:val="en-US"/>
        </w:rPr>
        <w:footnoteReference w:id="98"/>
      </w:r>
      <w:r w:rsidR="00B4131F" w:rsidRPr="00FE7BA7">
        <w:rPr>
          <w:rFonts w:ascii="Verdana" w:hAnsi="Verdana"/>
          <w:sz w:val="20"/>
          <w:szCs w:val="20"/>
          <w:lang w:val="en-US"/>
        </w:rPr>
        <w:t xml:space="preserve"> Under this Commission, it was agreed to limit the extraction of turtle eggs, allowing this only for the traditional consumption of the communities of </w:t>
      </w:r>
      <w:r w:rsidR="00926E61" w:rsidRPr="00FE7BA7">
        <w:rPr>
          <w:rFonts w:ascii="Verdana" w:hAnsi="Verdana"/>
          <w:sz w:val="20"/>
          <w:szCs w:val="20"/>
          <w:lang w:val="en-US"/>
        </w:rPr>
        <w:t>Christiaankondre</w:t>
      </w:r>
      <w:r w:rsidR="002B5CCD" w:rsidRPr="00FE7BA7">
        <w:rPr>
          <w:rFonts w:ascii="Verdana" w:hAnsi="Verdana"/>
          <w:sz w:val="20"/>
          <w:szCs w:val="20"/>
          <w:lang w:val="en-US"/>
        </w:rPr>
        <w:t xml:space="preserve"> and </w:t>
      </w:r>
      <w:r w:rsidR="00926E61" w:rsidRPr="00FE7BA7">
        <w:rPr>
          <w:rFonts w:ascii="Verdana" w:hAnsi="Verdana"/>
          <w:sz w:val="20"/>
          <w:szCs w:val="20"/>
          <w:lang w:val="en-US"/>
        </w:rPr>
        <w:t>Langamankondre,</w:t>
      </w:r>
      <w:r w:rsidR="002B5CCD" w:rsidRPr="00FE7BA7">
        <w:rPr>
          <w:rFonts w:ascii="Verdana" w:hAnsi="Verdana"/>
          <w:sz w:val="20"/>
          <w:szCs w:val="20"/>
          <w:lang w:val="en-US"/>
        </w:rPr>
        <w:t xml:space="preserve"> and </w:t>
      </w:r>
      <w:r w:rsidR="00926E61" w:rsidRPr="00FE7BA7">
        <w:rPr>
          <w:rFonts w:ascii="Verdana" w:hAnsi="Verdana"/>
          <w:sz w:val="20"/>
          <w:szCs w:val="20"/>
          <w:lang w:val="en-US"/>
        </w:rPr>
        <w:t>no</w:t>
      </w:r>
      <w:r w:rsidR="00B4131F" w:rsidRPr="00FE7BA7">
        <w:rPr>
          <w:rFonts w:ascii="Verdana" w:hAnsi="Verdana"/>
          <w:sz w:val="20"/>
          <w:szCs w:val="20"/>
          <w:lang w:val="en-US"/>
        </w:rPr>
        <w:t xml:space="preserve">t for sale. It was also agreed to share the benefits of the increase in tourism in </w:t>
      </w:r>
      <w:r w:rsidR="00B07A66" w:rsidRPr="00FE7BA7">
        <w:rPr>
          <w:rFonts w:ascii="Verdana" w:hAnsi="Verdana"/>
          <w:sz w:val="20"/>
          <w:szCs w:val="20"/>
          <w:lang w:val="en-US"/>
        </w:rPr>
        <w:t>the Galibi Nature Reserve</w:t>
      </w:r>
      <w:r w:rsidR="00926E61" w:rsidRPr="00FE7BA7">
        <w:rPr>
          <w:rFonts w:ascii="Verdana" w:hAnsi="Verdana"/>
          <w:sz w:val="20"/>
          <w:szCs w:val="20"/>
          <w:lang w:val="en-US"/>
        </w:rPr>
        <w:t xml:space="preserve"> </w:t>
      </w:r>
      <w:r w:rsidR="00B4131F" w:rsidRPr="00FE7BA7">
        <w:rPr>
          <w:rFonts w:ascii="Verdana" w:hAnsi="Verdana"/>
          <w:sz w:val="20"/>
          <w:szCs w:val="20"/>
          <w:lang w:val="en-US"/>
        </w:rPr>
        <w:t xml:space="preserve">by </w:t>
      </w:r>
      <w:r w:rsidR="00D01653">
        <w:rPr>
          <w:rFonts w:ascii="Verdana" w:hAnsi="Verdana"/>
          <w:sz w:val="20"/>
          <w:szCs w:val="20"/>
          <w:lang w:val="en-US"/>
        </w:rPr>
        <w:t>authorizing the</w:t>
      </w:r>
      <w:r w:rsidR="00B4131F" w:rsidRPr="00FE7BA7">
        <w:rPr>
          <w:rFonts w:ascii="Verdana" w:hAnsi="Verdana"/>
          <w:sz w:val="20"/>
          <w:szCs w:val="20"/>
          <w:lang w:val="en-US"/>
        </w:rPr>
        <w:t xml:space="preserve"> community organization known as </w:t>
      </w:r>
      <w:r w:rsidR="00926E61" w:rsidRPr="00FE7BA7">
        <w:rPr>
          <w:rFonts w:ascii="Verdana" w:hAnsi="Verdana"/>
          <w:sz w:val="20"/>
          <w:szCs w:val="20"/>
          <w:lang w:val="en-US"/>
        </w:rPr>
        <w:t xml:space="preserve">STIDUNAL </w:t>
      </w:r>
      <w:r w:rsidR="00D01653">
        <w:rPr>
          <w:rFonts w:ascii="Verdana" w:hAnsi="Verdana"/>
          <w:sz w:val="20"/>
          <w:szCs w:val="20"/>
          <w:lang w:val="en-US"/>
        </w:rPr>
        <w:t>to</w:t>
      </w:r>
      <w:r w:rsidR="00B4131F" w:rsidRPr="00FE7BA7">
        <w:rPr>
          <w:rFonts w:ascii="Verdana" w:hAnsi="Verdana"/>
          <w:sz w:val="20"/>
          <w:szCs w:val="20"/>
          <w:lang w:val="en-US"/>
        </w:rPr>
        <w:t xml:space="preserve"> transport tourists </w:t>
      </w:r>
      <w:r w:rsidR="00E02462">
        <w:rPr>
          <w:rFonts w:ascii="Verdana" w:hAnsi="Verdana"/>
          <w:sz w:val="20"/>
          <w:szCs w:val="20"/>
          <w:lang w:val="en-US"/>
        </w:rPr>
        <w:t xml:space="preserve">to </w:t>
      </w:r>
      <w:r w:rsidR="002B5CCD" w:rsidRPr="00FE7BA7">
        <w:rPr>
          <w:rFonts w:ascii="Verdana" w:hAnsi="Verdana"/>
          <w:sz w:val="20"/>
          <w:szCs w:val="20"/>
          <w:lang w:val="en-US"/>
        </w:rPr>
        <w:t>and</w:t>
      </w:r>
      <w:r w:rsidR="00E02462">
        <w:rPr>
          <w:rFonts w:ascii="Verdana" w:hAnsi="Verdana"/>
          <w:sz w:val="20"/>
          <w:szCs w:val="20"/>
          <w:lang w:val="en-US"/>
        </w:rPr>
        <w:t xml:space="preserve"> from</w:t>
      </w:r>
      <w:r w:rsidR="002B5CCD" w:rsidRPr="00FE7BA7">
        <w:rPr>
          <w:rFonts w:ascii="Verdana" w:hAnsi="Verdana"/>
          <w:sz w:val="20"/>
          <w:szCs w:val="20"/>
          <w:lang w:val="en-US"/>
        </w:rPr>
        <w:t xml:space="preserve"> </w:t>
      </w:r>
      <w:r w:rsidR="00B07A66" w:rsidRPr="00FE7BA7">
        <w:rPr>
          <w:rFonts w:ascii="Verdana" w:hAnsi="Verdana"/>
          <w:sz w:val="20"/>
          <w:szCs w:val="20"/>
          <w:lang w:val="en-US"/>
        </w:rPr>
        <w:t>the Galibi Nature Reserve</w:t>
      </w:r>
      <w:r w:rsidR="00AC7E4B">
        <w:rPr>
          <w:rFonts w:ascii="Verdana" w:hAnsi="Verdana"/>
          <w:sz w:val="20"/>
          <w:szCs w:val="20"/>
          <w:lang w:val="en-US"/>
        </w:rPr>
        <w:t>.</w:t>
      </w:r>
      <w:r w:rsidR="00926E61" w:rsidRPr="00FE7BA7">
        <w:rPr>
          <w:rStyle w:val="FootnoteReference"/>
          <w:szCs w:val="20"/>
          <w:lang w:val="en-US"/>
        </w:rPr>
        <w:footnoteReference w:id="99"/>
      </w:r>
      <w:r w:rsidR="00C15E08" w:rsidRPr="00FE7BA7">
        <w:rPr>
          <w:rFonts w:ascii="Verdana" w:hAnsi="Verdana"/>
          <w:sz w:val="20"/>
          <w:szCs w:val="20"/>
          <w:lang w:val="en-US"/>
        </w:rPr>
        <w:t xml:space="preserve"> </w:t>
      </w:r>
      <w:r w:rsidR="00B4131F" w:rsidRPr="00FE7BA7">
        <w:rPr>
          <w:rFonts w:ascii="Verdana" w:hAnsi="Verdana"/>
          <w:sz w:val="20"/>
          <w:szCs w:val="20"/>
          <w:lang w:val="en-US"/>
        </w:rPr>
        <w:t xml:space="preserve">At the present time, </w:t>
      </w:r>
      <w:r w:rsidR="00B4131F" w:rsidRPr="00D01653">
        <w:rPr>
          <w:rFonts w:ascii="Verdana" w:hAnsi="Verdana"/>
          <w:sz w:val="20"/>
          <w:szCs w:val="20"/>
          <w:lang w:val="en-US"/>
        </w:rPr>
        <w:t xml:space="preserve">the </w:t>
      </w:r>
      <w:r w:rsidR="002F7C08">
        <w:rPr>
          <w:rFonts w:ascii="Verdana" w:hAnsi="Verdana"/>
          <w:sz w:val="20"/>
          <w:szCs w:val="20"/>
          <w:lang w:val="en-US"/>
        </w:rPr>
        <w:t>Dialogue</w:t>
      </w:r>
      <w:r w:rsidR="00B4131F" w:rsidRPr="00D01653">
        <w:rPr>
          <w:rFonts w:ascii="Verdana" w:hAnsi="Verdana"/>
          <w:sz w:val="20"/>
          <w:szCs w:val="20"/>
          <w:lang w:val="en-US"/>
        </w:rPr>
        <w:t xml:space="preserve"> Commission is inactive</w:t>
      </w:r>
      <w:r w:rsidR="00B4131F" w:rsidRPr="00FE7BA7">
        <w:rPr>
          <w:rFonts w:ascii="Verdana" w:hAnsi="Verdana"/>
          <w:sz w:val="20"/>
          <w:szCs w:val="20"/>
          <w:lang w:val="en-US"/>
        </w:rPr>
        <w:t xml:space="preserve"> because the communities do not </w:t>
      </w:r>
      <w:r w:rsidR="00D01653">
        <w:rPr>
          <w:rFonts w:ascii="Verdana" w:hAnsi="Verdana"/>
          <w:sz w:val="20"/>
          <w:szCs w:val="20"/>
          <w:lang w:val="en-US"/>
        </w:rPr>
        <w:t>participate</w:t>
      </w:r>
      <w:r w:rsidR="00B4131F" w:rsidRPr="00FE7BA7">
        <w:rPr>
          <w:rFonts w:ascii="Verdana" w:hAnsi="Verdana"/>
          <w:sz w:val="20"/>
          <w:szCs w:val="20"/>
          <w:lang w:val="en-US"/>
        </w:rPr>
        <w:t xml:space="preserve"> in the meetings.</w:t>
      </w:r>
      <w:r w:rsidR="003214FF" w:rsidRPr="00FE7BA7">
        <w:rPr>
          <w:rStyle w:val="FootnoteReference"/>
          <w:szCs w:val="20"/>
          <w:lang w:val="en-US"/>
        </w:rPr>
        <w:footnoteReference w:id="100"/>
      </w:r>
    </w:p>
    <w:p w14:paraId="631268DC" w14:textId="77777777" w:rsidR="00926E61" w:rsidRPr="00FE7BA7" w:rsidRDefault="00926E61" w:rsidP="00926E61">
      <w:pPr>
        <w:jc w:val="both"/>
        <w:rPr>
          <w:rFonts w:ascii="Verdana" w:eastAsia="MS Gothic" w:hAnsi="Verdana" w:cs="Arial"/>
          <w:sz w:val="20"/>
          <w:szCs w:val="20"/>
          <w:lang w:val="en-US"/>
        </w:rPr>
      </w:pPr>
    </w:p>
    <w:p w14:paraId="631268DD" w14:textId="77777777" w:rsidR="00926E61" w:rsidRPr="00EC45EE" w:rsidRDefault="00FE7BA7" w:rsidP="00B935FA">
      <w:pPr>
        <w:pStyle w:val="ListParagraph"/>
        <w:numPr>
          <w:ilvl w:val="0"/>
          <w:numId w:val="2"/>
        </w:numPr>
        <w:ind w:left="0" w:hanging="11"/>
        <w:jc w:val="both"/>
        <w:rPr>
          <w:rFonts w:ascii="Verdana" w:eastAsia="MS Gothic" w:hAnsi="Verdana" w:cs="Arial"/>
          <w:sz w:val="20"/>
          <w:szCs w:val="20"/>
          <w:lang w:val="en-US"/>
        </w:rPr>
      </w:pPr>
      <w:r w:rsidRPr="00FE7BA7">
        <w:rPr>
          <w:rFonts w:ascii="Verdana" w:hAnsi="Verdana"/>
          <w:sz w:val="20"/>
          <w:szCs w:val="20"/>
          <w:lang w:val="en-US"/>
        </w:rPr>
        <w:t>In addition, in 2012, t</w:t>
      </w:r>
      <w:r w:rsidRPr="00EC45EE">
        <w:rPr>
          <w:rFonts w:ascii="Verdana" w:hAnsi="Verdana"/>
          <w:sz w:val="20"/>
          <w:szCs w:val="20"/>
          <w:lang w:val="en-US"/>
        </w:rPr>
        <w:t xml:space="preserve">he State demarcated an area in front of the coast of </w:t>
      </w:r>
      <w:r w:rsidR="00926E61" w:rsidRPr="00EC45EE">
        <w:rPr>
          <w:rFonts w:ascii="Verdana" w:hAnsi="Verdana"/>
          <w:sz w:val="20"/>
          <w:szCs w:val="20"/>
          <w:lang w:val="en-US"/>
        </w:rPr>
        <w:t xml:space="preserve">Galibi </w:t>
      </w:r>
      <w:r w:rsidRPr="00EC45EE">
        <w:rPr>
          <w:rFonts w:ascii="Verdana" w:hAnsi="Verdana"/>
          <w:sz w:val="20"/>
          <w:szCs w:val="20"/>
          <w:lang w:val="en-US"/>
        </w:rPr>
        <w:t xml:space="preserve">in which the fishing activities of third parties was prohibited. However, this prohibition has not been effective, because there is no </w:t>
      </w:r>
      <w:r w:rsidR="00D01653" w:rsidRPr="00EC45EE">
        <w:rPr>
          <w:rFonts w:ascii="Verdana" w:hAnsi="Verdana"/>
          <w:sz w:val="20"/>
          <w:szCs w:val="20"/>
          <w:lang w:val="en-US"/>
        </w:rPr>
        <w:t xml:space="preserve">real </w:t>
      </w:r>
      <w:r w:rsidR="00290BA0">
        <w:rPr>
          <w:rFonts w:ascii="Verdana" w:hAnsi="Verdana"/>
          <w:sz w:val="20"/>
          <w:szCs w:val="20"/>
          <w:lang w:val="en-US"/>
        </w:rPr>
        <w:t>supervision</w:t>
      </w:r>
      <w:r w:rsidRPr="00EC45EE">
        <w:rPr>
          <w:rFonts w:ascii="Verdana" w:hAnsi="Verdana"/>
          <w:sz w:val="20"/>
          <w:szCs w:val="20"/>
          <w:lang w:val="en-US"/>
        </w:rPr>
        <w:t xml:space="preserve"> or monitoring, and this affects </w:t>
      </w:r>
      <w:r w:rsidR="00BD40EF" w:rsidRPr="00EC45EE">
        <w:rPr>
          <w:rFonts w:ascii="Verdana" w:eastAsia="MS Gothic" w:hAnsi="Verdana" w:cs="Arial"/>
          <w:sz w:val="20"/>
          <w:szCs w:val="20"/>
          <w:lang w:val="en-US"/>
        </w:rPr>
        <w:t>the indigenous peoples</w:t>
      </w:r>
      <w:r w:rsidR="00926E61" w:rsidRPr="00EC45EE">
        <w:rPr>
          <w:rFonts w:ascii="Verdana" w:eastAsia="MS Gothic" w:hAnsi="Verdana" w:cs="Arial"/>
          <w:sz w:val="20"/>
          <w:szCs w:val="20"/>
          <w:lang w:val="en-US"/>
        </w:rPr>
        <w:t xml:space="preserve"> </w:t>
      </w:r>
      <w:r w:rsidRPr="00EC45EE">
        <w:rPr>
          <w:rFonts w:ascii="Verdana" w:eastAsia="MS Gothic" w:hAnsi="Verdana" w:cs="Arial"/>
          <w:sz w:val="20"/>
          <w:szCs w:val="20"/>
          <w:lang w:val="en-US"/>
        </w:rPr>
        <w:t xml:space="preserve">from the area, jeopardizing </w:t>
      </w:r>
      <w:r w:rsidR="005F56EF">
        <w:rPr>
          <w:rFonts w:ascii="Verdana" w:eastAsia="MS Gothic" w:hAnsi="Verdana" w:cs="Arial"/>
          <w:sz w:val="20"/>
          <w:szCs w:val="20"/>
          <w:lang w:val="en-US"/>
        </w:rPr>
        <w:t>sea turtle conservation</w:t>
      </w:r>
      <w:r w:rsidRPr="00EC45EE">
        <w:rPr>
          <w:rFonts w:ascii="Verdana" w:eastAsia="MS Gothic" w:hAnsi="Verdana" w:cs="Arial"/>
          <w:sz w:val="20"/>
          <w:szCs w:val="20"/>
          <w:lang w:val="en-US"/>
        </w:rPr>
        <w:t>.</w:t>
      </w:r>
      <w:r w:rsidR="00926E61" w:rsidRPr="00EC45EE">
        <w:rPr>
          <w:rStyle w:val="FootnoteReference"/>
          <w:rFonts w:eastAsia="MS Gothic" w:cs="Arial"/>
          <w:szCs w:val="20"/>
          <w:lang w:val="en-US"/>
        </w:rPr>
        <w:footnoteReference w:id="101"/>
      </w:r>
    </w:p>
    <w:p w14:paraId="631268DE" w14:textId="77777777" w:rsidR="00926E61" w:rsidRPr="00EC45EE" w:rsidRDefault="00926E61" w:rsidP="00926E61">
      <w:pPr>
        <w:jc w:val="both"/>
        <w:rPr>
          <w:rFonts w:ascii="Verdana" w:eastAsia="MS Gothic" w:hAnsi="Verdana" w:cs="Arial"/>
          <w:sz w:val="20"/>
          <w:szCs w:val="20"/>
          <w:lang w:val="en-US"/>
        </w:rPr>
      </w:pPr>
    </w:p>
    <w:p w14:paraId="631268DF" w14:textId="77777777" w:rsidR="00926E61" w:rsidRPr="00EC45EE" w:rsidRDefault="00926E61" w:rsidP="007624EC">
      <w:pPr>
        <w:pStyle w:val="Heading3"/>
        <w:spacing w:before="0"/>
        <w:ind w:firstLine="360"/>
        <w:jc w:val="both"/>
        <w:rPr>
          <w:rFonts w:ascii="Verdana" w:hAnsi="Verdana"/>
          <w:b w:val="0"/>
          <w:sz w:val="20"/>
          <w:szCs w:val="20"/>
          <w:lang w:val="en-US"/>
        </w:rPr>
      </w:pPr>
      <w:r w:rsidRPr="00EC45EE">
        <w:rPr>
          <w:rFonts w:ascii="Verdana" w:eastAsia="MS Gothic" w:hAnsi="Verdana" w:cs="Arial"/>
          <w:sz w:val="20"/>
          <w:szCs w:val="20"/>
          <w:lang w:val="en-US"/>
        </w:rPr>
        <w:tab/>
      </w:r>
      <w:bookmarkStart w:id="21" w:name="_Toc441673194"/>
      <w:r w:rsidRPr="00EC45EE">
        <w:rPr>
          <w:rFonts w:ascii="Verdana" w:hAnsi="Verdana"/>
          <w:i/>
          <w:color w:val="auto"/>
          <w:sz w:val="20"/>
          <w:szCs w:val="20"/>
          <w:lang w:val="en-US"/>
        </w:rPr>
        <w:t xml:space="preserve">E.2 </w:t>
      </w:r>
      <w:proofErr w:type="gramStart"/>
      <w:r w:rsidR="00BE4D11" w:rsidRPr="00EC45EE">
        <w:rPr>
          <w:rFonts w:ascii="Verdana" w:hAnsi="Verdana"/>
          <w:i/>
          <w:color w:val="auto"/>
          <w:sz w:val="20"/>
          <w:szCs w:val="20"/>
          <w:lang w:val="en-US"/>
        </w:rPr>
        <w:t>The</w:t>
      </w:r>
      <w:proofErr w:type="gramEnd"/>
      <w:r w:rsidR="00BE4D11" w:rsidRPr="00EC45EE">
        <w:rPr>
          <w:rFonts w:ascii="Verdana" w:hAnsi="Verdana"/>
          <w:i/>
          <w:color w:val="auto"/>
          <w:sz w:val="20"/>
          <w:szCs w:val="20"/>
          <w:lang w:val="en-US"/>
        </w:rPr>
        <w:t xml:space="preserve"> Wane Kreek Nature Reserve</w:t>
      </w:r>
      <w:bookmarkEnd w:id="21"/>
    </w:p>
    <w:p w14:paraId="631268E0" w14:textId="77777777" w:rsidR="00926E61" w:rsidRPr="00EC45EE" w:rsidRDefault="00926E61" w:rsidP="00926E61">
      <w:pPr>
        <w:jc w:val="both"/>
        <w:rPr>
          <w:rFonts w:ascii="Verdana" w:hAnsi="Verdana"/>
          <w:sz w:val="20"/>
          <w:szCs w:val="20"/>
          <w:lang w:val="en-US"/>
        </w:rPr>
      </w:pPr>
    </w:p>
    <w:p w14:paraId="631268E1" w14:textId="3EC844F8" w:rsidR="00926E61" w:rsidRPr="00EC45EE" w:rsidRDefault="00BE4D11" w:rsidP="00B935FA">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The Wane Kreek Nature Reserve</w:t>
      </w:r>
      <w:r w:rsidR="00926E61" w:rsidRPr="00EC45EE">
        <w:rPr>
          <w:rFonts w:ascii="Verdana" w:hAnsi="Verdana"/>
          <w:sz w:val="20"/>
          <w:szCs w:val="20"/>
          <w:lang w:val="en-US"/>
        </w:rPr>
        <w:t xml:space="preserve"> </w:t>
      </w:r>
      <w:r w:rsidR="00B4131F" w:rsidRPr="00EC45EE">
        <w:rPr>
          <w:rFonts w:ascii="Verdana" w:hAnsi="Verdana"/>
          <w:sz w:val="20"/>
          <w:szCs w:val="20"/>
          <w:lang w:val="en-US"/>
        </w:rPr>
        <w:t>was established</w:t>
      </w:r>
      <w:r w:rsidR="00926E61" w:rsidRPr="00EC45EE">
        <w:rPr>
          <w:rFonts w:ascii="Verdana" w:hAnsi="Verdana"/>
          <w:sz w:val="20"/>
          <w:szCs w:val="20"/>
          <w:lang w:val="en-US"/>
        </w:rPr>
        <w:t xml:space="preserve"> </w:t>
      </w:r>
      <w:r w:rsidRPr="00EC45EE">
        <w:rPr>
          <w:rFonts w:ascii="Verdana" w:hAnsi="Verdana"/>
          <w:sz w:val="20"/>
          <w:szCs w:val="20"/>
          <w:lang w:val="en-US"/>
        </w:rPr>
        <w:t>on August 26,</w:t>
      </w:r>
      <w:r w:rsidR="00926E61" w:rsidRPr="00EC45EE">
        <w:rPr>
          <w:rFonts w:ascii="Verdana" w:hAnsi="Verdana"/>
          <w:sz w:val="20"/>
          <w:szCs w:val="20"/>
          <w:lang w:val="en-US"/>
        </w:rPr>
        <w:t xml:space="preserve"> 1986</w:t>
      </w:r>
      <w:r w:rsidRPr="00EC45EE">
        <w:rPr>
          <w:rFonts w:ascii="Verdana" w:hAnsi="Verdana"/>
          <w:sz w:val="20"/>
          <w:szCs w:val="20"/>
          <w:lang w:val="en-US"/>
        </w:rPr>
        <w:t>, by the</w:t>
      </w:r>
      <w:r w:rsidR="00926E61" w:rsidRPr="00EC45EE">
        <w:rPr>
          <w:rFonts w:ascii="Verdana" w:hAnsi="Verdana"/>
          <w:sz w:val="20"/>
          <w:szCs w:val="20"/>
          <w:lang w:val="en-US"/>
        </w:rPr>
        <w:t xml:space="preserve"> </w:t>
      </w:r>
      <w:r w:rsidRPr="00EC45EE">
        <w:rPr>
          <w:rFonts w:ascii="Verdana" w:hAnsi="Verdana"/>
          <w:sz w:val="20"/>
          <w:szCs w:val="20"/>
          <w:lang w:val="en-US"/>
        </w:rPr>
        <w:t xml:space="preserve">1986 Wane </w:t>
      </w:r>
      <w:r w:rsidR="008A4ABB" w:rsidRPr="00EC45EE">
        <w:rPr>
          <w:rFonts w:ascii="Verdana" w:hAnsi="Verdana"/>
          <w:sz w:val="20"/>
          <w:szCs w:val="20"/>
          <w:lang w:val="en-US"/>
        </w:rPr>
        <w:t>Kreek Nature Protection Order</w:t>
      </w:r>
      <w:r w:rsidR="00926E61" w:rsidRPr="00EC45EE">
        <w:rPr>
          <w:rFonts w:ascii="Verdana" w:hAnsi="Verdana"/>
          <w:sz w:val="20"/>
          <w:szCs w:val="20"/>
          <w:lang w:val="en-US"/>
        </w:rPr>
        <w:t xml:space="preserve">. </w:t>
      </w:r>
      <w:r w:rsidR="00B4131F" w:rsidRPr="00EC45EE">
        <w:rPr>
          <w:rFonts w:ascii="Verdana" w:hAnsi="Verdana"/>
          <w:sz w:val="20"/>
          <w:szCs w:val="20"/>
          <w:lang w:val="en-US"/>
        </w:rPr>
        <w:t xml:space="preserve">The territory designated for the reserve is owned by </w:t>
      </w:r>
      <w:r w:rsidR="00810FAD" w:rsidRPr="00EC45EE">
        <w:rPr>
          <w:rFonts w:ascii="Verdana" w:hAnsi="Verdana"/>
          <w:sz w:val="20"/>
          <w:szCs w:val="20"/>
          <w:lang w:val="en-US"/>
        </w:rPr>
        <w:t xml:space="preserve">the </w:t>
      </w:r>
      <w:r w:rsidR="002B5CCD" w:rsidRPr="00EC45EE">
        <w:rPr>
          <w:rFonts w:ascii="Verdana" w:hAnsi="Verdana"/>
          <w:sz w:val="20"/>
          <w:szCs w:val="20"/>
          <w:lang w:val="en-US"/>
        </w:rPr>
        <w:t>State</w:t>
      </w:r>
      <w:r w:rsidR="002F0F93" w:rsidRPr="00EC45EE">
        <w:rPr>
          <w:rFonts w:ascii="Verdana" w:hAnsi="Verdana"/>
          <w:sz w:val="20"/>
          <w:szCs w:val="20"/>
          <w:lang w:val="en-US"/>
        </w:rPr>
        <w:t xml:space="preserve"> of Suriname</w:t>
      </w:r>
      <w:r w:rsidR="004C7D14" w:rsidRPr="00EC45EE">
        <w:rPr>
          <w:rFonts w:ascii="Verdana" w:hAnsi="Verdana"/>
          <w:sz w:val="20"/>
          <w:szCs w:val="20"/>
          <w:lang w:val="en-US"/>
        </w:rPr>
        <w:t>,</w:t>
      </w:r>
      <w:r w:rsidR="002B5CCD" w:rsidRPr="00EC45EE">
        <w:rPr>
          <w:rFonts w:ascii="Verdana" w:hAnsi="Verdana"/>
          <w:sz w:val="20"/>
          <w:szCs w:val="20"/>
          <w:lang w:val="en-US"/>
        </w:rPr>
        <w:t xml:space="preserve"> and </w:t>
      </w:r>
      <w:r w:rsidR="00B4131F" w:rsidRPr="00EC45EE">
        <w:rPr>
          <w:rFonts w:ascii="Verdana" w:hAnsi="Verdana"/>
          <w:sz w:val="20"/>
          <w:szCs w:val="20"/>
          <w:lang w:val="en-US"/>
        </w:rPr>
        <w:t xml:space="preserve">extends over </w:t>
      </w:r>
      <w:r w:rsidRPr="00EC45EE">
        <w:rPr>
          <w:rFonts w:ascii="Verdana" w:hAnsi="Verdana"/>
          <w:sz w:val="20"/>
          <w:szCs w:val="20"/>
          <w:lang w:val="en-US"/>
        </w:rPr>
        <w:t>approximately</w:t>
      </w:r>
      <w:r w:rsidR="00926E61" w:rsidRPr="00EC45EE">
        <w:rPr>
          <w:rFonts w:ascii="Verdana" w:hAnsi="Verdana"/>
          <w:sz w:val="20"/>
          <w:szCs w:val="20"/>
          <w:lang w:val="en-US"/>
        </w:rPr>
        <w:t xml:space="preserve"> 45</w:t>
      </w:r>
      <w:r w:rsidR="00B4131F" w:rsidRPr="00EC45EE">
        <w:rPr>
          <w:rFonts w:ascii="Verdana" w:hAnsi="Verdana"/>
          <w:sz w:val="20"/>
          <w:szCs w:val="20"/>
          <w:lang w:val="en-US"/>
        </w:rPr>
        <w:t>,</w:t>
      </w:r>
      <w:r w:rsidR="00926E61" w:rsidRPr="00EC45EE">
        <w:rPr>
          <w:rFonts w:ascii="Verdana" w:hAnsi="Verdana"/>
          <w:sz w:val="20"/>
          <w:szCs w:val="20"/>
          <w:lang w:val="en-US"/>
        </w:rPr>
        <w:t xml:space="preserve">400 </w:t>
      </w:r>
      <w:r w:rsidR="00B07A66" w:rsidRPr="00EC45EE">
        <w:rPr>
          <w:rFonts w:ascii="Verdana" w:hAnsi="Verdana"/>
          <w:sz w:val="20"/>
          <w:szCs w:val="20"/>
          <w:lang w:val="en-US"/>
        </w:rPr>
        <w:t>h</w:t>
      </w:r>
      <w:r w:rsidR="003A17DD">
        <w:rPr>
          <w:rFonts w:ascii="Verdana" w:hAnsi="Verdana"/>
          <w:sz w:val="20"/>
          <w:szCs w:val="20"/>
          <w:lang w:val="en-US"/>
        </w:rPr>
        <w:t>a</w:t>
      </w:r>
      <w:r w:rsidR="00926E61" w:rsidRPr="00EC45EE">
        <w:rPr>
          <w:rFonts w:ascii="Verdana" w:hAnsi="Verdana"/>
          <w:sz w:val="20"/>
          <w:szCs w:val="20"/>
          <w:lang w:val="en-US"/>
        </w:rPr>
        <w:t xml:space="preserve">. </w:t>
      </w:r>
      <w:r w:rsidR="00B4131F" w:rsidRPr="00EC45EE">
        <w:rPr>
          <w:rFonts w:ascii="Verdana" w:hAnsi="Verdana"/>
          <w:sz w:val="20"/>
          <w:szCs w:val="20"/>
          <w:lang w:val="en-US"/>
        </w:rPr>
        <w:t xml:space="preserve">The reserve has nine unique ecosystems and was </w:t>
      </w:r>
      <w:r w:rsidR="00133510">
        <w:rPr>
          <w:rFonts w:ascii="Verdana" w:hAnsi="Verdana"/>
          <w:sz w:val="20"/>
          <w:szCs w:val="20"/>
          <w:lang w:val="en-US"/>
        </w:rPr>
        <w:t>created</w:t>
      </w:r>
      <w:r w:rsidR="00B4131F" w:rsidRPr="00EC45EE">
        <w:rPr>
          <w:rFonts w:ascii="Verdana" w:hAnsi="Verdana"/>
          <w:sz w:val="20"/>
          <w:szCs w:val="20"/>
          <w:lang w:val="en-US"/>
        </w:rPr>
        <w:t xml:space="preserve"> to protect and conserve them.</w:t>
      </w:r>
      <w:r w:rsidR="00926E61" w:rsidRPr="00EC45EE">
        <w:rPr>
          <w:rStyle w:val="FootnoteReference"/>
          <w:szCs w:val="20"/>
          <w:lang w:val="en-US"/>
        </w:rPr>
        <w:footnoteReference w:id="102"/>
      </w:r>
      <w:r w:rsidR="00926E61" w:rsidRPr="00EC45EE">
        <w:rPr>
          <w:rFonts w:ascii="Verdana" w:hAnsi="Verdana"/>
          <w:sz w:val="20"/>
          <w:szCs w:val="20"/>
          <w:lang w:val="en-US"/>
        </w:rPr>
        <w:t xml:space="preserve"> </w:t>
      </w:r>
    </w:p>
    <w:p w14:paraId="631268E2" w14:textId="77777777" w:rsidR="00926E61" w:rsidRPr="00EC45EE" w:rsidRDefault="00926E61" w:rsidP="00145D1D">
      <w:pPr>
        <w:pStyle w:val="FootnoteText"/>
        <w:rPr>
          <w:lang w:val="en-US"/>
        </w:rPr>
      </w:pPr>
    </w:p>
    <w:p w14:paraId="631268E3" w14:textId="77777777" w:rsidR="00926E61" w:rsidRPr="00EC45EE" w:rsidRDefault="00BE4D11" w:rsidP="00B4131F">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lastRenderedPageBreak/>
        <w:t xml:space="preserve">The </w:t>
      </w:r>
      <w:r w:rsidR="008A4ABB" w:rsidRPr="00EC45EE">
        <w:rPr>
          <w:rFonts w:ascii="Verdana" w:hAnsi="Verdana"/>
          <w:sz w:val="20"/>
          <w:szCs w:val="20"/>
          <w:lang w:val="en-US"/>
        </w:rPr>
        <w:t>International Union for the Conservation of Nature and Natural Resources</w:t>
      </w:r>
      <w:r w:rsidR="00B4131F" w:rsidRPr="00EC45EE">
        <w:rPr>
          <w:rFonts w:ascii="Verdana" w:hAnsi="Verdana"/>
          <w:sz w:val="20"/>
          <w:szCs w:val="20"/>
          <w:lang w:val="en-US"/>
        </w:rPr>
        <w:t xml:space="preserve"> designated</w:t>
      </w:r>
      <w:r w:rsidR="00926E61" w:rsidRPr="00EC45EE">
        <w:rPr>
          <w:rFonts w:ascii="Verdana" w:hAnsi="Verdana"/>
          <w:sz w:val="20"/>
          <w:szCs w:val="20"/>
          <w:lang w:val="en-US"/>
        </w:rPr>
        <w:t xml:space="preserve"> </w:t>
      </w:r>
      <w:r w:rsidR="00B4131F" w:rsidRPr="00EC45EE">
        <w:rPr>
          <w:rFonts w:ascii="Verdana" w:hAnsi="Verdana"/>
          <w:sz w:val="20"/>
          <w:szCs w:val="20"/>
          <w:lang w:val="en-US"/>
        </w:rPr>
        <w:t>the Wane Kreek</w:t>
      </w:r>
      <w:r w:rsidR="00B07A66" w:rsidRPr="00EC45EE">
        <w:rPr>
          <w:rFonts w:ascii="Verdana" w:hAnsi="Verdana"/>
          <w:sz w:val="20"/>
          <w:szCs w:val="20"/>
          <w:lang w:val="en-US"/>
        </w:rPr>
        <w:t xml:space="preserve"> Nature Reserve</w:t>
      </w:r>
      <w:r w:rsidR="00B4131F" w:rsidRPr="00EC45EE">
        <w:rPr>
          <w:rFonts w:ascii="Verdana" w:hAnsi="Verdana"/>
          <w:sz w:val="20"/>
          <w:szCs w:val="20"/>
          <w:lang w:val="en-US"/>
        </w:rPr>
        <w:t xml:space="preserve"> a category IV protected area, which defines it as an area management of which requires active interventions to address the requirements of particular species and to maintain habitats.</w:t>
      </w:r>
      <w:r w:rsidR="00926E61" w:rsidRPr="00EC45EE">
        <w:rPr>
          <w:rStyle w:val="FootnoteReference"/>
          <w:szCs w:val="20"/>
          <w:lang w:val="en-US"/>
        </w:rPr>
        <w:footnoteReference w:id="103"/>
      </w:r>
    </w:p>
    <w:p w14:paraId="631268E4" w14:textId="77777777" w:rsidR="00926E61" w:rsidRPr="00EC45EE" w:rsidRDefault="00926E61" w:rsidP="00145D1D">
      <w:pPr>
        <w:pStyle w:val="FootnoteText"/>
        <w:rPr>
          <w:lang w:val="en-US"/>
        </w:rPr>
      </w:pPr>
    </w:p>
    <w:p w14:paraId="631268E5" w14:textId="77777777" w:rsidR="00926E61" w:rsidRPr="00EC45EE" w:rsidRDefault="005269B1" w:rsidP="00B935FA">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The fourth article of the 1986 Nature Protection Order</w:t>
      </w:r>
      <w:r w:rsidR="00926E61" w:rsidRPr="00EC45EE">
        <w:rPr>
          <w:rFonts w:ascii="Verdana" w:hAnsi="Verdana"/>
          <w:sz w:val="20"/>
          <w:szCs w:val="20"/>
          <w:lang w:val="en-US"/>
        </w:rPr>
        <w:t xml:space="preserve"> </w:t>
      </w:r>
      <w:r w:rsidRPr="00EC45EE">
        <w:rPr>
          <w:rFonts w:ascii="Verdana" w:hAnsi="Verdana"/>
          <w:sz w:val="20"/>
          <w:szCs w:val="20"/>
          <w:lang w:val="en-US"/>
        </w:rPr>
        <w:t>established that the traditional rights of the tribal villages and communities located within the reserve would be respected.</w:t>
      </w:r>
      <w:r w:rsidR="00926E61" w:rsidRPr="00EC45EE">
        <w:rPr>
          <w:rStyle w:val="FootnoteReference"/>
          <w:szCs w:val="20"/>
          <w:lang w:val="en-US"/>
        </w:rPr>
        <w:footnoteReference w:id="104"/>
      </w:r>
      <w:r w:rsidR="00926E61" w:rsidRPr="00EC45EE">
        <w:rPr>
          <w:rFonts w:ascii="Verdana" w:hAnsi="Verdana"/>
          <w:sz w:val="20"/>
          <w:szCs w:val="20"/>
          <w:lang w:val="en-US"/>
        </w:rPr>
        <w:t xml:space="preserve"> </w:t>
      </w:r>
      <w:r w:rsidR="00B4131F" w:rsidRPr="00EC45EE">
        <w:rPr>
          <w:rFonts w:ascii="Verdana" w:hAnsi="Verdana"/>
          <w:sz w:val="20"/>
          <w:szCs w:val="20"/>
          <w:lang w:val="en-US"/>
        </w:rPr>
        <w:t>In th</w:t>
      </w:r>
      <w:r w:rsidR="00E02462" w:rsidRPr="00EC45EE">
        <w:rPr>
          <w:rFonts w:ascii="Verdana" w:hAnsi="Verdana"/>
          <w:sz w:val="20"/>
          <w:szCs w:val="20"/>
          <w:lang w:val="en-US"/>
        </w:rPr>
        <w:t>is regard, the explanatory note</w:t>
      </w:r>
      <w:r w:rsidR="00B4131F" w:rsidRPr="00EC45EE">
        <w:rPr>
          <w:rFonts w:ascii="Verdana" w:hAnsi="Verdana"/>
          <w:sz w:val="20"/>
          <w:szCs w:val="20"/>
          <w:lang w:val="en-US"/>
        </w:rPr>
        <w:t xml:space="preserve"> to this order, prepared by</w:t>
      </w:r>
      <w:r w:rsidR="00926E61" w:rsidRPr="00EC45EE">
        <w:rPr>
          <w:rFonts w:ascii="Verdana" w:hAnsi="Verdana"/>
          <w:sz w:val="20"/>
          <w:szCs w:val="20"/>
          <w:lang w:val="en-US"/>
        </w:rPr>
        <w:t xml:space="preserve"> </w:t>
      </w:r>
      <w:r w:rsidRPr="00EC45EE">
        <w:rPr>
          <w:rFonts w:ascii="Verdana" w:hAnsi="Verdana"/>
          <w:sz w:val="20"/>
          <w:szCs w:val="20"/>
          <w:lang w:val="en-US"/>
        </w:rPr>
        <w:t>the Minister of Natural Resources and Energy</w:t>
      </w:r>
      <w:r w:rsidR="00926E61" w:rsidRPr="00EC45EE">
        <w:rPr>
          <w:rFonts w:ascii="Verdana" w:hAnsi="Verdana"/>
          <w:sz w:val="20"/>
          <w:szCs w:val="20"/>
          <w:lang w:val="en-US"/>
        </w:rPr>
        <w:t xml:space="preserve">, </w:t>
      </w:r>
      <w:r w:rsidR="00FE7BA7" w:rsidRPr="00EC45EE">
        <w:rPr>
          <w:rFonts w:ascii="Verdana" w:hAnsi="Verdana"/>
          <w:sz w:val="20"/>
          <w:szCs w:val="20"/>
          <w:lang w:val="en-US"/>
        </w:rPr>
        <w:t>established</w:t>
      </w:r>
      <w:r w:rsidR="00B4131F" w:rsidRPr="00EC45EE">
        <w:rPr>
          <w:rFonts w:ascii="Verdana" w:hAnsi="Verdana"/>
          <w:sz w:val="20"/>
          <w:szCs w:val="20"/>
          <w:lang w:val="en-US"/>
        </w:rPr>
        <w:t xml:space="preserve"> that the area chosen for the reserve was claimed by the communities who lived around it as part of </w:t>
      </w:r>
      <w:r w:rsidRPr="00EC45EE">
        <w:rPr>
          <w:rFonts w:ascii="Verdana" w:hAnsi="Verdana"/>
          <w:sz w:val="20"/>
          <w:szCs w:val="20"/>
          <w:lang w:val="en-US"/>
        </w:rPr>
        <w:t>their ancestral territory</w:t>
      </w:r>
      <w:r w:rsidR="00B4131F" w:rsidRPr="00EC45EE">
        <w:rPr>
          <w:rFonts w:ascii="Verdana" w:hAnsi="Verdana"/>
          <w:sz w:val="20"/>
          <w:szCs w:val="20"/>
          <w:lang w:val="en-US"/>
        </w:rPr>
        <w:t>.</w:t>
      </w:r>
      <w:r w:rsidR="00926E61" w:rsidRPr="00EC45EE">
        <w:rPr>
          <w:rStyle w:val="FootnoteReference"/>
          <w:szCs w:val="20"/>
          <w:lang w:val="en-US"/>
        </w:rPr>
        <w:footnoteReference w:id="105"/>
      </w:r>
    </w:p>
    <w:p w14:paraId="631268E6" w14:textId="77777777" w:rsidR="00926E61" w:rsidRPr="00EC45EE" w:rsidRDefault="00926E61" w:rsidP="00145D1D">
      <w:pPr>
        <w:pStyle w:val="FootnoteText"/>
        <w:rPr>
          <w:lang w:val="en-US"/>
        </w:rPr>
      </w:pPr>
    </w:p>
    <w:p w14:paraId="631268E7" w14:textId="2A2AD43D" w:rsidR="00926E61" w:rsidRPr="00FE7BA7" w:rsidRDefault="00BE4D11" w:rsidP="00B935FA">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The territory of the Wane Kreek</w:t>
      </w:r>
      <w:r w:rsidR="00B07A66" w:rsidRPr="00EC45EE">
        <w:rPr>
          <w:rFonts w:ascii="Verdana" w:hAnsi="Verdana"/>
          <w:sz w:val="20"/>
          <w:szCs w:val="20"/>
          <w:lang w:val="en-US"/>
        </w:rPr>
        <w:t xml:space="preserve"> Nature Reserve</w:t>
      </w:r>
      <w:r w:rsidRPr="00EC45EE">
        <w:rPr>
          <w:rFonts w:ascii="Verdana" w:hAnsi="Verdana"/>
          <w:sz w:val="20"/>
          <w:szCs w:val="20"/>
          <w:lang w:val="en-US"/>
        </w:rPr>
        <w:t xml:space="preserve"> </w:t>
      </w:r>
      <w:r w:rsidR="00926E61" w:rsidRPr="00EC45EE">
        <w:rPr>
          <w:rFonts w:ascii="Verdana" w:hAnsi="Verdana"/>
          <w:sz w:val="20"/>
          <w:szCs w:val="20"/>
          <w:lang w:val="en-US"/>
        </w:rPr>
        <w:t>form</w:t>
      </w:r>
      <w:r w:rsidRPr="00EC45EE">
        <w:rPr>
          <w:rFonts w:ascii="Verdana" w:hAnsi="Verdana"/>
          <w:sz w:val="20"/>
          <w:szCs w:val="20"/>
          <w:lang w:val="en-US"/>
        </w:rPr>
        <w:t xml:space="preserve">s part of the ancestral territories claimed by </w:t>
      </w:r>
      <w:r w:rsidR="002B5CCD" w:rsidRPr="00EC45EE">
        <w:rPr>
          <w:rFonts w:ascii="Verdana" w:hAnsi="Verdana"/>
          <w:sz w:val="20"/>
          <w:szCs w:val="20"/>
          <w:lang w:val="en-US"/>
        </w:rPr>
        <w:t xml:space="preserve">the </w:t>
      </w:r>
      <w:r w:rsidR="004C7D14" w:rsidRPr="00EC45EE">
        <w:rPr>
          <w:rFonts w:ascii="Verdana" w:hAnsi="Verdana"/>
          <w:sz w:val="20"/>
          <w:szCs w:val="20"/>
          <w:lang w:val="en-US"/>
        </w:rPr>
        <w:t>Kaliña and Lokono peoples</w:t>
      </w:r>
      <w:r w:rsidRPr="00EC45EE">
        <w:rPr>
          <w:rFonts w:ascii="Verdana" w:hAnsi="Verdana"/>
          <w:sz w:val="20"/>
          <w:szCs w:val="20"/>
          <w:lang w:val="en-US"/>
        </w:rPr>
        <w:t>.</w:t>
      </w:r>
      <w:r w:rsidR="00926E61" w:rsidRPr="00EC45EE">
        <w:rPr>
          <w:rStyle w:val="FootnoteReference"/>
          <w:szCs w:val="20"/>
          <w:lang w:val="en-US"/>
        </w:rPr>
        <w:footnoteReference w:id="106"/>
      </w:r>
      <w:r w:rsidR="00926E61" w:rsidRPr="00EC45EE">
        <w:rPr>
          <w:rFonts w:ascii="Verdana" w:hAnsi="Verdana"/>
          <w:sz w:val="20"/>
          <w:szCs w:val="20"/>
          <w:lang w:val="en-US"/>
        </w:rPr>
        <w:t xml:space="preserve"> </w:t>
      </w:r>
      <w:r w:rsidR="00B4131F" w:rsidRPr="00EC45EE">
        <w:rPr>
          <w:rFonts w:ascii="Verdana" w:hAnsi="Verdana"/>
          <w:sz w:val="20"/>
          <w:szCs w:val="20"/>
          <w:lang w:val="en-US"/>
        </w:rPr>
        <w:t xml:space="preserve">In this regard, they indicated that the area of the reserve is their main hunting and fishing ground, and is also used to extract medicinal plants, clay and kaolin. Furthermore, </w:t>
      </w:r>
      <w:r w:rsidR="002B5CCD" w:rsidRPr="00EC45EE">
        <w:rPr>
          <w:rFonts w:ascii="Verdana" w:hAnsi="Verdana"/>
          <w:sz w:val="20"/>
          <w:szCs w:val="20"/>
          <w:lang w:val="en-US"/>
        </w:rPr>
        <w:t xml:space="preserve">the </w:t>
      </w:r>
      <w:r w:rsidR="004C7D14" w:rsidRPr="00EC45EE">
        <w:rPr>
          <w:rFonts w:ascii="Verdana" w:hAnsi="Verdana"/>
          <w:sz w:val="20"/>
          <w:szCs w:val="20"/>
          <w:lang w:val="en-US"/>
        </w:rPr>
        <w:t>Kaliña and Lokono peoples</w:t>
      </w:r>
      <w:r w:rsidR="003214FF" w:rsidRPr="00EC45EE">
        <w:rPr>
          <w:rFonts w:ascii="Verdana" w:hAnsi="Verdana"/>
          <w:sz w:val="20"/>
          <w:szCs w:val="20"/>
          <w:lang w:val="en-US"/>
        </w:rPr>
        <w:t xml:space="preserve"> </w:t>
      </w:r>
      <w:r w:rsidR="00B4131F" w:rsidRPr="00EC45EE">
        <w:rPr>
          <w:rFonts w:ascii="Verdana" w:hAnsi="Verdana"/>
          <w:sz w:val="20"/>
          <w:szCs w:val="20"/>
          <w:lang w:val="en-US"/>
        </w:rPr>
        <w:t xml:space="preserve">have always had camps and settlements in the </w:t>
      </w:r>
      <w:r w:rsidR="00FE7BA7" w:rsidRPr="00EC45EE">
        <w:rPr>
          <w:rFonts w:ascii="Verdana" w:hAnsi="Verdana"/>
          <w:sz w:val="20"/>
          <w:szCs w:val="20"/>
          <w:lang w:val="en-US"/>
        </w:rPr>
        <w:t>area</w:t>
      </w:r>
      <w:r w:rsidR="00B4131F" w:rsidRPr="00EC45EE">
        <w:rPr>
          <w:rFonts w:ascii="Verdana" w:hAnsi="Verdana"/>
          <w:sz w:val="20"/>
          <w:szCs w:val="20"/>
          <w:lang w:val="en-US"/>
        </w:rPr>
        <w:t xml:space="preserve"> and it contains ancient </w:t>
      </w:r>
      <w:r w:rsidR="008E2EA0" w:rsidRPr="00EC45EE">
        <w:rPr>
          <w:rFonts w:ascii="Verdana" w:hAnsi="Verdana"/>
          <w:sz w:val="20"/>
          <w:szCs w:val="20"/>
          <w:lang w:val="en-US"/>
        </w:rPr>
        <w:t>villages</w:t>
      </w:r>
      <w:r w:rsidR="00B4131F" w:rsidRPr="00EC45EE">
        <w:rPr>
          <w:rFonts w:ascii="Verdana" w:hAnsi="Verdana"/>
          <w:sz w:val="20"/>
          <w:szCs w:val="20"/>
          <w:lang w:val="en-US"/>
        </w:rPr>
        <w:t xml:space="preserve"> and sacred sites that they consider fundamental </w:t>
      </w:r>
      <w:r w:rsidR="000620E1" w:rsidRPr="00EC45EE">
        <w:rPr>
          <w:rFonts w:ascii="Verdana" w:hAnsi="Verdana"/>
          <w:sz w:val="20"/>
          <w:szCs w:val="20"/>
          <w:lang w:val="en-US"/>
        </w:rPr>
        <w:t>to</w:t>
      </w:r>
      <w:r w:rsidR="00B4131F" w:rsidRPr="00EC45EE">
        <w:rPr>
          <w:rFonts w:ascii="Verdana" w:hAnsi="Verdana"/>
          <w:sz w:val="20"/>
          <w:szCs w:val="20"/>
          <w:lang w:val="en-US"/>
        </w:rPr>
        <w:t xml:space="preserve"> their origins and identity</w:t>
      </w:r>
      <w:r w:rsidR="005269B1" w:rsidRPr="00EC45EE">
        <w:rPr>
          <w:rFonts w:ascii="Verdana" w:hAnsi="Verdana"/>
          <w:sz w:val="20"/>
          <w:szCs w:val="20"/>
          <w:lang w:val="en-US"/>
        </w:rPr>
        <w:t>.</w:t>
      </w:r>
      <w:r w:rsidR="00926E61" w:rsidRPr="00EC45EE">
        <w:rPr>
          <w:rStyle w:val="FootnoteReference"/>
          <w:szCs w:val="20"/>
          <w:lang w:val="en-US"/>
        </w:rPr>
        <w:footnoteReference w:id="107"/>
      </w:r>
      <w:r w:rsidR="005269B1" w:rsidRPr="00EC45EE">
        <w:rPr>
          <w:rFonts w:ascii="Verdana" w:hAnsi="Verdana"/>
          <w:sz w:val="20"/>
          <w:szCs w:val="20"/>
          <w:lang w:val="en-US"/>
        </w:rPr>
        <w:t xml:space="preserve"> The area also has significant archaeological value</w:t>
      </w:r>
      <w:r w:rsidR="007632DA">
        <w:rPr>
          <w:rFonts w:ascii="Verdana" w:hAnsi="Verdana"/>
          <w:sz w:val="20"/>
          <w:szCs w:val="20"/>
          <w:lang w:val="en-US"/>
        </w:rPr>
        <w:t>,</w:t>
      </w:r>
      <w:r w:rsidR="005269B1" w:rsidRPr="00EC45EE">
        <w:rPr>
          <w:rFonts w:ascii="Verdana" w:hAnsi="Verdana"/>
          <w:sz w:val="20"/>
          <w:szCs w:val="20"/>
          <w:lang w:val="en-US"/>
        </w:rPr>
        <w:t xml:space="preserve"> as numerous</w:t>
      </w:r>
      <w:r w:rsidR="005269B1" w:rsidRPr="00FE7BA7">
        <w:rPr>
          <w:rFonts w:ascii="Verdana" w:hAnsi="Verdana"/>
          <w:sz w:val="20"/>
          <w:szCs w:val="20"/>
          <w:lang w:val="en-US"/>
        </w:rPr>
        <w:t xml:space="preserve"> </w:t>
      </w:r>
      <w:r w:rsidR="00FE7BA7" w:rsidRPr="00FE7BA7">
        <w:rPr>
          <w:rFonts w:ascii="Verdana" w:hAnsi="Verdana"/>
          <w:sz w:val="20"/>
          <w:szCs w:val="20"/>
          <w:lang w:val="en-US"/>
        </w:rPr>
        <w:t>Pre-Columbian</w:t>
      </w:r>
      <w:r w:rsidR="005269B1" w:rsidRPr="00FE7BA7">
        <w:rPr>
          <w:rFonts w:ascii="Verdana" w:hAnsi="Verdana"/>
          <w:sz w:val="20"/>
          <w:szCs w:val="20"/>
          <w:lang w:val="en-US"/>
        </w:rPr>
        <w:t xml:space="preserve"> artefacts have been found.</w:t>
      </w:r>
      <w:r w:rsidR="00926E61" w:rsidRPr="00FE7BA7">
        <w:rPr>
          <w:rStyle w:val="FootnoteReference"/>
          <w:szCs w:val="20"/>
          <w:lang w:val="en-US"/>
        </w:rPr>
        <w:footnoteReference w:id="108"/>
      </w:r>
    </w:p>
    <w:p w14:paraId="631268E8" w14:textId="77777777" w:rsidR="00926E61" w:rsidRPr="00221CE8" w:rsidRDefault="00926E61" w:rsidP="00145D1D">
      <w:pPr>
        <w:pStyle w:val="FootnoteText"/>
        <w:rPr>
          <w:lang w:val="en-US"/>
        </w:rPr>
      </w:pPr>
    </w:p>
    <w:p w14:paraId="631268E9" w14:textId="77777777" w:rsidR="00926E61" w:rsidRPr="00FE7BA7" w:rsidRDefault="00926E61" w:rsidP="007624EC">
      <w:pPr>
        <w:pStyle w:val="Heading4"/>
        <w:spacing w:before="0"/>
        <w:ind w:left="720" w:firstLine="720"/>
        <w:rPr>
          <w:rFonts w:ascii="Verdana" w:hAnsi="Verdana"/>
          <w:color w:val="auto"/>
          <w:sz w:val="20"/>
          <w:szCs w:val="20"/>
          <w:lang w:val="en-US"/>
        </w:rPr>
      </w:pPr>
      <w:bookmarkStart w:id="22" w:name="_Toc441673195"/>
      <w:r w:rsidRPr="00FE7BA7">
        <w:rPr>
          <w:rFonts w:ascii="Verdana" w:hAnsi="Verdana"/>
          <w:color w:val="auto"/>
          <w:sz w:val="20"/>
          <w:szCs w:val="20"/>
          <w:lang w:val="en-US"/>
        </w:rPr>
        <w:t xml:space="preserve">E.2.1 </w:t>
      </w:r>
      <w:r w:rsidR="00BE4D11" w:rsidRPr="00FE7BA7">
        <w:rPr>
          <w:rFonts w:ascii="Verdana" w:hAnsi="Verdana"/>
          <w:color w:val="auto"/>
          <w:sz w:val="20"/>
          <w:szCs w:val="20"/>
          <w:lang w:val="en-US"/>
        </w:rPr>
        <w:t>Consultation process</w:t>
      </w:r>
      <w:bookmarkEnd w:id="22"/>
    </w:p>
    <w:p w14:paraId="631268EA" w14:textId="77777777" w:rsidR="00926E61" w:rsidRPr="00FE7BA7" w:rsidRDefault="00926E61" w:rsidP="00145D1D">
      <w:pPr>
        <w:pStyle w:val="FootnoteText"/>
      </w:pPr>
    </w:p>
    <w:p w14:paraId="631268EB" w14:textId="16A6FA5B" w:rsidR="00926E61" w:rsidRPr="00FE7BA7" w:rsidRDefault="00B4131F"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Prior to the establishment</w:t>
      </w:r>
      <w:r w:rsidR="00BE4D11" w:rsidRPr="00FE7BA7">
        <w:rPr>
          <w:rFonts w:ascii="Verdana" w:hAnsi="Verdana"/>
          <w:sz w:val="20"/>
          <w:szCs w:val="20"/>
          <w:lang w:val="en-US"/>
        </w:rPr>
        <w:t xml:space="preserve"> of the </w:t>
      </w:r>
      <w:r w:rsidR="00B07A66" w:rsidRPr="00FE7BA7">
        <w:rPr>
          <w:rFonts w:ascii="Verdana" w:hAnsi="Verdana"/>
          <w:sz w:val="20"/>
          <w:szCs w:val="20"/>
          <w:lang w:val="en-US"/>
        </w:rPr>
        <w:t xml:space="preserve">Wane </w:t>
      </w:r>
      <w:r w:rsidR="00FE7BA7" w:rsidRPr="00FE7BA7">
        <w:rPr>
          <w:rFonts w:ascii="Verdana" w:hAnsi="Verdana"/>
          <w:sz w:val="20"/>
          <w:szCs w:val="20"/>
          <w:lang w:val="en-US"/>
        </w:rPr>
        <w:t>Kreek Nature</w:t>
      </w:r>
      <w:r w:rsidR="00B07A66" w:rsidRPr="00FE7BA7">
        <w:rPr>
          <w:rFonts w:ascii="Verdana" w:hAnsi="Verdana"/>
          <w:sz w:val="20"/>
          <w:szCs w:val="20"/>
          <w:lang w:val="en-US"/>
        </w:rPr>
        <w:t xml:space="preserve"> Reserve</w:t>
      </w:r>
      <w:r w:rsidRPr="00FE7BA7">
        <w:rPr>
          <w:rFonts w:ascii="Verdana" w:hAnsi="Verdana"/>
          <w:sz w:val="20"/>
          <w:szCs w:val="20"/>
          <w:lang w:val="en-US"/>
        </w:rPr>
        <w:t xml:space="preserve"> several meeting</w:t>
      </w:r>
      <w:r w:rsidR="000620E1">
        <w:rPr>
          <w:rFonts w:ascii="Verdana" w:hAnsi="Verdana"/>
          <w:sz w:val="20"/>
          <w:szCs w:val="20"/>
          <w:lang w:val="en-US"/>
        </w:rPr>
        <w:t>s</w:t>
      </w:r>
      <w:r w:rsidRPr="00FE7BA7">
        <w:rPr>
          <w:rFonts w:ascii="Verdana" w:hAnsi="Verdana"/>
          <w:sz w:val="20"/>
          <w:szCs w:val="20"/>
          <w:lang w:val="en-US"/>
        </w:rPr>
        <w:t xml:space="preserve"> were held with the participation of authorities of the </w:t>
      </w:r>
      <w:r w:rsidR="000620E1">
        <w:rPr>
          <w:rFonts w:ascii="Verdana" w:hAnsi="Verdana"/>
          <w:sz w:val="20"/>
          <w:szCs w:val="20"/>
          <w:lang w:val="en-US"/>
        </w:rPr>
        <w:t>State Forest Management Service</w:t>
      </w:r>
      <w:r w:rsidRPr="00FE7BA7">
        <w:rPr>
          <w:rFonts w:ascii="Verdana" w:hAnsi="Verdana"/>
          <w:sz w:val="20"/>
          <w:szCs w:val="20"/>
          <w:lang w:val="en-US"/>
        </w:rPr>
        <w:t xml:space="preserve">, </w:t>
      </w:r>
      <w:r w:rsidR="00FE7BA7" w:rsidRPr="00FE7BA7">
        <w:rPr>
          <w:rFonts w:ascii="Verdana" w:hAnsi="Verdana"/>
          <w:sz w:val="20"/>
          <w:szCs w:val="20"/>
          <w:lang w:val="en-US"/>
        </w:rPr>
        <w:t>an indigenous</w:t>
      </w:r>
      <w:r w:rsidRPr="00FE7BA7">
        <w:rPr>
          <w:rFonts w:ascii="Verdana" w:hAnsi="Verdana"/>
          <w:sz w:val="20"/>
          <w:szCs w:val="20"/>
          <w:lang w:val="en-US"/>
        </w:rPr>
        <w:t xml:space="preserve"> </w:t>
      </w:r>
      <w:r w:rsidR="00FE7BA7" w:rsidRPr="00FE7BA7">
        <w:rPr>
          <w:rFonts w:ascii="Verdana" w:hAnsi="Verdana"/>
          <w:sz w:val="20"/>
          <w:szCs w:val="20"/>
          <w:lang w:val="en-US"/>
        </w:rPr>
        <w:t>people’s</w:t>
      </w:r>
      <w:r w:rsidRPr="00FE7BA7">
        <w:rPr>
          <w:rFonts w:ascii="Verdana" w:hAnsi="Verdana"/>
          <w:sz w:val="20"/>
          <w:szCs w:val="20"/>
          <w:lang w:val="en-US"/>
        </w:rPr>
        <w:t xml:space="preserve"> organization called </w:t>
      </w:r>
      <w:r w:rsidR="00926E61" w:rsidRPr="00FE7BA7">
        <w:rPr>
          <w:rFonts w:ascii="Verdana" w:hAnsi="Verdana"/>
          <w:sz w:val="20"/>
          <w:szCs w:val="20"/>
          <w:lang w:val="en-US"/>
        </w:rPr>
        <w:t>“KANO</w:t>
      </w:r>
      <w:r w:rsidRPr="00FE7BA7">
        <w:rPr>
          <w:rFonts w:ascii="Verdana" w:hAnsi="Verdana"/>
          <w:sz w:val="20"/>
          <w:szCs w:val="20"/>
          <w:lang w:val="en-US"/>
        </w:rPr>
        <w:t>,” community leaders and some residents.</w:t>
      </w:r>
      <w:r w:rsidR="00926E61" w:rsidRPr="00FE7BA7">
        <w:rPr>
          <w:rStyle w:val="FootnoteReference"/>
          <w:szCs w:val="20"/>
          <w:lang w:val="en-US"/>
        </w:rPr>
        <w:footnoteReference w:id="109"/>
      </w:r>
      <w:r w:rsidRPr="00FE7BA7">
        <w:rPr>
          <w:rFonts w:ascii="Verdana" w:hAnsi="Verdana"/>
          <w:sz w:val="20"/>
          <w:szCs w:val="20"/>
          <w:lang w:val="en-US"/>
        </w:rPr>
        <w:t xml:space="preserve"> According to the State, KANO was founded in 1969 and was composed of </w:t>
      </w:r>
      <w:r w:rsidR="00926E61" w:rsidRPr="00FE7BA7">
        <w:rPr>
          <w:rFonts w:ascii="Verdana" w:hAnsi="Verdana"/>
          <w:sz w:val="20"/>
          <w:szCs w:val="20"/>
          <w:lang w:val="en-US"/>
        </w:rPr>
        <w:t>Kaliña</w:t>
      </w:r>
      <w:r w:rsidR="002B5CCD" w:rsidRPr="00FE7BA7">
        <w:rPr>
          <w:rFonts w:ascii="Verdana" w:hAnsi="Verdana"/>
          <w:sz w:val="20"/>
          <w:szCs w:val="20"/>
          <w:lang w:val="en-US"/>
        </w:rPr>
        <w:t xml:space="preserve"> and </w:t>
      </w:r>
      <w:r w:rsidR="00926E61" w:rsidRPr="00FE7BA7">
        <w:rPr>
          <w:rFonts w:ascii="Verdana" w:hAnsi="Verdana"/>
          <w:sz w:val="20"/>
          <w:szCs w:val="20"/>
          <w:lang w:val="en-US"/>
        </w:rPr>
        <w:t>Lokono</w:t>
      </w:r>
      <w:r w:rsidRPr="00FE7BA7">
        <w:rPr>
          <w:rFonts w:ascii="Verdana" w:hAnsi="Verdana"/>
          <w:sz w:val="20"/>
          <w:szCs w:val="20"/>
          <w:lang w:val="en-US"/>
        </w:rPr>
        <w:t xml:space="preserve"> indigenous peoples. However, </w:t>
      </w:r>
      <w:r w:rsidR="00810FAD" w:rsidRPr="00FE7BA7">
        <w:rPr>
          <w:rFonts w:ascii="Verdana" w:hAnsi="Verdana"/>
          <w:sz w:val="20"/>
          <w:szCs w:val="20"/>
          <w:lang w:val="en-US"/>
        </w:rPr>
        <w:t>the representatives</w:t>
      </w:r>
      <w:r w:rsidR="00926E61" w:rsidRPr="00FE7BA7">
        <w:rPr>
          <w:rFonts w:ascii="Verdana" w:hAnsi="Verdana"/>
          <w:sz w:val="20"/>
          <w:szCs w:val="20"/>
          <w:lang w:val="en-US"/>
        </w:rPr>
        <w:t xml:space="preserve"> </w:t>
      </w:r>
      <w:r w:rsidR="000620E1">
        <w:rPr>
          <w:rFonts w:ascii="Verdana" w:hAnsi="Verdana"/>
          <w:sz w:val="20"/>
          <w:szCs w:val="20"/>
          <w:lang w:val="en-US"/>
        </w:rPr>
        <w:t>indicated that KANO wa</w:t>
      </w:r>
      <w:r w:rsidRPr="00FE7BA7">
        <w:rPr>
          <w:rFonts w:ascii="Verdana" w:hAnsi="Verdana"/>
          <w:sz w:val="20"/>
          <w:szCs w:val="20"/>
          <w:lang w:val="en-US"/>
        </w:rPr>
        <w:t xml:space="preserve">s composed of indigenous individuals from different parts of Suriname who were not traditional </w:t>
      </w:r>
      <w:r w:rsidR="00FE7BA7" w:rsidRPr="00FE7BA7">
        <w:rPr>
          <w:rFonts w:ascii="Verdana" w:hAnsi="Verdana"/>
          <w:sz w:val="20"/>
          <w:szCs w:val="20"/>
          <w:lang w:val="en-US"/>
        </w:rPr>
        <w:t>authorities</w:t>
      </w:r>
      <w:r w:rsidRPr="00FE7BA7">
        <w:rPr>
          <w:rFonts w:ascii="Verdana" w:hAnsi="Verdana"/>
          <w:sz w:val="20"/>
          <w:szCs w:val="20"/>
          <w:lang w:val="en-US"/>
        </w:rPr>
        <w:t xml:space="preserve"> or legitimate representatives </w:t>
      </w:r>
      <w:r w:rsidR="00810FAD" w:rsidRPr="00FE7BA7">
        <w:rPr>
          <w:rFonts w:ascii="Verdana" w:hAnsi="Verdana"/>
          <w:sz w:val="20"/>
          <w:szCs w:val="20"/>
          <w:lang w:val="en-US"/>
        </w:rPr>
        <w:t xml:space="preserve">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10FAD" w:rsidRPr="00FE7BA7">
        <w:rPr>
          <w:rFonts w:ascii="Verdana" w:hAnsi="Verdana"/>
          <w:sz w:val="20"/>
          <w:szCs w:val="20"/>
          <w:lang w:val="en-US"/>
        </w:rPr>
        <w:t>victims</w:t>
      </w:r>
      <w:r w:rsidR="00926E61" w:rsidRPr="00FE7BA7">
        <w:rPr>
          <w:rFonts w:ascii="Verdana" w:hAnsi="Verdana"/>
          <w:sz w:val="20"/>
          <w:szCs w:val="20"/>
          <w:lang w:val="en-US"/>
        </w:rPr>
        <w:t xml:space="preserve"> </w:t>
      </w:r>
      <w:r w:rsidRPr="00FE7BA7">
        <w:rPr>
          <w:rFonts w:ascii="Verdana" w:hAnsi="Verdana"/>
          <w:sz w:val="20"/>
          <w:szCs w:val="20"/>
          <w:lang w:val="en-US"/>
        </w:rPr>
        <w:t xml:space="preserve">in this case. Also KANO ceased to exist in 1980; in other words, </w:t>
      </w:r>
      <w:r w:rsidR="00BE4D11" w:rsidRPr="00FE7BA7">
        <w:rPr>
          <w:rFonts w:ascii="Verdana" w:hAnsi="Verdana"/>
          <w:sz w:val="20"/>
          <w:szCs w:val="20"/>
          <w:lang w:val="en-US"/>
        </w:rPr>
        <w:t xml:space="preserve">six years before the creation of the </w:t>
      </w:r>
      <w:r w:rsidR="00511E56" w:rsidRPr="00FE7BA7">
        <w:rPr>
          <w:rFonts w:ascii="Verdana" w:hAnsi="Verdana"/>
          <w:sz w:val="20"/>
          <w:szCs w:val="20"/>
          <w:lang w:val="en-US"/>
        </w:rPr>
        <w:t>Wane Kreek</w:t>
      </w:r>
      <w:r w:rsidR="00BE4D11" w:rsidRPr="00FE7BA7">
        <w:rPr>
          <w:rFonts w:ascii="Verdana" w:hAnsi="Verdana"/>
          <w:sz w:val="20"/>
          <w:szCs w:val="20"/>
          <w:lang w:val="en-US"/>
        </w:rPr>
        <w:t xml:space="preserve"> Nature Reserve</w:t>
      </w:r>
      <w:r w:rsidR="00926E61" w:rsidRPr="00FE7BA7">
        <w:rPr>
          <w:rFonts w:ascii="Verdana" w:hAnsi="Verdana"/>
          <w:sz w:val="20"/>
          <w:szCs w:val="20"/>
          <w:lang w:val="en-US"/>
        </w:rPr>
        <w:t>.</w:t>
      </w:r>
    </w:p>
    <w:p w14:paraId="631268EC" w14:textId="77777777" w:rsidR="00926E61" w:rsidRPr="00221CE8" w:rsidRDefault="00926E61" w:rsidP="00145D1D">
      <w:pPr>
        <w:pStyle w:val="FootnoteText"/>
        <w:rPr>
          <w:lang w:val="en-US"/>
        </w:rPr>
      </w:pPr>
    </w:p>
    <w:p w14:paraId="631268ED" w14:textId="77777777" w:rsidR="00926E61" w:rsidRPr="00FE7BA7" w:rsidRDefault="00B4131F" w:rsidP="00B935F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w:t>
      </w:r>
      <w:r w:rsidR="00BE4D11" w:rsidRPr="00FE7BA7">
        <w:rPr>
          <w:rFonts w:ascii="Verdana" w:hAnsi="Verdana"/>
          <w:sz w:val="20"/>
          <w:szCs w:val="20"/>
          <w:lang w:val="en-US"/>
        </w:rPr>
        <w:t>according to a communication dated August 26,</w:t>
      </w:r>
      <w:r w:rsidR="00926E61" w:rsidRPr="00FE7BA7">
        <w:rPr>
          <w:rFonts w:ascii="Verdana" w:hAnsi="Verdana"/>
          <w:sz w:val="20"/>
          <w:szCs w:val="20"/>
          <w:lang w:val="en-US"/>
        </w:rPr>
        <w:t xml:space="preserve"> 1978</w:t>
      </w:r>
      <w:r w:rsidR="00BE4D11" w:rsidRPr="00FE7BA7">
        <w:rPr>
          <w:rFonts w:ascii="Verdana" w:hAnsi="Verdana"/>
          <w:sz w:val="20"/>
          <w:szCs w:val="20"/>
          <w:lang w:val="en-US"/>
        </w:rPr>
        <w:t>,</w:t>
      </w:r>
      <w:r w:rsidR="00926E61" w:rsidRPr="00FE7BA7">
        <w:rPr>
          <w:rFonts w:ascii="Verdana" w:hAnsi="Verdana"/>
          <w:sz w:val="20"/>
          <w:szCs w:val="20"/>
          <w:lang w:val="en-US"/>
        </w:rPr>
        <w:t xml:space="preserve"> </w:t>
      </w:r>
      <w:r w:rsidR="00BE4D11" w:rsidRPr="00FE7BA7">
        <w:rPr>
          <w:rFonts w:ascii="Verdana" w:hAnsi="Verdana"/>
          <w:sz w:val="20"/>
          <w:szCs w:val="20"/>
          <w:lang w:val="en-US"/>
        </w:rPr>
        <w:t xml:space="preserve">the </w:t>
      </w:r>
      <w:r w:rsidR="000620E1">
        <w:rPr>
          <w:rFonts w:ascii="Verdana" w:hAnsi="Verdana"/>
          <w:sz w:val="20"/>
          <w:szCs w:val="20"/>
          <w:lang w:val="en-US"/>
        </w:rPr>
        <w:t>State Forest Management Service</w:t>
      </w:r>
      <w:r w:rsidR="00BE4D11" w:rsidRPr="00FE7BA7">
        <w:rPr>
          <w:rFonts w:ascii="Verdana" w:hAnsi="Verdana"/>
          <w:sz w:val="20"/>
          <w:szCs w:val="20"/>
          <w:lang w:val="en-US"/>
        </w:rPr>
        <w:t xml:space="preserve"> </w:t>
      </w:r>
      <w:r w:rsidR="002B5CCD" w:rsidRPr="00FE7BA7">
        <w:rPr>
          <w:rFonts w:ascii="Verdana" w:hAnsi="Verdana"/>
          <w:sz w:val="20"/>
          <w:szCs w:val="20"/>
          <w:lang w:val="en-US"/>
        </w:rPr>
        <w:t xml:space="preserve">and </w:t>
      </w:r>
      <w:r w:rsidR="00BE4D11" w:rsidRPr="00FE7BA7">
        <w:rPr>
          <w:rFonts w:ascii="Verdana" w:hAnsi="Verdana"/>
          <w:sz w:val="20"/>
          <w:szCs w:val="20"/>
          <w:lang w:val="en-US"/>
        </w:rPr>
        <w:t>KANO representatives reached the following agreements during a meeting held on August 21, 1978:</w:t>
      </w:r>
    </w:p>
    <w:p w14:paraId="631268EE" w14:textId="77777777" w:rsidR="00926E61" w:rsidRPr="00221CE8" w:rsidRDefault="00926E61" w:rsidP="00145D1D">
      <w:pPr>
        <w:pStyle w:val="FootnoteText"/>
        <w:rPr>
          <w:lang w:val="en-US"/>
        </w:rPr>
      </w:pPr>
    </w:p>
    <w:p w14:paraId="631268EF" w14:textId="77777777" w:rsidR="00B4131F" w:rsidRPr="00FE7BA7" w:rsidRDefault="00B4131F" w:rsidP="009409B6">
      <w:pPr>
        <w:pStyle w:val="ListParagraph"/>
        <w:numPr>
          <w:ilvl w:val="0"/>
          <w:numId w:val="6"/>
        </w:numPr>
        <w:jc w:val="both"/>
        <w:rPr>
          <w:rFonts w:ascii="Verdana" w:hAnsi="Verdana"/>
          <w:sz w:val="18"/>
          <w:szCs w:val="20"/>
          <w:lang w:val="en-US"/>
        </w:rPr>
      </w:pPr>
      <w:r w:rsidRPr="00FE7BA7">
        <w:rPr>
          <w:rFonts w:ascii="Verdana" w:hAnsi="Verdana"/>
          <w:sz w:val="18"/>
          <w:szCs w:val="20"/>
          <w:lang w:val="en-US"/>
        </w:rPr>
        <w:t>The rights</w:t>
      </w:r>
      <w:r w:rsidR="00D01653">
        <w:rPr>
          <w:rFonts w:ascii="Verdana" w:hAnsi="Verdana"/>
          <w:sz w:val="18"/>
          <w:szCs w:val="20"/>
          <w:lang w:val="en-US"/>
        </w:rPr>
        <w:t xml:space="preserve"> and claims </w:t>
      </w:r>
      <w:r w:rsidRPr="00FE7BA7">
        <w:rPr>
          <w:rFonts w:ascii="Verdana" w:hAnsi="Verdana"/>
          <w:sz w:val="18"/>
          <w:szCs w:val="20"/>
          <w:lang w:val="en-US"/>
        </w:rPr>
        <w:t>o</w:t>
      </w:r>
      <w:r w:rsidR="000620E1">
        <w:rPr>
          <w:rFonts w:ascii="Verdana" w:hAnsi="Verdana"/>
          <w:sz w:val="18"/>
          <w:szCs w:val="20"/>
          <w:lang w:val="en-US"/>
        </w:rPr>
        <w:t xml:space="preserve">f the traditional </w:t>
      </w:r>
      <w:r w:rsidR="00D01653">
        <w:rPr>
          <w:rFonts w:ascii="Verdana" w:hAnsi="Verdana"/>
          <w:sz w:val="18"/>
          <w:szCs w:val="20"/>
          <w:lang w:val="en-US"/>
        </w:rPr>
        <w:t>inhabitants</w:t>
      </w:r>
      <w:r w:rsidR="000620E1">
        <w:rPr>
          <w:rFonts w:ascii="Verdana" w:hAnsi="Verdana"/>
          <w:sz w:val="18"/>
          <w:szCs w:val="20"/>
          <w:lang w:val="en-US"/>
        </w:rPr>
        <w:t xml:space="preserve"> will</w:t>
      </w:r>
      <w:r w:rsidRPr="00FE7BA7">
        <w:rPr>
          <w:rFonts w:ascii="Verdana" w:hAnsi="Verdana"/>
          <w:sz w:val="18"/>
          <w:szCs w:val="20"/>
          <w:lang w:val="en-US"/>
        </w:rPr>
        <w:t xml:space="preserve"> be respected.</w:t>
      </w:r>
    </w:p>
    <w:p w14:paraId="631268F0" w14:textId="77777777" w:rsidR="00926E61" w:rsidRPr="00FE7BA7" w:rsidRDefault="00926E61" w:rsidP="009409B6">
      <w:pPr>
        <w:pStyle w:val="ListParagraph"/>
        <w:numPr>
          <w:ilvl w:val="0"/>
          <w:numId w:val="6"/>
        </w:numPr>
        <w:jc w:val="both"/>
        <w:rPr>
          <w:rFonts w:ascii="Verdana" w:hAnsi="Verdana"/>
          <w:sz w:val="18"/>
          <w:szCs w:val="20"/>
          <w:lang w:val="en-US"/>
        </w:rPr>
      </w:pPr>
      <w:r w:rsidRPr="00FE7BA7">
        <w:rPr>
          <w:rFonts w:ascii="Verdana" w:hAnsi="Verdana"/>
          <w:sz w:val="18"/>
          <w:szCs w:val="20"/>
          <w:lang w:val="en-US"/>
        </w:rPr>
        <w:t>Representa</w:t>
      </w:r>
      <w:r w:rsidR="00B4131F" w:rsidRPr="00FE7BA7">
        <w:rPr>
          <w:rFonts w:ascii="Verdana" w:hAnsi="Verdana"/>
          <w:sz w:val="18"/>
          <w:szCs w:val="20"/>
          <w:lang w:val="en-US"/>
        </w:rPr>
        <w:t>tives of</w:t>
      </w:r>
      <w:r w:rsidRPr="00FE7BA7">
        <w:rPr>
          <w:rFonts w:ascii="Verdana" w:hAnsi="Verdana"/>
          <w:sz w:val="18"/>
          <w:szCs w:val="20"/>
          <w:lang w:val="en-US"/>
        </w:rPr>
        <w:t xml:space="preserve"> KANO</w:t>
      </w:r>
      <w:r w:rsidR="002B5CCD" w:rsidRPr="00FE7BA7">
        <w:rPr>
          <w:rFonts w:ascii="Verdana" w:hAnsi="Verdana"/>
          <w:sz w:val="18"/>
          <w:szCs w:val="20"/>
          <w:lang w:val="en-US"/>
        </w:rPr>
        <w:t xml:space="preserve"> and</w:t>
      </w:r>
      <w:r w:rsidR="00511E56" w:rsidRPr="00FE7BA7">
        <w:rPr>
          <w:rFonts w:ascii="Verdana" w:hAnsi="Verdana"/>
          <w:sz w:val="18"/>
          <w:szCs w:val="20"/>
          <w:lang w:val="en-US"/>
        </w:rPr>
        <w:t xml:space="preserve"> of the </w:t>
      </w:r>
      <w:r w:rsidR="000620E1">
        <w:rPr>
          <w:rFonts w:ascii="Verdana" w:hAnsi="Verdana"/>
          <w:sz w:val="18"/>
          <w:szCs w:val="20"/>
          <w:lang w:val="en-US"/>
        </w:rPr>
        <w:t>State Forest Management Service</w:t>
      </w:r>
      <w:r w:rsidRPr="00FE7BA7">
        <w:rPr>
          <w:rFonts w:ascii="Verdana" w:hAnsi="Verdana"/>
          <w:sz w:val="18"/>
          <w:szCs w:val="20"/>
          <w:lang w:val="en-US"/>
        </w:rPr>
        <w:t xml:space="preserve"> </w:t>
      </w:r>
      <w:r w:rsidR="00B4131F" w:rsidRPr="00FE7BA7">
        <w:rPr>
          <w:rFonts w:ascii="Verdana" w:hAnsi="Verdana"/>
          <w:sz w:val="18"/>
          <w:szCs w:val="20"/>
          <w:lang w:val="en-US"/>
        </w:rPr>
        <w:t>will visit several nature reserves. KANO will pro</w:t>
      </w:r>
      <w:r w:rsidR="00D01653">
        <w:rPr>
          <w:rFonts w:ascii="Verdana" w:hAnsi="Verdana"/>
          <w:sz w:val="18"/>
          <w:szCs w:val="20"/>
          <w:lang w:val="en-US"/>
        </w:rPr>
        <w:t>vide detailed information to</w:t>
      </w:r>
      <w:r w:rsidR="00B4131F" w:rsidRPr="00FE7BA7">
        <w:rPr>
          <w:rFonts w:ascii="Verdana" w:hAnsi="Verdana"/>
          <w:sz w:val="18"/>
          <w:szCs w:val="20"/>
          <w:lang w:val="en-US"/>
        </w:rPr>
        <w:t xml:space="preserve"> local </w:t>
      </w:r>
      <w:r w:rsidR="00133510">
        <w:rPr>
          <w:rFonts w:ascii="Verdana" w:hAnsi="Verdana"/>
          <w:sz w:val="18"/>
          <w:szCs w:val="20"/>
          <w:lang w:val="en-US"/>
        </w:rPr>
        <w:t>residents</w:t>
      </w:r>
      <w:r w:rsidR="00D01653">
        <w:rPr>
          <w:rFonts w:ascii="Verdana" w:hAnsi="Verdana"/>
          <w:sz w:val="18"/>
          <w:szCs w:val="20"/>
          <w:lang w:val="en-US"/>
        </w:rPr>
        <w:t xml:space="preserve"> about the </w:t>
      </w:r>
      <w:r w:rsidR="00B4131F" w:rsidRPr="00FE7BA7">
        <w:rPr>
          <w:rFonts w:ascii="Verdana" w:hAnsi="Verdana"/>
          <w:sz w:val="18"/>
          <w:szCs w:val="20"/>
          <w:lang w:val="en-US"/>
        </w:rPr>
        <w:t>meeting held with</w:t>
      </w:r>
      <w:r w:rsidR="00EE4500" w:rsidRPr="00FE7BA7">
        <w:rPr>
          <w:rFonts w:ascii="Verdana" w:hAnsi="Verdana"/>
          <w:sz w:val="18"/>
          <w:szCs w:val="20"/>
          <w:lang w:val="en-US"/>
        </w:rPr>
        <w:t xml:space="preserve"> </w:t>
      </w:r>
      <w:r w:rsidR="00BE4D11" w:rsidRPr="00FE7BA7">
        <w:rPr>
          <w:rFonts w:ascii="Verdana" w:hAnsi="Verdana"/>
          <w:sz w:val="18"/>
          <w:szCs w:val="20"/>
          <w:lang w:val="en-US"/>
        </w:rPr>
        <w:t xml:space="preserve">the </w:t>
      </w:r>
      <w:r w:rsidR="000620E1">
        <w:rPr>
          <w:rFonts w:ascii="Verdana" w:hAnsi="Verdana"/>
          <w:sz w:val="18"/>
          <w:szCs w:val="20"/>
          <w:lang w:val="en-US"/>
        </w:rPr>
        <w:t>State Forest Management Service</w:t>
      </w:r>
      <w:r w:rsidR="002B5CCD" w:rsidRPr="00FE7BA7">
        <w:rPr>
          <w:rFonts w:ascii="Verdana" w:hAnsi="Verdana"/>
          <w:sz w:val="18"/>
          <w:szCs w:val="20"/>
          <w:lang w:val="en-US"/>
        </w:rPr>
        <w:t xml:space="preserve"> and </w:t>
      </w:r>
      <w:r w:rsidR="00B4131F" w:rsidRPr="00FE7BA7">
        <w:rPr>
          <w:rFonts w:ascii="Verdana" w:hAnsi="Verdana"/>
          <w:sz w:val="18"/>
          <w:szCs w:val="20"/>
          <w:lang w:val="en-US"/>
        </w:rPr>
        <w:t>will consult the local residents in this regard.</w:t>
      </w:r>
    </w:p>
    <w:p w14:paraId="631268F1" w14:textId="77777777" w:rsidR="00926E61" w:rsidRPr="00FE7BA7" w:rsidRDefault="00926E61" w:rsidP="00926E61">
      <w:pPr>
        <w:pStyle w:val="ListParagraph"/>
        <w:numPr>
          <w:ilvl w:val="0"/>
          <w:numId w:val="6"/>
        </w:numPr>
        <w:jc w:val="both"/>
        <w:rPr>
          <w:rFonts w:ascii="Verdana" w:hAnsi="Verdana"/>
          <w:sz w:val="18"/>
          <w:szCs w:val="20"/>
          <w:lang w:val="en-US"/>
        </w:rPr>
      </w:pPr>
      <w:r w:rsidRPr="00FE7BA7">
        <w:rPr>
          <w:rFonts w:ascii="Verdana" w:hAnsi="Verdana"/>
          <w:sz w:val="18"/>
          <w:szCs w:val="20"/>
          <w:lang w:val="en-US"/>
        </w:rPr>
        <w:lastRenderedPageBreak/>
        <w:t xml:space="preserve">KANO </w:t>
      </w:r>
      <w:r w:rsidR="00B4131F" w:rsidRPr="00FE7BA7">
        <w:rPr>
          <w:rFonts w:ascii="Verdana" w:hAnsi="Verdana"/>
          <w:sz w:val="18"/>
          <w:szCs w:val="20"/>
          <w:lang w:val="en-US"/>
        </w:rPr>
        <w:t xml:space="preserve">will </w:t>
      </w:r>
      <w:r w:rsidR="00D01653">
        <w:rPr>
          <w:rFonts w:ascii="Verdana" w:hAnsi="Verdana"/>
          <w:sz w:val="18"/>
          <w:szCs w:val="20"/>
          <w:lang w:val="en-US"/>
        </w:rPr>
        <w:t>make an active contribution to the formulation of</w:t>
      </w:r>
      <w:r w:rsidR="00B4131F" w:rsidRPr="00FE7BA7">
        <w:rPr>
          <w:rFonts w:ascii="Verdana" w:hAnsi="Verdana"/>
          <w:sz w:val="18"/>
          <w:szCs w:val="20"/>
          <w:lang w:val="en-US"/>
        </w:rPr>
        <w:t xml:space="preserve"> the social aspects of future nature conservation policies.</w:t>
      </w:r>
      <w:r w:rsidRPr="00FE7BA7">
        <w:rPr>
          <w:rStyle w:val="FootnoteReference"/>
          <w:sz w:val="18"/>
          <w:szCs w:val="20"/>
          <w:lang w:val="en-US"/>
        </w:rPr>
        <w:footnoteReference w:id="110"/>
      </w:r>
    </w:p>
    <w:p w14:paraId="631268F2" w14:textId="77777777" w:rsidR="00926E61" w:rsidRPr="00FE7BA7" w:rsidRDefault="00926E61" w:rsidP="00926E61">
      <w:pPr>
        <w:pStyle w:val="ListParagraph"/>
        <w:jc w:val="both"/>
        <w:rPr>
          <w:rFonts w:ascii="Verdana" w:hAnsi="Verdana"/>
          <w:sz w:val="20"/>
          <w:szCs w:val="20"/>
          <w:lang w:val="en-US"/>
        </w:rPr>
      </w:pPr>
    </w:p>
    <w:p w14:paraId="631268F3" w14:textId="481CF39D" w:rsidR="00926E61" w:rsidRPr="00FE7BA7" w:rsidRDefault="00B4131F" w:rsidP="00C15E08">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Nevertheless, according to </w:t>
      </w:r>
      <w:r w:rsidR="00CA7C7B" w:rsidRPr="00FE7BA7">
        <w:rPr>
          <w:rFonts w:ascii="Verdana" w:hAnsi="Verdana"/>
          <w:sz w:val="20"/>
          <w:szCs w:val="20"/>
          <w:lang w:val="en-US"/>
        </w:rPr>
        <w:t>Captains</w:t>
      </w:r>
      <w:r w:rsidR="00926E61" w:rsidRPr="00FE7BA7">
        <w:rPr>
          <w:rFonts w:ascii="Verdana" w:hAnsi="Verdana"/>
          <w:sz w:val="20"/>
          <w:szCs w:val="20"/>
          <w:lang w:val="en-US"/>
        </w:rPr>
        <w:t xml:space="preserve"> Watamaleo</w:t>
      </w:r>
      <w:r w:rsidR="002B5CCD" w:rsidRPr="00FE7BA7">
        <w:rPr>
          <w:rFonts w:ascii="Verdana" w:hAnsi="Verdana"/>
          <w:sz w:val="20"/>
          <w:szCs w:val="20"/>
          <w:lang w:val="en-US"/>
        </w:rPr>
        <w:t xml:space="preserve"> and </w:t>
      </w:r>
      <w:r w:rsidR="00926E61" w:rsidRPr="00FE7BA7">
        <w:rPr>
          <w:rFonts w:ascii="Verdana" w:hAnsi="Verdana"/>
          <w:sz w:val="20"/>
          <w:szCs w:val="20"/>
          <w:lang w:val="en-US"/>
        </w:rPr>
        <w:t xml:space="preserve">Gunther, </w:t>
      </w:r>
      <w:r w:rsidRPr="00FE7BA7">
        <w:rPr>
          <w:rFonts w:ascii="Verdana" w:hAnsi="Verdana"/>
          <w:sz w:val="20"/>
          <w:szCs w:val="20"/>
          <w:lang w:val="en-US"/>
        </w:rPr>
        <w:t>the only meeting they are aware of was held in 1986 i</w:t>
      </w:r>
      <w:r w:rsidR="00E02462">
        <w:rPr>
          <w:rFonts w:ascii="Verdana" w:hAnsi="Verdana"/>
          <w:sz w:val="20"/>
          <w:szCs w:val="20"/>
          <w:lang w:val="en-US"/>
        </w:rPr>
        <w:t>n Marijkedorp (Wan Shi Sha</w:t>
      </w:r>
      <w:r w:rsidR="007632DA">
        <w:rPr>
          <w:rFonts w:ascii="Verdana" w:hAnsi="Verdana"/>
          <w:sz w:val="20"/>
          <w:szCs w:val="20"/>
          <w:lang w:val="en-US"/>
        </w:rPr>
        <w:t>)</w:t>
      </w:r>
      <w:r w:rsidR="00926E61" w:rsidRPr="00FE7BA7">
        <w:rPr>
          <w:rFonts w:ascii="Verdana" w:hAnsi="Verdana"/>
          <w:sz w:val="20"/>
          <w:szCs w:val="20"/>
          <w:lang w:val="en-US"/>
        </w:rPr>
        <w:t xml:space="preserve"> </w:t>
      </w:r>
      <w:r w:rsidR="00E02462">
        <w:rPr>
          <w:rFonts w:ascii="Verdana" w:hAnsi="Verdana"/>
          <w:sz w:val="20"/>
          <w:szCs w:val="20"/>
          <w:lang w:val="en-US"/>
        </w:rPr>
        <w:t xml:space="preserve">and, during this, </w:t>
      </w:r>
      <w:r w:rsidRPr="00FE7BA7">
        <w:rPr>
          <w:rFonts w:ascii="Verdana" w:hAnsi="Verdana"/>
          <w:sz w:val="20"/>
          <w:szCs w:val="20"/>
          <w:lang w:val="en-US"/>
        </w:rPr>
        <w:t xml:space="preserve">the indigenous peoples emphatically rejected the proposal to create </w:t>
      </w:r>
      <w:r w:rsidR="00BE4D11" w:rsidRPr="00FE7BA7">
        <w:rPr>
          <w:rFonts w:ascii="Verdana" w:hAnsi="Verdana"/>
          <w:sz w:val="20"/>
          <w:szCs w:val="20"/>
          <w:lang w:val="en-US"/>
        </w:rPr>
        <w:t xml:space="preserve">the </w:t>
      </w:r>
      <w:r w:rsidR="00511E56" w:rsidRPr="00FE7BA7">
        <w:rPr>
          <w:rFonts w:ascii="Verdana" w:hAnsi="Verdana"/>
          <w:sz w:val="20"/>
          <w:szCs w:val="20"/>
          <w:lang w:val="en-US"/>
        </w:rPr>
        <w:t>Wane Kreek</w:t>
      </w:r>
      <w:r w:rsidR="00BE4D11" w:rsidRPr="00FE7BA7">
        <w:rPr>
          <w:rFonts w:ascii="Verdana" w:hAnsi="Verdana"/>
          <w:sz w:val="20"/>
          <w:szCs w:val="20"/>
          <w:lang w:val="en-US"/>
        </w:rPr>
        <w:t xml:space="preserve"> Nature Reserve.</w:t>
      </w:r>
      <w:r w:rsidR="00926E61" w:rsidRPr="00FE7BA7">
        <w:rPr>
          <w:rStyle w:val="FootnoteReference"/>
          <w:szCs w:val="20"/>
          <w:lang w:val="en-US"/>
        </w:rPr>
        <w:footnoteReference w:id="111"/>
      </w:r>
      <w:r w:rsidR="00926E61" w:rsidRPr="00FE7BA7">
        <w:rPr>
          <w:rFonts w:ascii="Verdana" w:hAnsi="Verdana"/>
          <w:sz w:val="20"/>
          <w:szCs w:val="20"/>
          <w:lang w:val="en-US"/>
        </w:rPr>
        <w:t xml:space="preserve"> </w:t>
      </w:r>
      <w:r w:rsidRPr="00FE7BA7">
        <w:rPr>
          <w:rFonts w:ascii="Verdana" w:hAnsi="Verdana"/>
          <w:sz w:val="20"/>
          <w:szCs w:val="20"/>
          <w:lang w:val="en-US"/>
        </w:rPr>
        <w:t xml:space="preserve">Consequently,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szCs w:val="20"/>
          <w:lang w:val="en-US"/>
        </w:rPr>
        <w:t xml:space="preserve">were unaware that the reserve had been established until, in 1997, they </w:t>
      </w:r>
      <w:r w:rsidR="00FE7BA7" w:rsidRPr="00FE7BA7">
        <w:rPr>
          <w:rFonts w:ascii="Verdana" w:hAnsi="Verdana"/>
          <w:sz w:val="20"/>
          <w:szCs w:val="20"/>
          <w:lang w:val="en-US"/>
        </w:rPr>
        <w:t>realized</w:t>
      </w:r>
      <w:r w:rsidRPr="00FE7BA7">
        <w:rPr>
          <w:rFonts w:ascii="Verdana" w:hAnsi="Verdana"/>
          <w:sz w:val="20"/>
          <w:szCs w:val="20"/>
          <w:lang w:val="en-US"/>
        </w:rPr>
        <w:t xml:space="preserve"> that mining </w:t>
      </w:r>
      <w:r w:rsidR="00133510">
        <w:rPr>
          <w:rFonts w:ascii="Verdana" w:hAnsi="Verdana"/>
          <w:sz w:val="20"/>
          <w:szCs w:val="20"/>
          <w:lang w:val="en-US"/>
        </w:rPr>
        <w:t>operation</w:t>
      </w:r>
      <w:r w:rsidRPr="00FE7BA7">
        <w:rPr>
          <w:rFonts w:ascii="Verdana" w:hAnsi="Verdana"/>
          <w:sz w:val="20"/>
          <w:szCs w:val="20"/>
          <w:lang w:val="en-US"/>
        </w:rPr>
        <w:t>s were underway in the area.</w:t>
      </w:r>
      <w:r w:rsidR="00926E61" w:rsidRPr="00FE7BA7">
        <w:rPr>
          <w:rStyle w:val="FootnoteReference"/>
          <w:lang w:val="en-US"/>
        </w:rPr>
        <w:footnoteReference w:id="112"/>
      </w:r>
      <w:r w:rsidRPr="00FE7BA7">
        <w:rPr>
          <w:rFonts w:ascii="Verdana" w:hAnsi="Verdana"/>
          <w:sz w:val="20"/>
          <w:lang w:val="en-US"/>
        </w:rPr>
        <w:t xml:space="preserve"> In addition, regarding the prior steps taken by </w:t>
      </w:r>
      <w:r w:rsidR="00926E61" w:rsidRPr="00FE7BA7">
        <w:rPr>
          <w:rFonts w:ascii="Verdana" w:hAnsi="Verdana"/>
          <w:sz w:val="20"/>
          <w:lang w:val="en-US"/>
        </w:rPr>
        <w:t xml:space="preserve">KANO, </w:t>
      </w:r>
      <w:r w:rsidR="00810FAD" w:rsidRPr="00FE7BA7">
        <w:rPr>
          <w:rFonts w:ascii="Verdana" w:hAnsi="Verdana"/>
          <w:sz w:val="20"/>
          <w:lang w:val="en-US"/>
        </w:rPr>
        <w:t>the representatives</w:t>
      </w:r>
      <w:r w:rsidR="00635ACD" w:rsidRPr="00FE7BA7">
        <w:rPr>
          <w:rFonts w:ascii="Verdana" w:hAnsi="Verdana"/>
          <w:sz w:val="20"/>
          <w:lang w:val="en-US"/>
        </w:rPr>
        <w:t xml:space="preserve"> of the </w:t>
      </w:r>
      <w:r w:rsidR="004C7D14" w:rsidRPr="00FE7BA7">
        <w:rPr>
          <w:rFonts w:ascii="Verdana" w:hAnsi="Verdana"/>
          <w:sz w:val="20"/>
          <w:lang w:val="en-US"/>
        </w:rPr>
        <w:t>Kaliña and Lokono peoples</w:t>
      </w:r>
      <w:r w:rsidR="008D0CA5" w:rsidRPr="00FE7BA7">
        <w:rPr>
          <w:rFonts w:ascii="Verdana" w:hAnsi="Verdana"/>
          <w:sz w:val="20"/>
          <w:lang w:val="en-US"/>
        </w:rPr>
        <w:t xml:space="preserve"> ha</w:t>
      </w:r>
      <w:r w:rsidRPr="00FE7BA7">
        <w:rPr>
          <w:rFonts w:ascii="Verdana" w:hAnsi="Verdana"/>
          <w:sz w:val="20"/>
          <w:lang w:val="en-US"/>
        </w:rPr>
        <w:t>ve indicated that, at no time, did KANO either consult or represent them.</w:t>
      </w:r>
      <w:r w:rsidR="00926E61" w:rsidRPr="00FE7BA7">
        <w:rPr>
          <w:rStyle w:val="FootnoteReference"/>
          <w:lang w:val="en-US"/>
        </w:rPr>
        <w:footnoteReference w:id="113"/>
      </w:r>
    </w:p>
    <w:p w14:paraId="631268F4" w14:textId="77777777" w:rsidR="00926E61" w:rsidRPr="00221CE8" w:rsidRDefault="00926E61" w:rsidP="00145D1D">
      <w:pPr>
        <w:pStyle w:val="FootnoteText"/>
        <w:rPr>
          <w:lang w:val="en-US"/>
        </w:rPr>
      </w:pPr>
    </w:p>
    <w:p w14:paraId="631268F5" w14:textId="240ABB9B" w:rsidR="00926E61" w:rsidRPr="00FE7BA7" w:rsidRDefault="00926E61" w:rsidP="007624EC">
      <w:pPr>
        <w:pStyle w:val="Heading4"/>
        <w:spacing w:before="0"/>
        <w:ind w:left="720" w:firstLine="720"/>
        <w:rPr>
          <w:rFonts w:ascii="Verdana" w:hAnsi="Verdana"/>
          <w:color w:val="auto"/>
          <w:sz w:val="20"/>
          <w:szCs w:val="20"/>
          <w:lang w:val="en-US"/>
        </w:rPr>
      </w:pPr>
      <w:bookmarkStart w:id="23" w:name="_Toc441673196"/>
      <w:r w:rsidRPr="00FE7BA7">
        <w:rPr>
          <w:rFonts w:ascii="Verdana" w:hAnsi="Verdana"/>
          <w:color w:val="auto"/>
          <w:sz w:val="20"/>
          <w:szCs w:val="20"/>
          <w:lang w:val="en-US"/>
        </w:rPr>
        <w:t xml:space="preserve">E.2.2 </w:t>
      </w:r>
      <w:r w:rsidR="00133510">
        <w:rPr>
          <w:rFonts w:ascii="Verdana" w:hAnsi="Verdana"/>
          <w:color w:val="auto"/>
          <w:sz w:val="20"/>
          <w:szCs w:val="20"/>
          <w:lang w:val="en-US"/>
        </w:rPr>
        <w:t xml:space="preserve">Bauxite mining </w:t>
      </w:r>
      <w:r w:rsidR="007632DA">
        <w:rPr>
          <w:rFonts w:ascii="Verdana" w:hAnsi="Verdana"/>
          <w:color w:val="auto"/>
          <w:sz w:val="20"/>
          <w:szCs w:val="20"/>
          <w:lang w:val="en-US"/>
        </w:rPr>
        <w:t>activities</w:t>
      </w:r>
      <w:r w:rsidR="00995539" w:rsidRPr="00FE7BA7">
        <w:rPr>
          <w:rStyle w:val="FootnoteReference"/>
          <w:color w:val="auto"/>
          <w:szCs w:val="20"/>
          <w:lang w:val="en-US"/>
        </w:rPr>
        <w:footnoteReference w:id="114"/>
      </w:r>
      <w:bookmarkEnd w:id="23"/>
    </w:p>
    <w:p w14:paraId="631268F6" w14:textId="77777777" w:rsidR="00926E61" w:rsidRPr="00FE7BA7" w:rsidRDefault="00926E61" w:rsidP="00145D1D">
      <w:pPr>
        <w:pStyle w:val="FootnoteText"/>
      </w:pPr>
    </w:p>
    <w:p w14:paraId="631268F7" w14:textId="77777777" w:rsidR="00926E61" w:rsidRPr="00145D1D" w:rsidRDefault="002B5CCD" w:rsidP="00CF360B">
      <w:pPr>
        <w:pStyle w:val="ListParagraph"/>
        <w:numPr>
          <w:ilvl w:val="0"/>
          <w:numId w:val="2"/>
        </w:numPr>
        <w:ind w:left="0" w:hanging="11"/>
        <w:jc w:val="both"/>
        <w:rPr>
          <w:rFonts w:ascii="Verdana" w:hAnsi="Verdana"/>
          <w:sz w:val="20"/>
          <w:szCs w:val="20"/>
          <w:lang w:val="en-US"/>
        </w:rPr>
      </w:pPr>
      <w:r w:rsidRPr="00FE7BA7">
        <w:rPr>
          <w:rFonts w:ascii="Verdana" w:hAnsi="Verdana"/>
          <w:sz w:val="20"/>
          <w:lang w:val="en-US"/>
        </w:rPr>
        <w:t>On January 28,</w:t>
      </w:r>
      <w:r w:rsidR="00CD3C46" w:rsidRPr="00FE7BA7">
        <w:rPr>
          <w:rFonts w:ascii="Verdana" w:hAnsi="Verdana"/>
          <w:sz w:val="20"/>
          <w:szCs w:val="20"/>
          <w:lang w:val="en-US"/>
        </w:rPr>
        <w:t xml:space="preserve"> 1958, </w:t>
      </w:r>
      <w:r w:rsidR="00E02462">
        <w:rPr>
          <w:rFonts w:ascii="Verdana" w:hAnsi="Verdana"/>
          <w:sz w:val="20"/>
          <w:szCs w:val="20"/>
          <w:lang w:val="en-US"/>
        </w:rPr>
        <w:t>before</w:t>
      </w:r>
      <w:r w:rsidR="00B4131F" w:rsidRPr="00FE7BA7">
        <w:rPr>
          <w:rFonts w:ascii="Verdana" w:hAnsi="Verdana"/>
          <w:sz w:val="20"/>
          <w:szCs w:val="20"/>
          <w:lang w:val="en-US"/>
        </w:rPr>
        <w:t xml:space="preserve"> Suriname’s independence</w:t>
      </w:r>
      <w:r w:rsidR="002F0F93" w:rsidRPr="00FE7BA7">
        <w:rPr>
          <w:rFonts w:ascii="Verdana" w:hAnsi="Verdana"/>
          <w:sz w:val="20"/>
          <w:szCs w:val="20"/>
          <w:lang w:val="en-US"/>
        </w:rPr>
        <w:t xml:space="preserve"> </w:t>
      </w:r>
      <w:r w:rsidR="00B4131F" w:rsidRPr="00FE7BA7">
        <w:rPr>
          <w:rFonts w:ascii="Verdana" w:hAnsi="Verdana"/>
          <w:sz w:val="20"/>
          <w:szCs w:val="20"/>
          <w:lang w:val="en-US"/>
        </w:rPr>
        <w:t xml:space="preserve">from the Netherlands, the State granted a concession to a mining company called </w:t>
      </w:r>
      <w:r w:rsidR="00CD3C46" w:rsidRPr="00FE7BA7">
        <w:rPr>
          <w:rFonts w:ascii="Verdana" w:hAnsi="Verdana"/>
          <w:sz w:val="20"/>
          <w:szCs w:val="20"/>
          <w:lang w:val="en-US"/>
        </w:rPr>
        <w:t>“Suralco</w:t>
      </w:r>
      <w:r w:rsidR="00B4131F" w:rsidRPr="00FE7BA7">
        <w:rPr>
          <w:rFonts w:ascii="Verdana" w:hAnsi="Verdana"/>
          <w:sz w:val="20"/>
          <w:szCs w:val="20"/>
          <w:lang w:val="en-US"/>
        </w:rPr>
        <w:t>,”</w:t>
      </w:r>
      <w:r w:rsidR="00CD3C46" w:rsidRPr="00FE7BA7">
        <w:rPr>
          <w:rFonts w:ascii="Verdana" w:hAnsi="Verdana"/>
          <w:sz w:val="20"/>
          <w:szCs w:val="20"/>
          <w:lang w:val="en-US"/>
        </w:rPr>
        <w:t xml:space="preserve"> </w:t>
      </w:r>
      <w:r w:rsidR="00BE4D11" w:rsidRPr="00FE7BA7">
        <w:rPr>
          <w:rFonts w:ascii="Verdana" w:hAnsi="Verdana"/>
          <w:sz w:val="20"/>
          <w:szCs w:val="20"/>
          <w:lang w:val="en-US"/>
        </w:rPr>
        <w:t xml:space="preserve">a subsidiary of </w:t>
      </w:r>
      <w:r w:rsidR="00B4131F" w:rsidRPr="00FE7BA7">
        <w:rPr>
          <w:rFonts w:ascii="Verdana" w:hAnsi="Verdana"/>
          <w:sz w:val="20"/>
          <w:szCs w:val="20"/>
          <w:lang w:val="en-US"/>
        </w:rPr>
        <w:t xml:space="preserve">the </w:t>
      </w:r>
      <w:r w:rsidR="008A4ABB" w:rsidRPr="00FE7BA7">
        <w:rPr>
          <w:rFonts w:ascii="Verdana" w:hAnsi="Verdana"/>
          <w:sz w:val="20"/>
          <w:szCs w:val="20"/>
          <w:lang w:val="en-US"/>
        </w:rPr>
        <w:t>Aluminum Company of Am</w:t>
      </w:r>
      <w:r w:rsidR="00B926CC" w:rsidRPr="00FE7BA7">
        <w:rPr>
          <w:rFonts w:ascii="Verdana" w:hAnsi="Verdana"/>
          <w:sz w:val="20"/>
          <w:szCs w:val="20"/>
          <w:lang w:val="en-US"/>
        </w:rPr>
        <w:t>e</w:t>
      </w:r>
      <w:r w:rsidR="008A4ABB" w:rsidRPr="00FE7BA7">
        <w:rPr>
          <w:rFonts w:ascii="Verdana" w:hAnsi="Verdana"/>
          <w:sz w:val="20"/>
          <w:szCs w:val="20"/>
          <w:lang w:val="en-US"/>
        </w:rPr>
        <w:t>rica</w:t>
      </w:r>
      <w:r w:rsidR="00CD3C46" w:rsidRPr="00FE7BA7">
        <w:rPr>
          <w:rFonts w:ascii="Verdana" w:hAnsi="Verdana"/>
          <w:sz w:val="20"/>
          <w:szCs w:val="20"/>
          <w:lang w:val="en-US"/>
        </w:rPr>
        <w:t xml:space="preserve"> (ALCOA), </w:t>
      </w:r>
      <w:r w:rsidR="00B4131F" w:rsidRPr="00FE7BA7">
        <w:rPr>
          <w:rFonts w:ascii="Verdana" w:hAnsi="Verdana"/>
          <w:sz w:val="20"/>
          <w:szCs w:val="20"/>
          <w:lang w:val="en-US"/>
        </w:rPr>
        <w:t xml:space="preserve">to extract bauxite in the </w:t>
      </w:r>
      <w:r w:rsidR="00FE7BA7" w:rsidRPr="00FE7BA7">
        <w:rPr>
          <w:rFonts w:ascii="Verdana" w:hAnsi="Verdana"/>
          <w:sz w:val="20"/>
          <w:szCs w:val="20"/>
          <w:lang w:val="en-US"/>
        </w:rPr>
        <w:t>eastern</w:t>
      </w:r>
      <w:r w:rsidR="00B4131F" w:rsidRPr="00FE7BA7">
        <w:rPr>
          <w:rFonts w:ascii="Verdana" w:hAnsi="Verdana"/>
          <w:sz w:val="20"/>
          <w:szCs w:val="20"/>
          <w:lang w:val="en-US"/>
        </w:rPr>
        <w:t xml:space="preserve"> </w:t>
      </w:r>
      <w:r w:rsidR="00E02462">
        <w:rPr>
          <w:rFonts w:ascii="Verdana" w:hAnsi="Verdana"/>
          <w:sz w:val="20"/>
          <w:szCs w:val="20"/>
          <w:lang w:val="en-US"/>
        </w:rPr>
        <w:t>part</w:t>
      </w:r>
      <w:r w:rsidR="00B4131F" w:rsidRPr="00FE7BA7">
        <w:rPr>
          <w:rFonts w:ascii="Verdana" w:hAnsi="Verdana"/>
          <w:sz w:val="20"/>
          <w:szCs w:val="20"/>
          <w:lang w:val="en-US"/>
        </w:rPr>
        <w:t xml:space="preserve"> of Suriname, which included the territory of </w:t>
      </w:r>
      <w:r w:rsidR="00CD3C46" w:rsidRPr="00FE7BA7">
        <w:rPr>
          <w:rFonts w:ascii="Verdana" w:hAnsi="Verdana"/>
          <w:sz w:val="20"/>
          <w:szCs w:val="20"/>
          <w:lang w:val="en-US"/>
        </w:rPr>
        <w:t>Wane Kreek</w:t>
      </w:r>
      <w:r w:rsidR="00B4131F" w:rsidRPr="00FE7BA7">
        <w:rPr>
          <w:rFonts w:ascii="Verdana" w:hAnsi="Verdana"/>
          <w:sz w:val="20"/>
          <w:szCs w:val="20"/>
          <w:lang w:val="en-US"/>
        </w:rPr>
        <w:t>.</w:t>
      </w:r>
      <w:r w:rsidR="00CD3C46" w:rsidRPr="00FE7BA7">
        <w:rPr>
          <w:rStyle w:val="FootnoteReference"/>
          <w:szCs w:val="20"/>
          <w:lang w:val="en-US"/>
        </w:rPr>
        <w:footnoteReference w:id="115"/>
      </w:r>
      <w:r w:rsidR="00502AD5">
        <w:rPr>
          <w:rFonts w:ascii="Verdana" w:hAnsi="Verdana"/>
          <w:sz w:val="20"/>
          <w:szCs w:val="20"/>
          <w:lang w:val="en-US"/>
        </w:rPr>
        <w:t xml:space="preserve"> The concession</w:t>
      </w:r>
      <w:r w:rsidR="00B4131F" w:rsidRPr="00FE7BA7">
        <w:rPr>
          <w:rFonts w:ascii="Verdana" w:hAnsi="Verdana"/>
          <w:sz w:val="20"/>
          <w:szCs w:val="20"/>
          <w:lang w:val="en-US"/>
        </w:rPr>
        <w:t xml:space="preserve"> was granted for 75 years</w:t>
      </w:r>
      <w:r w:rsidR="00CD3C46" w:rsidRPr="00FE7BA7">
        <w:rPr>
          <w:rFonts w:ascii="Verdana" w:hAnsi="Verdana"/>
          <w:sz w:val="20"/>
          <w:lang w:val="en-US"/>
        </w:rPr>
        <w:t xml:space="preserve">, </w:t>
      </w:r>
      <w:r w:rsidR="003E4C07" w:rsidRPr="00FE7BA7">
        <w:rPr>
          <w:rFonts w:ascii="Verdana" w:hAnsi="Verdana"/>
          <w:sz w:val="20"/>
          <w:lang w:val="en-US"/>
        </w:rPr>
        <w:t xml:space="preserve">and will therefore expire in </w:t>
      </w:r>
      <w:r w:rsidR="00CD3C46" w:rsidRPr="00FE7BA7">
        <w:rPr>
          <w:rFonts w:ascii="Verdana" w:hAnsi="Verdana"/>
          <w:sz w:val="20"/>
          <w:lang w:val="en-US"/>
        </w:rPr>
        <w:t>2033</w:t>
      </w:r>
      <w:r w:rsidR="00BE4D11" w:rsidRPr="00FE7BA7">
        <w:rPr>
          <w:rFonts w:ascii="Verdana" w:hAnsi="Verdana"/>
          <w:sz w:val="20"/>
          <w:lang w:val="en-US"/>
        </w:rPr>
        <w:t>.</w:t>
      </w:r>
      <w:r w:rsidR="00CD3C46" w:rsidRPr="00FE7BA7">
        <w:rPr>
          <w:rStyle w:val="FootnoteReference"/>
          <w:lang w:val="en-US"/>
        </w:rPr>
        <w:footnoteReference w:id="116"/>
      </w:r>
      <w:r w:rsidR="00CD3C46" w:rsidRPr="00FE7BA7">
        <w:rPr>
          <w:rFonts w:ascii="Verdana" w:hAnsi="Verdana"/>
          <w:sz w:val="20"/>
          <w:szCs w:val="20"/>
          <w:lang w:val="en-US"/>
        </w:rPr>
        <w:t xml:space="preserve"> </w:t>
      </w:r>
      <w:r w:rsidR="00BE4D11" w:rsidRPr="00FE7BA7">
        <w:rPr>
          <w:rFonts w:ascii="Verdana" w:hAnsi="Verdana"/>
          <w:sz w:val="20"/>
          <w:lang w:val="en-US"/>
        </w:rPr>
        <w:t>I</w:t>
      </w:r>
      <w:r w:rsidR="00CD3C46" w:rsidRPr="00FE7BA7">
        <w:rPr>
          <w:rFonts w:ascii="Verdana" w:hAnsi="Verdana"/>
          <w:sz w:val="20"/>
          <w:lang w:val="en-US"/>
        </w:rPr>
        <w:t>n</w:t>
      </w:r>
      <w:r w:rsidR="00CD3C46" w:rsidRPr="00FE7BA7">
        <w:rPr>
          <w:rFonts w:ascii="Verdana" w:hAnsi="Verdana"/>
          <w:b/>
          <w:sz w:val="20"/>
          <w:lang w:val="en-US"/>
        </w:rPr>
        <w:t xml:space="preserve"> </w:t>
      </w:r>
      <w:r w:rsidR="00CD3C46" w:rsidRPr="00145D1D">
        <w:rPr>
          <w:rFonts w:ascii="Verdana" w:hAnsi="Verdana"/>
          <w:sz w:val="20"/>
          <w:szCs w:val="20"/>
          <w:lang w:val="en-US"/>
        </w:rPr>
        <w:t>1997</w:t>
      </w:r>
      <w:r w:rsidR="003E4C07" w:rsidRPr="00145D1D">
        <w:rPr>
          <w:rFonts w:ascii="Verdana" w:hAnsi="Verdana"/>
          <w:sz w:val="20"/>
          <w:szCs w:val="20"/>
          <w:lang w:val="en-US"/>
        </w:rPr>
        <w:t xml:space="preserve">, Suralco began extraction </w:t>
      </w:r>
      <w:r w:rsidR="00502AD5">
        <w:rPr>
          <w:rFonts w:ascii="Verdana" w:hAnsi="Verdana"/>
          <w:sz w:val="20"/>
          <w:szCs w:val="20"/>
          <w:lang w:val="en-US"/>
        </w:rPr>
        <w:t>operations</w:t>
      </w:r>
      <w:r w:rsidR="003E4C07" w:rsidRPr="00145D1D">
        <w:rPr>
          <w:rFonts w:ascii="Verdana" w:hAnsi="Verdana"/>
          <w:sz w:val="20"/>
          <w:szCs w:val="20"/>
          <w:lang w:val="en-US"/>
        </w:rPr>
        <w:t xml:space="preserve"> from bauxite deposits in </w:t>
      </w:r>
      <w:r w:rsidR="00CD3C46" w:rsidRPr="00145D1D">
        <w:rPr>
          <w:rFonts w:ascii="Verdana" w:hAnsi="Verdana"/>
          <w:sz w:val="20"/>
          <w:szCs w:val="20"/>
          <w:lang w:val="en-US"/>
        </w:rPr>
        <w:t>Wane Hills</w:t>
      </w:r>
      <w:r w:rsidR="00BE4D11" w:rsidRPr="00145D1D">
        <w:rPr>
          <w:rFonts w:ascii="Verdana" w:hAnsi="Verdana"/>
          <w:sz w:val="20"/>
          <w:szCs w:val="20"/>
          <w:lang w:val="en-US"/>
        </w:rPr>
        <w:t>.</w:t>
      </w:r>
      <w:r w:rsidR="00CD3C46" w:rsidRPr="00145D1D">
        <w:rPr>
          <w:rStyle w:val="FootnoteReference"/>
          <w:szCs w:val="20"/>
          <w:lang w:val="en-US"/>
        </w:rPr>
        <w:footnoteReference w:id="117"/>
      </w:r>
      <w:r w:rsidR="00BE4D11" w:rsidRPr="00145D1D">
        <w:rPr>
          <w:rFonts w:ascii="Verdana" w:hAnsi="Verdana"/>
          <w:sz w:val="20"/>
          <w:szCs w:val="20"/>
          <w:lang w:val="en-US"/>
        </w:rPr>
        <w:t xml:space="preserve"> In 2003, the</w:t>
      </w:r>
      <w:r w:rsidR="00CD3C46" w:rsidRPr="00145D1D">
        <w:rPr>
          <w:rFonts w:ascii="Verdana" w:hAnsi="Verdana"/>
          <w:sz w:val="20"/>
          <w:szCs w:val="20"/>
          <w:lang w:val="en-US"/>
        </w:rPr>
        <w:t xml:space="preserve"> joint-venture </w:t>
      </w:r>
      <w:r w:rsidR="00BE4D11" w:rsidRPr="00145D1D">
        <w:rPr>
          <w:rFonts w:ascii="Verdana" w:hAnsi="Verdana"/>
          <w:sz w:val="20"/>
          <w:szCs w:val="20"/>
          <w:lang w:val="en-US"/>
        </w:rPr>
        <w:t>known as</w:t>
      </w:r>
      <w:r w:rsidR="00CD3C46" w:rsidRPr="00145D1D">
        <w:rPr>
          <w:rFonts w:ascii="Verdana" w:hAnsi="Verdana"/>
          <w:sz w:val="20"/>
          <w:szCs w:val="20"/>
          <w:lang w:val="en-US"/>
        </w:rPr>
        <w:t xml:space="preserve"> BHP Billiton-Suralco </w:t>
      </w:r>
      <w:r w:rsidR="00BE4D11" w:rsidRPr="00145D1D">
        <w:rPr>
          <w:rFonts w:ascii="Verdana" w:hAnsi="Verdana"/>
          <w:sz w:val="20"/>
          <w:szCs w:val="20"/>
          <w:lang w:val="en-US"/>
        </w:rPr>
        <w:t xml:space="preserve">took over mining exploitation in </w:t>
      </w:r>
      <w:r w:rsidR="00CD3C46" w:rsidRPr="00145D1D">
        <w:rPr>
          <w:rFonts w:ascii="Verdana" w:hAnsi="Verdana"/>
          <w:sz w:val="20"/>
          <w:szCs w:val="20"/>
          <w:lang w:val="en-US"/>
        </w:rPr>
        <w:t>Wane Kreek</w:t>
      </w:r>
      <w:r w:rsidR="003E4C07" w:rsidRPr="00145D1D">
        <w:rPr>
          <w:rFonts w:ascii="Verdana" w:hAnsi="Verdana"/>
          <w:sz w:val="20"/>
          <w:szCs w:val="20"/>
          <w:lang w:val="en-US"/>
        </w:rPr>
        <w:t>.</w:t>
      </w:r>
      <w:r w:rsidR="00CD3C46" w:rsidRPr="00145D1D">
        <w:rPr>
          <w:rStyle w:val="FootnoteReference"/>
          <w:szCs w:val="20"/>
          <w:lang w:val="en-US"/>
        </w:rPr>
        <w:footnoteReference w:id="118"/>
      </w:r>
      <w:r w:rsidR="00926E61" w:rsidRPr="00145D1D">
        <w:rPr>
          <w:rFonts w:ascii="Verdana" w:hAnsi="Verdana"/>
          <w:sz w:val="20"/>
          <w:szCs w:val="20"/>
          <w:lang w:val="en-US"/>
        </w:rPr>
        <w:t xml:space="preserve"> </w:t>
      </w:r>
    </w:p>
    <w:p w14:paraId="631268F8" w14:textId="77777777" w:rsidR="00CC091B" w:rsidRPr="00145D1D" w:rsidRDefault="00CC091B" w:rsidP="00CC091B">
      <w:pPr>
        <w:pStyle w:val="ListParagraph"/>
        <w:ind w:left="0"/>
        <w:jc w:val="both"/>
        <w:rPr>
          <w:rFonts w:ascii="Verdana" w:hAnsi="Verdana"/>
          <w:sz w:val="20"/>
          <w:szCs w:val="20"/>
          <w:lang w:val="en-US"/>
        </w:rPr>
      </w:pPr>
    </w:p>
    <w:p w14:paraId="631268F9" w14:textId="77777777" w:rsidR="00926E61" w:rsidRPr="00145D1D" w:rsidRDefault="009D7E74" w:rsidP="009D7E74">
      <w:pPr>
        <w:pStyle w:val="ListParagraph"/>
        <w:numPr>
          <w:ilvl w:val="0"/>
          <w:numId w:val="2"/>
        </w:numPr>
        <w:ind w:left="0" w:hanging="11"/>
        <w:jc w:val="both"/>
        <w:rPr>
          <w:rFonts w:ascii="Verdana" w:hAnsi="Verdana"/>
          <w:sz w:val="20"/>
          <w:szCs w:val="20"/>
          <w:lang w:val="en-US"/>
        </w:rPr>
      </w:pPr>
      <w:r w:rsidRPr="00145D1D">
        <w:rPr>
          <w:rFonts w:ascii="Verdana" w:hAnsi="Verdana"/>
          <w:sz w:val="20"/>
          <w:szCs w:val="20"/>
          <w:lang w:val="en-US"/>
        </w:rPr>
        <w:t>Among the preparatory activities carried out in the mid-1990s, a highway was built to access the mine and transport the bauxite. The highway was also used for logging activities</w:t>
      </w:r>
      <w:r w:rsidR="00926E61" w:rsidRPr="00145D1D">
        <w:rPr>
          <w:rFonts w:ascii="Verdana" w:hAnsi="Verdana"/>
          <w:sz w:val="20"/>
          <w:szCs w:val="20"/>
          <w:lang w:val="en-US"/>
        </w:rPr>
        <w:t xml:space="preserve"> </w:t>
      </w:r>
      <w:r w:rsidR="00926E61" w:rsidRPr="00145D1D">
        <w:rPr>
          <w:rFonts w:ascii="Verdana" w:hAnsi="Verdana"/>
          <w:sz w:val="20"/>
          <w:szCs w:val="20"/>
          <w:lang w:val="en-US"/>
        </w:rPr>
        <w:lastRenderedPageBreak/>
        <w:t>(</w:t>
      </w:r>
      <w:r w:rsidR="007829DF" w:rsidRPr="00145D1D">
        <w:rPr>
          <w:rFonts w:ascii="Verdana" w:hAnsi="Verdana"/>
          <w:i/>
          <w:sz w:val="20"/>
          <w:szCs w:val="20"/>
          <w:lang w:val="en-US"/>
        </w:rPr>
        <w:t>infra</w:t>
      </w:r>
      <w:r w:rsidR="00926E61" w:rsidRPr="00145D1D">
        <w:rPr>
          <w:rFonts w:ascii="Verdana" w:hAnsi="Verdana"/>
          <w:sz w:val="20"/>
          <w:szCs w:val="20"/>
          <w:lang w:val="en-US"/>
        </w:rPr>
        <w:t xml:space="preserve"> </w:t>
      </w:r>
      <w:r w:rsidR="00810FAD" w:rsidRPr="00145D1D">
        <w:rPr>
          <w:rFonts w:ascii="Verdana" w:hAnsi="Verdana"/>
          <w:sz w:val="20"/>
          <w:szCs w:val="20"/>
          <w:lang w:val="en-US"/>
        </w:rPr>
        <w:t>para.</w:t>
      </w:r>
      <w:r w:rsidR="00926E61" w:rsidRPr="00145D1D">
        <w:rPr>
          <w:rFonts w:ascii="Verdana" w:hAnsi="Verdana"/>
          <w:sz w:val="20"/>
          <w:szCs w:val="20"/>
          <w:lang w:val="en-US"/>
        </w:rPr>
        <w:t xml:space="preserve"> </w:t>
      </w:r>
      <w:r w:rsidR="00EE4500" w:rsidRPr="00145D1D">
        <w:rPr>
          <w:rFonts w:ascii="Verdana" w:hAnsi="Verdana"/>
          <w:sz w:val="20"/>
          <w:szCs w:val="20"/>
          <w:lang w:val="en-US"/>
        </w:rPr>
        <w:t>94</w:t>
      </w:r>
      <w:r w:rsidR="00926E61" w:rsidRPr="00145D1D">
        <w:rPr>
          <w:rFonts w:ascii="Verdana" w:hAnsi="Verdana"/>
          <w:sz w:val="20"/>
          <w:szCs w:val="20"/>
          <w:lang w:val="en-US"/>
        </w:rPr>
        <w:t>),</w:t>
      </w:r>
      <w:r w:rsidR="002B5CCD" w:rsidRPr="00145D1D">
        <w:rPr>
          <w:rFonts w:ascii="Verdana" w:hAnsi="Verdana"/>
          <w:sz w:val="20"/>
          <w:szCs w:val="20"/>
          <w:lang w:val="en-US"/>
        </w:rPr>
        <w:t xml:space="preserve"> and </w:t>
      </w:r>
      <w:r w:rsidRPr="00145D1D">
        <w:rPr>
          <w:rFonts w:ascii="Verdana" w:hAnsi="Verdana"/>
          <w:sz w:val="20"/>
          <w:szCs w:val="20"/>
          <w:lang w:val="en-US"/>
        </w:rPr>
        <w:t>the indigenous people in the region were forbidden to use it to enter the area of the concession to hunt and fish.</w:t>
      </w:r>
      <w:r w:rsidR="00926E61" w:rsidRPr="00145D1D">
        <w:rPr>
          <w:rStyle w:val="FootnoteReference"/>
          <w:szCs w:val="20"/>
          <w:lang w:val="en-US"/>
        </w:rPr>
        <w:footnoteReference w:id="119"/>
      </w:r>
    </w:p>
    <w:p w14:paraId="631268FA" w14:textId="77777777" w:rsidR="00926E61" w:rsidRPr="00221CE8" w:rsidRDefault="00926E61" w:rsidP="00145D1D">
      <w:pPr>
        <w:pStyle w:val="FootnoteText"/>
        <w:rPr>
          <w:lang w:val="en-US"/>
        </w:rPr>
      </w:pPr>
    </w:p>
    <w:p w14:paraId="631268FB" w14:textId="4ACBF729" w:rsidR="00926E61" w:rsidRPr="00145D1D" w:rsidRDefault="00EE4500" w:rsidP="00B935FA">
      <w:pPr>
        <w:pStyle w:val="ListParagraph"/>
        <w:numPr>
          <w:ilvl w:val="0"/>
          <w:numId w:val="2"/>
        </w:numPr>
        <w:ind w:left="0" w:hanging="11"/>
        <w:jc w:val="both"/>
        <w:rPr>
          <w:rFonts w:ascii="Verdana" w:hAnsi="Verdana"/>
          <w:sz w:val="20"/>
          <w:szCs w:val="20"/>
          <w:lang w:val="en-US"/>
        </w:rPr>
      </w:pPr>
      <w:r w:rsidRPr="00145D1D">
        <w:rPr>
          <w:rFonts w:ascii="Verdana" w:hAnsi="Verdana"/>
          <w:sz w:val="20"/>
          <w:szCs w:val="20"/>
          <w:lang w:val="en-US"/>
        </w:rPr>
        <w:t>T</w:t>
      </w:r>
      <w:r w:rsidR="009D7E74" w:rsidRPr="00145D1D">
        <w:rPr>
          <w:rFonts w:ascii="Verdana" w:hAnsi="Verdana"/>
          <w:sz w:val="20"/>
          <w:szCs w:val="20"/>
          <w:lang w:val="en-US"/>
        </w:rPr>
        <w:t>ypically, bauxite is foun</w:t>
      </w:r>
      <w:r w:rsidR="00145D1D">
        <w:rPr>
          <w:rFonts w:ascii="Verdana" w:hAnsi="Verdana"/>
          <w:sz w:val="20"/>
          <w:szCs w:val="20"/>
          <w:lang w:val="en-US"/>
        </w:rPr>
        <w:t xml:space="preserve">d near the surface, so that </w:t>
      </w:r>
      <w:r w:rsidR="009D7E74" w:rsidRPr="00145D1D">
        <w:rPr>
          <w:rFonts w:ascii="Verdana" w:hAnsi="Verdana"/>
          <w:sz w:val="20"/>
          <w:szCs w:val="20"/>
          <w:lang w:val="en-US"/>
        </w:rPr>
        <w:t xml:space="preserve">extraction </w:t>
      </w:r>
      <w:r w:rsidR="00145D1D">
        <w:rPr>
          <w:rFonts w:ascii="Verdana" w:hAnsi="Verdana"/>
          <w:sz w:val="20"/>
          <w:szCs w:val="20"/>
          <w:lang w:val="en-US"/>
        </w:rPr>
        <w:t>requires strip-</w:t>
      </w:r>
      <w:r w:rsidR="009D7E74" w:rsidRPr="00145D1D">
        <w:rPr>
          <w:rFonts w:ascii="Verdana" w:hAnsi="Verdana"/>
          <w:sz w:val="20"/>
          <w:szCs w:val="20"/>
          <w:lang w:val="en-US"/>
        </w:rPr>
        <w:t>mining over large tracts of land.</w:t>
      </w:r>
      <w:r w:rsidRPr="00145D1D">
        <w:rPr>
          <w:rStyle w:val="FootnoteReference"/>
          <w:szCs w:val="20"/>
          <w:lang w:val="en-US"/>
        </w:rPr>
        <w:footnoteReference w:id="120"/>
      </w:r>
      <w:r w:rsidR="009D7E74" w:rsidRPr="00145D1D">
        <w:rPr>
          <w:rFonts w:ascii="Verdana" w:hAnsi="Verdana"/>
          <w:sz w:val="20"/>
          <w:szCs w:val="20"/>
          <w:lang w:val="en-US"/>
        </w:rPr>
        <w:t xml:space="preserve"> The mining exploitation project was divided into several sections, four of which were located within </w:t>
      </w:r>
      <w:r w:rsidR="00511E56" w:rsidRPr="00145D1D">
        <w:rPr>
          <w:rFonts w:ascii="Verdana" w:hAnsi="Verdana"/>
          <w:sz w:val="20"/>
          <w:szCs w:val="20"/>
          <w:lang w:val="en-US"/>
        </w:rPr>
        <w:t>the Wane Kreek</w:t>
      </w:r>
      <w:r w:rsidR="00BE4D11" w:rsidRPr="00145D1D">
        <w:rPr>
          <w:rFonts w:ascii="Verdana" w:hAnsi="Verdana"/>
          <w:sz w:val="20"/>
          <w:szCs w:val="20"/>
          <w:lang w:val="en-US"/>
        </w:rPr>
        <w:t xml:space="preserve"> Nature Reserve</w:t>
      </w:r>
      <w:r w:rsidR="00926E61" w:rsidRPr="00145D1D">
        <w:rPr>
          <w:rFonts w:ascii="Verdana" w:hAnsi="Verdana"/>
          <w:sz w:val="20"/>
          <w:szCs w:val="20"/>
          <w:lang w:val="en-US"/>
        </w:rPr>
        <w:t xml:space="preserve">. </w:t>
      </w:r>
      <w:r w:rsidR="009D7E74" w:rsidRPr="00145D1D">
        <w:rPr>
          <w:rFonts w:ascii="Verdana" w:hAnsi="Verdana"/>
          <w:sz w:val="20"/>
          <w:szCs w:val="20"/>
          <w:lang w:val="en-US"/>
        </w:rPr>
        <w:t xml:space="preserve">Bauxite extraction was carried out in the </w:t>
      </w:r>
      <w:r w:rsidR="00926E61" w:rsidRPr="00145D1D">
        <w:rPr>
          <w:rFonts w:ascii="Verdana" w:hAnsi="Verdana"/>
          <w:sz w:val="20"/>
          <w:szCs w:val="20"/>
          <w:lang w:val="en-US"/>
        </w:rPr>
        <w:t>Wane 1</w:t>
      </w:r>
      <w:r w:rsidR="002B5CCD" w:rsidRPr="00145D1D">
        <w:rPr>
          <w:rFonts w:ascii="Verdana" w:hAnsi="Verdana"/>
          <w:sz w:val="20"/>
          <w:szCs w:val="20"/>
          <w:lang w:val="en-US"/>
        </w:rPr>
        <w:t xml:space="preserve"> and </w:t>
      </w:r>
      <w:r w:rsidR="00926E61" w:rsidRPr="00145D1D">
        <w:rPr>
          <w:rFonts w:ascii="Verdana" w:hAnsi="Verdana"/>
          <w:sz w:val="20"/>
          <w:szCs w:val="20"/>
          <w:lang w:val="en-US"/>
        </w:rPr>
        <w:t>Wane 2</w:t>
      </w:r>
      <w:r w:rsidR="009D7E74" w:rsidRPr="00145D1D">
        <w:rPr>
          <w:rFonts w:ascii="Verdana" w:hAnsi="Verdana"/>
          <w:sz w:val="20"/>
          <w:szCs w:val="20"/>
          <w:lang w:val="en-US"/>
        </w:rPr>
        <w:t xml:space="preserve"> sections over an area of from </w:t>
      </w:r>
      <w:r w:rsidR="00926E61" w:rsidRPr="00145D1D">
        <w:rPr>
          <w:rFonts w:ascii="Verdana" w:hAnsi="Verdana"/>
          <w:sz w:val="20"/>
          <w:szCs w:val="20"/>
          <w:lang w:val="en-US"/>
        </w:rPr>
        <w:t>100</w:t>
      </w:r>
      <w:r w:rsidR="009D7E74" w:rsidRPr="00145D1D">
        <w:rPr>
          <w:rFonts w:ascii="Verdana" w:hAnsi="Verdana"/>
          <w:sz w:val="20"/>
          <w:szCs w:val="20"/>
          <w:lang w:val="en-US"/>
        </w:rPr>
        <w:t xml:space="preserve"> to</w:t>
      </w:r>
      <w:r w:rsidR="002B5CCD" w:rsidRPr="00145D1D">
        <w:rPr>
          <w:rFonts w:ascii="Verdana" w:hAnsi="Verdana"/>
          <w:sz w:val="20"/>
          <w:szCs w:val="20"/>
          <w:lang w:val="en-US"/>
        </w:rPr>
        <w:t xml:space="preserve"> </w:t>
      </w:r>
      <w:r w:rsidR="00F16345" w:rsidRPr="00145D1D">
        <w:rPr>
          <w:rFonts w:ascii="Verdana" w:hAnsi="Verdana"/>
          <w:sz w:val="20"/>
          <w:szCs w:val="20"/>
          <w:lang w:val="en-US"/>
        </w:rPr>
        <w:t xml:space="preserve">144 </w:t>
      </w:r>
      <w:r w:rsidR="00B07A66" w:rsidRPr="00145D1D">
        <w:rPr>
          <w:rFonts w:ascii="Verdana" w:hAnsi="Verdana"/>
          <w:sz w:val="20"/>
          <w:szCs w:val="20"/>
          <w:lang w:val="en-US"/>
        </w:rPr>
        <w:t>h</w:t>
      </w:r>
      <w:r w:rsidR="00DF0BAA">
        <w:rPr>
          <w:rFonts w:ascii="Verdana" w:hAnsi="Verdana"/>
          <w:sz w:val="20"/>
          <w:szCs w:val="20"/>
          <w:lang w:val="en-US"/>
        </w:rPr>
        <w:t>a</w:t>
      </w:r>
      <w:r w:rsidR="00926E61" w:rsidRPr="00145D1D">
        <w:rPr>
          <w:rFonts w:ascii="Verdana" w:hAnsi="Verdana"/>
          <w:sz w:val="20"/>
          <w:szCs w:val="20"/>
          <w:lang w:val="en-US"/>
        </w:rPr>
        <w:t xml:space="preserve">, </w:t>
      </w:r>
      <w:r w:rsidR="009D7E74" w:rsidRPr="00145D1D">
        <w:rPr>
          <w:rFonts w:ascii="Verdana" w:hAnsi="Verdana"/>
          <w:sz w:val="20"/>
          <w:szCs w:val="20"/>
          <w:lang w:val="en-US"/>
        </w:rPr>
        <w:t xml:space="preserve">while the </w:t>
      </w:r>
      <w:r w:rsidR="00926E61" w:rsidRPr="00145D1D">
        <w:rPr>
          <w:rFonts w:ascii="Verdana" w:hAnsi="Verdana"/>
          <w:sz w:val="20"/>
          <w:szCs w:val="20"/>
          <w:lang w:val="en-US"/>
        </w:rPr>
        <w:t>Wane 3</w:t>
      </w:r>
      <w:r w:rsidR="002B5CCD" w:rsidRPr="00145D1D">
        <w:rPr>
          <w:rFonts w:ascii="Verdana" w:hAnsi="Verdana"/>
          <w:sz w:val="20"/>
          <w:szCs w:val="20"/>
          <w:lang w:val="en-US"/>
        </w:rPr>
        <w:t xml:space="preserve"> and </w:t>
      </w:r>
      <w:r w:rsidR="00926E61" w:rsidRPr="00145D1D">
        <w:rPr>
          <w:rFonts w:ascii="Verdana" w:hAnsi="Verdana"/>
          <w:sz w:val="20"/>
          <w:szCs w:val="20"/>
          <w:lang w:val="en-US"/>
        </w:rPr>
        <w:t xml:space="preserve">Wane 4 </w:t>
      </w:r>
      <w:r w:rsidR="009D7E74" w:rsidRPr="00145D1D">
        <w:rPr>
          <w:rFonts w:ascii="Verdana" w:hAnsi="Verdana"/>
          <w:sz w:val="20"/>
          <w:szCs w:val="20"/>
          <w:lang w:val="en-US"/>
        </w:rPr>
        <w:t>sections were not exploited.</w:t>
      </w:r>
      <w:r w:rsidR="00926E61" w:rsidRPr="00145D1D">
        <w:rPr>
          <w:rStyle w:val="FootnoteReference"/>
          <w:szCs w:val="20"/>
          <w:lang w:val="en-US"/>
        </w:rPr>
        <w:footnoteReference w:id="121"/>
      </w:r>
      <w:r w:rsidR="009D7E74" w:rsidRPr="00145D1D">
        <w:rPr>
          <w:rFonts w:ascii="Verdana" w:hAnsi="Verdana"/>
          <w:sz w:val="20"/>
          <w:szCs w:val="20"/>
          <w:lang w:val="en-US"/>
        </w:rPr>
        <w:t xml:space="preserve"> However, it should be noted that exploration activities were carried out in Wane 4, and these also caused significant environmental impact in the area.</w:t>
      </w:r>
      <w:r w:rsidR="00926E61" w:rsidRPr="00145D1D">
        <w:rPr>
          <w:rStyle w:val="FootnoteReference"/>
          <w:szCs w:val="20"/>
          <w:lang w:val="en-US"/>
        </w:rPr>
        <w:footnoteReference w:id="122"/>
      </w:r>
      <w:r w:rsidR="00926E61" w:rsidRPr="00145D1D">
        <w:rPr>
          <w:rFonts w:ascii="Verdana" w:hAnsi="Verdana"/>
          <w:sz w:val="20"/>
          <w:szCs w:val="20"/>
          <w:lang w:val="en-US"/>
        </w:rPr>
        <w:t xml:space="preserve"> </w:t>
      </w:r>
    </w:p>
    <w:p w14:paraId="631268FC" w14:textId="77777777" w:rsidR="00521447" w:rsidRPr="00221CE8" w:rsidRDefault="00521447" w:rsidP="00145D1D">
      <w:pPr>
        <w:pStyle w:val="FootnoteText"/>
        <w:rPr>
          <w:lang w:val="en-US"/>
        </w:rPr>
      </w:pPr>
    </w:p>
    <w:p w14:paraId="631268FD" w14:textId="0DD5AF2C" w:rsidR="00926E61" w:rsidRPr="00EC45EE" w:rsidRDefault="009D7E74" w:rsidP="00B935FA">
      <w:pPr>
        <w:pStyle w:val="ListParagraph"/>
        <w:numPr>
          <w:ilvl w:val="0"/>
          <w:numId w:val="2"/>
        </w:numPr>
        <w:ind w:left="0" w:hanging="11"/>
        <w:jc w:val="both"/>
        <w:rPr>
          <w:rFonts w:ascii="Verdana" w:hAnsi="Verdana"/>
          <w:sz w:val="20"/>
          <w:szCs w:val="20"/>
          <w:lang w:val="en-US"/>
        </w:rPr>
      </w:pPr>
      <w:r w:rsidRPr="00145D1D">
        <w:rPr>
          <w:rFonts w:ascii="Verdana" w:hAnsi="Verdana"/>
          <w:sz w:val="20"/>
          <w:szCs w:val="20"/>
          <w:lang w:val="en-US"/>
        </w:rPr>
        <w:t>The first</w:t>
      </w:r>
      <w:r w:rsidR="00926E61" w:rsidRPr="00145D1D">
        <w:rPr>
          <w:rFonts w:ascii="Verdana" w:hAnsi="Verdana"/>
          <w:sz w:val="20"/>
          <w:szCs w:val="20"/>
          <w:lang w:val="en-US"/>
        </w:rPr>
        <w:t xml:space="preserve"> </w:t>
      </w:r>
      <w:r w:rsidR="00890830" w:rsidRPr="00145D1D">
        <w:rPr>
          <w:rFonts w:ascii="Verdana" w:hAnsi="Verdana"/>
          <w:sz w:val="20"/>
          <w:szCs w:val="20"/>
          <w:lang w:val="en-US"/>
        </w:rPr>
        <w:t>environmental impact assessment</w:t>
      </w:r>
      <w:r w:rsidR="00926E61" w:rsidRPr="00145D1D">
        <w:rPr>
          <w:rFonts w:ascii="Verdana" w:hAnsi="Verdana"/>
          <w:sz w:val="20"/>
          <w:szCs w:val="20"/>
          <w:lang w:val="en-US"/>
        </w:rPr>
        <w:t xml:space="preserve"> </w:t>
      </w:r>
      <w:r w:rsidR="00E1097F" w:rsidRPr="00145D1D">
        <w:rPr>
          <w:rFonts w:ascii="Verdana" w:hAnsi="Verdana"/>
          <w:sz w:val="20"/>
          <w:szCs w:val="20"/>
          <w:lang w:val="en-US"/>
        </w:rPr>
        <w:t>(</w:t>
      </w:r>
      <w:r w:rsidR="008A4ABB" w:rsidRPr="00145D1D">
        <w:rPr>
          <w:rFonts w:ascii="Verdana" w:hAnsi="Verdana"/>
          <w:sz w:val="20"/>
          <w:szCs w:val="20"/>
          <w:lang w:val="en-US"/>
        </w:rPr>
        <w:t xml:space="preserve">Environmental Sensitivity Analysis of </w:t>
      </w:r>
      <w:r w:rsidR="000C03DF">
        <w:rPr>
          <w:rFonts w:ascii="Verdana" w:hAnsi="Verdana"/>
          <w:sz w:val="20"/>
          <w:szCs w:val="20"/>
          <w:lang w:val="en-US"/>
        </w:rPr>
        <w:t xml:space="preserve">the </w:t>
      </w:r>
      <w:r w:rsidR="008A4ABB" w:rsidRPr="00145D1D">
        <w:rPr>
          <w:rFonts w:ascii="Verdana" w:hAnsi="Verdana"/>
          <w:sz w:val="20"/>
          <w:szCs w:val="20"/>
          <w:lang w:val="en-US"/>
        </w:rPr>
        <w:t xml:space="preserve">Wane 4 Concession) </w:t>
      </w:r>
      <w:r w:rsidRPr="00145D1D">
        <w:rPr>
          <w:rFonts w:ascii="Verdana" w:hAnsi="Verdana"/>
          <w:sz w:val="20"/>
          <w:szCs w:val="20"/>
          <w:lang w:val="en-US"/>
        </w:rPr>
        <w:t xml:space="preserve">was made in 2005 by a private consultant hired by </w:t>
      </w:r>
      <w:r w:rsidR="00926E61" w:rsidRPr="00145D1D">
        <w:rPr>
          <w:rFonts w:ascii="Verdana" w:hAnsi="Verdana"/>
          <w:sz w:val="20"/>
          <w:szCs w:val="20"/>
          <w:lang w:val="en-US"/>
        </w:rPr>
        <w:t xml:space="preserve">BHP Billiton, </w:t>
      </w:r>
      <w:r w:rsidRPr="00145D1D">
        <w:rPr>
          <w:rFonts w:ascii="Verdana" w:hAnsi="Verdana"/>
          <w:sz w:val="20"/>
          <w:szCs w:val="20"/>
          <w:lang w:val="en-US"/>
        </w:rPr>
        <w:t xml:space="preserve">with the intention of starting </w:t>
      </w:r>
      <w:r w:rsidRPr="00EC45EE">
        <w:rPr>
          <w:rFonts w:ascii="Verdana" w:hAnsi="Verdana"/>
          <w:sz w:val="20"/>
          <w:szCs w:val="20"/>
          <w:lang w:val="en-US"/>
        </w:rPr>
        <w:t xml:space="preserve">extracting activities in </w:t>
      </w:r>
      <w:r w:rsidR="00926E61" w:rsidRPr="00EC45EE">
        <w:rPr>
          <w:rFonts w:ascii="Verdana" w:hAnsi="Verdana"/>
          <w:sz w:val="20"/>
          <w:szCs w:val="20"/>
          <w:lang w:val="en-US"/>
        </w:rPr>
        <w:t>Wane 4</w:t>
      </w:r>
      <w:r w:rsidRPr="00EC45EE">
        <w:rPr>
          <w:rFonts w:ascii="Verdana" w:hAnsi="Verdana"/>
          <w:sz w:val="20"/>
          <w:szCs w:val="20"/>
          <w:lang w:val="en-US"/>
        </w:rPr>
        <w:t>.</w:t>
      </w:r>
      <w:r w:rsidR="00926E61" w:rsidRPr="00EC45EE">
        <w:rPr>
          <w:rStyle w:val="FootnoteReference"/>
          <w:szCs w:val="20"/>
          <w:lang w:val="en-US"/>
        </w:rPr>
        <w:footnoteReference w:id="123"/>
      </w:r>
      <w:r w:rsidR="00AA3379" w:rsidRPr="00EC45EE">
        <w:rPr>
          <w:rFonts w:ascii="Verdana" w:hAnsi="Verdana"/>
          <w:sz w:val="20"/>
          <w:szCs w:val="20"/>
          <w:lang w:val="en-US"/>
        </w:rPr>
        <w:t xml:space="preserve"> The</w:t>
      </w:r>
      <w:r w:rsidRPr="00EC45EE">
        <w:rPr>
          <w:rFonts w:ascii="Verdana" w:hAnsi="Verdana"/>
          <w:sz w:val="20"/>
          <w:szCs w:val="20"/>
          <w:lang w:val="en-US"/>
        </w:rPr>
        <w:t xml:space="preserve"> assessment determined that the</w:t>
      </w:r>
      <w:r w:rsidR="00926E61" w:rsidRPr="00EC45EE">
        <w:rPr>
          <w:rFonts w:ascii="Verdana" w:hAnsi="Verdana"/>
          <w:sz w:val="20"/>
          <w:szCs w:val="20"/>
          <w:lang w:val="en-US"/>
        </w:rPr>
        <w:t xml:space="preserve"> Wane 1</w:t>
      </w:r>
      <w:r w:rsidR="002B5CCD" w:rsidRPr="00EC45EE">
        <w:rPr>
          <w:rFonts w:ascii="Verdana" w:hAnsi="Verdana"/>
          <w:sz w:val="20"/>
          <w:szCs w:val="20"/>
          <w:lang w:val="en-US"/>
        </w:rPr>
        <w:t xml:space="preserve"> and </w:t>
      </w:r>
      <w:r w:rsidR="00926E61" w:rsidRPr="00EC45EE">
        <w:rPr>
          <w:rFonts w:ascii="Verdana" w:hAnsi="Verdana"/>
          <w:sz w:val="20"/>
          <w:szCs w:val="20"/>
          <w:lang w:val="en-US"/>
        </w:rPr>
        <w:t xml:space="preserve">Wane 2 </w:t>
      </w:r>
      <w:r w:rsidRPr="00EC45EE">
        <w:rPr>
          <w:rFonts w:ascii="Verdana" w:hAnsi="Verdana"/>
          <w:sz w:val="20"/>
          <w:szCs w:val="20"/>
          <w:lang w:val="en-US"/>
        </w:rPr>
        <w:t xml:space="preserve">sections had suffered considerable environmental damage as a result of the </w:t>
      </w:r>
      <w:r w:rsidR="00145D1D" w:rsidRPr="00EC45EE">
        <w:rPr>
          <w:rFonts w:ascii="Verdana" w:hAnsi="Verdana"/>
          <w:sz w:val="20"/>
          <w:szCs w:val="20"/>
          <w:lang w:val="en-US"/>
        </w:rPr>
        <w:t>strip-</w:t>
      </w:r>
      <w:r w:rsidRPr="00EC45EE">
        <w:rPr>
          <w:rFonts w:ascii="Verdana" w:hAnsi="Verdana"/>
          <w:sz w:val="20"/>
          <w:szCs w:val="20"/>
          <w:lang w:val="en-US"/>
        </w:rPr>
        <w:t xml:space="preserve">mining of bauxite. Among other matters, the consultant made the following recommendations to the company; that it should: </w:t>
      </w:r>
      <w:r w:rsidR="00AA3379" w:rsidRPr="00EC45EE">
        <w:rPr>
          <w:rFonts w:ascii="Verdana" w:hAnsi="Verdana"/>
          <w:sz w:val="20"/>
          <w:szCs w:val="20"/>
          <w:lang w:val="en-US"/>
        </w:rPr>
        <w:t>“(1</w:t>
      </w:r>
      <w:r w:rsidRPr="00EC45EE">
        <w:rPr>
          <w:rFonts w:ascii="Verdana" w:hAnsi="Verdana"/>
          <w:sz w:val="20"/>
          <w:szCs w:val="20"/>
          <w:lang w:val="en-US"/>
        </w:rPr>
        <w:t xml:space="preserve">) </w:t>
      </w:r>
      <w:r w:rsidR="00AA3379" w:rsidRPr="00EC45EE">
        <w:rPr>
          <w:rFonts w:ascii="Verdana" w:hAnsi="Verdana"/>
          <w:sz w:val="20"/>
          <w:szCs w:val="20"/>
          <w:lang w:val="en-US"/>
        </w:rPr>
        <w:t xml:space="preserve">Commit irrevocably </w:t>
      </w:r>
      <w:r w:rsidRPr="00EC45EE">
        <w:rPr>
          <w:rFonts w:ascii="Verdana" w:hAnsi="Verdana"/>
          <w:sz w:val="20"/>
          <w:szCs w:val="20"/>
          <w:lang w:val="en-US"/>
        </w:rPr>
        <w:t xml:space="preserve">to </w:t>
      </w:r>
      <w:r w:rsidR="00AA3379" w:rsidRPr="00EC45EE">
        <w:rPr>
          <w:rFonts w:ascii="Verdana" w:hAnsi="Verdana"/>
          <w:sz w:val="20"/>
          <w:szCs w:val="20"/>
          <w:lang w:val="en-US"/>
        </w:rPr>
        <w:t>not mining</w:t>
      </w:r>
      <w:r w:rsidRPr="00EC45EE">
        <w:rPr>
          <w:rFonts w:ascii="Verdana" w:hAnsi="Verdana"/>
          <w:sz w:val="20"/>
          <w:szCs w:val="20"/>
          <w:lang w:val="en-US"/>
        </w:rPr>
        <w:t xml:space="preserve"> </w:t>
      </w:r>
      <w:r w:rsidR="006A4B2D" w:rsidRPr="00EC45EE">
        <w:rPr>
          <w:rFonts w:ascii="Verdana" w:hAnsi="Verdana"/>
          <w:sz w:val="20"/>
          <w:szCs w:val="20"/>
          <w:lang w:val="en-US"/>
        </w:rPr>
        <w:t>Wane 3</w:t>
      </w:r>
      <w:r w:rsidR="002B5CCD" w:rsidRPr="00EC45EE">
        <w:rPr>
          <w:rFonts w:ascii="Verdana" w:hAnsi="Verdana"/>
          <w:sz w:val="20"/>
          <w:szCs w:val="20"/>
          <w:lang w:val="en-US"/>
        </w:rPr>
        <w:t xml:space="preserve"> and </w:t>
      </w:r>
      <w:r w:rsidR="006A4B2D" w:rsidRPr="00EC45EE">
        <w:rPr>
          <w:rFonts w:ascii="Verdana" w:hAnsi="Verdana"/>
          <w:sz w:val="20"/>
          <w:szCs w:val="20"/>
          <w:lang w:val="en-US"/>
        </w:rPr>
        <w:t>4</w:t>
      </w:r>
      <w:r w:rsidR="002B5CCD" w:rsidRPr="00EC45EE">
        <w:rPr>
          <w:rFonts w:ascii="Verdana" w:hAnsi="Verdana"/>
          <w:sz w:val="20"/>
          <w:szCs w:val="20"/>
          <w:lang w:val="en-US"/>
        </w:rPr>
        <w:t xml:space="preserve"> and </w:t>
      </w:r>
      <w:r w:rsidR="00AA3379" w:rsidRPr="00EC45EE">
        <w:rPr>
          <w:rFonts w:ascii="Verdana" w:hAnsi="Verdana"/>
          <w:sz w:val="20"/>
          <w:szCs w:val="20"/>
          <w:lang w:val="en-US"/>
        </w:rPr>
        <w:t>avoid further disturbances of</w:t>
      </w:r>
      <w:r w:rsidRPr="00EC45EE">
        <w:rPr>
          <w:rFonts w:ascii="Verdana" w:hAnsi="Verdana"/>
          <w:sz w:val="20"/>
          <w:szCs w:val="20"/>
          <w:lang w:val="en-US"/>
        </w:rPr>
        <w:t xml:space="preserve"> these </w:t>
      </w:r>
      <w:r w:rsidR="00AA3379" w:rsidRPr="00EC45EE">
        <w:rPr>
          <w:rFonts w:ascii="Verdana" w:hAnsi="Verdana"/>
          <w:sz w:val="20"/>
          <w:szCs w:val="20"/>
          <w:lang w:val="en-US"/>
        </w:rPr>
        <w:t>hills; (2) R</w:t>
      </w:r>
      <w:r w:rsidRPr="00EC45EE">
        <w:rPr>
          <w:rFonts w:ascii="Verdana" w:hAnsi="Verdana"/>
          <w:sz w:val="20"/>
          <w:szCs w:val="20"/>
          <w:lang w:val="en-US"/>
        </w:rPr>
        <w:t>eha</w:t>
      </w:r>
      <w:r w:rsidR="00AA3379" w:rsidRPr="00EC45EE">
        <w:rPr>
          <w:rFonts w:ascii="Verdana" w:hAnsi="Verdana"/>
          <w:sz w:val="20"/>
          <w:szCs w:val="20"/>
          <w:lang w:val="en-US"/>
        </w:rPr>
        <w:t xml:space="preserve">bilitate </w:t>
      </w:r>
      <w:r w:rsidRPr="00EC45EE">
        <w:rPr>
          <w:rFonts w:ascii="Verdana" w:hAnsi="Verdana"/>
          <w:sz w:val="20"/>
          <w:szCs w:val="20"/>
          <w:lang w:val="en-US"/>
        </w:rPr>
        <w:t xml:space="preserve">damage </w:t>
      </w:r>
      <w:r w:rsidR="00AA3379" w:rsidRPr="00EC45EE">
        <w:rPr>
          <w:rFonts w:ascii="Verdana" w:hAnsi="Verdana"/>
          <w:sz w:val="20"/>
          <w:szCs w:val="20"/>
          <w:lang w:val="en-US"/>
        </w:rPr>
        <w:t>to</w:t>
      </w:r>
      <w:r w:rsidRPr="00EC45EE">
        <w:rPr>
          <w:rFonts w:ascii="Verdana" w:hAnsi="Verdana"/>
          <w:sz w:val="20"/>
          <w:szCs w:val="20"/>
          <w:lang w:val="en-US"/>
        </w:rPr>
        <w:t xml:space="preserve"> </w:t>
      </w:r>
      <w:r w:rsidR="006A4B2D" w:rsidRPr="00EC45EE">
        <w:rPr>
          <w:rFonts w:ascii="Verdana" w:hAnsi="Verdana"/>
          <w:sz w:val="20"/>
          <w:szCs w:val="20"/>
          <w:lang w:val="en-US"/>
        </w:rPr>
        <w:t xml:space="preserve">Wane 4 </w:t>
      </w:r>
      <w:r w:rsidR="00AA3379" w:rsidRPr="00EC45EE">
        <w:rPr>
          <w:rFonts w:ascii="Verdana" w:hAnsi="Verdana"/>
          <w:sz w:val="20"/>
          <w:szCs w:val="20"/>
          <w:lang w:val="en-US"/>
        </w:rPr>
        <w:t xml:space="preserve">caused </w:t>
      </w:r>
      <w:r w:rsidRPr="00EC45EE">
        <w:rPr>
          <w:rFonts w:ascii="Verdana" w:hAnsi="Verdana"/>
          <w:sz w:val="20"/>
          <w:szCs w:val="20"/>
          <w:lang w:val="en-US"/>
        </w:rPr>
        <w:t xml:space="preserve">by the exploration </w:t>
      </w:r>
      <w:r w:rsidR="00AA3379" w:rsidRPr="00EC45EE">
        <w:rPr>
          <w:rFonts w:ascii="Verdana" w:hAnsi="Verdana"/>
          <w:sz w:val="20"/>
          <w:szCs w:val="20"/>
          <w:lang w:val="en-US"/>
        </w:rPr>
        <w:t>programme […]; (3</w:t>
      </w:r>
      <w:r w:rsidRPr="00EC45EE">
        <w:rPr>
          <w:rFonts w:ascii="Verdana" w:hAnsi="Verdana"/>
          <w:sz w:val="20"/>
          <w:szCs w:val="20"/>
          <w:lang w:val="en-US"/>
        </w:rPr>
        <w:t xml:space="preserve">) </w:t>
      </w:r>
      <w:r w:rsidR="00AA3379" w:rsidRPr="00EC45EE">
        <w:rPr>
          <w:rFonts w:ascii="Verdana" w:hAnsi="Verdana"/>
          <w:sz w:val="20"/>
          <w:szCs w:val="20"/>
          <w:lang w:val="en-US"/>
        </w:rPr>
        <w:t>Complete</w:t>
      </w:r>
      <w:r w:rsidRPr="00EC45EE">
        <w:rPr>
          <w:rFonts w:ascii="Verdana" w:hAnsi="Verdana"/>
          <w:sz w:val="20"/>
          <w:szCs w:val="20"/>
          <w:lang w:val="en-US"/>
        </w:rPr>
        <w:t xml:space="preserve"> </w:t>
      </w:r>
      <w:r w:rsidR="00AA3379" w:rsidRPr="00EC45EE">
        <w:rPr>
          <w:rFonts w:ascii="Verdana" w:hAnsi="Verdana"/>
          <w:sz w:val="20"/>
          <w:szCs w:val="20"/>
          <w:lang w:val="en-US"/>
        </w:rPr>
        <w:t xml:space="preserve">all </w:t>
      </w:r>
      <w:r w:rsidRPr="00EC45EE">
        <w:rPr>
          <w:rFonts w:ascii="Verdana" w:hAnsi="Verdana"/>
          <w:sz w:val="20"/>
          <w:szCs w:val="20"/>
          <w:lang w:val="en-US"/>
        </w:rPr>
        <w:t xml:space="preserve">mining </w:t>
      </w:r>
      <w:r w:rsidR="00AA3379" w:rsidRPr="00EC45EE">
        <w:rPr>
          <w:rFonts w:ascii="Verdana" w:hAnsi="Verdana"/>
          <w:sz w:val="20"/>
          <w:szCs w:val="20"/>
          <w:lang w:val="en-US"/>
        </w:rPr>
        <w:t>of</w:t>
      </w:r>
      <w:r w:rsidR="006A4B2D" w:rsidRPr="00EC45EE">
        <w:rPr>
          <w:rFonts w:ascii="Verdana" w:hAnsi="Verdana"/>
          <w:sz w:val="20"/>
          <w:szCs w:val="20"/>
          <w:lang w:val="en-US"/>
        </w:rPr>
        <w:t xml:space="preserve"> Wane 1</w:t>
      </w:r>
      <w:r w:rsidR="002B5CCD" w:rsidRPr="00EC45EE">
        <w:rPr>
          <w:rFonts w:ascii="Verdana" w:hAnsi="Verdana"/>
          <w:sz w:val="20"/>
          <w:szCs w:val="20"/>
          <w:lang w:val="en-US"/>
        </w:rPr>
        <w:t xml:space="preserve"> and </w:t>
      </w:r>
      <w:r w:rsidR="006A4B2D" w:rsidRPr="00EC45EE">
        <w:rPr>
          <w:rFonts w:ascii="Verdana" w:hAnsi="Verdana"/>
          <w:sz w:val="20"/>
          <w:szCs w:val="20"/>
          <w:lang w:val="en-US"/>
        </w:rPr>
        <w:t xml:space="preserve">2 </w:t>
      </w:r>
      <w:r w:rsidRPr="00EC45EE">
        <w:rPr>
          <w:rFonts w:ascii="Verdana" w:hAnsi="Verdana"/>
          <w:sz w:val="20"/>
          <w:szCs w:val="20"/>
          <w:lang w:val="en-US"/>
        </w:rPr>
        <w:t>as soon as possible,</w:t>
      </w:r>
      <w:r w:rsidR="00AA3379" w:rsidRPr="00EC45EE">
        <w:rPr>
          <w:rFonts w:ascii="Verdana" w:hAnsi="Verdana"/>
          <w:sz w:val="20"/>
          <w:szCs w:val="20"/>
          <w:lang w:val="en-US"/>
        </w:rPr>
        <w:t>”</w:t>
      </w:r>
      <w:r w:rsidRPr="00EC45EE">
        <w:rPr>
          <w:rFonts w:ascii="Verdana" w:hAnsi="Verdana"/>
          <w:sz w:val="20"/>
          <w:szCs w:val="20"/>
          <w:lang w:val="en-US"/>
        </w:rPr>
        <w:t xml:space="preserve"> </w:t>
      </w:r>
      <w:r w:rsidR="002B5CCD" w:rsidRPr="00EC45EE">
        <w:rPr>
          <w:rFonts w:ascii="Verdana" w:hAnsi="Verdana"/>
          <w:sz w:val="20"/>
          <w:szCs w:val="20"/>
          <w:lang w:val="en-US"/>
        </w:rPr>
        <w:t xml:space="preserve">and </w:t>
      </w:r>
      <w:r w:rsidR="00AA3379" w:rsidRPr="00EC45EE">
        <w:rPr>
          <w:rFonts w:ascii="Verdana" w:hAnsi="Verdana"/>
          <w:sz w:val="20"/>
          <w:szCs w:val="20"/>
          <w:lang w:val="en-US"/>
        </w:rPr>
        <w:t>(4</w:t>
      </w:r>
      <w:r w:rsidRPr="00EC45EE">
        <w:rPr>
          <w:rFonts w:ascii="Verdana" w:hAnsi="Verdana"/>
          <w:sz w:val="20"/>
          <w:szCs w:val="20"/>
          <w:lang w:val="en-US"/>
        </w:rPr>
        <w:t xml:space="preserve">) </w:t>
      </w:r>
      <w:r w:rsidR="007632DA">
        <w:rPr>
          <w:rFonts w:ascii="Verdana" w:hAnsi="Verdana"/>
          <w:sz w:val="20"/>
          <w:szCs w:val="20"/>
          <w:lang w:val="en-US"/>
        </w:rPr>
        <w:t>R</w:t>
      </w:r>
      <w:r w:rsidRPr="00EC45EE">
        <w:rPr>
          <w:rFonts w:ascii="Verdana" w:hAnsi="Verdana"/>
          <w:sz w:val="20"/>
          <w:szCs w:val="20"/>
          <w:lang w:val="en-US"/>
        </w:rPr>
        <w:t xml:space="preserve">ehabilitate the damage caused in </w:t>
      </w:r>
      <w:r w:rsidR="006A4B2D" w:rsidRPr="00EC45EE">
        <w:rPr>
          <w:rFonts w:ascii="Verdana" w:hAnsi="Verdana"/>
          <w:sz w:val="20"/>
          <w:szCs w:val="20"/>
          <w:lang w:val="en-US"/>
        </w:rPr>
        <w:t>Wane 1</w:t>
      </w:r>
      <w:r w:rsidR="002B5CCD" w:rsidRPr="00EC45EE">
        <w:rPr>
          <w:rFonts w:ascii="Verdana" w:hAnsi="Verdana"/>
          <w:sz w:val="20"/>
          <w:szCs w:val="20"/>
          <w:lang w:val="en-US"/>
        </w:rPr>
        <w:t xml:space="preserve"> and </w:t>
      </w:r>
      <w:r w:rsidRPr="00EC45EE">
        <w:rPr>
          <w:rFonts w:ascii="Verdana" w:hAnsi="Verdana"/>
          <w:sz w:val="20"/>
          <w:szCs w:val="20"/>
          <w:lang w:val="en-US"/>
        </w:rPr>
        <w:t>2</w:t>
      </w:r>
      <w:r w:rsidR="006A4B2D" w:rsidRPr="00EC45EE">
        <w:rPr>
          <w:rFonts w:ascii="Verdana" w:hAnsi="Verdana"/>
          <w:sz w:val="20"/>
          <w:szCs w:val="20"/>
          <w:lang w:val="en-US"/>
        </w:rPr>
        <w:t xml:space="preserve"> </w:t>
      </w:r>
      <w:r w:rsidRPr="00EC45EE">
        <w:rPr>
          <w:rFonts w:ascii="Verdana" w:hAnsi="Verdana"/>
          <w:sz w:val="20"/>
          <w:szCs w:val="20"/>
          <w:lang w:val="en-US"/>
        </w:rPr>
        <w:t xml:space="preserve">by the exploitation </w:t>
      </w:r>
      <w:r w:rsidR="00502AD5">
        <w:rPr>
          <w:rFonts w:ascii="Verdana" w:hAnsi="Verdana"/>
          <w:sz w:val="20"/>
          <w:szCs w:val="20"/>
          <w:lang w:val="en-US"/>
        </w:rPr>
        <w:t>operations</w:t>
      </w:r>
      <w:r w:rsidRPr="00EC45EE">
        <w:rPr>
          <w:rFonts w:ascii="Verdana" w:hAnsi="Verdana"/>
          <w:sz w:val="20"/>
          <w:szCs w:val="20"/>
          <w:lang w:val="en-US"/>
        </w:rPr>
        <w:t>.</w:t>
      </w:r>
      <w:r w:rsidR="00926E61" w:rsidRPr="00EC45EE">
        <w:rPr>
          <w:rStyle w:val="FootnoteReference"/>
          <w:szCs w:val="20"/>
          <w:lang w:val="en-US"/>
        </w:rPr>
        <w:footnoteReference w:id="124"/>
      </w:r>
      <w:r w:rsidR="00926E61" w:rsidRPr="00EC45EE">
        <w:rPr>
          <w:rFonts w:ascii="Verdana" w:hAnsi="Verdana"/>
          <w:sz w:val="20"/>
          <w:szCs w:val="20"/>
          <w:lang w:val="en-US"/>
        </w:rPr>
        <w:t xml:space="preserve"> </w:t>
      </w:r>
    </w:p>
    <w:p w14:paraId="631268FE" w14:textId="77777777" w:rsidR="00926E61" w:rsidRPr="00EC45EE" w:rsidRDefault="00926E61" w:rsidP="00145D1D">
      <w:pPr>
        <w:pStyle w:val="FootnoteText"/>
        <w:rPr>
          <w:lang w:val="en-US"/>
        </w:rPr>
      </w:pPr>
    </w:p>
    <w:p w14:paraId="631268FF" w14:textId="77777777" w:rsidR="00CD3C46" w:rsidRPr="00EC45EE" w:rsidRDefault="009D7E74" w:rsidP="009D7E74">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 xml:space="preserve">Regarding the adverse impact of the mining </w:t>
      </w:r>
      <w:r w:rsidR="00502AD5">
        <w:rPr>
          <w:rFonts w:ascii="Verdana" w:hAnsi="Verdana"/>
          <w:sz w:val="20"/>
          <w:szCs w:val="20"/>
          <w:lang w:val="en-US"/>
        </w:rPr>
        <w:t>operations</w:t>
      </w:r>
      <w:r w:rsidRPr="00EC45EE">
        <w:rPr>
          <w:rFonts w:ascii="Verdana" w:hAnsi="Verdana"/>
          <w:sz w:val="20"/>
          <w:szCs w:val="20"/>
          <w:lang w:val="en-US"/>
        </w:rPr>
        <w:t xml:space="preserve"> in the nature reserve, the hunting and fishing activities, which were traditional in the area, have declined considerably. In this regard, th</w:t>
      </w:r>
      <w:r w:rsidR="00502AD5">
        <w:rPr>
          <w:rFonts w:ascii="Verdana" w:hAnsi="Verdana"/>
          <w:sz w:val="20"/>
          <w:szCs w:val="20"/>
          <w:lang w:val="en-US"/>
        </w:rPr>
        <w:t xml:space="preserve">e noise and </w:t>
      </w:r>
      <w:r w:rsidR="00AA3379" w:rsidRPr="00EC45EE">
        <w:rPr>
          <w:rFonts w:ascii="Verdana" w:hAnsi="Verdana"/>
          <w:sz w:val="20"/>
          <w:szCs w:val="20"/>
          <w:lang w:val="en-US"/>
        </w:rPr>
        <w:t>vibrations caused by</w:t>
      </w:r>
      <w:r w:rsidRPr="00EC45EE">
        <w:rPr>
          <w:rFonts w:ascii="Verdana" w:hAnsi="Verdana"/>
          <w:sz w:val="20"/>
          <w:szCs w:val="20"/>
          <w:lang w:val="en-US"/>
        </w:rPr>
        <w:t xml:space="preserve"> the tru</w:t>
      </w:r>
      <w:r w:rsidR="00AA3379" w:rsidRPr="00EC45EE">
        <w:rPr>
          <w:rFonts w:ascii="Verdana" w:hAnsi="Verdana"/>
          <w:sz w:val="20"/>
          <w:szCs w:val="20"/>
          <w:lang w:val="en-US"/>
        </w:rPr>
        <w:t>cks and the dynamite explosions,</w:t>
      </w:r>
      <w:r w:rsidRPr="00EC45EE">
        <w:rPr>
          <w:rFonts w:ascii="Verdana" w:hAnsi="Verdana"/>
          <w:sz w:val="20"/>
          <w:szCs w:val="20"/>
          <w:lang w:val="en-US"/>
        </w:rPr>
        <w:t xml:space="preserve"> the contamination of land and streams, </w:t>
      </w:r>
      <w:r w:rsidR="00AA3379" w:rsidRPr="00EC45EE">
        <w:rPr>
          <w:rFonts w:ascii="Verdana" w:hAnsi="Verdana"/>
          <w:sz w:val="20"/>
          <w:szCs w:val="20"/>
          <w:lang w:val="en-US"/>
        </w:rPr>
        <w:t>and</w:t>
      </w:r>
      <w:r w:rsidRPr="00EC45EE">
        <w:rPr>
          <w:rFonts w:ascii="Verdana" w:hAnsi="Verdana"/>
          <w:sz w:val="20"/>
          <w:szCs w:val="20"/>
          <w:lang w:val="en-US"/>
        </w:rPr>
        <w:t xml:space="preserve"> the destruction of fruit-bearing trees </w:t>
      </w:r>
      <w:r w:rsidR="00AA3379" w:rsidRPr="00EC45EE">
        <w:rPr>
          <w:rFonts w:ascii="Verdana" w:hAnsi="Verdana"/>
          <w:sz w:val="20"/>
          <w:szCs w:val="20"/>
          <w:lang w:val="en-US"/>
        </w:rPr>
        <w:t>caused</w:t>
      </w:r>
      <w:r w:rsidRPr="00EC45EE">
        <w:rPr>
          <w:rFonts w:ascii="Verdana" w:hAnsi="Verdana"/>
          <w:sz w:val="20"/>
          <w:szCs w:val="20"/>
          <w:lang w:val="en-US"/>
        </w:rPr>
        <w:t xml:space="preserve"> the </w:t>
      </w:r>
      <w:r w:rsidR="00AA3379" w:rsidRPr="00EC45EE">
        <w:rPr>
          <w:rFonts w:ascii="Verdana" w:hAnsi="Verdana"/>
          <w:sz w:val="20"/>
          <w:szCs w:val="20"/>
          <w:lang w:val="en-US"/>
        </w:rPr>
        <w:t>wildlife</w:t>
      </w:r>
      <w:r w:rsidR="00502AD5">
        <w:rPr>
          <w:rFonts w:ascii="Verdana" w:hAnsi="Verdana"/>
          <w:sz w:val="20"/>
          <w:szCs w:val="20"/>
          <w:lang w:val="en-US"/>
        </w:rPr>
        <w:t xml:space="preserve"> to flee</w:t>
      </w:r>
      <w:r w:rsidRPr="00EC45EE">
        <w:rPr>
          <w:rFonts w:ascii="Verdana" w:hAnsi="Verdana"/>
          <w:sz w:val="20"/>
          <w:szCs w:val="20"/>
          <w:lang w:val="en-US"/>
        </w:rPr>
        <w:t xml:space="preserve"> that the indigenous peoples hunted and fished to feed the members of the local communities.</w:t>
      </w:r>
      <w:r w:rsidR="00CD3C46" w:rsidRPr="00EC45EE">
        <w:rPr>
          <w:rStyle w:val="FootnoteReference"/>
          <w:szCs w:val="20"/>
          <w:lang w:val="en-US"/>
        </w:rPr>
        <w:footnoteReference w:id="125"/>
      </w:r>
      <w:r w:rsidR="00AA3379" w:rsidRPr="00EC45EE">
        <w:rPr>
          <w:rFonts w:ascii="Verdana" w:hAnsi="Verdana"/>
          <w:sz w:val="20"/>
          <w:szCs w:val="20"/>
          <w:lang w:val="en-US"/>
        </w:rPr>
        <w:t xml:space="preserve"> Also, </w:t>
      </w:r>
      <w:r w:rsidRPr="00EC45EE">
        <w:rPr>
          <w:rFonts w:ascii="Verdana" w:hAnsi="Verdana"/>
          <w:sz w:val="20"/>
          <w:szCs w:val="20"/>
          <w:lang w:val="en-US"/>
        </w:rPr>
        <w:t>access to the area of the mining concessions was prohibited to the indigenous peoples and to any other unauthorized person.</w:t>
      </w:r>
      <w:r w:rsidR="00CD3C46" w:rsidRPr="00EC45EE">
        <w:rPr>
          <w:rStyle w:val="FootnoteReference"/>
          <w:szCs w:val="20"/>
          <w:lang w:val="en-US"/>
        </w:rPr>
        <w:footnoteReference w:id="126"/>
      </w:r>
    </w:p>
    <w:p w14:paraId="63126900" w14:textId="77777777" w:rsidR="00CD3C46" w:rsidRPr="00FE7BA7" w:rsidRDefault="00CD3C46" w:rsidP="00CD3C46">
      <w:pPr>
        <w:pStyle w:val="ListParagraph"/>
        <w:ind w:left="0"/>
        <w:jc w:val="both"/>
        <w:rPr>
          <w:rFonts w:ascii="Verdana" w:hAnsi="Verdana"/>
          <w:sz w:val="20"/>
          <w:szCs w:val="20"/>
          <w:lang w:val="en-US"/>
        </w:rPr>
      </w:pPr>
    </w:p>
    <w:p w14:paraId="63126901" w14:textId="77777777" w:rsidR="00CD3C46" w:rsidRPr="00FE7BA7" w:rsidRDefault="009D7E74" w:rsidP="00CD3C4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bauxite extraction </w:t>
      </w:r>
      <w:r w:rsidR="00502AD5">
        <w:rPr>
          <w:rFonts w:ascii="Verdana" w:hAnsi="Verdana"/>
          <w:sz w:val="20"/>
          <w:szCs w:val="20"/>
          <w:lang w:val="en-US"/>
        </w:rPr>
        <w:t>operations</w:t>
      </w:r>
      <w:r w:rsidRPr="00FE7BA7">
        <w:rPr>
          <w:rFonts w:ascii="Verdana" w:hAnsi="Verdana"/>
          <w:sz w:val="20"/>
          <w:szCs w:val="20"/>
          <w:lang w:val="en-US"/>
        </w:rPr>
        <w:t xml:space="preserve"> in the Wane Kreek </w:t>
      </w:r>
      <w:r w:rsidR="00B07A66" w:rsidRPr="00FE7BA7">
        <w:rPr>
          <w:rFonts w:ascii="Verdana" w:hAnsi="Verdana"/>
          <w:sz w:val="20"/>
          <w:szCs w:val="20"/>
          <w:lang w:val="en-US"/>
        </w:rPr>
        <w:t>Nature Reserve</w:t>
      </w:r>
      <w:r w:rsidRPr="00FE7BA7">
        <w:rPr>
          <w:rFonts w:ascii="Verdana" w:hAnsi="Verdana"/>
          <w:sz w:val="20"/>
          <w:szCs w:val="20"/>
          <w:lang w:val="en-US"/>
        </w:rPr>
        <w:t xml:space="preserve"> ended in</w:t>
      </w:r>
      <w:r w:rsidR="00CD3C46" w:rsidRPr="00FE7BA7">
        <w:rPr>
          <w:rFonts w:ascii="Verdana" w:hAnsi="Verdana"/>
          <w:sz w:val="20"/>
          <w:szCs w:val="20"/>
          <w:lang w:val="en-US"/>
        </w:rPr>
        <w:t xml:space="preserve"> 2009,</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nowadays the area is being reforested by the companies who carried out the mining </w:t>
      </w:r>
      <w:r w:rsidR="00AA3379">
        <w:rPr>
          <w:rFonts w:ascii="Verdana" w:hAnsi="Verdana"/>
          <w:sz w:val="20"/>
          <w:szCs w:val="20"/>
          <w:lang w:val="en-US"/>
        </w:rPr>
        <w:t>operations</w:t>
      </w:r>
      <w:r w:rsidRPr="00FE7BA7">
        <w:rPr>
          <w:rFonts w:ascii="Verdana" w:hAnsi="Verdana"/>
          <w:sz w:val="20"/>
          <w:szCs w:val="20"/>
          <w:lang w:val="en-US"/>
        </w:rPr>
        <w:t>.</w:t>
      </w:r>
      <w:r w:rsidR="00CD3C46" w:rsidRPr="00FE7BA7">
        <w:rPr>
          <w:rStyle w:val="FootnoteReference"/>
          <w:szCs w:val="20"/>
          <w:lang w:val="en-US"/>
        </w:rPr>
        <w:footnoteReference w:id="127"/>
      </w:r>
      <w:r w:rsidR="00CD3C46" w:rsidRPr="00FE7BA7">
        <w:rPr>
          <w:rFonts w:ascii="Verdana" w:hAnsi="Verdana"/>
          <w:sz w:val="20"/>
          <w:szCs w:val="20"/>
          <w:lang w:val="en-US"/>
        </w:rPr>
        <w:t xml:space="preserve"> </w:t>
      </w:r>
      <w:r w:rsidRPr="00FE7BA7">
        <w:rPr>
          <w:rFonts w:ascii="Verdana" w:hAnsi="Verdana"/>
          <w:sz w:val="20"/>
          <w:szCs w:val="20"/>
          <w:lang w:val="en-US"/>
        </w:rPr>
        <w:t xml:space="preserve">In this regard, the </w:t>
      </w:r>
      <w:r w:rsidR="00CD3C46" w:rsidRPr="00FE7BA7">
        <w:rPr>
          <w:rFonts w:ascii="Verdana" w:hAnsi="Verdana"/>
          <w:sz w:val="20"/>
          <w:lang w:val="en-US"/>
        </w:rPr>
        <w:t xml:space="preserve">Bauxite Institute of </w:t>
      </w:r>
      <w:r w:rsidR="002B5CCD" w:rsidRPr="00FE7BA7">
        <w:rPr>
          <w:rFonts w:ascii="Verdana" w:hAnsi="Verdana"/>
          <w:sz w:val="20"/>
          <w:lang w:val="en-US"/>
        </w:rPr>
        <w:t xml:space="preserve">Suriname </w:t>
      </w:r>
      <w:r w:rsidRPr="00FE7BA7">
        <w:rPr>
          <w:rFonts w:ascii="Verdana" w:hAnsi="Verdana"/>
          <w:sz w:val="20"/>
          <w:lang w:val="en-US"/>
        </w:rPr>
        <w:t xml:space="preserve">indicated that the </w:t>
      </w:r>
      <w:r w:rsidR="00CD3C46" w:rsidRPr="00FE7BA7">
        <w:rPr>
          <w:rFonts w:ascii="Verdana" w:hAnsi="Verdana"/>
          <w:sz w:val="20"/>
          <w:lang w:val="en-US"/>
        </w:rPr>
        <w:t>Wane 1</w:t>
      </w:r>
      <w:r w:rsidR="002B5CCD" w:rsidRPr="00FE7BA7">
        <w:rPr>
          <w:rFonts w:ascii="Verdana" w:hAnsi="Verdana"/>
          <w:sz w:val="20"/>
          <w:lang w:val="en-US"/>
        </w:rPr>
        <w:t xml:space="preserve"> and </w:t>
      </w:r>
      <w:r w:rsidR="00CD3C46" w:rsidRPr="00FE7BA7">
        <w:rPr>
          <w:rFonts w:ascii="Verdana" w:hAnsi="Verdana"/>
          <w:sz w:val="20"/>
          <w:lang w:val="en-US"/>
        </w:rPr>
        <w:t xml:space="preserve">Wane 2 </w:t>
      </w:r>
      <w:r w:rsidRPr="00FE7BA7">
        <w:rPr>
          <w:rFonts w:ascii="Verdana" w:hAnsi="Verdana"/>
          <w:sz w:val="20"/>
          <w:lang w:val="en-US"/>
        </w:rPr>
        <w:t>sections had already been rehabilitated.</w:t>
      </w:r>
      <w:r w:rsidR="00CD3C46" w:rsidRPr="00FE7BA7">
        <w:rPr>
          <w:rStyle w:val="FootnoteReference"/>
          <w:lang w:val="en-US"/>
        </w:rPr>
        <w:footnoteReference w:id="128"/>
      </w:r>
      <w:r w:rsidRPr="00FE7BA7">
        <w:rPr>
          <w:rFonts w:ascii="Verdana" w:hAnsi="Verdana"/>
          <w:sz w:val="20"/>
          <w:lang w:val="en-US"/>
        </w:rPr>
        <w:t xml:space="preserve"> However, </w:t>
      </w:r>
      <w:r w:rsidR="00E91479" w:rsidRPr="00FE7BA7">
        <w:rPr>
          <w:rFonts w:ascii="Verdana" w:hAnsi="Verdana"/>
          <w:sz w:val="20"/>
          <w:szCs w:val="20"/>
          <w:lang w:val="en-US"/>
        </w:rPr>
        <w:t>the members of the</w:t>
      </w:r>
      <w:r w:rsidRPr="00FE7BA7">
        <w:rPr>
          <w:rFonts w:ascii="Verdana" w:hAnsi="Verdana"/>
          <w:sz w:val="20"/>
          <w:szCs w:val="20"/>
          <w:lang w:val="en-US"/>
        </w:rPr>
        <w:t xml:space="preserve"> local</w:t>
      </w:r>
      <w:r w:rsidR="00E91479" w:rsidRPr="00FE7BA7">
        <w:rPr>
          <w:rFonts w:ascii="Verdana" w:hAnsi="Verdana"/>
          <w:sz w:val="20"/>
          <w:szCs w:val="20"/>
          <w:lang w:val="en-US"/>
        </w:rPr>
        <w:t xml:space="preserve"> </w:t>
      </w:r>
      <w:r w:rsidR="00E91479" w:rsidRPr="00FE7BA7">
        <w:rPr>
          <w:rFonts w:ascii="Verdana" w:hAnsi="Verdana"/>
          <w:sz w:val="20"/>
          <w:szCs w:val="20"/>
          <w:lang w:val="en-US"/>
        </w:rPr>
        <w:lastRenderedPageBreak/>
        <w:t>indigenous communities</w:t>
      </w:r>
      <w:r w:rsidR="00CD3C46" w:rsidRPr="00FE7BA7">
        <w:rPr>
          <w:rFonts w:ascii="Verdana" w:hAnsi="Verdana"/>
          <w:sz w:val="20"/>
          <w:szCs w:val="20"/>
          <w:lang w:val="en-US"/>
        </w:rPr>
        <w:t xml:space="preserve"> </w:t>
      </w:r>
      <w:r w:rsidRPr="00FE7BA7">
        <w:rPr>
          <w:rFonts w:ascii="Verdana" w:hAnsi="Verdana"/>
          <w:sz w:val="20"/>
          <w:szCs w:val="20"/>
          <w:lang w:val="en-US"/>
        </w:rPr>
        <w:t>disagree, particularly with the species that are being used to reforest.</w:t>
      </w:r>
      <w:r w:rsidR="00CD3C46" w:rsidRPr="00FE7BA7">
        <w:rPr>
          <w:rStyle w:val="FootnoteReference"/>
          <w:szCs w:val="20"/>
          <w:lang w:val="en-US"/>
        </w:rPr>
        <w:footnoteReference w:id="129"/>
      </w:r>
      <w:r w:rsidRPr="00FE7BA7">
        <w:rPr>
          <w:rFonts w:ascii="Verdana" w:hAnsi="Verdana"/>
          <w:sz w:val="20"/>
          <w:szCs w:val="20"/>
          <w:lang w:val="en-US"/>
        </w:rPr>
        <w:t xml:space="preserve"> Moreover, </w:t>
      </w:r>
      <w:r w:rsidR="00FD14B3" w:rsidRPr="00FE7BA7">
        <w:rPr>
          <w:rFonts w:ascii="Verdana" w:hAnsi="Verdana"/>
          <w:sz w:val="20"/>
          <w:szCs w:val="20"/>
          <w:lang w:val="en-US"/>
        </w:rPr>
        <w:t xml:space="preserve">during </w:t>
      </w:r>
      <w:r w:rsidR="003F59F5" w:rsidRPr="00FE7BA7">
        <w:rPr>
          <w:rFonts w:ascii="Verdana" w:hAnsi="Verdana"/>
          <w:sz w:val="20"/>
          <w:szCs w:val="20"/>
          <w:lang w:val="en-US"/>
        </w:rPr>
        <w:t>the on-site procedure</w:t>
      </w:r>
      <w:r w:rsidRPr="00FE7BA7">
        <w:rPr>
          <w:rFonts w:ascii="Verdana" w:hAnsi="Verdana"/>
          <w:sz w:val="20"/>
          <w:szCs w:val="20"/>
          <w:lang w:val="en-US"/>
        </w:rPr>
        <w:t xml:space="preserve">, the Court observed that the scenery has been radically altered in the areas that </w:t>
      </w:r>
      <w:r w:rsidR="00502AD5">
        <w:rPr>
          <w:rFonts w:ascii="Verdana" w:hAnsi="Verdana"/>
          <w:sz w:val="20"/>
          <w:szCs w:val="20"/>
          <w:lang w:val="en-US"/>
        </w:rPr>
        <w:t xml:space="preserve">had been </w:t>
      </w:r>
      <w:r w:rsidRPr="00FE7BA7">
        <w:rPr>
          <w:rFonts w:ascii="Verdana" w:hAnsi="Verdana"/>
          <w:sz w:val="20"/>
          <w:szCs w:val="20"/>
          <w:lang w:val="en-US"/>
        </w:rPr>
        <w:t>exploited.</w:t>
      </w:r>
    </w:p>
    <w:p w14:paraId="63126902" w14:textId="77777777" w:rsidR="00926E61" w:rsidRPr="00FE7BA7" w:rsidRDefault="00926E61" w:rsidP="002C323A">
      <w:pPr>
        <w:pStyle w:val="ListParagraph"/>
        <w:ind w:left="0"/>
        <w:jc w:val="both"/>
        <w:rPr>
          <w:lang w:val="en-US"/>
        </w:rPr>
      </w:pPr>
    </w:p>
    <w:p w14:paraId="63126903" w14:textId="77777777" w:rsidR="00926E61" w:rsidRPr="00FE7BA7" w:rsidRDefault="00926E61" w:rsidP="007624EC">
      <w:pPr>
        <w:pStyle w:val="Heading4"/>
        <w:spacing w:before="0"/>
        <w:ind w:left="720" w:firstLine="720"/>
        <w:rPr>
          <w:rFonts w:ascii="Verdana" w:hAnsi="Verdana"/>
          <w:color w:val="auto"/>
          <w:sz w:val="20"/>
          <w:szCs w:val="20"/>
          <w:lang w:val="en-US"/>
        </w:rPr>
      </w:pPr>
      <w:bookmarkStart w:id="24" w:name="_Toc441673197"/>
      <w:r w:rsidRPr="00FE7BA7">
        <w:rPr>
          <w:rFonts w:ascii="Verdana" w:hAnsi="Verdana"/>
          <w:color w:val="auto"/>
          <w:sz w:val="20"/>
          <w:szCs w:val="20"/>
          <w:lang w:val="en-US"/>
        </w:rPr>
        <w:t xml:space="preserve">E.2.3 </w:t>
      </w:r>
      <w:proofErr w:type="gramStart"/>
      <w:r w:rsidR="005269B1" w:rsidRPr="00FE7BA7">
        <w:rPr>
          <w:rFonts w:ascii="Verdana" w:hAnsi="Verdana"/>
          <w:color w:val="auto"/>
          <w:sz w:val="20"/>
          <w:szCs w:val="20"/>
          <w:lang w:val="en-US"/>
        </w:rPr>
        <w:t>Other</w:t>
      </w:r>
      <w:proofErr w:type="gramEnd"/>
      <w:r w:rsidR="005269B1" w:rsidRPr="00FE7BA7">
        <w:rPr>
          <w:rFonts w:ascii="Verdana" w:hAnsi="Verdana"/>
          <w:color w:val="auto"/>
          <w:sz w:val="20"/>
          <w:szCs w:val="20"/>
          <w:lang w:val="en-US"/>
        </w:rPr>
        <w:t xml:space="preserve"> natural resource extraction activities</w:t>
      </w:r>
      <w:bookmarkEnd w:id="24"/>
    </w:p>
    <w:p w14:paraId="63126904" w14:textId="77777777" w:rsidR="00926E61" w:rsidRPr="00792118" w:rsidRDefault="00926E61" w:rsidP="00145D1D">
      <w:pPr>
        <w:pStyle w:val="FootnoteText"/>
        <w:rPr>
          <w:lang w:val="en-US"/>
        </w:rPr>
      </w:pPr>
    </w:p>
    <w:p w14:paraId="63126905" w14:textId="77777777" w:rsidR="00926E61" w:rsidRPr="00EC45EE" w:rsidRDefault="005269B1" w:rsidP="009A23B9">
      <w:pPr>
        <w:pStyle w:val="ListParagraph"/>
        <w:numPr>
          <w:ilvl w:val="0"/>
          <w:numId w:val="2"/>
        </w:numPr>
        <w:ind w:left="0" w:hanging="11"/>
        <w:jc w:val="both"/>
        <w:rPr>
          <w:rFonts w:ascii="Verdana" w:hAnsi="Verdana"/>
          <w:sz w:val="20"/>
          <w:szCs w:val="20"/>
          <w:lang w:val="en-US"/>
        </w:rPr>
      </w:pPr>
      <w:r w:rsidRPr="00FE7BA7">
        <w:rPr>
          <w:rFonts w:ascii="Verdana" w:hAnsi="Verdana"/>
          <w:sz w:val="20"/>
          <w:lang w:val="en-US"/>
        </w:rPr>
        <w:t xml:space="preserve">One of the consequences of the construction of the highway to extract bauxite was the </w:t>
      </w:r>
      <w:r w:rsidRPr="00EC45EE">
        <w:rPr>
          <w:rFonts w:ascii="Verdana" w:hAnsi="Verdana"/>
          <w:sz w:val="20"/>
          <w:lang w:val="en-US"/>
        </w:rPr>
        <w:t xml:space="preserve">implementation of legal and </w:t>
      </w:r>
      <w:r w:rsidR="00FE7BA7" w:rsidRPr="00EC45EE">
        <w:rPr>
          <w:rFonts w:ascii="Verdana" w:hAnsi="Verdana"/>
          <w:sz w:val="20"/>
          <w:lang w:val="en-US"/>
        </w:rPr>
        <w:t>illegal</w:t>
      </w:r>
      <w:r w:rsidRPr="00EC45EE">
        <w:rPr>
          <w:rFonts w:ascii="Verdana" w:hAnsi="Verdana"/>
          <w:sz w:val="20"/>
          <w:lang w:val="en-US"/>
        </w:rPr>
        <w:t xml:space="preserve"> logging activities, poaching, and the mining of sand, gravel and kaolin.</w:t>
      </w:r>
      <w:r w:rsidR="00926E61" w:rsidRPr="00EC45EE">
        <w:rPr>
          <w:rStyle w:val="FootnoteReference"/>
          <w:szCs w:val="20"/>
          <w:lang w:val="en-US"/>
        </w:rPr>
        <w:footnoteReference w:id="130"/>
      </w:r>
    </w:p>
    <w:p w14:paraId="63126906" w14:textId="77777777" w:rsidR="00926E61" w:rsidRPr="00FE7BA7" w:rsidRDefault="00926E61" w:rsidP="00926E61">
      <w:pPr>
        <w:jc w:val="both"/>
        <w:rPr>
          <w:rFonts w:ascii="Verdana" w:hAnsi="Verdana"/>
          <w:sz w:val="20"/>
          <w:szCs w:val="20"/>
          <w:lang w:val="en-US"/>
        </w:rPr>
      </w:pPr>
    </w:p>
    <w:p w14:paraId="63126907" w14:textId="59ADE534" w:rsidR="00926E61" w:rsidRPr="00FE7BA7" w:rsidRDefault="009D7E74" w:rsidP="009A23B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the case of the logging activities, in </w:t>
      </w:r>
      <w:r w:rsidR="00926E61" w:rsidRPr="00FE7BA7">
        <w:rPr>
          <w:rFonts w:ascii="Verdana" w:hAnsi="Verdana"/>
          <w:sz w:val="20"/>
          <w:szCs w:val="20"/>
          <w:lang w:val="en-US"/>
        </w:rPr>
        <w:t xml:space="preserve">2008 </w:t>
      </w:r>
      <w:r w:rsidR="002B5CCD" w:rsidRPr="00FE7BA7">
        <w:rPr>
          <w:rFonts w:ascii="Verdana" w:hAnsi="Verdana"/>
          <w:sz w:val="20"/>
          <w:szCs w:val="20"/>
          <w:lang w:val="en-US"/>
        </w:rPr>
        <w:t>the State</w:t>
      </w:r>
      <w:r w:rsidR="00926E61" w:rsidRPr="00FE7BA7">
        <w:rPr>
          <w:rFonts w:ascii="Verdana" w:hAnsi="Verdana"/>
          <w:sz w:val="20"/>
          <w:szCs w:val="20"/>
          <w:lang w:val="en-US"/>
        </w:rPr>
        <w:t xml:space="preserve"> </w:t>
      </w:r>
      <w:r w:rsidRPr="00FE7BA7">
        <w:rPr>
          <w:rFonts w:ascii="Verdana" w:hAnsi="Verdana"/>
          <w:sz w:val="20"/>
          <w:szCs w:val="20"/>
          <w:lang w:val="en-US"/>
        </w:rPr>
        <w:t xml:space="preserve">granted a logging permit to members </w:t>
      </w:r>
      <w:r w:rsidR="00896645" w:rsidRPr="00FE7BA7">
        <w:rPr>
          <w:rFonts w:ascii="Verdana" w:hAnsi="Verdana"/>
          <w:sz w:val="20"/>
          <w:szCs w:val="20"/>
          <w:lang w:val="en-US"/>
        </w:rPr>
        <w:t xml:space="preserve">of the </w:t>
      </w:r>
      <w:r w:rsidRPr="00FE7BA7">
        <w:rPr>
          <w:rFonts w:ascii="Verdana" w:hAnsi="Verdana"/>
          <w:sz w:val="20"/>
          <w:szCs w:val="20"/>
          <w:lang w:val="en-US"/>
        </w:rPr>
        <w:t xml:space="preserve">indigenous </w:t>
      </w:r>
      <w:r w:rsidR="00896645" w:rsidRPr="00FE7BA7">
        <w:rPr>
          <w:rFonts w:ascii="Verdana" w:hAnsi="Verdana"/>
          <w:sz w:val="20"/>
          <w:szCs w:val="20"/>
          <w:lang w:val="en-US"/>
        </w:rPr>
        <w:t>community</w:t>
      </w:r>
      <w:r w:rsidR="00926E61" w:rsidRPr="00FE7BA7">
        <w:rPr>
          <w:rFonts w:ascii="Verdana" w:hAnsi="Verdana"/>
          <w:sz w:val="20"/>
          <w:szCs w:val="20"/>
          <w:lang w:val="en-US"/>
        </w:rPr>
        <w:t xml:space="preserve"> </w:t>
      </w:r>
      <w:r w:rsidRPr="00FE7BA7">
        <w:rPr>
          <w:rFonts w:ascii="Verdana" w:hAnsi="Verdana"/>
          <w:sz w:val="20"/>
          <w:szCs w:val="20"/>
          <w:lang w:val="en-US"/>
        </w:rPr>
        <w:t>of</w:t>
      </w:r>
      <w:r w:rsidR="00926E61" w:rsidRPr="00FE7BA7">
        <w:rPr>
          <w:rFonts w:ascii="Verdana" w:hAnsi="Verdana"/>
          <w:sz w:val="20"/>
          <w:szCs w:val="20"/>
          <w:lang w:val="en-US"/>
        </w:rPr>
        <w:t xml:space="preserve"> Alfonsdorp</w:t>
      </w:r>
      <w:r w:rsidR="00AA3379">
        <w:rPr>
          <w:rFonts w:ascii="Verdana" w:hAnsi="Verdana"/>
          <w:sz w:val="20"/>
          <w:szCs w:val="20"/>
          <w:lang w:val="en-US"/>
        </w:rPr>
        <w:t>.</w:t>
      </w:r>
      <w:r w:rsidR="00926E61" w:rsidRPr="00FE7BA7">
        <w:rPr>
          <w:rStyle w:val="FootnoteReference"/>
          <w:szCs w:val="20"/>
          <w:lang w:val="en-US"/>
        </w:rPr>
        <w:footnoteReference w:id="131"/>
      </w:r>
      <w:r w:rsidRPr="00FE7BA7">
        <w:rPr>
          <w:rFonts w:ascii="Verdana" w:hAnsi="Verdana"/>
          <w:sz w:val="20"/>
          <w:szCs w:val="20"/>
          <w:lang w:val="en-US"/>
        </w:rPr>
        <w:t xml:space="preserve"> However, according to</w:t>
      </w:r>
      <w:r w:rsidR="00926E61" w:rsidRPr="00FE7BA7">
        <w:rPr>
          <w:rFonts w:ascii="Verdana" w:hAnsi="Verdana"/>
          <w:sz w:val="20"/>
          <w:szCs w:val="20"/>
          <w:lang w:val="en-US"/>
        </w:rPr>
        <w:t xml:space="preserve"> Cap</w:t>
      </w:r>
      <w:r w:rsidRPr="00FE7BA7">
        <w:rPr>
          <w:rFonts w:ascii="Verdana" w:hAnsi="Verdana"/>
          <w:sz w:val="20"/>
          <w:szCs w:val="20"/>
          <w:lang w:val="en-US"/>
        </w:rPr>
        <w:t>t</w:t>
      </w:r>
      <w:r w:rsidR="00926E61" w:rsidRPr="00FE7BA7">
        <w:rPr>
          <w:rFonts w:ascii="Verdana" w:hAnsi="Verdana"/>
          <w:sz w:val="20"/>
          <w:szCs w:val="20"/>
          <w:lang w:val="en-US"/>
        </w:rPr>
        <w:t>a</w:t>
      </w:r>
      <w:r w:rsidRPr="00FE7BA7">
        <w:rPr>
          <w:rFonts w:ascii="Verdana" w:hAnsi="Verdana"/>
          <w:sz w:val="20"/>
          <w:szCs w:val="20"/>
          <w:lang w:val="en-US"/>
        </w:rPr>
        <w:t>in Watamaleo, the</w:t>
      </w:r>
      <w:r w:rsidR="00926E61" w:rsidRPr="00FE7BA7">
        <w:rPr>
          <w:rFonts w:ascii="Verdana" w:hAnsi="Verdana"/>
          <w:sz w:val="20"/>
          <w:szCs w:val="20"/>
          <w:lang w:val="en-US"/>
        </w:rPr>
        <w:t xml:space="preserve"> </w:t>
      </w:r>
      <w:r w:rsidR="000E16B8" w:rsidRPr="00FE7BA7">
        <w:rPr>
          <w:rFonts w:ascii="Verdana" w:hAnsi="Verdana"/>
          <w:sz w:val="20"/>
          <w:szCs w:val="20"/>
          <w:lang w:val="en-US"/>
        </w:rPr>
        <w:t>non-indigenous persons</w:t>
      </w:r>
      <w:r w:rsidR="00926E61" w:rsidRPr="00FE7BA7">
        <w:rPr>
          <w:rFonts w:ascii="Verdana" w:hAnsi="Verdana"/>
          <w:sz w:val="20"/>
          <w:szCs w:val="20"/>
          <w:lang w:val="en-US"/>
        </w:rPr>
        <w:t xml:space="preserve"> </w:t>
      </w:r>
      <w:r w:rsidRPr="00FE7BA7">
        <w:rPr>
          <w:rFonts w:ascii="Verdana" w:hAnsi="Verdana"/>
          <w:sz w:val="20"/>
          <w:szCs w:val="20"/>
          <w:lang w:val="en-US"/>
        </w:rPr>
        <w:t>who took part in the logging activities are responsible for the destruction of the forest, because they do not cut down the trees in a way that would allow the saplings to grow</w:t>
      </w:r>
      <w:r w:rsidR="00926E61" w:rsidRPr="00FE7BA7">
        <w:rPr>
          <w:rFonts w:ascii="Verdana" w:hAnsi="Verdana"/>
          <w:sz w:val="20"/>
          <w:szCs w:val="20"/>
          <w:lang w:val="en-US"/>
        </w:rPr>
        <w:t xml:space="preserve">. </w:t>
      </w:r>
      <w:r w:rsidRPr="00FE7BA7">
        <w:rPr>
          <w:rFonts w:ascii="Verdana" w:hAnsi="Verdana"/>
          <w:sz w:val="20"/>
          <w:szCs w:val="20"/>
          <w:lang w:val="en-US"/>
        </w:rPr>
        <w:t xml:space="preserve">Furthermore, the paths that were traditionally used by the indigenous peoples for </w:t>
      </w:r>
      <w:r w:rsidR="00FE7BA7" w:rsidRPr="00FE7BA7">
        <w:rPr>
          <w:rFonts w:ascii="Verdana" w:hAnsi="Verdana"/>
          <w:sz w:val="20"/>
          <w:szCs w:val="20"/>
          <w:lang w:val="en-US"/>
        </w:rPr>
        <w:t>hunting</w:t>
      </w:r>
      <w:r w:rsidRPr="00FE7BA7">
        <w:rPr>
          <w:rFonts w:ascii="Verdana" w:hAnsi="Verdana"/>
          <w:sz w:val="20"/>
          <w:szCs w:val="20"/>
          <w:lang w:val="en-US"/>
        </w:rPr>
        <w:t xml:space="preserve"> are being eliminated.</w:t>
      </w:r>
      <w:r w:rsidR="00926E61" w:rsidRPr="00FE7BA7">
        <w:rPr>
          <w:rStyle w:val="FootnoteReference"/>
          <w:szCs w:val="20"/>
          <w:lang w:val="en-US"/>
        </w:rPr>
        <w:footnoteReference w:id="132"/>
      </w:r>
      <w:r w:rsidR="00926E61" w:rsidRPr="00FE7BA7">
        <w:rPr>
          <w:rFonts w:ascii="Verdana" w:hAnsi="Verdana"/>
          <w:sz w:val="20"/>
          <w:szCs w:val="20"/>
          <w:lang w:val="en-US"/>
        </w:rPr>
        <w:t xml:space="preserve"> A</w:t>
      </w:r>
      <w:r w:rsidRPr="00FE7BA7">
        <w:rPr>
          <w:rFonts w:ascii="Verdana" w:hAnsi="Verdana"/>
          <w:sz w:val="20"/>
          <w:szCs w:val="20"/>
          <w:lang w:val="en-US"/>
        </w:rPr>
        <w:t xml:space="preserve">nd, </w:t>
      </w:r>
      <w:r w:rsidR="000E16B8" w:rsidRPr="00FE7BA7">
        <w:rPr>
          <w:rFonts w:ascii="Verdana" w:hAnsi="Verdana"/>
          <w:sz w:val="20"/>
          <w:szCs w:val="20"/>
          <w:lang w:val="en-US"/>
        </w:rPr>
        <w:t>non-indigenous persons</w:t>
      </w:r>
      <w:r w:rsidR="00926E61" w:rsidRPr="00FE7BA7">
        <w:rPr>
          <w:rFonts w:ascii="Verdana" w:hAnsi="Verdana"/>
          <w:sz w:val="20"/>
          <w:szCs w:val="20"/>
          <w:lang w:val="en-US"/>
        </w:rPr>
        <w:t xml:space="preserve"> </w:t>
      </w:r>
      <w:r w:rsidRPr="00FE7BA7">
        <w:rPr>
          <w:rFonts w:ascii="Verdana" w:hAnsi="Verdana"/>
          <w:sz w:val="20"/>
          <w:szCs w:val="20"/>
          <w:lang w:val="en-US"/>
        </w:rPr>
        <w:t xml:space="preserve">have indiscriminately logged trees that are sacred according to the world vision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Pr="00FE7BA7">
        <w:rPr>
          <w:rFonts w:ascii="Verdana" w:hAnsi="Verdana"/>
          <w:sz w:val="20"/>
          <w:szCs w:val="20"/>
          <w:lang w:val="en-US"/>
        </w:rPr>
        <w:t>.</w:t>
      </w:r>
      <w:r w:rsidR="00926E61" w:rsidRPr="00FE7BA7">
        <w:rPr>
          <w:rStyle w:val="FootnoteReference"/>
          <w:szCs w:val="20"/>
          <w:lang w:val="en-US"/>
        </w:rPr>
        <w:footnoteReference w:id="133"/>
      </w:r>
    </w:p>
    <w:p w14:paraId="63126908" w14:textId="77777777" w:rsidR="00926E61" w:rsidRPr="00FE7BA7" w:rsidRDefault="00926E61" w:rsidP="00926E61">
      <w:pPr>
        <w:jc w:val="both"/>
        <w:rPr>
          <w:rFonts w:ascii="Verdana" w:hAnsi="Verdana"/>
          <w:sz w:val="20"/>
          <w:szCs w:val="20"/>
          <w:lang w:val="en-US"/>
        </w:rPr>
      </w:pPr>
    </w:p>
    <w:p w14:paraId="63126909" w14:textId="77777777" w:rsidR="00926E61" w:rsidRPr="00FE7BA7" w:rsidRDefault="00056EB1" w:rsidP="00E26926">
      <w:pPr>
        <w:pStyle w:val="Heading2"/>
        <w:numPr>
          <w:ilvl w:val="0"/>
          <w:numId w:val="10"/>
        </w:numPr>
        <w:spacing w:before="0"/>
        <w:jc w:val="both"/>
        <w:rPr>
          <w:rFonts w:ascii="Verdana" w:hAnsi="Verdana"/>
          <w:bCs w:val="0"/>
          <w:i/>
          <w:color w:val="auto"/>
          <w:sz w:val="20"/>
          <w:szCs w:val="20"/>
          <w:lang w:val="en-US"/>
        </w:rPr>
      </w:pPr>
      <w:bookmarkStart w:id="25" w:name="_Toc441673198"/>
      <w:r w:rsidRPr="00FE7BA7">
        <w:rPr>
          <w:rFonts w:ascii="Verdana" w:hAnsi="Verdana"/>
          <w:bCs w:val="0"/>
          <w:i/>
          <w:color w:val="auto"/>
          <w:sz w:val="20"/>
          <w:szCs w:val="20"/>
          <w:lang w:val="en-US"/>
        </w:rPr>
        <w:t>The u</w:t>
      </w:r>
      <w:r w:rsidR="005269B1" w:rsidRPr="00FE7BA7">
        <w:rPr>
          <w:rFonts w:ascii="Verdana" w:hAnsi="Verdana"/>
          <w:bCs w:val="0"/>
          <w:i/>
          <w:color w:val="auto"/>
          <w:sz w:val="20"/>
          <w:szCs w:val="20"/>
          <w:lang w:val="en-US"/>
        </w:rPr>
        <w:t xml:space="preserve">rban </w:t>
      </w:r>
      <w:r w:rsidR="00184E23">
        <w:rPr>
          <w:rFonts w:ascii="Verdana" w:hAnsi="Verdana"/>
          <w:bCs w:val="0"/>
          <w:i/>
          <w:color w:val="auto"/>
          <w:sz w:val="20"/>
          <w:szCs w:val="20"/>
          <w:lang w:val="en-US"/>
        </w:rPr>
        <w:t>subdivision</w:t>
      </w:r>
      <w:r w:rsidR="005269B1" w:rsidRPr="00FE7BA7">
        <w:rPr>
          <w:rFonts w:ascii="Verdana" w:hAnsi="Verdana"/>
          <w:bCs w:val="0"/>
          <w:i/>
          <w:color w:val="auto"/>
          <w:sz w:val="20"/>
          <w:szCs w:val="20"/>
          <w:lang w:val="en-US"/>
        </w:rPr>
        <w:t xml:space="preserve"> project </w:t>
      </w:r>
      <w:r w:rsidR="00502AD5">
        <w:rPr>
          <w:rFonts w:ascii="Verdana" w:hAnsi="Verdana"/>
          <w:bCs w:val="0"/>
          <w:i/>
          <w:color w:val="auto"/>
          <w:sz w:val="20"/>
          <w:szCs w:val="20"/>
          <w:lang w:val="en-US"/>
        </w:rPr>
        <w:t>called</w:t>
      </w:r>
      <w:r w:rsidR="00926E61" w:rsidRPr="00FE7BA7">
        <w:rPr>
          <w:rFonts w:ascii="Verdana" w:hAnsi="Verdana"/>
          <w:bCs w:val="0"/>
          <w:i/>
          <w:color w:val="auto"/>
          <w:sz w:val="20"/>
          <w:szCs w:val="20"/>
          <w:lang w:val="en-US"/>
        </w:rPr>
        <w:t xml:space="preserve"> "Tuinstad Albina" (“Garden City Albina”)</w:t>
      </w:r>
      <w:bookmarkEnd w:id="25"/>
    </w:p>
    <w:p w14:paraId="6312690A" w14:textId="77777777" w:rsidR="00926E61" w:rsidRPr="00FE7BA7" w:rsidRDefault="00926E61" w:rsidP="00926E61">
      <w:pPr>
        <w:jc w:val="both"/>
        <w:rPr>
          <w:rFonts w:ascii="Verdana" w:hAnsi="Verdana"/>
          <w:sz w:val="20"/>
          <w:highlight w:val="green"/>
          <w:lang w:val="en-US"/>
        </w:rPr>
      </w:pPr>
    </w:p>
    <w:p w14:paraId="6312690B" w14:textId="77777777" w:rsidR="00926E61" w:rsidRPr="00FE7BA7" w:rsidRDefault="005269B1" w:rsidP="009A23B9">
      <w:pPr>
        <w:pStyle w:val="ListParagraph"/>
        <w:numPr>
          <w:ilvl w:val="0"/>
          <w:numId w:val="2"/>
        </w:numPr>
        <w:ind w:left="0" w:hanging="11"/>
        <w:jc w:val="both"/>
        <w:rPr>
          <w:rFonts w:ascii="Verdana" w:hAnsi="Verdana"/>
          <w:sz w:val="20"/>
          <w:szCs w:val="20"/>
          <w:lang w:val="en-US"/>
        </w:rPr>
      </w:pPr>
      <w:r w:rsidRPr="00221CE8">
        <w:rPr>
          <w:rFonts w:ascii="Verdana" w:hAnsi="Verdana"/>
          <w:sz w:val="20"/>
          <w:szCs w:val="20"/>
          <w:lang w:val="en-US"/>
        </w:rPr>
        <w:t xml:space="preserve">It is an undisputed fact that, in </w:t>
      </w:r>
      <w:r w:rsidR="00926E61" w:rsidRPr="00221CE8">
        <w:rPr>
          <w:rFonts w:ascii="Verdana" w:hAnsi="Verdana"/>
          <w:sz w:val="20"/>
          <w:szCs w:val="20"/>
          <w:lang w:val="en-US"/>
        </w:rPr>
        <w:t xml:space="preserve">1975, </w:t>
      </w:r>
      <w:r w:rsidR="002B5CCD" w:rsidRPr="00221CE8">
        <w:rPr>
          <w:rFonts w:ascii="Verdana" w:hAnsi="Verdana"/>
          <w:sz w:val="20"/>
          <w:szCs w:val="20"/>
          <w:lang w:val="en-US"/>
        </w:rPr>
        <w:t>the State</w:t>
      </w:r>
      <w:r w:rsidR="00926E61" w:rsidRPr="00221CE8">
        <w:rPr>
          <w:rFonts w:ascii="Verdana" w:hAnsi="Verdana"/>
          <w:sz w:val="20"/>
          <w:szCs w:val="20"/>
          <w:lang w:val="en-US"/>
        </w:rPr>
        <w:t xml:space="preserve"> </w:t>
      </w:r>
      <w:r w:rsidRPr="00221CE8">
        <w:rPr>
          <w:rFonts w:ascii="Verdana" w:hAnsi="Verdana"/>
          <w:sz w:val="20"/>
          <w:szCs w:val="20"/>
          <w:lang w:val="en-US"/>
        </w:rPr>
        <w:t>began an</w:t>
      </w:r>
      <w:r w:rsidR="00926E61" w:rsidRPr="00221CE8">
        <w:rPr>
          <w:rFonts w:ascii="Verdana" w:hAnsi="Verdana"/>
          <w:sz w:val="20"/>
          <w:szCs w:val="20"/>
          <w:lang w:val="en-US"/>
        </w:rPr>
        <w:t xml:space="preserve"> </w:t>
      </w:r>
      <w:r w:rsidRPr="00221CE8">
        <w:rPr>
          <w:rFonts w:ascii="Verdana" w:hAnsi="Verdana"/>
          <w:sz w:val="20"/>
          <w:szCs w:val="20"/>
          <w:lang w:val="en-US"/>
        </w:rPr>
        <w:t xml:space="preserve">urban </w:t>
      </w:r>
      <w:r w:rsidR="00184E23" w:rsidRPr="00221CE8">
        <w:rPr>
          <w:rFonts w:ascii="Verdana" w:hAnsi="Verdana"/>
          <w:sz w:val="20"/>
          <w:szCs w:val="20"/>
          <w:lang w:val="en-US"/>
        </w:rPr>
        <w:t>subdivision</w:t>
      </w:r>
      <w:r w:rsidRPr="00221CE8">
        <w:rPr>
          <w:rFonts w:ascii="Verdana" w:hAnsi="Verdana"/>
          <w:sz w:val="20"/>
          <w:szCs w:val="20"/>
          <w:lang w:val="en-US"/>
        </w:rPr>
        <w:t xml:space="preserve"> project </w:t>
      </w:r>
      <w:r w:rsidR="00502AD5">
        <w:rPr>
          <w:rFonts w:ascii="Verdana" w:hAnsi="Verdana"/>
          <w:sz w:val="20"/>
          <w:szCs w:val="20"/>
          <w:lang w:val="en-US"/>
        </w:rPr>
        <w:t>called</w:t>
      </w:r>
      <w:r w:rsidR="00926E61" w:rsidRPr="00FE7BA7">
        <w:rPr>
          <w:rFonts w:ascii="Verdana" w:hAnsi="Verdana"/>
          <w:sz w:val="20"/>
          <w:szCs w:val="20"/>
          <w:lang w:val="en-US"/>
        </w:rPr>
        <w:t xml:space="preserve"> "Tuinstad Albina" (“</w:t>
      </w:r>
      <w:r w:rsidR="008A4ABB" w:rsidRPr="00FE7BA7">
        <w:rPr>
          <w:rFonts w:ascii="Verdana" w:hAnsi="Verdana"/>
          <w:sz w:val="20"/>
          <w:szCs w:val="20"/>
          <w:lang w:val="en-US"/>
        </w:rPr>
        <w:t>Garden City Albina</w:t>
      </w:r>
      <w:r w:rsidR="00926E61" w:rsidRPr="00FE7BA7">
        <w:rPr>
          <w:rFonts w:ascii="Verdana" w:hAnsi="Verdana"/>
          <w:sz w:val="20"/>
          <w:szCs w:val="20"/>
          <w:lang w:val="en-US"/>
        </w:rPr>
        <w:t xml:space="preserve">”) </w:t>
      </w:r>
      <w:r w:rsidRPr="00FE7BA7">
        <w:rPr>
          <w:rFonts w:ascii="Verdana" w:hAnsi="Verdana"/>
          <w:sz w:val="20"/>
          <w:szCs w:val="20"/>
          <w:lang w:val="en-US"/>
        </w:rPr>
        <w:t>along the</w:t>
      </w:r>
      <w:r w:rsidR="00926E61" w:rsidRPr="00FE7BA7">
        <w:rPr>
          <w:rFonts w:ascii="Verdana" w:hAnsi="Verdana"/>
          <w:sz w:val="20"/>
          <w:szCs w:val="20"/>
          <w:lang w:val="en-US"/>
        </w:rPr>
        <w:t xml:space="preserve"> Marowijne</w:t>
      </w:r>
      <w:r w:rsidRPr="00FE7BA7">
        <w:rPr>
          <w:rFonts w:ascii="Verdana" w:hAnsi="Verdana"/>
          <w:sz w:val="20"/>
          <w:szCs w:val="20"/>
          <w:lang w:val="en-US"/>
        </w:rPr>
        <w:t xml:space="preserve"> River near the villages of </w:t>
      </w:r>
      <w:r w:rsidR="00926E61" w:rsidRPr="00FE7BA7">
        <w:rPr>
          <w:rFonts w:ascii="Verdana" w:hAnsi="Verdana"/>
          <w:sz w:val="20"/>
          <w:szCs w:val="20"/>
          <w:lang w:val="en-US"/>
        </w:rPr>
        <w:t>Erowarte, Tapuku, Pierrekondre</w:t>
      </w:r>
      <w:r w:rsidR="002B5CCD" w:rsidRPr="00FE7BA7">
        <w:rPr>
          <w:rFonts w:ascii="Verdana" w:hAnsi="Verdana"/>
          <w:sz w:val="20"/>
          <w:szCs w:val="20"/>
          <w:lang w:val="en-US"/>
        </w:rPr>
        <w:t xml:space="preserve"> and </w:t>
      </w:r>
      <w:r w:rsidR="00926E61" w:rsidRPr="00FE7BA7">
        <w:rPr>
          <w:rFonts w:ascii="Verdana" w:hAnsi="Verdana"/>
          <w:sz w:val="20"/>
          <w:szCs w:val="20"/>
          <w:lang w:val="en-US"/>
        </w:rPr>
        <w:t>Marijkedorp (Wan Shi Sha)</w:t>
      </w:r>
      <w:r w:rsidRPr="00FE7BA7">
        <w:rPr>
          <w:rFonts w:ascii="Verdana" w:hAnsi="Verdana"/>
          <w:sz w:val="20"/>
          <w:szCs w:val="20"/>
          <w:lang w:val="en-US"/>
        </w:rPr>
        <w:t>.</w:t>
      </w:r>
      <w:r w:rsidR="00926E61" w:rsidRPr="00FE7BA7">
        <w:rPr>
          <w:rStyle w:val="FootnoteReference"/>
          <w:szCs w:val="20"/>
          <w:lang w:val="en-US"/>
        </w:rPr>
        <w:footnoteReference w:id="134"/>
      </w:r>
    </w:p>
    <w:p w14:paraId="6312690C" w14:textId="77777777" w:rsidR="00926E61" w:rsidRPr="00FE7BA7" w:rsidRDefault="00926E61" w:rsidP="00926E61">
      <w:pPr>
        <w:jc w:val="both"/>
        <w:rPr>
          <w:rFonts w:ascii="Verdana" w:hAnsi="Verdana"/>
          <w:sz w:val="20"/>
          <w:szCs w:val="20"/>
          <w:lang w:val="en-US"/>
        </w:rPr>
      </w:pPr>
    </w:p>
    <w:p w14:paraId="6312690D" w14:textId="77777777" w:rsidR="00926E61" w:rsidRPr="00FE7BA7" w:rsidRDefault="009D7E74" w:rsidP="009D7E74">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According to the State, the area where the </w:t>
      </w:r>
      <w:r w:rsidR="00221CE8">
        <w:rPr>
          <w:rFonts w:ascii="Verdana" w:hAnsi="Verdana"/>
          <w:sz w:val="20"/>
          <w:szCs w:val="20"/>
          <w:lang w:val="en-US"/>
        </w:rPr>
        <w:t>subdivision</w:t>
      </w:r>
      <w:r w:rsidRPr="00FE7BA7">
        <w:rPr>
          <w:rFonts w:ascii="Verdana" w:hAnsi="Verdana"/>
          <w:sz w:val="20"/>
          <w:szCs w:val="20"/>
          <w:lang w:val="en-US"/>
        </w:rPr>
        <w:t xml:space="preserve"> project is being executed was not inhabited by indigenous peoples. However, statements made by several members of the indigenous communities affected affirm the contrary. Thus, Captain Watamaleo </w:t>
      </w:r>
      <w:r w:rsidR="00502AD5">
        <w:rPr>
          <w:rFonts w:ascii="Verdana" w:hAnsi="Verdana"/>
          <w:sz w:val="20"/>
          <w:szCs w:val="20"/>
          <w:lang w:val="en-US"/>
        </w:rPr>
        <w:t>stated</w:t>
      </w:r>
      <w:r w:rsidRPr="00FE7BA7">
        <w:rPr>
          <w:rFonts w:ascii="Verdana" w:hAnsi="Verdana"/>
          <w:sz w:val="20"/>
          <w:szCs w:val="20"/>
          <w:lang w:val="en-US"/>
        </w:rPr>
        <w:t xml:space="preserve"> that the State </w:t>
      </w:r>
      <w:r w:rsidR="00502AD5">
        <w:rPr>
          <w:rFonts w:ascii="Verdana" w:hAnsi="Verdana"/>
          <w:sz w:val="20"/>
          <w:szCs w:val="20"/>
          <w:lang w:val="en-US"/>
        </w:rPr>
        <w:t xml:space="preserve">had </w:t>
      </w:r>
      <w:r w:rsidR="00221CE8">
        <w:rPr>
          <w:rFonts w:ascii="Verdana" w:hAnsi="Verdana"/>
          <w:sz w:val="20"/>
          <w:szCs w:val="20"/>
          <w:lang w:val="en-US"/>
        </w:rPr>
        <w:t xml:space="preserve">divided up parts of </w:t>
      </w:r>
      <w:r w:rsidRPr="00FE7BA7">
        <w:rPr>
          <w:rFonts w:ascii="Verdana" w:hAnsi="Verdana"/>
          <w:sz w:val="20"/>
          <w:szCs w:val="20"/>
          <w:lang w:val="en-US"/>
        </w:rPr>
        <w:t xml:space="preserve">the </w:t>
      </w:r>
      <w:r w:rsidR="00221CE8">
        <w:rPr>
          <w:rFonts w:ascii="Verdana" w:hAnsi="Verdana"/>
          <w:sz w:val="20"/>
          <w:szCs w:val="20"/>
          <w:lang w:val="en-US"/>
        </w:rPr>
        <w:t>villages</w:t>
      </w:r>
      <w:r w:rsidRPr="00FE7BA7">
        <w:rPr>
          <w:rFonts w:ascii="Verdana" w:hAnsi="Verdana"/>
          <w:sz w:val="20"/>
          <w:szCs w:val="20"/>
          <w:lang w:val="en-US"/>
        </w:rPr>
        <w:t xml:space="preserve"> </w:t>
      </w:r>
      <w:r w:rsidR="00221CE8">
        <w:rPr>
          <w:rFonts w:ascii="Verdana" w:hAnsi="Verdana"/>
          <w:sz w:val="20"/>
          <w:szCs w:val="20"/>
          <w:lang w:val="en-US"/>
        </w:rPr>
        <w:t xml:space="preserve">into individual parcels </w:t>
      </w:r>
      <w:r w:rsidRPr="00FE7BA7">
        <w:rPr>
          <w:rFonts w:ascii="Verdana" w:hAnsi="Verdana"/>
          <w:sz w:val="20"/>
          <w:szCs w:val="20"/>
          <w:lang w:val="en-US"/>
        </w:rPr>
        <w:t xml:space="preserve">even though </w:t>
      </w:r>
      <w:r w:rsidR="00221CE8">
        <w:rPr>
          <w:rFonts w:ascii="Verdana" w:hAnsi="Verdana"/>
          <w:sz w:val="20"/>
          <w:szCs w:val="20"/>
          <w:lang w:val="en-US"/>
        </w:rPr>
        <w:t>indigenous persons were living o</w:t>
      </w:r>
      <w:r w:rsidRPr="00FE7BA7">
        <w:rPr>
          <w:rFonts w:ascii="Verdana" w:hAnsi="Verdana"/>
          <w:sz w:val="20"/>
          <w:szCs w:val="20"/>
          <w:lang w:val="en-US"/>
        </w:rPr>
        <w:t>n those</w:t>
      </w:r>
      <w:r w:rsidR="00221CE8">
        <w:rPr>
          <w:rFonts w:ascii="Verdana" w:hAnsi="Verdana"/>
          <w:sz w:val="20"/>
          <w:szCs w:val="20"/>
          <w:lang w:val="en-US"/>
        </w:rPr>
        <w:t xml:space="preserve"> lands at the</w:t>
      </w:r>
      <w:r w:rsidRPr="00FE7BA7">
        <w:rPr>
          <w:rFonts w:ascii="Verdana" w:hAnsi="Verdana"/>
          <w:sz w:val="20"/>
          <w:szCs w:val="20"/>
          <w:lang w:val="en-US"/>
        </w:rPr>
        <w:t xml:space="preserve"> time.</w:t>
      </w:r>
      <w:r w:rsidR="00926E61" w:rsidRPr="00FE7BA7">
        <w:rPr>
          <w:rStyle w:val="FootnoteReference"/>
          <w:szCs w:val="20"/>
          <w:lang w:val="en-US"/>
        </w:rPr>
        <w:footnoteReference w:id="135"/>
      </w:r>
      <w:r w:rsidR="00926E61" w:rsidRPr="00FE7BA7">
        <w:rPr>
          <w:rFonts w:ascii="Verdana" w:hAnsi="Verdana"/>
          <w:sz w:val="20"/>
          <w:szCs w:val="20"/>
          <w:lang w:val="en-US"/>
        </w:rPr>
        <w:t xml:space="preserve"> </w:t>
      </w:r>
      <w:r w:rsidRPr="00FE7BA7">
        <w:rPr>
          <w:rFonts w:ascii="Verdana" w:hAnsi="Verdana"/>
          <w:sz w:val="20"/>
          <w:szCs w:val="20"/>
          <w:lang w:val="en-US"/>
        </w:rPr>
        <w:t xml:space="preserve">In addition, </w:t>
      </w:r>
      <w:r w:rsidR="00810FAD" w:rsidRPr="00FE7BA7">
        <w:rPr>
          <w:rFonts w:ascii="Verdana" w:hAnsi="Verdana"/>
          <w:sz w:val="20"/>
          <w:szCs w:val="20"/>
          <w:lang w:val="en-US"/>
        </w:rPr>
        <w:t>Captain</w:t>
      </w:r>
      <w:r w:rsidRPr="00FE7BA7">
        <w:rPr>
          <w:rFonts w:ascii="Verdana" w:hAnsi="Verdana"/>
          <w:sz w:val="20"/>
          <w:szCs w:val="20"/>
          <w:lang w:val="en-US"/>
        </w:rPr>
        <w:t xml:space="preserve"> Gunther stated that members of his community were forced to leave their land.</w:t>
      </w:r>
      <w:r w:rsidR="00926E61" w:rsidRPr="00FE7BA7">
        <w:rPr>
          <w:rStyle w:val="FootnoteReference"/>
          <w:szCs w:val="20"/>
          <w:lang w:val="en-US"/>
        </w:rPr>
        <w:footnoteReference w:id="136"/>
      </w:r>
      <w:r w:rsidR="00926E61" w:rsidRPr="00FE7BA7">
        <w:rPr>
          <w:rFonts w:ascii="Verdana" w:hAnsi="Verdana"/>
          <w:sz w:val="20"/>
          <w:szCs w:val="20"/>
          <w:lang w:val="en-US"/>
        </w:rPr>
        <w:t xml:space="preserve"> </w:t>
      </w:r>
      <w:r w:rsidRPr="00FE7BA7">
        <w:rPr>
          <w:rFonts w:ascii="Verdana" w:hAnsi="Verdana"/>
          <w:sz w:val="20"/>
          <w:szCs w:val="20"/>
          <w:lang w:val="en-US"/>
        </w:rPr>
        <w:t xml:space="preserve">Similarly, </w:t>
      </w:r>
      <w:r w:rsidR="00926E61" w:rsidRPr="00FE7BA7">
        <w:rPr>
          <w:rFonts w:ascii="Verdana" w:hAnsi="Verdana"/>
          <w:sz w:val="20"/>
          <w:szCs w:val="20"/>
          <w:lang w:val="en-US"/>
        </w:rPr>
        <w:t>Max Sabajo,</w:t>
      </w:r>
      <w:r w:rsidRPr="00FE7BA7">
        <w:rPr>
          <w:rFonts w:ascii="Verdana" w:hAnsi="Verdana"/>
          <w:sz w:val="20"/>
          <w:szCs w:val="20"/>
          <w:lang w:val="en-US"/>
        </w:rPr>
        <w:t xml:space="preserve"> a Lokono from</w:t>
      </w:r>
      <w:r w:rsidR="00926E61" w:rsidRPr="00FE7BA7">
        <w:rPr>
          <w:rFonts w:ascii="Verdana" w:hAnsi="Verdana"/>
          <w:sz w:val="20"/>
          <w:szCs w:val="20"/>
          <w:lang w:val="en-US"/>
        </w:rPr>
        <w:t xml:space="preserve"> Marijkedorp, </w:t>
      </w:r>
      <w:r w:rsidRPr="00FE7BA7">
        <w:rPr>
          <w:rFonts w:ascii="Verdana" w:hAnsi="Verdana"/>
          <w:sz w:val="20"/>
          <w:szCs w:val="20"/>
          <w:lang w:val="en-US"/>
        </w:rPr>
        <w:t xml:space="preserve">indicated that </w:t>
      </w:r>
      <w:r w:rsidR="00BD40EF" w:rsidRPr="00FE7BA7">
        <w:rPr>
          <w:rFonts w:ascii="Verdana" w:hAnsi="Verdana"/>
          <w:sz w:val="20"/>
          <w:szCs w:val="20"/>
          <w:lang w:val="en-US"/>
        </w:rPr>
        <w:t>the indigenous peoples</w:t>
      </w:r>
      <w:r w:rsidR="00926E61" w:rsidRPr="00FE7BA7">
        <w:rPr>
          <w:rFonts w:ascii="Verdana" w:hAnsi="Verdana"/>
          <w:sz w:val="20"/>
          <w:szCs w:val="20"/>
          <w:lang w:val="en-US"/>
        </w:rPr>
        <w:t xml:space="preserve"> </w:t>
      </w:r>
      <w:r w:rsidRPr="00FE7BA7">
        <w:rPr>
          <w:rFonts w:ascii="Verdana" w:hAnsi="Verdana"/>
          <w:sz w:val="20"/>
          <w:szCs w:val="20"/>
          <w:lang w:val="en-US"/>
        </w:rPr>
        <w:t xml:space="preserve">of the area were displaced from the banks of the </w:t>
      </w:r>
      <w:r w:rsidR="00926E61" w:rsidRPr="00FE7BA7">
        <w:rPr>
          <w:rFonts w:ascii="Verdana" w:hAnsi="Verdana"/>
          <w:sz w:val="20"/>
          <w:szCs w:val="20"/>
          <w:lang w:val="en-US"/>
        </w:rPr>
        <w:t xml:space="preserve">Marowijne </w:t>
      </w:r>
      <w:r w:rsidRPr="00FE7BA7">
        <w:rPr>
          <w:rFonts w:ascii="Verdana" w:hAnsi="Verdana"/>
          <w:sz w:val="20"/>
          <w:szCs w:val="20"/>
          <w:lang w:val="en-US"/>
        </w:rPr>
        <w:t xml:space="preserve">River when the State began to </w:t>
      </w:r>
      <w:r w:rsidR="00221CE8">
        <w:rPr>
          <w:rFonts w:ascii="Verdana" w:hAnsi="Verdana"/>
          <w:sz w:val="20"/>
          <w:szCs w:val="20"/>
          <w:lang w:val="en-US"/>
        </w:rPr>
        <w:t>grant</w:t>
      </w:r>
      <w:r w:rsidRPr="00FE7BA7">
        <w:rPr>
          <w:rFonts w:ascii="Verdana" w:hAnsi="Verdana"/>
          <w:sz w:val="20"/>
          <w:szCs w:val="20"/>
          <w:lang w:val="en-US"/>
        </w:rPr>
        <w:t xml:space="preserve"> parcel</w:t>
      </w:r>
      <w:r w:rsidR="00221CE8">
        <w:rPr>
          <w:rFonts w:ascii="Verdana" w:hAnsi="Verdana"/>
          <w:sz w:val="20"/>
          <w:szCs w:val="20"/>
          <w:lang w:val="en-US"/>
        </w:rPr>
        <w:t>s</w:t>
      </w:r>
      <w:r w:rsidRPr="00FE7BA7">
        <w:rPr>
          <w:rFonts w:ascii="Verdana" w:hAnsi="Verdana"/>
          <w:sz w:val="20"/>
          <w:szCs w:val="20"/>
          <w:lang w:val="en-US"/>
        </w:rPr>
        <w:t xml:space="preserve"> to wealthy individuals from the city.</w:t>
      </w:r>
      <w:r w:rsidR="00926E61" w:rsidRPr="00FE7BA7">
        <w:rPr>
          <w:rStyle w:val="FootnoteReference"/>
          <w:szCs w:val="20"/>
          <w:lang w:val="en-US"/>
        </w:rPr>
        <w:footnoteReference w:id="137"/>
      </w:r>
    </w:p>
    <w:p w14:paraId="6312690E" w14:textId="77777777" w:rsidR="00926E61" w:rsidRPr="00FE7BA7" w:rsidRDefault="00926E61" w:rsidP="00926E61">
      <w:pPr>
        <w:jc w:val="both"/>
        <w:rPr>
          <w:rFonts w:ascii="Verdana" w:hAnsi="Verdana"/>
          <w:sz w:val="20"/>
          <w:szCs w:val="20"/>
          <w:lang w:val="en-US"/>
        </w:rPr>
      </w:pPr>
    </w:p>
    <w:p w14:paraId="6312690F" w14:textId="77777777" w:rsidR="00926E61" w:rsidRPr="00FE7BA7" w:rsidRDefault="009D7E74" w:rsidP="009D7E74">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lastRenderedPageBreak/>
        <w:t xml:space="preserve">The land for which titles have been issued to third parties has been used mainly for the construction of </w:t>
      </w:r>
      <w:r w:rsidR="009566E9">
        <w:rPr>
          <w:rFonts w:ascii="Verdana" w:hAnsi="Verdana"/>
          <w:sz w:val="20"/>
          <w:szCs w:val="20"/>
          <w:lang w:val="en-US"/>
        </w:rPr>
        <w:t>vacation</w:t>
      </w:r>
      <w:r w:rsidRPr="00FE7BA7">
        <w:rPr>
          <w:rFonts w:ascii="Verdana" w:hAnsi="Verdana"/>
          <w:sz w:val="20"/>
          <w:szCs w:val="20"/>
          <w:lang w:val="en-US"/>
        </w:rPr>
        <w:t xml:space="preserve"> homes, which are located </w:t>
      </w:r>
      <w:r w:rsidR="00221CE8">
        <w:rPr>
          <w:rFonts w:ascii="Verdana" w:hAnsi="Verdana"/>
          <w:sz w:val="20"/>
          <w:szCs w:val="20"/>
          <w:lang w:val="en-US"/>
        </w:rPr>
        <w:t>very near</w:t>
      </w:r>
      <w:r w:rsidRPr="00FE7BA7">
        <w:rPr>
          <w:rFonts w:ascii="Verdana" w:hAnsi="Verdana"/>
          <w:sz w:val="20"/>
          <w:szCs w:val="20"/>
          <w:lang w:val="en-US"/>
        </w:rPr>
        <w:t xml:space="preserve"> the homes of the members of the indigenous communities, and the Court was able to verify this </w:t>
      </w:r>
      <w:r w:rsidR="00FD14B3" w:rsidRPr="00FE7BA7">
        <w:rPr>
          <w:rFonts w:ascii="Verdana" w:hAnsi="Verdana"/>
          <w:sz w:val="20"/>
          <w:szCs w:val="20"/>
          <w:lang w:val="en-US"/>
        </w:rPr>
        <w:t xml:space="preserve">during </w:t>
      </w:r>
      <w:r w:rsidR="003F59F5" w:rsidRPr="00FE7BA7">
        <w:rPr>
          <w:rFonts w:ascii="Verdana" w:hAnsi="Verdana"/>
          <w:sz w:val="20"/>
          <w:szCs w:val="20"/>
          <w:lang w:val="en-US"/>
        </w:rPr>
        <w:t>the on-site procedure</w:t>
      </w:r>
      <w:r w:rsidRPr="00FE7BA7">
        <w:rPr>
          <w:rFonts w:ascii="Verdana" w:hAnsi="Verdana"/>
          <w:sz w:val="20"/>
          <w:szCs w:val="20"/>
          <w:lang w:val="en-US"/>
        </w:rPr>
        <w:t>.</w:t>
      </w:r>
      <w:r w:rsidR="00926E61" w:rsidRPr="00FE7BA7">
        <w:rPr>
          <w:rStyle w:val="FootnoteReference"/>
          <w:szCs w:val="20"/>
          <w:lang w:val="en-US"/>
        </w:rPr>
        <w:footnoteReference w:id="138"/>
      </w:r>
      <w:r w:rsidR="00926E61" w:rsidRPr="00FE7BA7">
        <w:rPr>
          <w:rFonts w:ascii="Verdana" w:hAnsi="Verdana"/>
          <w:sz w:val="20"/>
          <w:szCs w:val="20"/>
          <w:lang w:val="en-US"/>
        </w:rPr>
        <w:t xml:space="preserve"> </w:t>
      </w:r>
      <w:r w:rsidRPr="00FE7BA7">
        <w:rPr>
          <w:rFonts w:ascii="Verdana" w:hAnsi="Verdana"/>
          <w:sz w:val="20"/>
          <w:szCs w:val="20"/>
          <w:lang w:val="en-US"/>
        </w:rPr>
        <w:t xml:space="preserve">In this regard, the </w:t>
      </w:r>
      <w:r w:rsidR="009566E9">
        <w:rPr>
          <w:rFonts w:ascii="Verdana" w:hAnsi="Verdana"/>
          <w:sz w:val="20"/>
          <w:szCs w:val="20"/>
          <w:lang w:val="en-US"/>
        </w:rPr>
        <w:t>vacation</w:t>
      </w:r>
      <w:r w:rsidRPr="00FE7BA7">
        <w:rPr>
          <w:rFonts w:ascii="Verdana" w:hAnsi="Verdana"/>
          <w:sz w:val="20"/>
          <w:szCs w:val="20"/>
          <w:lang w:val="en-US"/>
        </w:rPr>
        <w:t xml:space="preserve"> homes have restricted the direct access of</w:t>
      </w:r>
      <w:r w:rsidR="00DB2BB3" w:rsidRPr="00FE7BA7">
        <w:rPr>
          <w:rFonts w:ascii="Verdana" w:hAnsi="Verdana"/>
          <w:sz w:val="20"/>
          <w:szCs w:val="20"/>
          <w:lang w:val="en-US"/>
        </w:rPr>
        <w:t xml:space="preserve"> </w:t>
      </w:r>
      <w:r w:rsidR="00BD40EF" w:rsidRPr="00FE7BA7">
        <w:rPr>
          <w:rFonts w:ascii="Verdana" w:hAnsi="Verdana"/>
          <w:sz w:val="20"/>
          <w:szCs w:val="20"/>
          <w:lang w:val="en-US"/>
        </w:rPr>
        <w:t>the indigenous peoples</w:t>
      </w:r>
      <w:r w:rsidR="00DB2BB3" w:rsidRPr="00FE7BA7">
        <w:rPr>
          <w:rFonts w:ascii="Verdana" w:hAnsi="Verdana"/>
          <w:sz w:val="20"/>
          <w:szCs w:val="20"/>
          <w:lang w:val="en-US"/>
        </w:rPr>
        <w:t xml:space="preserve"> </w:t>
      </w:r>
      <w:r w:rsidRPr="00FE7BA7">
        <w:rPr>
          <w:rFonts w:ascii="Verdana" w:hAnsi="Verdana"/>
          <w:sz w:val="20"/>
          <w:szCs w:val="20"/>
          <w:lang w:val="en-US"/>
        </w:rPr>
        <w:t xml:space="preserve">to certain parts </w:t>
      </w:r>
      <w:r w:rsidR="000E16B8" w:rsidRPr="00FE7BA7">
        <w:rPr>
          <w:rFonts w:ascii="Verdana" w:hAnsi="Verdana"/>
          <w:sz w:val="20"/>
          <w:lang w:val="en-US"/>
        </w:rPr>
        <w:t xml:space="preserve">of the </w:t>
      </w:r>
      <w:r w:rsidR="000E16B8" w:rsidRPr="00FE7BA7">
        <w:rPr>
          <w:rFonts w:ascii="Verdana" w:hAnsi="Verdana"/>
          <w:sz w:val="20"/>
          <w:szCs w:val="20"/>
          <w:lang w:val="en-US"/>
        </w:rPr>
        <w:t>Marowijne River</w:t>
      </w:r>
      <w:r w:rsidR="000D7B24" w:rsidRPr="00FE7BA7">
        <w:rPr>
          <w:rFonts w:ascii="Verdana" w:hAnsi="Verdana"/>
          <w:sz w:val="20"/>
          <w:szCs w:val="20"/>
          <w:lang w:val="en-US"/>
        </w:rPr>
        <w:t>,</w:t>
      </w:r>
      <w:r w:rsidR="008D0CA5" w:rsidRPr="00FE7BA7">
        <w:rPr>
          <w:rFonts w:ascii="Verdana" w:hAnsi="Verdana"/>
          <w:sz w:val="20"/>
          <w:szCs w:val="20"/>
          <w:lang w:val="en-US"/>
        </w:rPr>
        <w:t xml:space="preserve"> </w:t>
      </w:r>
      <w:r w:rsidRPr="00FE7BA7">
        <w:rPr>
          <w:rFonts w:ascii="Verdana" w:hAnsi="Verdana"/>
          <w:sz w:val="20"/>
          <w:szCs w:val="20"/>
          <w:lang w:val="en-US"/>
        </w:rPr>
        <w:t xml:space="preserve">which adjoin their villages. This situation has been particularly difficult because </w:t>
      </w:r>
      <w:r w:rsidR="00BD40EF" w:rsidRPr="00FE7BA7">
        <w:rPr>
          <w:rFonts w:ascii="Verdana" w:hAnsi="Verdana"/>
          <w:sz w:val="20"/>
          <w:szCs w:val="20"/>
          <w:lang w:val="en-US"/>
        </w:rPr>
        <w:t>th</w:t>
      </w:r>
      <w:r w:rsidRPr="00FE7BA7">
        <w:rPr>
          <w:rFonts w:ascii="Verdana" w:hAnsi="Verdana"/>
          <w:sz w:val="20"/>
          <w:szCs w:val="20"/>
          <w:lang w:val="en-US"/>
        </w:rPr>
        <w:t>e local</w:t>
      </w:r>
      <w:r w:rsidR="00BD40EF" w:rsidRPr="00FE7BA7">
        <w:rPr>
          <w:rFonts w:ascii="Verdana" w:hAnsi="Verdana"/>
          <w:sz w:val="20"/>
          <w:szCs w:val="20"/>
          <w:lang w:val="en-US"/>
        </w:rPr>
        <w:t xml:space="preserve"> indigenous peoples</w:t>
      </w:r>
      <w:r w:rsidR="00926E61" w:rsidRPr="00FE7BA7">
        <w:rPr>
          <w:rFonts w:ascii="Verdana" w:hAnsi="Verdana"/>
          <w:sz w:val="20"/>
          <w:szCs w:val="20"/>
          <w:lang w:val="en-US"/>
        </w:rPr>
        <w:t xml:space="preserve"> </w:t>
      </w:r>
      <w:r w:rsidRPr="00FE7BA7">
        <w:rPr>
          <w:rFonts w:ascii="Verdana" w:hAnsi="Verdana"/>
          <w:sz w:val="20"/>
          <w:szCs w:val="20"/>
          <w:lang w:val="en-US"/>
        </w:rPr>
        <w:t xml:space="preserve">have a strong spiritual relationship with the </w:t>
      </w:r>
      <w:r w:rsidR="00926E61" w:rsidRPr="00FE7BA7">
        <w:rPr>
          <w:rFonts w:ascii="Verdana" w:hAnsi="Verdana"/>
          <w:sz w:val="20"/>
          <w:szCs w:val="20"/>
          <w:lang w:val="en-US"/>
        </w:rPr>
        <w:t>Marowijne</w:t>
      </w:r>
      <w:r w:rsidRPr="00FE7BA7">
        <w:rPr>
          <w:rFonts w:ascii="Verdana" w:hAnsi="Verdana"/>
          <w:sz w:val="20"/>
          <w:szCs w:val="20"/>
          <w:lang w:val="en-US"/>
        </w:rPr>
        <w:t xml:space="preserve"> River, which is an essential element in their cultural identity and traditions.</w:t>
      </w:r>
      <w:r w:rsidR="00926E61" w:rsidRPr="00FE7BA7">
        <w:rPr>
          <w:rStyle w:val="FootnoteReference"/>
          <w:szCs w:val="20"/>
          <w:lang w:val="en-US"/>
        </w:rPr>
        <w:footnoteReference w:id="139"/>
      </w:r>
      <w:r w:rsidR="00221CE8">
        <w:rPr>
          <w:rFonts w:ascii="Verdana" w:hAnsi="Verdana"/>
          <w:sz w:val="20"/>
          <w:szCs w:val="20"/>
          <w:lang w:val="en-US"/>
        </w:rPr>
        <w:t xml:space="preserve"> Also, </w:t>
      </w:r>
      <w:r w:rsidR="00DA4B96" w:rsidRPr="00FE7BA7">
        <w:rPr>
          <w:rFonts w:ascii="Verdana" w:hAnsi="Verdana"/>
          <w:sz w:val="20"/>
          <w:szCs w:val="20"/>
          <w:lang w:val="en-US"/>
        </w:rPr>
        <w:t>the members</w:t>
      </w:r>
      <w:r w:rsidR="00926E61" w:rsidRPr="00FE7BA7">
        <w:rPr>
          <w:rFonts w:ascii="Verdana" w:hAnsi="Verdana"/>
          <w:sz w:val="20"/>
          <w:szCs w:val="20"/>
          <w:lang w:val="en-US"/>
        </w:rPr>
        <w:t xml:space="preserve"> </w:t>
      </w:r>
      <w:r w:rsidRPr="00FE7BA7">
        <w:rPr>
          <w:rFonts w:ascii="Verdana" w:hAnsi="Verdana"/>
          <w:sz w:val="20"/>
          <w:szCs w:val="20"/>
          <w:lang w:val="en-US"/>
        </w:rPr>
        <w:t>of the communities</w:t>
      </w:r>
      <w:r w:rsidR="00221CE8">
        <w:rPr>
          <w:rFonts w:ascii="Verdana" w:hAnsi="Verdana"/>
          <w:sz w:val="20"/>
          <w:szCs w:val="20"/>
          <w:lang w:val="en-US"/>
        </w:rPr>
        <w:t xml:space="preserve"> use the river</w:t>
      </w:r>
      <w:r w:rsidRPr="00FE7BA7">
        <w:rPr>
          <w:rFonts w:ascii="Verdana" w:hAnsi="Verdana"/>
          <w:sz w:val="20"/>
          <w:szCs w:val="20"/>
          <w:lang w:val="en-US"/>
        </w:rPr>
        <w:t xml:space="preserve"> to moor their boats, and for fishing, bathing, and washing their clothes.</w:t>
      </w:r>
      <w:r w:rsidR="00926E61" w:rsidRPr="00FE7BA7">
        <w:rPr>
          <w:rStyle w:val="FootnoteReference"/>
          <w:szCs w:val="20"/>
          <w:lang w:val="en-US"/>
        </w:rPr>
        <w:footnoteReference w:id="140"/>
      </w:r>
    </w:p>
    <w:p w14:paraId="63126910" w14:textId="77777777" w:rsidR="00926E61" w:rsidRPr="00FE7BA7" w:rsidRDefault="00926E61" w:rsidP="00926E61">
      <w:pPr>
        <w:jc w:val="both"/>
        <w:rPr>
          <w:rFonts w:ascii="Verdana" w:hAnsi="Verdana"/>
          <w:sz w:val="20"/>
          <w:szCs w:val="20"/>
          <w:lang w:val="en-US"/>
        </w:rPr>
      </w:pPr>
    </w:p>
    <w:p w14:paraId="63126911" w14:textId="29608FAF" w:rsidR="00926E61" w:rsidRPr="00FE7BA7" w:rsidRDefault="009D7E74" w:rsidP="00F726FD">
      <w:pPr>
        <w:pStyle w:val="ListParagraph"/>
        <w:numPr>
          <w:ilvl w:val="0"/>
          <w:numId w:val="2"/>
        </w:numPr>
        <w:ind w:left="0" w:hanging="11"/>
        <w:jc w:val="both"/>
        <w:rPr>
          <w:rFonts w:ascii="Verdana" w:hAnsi="Verdana"/>
          <w:snapToGrid w:val="0"/>
          <w:sz w:val="20"/>
          <w:szCs w:val="20"/>
          <w:lang w:val="en-US"/>
        </w:rPr>
      </w:pPr>
      <w:r w:rsidRPr="00FE7BA7">
        <w:rPr>
          <w:rFonts w:ascii="Verdana" w:hAnsi="Verdana"/>
          <w:sz w:val="20"/>
          <w:szCs w:val="20"/>
          <w:lang w:val="en-US"/>
        </w:rPr>
        <w:t xml:space="preserve">In addition to the construction of </w:t>
      </w:r>
      <w:r w:rsidR="009566E9">
        <w:rPr>
          <w:rFonts w:ascii="Verdana" w:hAnsi="Verdana"/>
          <w:sz w:val="20"/>
          <w:szCs w:val="20"/>
          <w:lang w:val="en-US"/>
        </w:rPr>
        <w:t>vacation</w:t>
      </w:r>
      <w:r w:rsidRPr="00FE7BA7">
        <w:rPr>
          <w:rFonts w:ascii="Verdana" w:hAnsi="Verdana"/>
          <w:sz w:val="20"/>
          <w:szCs w:val="20"/>
          <w:lang w:val="en-US"/>
        </w:rPr>
        <w:t xml:space="preserve"> homes, in 2008, an attempt was made to build a</w:t>
      </w:r>
      <w:r w:rsidR="00CC4954">
        <w:rPr>
          <w:rFonts w:ascii="Verdana" w:hAnsi="Verdana"/>
          <w:sz w:val="20"/>
          <w:szCs w:val="20"/>
          <w:lang w:val="en-US"/>
        </w:rPr>
        <w:t>n</w:t>
      </w:r>
      <w:r w:rsidR="005F4C6B">
        <w:rPr>
          <w:rFonts w:ascii="Verdana" w:hAnsi="Verdana"/>
          <w:sz w:val="20"/>
          <w:szCs w:val="20"/>
          <w:lang w:val="en-US"/>
        </w:rPr>
        <w:t xml:space="preserve"> aircraft</w:t>
      </w:r>
      <w:r w:rsidR="00CC4954">
        <w:rPr>
          <w:rFonts w:ascii="Verdana" w:hAnsi="Verdana"/>
          <w:sz w:val="20"/>
          <w:szCs w:val="20"/>
          <w:lang w:val="en-US"/>
        </w:rPr>
        <w:t xml:space="preserve"> </w:t>
      </w:r>
      <w:r w:rsidR="005F4C6B">
        <w:rPr>
          <w:rFonts w:ascii="Verdana" w:hAnsi="Verdana"/>
          <w:sz w:val="20"/>
          <w:szCs w:val="20"/>
          <w:lang w:val="en-US"/>
        </w:rPr>
        <w:t>hangar</w:t>
      </w:r>
      <w:r w:rsidR="00CC4954" w:rsidRPr="00CC4954">
        <w:rPr>
          <w:rFonts w:ascii="Verdana" w:hAnsi="Verdana"/>
          <w:sz w:val="20"/>
          <w:szCs w:val="20"/>
          <w:lang w:val="en-US"/>
        </w:rPr>
        <w:t xml:space="preserve"> </w:t>
      </w:r>
      <w:r w:rsidR="00CC4954" w:rsidRPr="00FE7BA7">
        <w:rPr>
          <w:rFonts w:ascii="Verdana" w:hAnsi="Verdana"/>
          <w:sz w:val="20"/>
          <w:szCs w:val="20"/>
          <w:lang w:val="en-US"/>
        </w:rPr>
        <w:t>in Marijkedorp</w:t>
      </w:r>
      <w:r w:rsidR="00CC4954" w:rsidRPr="00FE7BA7">
        <w:rPr>
          <w:rFonts w:ascii="Verdana" w:hAnsi="Verdana"/>
          <w:sz w:val="20"/>
          <w:lang w:val="en-US"/>
        </w:rPr>
        <w:t xml:space="preserve"> (</w:t>
      </w:r>
      <w:r w:rsidR="00CC4954" w:rsidRPr="00FE7BA7">
        <w:rPr>
          <w:rFonts w:ascii="Verdana" w:hAnsi="Verdana"/>
          <w:sz w:val="20"/>
          <w:szCs w:val="20"/>
          <w:lang w:val="en-US"/>
        </w:rPr>
        <w:t>Wan Shi Sha)</w:t>
      </w:r>
      <w:r w:rsidR="00CC4954">
        <w:rPr>
          <w:rFonts w:ascii="Verdana" w:hAnsi="Verdana"/>
          <w:sz w:val="20"/>
          <w:szCs w:val="20"/>
          <w:lang w:val="en-US"/>
        </w:rPr>
        <w:t>,</w:t>
      </w:r>
      <w:r w:rsidRPr="00FE7BA7">
        <w:rPr>
          <w:rFonts w:ascii="Verdana" w:hAnsi="Verdana"/>
          <w:sz w:val="20"/>
          <w:szCs w:val="20"/>
          <w:lang w:val="en-US"/>
        </w:rPr>
        <w:t xml:space="preserve"> and, currently, a hotel/casino is being built, which </w:t>
      </w:r>
      <w:r w:rsidR="002B5CCD" w:rsidRPr="00FE7BA7">
        <w:rPr>
          <w:rFonts w:ascii="Verdana" w:hAnsi="Verdana"/>
          <w:sz w:val="20"/>
          <w:szCs w:val="20"/>
          <w:lang w:val="en-US"/>
        </w:rPr>
        <w:t>the Court</w:t>
      </w:r>
      <w:r w:rsidR="00FD14B3" w:rsidRPr="00FE7BA7">
        <w:rPr>
          <w:rFonts w:ascii="Verdana" w:hAnsi="Verdana"/>
          <w:sz w:val="20"/>
          <w:szCs w:val="20"/>
          <w:lang w:val="en-US"/>
        </w:rPr>
        <w:t xml:space="preserve"> </w:t>
      </w:r>
      <w:r w:rsidRPr="00FE7BA7">
        <w:rPr>
          <w:rFonts w:ascii="Verdana" w:hAnsi="Verdana"/>
          <w:sz w:val="20"/>
          <w:szCs w:val="20"/>
          <w:lang w:val="en-US"/>
        </w:rPr>
        <w:t xml:space="preserve">observed </w:t>
      </w:r>
      <w:r w:rsidR="00FD14B3" w:rsidRPr="00FE7BA7">
        <w:rPr>
          <w:rFonts w:ascii="Verdana" w:hAnsi="Verdana"/>
          <w:sz w:val="20"/>
          <w:szCs w:val="20"/>
          <w:lang w:val="en-US"/>
        </w:rPr>
        <w:t xml:space="preserve">during </w:t>
      </w:r>
      <w:r w:rsidR="00CC4954">
        <w:rPr>
          <w:rFonts w:ascii="Verdana" w:hAnsi="Verdana"/>
          <w:sz w:val="20"/>
          <w:szCs w:val="20"/>
          <w:lang w:val="en-US"/>
        </w:rPr>
        <w:t>the on-site procedure</w:t>
      </w:r>
      <w:r w:rsidR="00926E61" w:rsidRPr="00FE7BA7">
        <w:rPr>
          <w:rFonts w:ascii="Verdana" w:hAnsi="Verdana"/>
          <w:sz w:val="20"/>
          <w:szCs w:val="20"/>
          <w:lang w:val="en-US"/>
        </w:rPr>
        <w:t xml:space="preserve">. </w:t>
      </w:r>
      <w:r w:rsidR="00CC4954">
        <w:rPr>
          <w:rFonts w:ascii="Verdana" w:hAnsi="Verdana"/>
          <w:sz w:val="20"/>
          <w:szCs w:val="20"/>
          <w:lang w:val="en-US"/>
        </w:rPr>
        <w:t>In addition</w:t>
      </w:r>
      <w:r w:rsidRPr="00FE7BA7">
        <w:rPr>
          <w:rFonts w:ascii="Verdana" w:hAnsi="Verdana"/>
          <w:sz w:val="20"/>
          <w:szCs w:val="20"/>
          <w:lang w:val="en-US"/>
        </w:rPr>
        <w:t>, i</w:t>
      </w:r>
      <w:r w:rsidR="00926E61" w:rsidRPr="00FE7BA7">
        <w:rPr>
          <w:rFonts w:ascii="Verdana" w:hAnsi="Verdana"/>
          <w:sz w:val="20"/>
          <w:szCs w:val="20"/>
          <w:lang w:val="en-US"/>
        </w:rPr>
        <w:t>n 2007</w:t>
      </w:r>
      <w:r w:rsidRPr="00FE7BA7">
        <w:rPr>
          <w:rFonts w:ascii="Verdana" w:hAnsi="Verdana"/>
          <w:sz w:val="20"/>
          <w:szCs w:val="20"/>
          <w:lang w:val="en-US"/>
        </w:rPr>
        <w:t xml:space="preserve">, a </w:t>
      </w:r>
      <w:r w:rsidR="00CC4954">
        <w:rPr>
          <w:rFonts w:ascii="Verdana" w:hAnsi="Verdana"/>
          <w:sz w:val="20"/>
          <w:szCs w:val="20"/>
          <w:lang w:val="en-US"/>
        </w:rPr>
        <w:t>lot</w:t>
      </w:r>
      <w:r w:rsidRPr="00FE7BA7">
        <w:rPr>
          <w:rFonts w:ascii="Verdana" w:hAnsi="Verdana"/>
          <w:sz w:val="20"/>
          <w:szCs w:val="20"/>
          <w:lang w:val="en-US"/>
        </w:rPr>
        <w:t xml:space="preserve"> was cleared in</w:t>
      </w:r>
      <w:r w:rsidR="00926E61" w:rsidRPr="00FE7BA7">
        <w:rPr>
          <w:rFonts w:ascii="Verdana" w:hAnsi="Verdana"/>
          <w:sz w:val="20"/>
          <w:szCs w:val="20"/>
          <w:lang w:val="en-US"/>
        </w:rPr>
        <w:t xml:space="preserve"> Pierrekondre</w:t>
      </w:r>
      <w:r w:rsidR="009566E9">
        <w:rPr>
          <w:rFonts w:ascii="Verdana" w:hAnsi="Verdana"/>
          <w:sz w:val="20"/>
          <w:szCs w:val="20"/>
          <w:lang w:val="en-US"/>
        </w:rPr>
        <w:t xml:space="preserve"> in order to build a </w:t>
      </w:r>
      <w:r w:rsidR="007632DA">
        <w:rPr>
          <w:rFonts w:ascii="Verdana" w:hAnsi="Verdana"/>
          <w:sz w:val="20"/>
          <w:szCs w:val="20"/>
          <w:lang w:val="en-US"/>
        </w:rPr>
        <w:t>gas</w:t>
      </w:r>
      <w:r w:rsidR="007632DA" w:rsidRPr="00FE7BA7">
        <w:rPr>
          <w:rFonts w:ascii="Verdana" w:hAnsi="Verdana"/>
          <w:sz w:val="20"/>
          <w:szCs w:val="20"/>
          <w:lang w:val="en-US"/>
        </w:rPr>
        <w:t xml:space="preserve"> </w:t>
      </w:r>
      <w:r w:rsidRPr="00FE7BA7">
        <w:rPr>
          <w:rFonts w:ascii="Verdana" w:hAnsi="Verdana"/>
          <w:sz w:val="20"/>
          <w:szCs w:val="20"/>
          <w:lang w:val="en-US"/>
        </w:rPr>
        <w:t xml:space="preserve">station and a shopping </w:t>
      </w:r>
      <w:r w:rsidR="009566E9">
        <w:rPr>
          <w:rFonts w:ascii="Verdana" w:hAnsi="Verdana"/>
          <w:sz w:val="20"/>
          <w:szCs w:val="20"/>
          <w:lang w:val="en-US"/>
        </w:rPr>
        <w:t>mall</w:t>
      </w:r>
      <w:r w:rsidRPr="00FE7BA7">
        <w:rPr>
          <w:rFonts w:ascii="Verdana" w:hAnsi="Verdana"/>
          <w:sz w:val="20"/>
          <w:szCs w:val="20"/>
          <w:lang w:val="en-US"/>
        </w:rPr>
        <w:t>.</w:t>
      </w:r>
      <w:r w:rsidR="00926E61" w:rsidRPr="00FE7BA7">
        <w:rPr>
          <w:rStyle w:val="FootnoteReference"/>
          <w:szCs w:val="20"/>
          <w:lang w:val="en-US"/>
        </w:rPr>
        <w:footnoteReference w:id="141"/>
      </w:r>
      <w:r w:rsidR="00F726FD" w:rsidRPr="00FE7BA7">
        <w:rPr>
          <w:rFonts w:ascii="Verdana" w:hAnsi="Verdana"/>
          <w:snapToGrid w:val="0"/>
          <w:sz w:val="20"/>
          <w:szCs w:val="20"/>
          <w:lang w:val="en-US"/>
        </w:rPr>
        <w:t xml:space="preserve"> </w:t>
      </w:r>
      <w:r w:rsidRPr="00FE7BA7">
        <w:rPr>
          <w:rFonts w:ascii="Verdana" w:hAnsi="Verdana"/>
          <w:snapToGrid w:val="0"/>
          <w:sz w:val="20"/>
          <w:szCs w:val="20"/>
          <w:lang w:val="en-US"/>
        </w:rPr>
        <w:t>Based on the foregoing</w:t>
      </w:r>
      <w:r w:rsidR="00926E61" w:rsidRPr="00FE7BA7">
        <w:rPr>
          <w:rFonts w:ascii="Verdana" w:hAnsi="Verdana"/>
          <w:snapToGrid w:val="0"/>
          <w:sz w:val="20"/>
          <w:szCs w:val="20"/>
          <w:lang w:val="en-US"/>
        </w:rPr>
        <w:t xml:space="preserve">, </w:t>
      </w:r>
      <w:r w:rsidR="00E91479" w:rsidRPr="00FE7BA7">
        <w:rPr>
          <w:rFonts w:ascii="Verdana" w:hAnsi="Verdana"/>
          <w:snapToGrid w:val="0"/>
          <w:sz w:val="20"/>
          <w:szCs w:val="20"/>
          <w:lang w:val="en-US"/>
        </w:rPr>
        <w:t>the members of the indigenous communities</w:t>
      </w:r>
      <w:r w:rsidR="00926E61"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are faced with persistent legal uncertainty because they could be expelled from the </w:t>
      </w:r>
      <w:r w:rsidR="00CC4954">
        <w:rPr>
          <w:rFonts w:ascii="Verdana" w:hAnsi="Verdana"/>
          <w:snapToGrid w:val="0"/>
          <w:sz w:val="20"/>
          <w:szCs w:val="20"/>
          <w:lang w:val="en-US"/>
        </w:rPr>
        <w:t>land on</w:t>
      </w:r>
      <w:r w:rsidRPr="00FE7BA7">
        <w:rPr>
          <w:rFonts w:ascii="Verdana" w:hAnsi="Verdana"/>
          <w:snapToGrid w:val="0"/>
          <w:sz w:val="20"/>
          <w:szCs w:val="20"/>
          <w:lang w:val="en-US"/>
        </w:rPr>
        <w:t xml:space="preserve"> which they are presently living.</w:t>
      </w:r>
      <w:r w:rsidR="00AB4E75" w:rsidRPr="00FE7BA7">
        <w:rPr>
          <w:rStyle w:val="FootnoteReference"/>
          <w:snapToGrid w:val="0"/>
          <w:lang w:val="en-US"/>
        </w:rPr>
        <w:footnoteReference w:id="142"/>
      </w:r>
      <w:r w:rsidR="00AB4E75" w:rsidRPr="00FE7BA7">
        <w:rPr>
          <w:rFonts w:ascii="Verdana" w:hAnsi="Verdana"/>
          <w:b/>
          <w:snapToGrid w:val="0"/>
          <w:sz w:val="20"/>
          <w:szCs w:val="20"/>
          <w:lang w:val="en-US"/>
        </w:rPr>
        <w:t xml:space="preserve"> </w:t>
      </w:r>
    </w:p>
    <w:p w14:paraId="63126912" w14:textId="77777777" w:rsidR="00E4033A" w:rsidRPr="00FE7BA7" w:rsidRDefault="00E4033A" w:rsidP="00E4033A">
      <w:pPr>
        <w:pStyle w:val="ListParagraph"/>
        <w:ind w:left="0"/>
        <w:jc w:val="both"/>
        <w:rPr>
          <w:lang w:val="en-US"/>
        </w:rPr>
      </w:pPr>
    </w:p>
    <w:p w14:paraId="63126913" w14:textId="77777777" w:rsidR="00A825D8" w:rsidRPr="00FE7BA7" w:rsidRDefault="007E0325" w:rsidP="002C323A">
      <w:pPr>
        <w:pStyle w:val="Heading1"/>
        <w:tabs>
          <w:tab w:val="left" w:pos="851"/>
        </w:tabs>
        <w:spacing w:before="0"/>
        <w:jc w:val="center"/>
        <w:rPr>
          <w:lang w:val="en-US"/>
        </w:rPr>
      </w:pPr>
      <w:bookmarkStart w:id="26" w:name="_Toc441673199"/>
      <w:r w:rsidRPr="00FE7BA7">
        <w:rPr>
          <w:rFonts w:ascii="Verdana" w:hAnsi="Verdana" w:cs="Verdana"/>
          <w:caps/>
          <w:snapToGrid w:val="0"/>
          <w:color w:val="auto"/>
          <w:sz w:val="20"/>
          <w:szCs w:val="20"/>
          <w:lang w:val="en-US"/>
        </w:rPr>
        <w:t>VI</w:t>
      </w:r>
      <w:r w:rsidRPr="00FE7BA7">
        <w:rPr>
          <w:rFonts w:ascii="Verdana" w:hAnsi="Verdana" w:cs="Verdana"/>
          <w:caps/>
          <w:snapToGrid w:val="0"/>
          <w:color w:val="auto"/>
          <w:sz w:val="20"/>
          <w:szCs w:val="20"/>
          <w:lang w:val="en-US"/>
        </w:rPr>
        <w:br/>
      </w:r>
      <w:r w:rsidR="00A308FA" w:rsidRPr="00FE7BA7">
        <w:rPr>
          <w:rFonts w:ascii="Verdana" w:hAnsi="Verdana" w:cs="Verdana"/>
          <w:caps/>
          <w:snapToGrid w:val="0"/>
          <w:color w:val="auto"/>
          <w:sz w:val="20"/>
          <w:szCs w:val="20"/>
          <w:lang w:val="en-US"/>
        </w:rPr>
        <w:t>MERITS</w:t>
      </w:r>
      <w:bookmarkEnd w:id="26"/>
    </w:p>
    <w:p w14:paraId="63126914" w14:textId="77777777" w:rsidR="00A825D8" w:rsidRPr="00FE7BA7" w:rsidRDefault="00A825D8" w:rsidP="007E0325">
      <w:pPr>
        <w:jc w:val="both"/>
        <w:rPr>
          <w:rFonts w:ascii="Verdana" w:hAnsi="Verdana"/>
          <w:sz w:val="20"/>
          <w:szCs w:val="20"/>
          <w:lang w:val="en-US"/>
        </w:rPr>
      </w:pPr>
    </w:p>
    <w:p w14:paraId="63126915" w14:textId="65066FEE" w:rsidR="007E0325" w:rsidRPr="00FE7BA7" w:rsidRDefault="00A308FA" w:rsidP="00B155B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Based on </w:t>
      </w:r>
      <w:r w:rsidR="003231F8" w:rsidRPr="00FE7BA7">
        <w:rPr>
          <w:rFonts w:ascii="Verdana" w:hAnsi="Verdana"/>
          <w:sz w:val="20"/>
          <w:szCs w:val="20"/>
          <w:lang w:val="en-US"/>
        </w:rPr>
        <w:t xml:space="preserve">the rights </w:t>
      </w:r>
      <w:r w:rsidR="002B5CCD" w:rsidRPr="00FE7BA7">
        <w:rPr>
          <w:rFonts w:ascii="Verdana" w:hAnsi="Verdana"/>
          <w:sz w:val="20"/>
          <w:szCs w:val="20"/>
          <w:lang w:val="en-US"/>
        </w:rPr>
        <w:t>of the Convention</w:t>
      </w:r>
      <w:r w:rsidR="007E0325" w:rsidRPr="00FE7BA7">
        <w:rPr>
          <w:rFonts w:ascii="Verdana" w:hAnsi="Verdana"/>
          <w:sz w:val="20"/>
          <w:szCs w:val="20"/>
          <w:lang w:val="en-US"/>
        </w:rPr>
        <w:t xml:space="preserve"> a</w:t>
      </w:r>
      <w:r w:rsidR="003231F8" w:rsidRPr="00FE7BA7">
        <w:rPr>
          <w:rFonts w:ascii="Verdana" w:hAnsi="Verdana"/>
          <w:sz w:val="20"/>
          <w:szCs w:val="20"/>
          <w:lang w:val="en-US"/>
        </w:rPr>
        <w:t>rgued in this case, the Court will make the following analysis: (</w:t>
      </w:r>
      <w:r w:rsidR="007E0325" w:rsidRPr="00FE7BA7">
        <w:rPr>
          <w:rFonts w:ascii="Verdana" w:hAnsi="Verdana"/>
          <w:sz w:val="20"/>
          <w:szCs w:val="20"/>
          <w:lang w:val="en-US"/>
        </w:rPr>
        <w:t xml:space="preserve">1) </w:t>
      </w:r>
      <w:r w:rsidR="003231F8" w:rsidRPr="00FE7BA7">
        <w:rPr>
          <w:rFonts w:ascii="Verdana" w:hAnsi="Verdana"/>
          <w:sz w:val="20"/>
          <w:szCs w:val="20"/>
          <w:lang w:val="en-US"/>
        </w:rPr>
        <w:t>Right to juridical personality</w:t>
      </w:r>
      <w:r w:rsidR="007E0325" w:rsidRPr="00FE7BA7">
        <w:rPr>
          <w:rFonts w:ascii="Verdana" w:hAnsi="Verdana"/>
          <w:sz w:val="20"/>
          <w:szCs w:val="20"/>
          <w:lang w:val="en-US"/>
        </w:rPr>
        <w:t xml:space="preserve"> </w:t>
      </w:r>
      <w:r w:rsidR="00773D70" w:rsidRPr="00FE7BA7">
        <w:rPr>
          <w:rFonts w:ascii="Verdana" w:hAnsi="Verdana"/>
          <w:sz w:val="20"/>
          <w:szCs w:val="20"/>
          <w:lang w:val="en-US"/>
        </w:rPr>
        <w:t>in relation to Article</w:t>
      </w:r>
      <w:r w:rsidR="002B5CCD" w:rsidRPr="00FE7BA7">
        <w:rPr>
          <w:rFonts w:ascii="Verdana" w:hAnsi="Verdana"/>
          <w:sz w:val="20"/>
          <w:szCs w:val="20"/>
          <w:lang w:val="en-US"/>
        </w:rPr>
        <w:t>s</w:t>
      </w:r>
      <w:r w:rsidR="007E0325" w:rsidRPr="00FE7BA7">
        <w:rPr>
          <w:rFonts w:ascii="Verdana" w:hAnsi="Verdana"/>
          <w:sz w:val="20"/>
          <w:szCs w:val="20"/>
          <w:lang w:val="en-US"/>
        </w:rPr>
        <w:t xml:space="preserve"> 21, 25, </w:t>
      </w:r>
      <w:r w:rsidR="00C34C52" w:rsidRPr="00FE7BA7">
        <w:rPr>
          <w:rFonts w:ascii="Verdana" w:hAnsi="Verdana"/>
          <w:sz w:val="20"/>
          <w:szCs w:val="20"/>
          <w:lang w:val="en-US"/>
        </w:rPr>
        <w:t>1(1)</w:t>
      </w:r>
      <w:r w:rsidR="002B5CCD" w:rsidRPr="00FE7BA7">
        <w:rPr>
          <w:rFonts w:ascii="Verdana" w:hAnsi="Verdana"/>
          <w:sz w:val="20"/>
          <w:szCs w:val="20"/>
          <w:lang w:val="en-US"/>
        </w:rPr>
        <w:t xml:space="preserve"> and </w:t>
      </w:r>
      <w:r w:rsidR="007E0325" w:rsidRPr="00FE7BA7">
        <w:rPr>
          <w:rFonts w:ascii="Verdana" w:hAnsi="Verdana"/>
          <w:sz w:val="20"/>
          <w:szCs w:val="20"/>
          <w:lang w:val="en-US"/>
        </w:rPr>
        <w:t>2</w:t>
      </w:r>
      <w:r w:rsidR="002B5CCD" w:rsidRPr="00FE7BA7">
        <w:rPr>
          <w:rFonts w:ascii="Verdana" w:hAnsi="Verdana"/>
          <w:sz w:val="20"/>
          <w:szCs w:val="20"/>
          <w:lang w:val="en-US"/>
        </w:rPr>
        <w:t xml:space="preserve"> of the American Convention</w:t>
      </w:r>
      <w:r w:rsidR="007E0325" w:rsidRPr="00FE7BA7">
        <w:rPr>
          <w:rFonts w:ascii="Verdana" w:hAnsi="Verdana"/>
          <w:sz w:val="20"/>
          <w:szCs w:val="20"/>
          <w:lang w:val="en-US"/>
        </w:rPr>
        <w:t xml:space="preserve">; </w:t>
      </w:r>
      <w:r w:rsidR="003231F8" w:rsidRPr="00FE7BA7">
        <w:rPr>
          <w:rFonts w:ascii="Verdana" w:hAnsi="Verdana"/>
          <w:sz w:val="20"/>
          <w:szCs w:val="20"/>
          <w:lang w:val="en-US"/>
        </w:rPr>
        <w:t>(</w:t>
      </w:r>
      <w:r w:rsidR="007E0325" w:rsidRPr="00FE7BA7">
        <w:rPr>
          <w:rFonts w:ascii="Verdana" w:hAnsi="Verdana"/>
          <w:sz w:val="20"/>
          <w:szCs w:val="20"/>
          <w:lang w:val="en-US"/>
        </w:rPr>
        <w:t xml:space="preserve">2) </w:t>
      </w:r>
      <w:r w:rsidR="003231F8" w:rsidRPr="00FE7BA7">
        <w:rPr>
          <w:rFonts w:ascii="Verdana" w:hAnsi="Verdana"/>
          <w:sz w:val="20"/>
          <w:szCs w:val="20"/>
          <w:lang w:val="en-US"/>
        </w:rPr>
        <w:t xml:space="preserve">Right to collective property </w:t>
      </w:r>
      <w:r w:rsidR="00DF0BAA">
        <w:rPr>
          <w:rFonts w:ascii="Verdana" w:hAnsi="Verdana"/>
          <w:sz w:val="20"/>
          <w:szCs w:val="20"/>
          <w:lang w:val="en-US"/>
        </w:rPr>
        <w:t xml:space="preserve">and </w:t>
      </w:r>
      <w:r w:rsidR="008608DF">
        <w:rPr>
          <w:rFonts w:ascii="Verdana" w:hAnsi="Verdana"/>
          <w:sz w:val="20"/>
          <w:szCs w:val="20"/>
          <w:lang w:val="en-US"/>
        </w:rPr>
        <w:t xml:space="preserve">the </w:t>
      </w:r>
      <w:r w:rsidR="00DF0BAA">
        <w:rPr>
          <w:rFonts w:ascii="Verdana" w:hAnsi="Verdana"/>
          <w:sz w:val="20"/>
          <w:szCs w:val="20"/>
          <w:lang w:val="en-US"/>
        </w:rPr>
        <w:t xml:space="preserve">Right </w:t>
      </w:r>
      <w:r w:rsidR="008608DF">
        <w:rPr>
          <w:rFonts w:ascii="Verdana" w:hAnsi="Verdana"/>
          <w:sz w:val="20"/>
          <w:szCs w:val="20"/>
          <w:lang w:val="en-US"/>
        </w:rPr>
        <w:t xml:space="preserve">to participate in public affairs </w:t>
      </w:r>
      <w:r w:rsidR="00773D70" w:rsidRPr="00FE7BA7">
        <w:rPr>
          <w:rFonts w:ascii="Verdana" w:hAnsi="Verdana"/>
          <w:sz w:val="20"/>
          <w:szCs w:val="20"/>
          <w:lang w:val="en-US"/>
        </w:rPr>
        <w:t>in relation to Articles 1(1)</w:t>
      </w:r>
      <w:r w:rsidR="002B5CCD" w:rsidRPr="00FE7BA7">
        <w:rPr>
          <w:rFonts w:ascii="Verdana" w:hAnsi="Verdana"/>
          <w:sz w:val="20"/>
          <w:szCs w:val="20"/>
          <w:lang w:val="en-US"/>
        </w:rPr>
        <w:t xml:space="preserve"> and </w:t>
      </w:r>
      <w:r w:rsidR="007E0325" w:rsidRPr="00FE7BA7">
        <w:rPr>
          <w:rFonts w:ascii="Verdana" w:hAnsi="Verdana"/>
          <w:sz w:val="20"/>
          <w:szCs w:val="20"/>
          <w:lang w:val="en-US"/>
        </w:rPr>
        <w:t>2</w:t>
      </w:r>
      <w:r w:rsidR="002B5CCD" w:rsidRPr="00FE7BA7">
        <w:rPr>
          <w:rFonts w:ascii="Verdana" w:hAnsi="Verdana"/>
          <w:sz w:val="20"/>
          <w:szCs w:val="20"/>
          <w:lang w:val="en-US"/>
        </w:rPr>
        <w:t xml:space="preserve"> of the American Convention</w:t>
      </w:r>
      <w:r w:rsidR="007E0325" w:rsidRPr="00FE7BA7">
        <w:rPr>
          <w:rFonts w:ascii="Verdana" w:hAnsi="Verdana"/>
          <w:sz w:val="20"/>
          <w:szCs w:val="20"/>
          <w:lang w:val="en-US"/>
        </w:rPr>
        <w:t>,</w:t>
      </w:r>
      <w:r w:rsidR="002B5CCD" w:rsidRPr="00FE7BA7">
        <w:rPr>
          <w:rFonts w:ascii="Verdana" w:hAnsi="Verdana"/>
          <w:sz w:val="20"/>
          <w:szCs w:val="20"/>
          <w:lang w:val="en-US"/>
        </w:rPr>
        <w:t xml:space="preserve"> and </w:t>
      </w:r>
      <w:r w:rsidR="003231F8" w:rsidRPr="00FE7BA7">
        <w:rPr>
          <w:rFonts w:ascii="Verdana" w:hAnsi="Verdana"/>
          <w:sz w:val="20"/>
          <w:szCs w:val="20"/>
          <w:lang w:val="en-US"/>
        </w:rPr>
        <w:t>(</w:t>
      </w:r>
      <w:r w:rsidR="007E0325" w:rsidRPr="00FE7BA7">
        <w:rPr>
          <w:rFonts w:ascii="Verdana" w:hAnsi="Verdana"/>
          <w:sz w:val="20"/>
          <w:szCs w:val="20"/>
          <w:lang w:val="en-US"/>
        </w:rPr>
        <w:t xml:space="preserve">3) </w:t>
      </w:r>
      <w:r w:rsidR="003231F8" w:rsidRPr="00FE7BA7">
        <w:rPr>
          <w:rFonts w:ascii="Verdana" w:hAnsi="Verdana"/>
          <w:sz w:val="20"/>
          <w:szCs w:val="20"/>
          <w:lang w:val="en-US"/>
        </w:rPr>
        <w:t xml:space="preserve">Right to </w:t>
      </w:r>
      <w:r w:rsidR="00B257B6" w:rsidRPr="00FE7BA7">
        <w:rPr>
          <w:rFonts w:ascii="Verdana" w:hAnsi="Verdana"/>
          <w:sz w:val="20"/>
          <w:szCs w:val="20"/>
          <w:lang w:val="en-US"/>
        </w:rPr>
        <w:t>judicial protection</w:t>
      </w:r>
      <w:r w:rsidR="007E0325" w:rsidRPr="00FE7BA7">
        <w:rPr>
          <w:rFonts w:ascii="Verdana" w:hAnsi="Verdana"/>
          <w:sz w:val="20"/>
          <w:szCs w:val="20"/>
          <w:lang w:val="en-US"/>
        </w:rPr>
        <w:t xml:space="preserve"> </w:t>
      </w:r>
      <w:r w:rsidR="00773D70" w:rsidRPr="00FE7BA7">
        <w:rPr>
          <w:rFonts w:ascii="Verdana" w:hAnsi="Verdana"/>
          <w:sz w:val="20"/>
          <w:szCs w:val="20"/>
          <w:lang w:val="en-US"/>
        </w:rPr>
        <w:t>in relation to Articles 1(1)</w:t>
      </w:r>
      <w:r w:rsidR="007E0325" w:rsidRPr="00FE7BA7">
        <w:rPr>
          <w:rFonts w:ascii="Verdana" w:hAnsi="Verdana"/>
          <w:sz w:val="20"/>
          <w:szCs w:val="20"/>
          <w:lang w:val="en-US"/>
        </w:rPr>
        <w:t>, 2</w:t>
      </w:r>
      <w:r w:rsidR="002B5CCD" w:rsidRPr="00FE7BA7">
        <w:rPr>
          <w:rFonts w:ascii="Verdana" w:hAnsi="Verdana"/>
          <w:sz w:val="20"/>
          <w:szCs w:val="20"/>
          <w:lang w:val="en-US"/>
        </w:rPr>
        <w:t xml:space="preserve"> and </w:t>
      </w:r>
      <w:r w:rsidR="007E0325" w:rsidRPr="00FE7BA7">
        <w:rPr>
          <w:rFonts w:ascii="Verdana" w:hAnsi="Verdana"/>
          <w:sz w:val="20"/>
          <w:szCs w:val="20"/>
          <w:lang w:val="en-US"/>
        </w:rPr>
        <w:t>13</w:t>
      </w:r>
      <w:r w:rsidR="002B5CCD" w:rsidRPr="00FE7BA7">
        <w:rPr>
          <w:rFonts w:ascii="Verdana" w:hAnsi="Verdana"/>
          <w:sz w:val="20"/>
          <w:szCs w:val="20"/>
          <w:lang w:val="en-US"/>
        </w:rPr>
        <w:t xml:space="preserve"> of the American Convention</w:t>
      </w:r>
      <w:r w:rsidR="007E0325" w:rsidRPr="00FE7BA7">
        <w:rPr>
          <w:rFonts w:ascii="Verdana" w:hAnsi="Verdana"/>
          <w:sz w:val="20"/>
          <w:szCs w:val="20"/>
          <w:lang w:val="en-US"/>
        </w:rPr>
        <w:t>.</w:t>
      </w:r>
      <w:r w:rsidR="007E0325" w:rsidRPr="00FE7BA7">
        <w:rPr>
          <w:rFonts w:ascii="Verdana" w:hAnsi="Verdana"/>
          <w:b/>
          <w:sz w:val="20"/>
          <w:szCs w:val="20"/>
          <w:lang w:val="en-US"/>
        </w:rPr>
        <w:t xml:space="preserve"> </w:t>
      </w:r>
      <w:r w:rsidR="003231F8" w:rsidRPr="00FE7BA7">
        <w:rPr>
          <w:rFonts w:ascii="Verdana" w:hAnsi="Verdana"/>
          <w:sz w:val="20"/>
          <w:szCs w:val="20"/>
          <w:lang w:val="en-US"/>
        </w:rPr>
        <w:t xml:space="preserve">It should be noted that, pursuant to the Court’s case law, the references made to standards concerning the rights of indigenous peoples are also applicable to tribal peoples. </w:t>
      </w:r>
    </w:p>
    <w:p w14:paraId="63126916" w14:textId="77777777" w:rsidR="007E0325" w:rsidRPr="00FE7BA7" w:rsidRDefault="007E0325" w:rsidP="007E0325">
      <w:pPr>
        <w:jc w:val="both"/>
        <w:rPr>
          <w:rFonts w:ascii="Verdana" w:hAnsi="Verdana"/>
          <w:sz w:val="20"/>
          <w:szCs w:val="20"/>
          <w:lang w:val="en-US"/>
        </w:rPr>
      </w:pPr>
    </w:p>
    <w:p w14:paraId="63126917" w14:textId="77777777" w:rsidR="007E0325" w:rsidRPr="00FE7BA7" w:rsidRDefault="007E0325" w:rsidP="003231F8">
      <w:pPr>
        <w:pStyle w:val="Heading1"/>
        <w:tabs>
          <w:tab w:val="left" w:pos="851"/>
        </w:tabs>
        <w:spacing w:before="0"/>
        <w:jc w:val="center"/>
        <w:rPr>
          <w:rFonts w:ascii="Verdana" w:hAnsi="Verdana" w:cs="Verdana"/>
          <w:caps/>
          <w:snapToGrid w:val="0"/>
          <w:color w:val="auto"/>
          <w:sz w:val="20"/>
          <w:szCs w:val="20"/>
          <w:lang w:val="en-US"/>
        </w:rPr>
      </w:pPr>
      <w:bookmarkStart w:id="27" w:name="_Toc436065812"/>
      <w:bookmarkStart w:id="28" w:name="_Toc436289278"/>
      <w:bookmarkStart w:id="29" w:name="_Toc438137470"/>
      <w:bookmarkStart w:id="30" w:name="_Toc441673200"/>
      <w:r w:rsidRPr="00FE7BA7">
        <w:rPr>
          <w:rFonts w:ascii="Verdana" w:hAnsi="Verdana" w:cs="Verdana"/>
          <w:caps/>
          <w:snapToGrid w:val="0"/>
          <w:color w:val="auto"/>
          <w:sz w:val="20"/>
          <w:szCs w:val="20"/>
          <w:lang w:val="en-US"/>
        </w:rPr>
        <w:t>VI-I</w:t>
      </w:r>
      <w:r w:rsidRPr="00FE7BA7">
        <w:rPr>
          <w:rFonts w:ascii="Verdana" w:hAnsi="Verdana" w:cs="Verdana"/>
          <w:caps/>
          <w:snapToGrid w:val="0"/>
          <w:color w:val="auto"/>
          <w:sz w:val="20"/>
          <w:szCs w:val="20"/>
          <w:lang w:val="en-US"/>
        </w:rPr>
        <w:br/>
      </w:r>
      <w:r w:rsidR="003231F8" w:rsidRPr="00FE7BA7">
        <w:rPr>
          <w:rFonts w:ascii="Verdana" w:hAnsi="Verdana" w:cs="Verdana"/>
          <w:caps/>
          <w:snapToGrid w:val="0"/>
          <w:color w:val="auto"/>
          <w:sz w:val="20"/>
          <w:szCs w:val="20"/>
          <w:lang w:val="en-US"/>
        </w:rPr>
        <w:t>RIGHT TO</w:t>
      </w:r>
      <w:r w:rsidRPr="00FE7BA7">
        <w:rPr>
          <w:rFonts w:ascii="Verdana" w:hAnsi="Verdana" w:cs="Verdana"/>
          <w:caps/>
          <w:snapToGrid w:val="0"/>
          <w:color w:val="auto"/>
          <w:sz w:val="20"/>
          <w:szCs w:val="20"/>
          <w:lang w:val="en-US"/>
        </w:rPr>
        <w:t xml:space="preserve"> </w:t>
      </w:r>
      <w:r w:rsidR="00773D70" w:rsidRPr="00FE7BA7">
        <w:rPr>
          <w:rFonts w:ascii="Verdana" w:hAnsi="Verdana" w:cs="Verdana"/>
          <w:caps/>
          <w:snapToGrid w:val="0"/>
          <w:color w:val="auto"/>
          <w:sz w:val="20"/>
          <w:szCs w:val="20"/>
          <w:lang w:val="en-US"/>
        </w:rPr>
        <w:t>recognition of juridical personality</w:t>
      </w:r>
      <w:r w:rsidRPr="00FE7BA7">
        <w:rPr>
          <w:rFonts w:ascii="Verdana" w:hAnsi="Verdana" w:cs="Verdana"/>
          <w:caps/>
          <w:snapToGrid w:val="0"/>
          <w:color w:val="auto"/>
          <w:sz w:val="20"/>
          <w:szCs w:val="20"/>
          <w:lang w:val="en-US"/>
        </w:rPr>
        <w:t xml:space="preserve"> </w:t>
      </w:r>
      <w:r w:rsidR="00A825D8" w:rsidRPr="00FE7BA7">
        <w:rPr>
          <w:rFonts w:ascii="Verdana" w:hAnsi="Verdana" w:cs="Verdana"/>
          <w:caps/>
          <w:snapToGrid w:val="0"/>
          <w:color w:val="auto"/>
          <w:sz w:val="20"/>
          <w:szCs w:val="20"/>
          <w:lang w:val="en-US"/>
        </w:rPr>
        <w:t>(</w:t>
      </w:r>
      <w:r w:rsidR="00BE4D11" w:rsidRPr="00FE7BA7">
        <w:rPr>
          <w:rFonts w:ascii="Verdana" w:hAnsi="Verdana" w:cs="Verdana"/>
          <w:caps/>
          <w:snapToGrid w:val="0"/>
          <w:color w:val="auto"/>
          <w:sz w:val="20"/>
          <w:szCs w:val="20"/>
          <w:lang w:val="en-US"/>
        </w:rPr>
        <w:t>Article</w:t>
      </w:r>
      <w:r w:rsidR="00A825D8" w:rsidRPr="00FE7BA7">
        <w:rPr>
          <w:rFonts w:ascii="Verdana" w:hAnsi="Verdana" w:cs="Verdana"/>
          <w:caps/>
          <w:snapToGrid w:val="0"/>
          <w:color w:val="auto"/>
          <w:sz w:val="20"/>
          <w:szCs w:val="20"/>
          <w:lang w:val="en-US"/>
        </w:rPr>
        <w:t xml:space="preserve"> 3) </w:t>
      </w:r>
      <w:r w:rsidR="00773D70" w:rsidRPr="00FE7BA7">
        <w:rPr>
          <w:rFonts w:ascii="Verdana" w:hAnsi="Verdana" w:cs="Verdana"/>
          <w:caps/>
          <w:snapToGrid w:val="0"/>
          <w:color w:val="auto"/>
          <w:sz w:val="20"/>
          <w:szCs w:val="20"/>
          <w:lang w:val="en-US"/>
        </w:rPr>
        <w:t>in relation to Articles 1(1)</w:t>
      </w:r>
      <w:r w:rsidR="00156905" w:rsidRPr="00FE7BA7">
        <w:rPr>
          <w:rFonts w:ascii="Verdana" w:hAnsi="Verdana" w:cs="Verdana"/>
          <w:caps/>
          <w:snapToGrid w:val="0"/>
          <w:color w:val="auto"/>
          <w:sz w:val="20"/>
          <w:szCs w:val="20"/>
          <w:lang w:val="en-US"/>
        </w:rPr>
        <w:t xml:space="preserve">, 2, </w:t>
      </w:r>
      <w:r w:rsidRPr="00FE7BA7">
        <w:rPr>
          <w:rFonts w:ascii="Verdana" w:hAnsi="Verdana" w:cs="Verdana"/>
          <w:caps/>
          <w:snapToGrid w:val="0"/>
          <w:color w:val="auto"/>
          <w:sz w:val="20"/>
          <w:szCs w:val="20"/>
          <w:lang w:val="en-US"/>
        </w:rPr>
        <w:t>21</w:t>
      </w:r>
      <w:r w:rsidR="002B5CCD" w:rsidRPr="00FE7BA7">
        <w:rPr>
          <w:rFonts w:ascii="Verdana" w:hAnsi="Verdana" w:cs="Verdana"/>
          <w:caps/>
          <w:snapToGrid w:val="0"/>
          <w:color w:val="auto"/>
          <w:sz w:val="20"/>
          <w:szCs w:val="20"/>
          <w:lang w:val="en-US"/>
        </w:rPr>
        <w:t xml:space="preserve"> and </w:t>
      </w:r>
      <w:r w:rsidRPr="00FE7BA7">
        <w:rPr>
          <w:rFonts w:ascii="Verdana" w:hAnsi="Verdana" w:cs="Verdana"/>
          <w:caps/>
          <w:snapToGrid w:val="0"/>
          <w:color w:val="auto"/>
          <w:sz w:val="20"/>
          <w:szCs w:val="20"/>
          <w:lang w:val="en-US"/>
        </w:rPr>
        <w:t>25</w:t>
      </w:r>
      <w:bookmarkEnd w:id="27"/>
      <w:bookmarkEnd w:id="28"/>
      <w:bookmarkEnd w:id="29"/>
      <w:r w:rsidR="00156905" w:rsidRPr="00FE7BA7">
        <w:rPr>
          <w:rFonts w:ascii="Verdana" w:hAnsi="Verdana" w:cs="Verdana"/>
          <w:caps/>
          <w:snapToGrid w:val="0"/>
          <w:color w:val="auto"/>
          <w:sz w:val="20"/>
          <w:szCs w:val="20"/>
          <w:lang w:val="en-US"/>
        </w:rPr>
        <w:t xml:space="preserve"> </w:t>
      </w:r>
      <w:bookmarkStart w:id="31" w:name="_Toc434249359"/>
      <w:bookmarkStart w:id="32" w:name="_Toc434939909"/>
      <w:r w:rsidR="003231F8" w:rsidRPr="00FE7BA7">
        <w:rPr>
          <w:rFonts w:ascii="Verdana" w:hAnsi="Verdana" w:cs="Verdana"/>
          <w:caps/>
          <w:snapToGrid w:val="0"/>
          <w:color w:val="auto"/>
          <w:sz w:val="20"/>
          <w:szCs w:val="20"/>
          <w:lang w:val="en-US"/>
        </w:rPr>
        <w:t xml:space="preserve">of the </w:t>
      </w:r>
      <w:r w:rsidR="002B5CCD" w:rsidRPr="00FE7BA7">
        <w:rPr>
          <w:rFonts w:ascii="Verdana" w:hAnsi="Verdana" w:cs="Verdana"/>
          <w:caps/>
          <w:snapToGrid w:val="0"/>
          <w:color w:val="auto"/>
          <w:sz w:val="20"/>
          <w:szCs w:val="20"/>
          <w:lang w:val="en-US"/>
        </w:rPr>
        <w:t>American Convention on Human Rights</w:t>
      </w:r>
      <w:bookmarkEnd w:id="30"/>
      <w:bookmarkEnd w:id="31"/>
      <w:bookmarkEnd w:id="32"/>
    </w:p>
    <w:p w14:paraId="63126918" w14:textId="77777777" w:rsidR="007E0325" w:rsidRPr="00FE7BA7" w:rsidRDefault="007E0325" w:rsidP="007E0325">
      <w:pPr>
        <w:jc w:val="both"/>
        <w:rPr>
          <w:rFonts w:ascii="Verdana" w:hAnsi="Verdana"/>
          <w:sz w:val="20"/>
          <w:szCs w:val="20"/>
          <w:lang w:val="en-US"/>
        </w:rPr>
      </w:pPr>
    </w:p>
    <w:p w14:paraId="63126919" w14:textId="77777777" w:rsidR="007E0325" w:rsidRPr="00FE7BA7" w:rsidRDefault="003231F8" w:rsidP="007E0325">
      <w:pPr>
        <w:pStyle w:val="Heading2"/>
        <w:numPr>
          <w:ilvl w:val="0"/>
          <w:numId w:val="29"/>
        </w:numPr>
        <w:spacing w:before="0"/>
        <w:jc w:val="both"/>
        <w:rPr>
          <w:rFonts w:ascii="Verdana" w:eastAsia="Calibri" w:hAnsi="Verdana"/>
          <w:sz w:val="20"/>
          <w:szCs w:val="20"/>
          <w:lang w:val="en-US"/>
        </w:rPr>
      </w:pPr>
      <w:bookmarkStart w:id="33" w:name="_Toc441673201"/>
      <w:r w:rsidRPr="00FE7BA7">
        <w:rPr>
          <w:rFonts w:ascii="Verdana" w:hAnsi="Verdana"/>
          <w:bCs w:val="0"/>
          <w:i/>
          <w:color w:val="auto"/>
          <w:sz w:val="20"/>
          <w:szCs w:val="20"/>
          <w:lang w:val="en-US"/>
        </w:rPr>
        <w:t>Arguments of the Commission and of the parties</w:t>
      </w:r>
      <w:bookmarkEnd w:id="33"/>
    </w:p>
    <w:p w14:paraId="6312691A" w14:textId="77777777" w:rsidR="007E0325" w:rsidRPr="00FE7BA7" w:rsidRDefault="007E0325" w:rsidP="007E0325">
      <w:pPr>
        <w:jc w:val="both"/>
        <w:rPr>
          <w:rFonts w:ascii="Verdana" w:hAnsi="Verdana"/>
          <w:sz w:val="20"/>
          <w:szCs w:val="20"/>
          <w:lang w:val="en-US"/>
        </w:rPr>
      </w:pPr>
    </w:p>
    <w:p w14:paraId="6312691B" w14:textId="77777777" w:rsidR="007E0325" w:rsidRPr="00FE7BA7" w:rsidRDefault="002B5CCD" w:rsidP="007E0325">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Commission</w:t>
      </w:r>
      <w:r w:rsidR="007E0325" w:rsidRPr="00FE7BA7">
        <w:rPr>
          <w:rFonts w:ascii="Verdana" w:hAnsi="Verdana"/>
          <w:sz w:val="20"/>
          <w:szCs w:val="20"/>
          <w:lang w:val="en-US"/>
        </w:rPr>
        <w:t xml:space="preserve"> conclu</w:t>
      </w:r>
      <w:r w:rsidR="009D7E74" w:rsidRPr="00FE7BA7">
        <w:rPr>
          <w:rFonts w:ascii="Verdana" w:hAnsi="Verdana"/>
          <w:sz w:val="20"/>
          <w:szCs w:val="20"/>
          <w:lang w:val="en-US"/>
        </w:rPr>
        <w:t xml:space="preserve">ded that </w:t>
      </w:r>
      <w:r w:rsidRPr="00FE7BA7">
        <w:rPr>
          <w:rFonts w:ascii="Verdana" w:hAnsi="Verdana"/>
          <w:sz w:val="20"/>
          <w:szCs w:val="20"/>
          <w:lang w:val="en-US"/>
        </w:rPr>
        <w:t xml:space="preserve">Suriname </w:t>
      </w:r>
      <w:r w:rsidR="007E0325" w:rsidRPr="00FE7BA7">
        <w:rPr>
          <w:rFonts w:ascii="Verdana" w:hAnsi="Verdana"/>
          <w:sz w:val="20"/>
          <w:szCs w:val="20"/>
          <w:lang w:val="en-US"/>
        </w:rPr>
        <w:t>ha</w:t>
      </w:r>
      <w:r w:rsidR="009D7E74" w:rsidRPr="00FE7BA7">
        <w:rPr>
          <w:rFonts w:ascii="Verdana" w:hAnsi="Verdana"/>
          <w:sz w:val="20"/>
          <w:szCs w:val="20"/>
          <w:lang w:val="en-US"/>
        </w:rPr>
        <w:t xml:space="preserve">d violated the right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7E0325" w:rsidRPr="00FE7BA7">
        <w:rPr>
          <w:rFonts w:ascii="Verdana" w:hAnsi="Verdana"/>
          <w:sz w:val="20"/>
          <w:szCs w:val="20"/>
          <w:lang w:val="en-US"/>
        </w:rPr>
        <w:t xml:space="preserve"> </w:t>
      </w:r>
      <w:r w:rsidR="009D7E74" w:rsidRPr="00FE7BA7">
        <w:rPr>
          <w:rFonts w:ascii="Verdana" w:hAnsi="Verdana"/>
          <w:sz w:val="20"/>
          <w:szCs w:val="20"/>
          <w:lang w:val="en-US"/>
        </w:rPr>
        <w:t>to recognition of their juridical personality based on</w:t>
      </w:r>
      <w:r w:rsidR="00773D70" w:rsidRPr="00FE7BA7">
        <w:rPr>
          <w:rFonts w:ascii="Verdana" w:hAnsi="Verdana"/>
          <w:sz w:val="20"/>
          <w:szCs w:val="20"/>
          <w:lang w:val="en-US"/>
        </w:rPr>
        <w:t xml:space="preserve"> Article</w:t>
      </w:r>
      <w:r w:rsidR="007E0325" w:rsidRPr="00FE7BA7">
        <w:rPr>
          <w:rFonts w:ascii="Verdana" w:hAnsi="Verdana"/>
          <w:sz w:val="20"/>
          <w:szCs w:val="20"/>
          <w:lang w:val="en-US"/>
        </w:rPr>
        <w:t xml:space="preserve"> 3</w:t>
      </w:r>
      <w:r w:rsidRPr="00FE7BA7">
        <w:rPr>
          <w:rFonts w:ascii="Verdana" w:hAnsi="Verdana"/>
          <w:sz w:val="20"/>
          <w:szCs w:val="20"/>
          <w:lang w:val="en-US"/>
        </w:rPr>
        <w:t xml:space="preserve"> of the American Convention</w:t>
      </w:r>
      <w:r w:rsidR="007E0325" w:rsidRPr="00FE7BA7">
        <w:rPr>
          <w:rFonts w:ascii="Verdana" w:hAnsi="Verdana"/>
          <w:sz w:val="20"/>
          <w:szCs w:val="20"/>
          <w:lang w:val="en-US"/>
        </w:rPr>
        <w:t xml:space="preserve">, </w:t>
      </w:r>
      <w:r w:rsidR="00773D70" w:rsidRPr="00FE7BA7">
        <w:rPr>
          <w:rFonts w:ascii="Verdana" w:hAnsi="Verdana"/>
          <w:sz w:val="20"/>
          <w:szCs w:val="20"/>
          <w:lang w:val="en-US"/>
        </w:rPr>
        <w:t>in relation to Articles 1(1)</w:t>
      </w:r>
      <w:r w:rsidRPr="00FE7BA7">
        <w:rPr>
          <w:rFonts w:ascii="Verdana" w:hAnsi="Verdana"/>
          <w:sz w:val="20"/>
          <w:szCs w:val="20"/>
          <w:lang w:val="en-US"/>
        </w:rPr>
        <w:t xml:space="preserve"> and </w:t>
      </w:r>
      <w:r w:rsidR="007E0325" w:rsidRPr="00FE7BA7">
        <w:rPr>
          <w:rFonts w:ascii="Verdana" w:hAnsi="Verdana"/>
          <w:sz w:val="20"/>
          <w:szCs w:val="20"/>
          <w:lang w:val="en-US"/>
        </w:rPr>
        <w:t xml:space="preserve">2 </w:t>
      </w:r>
      <w:r w:rsidR="00644BD7" w:rsidRPr="00FE7BA7">
        <w:rPr>
          <w:rFonts w:ascii="Verdana" w:hAnsi="Verdana"/>
          <w:sz w:val="20"/>
          <w:szCs w:val="20"/>
          <w:lang w:val="en-US"/>
        </w:rPr>
        <w:t>of this instrument</w:t>
      </w:r>
      <w:r w:rsidR="007E0325" w:rsidRPr="00FE7BA7">
        <w:rPr>
          <w:rFonts w:ascii="Verdana" w:hAnsi="Verdana"/>
          <w:sz w:val="20"/>
          <w:szCs w:val="20"/>
          <w:lang w:val="en-US"/>
        </w:rPr>
        <w:t>,</w:t>
      </w:r>
      <w:r w:rsidR="009D7E74" w:rsidRPr="00FE7BA7">
        <w:rPr>
          <w:rFonts w:ascii="Verdana" w:hAnsi="Verdana"/>
          <w:sz w:val="20"/>
          <w:szCs w:val="20"/>
          <w:lang w:val="en-US"/>
        </w:rPr>
        <w:t xml:space="preserve"> because, as in the case </w:t>
      </w:r>
      <w:r w:rsidR="00D63518" w:rsidRPr="00FE7BA7">
        <w:rPr>
          <w:rFonts w:ascii="Verdana" w:hAnsi="Verdana"/>
          <w:sz w:val="20"/>
          <w:szCs w:val="20"/>
          <w:lang w:val="en-US"/>
        </w:rPr>
        <w:t xml:space="preserve">of the </w:t>
      </w:r>
      <w:r w:rsidR="00D63518" w:rsidRPr="00FE7BA7">
        <w:rPr>
          <w:rFonts w:ascii="Verdana" w:hAnsi="Verdana"/>
          <w:i/>
          <w:sz w:val="20"/>
          <w:szCs w:val="20"/>
          <w:lang w:val="en-US"/>
        </w:rPr>
        <w:lastRenderedPageBreak/>
        <w:t>Saramaka People</w:t>
      </w:r>
      <w:r w:rsidR="007E0325" w:rsidRPr="00FE7BA7">
        <w:rPr>
          <w:rFonts w:ascii="Verdana" w:hAnsi="Verdana"/>
          <w:sz w:val="20"/>
          <w:szCs w:val="20"/>
          <w:lang w:val="en-US"/>
        </w:rPr>
        <w:t xml:space="preserve">, </w:t>
      </w:r>
      <w:r w:rsidR="00CC4954">
        <w:rPr>
          <w:rFonts w:ascii="Verdana" w:hAnsi="Verdana"/>
          <w:sz w:val="20"/>
          <w:szCs w:val="20"/>
          <w:lang w:val="en-US"/>
        </w:rPr>
        <w:t>Suriname</w:t>
      </w:r>
      <w:r w:rsidR="009D7E74" w:rsidRPr="00FE7BA7">
        <w:rPr>
          <w:rFonts w:ascii="Verdana" w:hAnsi="Verdana"/>
          <w:sz w:val="20"/>
          <w:szCs w:val="20"/>
          <w:lang w:val="en-US"/>
        </w:rPr>
        <w:t xml:space="preserve"> law does not recognize the right</w:t>
      </w:r>
      <w:r w:rsidR="007E0325" w:rsidRPr="00FE7BA7">
        <w:rPr>
          <w:rFonts w:ascii="Verdana" w:hAnsi="Verdana"/>
          <w:sz w:val="20"/>
          <w:szCs w:val="20"/>
          <w:lang w:val="en-US"/>
        </w:rPr>
        <w:t xml:space="preserve"> </w:t>
      </w:r>
      <w:r w:rsidR="00BD40EF" w:rsidRPr="00FE7BA7">
        <w:rPr>
          <w:rFonts w:ascii="Verdana" w:hAnsi="Verdana"/>
          <w:sz w:val="20"/>
          <w:szCs w:val="20"/>
          <w:lang w:val="en-US"/>
        </w:rPr>
        <w:t>of the indigenous peoples</w:t>
      </w:r>
      <w:r w:rsidR="007E0325" w:rsidRPr="00FE7BA7">
        <w:rPr>
          <w:rFonts w:ascii="Verdana" w:hAnsi="Verdana"/>
          <w:sz w:val="20"/>
          <w:szCs w:val="20"/>
          <w:lang w:val="en-US"/>
        </w:rPr>
        <w:t xml:space="preserve"> </w:t>
      </w:r>
      <w:r w:rsidR="009D7E74" w:rsidRPr="00FE7BA7">
        <w:rPr>
          <w:rFonts w:ascii="Verdana" w:hAnsi="Verdana"/>
          <w:sz w:val="20"/>
          <w:szCs w:val="20"/>
          <w:lang w:val="en-US"/>
        </w:rPr>
        <w:t xml:space="preserve">to </w:t>
      </w:r>
      <w:r w:rsidR="00CC4954">
        <w:rPr>
          <w:rFonts w:ascii="Verdana" w:hAnsi="Verdana"/>
          <w:sz w:val="20"/>
          <w:szCs w:val="20"/>
          <w:lang w:val="en-US"/>
        </w:rPr>
        <w:t>juridical</w:t>
      </w:r>
      <w:r w:rsidR="009D7E74" w:rsidRPr="00FE7BA7">
        <w:rPr>
          <w:rFonts w:ascii="Verdana" w:hAnsi="Verdana"/>
          <w:sz w:val="20"/>
          <w:szCs w:val="20"/>
          <w:lang w:val="en-US"/>
        </w:rPr>
        <w:t xml:space="preserve"> personality, even though the State has declared that it is in the process of recognizing indigenous rights. Therefore, </w:t>
      </w:r>
      <w:r w:rsidRPr="00FE7BA7">
        <w:rPr>
          <w:rFonts w:ascii="Verdana" w:hAnsi="Verdana"/>
          <w:sz w:val="20"/>
          <w:szCs w:val="20"/>
          <w:lang w:val="en-US"/>
        </w:rPr>
        <w:t>the Commission</w:t>
      </w:r>
      <w:r w:rsidR="007E0325" w:rsidRPr="00FE7BA7">
        <w:rPr>
          <w:rFonts w:ascii="Verdana" w:hAnsi="Verdana"/>
          <w:sz w:val="20"/>
          <w:szCs w:val="20"/>
          <w:lang w:val="en-US"/>
        </w:rPr>
        <w:t xml:space="preserve"> </w:t>
      </w:r>
      <w:r w:rsidR="00CC4954">
        <w:rPr>
          <w:rFonts w:ascii="Verdana" w:hAnsi="Verdana"/>
          <w:sz w:val="20"/>
          <w:szCs w:val="20"/>
          <w:lang w:val="en-US"/>
        </w:rPr>
        <w:t>concluded</w:t>
      </w:r>
      <w:r w:rsidR="009D7E74" w:rsidRPr="00FE7BA7">
        <w:rPr>
          <w:rFonts w:ascii="Verdana" w:hAnsi="Verdana"/>
          <w:sz w:val="20"/>
          <w:szCs w:val="20"/>
          <w:lang w:val="en-US"/>
        </w:rPr>
        <w:t xml:space="preserve"> that, in this respect, there is </w:t>
      </w:r>
      <w:r w:rsidR="00CC4954">
        <w:rPr>
          <w:rFonts w:ascii="Verdana" w:hAnsi="Verdana"/>
          <w:sz w:val="20"/>
          <w:szCs w:val="20"/>
          <w:lang w:val="en-US"/>
        </w:rPr>
        <w:t>no real</w:t>
      </w:r>
      <w:r w:rsidR="009D7E74" w:rsidRPr="00FE7BA7">
        <w:rPr>
          <w:rFonts w:ascii="Verdana" w:hAnsi="Verdana"/>
          <w:sz w:val="20"/>
          <w:szCs w:val="20"/>
          <w:lang w:val="en-US"/>
        </w:rPr>
        <w:t xml:space="preserve"> dispute, but rather a </w:t>
      </w:r>
      <w:r w:rsidR="00CC4954">
        <w:rPr>
          <w:rFonts w:ascii="Verdana" w:hAnsi="Verdana"/>
          <w:sz w:val="20"/>
          <w:szCs w:val="20"/>
          <w:lang w:val="en-US"/>
        </w:rPr>
        <w:t xml:space="preserve">persistent </w:t>
      </w:r>
      <w:r w:rsidR="009D7E74" w:rsidRPr="00FE7BA7">
        <w:rPr>
          <w:rFonts w:ascii="Verdana" w:hAnsi="Verdana"/>
          <w:sz w:val="20"/>
          <w:szCs w:val="20"/>
          <w:lang w:val="en-US"/>
        </w:rPr>
        <w:t xml:space="preserve">violation of </w:t>
      </w:r>
      <w:r w:rsidR="00C34C52" w:rsidRPr="00FE7BA7">
        <w:rPr>
          <w:rFonts w:ascii="Verdana" w:hAnsi="Verdana"/>
          <w:sz w:val="20"/>
          <w:szCs w:val="20"/>
          <w:lang w:val="en-US"/>
        </w:rPr>
        <w:t>Article</w:t>
      </w:r>
      <w:r w:rsidR="007E0325" w:rsidRPr="00FE7BA7">
        <w:rPr>
          <w:rFonts w:ascii="Verdana" w:hAnsi="Verdana"/>
          <w:sz w:val="20"/>
          <w:szCs w:val="20"/>
          <w:lang w:val="en-US"/>
        </w:rPr>
        <w:t xml:space="preserve"> 3</w:t>
      </w:r>
      <w:r w:rsidRPr="00FE7BA7">
        <w:rPr>
          <w:rFonts w:ascii="Verdana" w:hAnsi="Verdana"/>
          <w:sz w:val="20"/>
          <w:szCs w:val="20"/>
          <w:lang w:val="en-US"/>
        </w:rPr>
        <w:t xml:space="preserve"> of the Convention</w:t>
      </w:r>
      <w:r w:rsidR="001A22BD" w:rsidRPr="00FE7BA7">
        <w:rPr>
          <w:rFonts w:ascii="Verdana" w:hAnsi="Verdana"/>
          <w:sz w:val="20"/>
          <w:szCs w:val="20"/>
          <w:lang w:val="en-US"/>
        </w:rPr>
        <w:t>,</w:t>
      </w:r>
      <w:r w:rsidR="007E0325" w:rsidRPr="00FE7BA7">
        <w:rPr>
          <w:rFonts w:ascii="Verdana" w:hAnsi="Verdana"/>
          <w:sz w:val="20"/>
          <w:szCs w:val="20"/>
          <w:lang w:val="en-US"/>
        </w:rPr>
        <w:t xml:space="preserve"> </w:t>
      </w:r>
      <w:r w:rsidR="009D7E74" w:rsidRPr="00FE7BA7">
        <w:rPr>
          <w:rFonts w:ascii="Verdana" w:hAnsi="Verdana"/>
          <w:sz w:val="20"/>
          <w:szCs w:val="20"/>
          <w:lang w:val="en-US"/>
        </w:rPr>
        <w:t>because, s</w:t>
      </w:r>
      <w:r w:rsidR="00CC4954">
        <w:rPr>
          <w:rFonts w:ascii="Verdana" w:hAnsi="Verdana"/>
          <w:sz w:val="20"/>
          <w:szCs w:val="20"/>
          <w:lang w:val="en-US"/>
        </w:rPr>
        <w:t>tarting with</w:t>
      </w:r>
      <w:r w:rsidR="009D7E74" w:rsidRPr="00FE7BA7">
        <w:rPr>
          <w:rFonts w:ascii="Verdana" w:hAnsi="Verdana"/>
          <w:sz w:val="20"/>
          <w:szCs w:val="20"/>
          <w:lang w:val="en-US"/>
        </w:rPr>
        <w:t xml:space="preserve"> the</w:t>
      </w:r>
      <w:r w:rsidR="007E0325" w:rsidRPr="00FE7BA7">
        <w:rPr>
          <w:rFonts w:ascii="Verdana" w:hAnsi="Verdana"/>
          <w:sz w:val="20"/>
          <w:szCs w:val="20"/>
          <w:lang w:val="en-US"/>
        </w:rPr>
        <w:t xml:space="preserve"> </w:t>
      </w:r>
      <w:r w:rsidR="008A4ABB" w:rsidRPr="00FE7BA7">
        <w:rPr>
          <w:rFonts w:ascii="Verdana" w:hAnsi="Verdana"/>
          <w:i/>
          <w:sz w:val="20"/>
          <w:lang w:val="en-US"/>
        </w:rPr>
        <w:t>Saramaka</w:t>
      </w:r>
      <w:r w:rsidR="008A4ABB" w:rsidRPr="00CC4954">
        <w:rPr>
          <w:rFonts w:ascii="Verdana" w:hAnsi="Verdana"/>
          <w:i/>
          <w:sz w:val="20"/>
          <w:szCs w:val="20"/>
          <w:lang w:val="en-US"/>
        </w:rPr>
        <w:t xml:space="preserve"> </w:t>
      </w:r>
      <w:r w:rsidR="009D7E74" w:rsidRPr="00CC4954">
        <w:rPr>
          <w:rFonts w:ascii="Verdana" w:hAnsi="Verdana"/>
          <w:i/>
          <w:sz w:val="20"/>
          <w:szCs w:val="20"/>
          <w:lang w:val="en-US"/>
        </w:rPr>
        <w:t>case</w:t>
      </w:r>
      <w:r w:rsidR="009D7E74" w:rsidRPr="00FE7BA7">
        <w:rPr>
          <w:rFonts w:ascii="Verdana" w:hAnsi="Verdana"/>
          <w:sz w:val="20"/>
          <w:szCs w:val="20"/>
          <w:lang w:val="en-US"/>
        </w:rPr>
        <w:t xml:space="preserve">, the Court has </w:t>
      </w:r>
      <w:r w:rsidR="00CC4954">
        <w:rPr>
          <w:rFonts w:ascii="Verdana" w:hAnsi="Verdana"/>
          <w:sz w:val="20"/>
          <w:szCs w:val="20"/>
          <w:lang w:val="en-US"/>
        </w:rPr>
        <w:t>declared</w:t>
      </w:r>
      <w:r w:rsidR="009D7E74" w:rsidRPr="00FE7BA7">
        <w:rPr>
          <w:rFonts w:ascii="Verdana" w:hAnsi="Verdana"/>
          <w:sz w:val="20"/>
          <w:szCs w:val="20"/>
          <w:lang w:val="en-US"/>
        </w:rPr>
        <w:t xml:space="preserve"> that the </w:t>
      </w:r>
      <w:r w:rsidRPr="00FE7BA7">
        <w:rPr>
          <w:rFonts w:ascii="Verdana" w:hAnsi="Verdana"/>
          <w:sz w:val="20"/>
          <w:szCs w:val="20"/>
          <w:lang w:val="en-US"/>
        </w:rPr>
        <w:t>State</w:t>
      </w:r>
      <w:r w:rsidR="002F0F93" w:rsidRPr="00FE7BA7">
        <w:rPr>
          <w:rFonts w:ascii="Verdana" w:hAnsi="Verdana"/>
          <w:sz w:val="20"/>
          <w:szCs w:val="20"/>
          <w:lang w:val="en-US"/>
        </w:rPr>
        <w:t xml:space="preserve"> of Suriname</w:t>
      </w:r>
      <w:r w:rsidRPr="00FE7BA7">
        <w:rPr>
          <w:rFonts w:ascii="Verdana" w:hAnsi="Verdana"/>
          <w:sz w:val="20"/>
          <w:szCs w:val="20"/>
          <w:lang w:val="en-US"/>
        </w:rPr>
        <w:t xml:space="preserve"> </w:t>
      </w:r>
      <w:r w:rsidR="00CC4954">
        <w:rPr>
          <w:rFonts w:ascii="Verdana" w:hAnsi="Verdana"/>
          <w:sz w:val="20"/>
          <w:szCs w:val="20"/>
          <w:lang w:val="en-US"/>
        </w:rPr>
        <w:t>must</w:t>
      </w:r>
      <w:r w:rsidR="009D7E74" w:rsidRPr="00FE7BA7">
        <w:rPr>
          <w:rFonts w:ascii="Verdana" w:hAnsi="Verdana"/>
          <w:sz w:val="20"/>
          <w:szCs w:val="20"/>
          <w:lang w:val="en-US"/>
        </w:rPr>
        <w:t xml:space="preserve"> recognize the juridical personality of the</w:t>
      </w:r>
      <w:r w:rsidR="00CC4954">
        <w:rPr>
          <w:rFonts w:ascii="Verdana" w:hAnsi="Verdana"/>
          <w:sz w:val="20"/>
          <w:szCs w:val="20"/>
          <w:lang w:val="en-US"/>
        </w:rPr>
        <w:t xml:space="preserve"> indigenous and tribal peoples.</w:t>
      </w:r>
    </w:p>
    <w:p w14:paraId="6312691C" w14:textId="77777777" w:rsidR="007E0325" w:rsidRPr="00FE7BA7" w:rsidRDefault="007E0325" w:rsidP="007E0325">
      <w:pPr>
        <w:jc w:val="both"/>
        <w:rPr>
          <w:rFonts w:ascii="Verdana" w:hAnsi="Verdana"/>
          <w:sz w:val="20"/>
          <w:szCs w:val="20"/>
          <w:lang w:val="en-US"/>
        </w:rPr>
      </w:pPr>
    </w:p>
    <w:p w14:paraId="6312691D" w14:textId="77777777" w:rsidR="007E0325" w:rsidRPr="00FE7BA7" w:rsidRDefault="00810FAD" w:rsidP="009D7E74">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7E0325" w:rsidRPr="00FE7BA7">
        <w:rPr>
          <w:rFonts w:ascii="Verdana" w:hAnsi="Verdana"/>
          <w:sz w:val="20"/>
          <w:szCs w:val="20"/>
          <w:lang w:val="en-US"/>
        </w:rPr>
        <w:t xml:space="preserve"> </w:t>
      </w:r>
      <w:r w:rsidR="009D7E74" w:rsidRPr="00FE7BA7">
        <w:rPr>
          <w:rFonts w:ascii="Verdana" w:hAnsi="Verdana"/>
          <w:sz w:val="20"/>
          <w:szCs w:val="20"/>
          <w:lang w:val="en-US"/>
        </w:rPr>
        <w:t xml:space="preserve">agreed, in general, with </w:t>
      </w:r>
      <w:r w:rsidR="002B5CCD" w:rsidRPr="00FE7BA7">
        <w:rPr>
          <w:rFonts w:ascii="Verdana" w:hAnsi="Verdana"/>
          <w:sz w:val="20"/>
          <w:szCs w:val="20"/>
          <w:lang w:val="en-US"/>
        </w:rPr>
        <w:t>the Commission</w:t>
      </w:r>
      <w:r w:rsidR="007E0325" w:rsidRPr="00FE7BA7">
        <w:rPr>
          <w:rFonts w:ascii="Verdana" w:hAnsi="Verdana"/>
          <w:sz w:val="20"/>
          <w:szCs w:val="20"/>
          <w:lang w:val="en-US"/>
        </w:rPr>
        <w:t xml:space="preserve">. </w:t>
      </w:r>
      <w:r w:rsidR="00CC4954">
        <w:rPr>
          <w:rFonts w:ascii="Verdana" w:hAnsi="Verdana"/>
          <w:sz w:val="20"/>
          <w:szCs w:val="20"/>
          <w:lang w:val="en-US"/>
        </w:rPr>
        <w:t>They indicated that, because</w:t>
      </w:r>
      <w:r w:rsidR="009D7E74" w:rsidRPr="00FE7BA7">
        <w:rPr>
          <w:rFonts w:ascii="Verdana" w:hAnsi="Verdana"/>
          <w:sz w:val="20"/>
          <w:szCs w:val="20"/>
          <w:lang w:val="en-US"/>
        </w:rPr>
        <w:t xml:space="preserve"> the Kaliña and Lokono peoples are denied the right to be recognized as persons before the law, they are also denied the ability to maintain, exercise and seek the </w:t>
      </w:r>
      <w:r w:rsidR="00FE7BA7" w:rsidRPr="00FE7BA7">
        <w:rPr>
          <w:rFonts w:ascii="Verdana" w:hAnsi="Verdana"/>
          <w:sz w:val="20"/>
          <w:szCs w:val="20"/>
          <w:lang w:val="en-US"/>
        </w:rPr>
        <w:t>protection</w:t>
      </w:r>
      <w:r w:rsidR="009D7E74" w:rsidRPr="00FE7BA7">
        <w:rPr>
          <w:rFonts w:ascii="Verdana" w:hAnsi="Verdana"/>
          <w:sz w:val="20"/>
          <w:szCs w:val="20"/>
          <w:lang w:val="en-US"/>
        </w:rPr>
        <w:t xml:space="preserve"> of their collective property and other rights under domestic law and in the courts. </w:t>
      </w:r>
      <w:r w:rsidR="00250C91">
        <w:rPr>
          <w:rFonts w:ascii="Verdana" w:hAnsi="Verdana"/>
          <w:sz w:val="20"/>
          <w:szCs w:val="20"/>
          <w:lang w:val="en-US"/>
        </w:rPr>
        <w:t>The</w:t>
      </w:r>
      <w:r w:rsidR="009D7E74" w:rsidRPr="00FE7BA7">
        <w:rPr>
          <w:rFonts w:ascii="Verdana" w:hAnsi="Verdana"/>
          <w:sz w:val="20"/>
          <w:szCs w:val="20"/>
          <w:lang w:val="en-US"/>
        </w:rPr>
        <w:t xml:space="preserve"> representatives </w:t>
      </w:r>
      <w:r w:rsidR="00250C91">
        <w:rPr>
          <w:rFonts w:ascii="Verdana" w:hAnsi="Verdana"/>
          <w:sz w:val="20"/>
          <w:szCs w:val="20"/>
          <w:lang w:val="en-US"/>
        </w:rPr>
        <w:t>also argued that the State had</w:t>
      </w:r>
      <w:r w:rsidR="009D7E74" w:rsidRPr="00FE7BA7">
        <w:rPr>
          <w:rFonts w:ascii="Verdana" w:hAnsi="Verdana"/>
          <w:sz w:val="20"/>
          <w:szCs w:val="20"/>
          <w:lang w:val="en-US"/>
        </w:rPr>
        <w:t xml:space="preserve"> failed to comply with the </w:t>
      </w:r>
      <w:r w:rsidR="00F61652">
        <w:rPr>
          <w:rFonts w:ascii="Verdana" w:hAnsi="Verdana"/>
          <w:sz w:val="20"/>
          <w:szCs w:val="20"/>
          <w:lang w:val="en-US"/>
        </w:rPr>
        <w:t>ruling</w:t>
      </w:r>
      <w:r w:rsidR="009D7E74" w:rsidRPr="00FE7BA7">
        <w:rPr>
          <w:rFonts w:ascii="Verdana" w:hAnsi="Verdana"/>
          <w:sz w:val="20"/>
          <w:szCs w:val="20"/>
          <w:lang w:val="en-US"/>
        </w:rPr>
        <w:t xml:space="preserve"> in the </w:t>
      </w:r>
      <w:r w:rsidR="009D7E74" w:rsidRPr="00FE7BA7">
        <w:rPr>
          <w:rFonts w:ascii="Verdana" w:hAnsi="Verdana"/>
          <w:i/>
          <w:sz w:val="20"/>
          <w:szCs w:val="20"/>
          <w:lang w:val="en-US"/>
        </w:rPr>
        <w:t>case of the Saramaka People</w:t>
      </w:r>
      <w:r w:rsidR="009D7E74" w:rsidRPr="00FE7BA7">
        <w:rPr>
          <w:rFonts w:ascii="Verdana" w:hAnsi="Verdana"/>
          <w:sz w:val="20"/>
          <w:szCs w:val="20"/>
          <w:lang w:val="en-US"/>
        </w:rPr>
        <w:t xml:space="preserve"> that it adopt administrative and legislative measures to recognize the </w:t>
      </w:r>
      <w:r w:rsidR="00F61652">
        <w:rPr>
          <w:rFonts w:ascii="Verdana" w:hAnsi="Verdana"/>
          <w:sz w:val="20"/>
          <w:szCs w:val="20"/>
          <w:lang w:val="en-US"/>
        </w:rPr>
        <w:t>legal</w:t>
      </w:r>
      <w:r w:rsidR="009D7E74" w:rsidRPr="00FE7BA7">
        <w:rPr>
          <w:rFonts w:ascii="Verdana" w:hAnsi="Verdana"/>
          <w:sz w:val="20"/>
          <w:szCs w:val="20"/>
          <w:lang w:val="en-US"/>
        </w:rPr>
        <w:t xml:space="preserve"> personality of the indigenous and tribal peoples.</w:t>
      </w:r>
      <w:r w:rsidR="007E0325" w:rsidRPr="00FE7BA7">
        <w:rPr>
          <w:rFonts w:ascii="Verdana" w:hAnsi="Verdana"/>
          <w:sz w:val="20"/>
          <w:szCs w:val="20"/>
          <w:lang w:val="en-US"/>
        </w:rPr>
        <w:t xml:space="preserve"> </w:t>
      </w:r>
      <w:r w:rsidR="009D7E74" w:rsidRPr="00FE7BA7">
        <w:rPr>
          <w:rFonts w:ascii="Verdana" w:hAnsi="Verdana"/>
          <w:sz w:val="20"/>
          <w:szCs w:val="20"/>
          <w:lang w:val="en-US"/>
        </w:rPr>
        <w:t xml:space="preserve">Consequently, </w:t>
      </w:r>
      <w:r w:rsidR="002B5CCD" w:rsidRPr="00FE7BA7">
        <w:rPr>
          <w:rFonts w:ascii="Verdana" w:hAnsi="Verdana"/>
          <w:sz w:val="20"/>
          <w:szCs w:val="20"/>
          <w:lang w:val="en-US"/>
        </w:rPr>
        <w:t xml:space="preserve">Suriname </w:t>
      </w:r>
      <w:r w:rsidR="007E0325" w:rsidRPr="00FE7BA7">
        <w:rPr>
          <w:rFonts w:ascii="Verdana" w:hAnsi="Verdana"/>
          <w:sz w:val="20"/>
          <w:szCs w:val="20"/>
          <w:lang w:val="en-US"/>
        </w:rPr>
        <w:t>ha</w:t>
      </w:r>
      <w:r w:rsidR="00250C91">
        <w:rPr>
          <w:rFonts w:ascii="Verdana" w:hAnsi="Verdana"/>
          <w:sz w:val="20"/>
          <w:szCs w:val="20"/>
          <w:lang w:val="en-US"/>
        </w:rPr>
        <w:t>d</w:t>
      </w:r>
      <w:r w:rsidR="009D7E74" w:rsidRPr="00FE7BA7">
        <w:rPr>
          <w:rFonts w:ascii="Verdana" w:hAnsi="Verdana"/>
          <w:sz w:val="20"/>
          <w:szCs w:val="20"/>
          <w:lang w:val="en-US"/>
        </w:rPr>
        <w:t xml:space="preserve"> violated </w:t>
      </w:r>
      <w:r w:rsidR="002B5CCD" w:rsidRPr="00FE7BA7">
        <w:rPr>
          <w:rFonts w:ascii="Verdana" w:hAnsi="Verdana"/>
          <w:sz w:val="20"/>
          <w:szCs w:val="20"/>
          <w:lang w:val="en-US"/>
        </w:rPr>
        <w:t>Article</w:t>
      </w:r>
      <w:r w:rsidR="007E0325" w:rsidRPr="00FE7BA7">
        <w:rPr>
          <w:rFonts w:ascii="Verdana" w:hAnsi="Verdana"/>
          <w:sz w:val="20"/>
          <w:szCs w:val="20"/>
          <w:lang w:val="en-US"/>
        </w:rPr>
        <w:t xml:space="preserve"> 3</w:t>
      </w:r>
      <w:r w:rsidR="002B5CCD" w:rsidRPr="00FE7BA7">
        <w:rPr>
          <w:rFonts w:ascii="Verdana" w:hAnsi="Verdana"/>
          <w:sz w:val="20"/>
          <w:szCs w:val="20"/>
          <w:lang w:val="en-US"/>
        </w:rPr>
        <w:t xml:space="preserve"> of the Convention</w:t>
      </w:r>
      <w:r w:rsidR="007E0325" w:rsidRPr="00FE7BA7">
        <w:rPr>
          <w:rFonts w:ascii="Verdana" w:hAnsi="Verdana"/>
          <w:sz w:val="20"/>
          <w:szCs w:val="20"/>
          <w:lang w:val="en-US"/>
        </w:rPr>
        <w:t xml:space="preserve"> </w:t>
      </w:r>
      <w:r w:rsidR="00773D70" w:rsidRPr="00FE7BA7">
        <w:rPr>
          <w:rFonts w:ascii="Verdana" w:hAnsi="Verdana"/>
          <w:sz w:val="20"/>
          <w:szCs w:val="20"/>
          <w:lang w:val="en-US"/>
        </w:rPr>
        <w:t>in relation to Article</w:t>
      </w:r>
      <w:r w:rsidR="002B5CCD" w:rsidRPr="00FE7BA7">
        <w:rPr>
          <w:rFonts w:ascii="Verdana" w:hAnsi="Verdana"/>
          <w:sz w:val="20"/>
          <w:szCs w:val="20"/>
          <w:lang w:val="en-US"/>
        </w:rPr>
        <w:t>s</w:t>
      </w:r>
      <w:r w:rsidR="007E0325" w:rsidRPr="00FE7BA7">
        <w:rPr>
          <w:rFonts w:ascii="Verdana" w:hAnsi="Verdana"/>
          <w:sz w:val="20"/>
          <w:szCs w:val="20"/>
          <w:lang w:val="en-US"/>
        </w:rPr>
        <w:t xml:space="preserve"> 1</w:t>
      </w:r>
      <w:r w:rsidR="002B5CCD" w:rsidRPr="00FE7BA7">
        <w:rPr>
          <w:rFonts w:ascii="Verdana" w:hAnsi="Verdana"/>
          <w:sz w:val="20"/>
          <w:szCs w:val="20"/>
          <w:lang w:val="en-US"/>
        </w:rPr>
        <w:t xml:space="preserve"> and </w:t>
      </w:r>
      <w:r w:rsidR="00773D70" w:rsidRPr="00FE7BA7">
        <w:rPr>
          <w:rFonts w:ascii="Verdana" w:hAnsi="Verdana"/>
          <w:sz w:val="20"/>
          <w:szCs w:val="20"/>
          <w:lang w:val="en-US"/>
        </w:rPr>
        <w:t>2 of this instrument</w:t>
      </w:r>
      <w:r w:rsidR="009D7E74" w:rsidRPr="00FE7BA7">
        <w:rPr>
          <w:rFonts w:ascii="Verdana" w:hAnsi="Verdana"/>
          <w:sz w:val="20"/>
          <w:szCs w:val="20"/>
          <w:lang w:val="en-US"/>
        </w:rPr>
        <w:t>.</w:t>
      </w:r>
    </w:p>
    <w:p w14:paraId="6312691E" w14:textId="77777777" w:rsidR="007E0325" w:rsidRPr="00FE7BA7" w:rsidRDefault="007E0325" w:rsidP="007E0325">
      <w:pPr>
        <w:jc w:val="both"/>
        <w:rPr>
          <w:rFonts w:ascii="Verdana" w:hAnsi="Verdana"/>
          <w:sz w:val="20"/>
          <w:szCs w:val="20"/>
          <w:lang w:val="en-US"/>
        </w:rPr>
      </w:pPr>
    </w:p>
    <w:p w14:paraId="6312691F" w14:textId="7874F63A" w:rsidR="007E0325" w:rsidRPr="00EC45EE" w:rsidRDefault="002B5CCD" w:rsidP="009D7E74">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State</w:t>
      </w:r>
      <w:r w:rsidR="007E0325" w:rsidRPr="00FE7BA7">
        <w:rPr>
          <w:rFonts w:ascii="Verdana" w:hAnsi="Verdana"/>
          <w:sz w:val="20"/>
          <w:szCs w:val="20"/>
          <w:lang w:val="en-US"/>
        </w:rPr>
        <w:t xml:space="preserve"> a</w:t>
      </w:r>
      <w:r w:rsidR="009D7E74" w:rsidRPr="00FE7BA7">
        <w:rPr>
          <w:rFonts w:ascii="Verdana" w:hAnsi="Verdana"/>
          <w:sz w:val="20"/>
          <w:szCs w:val="20"/>
          <w:lang w:val="en-US"/>
        </w:rPr>
        <w:t xml:space="preserve">rgued that it was aware that, under international law and </w:t>
      </w:r>
      <w:r w:rsidR="00F61652">
        <w:rPr>
          <w:rFonts w:ascii="Verdana" w:hAnsi="Verdana"/>
          <w:sz w:val="20"/>
          <w:szCs w:val="20"/>
          <w:lang w:val="en-US"/>
        </w:rPr>
        <w:t>jurisprudence</w:t>
      </w:r>
      <w:r w:rsidR="009D7E74" w:rsidRPr="00FE7BA7">
        <w:rPr>
          <w:rFonts w:ascii="Verdana" w:hAnsi="Verdana"/>
          <w:sz w:val="20"/>
          <w:szCs w:val="20"/>
          <w:lang w:val="en-US"/>
        </w:rPr>
        <w:t xml:space="preserve">, and specifically under the </w:t>
      </w:r>
      <w:r w:rsidR="00F46731">
        <w:rPr>
          <w:rFonts w:ascii="Verdana" w:hAnsi="Verdana"/>
          <w:sz w:val="20"/>
          <w:szCs w:val="20"/>
          <w:lang w:val="en-US"/>
        </w:rPr>
        <w:t>I</w:t>
      </w:r>
      <w:r w:rsidR="009D7E74" w:rsidRPr="00FE7BA7">
        <w:rPr>
          <w:rFonts w:ascii="Verdana" w:hAnsi="Verdana"/>
          <w:sz w:val="20"/>
          <w:szCs w:val="20"/>
          <w:lang w:val="en-US"/>
        </w:rPr>
        <w:t>nter-American system for the protectio</w:t>
      </w:r>
      <w:r w:rsidR="00F61652">
        <w:rPr>
          <w:rFonts w:ascii="Verdana" w:hAnsi="Verdana"/>
          <w:sz w:val="20"/>
          <w:szCs w:val="20"/>
          <w:lang w:val="en-US"/>
        </w:rPr>
        <w:t>n of human rights,</w:t>
      </w:r>
      <w:r w:rsidR="00BD40EF" w:rsidRPr="00FE7BA7">
        <w:rPr>
          <w:rFonts w:ascii="Verdana" w:hAnsi="Verdana"/>
          <w:sz w:val="20"/>
          <w:szCs w:val="20"/>
          <w:lang w:val="en-US"/>
        </w:rPr>
        <w:t xml:space="preserve"> indigenous peoples</w:t>
      </w:r>
      <w:r w:rsidR="007E0325" w:rsidRPr="00FE7BA7">
        <w:rPr>
          <w:rFonts w:ascii="Verdana" w:hAnsi="Verdana"/>
          <w:sz w:val="20"/>
          <w:szCs w:val="20"/>
          <w:lang w:val="en-US"/>
        </w:rPr>
        <w:t xml:space="preserve"> </w:t>
      </w:r>
      <w:r w:rsidR="009D7E74" w:rsidRPr="00FE7BA7">
        <w:rPr>
          <w:rFonts w:ascii="Verdana" w:hAnsi="Verdana"/>
          <w:sz w:val="20"/>
          <w:szCs w:val="20"/>
          <w:lang w:val="en-US"/>
        </w:rPr>
        <w:t xml:space="preserve">had the right </w:t>
      </w:r>
      <w:r w:rsidR="009D7E74" w:rsidRPr="00F61652">
        <w:rPr>
          <w:rFonts w:ascii="Verdana" w:hAnsi="Verdana"/>
          <w:sz w:val="20"/>
          <w:szCs w:val="20"/>
          <w:lang w:val="en-US"/>
        </w:rPr>
        <w:t xml:space="preserve">to recognition of collective </w:t>
      </w:r>
      <w:r w:rsidR="00F61652" w:rsidRPr="00F61652">
        <w:rPr>
          <w:rFonts w:ascii="Verdana" w:hAnsi="Verdana"/>
          <w:sz w:val="20"/>
          <w:szCs w:val="20"/>
          <w:lang w:val="en-US"/>
        </w:rPr>
        <w:t>legal</w:t>
      </w:r>
      <w:r w:rsidR="009D7E74" w:rsidRPr="00F61652">
        <w:rPr>
          <w:rFonts w:ascii="Verdana" w:hAnsi="Verdana"/>
          <w:sz w:val="20"/>
          <w:szCs w:val="20"/>
          <w:lang w:val="en-US"/>
        </w:rPr>
        <w:t xml:space="preserve"> personality. However, </w:t>
      </w:r>
      <w:r w:rsidRPr="00F61652">
        <w:rPr>
          <w:rFonts w:ascii="Verdana" w:hAnsi="Verdana"/>
          <w:sz w:val="20"/>
          <w:szCs w:val="20"/>
          <w:lang w:val="en-US"/>
        </w:rPr>
        <w:t>the State</w:t>
      </w:r>
      <w:r w:rsidR="007E0325" w:rsidRPr="00F61652">
        <w:rPr>
          <w:rFonts w:ascii="Verdana" w:hAnsi="Verdana"/>
          <w:sz w:val="20"/>
          <w:szCs w:val="20"/>
          <w:lang w:val="en-US"/>
        </w:rPr>
        <w:t xml:space="preserve"> </w:t>
      </w:r>
      <w:r w:rsidR="009D7E74" w:rsidRPr="00F61652">
        <w:rPr>
          <w:rFonts w:ascii="Verdana" w:hAnsi="Verdana"/>
          <w:sz w:val="20"/>
          <w:szCs w:val="20"/>
          <w:lang w:val="en-US"/>
        </w:rPr>
        <w:t xml:space="preserve">indicated that </w:t>
      </w:r>
      <w:r w:rsidR="00250C91">
        <w:rPr>
          <w:rFonts w:ascii="Verdana" w:hAnsi="Verdana"/>
          <w:sz w:val="20"/>
          <w:szCs w:val="20"/>
          <w:lang w:val="en-US"/>
        </w:rPr>
        <w:t>“</w:t>
      </w:r>
      <w:r w:rsidR="00F61652" w:rsidRPr="00F61652">
        <w:rPr>
          <w:rFonts w:ascii="Verdana" w:hAnsi="Verdana"/>
          <w:sz w:val="20"/>
          <w:szCs w:val="20"/>
          <w:lang w:val="en-US"/>
        </w:rPr>
        <w:t>Surinamese</w:t>
      </w:r>
      <w:r w:rsidR="009D7E74" w:rsidRPr="00F61652">
        <w:rPr>
          <w:rFonts w:ascii="Verdana" w:hAnsi="Verdana"/>
          <w:sz w:val="20"/>
          <w:szCs w:val="20"/>
          <w:lang w:val="en-US"/>
        </w:rPr>
        <w:t xml:space="preserve"> law</w:t>
      </w:r>
      <w:r w:rsidR="00F61652" w:rsidRPr="00F61652">
        <w:rPr>
          <w:rFonts w:ascii="Verdana" w:hAnsi="Verdana"/>
          <w:sz w:val="20"/>
          <w:szCs w:val="20"/>
          <w:lang w:val="en-US"/>
        </w:rPr>
        <w:t xml:space="preserve"> was un</w:t>
      </w:r>
      <w:r w:rsidR="009D7E74" w:rsidRPr="00F61652">
        <w:rPr>
          <w:rFonts w:ascii="Verdana" w:hAnsi="Verdana"/>
          <w:sz w:val="20"/>
          <w:szCs w:val="20"/>
          <w:lang w:val="en-US"/>
        </w:rPr>
        <w:t xml:space="preserve">familiar with the concept of </w:t>
      </w:r>
      <w:r w:rsidR="00F61652" w:rsidRPr="00F61652">
        <w:rPr>
          <w:rFonts w:ascii="Verdana" w:hAnsi="Verdana"/>
          <w:sz w:val="20"/>
          <w:szCs w:val="20"/>
          <w:lang w:val="en-US"/>
        </w:rPr>
        <w:t>attributing</w:t>
      </w:r>
      <w:r w:rsidR="009D7E74" w:rsidRPr="00F61652">
        <w:rPr>
          <w:rFonts w:ascii="Verdana" w:hAnsi="Verdana"/>
          <w:sz w:val="20"/>
          <w:szCs w:val="20"/>
          <w:lang w:val="en-US"/>
        </w:rPr>
        <w:t xml:space="preserve"> legal personality to ethnic groups</w:t>
      </w:r>
      <w:r w:rsidR="00F61652" w:rsidRPr="00F61652">
        <w:rPr>
          <w:rFonts w:ascii="Verdana" w:hAnsi="Verdana"/>
          <w:sz w:val="20"/>
          <w:szCs w:val="20"/>
          <w:lang w:val="en-US"/>
        </w:rPr>
        <w:t xml:space="preserve"> as a </w:t>
      </w:r>
      <w:r w:rsidR="00F61652" w:rsidRPr="00EC45EE">
        <w:rPr>
          <w:rFonts w:ascii="Verdana" w:hAnsi="Verdana"/>
          <w:sz w:val="20"/>
          <w:szCs w:val="20"/>
          <w:lang w:val="en-US"/>
        </w:rPr>
        <w:t>collectivity</w:t>
      </w:r>
      <w:r w:rsidR="009D7E74" w:rsidRPr="00EC45EE">
        <w:rPr>
          <w:rFonts w:ascii="Verdana" w:hAnsi="Verdana"/>
          <w:sz w:val="20"/>
          <w:szCs w:val="20"/>
          <w:lang w:val="en-US"/>
        </w:rPr>
        <w:t>.</w:t>
      </w:r>
      <w:r w:rsidR="00250C91">
        <w:rPr>
          <w:rFonts w:ascii="Verdana" w:hAnsi="Verdana"/>
          <w:sz w:val="20"/>
          <w:szCs w:val="20"/>
          <w:lang w:val="en-US"/>
        </w:rPr>
        <w:t>”</w:t>
      </w:r>
      <w:r w:rsidR="009D7E74" w:rsidRPr="00EC45EE">
        <w:rPr>
          <w:rFonts w:ascii="Verdana" w:hAnsi="Verdana"/>
          <w:sz w:val="20"/>
          <w:szCs w:val="20"/>
          <w:lang w:val="en-US"/>
        </w:rPr>
        <w:t xml:space="preserve"> It also indicated that the law </w:t>
      </w:r>
      <w:r w:rsidR="00F61652" w:rsidRPr="00EC45EE">
        <w:rPr>
          <w:rFonts w:ascii="Verdana" w:hAnsi="Verdana"/>
          <w:sz w:val="20"/>
          <w:szCs w:val="20"/>
          <w:lang w:val="en-US"/>
        </w:rPr>
        <w:t>indicates</w:t>
      </w:r>
      <w:r w:rsidR="009D7E74" w:rsidRPr="00EC45EE">
        <w:rPr>
          <w:rFonts w:ascii="Verdana" w:hAnsi="Verdana"/>
          <w:sz w:val="20"/>
          <w:szCs w:val="20"/>
          <w:lang w:val="en-US"/>
        </w:rPr>
        <w:t xml:space="preserve">, precisely, </w:t>
      </w:r>
      <w:r w:rsidR="00F61652" w:rsidRPr="00EC45EE">
        <w:rPr>
          <w:rFonts w:ascii="Verdana" w:hAnsi="Verdana"/>
          <w:sz w:val="20"/>
          <w:szCs w:val="20"/>
          <w:lang w:val="en-US"/>
        </w:rPr>
        <w:t>the entities that</w:t>
      </w:r>
      <w:r w:rsidR="009D7E74" w:rsidRPr="00EC45EE">
        <w:rPr>
          <w:rFonts w:ascii="Verdana" w:hAnsi="Verdana"/>
          <w:sz w:val="20"/>
          <w:szCs w:val="20"/>
          <w:lang w:val="en-US"/>
        </w:rPr>
        <w:t xml:space="preserve"> may have access to </w:t>
      </w:r>
      <w:r w:rsidR="00773D70" w:rsidRPr="00EC45EE">
        <w:rPr>
          <w:rFonts w:ascii="Verdana" w:hAnsi="Verdana"/>
          <w:sz w:val="20"/>
          <w:szCs w:val="20"/>
          <w:lang w:val="en-US"/>
        </w:rPr>
        <w:t xml:space="preserve">recognition of </w:t>
      </w:r>
      <w:r w:rsidR="00F61652" w:rsidRPr="00EC45EE">
        <w:rPr>
          <w:rFonts w:ascii="Verdana" w:hAnsi="Verdana"/>
          <w:sz w:val="20"/>
          <w:szCs w:val="20"/>
          <w:lang w:val="en-US"/>
        </w:rPr>
        <w:t>legal</w:t>
      </w:r>
      <w:r w:rsidR="00773D70" w:rsidRPr="00EC45EE">
        <w:rPr>
          <w:rFonts w:ascii="Verdana" w:hAnsi="Verdana"/>
          <w:sz w:val="20"/>
          <w:szCs w:val="20"/>
          <w:lang w:val="en-US"/>
        </w:rPr>
        <w:t xml:space="preserve"> personality</w:t>
      </w:r>
      <w:r w:rsidR="007E0325" w:rsidRPr="00EC45EE">
        <w:rPr>
          <w:rFonts w:ascii="Verdana" w:hAnsi="Verdana"/>
          <w:sz w:val="20"/>
          <w:szCs w:val="20"/>
          <w:lang w:val="en-US"/>
        </w:rPr>
        <w:t xml:space="preserve">, </w:t>
      </w:r>
      <w:r w:rsidR="00F61652" w:rsidRPr="00EC45EE">
        <w:rPr>
          <w:rFonts w:ascii="Verdana" w:hAnsi="Verdana"/>
          <w:sz w:val="20"/>
          <w:szCs w:val="20"/>
          <w:lang w:val="en-US"/>
        </w:rPr>
        <w:t>and</w:t>
      </w:r>
      <w:r w:rsidR="009D7E74" w:rsidRPr="00EC45EE">
        <w:rPr>
          <w:rFonts w:ascii="Verdana" w:hAnsi="Verdana"/>
          <w:sz w:val="20"/>
          <w:szCs w:val="20"/>
          <w:lang w:val="en-US"/>
        </w:rPr>
        <w:t xml:space="preserve"> recognizes</w:t>
      </w:r>
      <w:r w:rsidR="00F61652" w:rsidRPr="00EC45EE">
        <w:rPr>
          <w:rFonts w:ascii="Verdana" w:hAnsi="Verdana"/>
          <w:sz w:val="20"/>
          <w:szCs w:val="20"/>
          <w:lang w:val="en-US"/>
        </w:rPr>
        <w:t xml:space="preserve"> this to</w:t>
      </w:r>
      <w:r w:rsidR="009D7E74" w:rsidRPr="00EC45EE">
        <w:rPr>
          <w:rFonts w:ascii="Verdana" w:hAnsi="Verdana"/>
          <w:sz w:val="20"/>
          <w:szCs w:val="20"/>
          <w:lang w:val="en-US"/>
        </w:rPr>
        <w:t xml:space="preserve"> natural persons and </w:t>
      </w:r>
      <w:r w:rsidR="00F61652" w:rsidRPr="00EC45EE">
        <w:rPr>
          <w:rFonts w:ascii="Verdana" w:hAnsi="Verdana"/>
          <w:sz w:val="20"/>
          <w:szCs w:val="20"/>
          <w:lang w:val="en-US"/>
        </w:rPr>
        <w:t>legal persons</w:t>
      </w:r>
      <w:r w:rsidR="009D7E74" w:rsidRPr="00EC45EE">
        <w:rPr>
          <w:rFonts w:ascii="Verdana" w:hAnsi="Verdana"/>
          <w:sz w:val="20"/>
          <w:szCs w:val="20"/>
          <w:lang w:val="en-US"/>
        </w:rPr>
        <w:t xml:space="preserve"> such as associations, foundations, and certain companies, but not </w:t>
      </w:r>
      <w:r w:rsidR="00F61652" w:rsidRPr="00EC45EE">
        <w:rPr>
          <w:rFonts w:ascii="Verdana" w:hAnsi="Verdana"/>
          <w:sz w:val="20"/>
          <w:szCs w:val="20"/>
          <w:lang w:val="en-US"/>
        </w:rPr>
        <w:t xml:space="preserve">to </w:t>
      </w:r>
      <w:r w:rsidR="009D7E74" w:rsidRPr="00EC45EE">
        <w:rPr>
          <w:rFonts w:ascii="Verdana" w:hAnsi="Verdana"/>
          <w:sz w:val="20"/>
          <w:szCs w:val="20"/>
          <w:lang w:val="en-US"/>
        </w:rPr>
        <w:t xml:space="preserve">ethnic groups. The State indicated that the concept of legal personality in </w:t>
      </w:r>
      <w:r w:rsidR="00F61652" w:rsidRPr="00EC45EE">
        <w:rPr>
          <w:rFonts w:ascii="Verdana" w:hAnsi="Verdana"/>
          <w:sz w:val="20"/>
          <w:szCs w:val="20"/>
          <w:lang w:val="en-US"/>
        </w:rPr>
        <w:t>relation to</w:t>
      </w:r>
      <w:r w:rsidR="009D7E74" w:rsidRPr="00EC45EE">
        <w:rPr>
          <w:rFonts w:ascii="Verdana" w:hAnsi="Verdana"/>
          <w:sz w:val="20"/>
          <w:szCs w:val="20"/>
          <w:lang w:val="en-US"/>
        </w:rPr>
        <w:t xml:space="preserve"> the</w:t>
      </w:r>
      <w:r w:rsidR="00F61652" w:rsidRPr="00EC45EE">
        <w:rPr>
          <w:rFonts w:ascii="Verdana" w:hAnsi="Verdana"/>
          <w:sz w:val="20"/>
          <w:szCs w:val="20"/>
          <w:lang w:val="en-US"/>
        </w:rPr>
        <w:t xml:space="preserve"> Kaliña and Lokono peoples meant</w:t>
      </w:r>
      <w:r w:rsidR="009D7E74" w:rsidRPr="00EC45EE">
        <w:rPr>
          <w:rFonts w:ascii="Verdana" w:hAnsi="Verdana"/>
          <w:sz w:val="20"/>
          <w:szCs w:val="20"/>
          <w:lang w:val="en-US"/>
        </w:rPr>
        <w:t xml:space="preserve"> </w:t>
      </w:r>
      <w:r w:rsidR="00F61652" w:rsidRPr="00EC45EE">
        <w:rPr>
          <w:rFonts w:ascii="Verdana" w:hAnsi="Verdana"/>
          <w:sz w:val="20"/>
          <w:szCs w:val="20"/>
          <w:lang w:val="en-US"/>
        </w:rPr>
        <w:t>“</w:t>
      </w:r>
      <w:r w:rsidR="009D7E74" w:rsidRPr="00EC45EE">
        <w:rPr>
          <w:rFonts w:ascii="Verdana" w:hAnsi="Verdana"/>
          <w:sz w:val="20"/>
          <w:szCs w:val="20"/>
          <w:lang w:val="en-US"/>
        </w:rPr>
        <w:t>tha</w:t>
      </w:r>
      <w:r w:rsidR="00F61652" w:rsidRPr="00EC45EE">
        <w:rPr>
          <w:rFonts w:ascii="Verdana" w:hAnsi="Verdana"/>
          <w:sz w:val="20"/>
          <w:szCs w:val="20"/>
          <w:lang w:val="en-US"/>
        </w:rPr>
        <w:t>t each member of the community wa</w:t>
      </w:r>
      <w:r w:rsidR="009D7E74" w:rsidRPr="00EC45EE">
        <w:rPr>
          <w:rFonts w:ascii="Verdana" w:hAnsi="Verdana"/>
          <w:sz w:val="20"/>
          <w:szCs w:val="20"/>
          <w:lang w:val="en-US"/>
        </w:rPr>
        <w:t xml:space="preserve">s considered </w:t>
      </w:r>
      <w:r w:rsidR="00F61652" w:rsidRPr="00EC45EE">
        <w:rPr>
          <w:rFonts w:ascii="Verdana" w:hAnsi="Verdana"/>
          <w:sz w:val="20"/>
          <w:szCs w:val="20"/>
          <w:lang w:val="en-US"/>
        </w:rPr>
        <w:t xml:space="preserve">fully as a bearer of rights and duties.” </w:t>
      </w:r>
      <w:r w:rsidR="009D7E74" w:rsidRPr="00EC45EE">
        <w:rPr>
          <w:rFonts w:ascii="Verdana" w:hAnsi="Verdana"/>
          <w:sz w:val="20"/>
          <w:szCs w:val="20"/>
          <w:lang w:val="en-US"/>
        </w:rPr>
        <w:t>Thus</w:t>
      </w:r>
      <w:r w:rsidR="00F61652" w:rsidRPr="00EC45EE">
        <w:rPr>
          <w:rFonts w:ascii="Verdana" w:hAnsi="Verdana"/>
          <w:sz w:val="20"/>
          <w:szCs w:val="20"/>
          <w:lang w:val="en-US"/>
        </w:rPr>
        <w:t>, the State concluded that al</w:t>
      </w:r>
      <w:r w:rsidR="009D7E74" w:rsidRPr="00EC45EE">
        <w:rPr>
          <w:rFonts w:ascii="Verdana" w:hAnsi="Verdana"/>
          <w:sz w:val="20"/>
          <w:szCs w:val="20"/>
          <w:lang w:val="en-US"/>
        </w:rPr>
        <w:t xml:space="preserve">though </w:t>
      </w:r>
      <w:r w:rsidR="00F61652" w:rsidRPr="00EC45EE">
        <w:rPr>
          <w:rFonts w:ascii="Verdana" w:hAnsi="Verdana"/>
          <w:sz w:val="20"/>
          <w:szCs w:val="20"/>
          <w:lang w:val="en-US"/>
        </w:rPr>
        <w:t xml:space="preserve">there were </w:t>
      </w:r>
      <w:r w:rsidR="009D7E74" w:rsidRPr="00EC45EE">
        <w:rPr>
          <w:rFonts w:ascii="Verdana" w:hAnsi="Verdana"/>
          <w:sz w:val="20"/>
          <w:szCs w:val="20"/>
          <w:lang w:val="en-US"/>
        </w:rPr>
        <w:t xml:space="preserve">no specific provisions </w:t>
      </w:r>
      <w:r w:rsidR="00F61652" w:rsidRPr="00EC45EE">
        <w:rPr>
          <w:rFonts w:ascii="Verdana" w:hAnsi="Verdana"/>
          <w:sz w:val="20"/>
          <w:szCs w:val="20"/>
          <w:lang w:val="en-US"/>
        </w:rPr>
        <w:t>regarding</w:t>
      </w:r>
      <w:r w:rsidR="009D7E74" w:rsidRPr="00EC45EE">
        <w:rPr>
          <w:rFonts w:ascii="Verdana" w:hAnsi="Verdana"/>
          <w:sz w:val="20"/>
          <w:szCs w:val="20"/>
          <w:lang w:val="en-US"/>
        </w:rPr>
        <w:t xml:space="preserve"> recognition of the collective personality </w:t>
      </w:r>
      <w:r w:rsidR="00BD40EF" w:rsidRPr="00EC45EE">
        <w:rPr>
          <w:rFonts w:ascii="Verdana" w:hAnsi="Verdana"/>
          <w:sz w:val="20"/>
          <w:szCs w:val="20"/>
          <w:lang w:val="en-US"/>
        </w:rPr>
        <w:t xml:space="preserve">of the </w:t>
      </w:r>
      <w:r w:rsidR="007E0325" w:rsidRPr="00EC45EE">
        <w:rPr>
          <w:rFonts w:ascii="Verdana" w:hAnsi="Verdana"/>
          <w:sz w:val="20"/>
          <w:szCs w:val="20"/>
          <w:lang w:val="en-US"/>
        </w:rPr>
        <w:t>Kaliña</w:t>
      </w:r>
      <w:r w:rsidRPr="00EC45EE">
        <w:rPr>
          <w:rFonts w:ascii="Verdana" w:hAnsi="Verdana"/>
          <w:sz w:val="20"/>
          <w:szCs w:val="20"/>
          <w:lang w:val="en-US"/>
        </w:rPr>
        <w:t xml:space="preserve"> and </w:t>
      </w:r>
      <w:r w:rsidR="007E0325" w:rsidRPr="00EC45EE">
        <w:rPr>
          <w:rFonts w:ascii="Verdana" w:hAnsi="Verdana"/>
          <w:sz w:val="20"/>
          <w:szCs w:val="20"/>
          <w:lang w:val="en-US"/>
        </w:rPr>
        <w:t>Lokono</w:t>
      </w:r>
      <w:r w:rsidR="00F61652" w:rsidRPr="00EC45EE">
        <w:rPr>
          <w:rFonts w:ascii="Verdana" w:hAnsi="Verdana"/>
          <w:sz w:val="20"/>
          <w:szCs w:val="20"/>
          <w:lang w:val="en-US"/>
        </w:rPr>
        <w:t xml:space="preserve"> indigenous </w:t>
      </w:r>
      <w:proofErr w:type="gramStart"/>
      <w:r w:rsidR="00F61652" w:rsidRPr="00EC45EE">
        <w:rPr>
          <w:rFonts w:ascii="Verdana" w:hAnsi="Verdana"/>
          <w:sz w:val="20"/>
          <w:szCs w:val="20"/>
          <w:lang w:val="en-US"/>
        </w:rPr>
        <w:t>peoples</w:t>
      </w:r>
      <w:r w:rsidR="007E0325" w:rsidRPr="00EC45EE">
        <w:rPr>
          <w:rFonts w:ascii="Verdana" w:hAnsi="Verdana"/>
          <w:sz w:val="20"/>
          <w:szCs w:val="20"/>
          <w:lang w:val="en-US"/>
        </w:rPr>
        <w:t>,</w:t>
      </w:r>
      <w:proofErr w:type="gramEnd"/>
      <w:r w:rsidR="007E0325" w:rsidRPr="00EC45EE">
        <w:rPr>
          <w:rFonts w:ascii="Verdana" w:hAnsi="Verdana"/>
          <w:sz w:val="20"/>
          <w:szCs w:val="20"/>
          <w:lang w:val="en-US"/>
        </w:rPr>
        <w:t xml:space="preserve"> </w:t>
      </w:r>
      <w:r w:rsidR="009D7E74" w:rsidRPr="00EC45EE">
        <w:rPr>
          <w:rFonts w:ascii="Verdana" w:hAnsi="Verdana"/>
          <w:sz w:val="20"/>
          <w:szCs w:val="20"/>
          <w:lang w:val="en-US"/>
        </w:rPr>
        <w:t xml:space="preserve">domestic law in no way </w:t>
      </w:r>
      <w:r w:rsidR="00F61652" w:rsidRPr="00EC45EE">
        <w:rPr>
          <w:rFonts w:ascii="Verdana" w:hAnsi="Verdana"/>
          <w:sz w:val="20"/>
          <w:szCs w:val="20"/>
          <w:lang w:val="en-US"/>
        </w:rPr>
        <w:t>curtailed</w:t>
      </w:r>
      <w:r w:rsidR="009D7E74" w:rsidRPr="00EC45EE">
        <w:rPr>
          <w:rFonts w:ascii="Verdana" w:hAnsi="Verdana"/>
          <w:sz w:val="20"/>
          <w:szCs w:val="20"/>
          <w:lang w:val="en-US"/>
        </w:rPr>
        <w:t xml:space="preserve"> the rights of their members as </w:t>
      </w:r>
      <w:r w:rsidR="00F61652" w:rsidRPr="00EC45EE">
        <w:rPr>
          <w:rFonts w:ascii="Verdana" w:hAnsi="Verdana"/>
          <w:sz w:val="20"/>
          <w:szCs w:val="20"/>
          <w:lang w:val="en-US"/>
        </w:rPr>
        <w:t xml:space="preserve">legal </w:t>
      </w:r>
      <w:r w:rsidR="009D7E74" w:rsidRPr="00EC45EE">
        <w:rPr>
          <w:rFonts w:ascii="Verdana" w:hAnsi="Verdana"/>
          <w:sz w:val="20"/>
          <w:szCs w:val="20"/>
          <w:lang w:val="en-US"/>
        </w:rPr>
        <w:t xml:space="preserve">subjects within </w:t>
      </w:r>
      <w:r w:rsidR="00250C91">
        <w:rPr>
          <w:rFonts w:ascii="Verdana" w:hAnsi="Verdana"/>
          <w:sz w:val="20"/>
          <w:szCs w:val="20"/>
          <w:lang w:val="en-US"/>
        </w:rPr>
        <w:t>the territory of Suriname.</w:t>
      </w:r>
    </w:p>
    <w:p w14:paraId="63126920" w14:textId="77777777" w:rsidR="007E0325" w:rsidRPr="00FE7BA7" w:rsidRDefault="007E0325" w:rsidP="007E0325">
      <w:pPr>
        <w:jc w:val="both"/>
        <w:rPr>
          <w:rFonts w:ascii="Verdana" w:hAnsi="Verdana"/>
          <w:sz w:val="20"/>
          <w:szCs w:val="20"/>
          <w:lang w:val="en-US"/>
        </w:rPr>
      </w:pPr>
    </w:p>
    <w:p w14:paraId="63126921" w14:textId="3A16FE1D" w:rsidR="007E0325" w:rsidRPr="00FE7BA7" w:rsidRDefault="007E0325" w:rsidP="000D786E">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N</w:t>
      </w:r>
      <w:r w:rsidR="00EB292C" w:rsidRPr="00FE7BA7">
        <w:rPr>
          <w:rFonts w:ascii="Verdana" w:hAnsi="Verdana"/>
          <w:sz w:val="20"/>
          <w:szCs w:val="20"/>
          <w:lang w:val="en-US"/>
        </w:rPr>
        <w:t xml:space="preserve">evertheless, </w:t>
      </w:r>
      <w:r w:rsidR="002B5CCD" w:rsidRPr="00FE7BA7">
        <w:rPr>
          <w:rFonts w:ascii="Verdana" w:hAnsi="Verdana"/>
          <w:sz w:val="20"/>
          <w:szCs w:val="20"/>
          <w:lang w:val="en-US"/>
        </w:rPr>
        <w:t>the State</w:t>
      </w:r>
      <w:r w:rsidR="00836F95" w:rsidRPr="00FE7BA7">
        <w:rPr>
          <w:rFonts w:ascii="Verdana" w:hAnsi="Verdana"/>
          <w:sz w:val="20"/>
          <w:szCs w:val="20"/>
          <w:lang w:val="en-US"/>
        </w:rPr>
        <w:t xml:space="preserve"> </w:t>
      </w:r>
      <w:r w:rsidR="000D786E" w:rsidRPr="00FE7BA7">
        <w:rPr>
          <w:rFonts w:ascii="Verdana" w:hAnsi="Verdana"/>
          <w:sz w:val="20"/>
          <w:szCs w:val="20"/>
          <w:lang w:val="en-US"/>
        </w:rPr>
        <w:t xml:space="preserve">indicated that, in </w:t>
      </w:r>
      <w:r w:rsidR="00F61652">
        <w:rPr>
          <w:rFonts w:ascii="Verdana" w:hAnsi="Verdana"/>
          <w:sz w:val="20"/>
          <w:szCs w:val="20"/>
          <w:lang w:val="en-US"/>
        </w:rPr>
        <w:t>accordance with its treaty</w:t>
      </w:r>
      <w:r w:rsidR="000D786E" w:rsidRPr="00FE7BA7">
        <w:rPr>
          <w:rFonts w:ascii="Verdana" w:hAnsi="Verdana"/>
          <w:sz w:val="20"/>
          <w:szCs w:val="20"/>
          <w:lang w:val="en-US"/>
        </w:rPr>
        <w:t xml:space="preserve"> obligations, Suriname had initiated a process </w:t>
      </w:r>
      <w:r w:rsidR="00250C91">
        <w:rPr>
          <w:rFonts w:ascii="Verdana" w:hAnsi="Verdana"/>
          <w:sz w:val="20"/>
          <w:szCs w:val="20"/>
          <w:lang w:val="en-US"/>
        </w:rPr>
        <w:t xml:space="preserve">to examine </w:t>
      </w:r>
      <w:r w:rsidR="000D786E" w:rsidRPr="00FE7BA7">
        <w:rPr>
          <w:rFonts w:ascii="Verdana" w:hAnsi="Verdana"/>
          <w:sz w:val="20"/>
          <w:szCs w:val="20"/>
          <w:lang w:val="en-US"/>
        </w:rPr>
        <w:t xml:space="preserve">the impact that the recognition of collective rights would have </w:t>
      </w:r>
      <w:r w:rsidR="00F61652">
        <w:rPr>
          <w:rFonts w:ascii="Verdana" w:hAnsi="Verdana"/>
          <w:sz w:val="20"/>
          <w:szCs w:val="20"/>
          <w:lang w:val="en-US"/>
        </w:rPr>
        <w:t>o</w:t>
      </w:r>
      <w:r w:rsidR="000D786E" w:rsidRPr="00FE7BA7">
        <w:rPr>
          <w:rFonts w:ascii="Verdana" w:hAnsi="Verdana"/>
          <w:sz w:val="20"/>
          <w:szCs w:val="20"/>
          <w:lang w:val="en-US"/>
        </w:rPr>
        <w:t xml:space="preserve">n its legal system. Also, it was </w:t>
      </w:r>
      <w:r w:rsidR="00F61652">
        <w:rPr>
          <w:rFonts w:ascii="Verdana" w:hAnsi="Verdana"/>
          <w:sz w:val="20"/>
          <w:szCs w:val="20"/>
          <w:lang w:val="en-US"/>
        </w:rPr>
        <w:t>formulating legislation concerning</w:t>
      </w:r>
      <w:r w:rsidR="000D786E" w:rsidRPr="00FE7BA7">
        <w:rPr>
          <w:rFonts w:ascii="Verdana" w:hAnsi="Verdana"/>
          <w:sz w:val="20"/>
          <w:szCs w:val="20"/>
          <w:lang w:val="en-US"/>
        </w:rPr>
        <w:t xml:space="preserve"> the legal relationship between the traditional au</w:t>
      </w:r>
      <w:r w:rsidR="00F61652">
        <w:rPr>
          <w:rFonts w:ascii="Verdana" w:hAnsi="Verdana"/>
          <w:sz w:val="20"/>
          <w:szCs w:val="20"/>
          <w:lang w:val="en-US"/>
        </w:rPr>
        <w:t xml:space="preserve">thorities and the Government, and envisaged recognizing in the legislation </w:t>
      </w:r>
      <w:r w:rsidR="000D786E" w:rsidRPr="00FE7BA7">
        <w:rPr>
          <w:rFonts w:ascii="Verdana" w:hAnsi="Verdana"/>
          <w:sz w:val="20"/>
          <w:szCs w:val="20"/>
          <w:lang w:val="en-US"/>
        </w:rPr>
        <w:t xml:space="preserve">the traditional authorities as the legitimate representatives of the indigenous and tribal peoples before the central Government, especially on issues related to their traditions and in </w:t>
      </w:r>
      <w:r w:rsidR="00F61652">
        <w:rPr>
          <w:rFonts w:ascii="Verdana" w:hAnsi="Verdana"/>
          <w:sz w:val="20"/>
          <w:szCs w:val="20"/>
          <w:lang w:val="en-US"/>
        </w:rPr>
        <w:t>circumstances</w:t>
      </w:r>
      <w:r w:rsidR="000D786E" w:rsidRPr="00FE7BA7">
        <w:rPr>
          <w:rFonts w:ascii="Verdana" w:hAnsi="Verdana"/>
          <w:sz w:val="20"/>
          <w:szCs w:val="20"/>
          <w:lang w:val="en-US"/>
        </w:rPr>
        <w:t xml:space="preserve"> in which it was necessary to consult the peoples. The State considered that the </w:t>
      </w:r>
      <w:r w:rsidR="00F61652">
        <w:rPr>
          <w:rFonts w:ascii="Verdana" w:hAnsi="Verdana"/>
          <w:sz w:val="20"/>
          <w:szCs w:val="20"/>
          <w:lang w:val="en-US"/>
        </w:rPr>
        <w:t>adoption</w:t>
      </w:r>
      <w:r w:rsidR="000D786E" w:rsidRPr="00FE7BA7">
        <w:rPr>
          <w:rFonts w:ascii="Verdana" w:hAnsi="Verdana"/>
          <w:sz w:val="20"/>
          <w:szCs w:val="20"/>
          <w:lang w:val="en-US"/>
        </w:rPr>
        <w:t xml:space="preserve"> of this new law would </w:t>
      </w:r>
      <w:r w:rsidR="00250C91">
        <w:rPr>
          <w:rFonts w:ascii="Verdana" w:hAnsi="Verdana"/>
          <w:sz w:val="20"/>
          <w:szCs w:val="20"/>
          <w:lang w:val="en-US"/>
        </w:rPr>
        <w:t>provide</w:t>
      </w:r>
      <w:r w:rsidR="000D786E" w:rsidRPr="00FE7BA7">
        <w:rPr>
          <w:rFonts w:ascii="Verdana" w:hAnsi="Verdana"/>
          <w:sz w:val="20"/>
          <w:szCs w:val="20"/>
          <w:lang w:val="en-US"/>
        </w:rPr>
        <w:t xml:space="preserve"> an acceptable solution to the </w:t>
      </w:r>
      <w:r w:rsidR="00F61652">
        <w:rPr>
          <w:rFonts w:ascii="Verdana" w:hAnsi="Verdana"/>
          <w:sz w:val="20"/>
          <w:szCs w:val="20"/>
          <w:lang w:val="en-US"/>
        </w:rPr>
        <w:t>issue</w:t>
      </w:r>
      <w:r w:rsidR="000D786E" w:rsidRPr="00FE7BA7">
        <w:rPr>
          <w:rFonts w:ascii="Verdana" w:hAnsi="Verdana"/>
          <w:sz w:val="20"/>
          <w:szCs w:val="20"/>
          <w:lang w:val="en-US"/>
        </w:rPr>
        <w:t xml:space="preserve"> of the </w:t>
      </w:r>
      <w:r w:rsidR="00773D70" w:rsidRPr="00FE7BA7">
        <w:rPr>
          <w:rFonts w:ascii="Verdana" w:hAnsi="Verdana"/>
          <w:sz w:val="20"/>
          <w:szCs w:val="20"/>
          <w:lang w:val="en-US"/>
        </w:rPr>
        <w:t>recognition of</w:t>
      </w:r>
      <w:r w:rsidR="000D786E" w:rsidRPr="00FE7BA7">
        <w:rPr>
          <w:rFonts w:ascii="Verdana" w:hAnsi="Verdana"/>
          <w:sz w:val="20"/>
          <w:szCs w:val="20"/>
          <w:lang w:val="en-US"/>
        </w:rPr>
        <w:t xml:space="preserve"> collective</w:t>
      </w:r>
      <w:r w:rsidR="00773D70" w:rsidRPr="00FE7BA7">
        <w:rPr>
          <w:rFonts w:ascii="Verdana" w:hAnsi="Verdana"/>
          <w:sz w:val="20"/>
          <w:szCs w:val="20"/>
          <w:lang w:val="en-US"/>
        </w:rPr>
        <w:t xml:space="preserve"> </w:t>
      </w:r>
      <w:r w:rsidR="00F61652">
        <w:rPr>
          <w:rFonts w:ascii="Verdana" w:hAnsi="Verdana"/>
          <w:sz w:val="20"/>
          <w:szCs w:val="20"/>
          <w:lang w:val="en-US"/>
        </w:rPr>
        <w:t xml:space="preserve">legal </w:t>
      </w:r>
      <w:r w:rsidR="00773D70" w:rsidRPr="00FE7BA7">
        <w:rPr>
          <w:rFonts w:ascii="Verdana" w:hAnsi="Verdana"/>
          <w:sz w:val="20"/>
          <w:szCs w:val="20"/>
          <w:lang w:val="en-US"/>
        </w:rPr>
        <w:t>personality</w:t>
      </w:r>
      <w:r w:rsidR="00F61652">
        <w:rPr>
          <w:rFonts w:ascii="Verdana" w:hAnsi="Verdana"/>
          <w:sz w:val="20"/>
          <w:szCs w:val="20"/>
          <w:lang w:val="en-US"/>
        </w:rPr>
        <w:t>.</w:t>
      </w:r>
      <w:r w:rsidRPr="00FE7BA7">
        <w:rPr>
          <w:rFonts w:ascii="Verdana" w:hAnsi="Verdana"/>
          <w:sz w:val="20"/>
          <w:szCs w:val="20"/>
          <w:lang w:val="en-US"/>
        </w:rPr>
        <w:t xml:space="preserve"> </w:t>
      </w:r>
      <w:r w:rsidR="000D786E" w:rsidRPr="00FE7BA7">
        <w:rPr>
          <w:rFonts w:ascii="Verdana" w:hAnsi="Verdana"/>
          <w:sz w:val="20"/>
          <w:szCs w:val="20"/>
          <w:lang w:val="en-US"/>
        </w:rPr>
        <w:t xml:space="preserve">In its final arguments, the State indicated that it </w:t>
      </w:r>
      <w:r w:rsidR="00F61652">
        <w:rPr>
          <w:rFonts w:ascii="Verdana" w:hAnsi="Verdana"/>
          <w:sz w:val="20"/>
          <w:szCs w:val="20"/>
          <w:lang w:val="en-US"/>
        </w:rPr>
        <w:t>was aware</w:t>
      </w:r>
      <w:r w:rsidR="000D786E" w:rsidRPr="00FE7BA7">
        <w:rPr>
          <w:rFonts w:ascii="Verdana" w:hAnsi="Verdana"/>
          <w:sz w:val="20"/>
          <w:szCs w:val="20"/>
          <w:lang w:val="en-US"/>
        </w:rPr>
        <w:t xml:space="preserve"> that </w:t>
      </w:r>
      <w:r w:rsidR="00967E6B" w:rsidRPr="00FE7BA7">
        <w:rPr>
          <w:rFonts w:ascii="Verdana" w:hAnsi="Verdana"/>
          <w:sz w:val="20"/>
          <w:szCs w:val="20"/>
          <w:lang w:val="en-US"/>
        </w:rPr>
        <w:t xml:space="preserve">the indigenous and </w:t>
      </w:r>
      <w:r w:rsidR="00F32607" w:rsidRPr="00FE7BA7">
        <w:rPr>
          <w:rFonts w:ascii="Verdana" w:hAnsi="Verdana"/>
          <w:sz w:val="20"/>
          <w:szCs w:val="20"/>
          <w:lang w:val="en-US"/>
        </w:rPr>
        <w:t>tribal peoples</w:t>
      </w:r>
      <w:r w:rsidRPr="00FE7BA7">
        <w:rPr>
          <w:rFonts w:ascii="Verdana" w:hAnsi="Verdana"/>
          <w:sz w:val="20"/>
          <w:szCs w:val="20"/>
          <w:lang w:val="en-US"/>
        </w:rPr>
        <w:t xml:space="preserve"> </w:t>
      </w:r>
      <w:r w:rsidR="000D786E" w:rsidRPr="00FE7BA7">
        <w:rPr>
          <w:rFonts w:ascii="Verdana" w:hAnsi="Verdana"/>
          <w:sz w:val="20"/>
          <w:szCs w:val="20"/>
          <w:lang w:val="en-US"/>
        </w:rPr>
        <w:t xml:space="preserve">had the right to </w:t>
      </w:r>
      <w:r w:rsidR="00773D70" w:rsidRPr="00FE7BA7">
        <w:rPr>
          <w:rFonts w:ascii="Verdana" w:hAnsi="Verdana"/>
          <w:sz w:val="20"/>
          <w:szCs w:val="20"/>
          <w:lang w:val="en-US"/>
        </w:rPr>
        <w:t xml:space="preserve">recognition of </w:t>
      </w:r>
      <w:r w:rsidR="00F61652">
        <w:rPr>
          <w:rFonts w:ascii="Verdana" w:hAnsi="Verdana"/>
          <w:sz w:val="20"/>
          <w:szCs w:val="20"/>
          <w:lang w:val="en-US"/>
        </w:rPr>
        <w:t>legal</w:t>
      </w:r>
      <w:r w:rsidR="00773D70" w:rsidRPr="00FE7BA7">
        <w:rPr>
          <w:rFonts w:ascii="Verdana" w:hAnsi="Verdana"/>
          <w:sz w:val="20"/>
          <w:szCs w:val="20"/>
          <w:lang w:val="en-US"/>
        </w:rPr>
        <w:t xml:space="preserve"> personality</w:t>
      </w:r>
      <w:r w:rsidRPr="00FE7BA7">
        <w:rPr>
          <w:rFonts w:ascii="Verdana" w:hAnsi="Verdana"/>
          <w:sz w:val="20"/>
          <w:szCs w:val="20"/>
          <w:lang w:val="en-US"/>
        </w:rPr>
        <w:t xml:space="preserve"> </w:t>
      </w:r>
      <w:r w:rsidR="000D786E" w:rsidRPr="00FE7BA7">
        <w:rPr>
          <w:rFonts w:ascii="Verdana" w:hAnsi="Verdana"/>
          <w:sz w:val="20"/>
          <w:szCs w:val="20"/>
          <w:lang w:val="en-US"/>
        </w:rPr>
        <w:t xml:space="preserve">under international law, specifically, the </w:t>
      </w:r>
      <w:r w:rsidR="00F46731">
        <w:rPr>
          <w:rFonts w:ascii="Verdana" w:hAnsi="Verdana"/>
          <w:sz w:val="20"/>
          <w:szCs w:val="20"/>
          <w:lang w:val="en-US"/>
        </w:rPr>
        <w:t>Inter-</w:t>
      </w:r>
      <w:r w:rsidR="000D786E" w:rsidRPr="00FE7BA7">
        <w:rPr>
          <w:rFonts w:ascii="Verdana" w:hAnsi="Verdana"/>
          <w:sz w:val="20"/>
          <w:szCs w:val="20"/>
          <w:lang w:val="en-US"/>
        </w:rPr>
        <w:t xml:space="preserve">American system for the protection of human rights. Added to this, the State indicated that, at this time, conflicting positions existed </w:t>
      </w:r>
      <w:r w:rsidR="00F61652">
        <w:rPr>
          <w:rFonts w:ascii="Verdana" w:hAnsi="Verdana"/>
          <w:sz w:val="20"/>
          <w:szCs w:val="20"/>
          <w:lang w:val="en-US"/>
        </w:rPr>
        <w:t xml:space="preserve">in Parliament as to whether </w:t>
      </w:r>
      <w:r w:rsidR="000D786E" w:rsidRPr="00FE7BA7">
        <w:rPr>
          <w:rFonts w:ascii="Verdana" w:hAnsi="Verdana"/>
          <w:sz w:val="20"/>
          <w:szCs w:val="20"/>
          <w:lang w:val="en-US"/>
        </w:rPr>
        <w:t xml:space="preserve">property titles issued to </w:t>
      </w:r>
      <w:r w:rsidR="00967E6B" w:rsidRPr="00FE7BA7">
        <w:rPr>
          <w:rFonts w:ascii="Verdana" w:hAnsi="Verdana"/>
          <w:sz w:val="20"/>
          <w:szCs w:val="20"/>
          <w:lang w:val="en-US"/>
        </w:rPr>
        <w:t xml:space="preserve">the indigenous and </w:t>
      </w:r>
      <w:r w:rsidR="00F32607" w:rsidRPr="00FE7BA7">
        <w:rPr>
          <w:rFonts w:ascii="Verdana" w:hAnsi="Verdana"/>
          <w:sz w:val="20"/>
          <w:szCs w:val="20"/>
          <w:lang w:val="en-US"/>
        </w:rPr>
        <w:t>tribal peoples</w:t>
      </w:r>
      <w:r w:rsidRPr="00FE7BA7">
        <w:rPr>
          <w:rFonts w:ascii="Verdana" w:hAnsi="Verdana"/>
          <w:sz w:val="20"/>
          <w:szCs w:val="20"/>
          <w:lang w:val="en-US"/>
        </w:rPr>
        <w:t xml:space="preserve"> </w:t>
      </w:r>
      <w:r w:rsidR="000D786E" w:rsidRPr="00FE7BA7">
        <w:rPr>
          <w:rFonts w:ascii="Verdana" w:hAnsi="Verdana"/>
          <w:sz w:val="20"/>
          <w:szCs w:val="20"/>
          <w:lang w:val="en-US"/>
        </w:rPr>
        <w:t>shou</w:t>
      </w:r>
      <w:r w:rsidR="00F61652">
        <w:rPr>
          <w:rFonts w:ascii="Verdana" w:hAnsi="Verdana"/>
          <w:sz w:val="20"/>
          <w:szCs w:val="20"/>
          <w:lang w:val="en-US"/>
        </w:rPr>
        <w:t>ld be individual or collective.</w:t>
      </w:r>
    </w:p>
    <w:p w14:paraId="63126922" w14:textId="77777777" w:rsidR="007E0325" w:rsidRPr="00FE7BA7" w:rsidRDefault="007E0325" w:rsidP="007E0325">
      <w:pPr>
        <w:jc w:val="both"/>
        <w:rPr>
          <w:rFonts w:ascii="Verdana" w:hAnsi="Verdana"/>
          <w:sz w:val="20"/>
          <w:szCs w:val="20"/>
          <w:lang w:val="en-US"/>
        </w:rPr>
      </w:pPr>
      <w:r w:rsidRPr="00FE7BA7">
        <w:rPr>
          <w:rStyle w:val="CommentReference"/>
          <w:lang w:val="en-US"/>
        </w:rPr>
        <w:t xml:space="preserve"> </w:t>
      </w:r>
    </w:p>
    <w:p w14:paraId="63126923" w14:textId="77777777" w:rsidR="007E0325" w:rsidRPr="00FE7BA7" w:rsidRDefault="00C34C52" w:rsidP="007E0325">
      <w:pPr>
        <w:pStyle w:val="Heading2"/>
        <w:numPr>
          <w:ilvl w:val="0"/>
          <w:numId w:val="29"/>
        </w:numPr>
        <w:spacing w:before="0"/>
        <w:jc w:val="both"/>
        <w:rPr>
          <w:rFonts w:ascii="Verdana" w:hAnsi="Verdana"/>
          <w:bCs w:val="0"/>
          <w:i/>
          <w:color w:val="auto"/>
          <w:sz w:val="20"/>
          <w:szCs w:val="20"/>
          <w:lang w:val="en-US"/>
        </w:rPr>
      </w:pPr>
      <w:bookmarkStart w:id="34" w:name="_Toc441673202"/>
      <w:r w:rsidRPr="00FE7BA7">
        <w:rPr>
          <w:rFonts w:ascii="Verdana" w:hAnsi="Verdana"/>
          <w:bCs w:val="0"/>
          <w:i/>
          <w:color w:val="auto"/>
          <w:sz w:val="20"/>
          <w:szCs w:val="20"/>
          <w:lang w:val="en-US"/>
        </w:rPr>
        <w:t>Considerations</w:t>
      </w:r>
      <w:r w:rsidR="002B5CCD" w:rsidRPr="00FE7BA7">
        <w:rPr>
          <w:rFonts w:ascii="Verdana" w:hAnsi="Verdana"/>
          <w:bCs w:val="0"/>
          <w:i/>
          <w:color w:val="auto"/>
          <w:sz w:val="20"/>
          <w:szCs w:val="20"/>
          <w:lang w:val="en-US"/>
        </w:rPr>
        <w:t xml:space="preserve"> of the Court</w:t>
      </w:r>
      <w:bookmarkEnd w:id="34"/>
    </w:p>
    <w:p w14:paraId="63126924" w14:textId="77777777" w:rsidR="007E0325" w:rsidRPr="00FE7BA7" w:rsidRDefault="007E0325" w:rsidP="007E0325">
      <w:pPr>
        <w:jc w:val="both"/>
        <w:rPr>
          <w:rFonts w:ascii="Verdana" w:hAnsi="Verdana"/>
          <w:sz w:val="20"/>
          <w:szCs w:val="20"/>
          <w:lang w:val="en-US"/>
        </w:rPr>
      </w:pPr>
    </w:p>
    <w:p w14:paraId="63126925" w14:textId="77777777" w:rsidR="007E0325" w:rsidRPr="00FE7BA7" w:rsidRDefault="002B5CCD" w:rsidP="007E0325">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7E0325" w:rsidRPr="00FE7BA7">
        <w:rPr>
          <w:rFonts w:ascii="Verdana" w:hAnsi="Verdana"/>
          <w:sz w:val="20"/>
          <w:szCs w:val="20"/>
          <w:lang w:val="en-US"/>
        </w:rPr>
        <w:t xml:space="preserve"> </w:t>
      </w:r>
      <w:r w:rsidR="000D786E" w:rsidRPr="00FE7BA7">
        <w:rPr>
          <w:rFonts w:ascii="Verdana" w:hAnsi="Verdana"/>
          <w:sz w:val="20"/>
          <w:szCs w:val="20"/>
          <w:lang w:val="en-US"/>
        </w:rPr>
        <w:t xml:space="preserve">notes that the dispute in this section consists in determining the alleged failure of the State to comply with respect for collective recognition of </w:t>
      </w:r>
      <w:r w:rsidR="00F61652">
        <w:rPr>
          <w:rFonts w:ascii="Verdana" w:hAnsi="Verdana"/>
          <w:sz w:val="20"/>
          <w:szCs w:val="20"/>
          <w:lang w:val="en-US"/>
        </w:rPr>
        <w:t xml:space="preserve">legal </w:t>
      </w:r>
      <w:r w:rsidR="000D786E" w:rsidRPr="00FE7BA7">
        <w:rPr>
          <w:rFonts w:ascii="Verdana" w:hAnsi="Verdana"/>
          <w:sz w:val="20"/>
          <w:szCs w:val="20"/>
          <w:lang w:val="en-US"/>
        </w:rPr>
        <w:t xml:space="preserve">personality to </w:t>
      </w:r>
      <w:r w:rsidR="00967E6B" w:rsidRPr="00FE7BA7">
        <w:rPr>
          <w:rFonts w:ascii="Verdana" w:hAnsi="Verdana"/>
          <w:sz w:val="20"/>
          <w:szCs w:val="20"/>
          <w:lang w:val="en-US"/>
        </w:rPr>
        <w:t xml:space="preserve">the indigenous and </w:t>
      </w:r>
      <w:r w:rsidR="00F32607" w:rsidRPr="00FE7BA7">
        <w:rPr>
          <w:rFonts w:ascii="Verdana" w:hAnsi="Verdana"/>
          <w:sz w:val="20"/>
          <w:szCs w:val="20"/>
          <w:lang w:val="en-US"/>
        </w:rPr>
        <w:t>tribal peoples</w:t>
      </w:r>
      <w:r w:rsidR="000D786E" w:rsidRPr="00FE7BA7">
        <w:rPr>
          <w:rFonts w:ascii="Verdana" w:hAnsi="Verdana"/>
          <w:sz w:val="20"/>
          <w:szCs w:val="20"/>
          <w:lang w:val="en-US"/>
        </w:rPr>
        <w:t xml:space="preserve">, especially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7E0325" w:rsidRPr="00FE7BA7">
        <w:rPr>
          <w:rFonts w:ascii="Verdana" w:hAnsi="Verdana"/>
          <w:sz w:val="20"/>
          <w:szCs w:val="20"/>
          <w:lang w:val="en-US"/>
        </w:rPr>
        <w:t xml:space="preserve">. </w:t>
      </w:r>
    </w:p>
    <w:p w14:paraId="63126926" w14:textId="77777777" w:rsidR="007E0325" w:rsidRPr="00FE7BA7" w:rsidRDefault="007E0325" w:rsidP="007E0325">
      <w:pPr>
        <w:jc w:val="both"/>
        <w:rPr>
          <w:rFonts w:ascii="Verdana" w:hAnsi="Verdana"/>
          <w:sz w:val="20"/>
          <w:szCs w:val="20"/>
          <w:lang w:val="en-US"/>
        </w:rPr>
      </w:pPr>
    </w:p>
    <w:p w14:paraId="63126927" w14:textId="77777777" w:rsidR="007E0325" w:rsidRPr="00FE7BA7" w:rsidRDefault="000D786E" w:rsidP="007E0325">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Court points out that, in the </w:t>
      </w:r>
      <w:r w:rsidRPr="00FE7BA7">
        <w:rPr>
          <w:rStyle w:val="Strong"/>
          <w:rFonts w:ascii="Verdana" w:hAnsi="Verdana"/>
          <w:b w:val="0"/>
          <w:i/>
          <w:color w:val="000000"/>
          <w:sz w:val="20"/>
          <w:szCs w:val="20"/>
          <w:shd w:val="clear" w:color="auto" w:fill="FFFFFF"/>
          <w:lang w:val="en-US"/>
        </w:rPr>
        <w:t>c</w:t>
      </w:r>
      <w:r w:rsidR="00863A9E" w:rsidRPr="00FE7BA7">
        <w:rPr>
          <w:rStyle w:val="Strong"/>
          <w:rFonts w:ascii="Verdana" w:hAnsi="Verdana"/>
          <w:b w:val="0"/>
          <w:i/>
          <w:color w:val="000000"/>
          <w:sz w:val="20"/>
          <w:szCs w:val="20"/>
          <w:shd w:val="clear" w:color="auto" w:fill="FFFFFF"/>
          <w:lang w:val="en-US"/>
        </w:rPr>
        <w:t>ase of the Moiwana Community</w:t>
      </w:r>
      <w:r w:rsidR="007E0325" w:rsidRPr="00FE7BA7">
        <w:rPr>
          <w:rStyle w:val="Strong"/>
          <w:rFonts w:ascii="Verdana" w:hAnsi="Verdana"/>
          <w:b w:val="0"/>
          <w:i/>
          <w:color w:val="000000"/>
          <w:sz w:val="20"/>
          <w:szCs w:val="20"/>
          <w:shd w:val="clear" w:color="auto" w:fill="FFFFFF"/>
          <w:lang w:val="en-US"/>
        </w:rPr>
        <w:t xml:space="preserve"> </w:t>
      </w:r>
      <w:r w:rsidR="002B5CCD" w:rsidRPr="00FE7BA7">
        <w:rPr>
          <w:rStyle w:val="Strong"/>
          <w:rFonts w:ascii="Verdana" w:hAnsi="Verdana"/>
          <w:b w:val="0"/>
          <w:i/>
          <w:color w:val="000000"/>
          <w:sz w:val="20"/>
          <w:szCs w:val="20"/>
          <w:shd w:val="clear" w:color="auto" w:fill="FFFFFF"/>
          <w:lang w:val="en-US"/>
        </w:rPr>
        <w:t>v.</w:t>
      </w:r>
      <w:r w:rsidR="007E0325" w:rsidRPr="00FE7BA7">
        <w:rPr>
          <w:rStyle w:val="Strong"/>
          <w:rFonts w:ascii="Verdana" w:hAnsi="Verdana"/>
          <w:b w:val="0"/>
          <w:i/>
          <w:color w:val="000000"/>
          <w:sz w:val="20"/>
          <w:szCs w:val="20"/>
          <w:shd w:val="clear" w:color="auto" w:fill="FFFFFF"/>
          <w:lang w:val="en-US"/>
        </w:rPr>
        <w:t xml:space="preserve"> </w:t>
      </w:r>
      <w:r w:rsidR="004C7D14" w:rsidRPr="00FE7BA7">
        <w:rPr>
          <w:rStyle w:val="Strong"/>
          <w:rFonts w:ascii="Verdana" w:hAnsi="Verdana"/>
          <w:b w:val="0"/>
          <w:i/>
          <w:color w:val="000000"/>
          <w:sz w:val="20"/>
          <w:szCs w:val="20"/>
          <w:shd w:val="clear" w:color="auto" w:fill="FFFFFF"/>
          <w:lang w:val="en-US"/>
        </w:rPr>
        <w:t>Suriname,</w:t>
      </w:r>
      <w:r w:rsidR="007E0325" w:rsidRPr="00FE7BA7">
        <w:rPr>
          <w:rStyle w:val="Strong"/>
          <w:rFonts w:ascii="Verdana" w:hAnsi="Verdana"/>
          <w:b w:val="0"/>
          <w:color w:val="000000"/>
          <w:sz w:val="20"/>
          <w:szCs w:val="20"/>
          <w:shd w:val="clear" w:color="auto" w:fill="FFFFFF"/>
          <w:lang w:val="en-US"/>
        </w:rPr>
        <w:t xml:space="preserve"> </w:t>
      </w:r>
      <w:r w:rsidR="002B5CCD" w:rsidRPr="00FE7BA7">
        <w:rPr>
          <w:rStyle w:val="Strong"/>
          <w:rFonts w:ascii="Verdana" w:hAnsi="Verdana"/>
          <w:b w:val="0"/>
          <w:color w:val="000000"/>
          <w:sz w:val="20"/>
          <w:szCs w:val="20"/>
          <w:shd w:val="clear" w:color="auto" w:fill="FFFFFF"/>
          <w:lang w:val="en-US"/>
        </w:rPr>
        <w:t>the Court</w:t>
      </w:r>
      <w:r w:rsidR="007E0325" w:rsidRPr="00FE7BA7">
        <w:rPr>
          <w:rStyle w:val="Strong"/>
          <w:rFonts w:ascii="Verdana" w:hAnsi="Verdana"/>
          <w:b w:val="0"/>
          <w:color w:val="000000"/>
          <w:sz w:val="20"/>
          <w:szCs w:val="20"/>
          <w:shd w:val="clear" w:color="auto" w:fill="FFFFFF"/>
          <w:lang w:val="en-US"/>
        </w:rPr>
        <w:t xml:space="preserve"> </w:t>
      </w:r>
      <w:r w:rsidR="00F61652">
        <w:rPr>
          <w:rStyle w:val="Strong"/>
          <w:rFonts w:ascii="Verdana" w:hAnsi="Verdana"/>
          <w:b w:val="0"/>
          <w:color w:val="000000"/>
          <w:sz w:val="20"/>
          <w:szCs w:val="20"/>
          <w:shd w:val="clear" w:color="auto" w:fill="FFFFFF"/>
          <w:lang w:val="en-US"/>
        </w:rPr>
        <w:t>emphasized that domestic law</w:t>
      </w:r>
      <w:r w:rsidRPr="00FE7BA7">
        <w:rPr>
          <w:rStyle w:val="Strong"/>
          <w:rFonts w:ascii="Verdana" w:hAnsi="Verdana"/>
          <w:b w:val="0"/>
          <w:color w:val="000000"/>
          <w:sz w:val="20"/>
          <w:szCs w:val="20"/>
          <w:shd w:val="clear" w:color="auto" w:fill="FFFFFF"/>
          <w:lang w:val="en-US"/>
        </w:rPr>
        <w:t xml:space="preserve"> guaranteed individual rights to </w:t>
      </w:r>
      <w:r w:rsidR="00E91479" w:rsidRPr="00FE7BA7">
        <w:rPr>
          <w:rStyle w:val="Strong"/>
          <w:rFonts w:ascii="Verdana" w:hAnsi="Verdana"/>
          <w:b w:val="0"/>
          <w:color w:val="000000"/>
          <w:sz w:val="20"/>
          <w:szCs w:val="20"/>
          <w:shd w:val="clear" w:color="auto" w:fill="FFFFFF"/>
          <w:lang w:val="en-US"/>
        </w:rPr>
        <w:t xml:space="preserve">the members of the indigenous </w:t>
      </w:r>
      <w:r w:rsidRPr="00FE7BA7">
        <w:rPr>
          <w:rStyle w:val="Strong"/>
          <w:rFonts w:ascii="Verdana" w:hAnsi="Verdana"/>
          <w:b w:val="0"/>
          <w:color w:val="000000"/>
          <w:sz w:val="20"/>
          <w:szCs w:val="20"/>
          <w:shd w:val="clear" w:color="auto" w:fill="FFFFFF"/>
          <w:lang w:val="en-US"/>
        </w:rPr>
        <w:lastRenderedPageBreak/>
        <w:t xml:space="preserve">and tribal </w:t>
      </w:r>
      <w:r w:rsidR="00E91479" w:rsidRPr="00FE7BA7">
        <w:rPr>
          <w:rStyle w:val="Strong"/>
          <w:rFonts w:ascii="Verdana" w:hAnsi="Verdana"/>
          <w:b w:val="0"/>
          <w:color w:val="000000"/>
          <w:sz w:val="20"/>
          <w:szCs w:val="20"/>
          <w:shd w:val="clear" w:color="auto" w:fill="FFFFFF"/>
          <w:lang w:val="en-US"/>
        </w:rPr>
        <w:t>communities</w:t>
      </w:r>
      <w:r w:rsidRPr="00FE7BA7">
        <w:rPr>
          <w:rStyle w:val="Strong"/>
          <w:rFonts w:ascii="Verdana" w:hAnsi="Verdana"/>
          <w:b w:val="0"/>
          <w:color w:val="000000"/>
          <w:sz w:val="20"/>
          <w:szCs w:val="20"/>
          <w:shd w:val="clear" w:color="auto" w:fill="FFFFFF"/>
          <w:lang w:val="en-US"/>
        </w:rPr>
        <w:t>, but did not recognize such communities as legal entities or establish collective rights to property.</w:t>
      </w:r>
      <w:r w:rsidR="007E0325" w:rsidRPr="00FE7BA7">
        <w:rPr>
          <w:rStyle w:val="FootnoteReference"/>
          <w:szCs w:val="20"/>
          <w:lang w:val="en-US"/>
        </w:rPr>
        <w:footnoteReference w:id="143"/>
      </w:r>
    </w:p>
    <w:p w14:paraId="63126928" w14:textId="77777777" w:rsidR="007E0325" w:rsidRPr="00FE7BA7" w:rsidRDefault="007E0325" w:rsidP="007E0325">
      <w:pPr>
        <w:jc w:val="both"/>
        <w:rPr>
          <w:rFonts w:ascii="Verdana" w:hAnsi="Verdana"/>
          <w:sz w:val="20"/>
          <w:szCs w:val="20"/>
          <w:lang w:val="en-US"/>
        </w:rPr>
      </w:pPr>
    </w:p>
    <w:p w14:paraId="63126929" w14:textId="77777777" w:rsidR="007E0325" w:rsidRPr="00FE7BA7" w:rsidRDefault="000D786E" w:rsidP="000D786E">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Subsequently, in the </w:t>
      </w:r>
      <w:r w:rsidR="00D63518" w:rsidRPr="00FE7BA7">
        <w:rPr>
          <w:rFonts w:ascii="Verdana" w:hAnsi="Verdana"/>
          <w:i/>
          <w:sz w:val="20"/>
          <w:szCs w:val="20"/>
          <w:lang w:val="en-US"/>
        </w:rPr>
        <w:t>case of the Saramaka People</w:t>
      </w:r>
      <w:r w:rsidR="007E0325" w:rsidRPr="00FE7BA7">
        <w:rPr>
          <w:rFonts w:ascii="Verdana" w:hAnsi="Verdana"/>
          <w:i/>
          <w:sz w:val="20"/>
          <w:szCs w:val="20"/>
          <w:lang w:val="en-US"/>
        </w:rPr>
        <w:t xml:space="preserve"> </w:t>
      </w:r>
      <w:r w:rsidR="002B5CCD" w:rsidRPr="00FE7BA7">
        <w:rPr>
          <w:rFonts w:ascii="Verdana" w:hAnsi="Verdana"/>
          <w:i/>
          <w:sz w:val="20"/>
          <w:szCs w:val="20"/>
          <w:lang w:val="en-US"/>
        </w:rPr>
        <w:t>v.</w:t>
      </w:r>
      <w:r w:rsidR="007E0325" w:rsidRPr="00FE7BA7">
        <w:rPr>
          <w:rFonts w:ascii="Verdana" w:hAnsi="Verdana"/>
          <w:i/>
          <w:sz w:val="20"/>
          <w:szCs w:val="20"/>
          <w:lang w:val="en-US"/>
        </w:rPr>
        <w:t xml:space="preserve"> </w:t>
      </w:r>
      <w:r w:rsidR="004C7D14" w:rsidRPr="00FE7BA7">
        <w:rPr>
          <w:rFonts w:ascii="Verdana" w:hAnsi="Verdana"/>
          <w:i/>
          <w:sz w:val="20"/>
          <w:szCs w:val="20"/>
          <w:lang w:val="en-US"/>
        </w:rPr>
        <w:t>Suriname,</w:t>
      </w:r>
      <w:r w:rsidR="007E0325" w:rsidRPr="00FE7BA7">
        <w:rPr>
          <w:rFonts w:ascii="Verdana" w:hAnsi="Verdana"/>
          <w:sz w:val="20"/>
          <w:szCs w:val="20"/>
          <w:lang w:val="en-US"/>
        </w:rPr>
        <w:t xml:space="preserve"> </w:t>
      </w:r>
      <w:r w:rsidR="002B5CCD" w:rsidRPr="00FE7BA7">
        <w:rPr>
          <w:rFonts w:ascii="Verdana" w:hAnsi="Verdana"/>
          <w:sz w:val="20"/>
          <w:szCs w:val="20"/>
          <w:lang w:val="en-US"/>
        </w:rPr>
        <w:t>the Court</w:t>
      </w:r>
      <w:r w:rsidR="00CB17C1" w:rsidRPr="00FE7BA7">
        <w:rPr>
          <w:rFonts w:ascii="Verdana" w:hAnsi="Verdana"/>
          <w:sz w:val="20"/>
          <w:szCs w:val="20"/>
          <w:lang w:val="en-US"/>
        </w:rPr>
        <w:t xml:space="preserve"> </w:t>
      </w:r>
      <w:r w:rsidRPr="00FE7BA7">
        <w:rPr>
          <w:rFonts w:ascii="Verdana" w:hAnsi="Verdana"/>
          <w:sz w:val="20"/>
          <w:szCs w:val="20"/>
          <w:lang w:val="en-US"/>
        </w:rPr>
        <w:t xml:space="preserve">noted that other communities in Suriname had been denied their rights owing to lack of legal standing and </w:t>
      </w:r>
      <w:r w:rsidR="00FE7BA7" w:rsidRPr="00FE7BA7">
        <w:rPr>
          <w:rFonts w:ascii="Verdana" w:hAnsi="Verdana"/>
          <w:sz w:val="20"/>
          <w:szCs w:val="20"/>
          <w:lang w:val="en-US"/>
        </w:rPr>
        <w:t>considered that</w:t>
      </w:r>
      <w:r w:rsidRPr="00FE7BA7">
        <w:rPr>
          <w:rFonts w:ascii="Verdana" w:hAnsi="Verdana"/>
          <w:sz w:val="20"/>
          <w:szCs w:val="20"/>
          <w:lang w:val="en-US"/>
        </w:rPr>
        <w:t xml:space="preserve"> “the right that the State recognize their </w:t>
      </w:r>
      <w:r w:rsidR="00DF42FC">
        <w:rPr>
          <w:rFonts w:ascii="Verdana" w:hAnsi="Verdana"/>
          <w:sz w:val="20"/>
          <w:szCs w:val="20"/>
          <w:lang w:val="en-US"/>
        </w:rPr>
        <w:t xml:space="preserve">juridical </w:t>
      </w:r>
      <w:r w:rsidRPr="00FE7BA7">
        <w:rPr>
          <w:rFonts w:ascii="Verdana" w:hAnsi="Verdana"/>
          <w:sz w:val="20"/>
          <w:szCs w:val="20"/>
          <w:lang w:val="en-US"/>
        </w:rPr>
        <w:t xml:space="preserve">personality is one of the special measures that should be granted to the indigenous and tribal groups in order to ensure that they may enjoy their territories according to their traditions. This is the natural consequence of the recognition of the right of the members of the indigenous and tribal groups to enjoy </w:t>
      </w:r>
      <w:r w:rsidRPr="00F61652">
        <w:rPr>
          <w:rFonts w:ascii="Verdana" w:hAnsi="Verdana"/>
          <w:sz w:val="20"/>
          <w:szCs w:val="20"/>
          <w:lang w:val="en-US"/>
        </w:rPr>
        <w:t xml:space="preserve">certain rights </w:t>
      </w:r>
      <w:r w:rsidR="00F61652" w:rsidRPr="00F61652">
        <w:rPr>
          <w:rFonts w:ascii="Verdana" w:hAnsi="Verdana"/>
          <w:sz w:val="20"/>
          <w:szCs w:val="20"/>
          <w:lang w:val="en-US"/>
        </w:rPr>
        <w:t>collectively</w:t>
      </w:r>
      <w:r w:rsidRPr="00F61652">
        <w:rPr>
          <w:rFonts w:ascii="Verdana" w:hAnsi="Verdana"/>
          <w:sz w:val="20"/>
          <w:szCs w:val="20"/>
          <w:lang w:val="en-US"/>
        </w:rPr>
        <w:t>.</w:t>
      </w:r>
      <w:r w:rsidR="00BF5C01" w:rsidRPr="00F61652">
        <w:rPr>
          <w:rFonts w:ascii="Verdana" w:eastAsiaTheme="minorHAnsi" w:hAnsi="Verdana" w:cs="Verdana"/>
          <w:sz w:val="20"/>
          <w:szCs w:val="20"/>
          <w:lang w:val="en-US"/>
        </w:rPr>
        <w:t>”</w:t>
      </w:r>
      <w:r w:rsidR="00CB17C1" w:rsidRPr="00F61652">
        <w:rPr>
          <w:rStyle w:val="FootnoteReference"/>
          <w:szCs w:val="20"/>
          <w:lang w:val="en-US"/>
        </w:rPr>
        <w:footnoteReference w:id="144"/>
      </w:r>
      <w:r w:rsidRPr="00F61652">
        <w:rPr>
          <w:rFonts w:ascii="Verdana" w:eastAsiaTheme="minorHAnsi" w:hAnsi="Verdana" w:cs="Verdana"/>
          <w:sz w:val="20"/>
          <w:szCs w:val="20"/>
          <w:lang w:val="en-US"/>
        </w:rPr>
        <w:t xml:space="preserve"> Thus</w:t>
      </w:r>
      <w:r w:rsidR="00F61652">
        <w:rPr>
          <w:rFonts w:ascii="Verdana" w:eastAsiaTheme="minorHAnsi" w:hAnsi="Verdana" w:cs="Verdana"/>
          <w:sz w:val="20"/>
          <w:szCs w:val="20"/>
          <w:lang w:val="en-US"/>
        </w:rPr>
        <w:t>, the Court</w:t>
      </w:r>
      <w:r w:rsidRPr="00FE7BA7">
        <w:rPr>
          <w:rFonts w:ascii="Verdana" w:eastAsiaTheme="minorHAnsi" w:hAnsi="Verdana" w:cs="Verdana"/>
          <w:sz w:val="20"/>
          <w:szCs w:val="20"/>
          <w:lang w:val="en-US"/>
        </w:rPr>
        <w:t xml:space="preserve"> found that this recognition could be achieved by adopting legislative or other measures </w:t>
      </w:r>
      <w:r w:rsidRPr="00FE7BA7">
        <w:rPr>
          <w:rFonts w:ascii="Verdana" w:hAnsi="Verdana"/>
          <w:sz w:val="20"/>
          <w:szCs w:val="20"/>
          <w:lang w:val="en-US"/>
        </w:rPr>
        <w:t>that recognized and took into account the specific way in which a tribal people sees itself as able to exercise and to enjoy the right to property</w:t>
      </w:r>
      <w:r w:rsidR="00F61652" w:rsidRPr="00F61652">
        <w:rPr>
          <w:rFonts w:ascii="Verdana" w:hAnsi="Verdana"/>
          <w:sz w:val="20"/>
          <w:szCs w:val="20"/>
          <w:lang w:val="en-US"/>
        </w:rPr>
        <w:t xml:space="preserve"> </w:t>
      </w:r>
      <w:r w:rsidR="00F61652" w:rsidRPr="00FE7BA7">
        <w:rPr>
          <w:rFonts w:ascii="Verdana" w:hAnsi="Verdana"/>
          <w:sz w:val="20"/>
          <w:szCs w:val="20"/>
          <w:lang w:val="en-US"/>
        </w:rPr>
        <w:t>collectively</w:t>
      </w:r>
      <w:r w:rsidRPr="00FE7BA7">
        <w:rPr>
          <w:rFonts w:ascii="Verdana" w:hAnsi="Verdana"/>
          <w:sz w:val="20"/>
          <w:szCs w:val="20"/>
          <w:lang w:val="en-US"/>
        </w:rPr>
        <w:t xml:space="preserve">. Consequently, the State should establish the necessary </w:t>
      </w:r>
      <w:r w:rsidR="00F61652">
        <w:rPr>
          <w:rFonts w:ascii="Verdana" w:hAnsi="Verdana"/>
          <w:sz w:val="20"/>
          <w:szCs w:val="20"/>
          <w:lang w:val="en-US"/>
        </w:rPr>
        <w:t>legal</w:t>
      </w:r>
      <w:r w:rsidRPr="00FE7BA7">
        <w:rPr>
          <w:rFonts w:ascii="Verdana" w:hAnsi="Verdana"/>
          <w:sz w:val="20"/>
          <w:szCs w:val="20"/>
          <w:lang w:val="en-US"/>
        </w:rPr>
        <w:t xml:space="preserve"> and administrative conditions to ensure the possibility of recognition of their </w:t>
      </w:r>
      <w:r w:rsidR="00F61652">
        <w:rPr>
          <w:rFonts w:ascii="Verdana" w:hAnsi="Verdana"/>
          <w:sz w:val="20"/>
          <w:szCs w:val="20"/>
          <w:lang w:val="en-US"/>
        </w:rPr>
        <w:t>juridical</w:t>
      </w:r>
      <w:r w:rsidRPr="00FE7BA7">
        <w:rPr>
          <w:rFonts w:ascii="Verdana" w:hAnsi="Verdana"/>
          <w:sz w:val="20"/>
          <w:szCs w:val="20"/>
          <w:lang w:val="en-US"/>
        </w:rPr>
        <w:t xml:space="preserve"> personality, by means of consultations</w:t>
      </w:r>
      <w:r w:rsidR="007E0325" w:rsidRPr="00FE7BA7">
        <w:rPr>
          <w:rFonts w:ascii="Verdana" w:hAnsi="Verdana"/>
          <w:sz w:val="20"/>
          <w:szCs w:val="20"/>
          <w:lang w:val="en-US"/>
        </w:rPr>
        <w:t>,</w:t>
      </w:r>
      <w:r w:rsidRPr="00FE7BA7">
        <w:rPr>
          <w:rFonts w:ascii="Verdana" w:hAnsi="Verdana"/>
          <w:sz w:val="20"/>
          <w:szCs w:val="20"/>
          <w:lang w:val="en-US"/>
        </w:rPr>
        <w:t xml:space="preserve"> fully respecting their customs and traditions, and in order to ensure</w:t>
      </w:r>
      <w:r w:rsidR="007E0325" w:rsidRPr="00FE7BA7">
        <w:rPr>
          <w:rFonts w:ascii="Verdana" w:hAnsi="Verdana"/>
          <w:sz w:val="20"/>
          <w:szCs w:val="20"/>
          <w:lang w:val="en-US"/>
        </w:rPr>
        <w:t xml:space="preserve"> </w:t>
      </w:r>
      <w:r w:rsidRPr="00FE7BA7">
        <w:rPr>
          <w:rFonts w:ascii="Verdana" w:hAnsi="Verdana"/>
          <w:sz w:val="20"/>
          <w:szCs w:val="20"/>
          <w:lang w:val="en-US"/>
        </w:rPr>
        <w:t xml:space="preserve">them the use and enjoyment of their territory in accordance with their system of </w:t>
      </w:r>
      <w:r w:rsidR="00FE7BA7" w:rsidRPr="00FE7BA7">
        <w:rPr>
          <w:rFonts w:ascii="Verdana" w:hAnsi="Verdana"/>
          <w:sz w:val="20"/>
          <w:szCs w:val="20"/>
          <w:lang w:val="en-US"/>
        </w:rPr>
        <w:t>communal</w:t>
      </w:r>
      <w:r w:rsidRPr="00FE7BA7">
        <w:rPr>
          <w:rFonts w:ascii="Verdana" w:hAnsi="Verdana"/>
          <w:sz w:val="20"/>
          <w:szCs w:val="20"/>
          <w:lang w:val="en-US"/>
        </w:rPr>
        <w:t xml:space="preserve"> ownership, as well as the right of access to justice and equality before the law.</w:t>
      </w:r>
      <w:r w:rsidR="007E0325" w:rsidRPr="00FE7BA7">
        <w:rPr>
          <w:rStyle w:val="FootnoteReference"/>
          <w:szCs w:val="20"/>
          <w:lang w:val="en-US"/>
        </w:rPr>
        <w:footnoteReference w:id="145"/>
      </w:r>
    </w:p>
    <w:p w14:paraId="6312692A" w14:textId="77777777" w:rsidR="0065326D" w:rsidRPr="00FE7BA7" w:rsidRDefault="0065326D" w:rsidP="00190AD3">
      <w:pPr>
        <w:pStyle w:val="ListParagraph"/>
        <w:ind w:left="0"/>
        <w:jc w:val="both"/>
        <w:rPr>
          <w:rFonts w:ascii="Verdana" w:hAnsi="Verdana"/>
          <w:sz w:val="20"/>
          <w:szCs w:val="20"/>
          <w:lang w:val="en-US"/>
        </w:rPr>
      </w:pPr>
    </w:p>
    <w:p w14:paraId="6312692B" w14:textId="16737FE0" w:rsidR="00A64850" w:rsidRPr="00FE7BA7" w:rsidRDefault="000D786E" w:rsidP="000D786E">
      <w:pPr>
        <w:pStyle w:val="ListParagraph"/>
        <w:numPr>
          <w:ilvl w:val="0"/>
          <w:numId w:val="2"/>
        </w:numPr>
        <w:ind w:left="0" w:hanging="11"/>
        <w:jc w:val="both"/>
        <w:rPr>
          <w:sz w:val="20"/>
          <w:lang w:val="en-US"/>
        </w:rPr>
      </w:pPr>
      <w:r w:rsidRPr="00FE7BA7">
        <w:rPr>
          <w:rFonts w:ascii="Verdana" w:hAnsi="Verdana"/>
          <w:sz w:val="20"/>
          <w:lang w:val="en-US"/>
        </w:rPr>
        <w:t>Thus, the Court indicated that although “the recognition of [the] juridical personality of the individual members of the community was necessary for the enjoyment of other rights, such as the right to life and to personal integrity</w:t>
      </w:r>
      <w:r w:rsidR="007632DA">
        <w:rPr>
          <w:rFonts w:ascii="Verdana" w:hAnsi="Verdana"/>
          <w:sz w:val="20"/>
          <w:lang w:val="en-US"/>
        </w:rPr>
        <w:t>,</w:t>
      </w:r>
      <w:r w:rsidRPr="00FE7BA7">
        <w:rPr>
          <w:rFonts w:ascii="Verdana" w:hAnsi="Verdana"/>
          <w:sz w:val="20"/>
          <w:lang w:val="en-US"/>
        </w:rPr>
        <w:t xml:space="preserve"> this individual recognition did not take into account the way in which the </w:t>
      </w:r>
      <w:r w:rsidR="00DA4B96" w:rsidRPr="00FE7BA7">
        <w:rPr>
          <w:rFonts w:ascii="Verdana" w:hAnsi="Verdana"/>
          <w:sz w:val="20"/>
          <w:lang w:val="en-US"/>
        </w:rPr>
        <w:t>members</w:t>
      </w:r>
      <w:r w:rsidR="00511E56" w:rsidRPr="00FE7BA7">
        <w:rPr>
          <w:rFonts w:ascii="Verdana" w:hAnsi="Verdana"/>
          <w:sz w:val="20"/>
          <w:lang w:val="en-US"/>
        </w:rPr>
        <w:t xml:space="preserve"> of the </w:t>
      </w:r>
      <w:r w:rsidR="00967E6B" w:rsidRPr="00FE7BA7">
        <w:rPr>
          <w:rFonts w:ascii="Verdana" w:hAnsi="Verdana"/>
          <w:sz w:val="20"/>
          <w:lang w:val="en-US"/>
        </w:rPr>
        <w:t>indigenous and tribal peoples in</w:t>
      </w:r>
      <w:r w:rsidR="00A64850" w:rsidRPr="00FE7BA7">
        <w:rPr>
          <w:rFonts w:ascii="Verdana" w:hAnsi="Verdana"/>
          <w:sz w:val="20"/>
          <w:lang w:val="en-US"/>
        </w:rPr>
        <w:t xml:space="preserve"> general,</w:t>
      </w:r>
      <w:r w:rsidR="002B5CCD" w:rsidRPr="00FE7BA7">
        <w:rPr>
          <w:rFonts w:ascii="Verdana" w:hAnsi="Verdana"/>
          <w:sz w:val="20"/>
          <w:lang w:val="en-US"/>
        </w:rPr>
        <w:t xml:space="preserve"> and </w:t>
      </w:r>
      <w:r w:rsidRPr="00FE7BA7">
        <w:rPr>
          <w:rFonts w:ascii="Verdana" w:hAnsi="Verdana"/>
          <w:sz w:val="20"/>
          <w:lang w:val="en-US"/>
        </w:rPr>
        <w:t>[…] i</w:t>
      </w:r>
      <w:r w:rsidR="00A64850" w:rsidRPr="00FE7BA7">
        <w:rPr>
          <w:rFonts w:ascii="Verdana" w:hAnsi="Verdana"/>
          <w:sz w:val="20"/>
          <w:lang w:val="en-US"/>
        </w:rPr>
        <w:t xml:space="preserve">n particular, </w:t>
      </w:r>
      <w:r w:rsidR="00F61652">
        <w:rPr>
          <w:rFonts w:ascii="Verdana" w:hAnsi="Verdana"/>
          <w:sz w:val="20"/>
          <w:lang w:val="en-US"/>
        </w:rPr>
        <w:t>enjoy and exercise one right</w:t>
      </w:r>
      <w:r w:rsidRPr="00FE7BA7">
        <w:rPr>
          <w:rFonts w:ascii="Verdana" w:hAnsi="Verdana"/>
          <w:sz w:val="20"/>
          <w:lang w:val="en-US"/>
        </w:rPr>
        <w:t xml:space="preserve"> in particular; namely, the right to use and enjoy property </w:t>
      </w:r>
      <w:r w:rsidR="00DF42FC" w:rsidRPr="00FE7BA7">
        <w:rPr>
          <w:rFonts w:ascii="Verdana" w:hAnsi="Verdana"/>
          <w:sz w:val="20"/>
          <w:lang w:val="en-US"/>
        </w:rPr>
        <w:t xml:space="preserve">collectively </w:t>
      </w:r>
      <w:r w:rsidRPr="00FE7BA7">
        <w:rPr>
          <w:rFonts w:ascii="Verdana" w:hAnsi="Verdana"/>
          <w:sz w:val="20"/>
          <w:lang w:val="en-US"/>
        </w:rPr>
        <w:t>in accordance with their ancestral traditions.</w:t>
      </w:r>
      <w:r w:rsidR="00A64850" w:rsidRPr="00FE7BA7">
        <w:rPr>
          <w:rFonts w:ascii="Verdana" w:hAnsi="Verdana"/>
          <w:sz w:val="20"/>
          <w:lang w:val="en-US"/>
        </w:rPr>
        <w:t>”</w:t>
      </w:r>
      <w:r w:rsidR="00A64850" w:rsidRPr="00FE7BA7">
        <w:rPr>
          <w:rFonts w:ascii="Verdana" w:hAnsi="Verdana"/>
          <w:sz w:val="20"/>
          <w:vertAlign w:val="superscript"/>
          <w:lang w:val="en-US"/>
        </w:rPr>
        <w:footnoteReference w:id="146"/>
      </w:r>
    </w:p>
    <w:p w14:paraId="6312692C" w14:textId="77777777" w:rsidR="0065326D" w:rsidRPr="00FE7BA7" w:rsidRDefault="0065326D" w:rsidP="00190AD3">
      <w:pPr>
        <w:pStyle w:val="ListParagraph"/>
        <w:ind w:left="0"/>
        <w:jc w:val="both"/>
        <w:rPr>
          <w:sz w:val="20"/>
          <w:szCs w:val="20"/>
          <w:lang w:val="en-US"/>
        </w:rPr>
      </w:pPr>
    </w:p>
    <w:p w14:paraId="6312692D" w14:textId="77777777" w:rsidR="009A4EFB" w:rsidRPr="00C00817" w:rsidRDefault="00F61652" w:rsidP="00190AD3">
      <w:pPr>
        <w:pStyle w:val="ListParagraph"/>
        <w:numPr>
          <w:ilvl w:val="0"/>
          <w:numId w:val="2"/>
        </w:numPr>
        <w:ind w:left="0" w:hanging="11"/>
        <w:jc w:val="both"/>
        <w:rPr>
          <w:sz w:val="20"/>
          <w:lang w:val="en-US"/>
        </w:rPr>
      </w:pPr>
      <w:r w:rsidRPr="00C00817">
        <w:rPr>
          <w:rFonts w:ascii="Verdana" w:hAnsi="Verdana"/>
          <w:sz w:val="20"/>
          <w:lang w:val="en-US"/>
        </w:rPr>
        <w:t>Nevertheless</w:t>
      </w:r>
      <w:r w:rsidR="000D786E" w:rsidRPr="00C00817">
        <w:rPr>
          <w:rFonts w:ascii="Verdana" w:hAnsi="Verdana"/>
          <w:sz w:val="20"/>
          <w:lang w:val="en-US"/>
        </w:rPr>
        <w:t>, “the</w:t>
      </w:r>
      <w:r w:rsidR="009A4EFB" w:rsidRPr="00C00817">
        <w:rPr>
          <w:rFonts w:ascii="Verdana" w:hAnsi="Verdana"/>
          <w:sz w:val="20"/>
          <w:lang w:val="en-US"/>
        </w:rPr>
        <w:t xml:space="preserve"> </w:t>
      </w:r>
      <w:r w:rsidR="00773D70" w:rsidRPr="00C00817">
        <w:rPr>
          <w:rFonts w:ascii="Verdana" w:hAnsi="Verdana"/>
          <w:sz w:val="20"/>
          <w:lang w:val="en-US"/>
        </w:rPr>
        <w:t>recognition of juridical personality</w:t>
      </w:r>
      <w:r w:rsidR="009A4EFB" w:rsidRPr="00C00817">
        <w:rPr>
          <w:rFonts w:ascii="Verdana" w:hAnsi="Verdana"/>
          <w:sz w:val="20"/>
          <w:lang w:val="en-US"/>
        </w:rPr>
        <w:t xml:space="preserve"> </w:t>
      </w:r>
      <w:r w:rsidR="000D786E" w:rsidRPr="00C00817">
        <w:rPr>
          <w:rFonts w:ascii="Verdana" w:hAnsi="Verdana"/>
          <w:sz w:val="20"/>
          <w:lang w:val="en-US"/>
        </w:rPr>
        <w:t>is one way, although not the only way, to ensure that the community as a whole may enjoy and exercise fully the right to property, in accordance with their system of communal ownership, as well as the right to equal judicial protection against any violation of this right.</w:t>
      </w:r>
      <w:r w:rsidR="009A4EFB" w:rsidRPr="00C00817">
        <w:rPr>
          <w:rFonts w:ascii="Verdana" w:hAnsi="Verdana"/>
          <w:sz w:val="20"/>
          <w:lang w:val="en-US"/>
        </w:rPr>
        <w:t>”</w:t>
      </w:r>
      <w:r w:rsidR="008A4ABB" w:rsidRPr="00C00817">
        <w:rPr>
          <w:rFonts w:ascii="Verdana" w:hAnsi="Verdana"/>
          <w:sz w:val="20"/>
          <w:vertAlign w:val="superscript"/>
          <w:lang w:val="en-US"/>
        </w:rPr>
        <w:footnoteReference w:id="147"/>
      </w:r>
    </w:p>
    <w:p w14:paraId="6312692E" w14:textId="77777777" w:rsidR="009B781F" w:rsidRPr="00C00817" w:rsidRDefault="009B781F" w:rsidP="007E20F9">
      <w:pPr>
        <w:pStyle w:val="ListParagraph"/>
        <w:ind w:left="0"/>
        <w:jc w:val="both"/>
        <w:rPr>
          <w:sz w:val="20"/>
          <w:lang w:val="en-US"/>
        </w:rPr>
      </w:pPr>
    </w:p>
    <w:p w14:paraId="6312692F" w14:textId="77777777" w:rsidR="007E0325" w:rsidRPr="00C00817" w:rsidRDefault="00F56A38" w:rsidP="007E0325">
      <w:pPr>
        <w:pStyle w:val="ListParagraph"/>
        <w:numPr>
          <w:ilvl w:val="0"/>
          <w:numId w:val="2"/>
        </w:numPr>
        <w:ind w:left="0" w:hanging="11"/>
        <w:jc w:val="both"/>
        <w:rPr>
          <w:rFonts w:ascii="Verdana" w:hAnsi="Verdana"/>
          <w:sz w:val="20"/>
          <w:szCs w:val="20"/>
          <w:lang w:val="en-US"/>
        </w:rPr>
      </w:pPr>
      <w:r w:rsidRPr="00C00817">
        <w:rPr>
          <w:rFonts w:ascii="Verdana" w:hAnsi="Verdana"/>
          <w:sz w:val="20"/>
          <w:szCs w:val="20"/>
          <w:lang w:val="en-US"/>
        </w:rPr>
        <w:t>The</w:t>
      </w:r>
      <w:r w:rsidR="002B5CCD" w:rsidRPr="00C00817">
        <w:rPr>
          <w:rFonts w:ascii="Verdana" w:hAnsi="Verdana"/>
          <w:sz w:val="20"/>
          <w:szCs w:val="20"/>
          <w:lang w:val="en-US"/>
        </w:rPr>
        <w:t xml:space="preserve"> Court</w:t>
      </w:r>
      <w:r w:rsidRPr="00C00817">
        <w:rPr>
          <w:rFonts w:ascii="Verdana" w:hAnsi="Verdana"/>
          <w:sz w:val="20"/>
          <w:szCs w:val="20"/>
          <w:lang w:val="en-US"/>
        </w:rPr>
        <w:t xml:space="preserve"> also notes that,</w:t>
      </w:r>
      <w:r w:rsidR="00F61652" w:rsidRPr="00C00817">
        <w:rPr>
          <w:rFonts w:ascii="Verdana" w:hAnsi="Verdana"/>
          <w:sz w:val="20"/>
          <w:szCs w:val="20"/>
          <w:lang w:val="en-US"/>
        </w:rPr>
        <w:t xml:space="preserve"> in </w:t>
      </w:r>
      <w:r w:rsidR="00804BD4" w:rsidRPr="00C00817">
        <w:rPr>
          <w:rFonts w:ascii="Verdana" w:hAnsi="Verdana"/>
          <w:sz w:val="20"/>
          <w:szCs w:val="20"/>
          <w:lang w:val="en-US"/>
        </w:rPr>
        <w:t>the 1992 Lelydorp Peace Accord</w:t>
      </w:r>
      <w:r w:rsidRPr="00C00817">
        <w:rPr>
          <w:rFonts w:ascii="Verdana" w:hAnsi="Verdana"/>
          <w:sz w:val="20"/>
          <w:szCs w:val="20"/>
          <w:lang w:val="en-US"/>
        </w:rPr>
        <w:t>,</w:t>
      </w:r>
      <w:r w:rsidR="007E0325" w:rsidRPr="00C00817">
        <w:rPr>
          <w:rFonts w:ascii="Verdana" w:hAnsi="Verdana"/>
          <w:sz w:val="20"/>
          <w:szCs w:val="20"/>
          <w:lang w:val="en-US"/>
        </w:rPr>
        <w:t xml:space="preserve"> </w:t>
      </w:r>
      <w:r w:rsidR="002B5CCD" w:rsidRPr="00C00817">
        <w:rPr>
          <w:rFonts w:ascii="Verdana" w:hAnsi="Verdana"/>
          <w:sz w:val="20"/>
          <w:szCs w:val="20"/>
          <w:lang w:val="en-US"/>
        </w:rPr>
        <w:t>the State</w:t>
      </w:r>
      <w:r w:rsidR="007E0325" w:rsidRPr="00C00817">
        <w:rPr>
          <w:rFonts w:ascii="Verdana" w:hAnsi="Verdana"/>
          <w:sz w:val="20"/>
          <w:szCs w:val="20"/>
          <w:lang w:val="en-US"/>
        </w:rPr>
        <w:t xml:space="preserve"> </w:t>
      </w:r>
      <w:r w:rsidR="00F61652" w:rsidRPr="00C00817">
        <w:rPr>
          <w:rFonts w:ascii="Verdana" w:hAnsi="Verdana"/>
          <w:sz w:val="20"/>
          <w:szCs w:val="20"/>
          <w:lang w:val="en-US"/>
        </w:rPr>
        <w:t>undertook</w:t>
      </w:r>
      <w:r w:rsidRPr="00C00817">
        <w:rPr>
          <w:rFonts w:ascii="Verdana" w:hAnsi="Verdana"/>
          <w:sz w:val="20"/>
          <w:szCs w:val="20"/>
          <w:lang w:val="en-US"/>
        </w:rPr>
        <w:t xml:space="preserve"> to create legal mechanisms to protect the </w:t>
      </w:r>
      <w:r w:rsidR="00804BD4" w:rsidRPr="00C00817">
        <w:rPr>
          <w:rFonts w:ascii="Verdana" w:hAnsi="Verdana"/>
          <w:sz w:val="20"/>
          <w:szCs w:val="20"/>
          <w:lang w:val="en-US"/>
        </w:rPr>
        <w:t>lands</w:t>
      </w:r>
      <w:r w:rsidR="00511E56" w:rsidRPr="00C00817">
        <w:rPr>
          <w:rFonts w:ascii="Verdana" w:hAnsi="Verdana"/>
          <w:sz w:val="20"/>
          <w:szCs w:val="20"/>
          <w:lang w:val="en-US"/>
        </w:rPr>
        <w:t xml:space="preserve"> of the </w:t>
      </w:r>
      <w:r w:rsidRPr="00C00817">
        <w:rPr>
          <w:rFonts w:ascii="Verdana" w:hAnsi="Verdana"/>
          <w:sz w:val="20"/>
          <w:szCs w:val="20"/>
          <w:lang w:val="en-US"/>
        </w:rPr>
        <w:t>indigenous and tribal peoples</w:t>
      </w:r>
      <w:r w:rsidR="007E0325" w:rsidRPr="00C00817">
        <w:rPr>
          <w:rFonts w:ascii="Verdana" w:hAnsi="Verdana"/>
          <w:sz w:val="20"/>
          <w:szCs w:val="20"/>
          <w:lang w:val="en-US"/>
        </w:rPr>
        <w:t xml:space="preserve"> (</w:t>
      </w:r>
      <w:r w:rsidR="00366D91" w:rsidRPr="00C00817">
        <w:rPr>
          <w:rFonts w:ascii="Verdana" w:hAnsi="Verdana"/>
          <w:i/>
          <w:sz w:val="20"/>
          <w:szCs w:val="20"/>
          <w:lang w:val="en-US"/>
        </w:rPr>
        <w:t>supra</w:t>
      </w:r>
      <w:r w:rsidR="007E0325" w:rsidRPr="00C00817">
        <w:rPr>
          <w:rFonts w:ascii="Verdana" w:hAnsi="Verdana"/>
          <w:sz w:val="20"/>
          <w:szCs w:val="20"/>
          <w:lang w:val="en-US"/>
        </w:rPr>
        <w:t xml:space="preserve">, </w:t>
      </w:r>
      <w:r w:rsidR="00810FAD" w:rsidRPr="00C00817">
        <w:rPr>
          <w:rFonts w:ascii="Verdana" w:hAnsi="Verdana"/>
          <w:sz w:val="20"/>
          <w:szCs w:val="20"/>
          <w:lang w:val="en-US"/>
        </w:rPr>
        <w:t>para.</w:t>
      </w:r>
      <w:r w:rsidR="00BF5C01" w:rsidRPr="00C00817">
        <w:rPr>
          <w:rFonts w:ascii="Verdana" w:hAnsi="Verdana"/>
          <w:sz w:val="20"/>
          <w:szCs w:val="20"/>
          <w:lang w:val="en-US"/>
        </w:rPr>
        <w:t xml:space="preserve"> 51</w:t>
      </w:r>
      <w:r w:rsidR="007E0325" w:rsidRPr="00C00817">
        <w:rPr>
          <w:rFonts w:ascii="Verdana" w:hAnsi="Verdana"/>
          <w:sz w:val="20"/>
          <w:szCs w:val="20"/>
          <w:lang w:val="en-US"/>
        </w:rPr>
        <w:t>)</w:t>
      </w:r>
      <w:r w:rsidR="003C0536" w:rsidRPr="00C00817">
        <w:rPr>
          <w:rFonts w:ascii="Verdana" w:hAnsi="Verdana"/>
          <w:sz w:val="20"/>
          <w:szCs w:val="20"/>
          <w:lang w:val="en-US"/>
        </w:rPr>
        <w:t>.</w:t>
      </w:r>
    </w:p>
    <w:p w14:paraId="63126930" w14:textId="77777777" w:rsidR="007E0325" w:rsidRPr="00C00817" w:rsidRDefault="007E0325" w:rsidP="007E0325">
      <w:pPr>
        <w:jc w:val="both"/>
        <w:rPr>
          <w:rFonts w:ascii="Verdana" w:hAnsi="Verdana"/>
          <w:sz w:val="20"/>
          <w:szCs w:val="20"/>
          <w:lang w:val="en-US"/>
        </w:rPr>
      </w:pPr>
    </w:p>
    <w:p w14:paraId="63126931" w14:textId="77777777" w:rsidR="007E0325" w:rsidRPr="00C00817" w:rsidRDefault="003231F8" w:rsidP="007E0325">
      <w:pPr>
        <w:pStyle w:val="ListParagraph"/>
        <w:numPr>
          <w:ilvl w:val="0"/>
          <w:numId w:val="2"/>
        </w:numPr>
        <w:ind w:left="0" w:hanging="11"/>
        <w:jc w:val="both"/>
        <w:rPr>
          <w:rFonts w:ascii="Verdana" w:hAnsi="Verdana"/>
          <w:sz w:val="20"/>
          <w:szCs w:val="20"/>
          <w:lang w:val="en-US"/>
        </w:rPr>
      </w:pPr>
      <w:r w:rsidRPr="00C00817">
        <w:rPr>
          <w:rFonts w:ascii="Verdana" w:hAnsi="Verdana"/>
          <w:sz w:val="20"/>
          <w:szCs w:val="20"/>
          <w:lang w:val="en-US"/>
        </w:rPr>
        <w:t>Meanwhile, this Court takes note of the observations made by various international agencies, such as: the Committee for the E</w:t>
      </w:r>
      <w:r w:rsidR="00FE7BA7" w:rsidRPr="00C00817">
        <w:rPr>
          <w:rFonts w:ascii="Verdana" w:hAnsi="Verdana"/>
          <w:sz w:val="20"/>
          <w:szCs w:val="20"/>
          <w:lang w:val="en-US"/>
        </w:rPr>
        <w:t>limination of Racial Discrimination</w:t>
      </w:r>
      <w:r w:rsidRPr="00C00817">
        <w:rPr>
          <w:rFonts w:ascii="Verdana" w:hAnsi="Verdana"/>
          <w:sz w:val="20"/>
          <w:szCs w:val="20"/>
          <w:lang w:val="en-US"/>
        </w:rPr>
        <w:t xml:space="preserve"> of the United Nations</w:t>
      </w:r>
      <w:r w:rsidR="007E0325" w:rsidRPr="00C00817">
        <w:rPr>
          <w:rStyle w:val="FootnoteReference"/>
          <w:szCs w:val="20"/>
          <w:lang w:val="en-US"/>
        </w:rPr>
        <w:footnoteReference w:id="148"/>
      </w:r>
      <w:r w:rsidR="003C5DE4" w:rsidRPr="00C00817">
        <w:rPr>
          <w:rFonts w:ascii="Verdana" w:hAnsi="Verdana"/>
          <w:sz w:val="20"/>
          <w:szCs w:val="20"/>
          <w:lang w:val="en-US"/>
        </w:rPr>
        <w:t xml:space="preserve"> (</w:t>
      </w:r>
      <w:r w:rsidR="002B5CCD" w:rsidRPr="00C00817">
        <w:rPr>
          <w:rFonts w:ascii="Verdana" w:hAnsi="Verdana"/>
          <w:sz w:val="20"/>
          <w:szCs w:val="20"/>
          <w:lang w:val="en-US"/>
        </w:rPr>
        <w:t>hereinafter</w:t>
      </w:r>
      <w:r w:rsidR="003C5DE4" w:rsidRPr="00C00817">
        <w:rPr>
          <w:rFonts w:ascii="Verdana" w:hAnsi="Verdana"/>
          <w:sz w:val="20"/>
          <w:szCs w:val="20"/>
          <w:lang w:val="en-US"/>
        </w:rPr>
        <w:t xml:space="preserve"> “</w:t>
      </w:r>
      <w:r w:rsidRPr="00C00817">
        <w:rPr>
          <w:rFonts w:ascii="Verdana" w:hAnsi="Verdana"/>
          <w:sz w:val="20"/>
          <w:szCs w:val="20"/>
          <w:lang w:val="en-US"/>
        </w:rPr>
        <w:t>UN</w:t>
      </w:r>
      <w:r w:rsidR="003C5DE4" w:rsidRPr="00C00817">
        <w:rPr>
          <w:rFonts w:ascii="Verdana" w:hAnsi="Verdana"/>
          <w:sz w:val="20"/>
          <w:szCs w:val="20"/>
          <w:lang w:val="en-US"/>
        </w:rPr>
        <w:t>”)</w:t>
      </w:r>
      <w:r w:rsidR="007E0325" w:rsidRPr="00C00817">
        <w:rPr>
          <w:rFonts w:ascii="Verdana" w:hAnsi="Verdana"/>
          <w:sz w:val="20"/>
          <w:szCs w:val="20"/>
          <w:lang w:val="en-US"/>
        </w:rPr>
        <w:t xml:space="preserve">, </w:t>
      </w:r>
      <w:r w:rsidR="00D63518" w:rsidRPr="00C00817">
        <w:rPr>
          <w:rFonts w:ascii="Verdana" w:hAnsi="Verdana"/>
          <w:sz w:val="20"/>
          <w:szCs w:val="20"/>
          <w:lang w:val="en-US"/>
        </w:rPr>
        <w:t xml:space="preserve">the </w:t>
      </w:r>
      <w:r w:rsidRPr="00C00817">
        <w:rPr>
          <w:rFonts w:ascii="Verdana" w:hAnsi="Verdana"/>
          <w:sz w:val="20"/>
          <w:szCs w:val="20"/>
          <w:lang w:val="en-US"/>
        </w:rPr>
        <w:t xml:space="preserve">UN </w:t>
      </w:r>
      <w:r w:rsidR="00D63518" w:rsidRPr="00C00817">
        <w:rPr>
          <w:rFonts w:ascii="Verdana" w:hAnsi="Verdana"/>
          <w:sz w:val="20"/>
          <w:szCs w:val="20"/>
          <w:lang w:val="en-US"/>
        </w:rPr>
        <w:t>Human Rights Committee</w:t>
      </w:r>
      <w:r w:rsidR="007E0325" w:rsidRPr="00C00817">
        <w:rPr>
          <w:rStyle w:val="FootnoteReference"/>
          <w:szCs w:val="20"/>
          <w:lang w:val="en-US"/>
        </w:rPr>
        <w:footnoteReference w:id="149"/>
      </w:r>
      <w:r w:rsidRPr="00C00817">
        <w:rPr>
          <w:rFonts w:ascii="Verdana" w:hAnsi="Verdana"/>
          <w:sz w:val="20"/>
          <w:szCs w:val="20"/>
          <w:lang w:val="en-US"/>
        </w:rPr>
        <w:t xml:space="preserve"> and also the </w:t>
      </w:r>
      <w:r w:rsidR="00DF42FC">
        <w:rPr>
          <w:rFonts w:ascii="Verdana" w:hAnsi="Verdana"/>
          <w:sz w:val="20"/>
          <w:szCs w:val="20"/>
          <w:lang w:val="en-US"/>
        </w:rPr>
        <w:t xml:space="preserve">UN </w:t>
      </w:r>
      <w:r w:rsidRPr="00C00817">
        <w:rPr>
          <w:rFonts w:ascii="Verdana" w:hAnsi="Verdana"/>
          <w:sz w:val="20"/>
          <w:szCs w:val="20"/>
          <w:lang w:val="en-US"/>
        </w:rPr>
        <w:t>Speci</w:t>
      </w:r>
      <w:r w:rsidR="00DF42FC">
        <w:rPr>
          <w:rFonts w:ascii="Verdana" w:hAnsi="Verdana"/>
          <w:sz w:val="20"/>
          <w:szCs w:val="20"/>
          <w:lang w:val="en-US"/>
        </w:rPr>
        <w:t xml:space="preserve">al </w:t>
      </w:r>
      <w:r w:rsidR="00DF42FC">
        <w:rPr>
          <w:rFonts w:ascii="Verdana" w:hAnsi="Verdana"/>
          <w:sz w:val="20"/>
          <w:szCs w:val="20"/>
          <w:lang w:val="en-US"/>
        </w:rPr>
        <w:lastRenderedPageBreak/>
        <w:t>Rapporteur on the rights of indigenous p</w:t>
      </w:r>
      <w:r w:rsidRPr="00C00817">
        <w:rPr>
          <w:rFonts w:ascii="Verdana" w:hAnsi="Verdana"/>
          <w:sz w:val="20"/>
          <w:szCs w:val="20"/>
          <w:lang w:val="en-US"/>
        </w:rPr>
        <w:t>eoples,</w:t>
      </w:r>
      <w:r w:rsidR="007E0325" w:rsidRPr="00C00817">
        <w:rPr>
          <w:rStyle w:val="FootnoteReference"/>
          <w:szCs w:val="20"/>
          <w:lang w:val="en-US"/>
        </w:rPr>
        <w:footnoteReference w:id="150"/>
      </w:r>
      <w:r w:rsidRPr="00C00817">
        <w:rPr>
          <w:rFonts w:ascii="Verdana" w:hAnsi="Verdana"/>
          <w:sz w:val="20"/>
          <w:szCs w:val="20"/>
          <w:lang w:val="en-US"/>
        </w:rPr>
        <w:t xml:space="preserve"> which have indicated that the legislative framework of Suriname does not recognize the </w:t>
      </w:r>
      <w:r w:rsidR="00C00817" w:rsidRPr="00C00817">
        <w:rPr>
          <w:rFonts w:ascii="Verdana" w:hAnsi="Verdana"/>
          <w:sz w:val="20"/>
          <w:szCs w:val="20"/>
          <w:lang w:val="en-US"/>
        </w:rPr>
        <w:t>legal</w:t>
      </w:r>
      <w:r w:rsidRPr="00C00817">
        <w:rPr>
          <w:rFonts w:ascii="Verdana" w:hAnsi="Verdana"/>
          <w:sz w:val="20"/>
          <w:szCs w:val="20"/>
          <w:lang w:val="en-US"/>
        </w:rPr>
        <w:t xml:space="preserve"> personality of the indigenous peoples </w:t>
      </w:r>
      <w:r w:rsidR="00C00817" w:rsidRPr="00C00817">
        <w:rPr>
          <w:rFonts w:ascii="Verdana" w:hAnsi="Verdana"/>
          <w:sz w:val="20"/>
          <w:szCs w:val="20"/>
          <w:lang w:val="en-US"/>
        </w:rPr>
        <w:t xml:space="preserve">that would enable them to protect </w:t>
      </w:r>
      <w:r w:rsidRPr="00C00817">
        <w:rPr>
          <w:rFonts w:ascii="Verdana" w:hAnsi="Verdana"/>
          <w:sz w:val="20"/>
          <w:szCs w:val="20"/>
          <w:lang w:val="en-US"/>
        </w:rPr>
        <w:t>their territories and natural resources.</w:t>
      </w:r>
    </w:p>
    <w:p w14:paraId="63126932" w14:textId="77777777" w:rsidR="007E0325" w:rsidRPr="00C00817" w:rsidRDefault="007E0325" w:rsidP="007E0325">
      <w:pPr>
        <w:jc w:val="both"/>
        <w:rPr>
          <w:rFonts w:ascii="Verdana" w:hAnsi="Verdana"/>
          <w:sz w:val="20"/>
          <w:szCs w:val="20"/>
          <w:lang w:val="en-US"/>
        </w:rPr>
      </w:pPr>
    </w:p>
    <w:p w14:paraId="63126933" w14:textId="67FD7988" w:rsidR="007E0325" w:rsidRPr="00FE7BA7" w:rsidRDefault="008A1944" w:rsidP="007E0325">
      <w:pPr>
        <w:pStyle w:val="ListParagraph"/>
        <w:numPr>
          <w:ilvl w:val="0"/>
          <w:numId w:val="2"/>
        </w:numPr>
        <w:ind w:left="0" w:hanging="11"/>
        <w:jc w:val="both"/>
        <w:rPr>
          <w:rFonts w:ascii="Verdana" w:hAnsi="Verdana"/>
          <w:sz w:val="20"/>
          <w:szCs w:val="20"/>
          <w:lang w:val="en-US"/>
        </w:rPr>
      </w:pPr>
      <w:r w:rsidRPr="00C00817">
        <w:rPr>
          <w:rFonts w:ascii="Verdana" w:hAnsi="Verdana"/>
          <w:sz w:val="20"/>
          <w:szCs w:val="20"/>
          <w:lang w:val="en-US"/>
        </w:rPr>
        <w:t xml:space="preserve">In this case, it is an undisputed fact that, currently, the laws of Suriname do not recognize the </w:t>
      </w:r>
      <w:r w:rsidR="00C00817" w:rsidRPr="00C00817">
        <w:rPr>
          <w:rFonts w:ascii="Verdana" w:hAnsi="Verdana"/>
          <w:sz w:val="20"/>
          <w:szCs w:val="20"/>
          <w:lang w:val="en-US"/>
        </w:rPr>
        <w:t xml:space="preserve">legal </w:t>
      </w:r>
      <w:r w:rsidRPr="00C00817">
        <w:rPr>
          <w:rFonts w:ascii="Verdana" w:hAnsi="Verdana"/>
          <w:sz w:val="20"/>
          <w:szCs w:val="20"/>
          <w:lang w:val="en-US"/>
        </w:rPr>
        <w:t>personality of the indigenous peoples and, consequently, they are unable to hold collective property titles. T</w:t>
      </w:r>
      <w:r w:rsidRPr="00FE7BA7">
        <w:rPr>
          <w:rFonts w:ascii="Verdana" w:hAnsi="Verdana"/>
          <w:sz w:val="20"/>
          <w:szCs w:val="20"/>
          <w:lang w:val="en-US"/>
        </w:rPr>
        <w:t xml:space="preserve">his was corroborated by the State during the hearing </w:t>
      </w:r>
      <w:r w:rsidR="002B5CCD" w:rsidRPr="00FE7BA7">
        <w:rPr>
          <w:rFonts w:ascii="Verdana" w:hAnsi="Verdana"/>
          <w:sz w:val="20"/>
          <w:szCs w:val="20"/>
          <w:lang w:val="en-US"/>
        </w:rPr>
        <w:t xml:space="preserve">and </w:t>
      </w:r>
      <w:r w:rsidRPr="00FE7BA7">
        <w:rPr>
          <w:rFonts w:ascii="Verdana" w:hAnsi="Verdana"/>
          <w:sz w:val="20"/>
          <w:szCs w:val="20"/>
          <w:lang w:val="en-US"/>
        </w:rPr>
        <w:t>by</w:t>
      </w:r>
      <w:r w:rsidR="007E0325" w:rsidRPr="00FE7BA7">
        <w:rPr>
          <w:rFonts w:ascii="Verdana" w:hAnsi="Verdana"/>
          <w:sz w:val="20"/>
          <w:szCs w:val="20"/>
          <w:lang w:val="en-US"/>
        </w:rPr>
        <w:t xml:space="preserve"> </w:t>
      </w:r>
      <w:r w:rsidR="00810FAD" w:rsidRPr="00FE7BA7">
        <w:rPr>
          <w:rFonts w:ascii="Verdana" w:hAnsi="Verdana"/>
          <w:sz w:val="20"/>
          <w:szCs w:val="20"/>
          <w:lang w:val="en-US"/>
        </w:rPr>
        <w:t>the</w:t>
      </w:r>
      <w:r w:rsidRPr="00FE7BA7">
        <w:rPr>
          <w:rFonts w:ascii="Verdana" w:hAnsi="Verdana"/>
          <w:sz w:val="20"/>
          <w:szCs w:val="20"/>
          <w:lang w:val="en-US"/>
        </w:rPr>
        <w:t xml:space="preserve"> indigenous</w:t>
      </w:r>
      <w:r w:rsidR="00810FAD" w:rsidRPr="00FE7BA7">
        <w:rPr>
          <w:rFonts w:ascii="Verdana" w:hAnsi="Verdana"/>
          <w:sz w:val="20"/>
          <w:szCs w:val="20"/>
          <w:lang w:val="en-US"/>
        </w:rPr>
        <w:t xml:space="preserve"> representatives</w:t>
      </w:r>
      <w:r w:rsidRPr="00FE7BA7">
        <w:rPr>
          <w:rFonts w:ascii="Verdana" w:hAnsi="Verdana"/>
          <w:sz w:val="20"/>
          <w:szCs w:val="20"/>
          <w:lang w:val="en-US"/>
        </w:rPr>
        <w:t xml:space="preserve"> </w:t>
      </w:r>
      <w:r w:rsidR="000D786E" w:rsidRPr="00FE7BA7">
        <w:rPr>
          <w:rFonts w:ascii="Verdana" w:hAnsi="Verdana"/>
          <w:sz w:val="20"/>
          <w:szCs w:val="20"/>
          <w:lang w:val="en-US"/>
        </w:rPr>
        <w:t>to</w:t>
      </w:r>
      <w:r w:rsidRPr="00FE7BA7">
        <w:rPr>
          <w:rFonts w:ascii="Verdana" w:hAnsi="Verdana"/>
          <w:sz w:val="20"/>
          <w:szCs w:val="20"/>
          <w:lang w:val="en-US"/>
        </w:rPr>
        <w:t xml:space="preserve"> the Suriname National Assembly during </w:t>
      </w:r>
      <w:r w:rsidR="003F59F5" w:rsidRPr="00FE7BA7">
        <w:rPr>
          <w:rFonts w:ascii="Verdana" w:hAnsi="Verdana"/>
          <w:sz w:val="20"/>
          <w:szCs w:val="20"/>
          <w:lang w:val="en-US"/>
        </w:rPr>
        <w:t xml:space="preserve">the </w:t>
      </w:r>
      <w:r w:rsidR="00C00817">
        <w:rPr>
          <w:rFonts w:ascii="Verdana" w:hAnsi="Verdana"/>
          <w:sz w:val="20"/>
          <w:szCs w:val="20"/>
          <w:lang w:val="en-US"/>
        </w:rPr>
        <w:t xml:space="preserve">visit made to the National Assembly by </w:t>
      </w:r>
      <w:r w:rsidR="00C00817" w:rsidRPr="00FE7BA7">
        <w:rPr>
          <w:rFonts w:ascii="Verdana" w:hAnsi="Verdana"/>
          <w:sz w:val="20"/>
          <w:szCs w:val="20"/>
          <w:lang w:val="en-US"/>
        </w:rPr>
        <w:t>the Court’s delegation</w:t>
      </w:r>
      <w:r w:rsidR="00C00817">
        <w:rPr>
          <w:rFonts w:ascii="Verdana" w:hAnsi="Verdana"/>
          <w:sz w:val="20"/>
          <w:szCs w:val="20"/>
          <w:lang w:val="en-US"/>
        </w:rPr>
        <w:t xml:space="preserve"> in the course of the </w:t>
      </w:r>
      <w:r w:rsidR="003F59F5" w:rsidRPr="00FE7BA7">
        <w:rPr>
          <w:rFonts w:ascii="Verdana" w:hAnsi="Verdana"/>
          <w:sz w:val="20"/>
          <w:szCs w:val="20"/>
          <w:lang w:val="en-US"/>
        </w:rPr>
        <w:t>on-site procedure</w:t>
      </w:r>
      <w:r w:rsidRPr="00FE7BA7">
        <w:rPr>
          <w:rFonts w:ascii="Verdana" w:hAnsi="Verdana"/>
          <w:sz w:val="20"/>
          <w:szCs w:val="20"/>
          <w:lang w:val="en-US"/>
        </w:rPr>
        <w:t>.</w:t>
      </w:r>
      <w:r w:rsidR="007E0325" w:rsidRPr="00FE7BA7">
        <w:rPr>
          <w:rFonts w:ascii="Verdana" w:hAnsi="Verdana"/>
          <w:sz w:val="20"/>
          <w:szCs w:val="20"/>
          <w:lang w:val="en-US"/>
        </w:rPr>
        <w:t xml:space="preserve"> </w:t>
      </w:r>
    </w:p>
    <w:p w14:paraId="63126934" w14:textId="77777777" w:rsidR="007E0325" w:rsidRPr="00FE7BA7" w:rsidRDefault="007E0325" w:rsidP="007E0325">
      <w:pPr>
        <w:jc w:val="both"/>
        <w:rPr>
          <w:rFonts w:ascii="Verdana" w:hAnsi="Verdana"/>
          <w:sz w:val="20"/>
          <w:szCs w:val="20"/>
          <w:lang w:val="en-US"/>
        </w:rPr>
      </w:pPr>
    </w:p>
    <w:p w14:paraId="63126935" w14:textId="77777777" w:rsidR="00CB17C1" w:rsidRPr="00FE7BA7" w:rsidRDefault="000D786E" w:rsidP="00CB17C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foregoing is </w:t>
      </w:r>
      <w:r w:rsidR="00C00817">
        <w:rPr>
          <w:rFonts w:ascii="Verdana" w:hAnsi="Verdana"/>
          <w:sz w:val="20"/>
          <w:szCs w:val="20"/>
          <w:lang w:val="en-US"/>
        </w:rPr>
        <w:t>particularly</w:t>
      </w:r>
      <w:r w:rsidRPr="00FE7BA7">
        <w:rPr>
          <w:rFonts w:ascii="Verdana" w:hAnsi="Verdana"/>
          <w:sz w:val="20"/>
          <w:szCs w:val="20"/>
          <w:lang w:val="en-US"/>
        </w:rPr>
        <w:t xml:space="preserve"> serious </w:t>
      </w:r>
      <w:r w:rsidR="00C00817">
        <w:rPr>
          <w:rFonts w:ascii="Verdana" w:hAnsi="Verdana"/>
          <w:sz w:val="20"/>
          <w:szCs w:val="20"/>
          <w:lang w:val="en-US"/>
        </w:rPr>
        <w:t>owing to</w:t>
      </w:r>
      <w:r w:rsidRPr="00FE7BA7">
        <w:rPr>
          <w:rFonts w:ascii="Verdana" w:hAnsi="Verdana"/>
          <w:sz w:val="20"/>
          <w:szCs w:val="20"/>
          <w:lang w:val="en-US"/>
        </w:rPr>
        <w:t xml:space="preserve"> the provisions of the judgment in the </w:t>
      </w:r>
      <w:r w:rsidR="00D63518" w:rsidRPr="00FE7BA7">
        <w:rPr>
          <w:rFonts w:ascii="Verdana" w:hAnsi="Verdana"/>
          <w:i/>
          <w:sz w:val="20"/>
          <w:szCs w:val="20"/>
          <w:lang w:val="en-US"/>
        </w:rPr>
        <w:t>case of the Saramaka People</w:t>
      </w:r>
      <w:r w:rsidR="00CB17C1" w:rsidRPr="00FE7BA7">
        <w:rPr>
          <w:rFonts w:ascii="Verdana" w:hAnsi="Verdana"/>
          <w:sz w:val="20"/>
          <w:szCs w:val="20"/>
          <w:lang w:val="en-US"/>
        </w:rPr>
        <w:t xml:space="preserve"> </w:t>
      </w:r>
      <w:r w:rsidRPr="00FE7BA7">
        <w:rPr>
          <w:rFonts w:ascii="Verdana" w:hAnsi="Verdana"/>
          <w:sz w:val="20"/>
          <w:szCs w:val="20"/>
          <w:lang w:val="en-US"/>
        </w:rPr>
        <w:t>of November 28,</w:t>
      </w:r>
      <w:r w:rsidR="00CB17C1" w:rsidRPr="00FE7BA7">
        <w:rPr>
          <w:rFonts w:ascii="Verdana" w:hAnsi="Verdana"/>
          <w:sz w:val="20"/>
          <w:szCs w:val="20"/>
          <w:lang w:val="en-US"/>
        </w:rPr>
        <w:t xml:space="preserve"> 2007 (</w:t>
      </w:r>
      <w:r w:rsidR="00366D91" w:rsidRPr="00FE7BA7">
        <w:rPr>
          <w:rFonts w:ascii="Verdana" w:hAnsi="Verdana"/>
          <w:i/>
          <w:sz w:val="20"/>
          <w:szCs w:val="20"/>
          <w:lang w:val="en-US"/>
        </w:rPr>
        <w:t>supra</w:t>
      </w:r>
      <w:r w:rsidR="00CB17C1" w:rsidRPr="00FE7BA7">
        <w:rPr>
          <w:rFonts w:ascii="Verdana" w:hAnsi="Verdana"/>
          <w:sz w:val="20"/>
          <w:szCs w:val="20"/>
          <w:lang w:val="en-US"/>
        </w:rPr>
        <w:t xml:space="preserve"> </w:t>
      </w:r>
      <w:r w:rsidR="00810FAD" w:rsidRPr="00FE7BA7">
        <w:rPr>
          <w:rFonts w:ascii="Verdana" w:hAnsi="Verdana"/>
          <w:sz w:val="20"/>
          <w:szCs w:val="20"/>
          <w:lang w:val="en-US"/>
        </w:rPr>
        <w:t>para.</w:t>
      </w:r>
      <w:r w:rsidR="004A1254" w:rsidRPr="00FE7BA7">
        <w:rPr>
          <w:rFonts w:ascii="Verdana" w:hAnsi="Verdana"/>
          <w:sz w:val="20"/>
          <w:szCs w:val="20"/>
          <w:lang w:val="en-US"/>
        </w:rPr>
        <w:t xml:space="preserve"> 107</w:t>
      </w:r>
      <w:r w:rsidR="00CB17C1" w:rsidRPr="00FE7BA7">
        <w:rPr>
          <w:rFonts w:ascii="Verdana" w:hAnsi="Verdana"/>
          <w:sz w:val="20"/>
          <w:szCs w:val="20"/>
          <w:lang w:val="en-US"/>
        </w:rPr>
        <w:t>)</w:t>
      </w:r>
      <w:r w:rsidRPr="00FE7BA7">
        <w:rPr>
          <w:rFonts w:ascii="Verdana" w:hAnsi="Verdana"/>
          <w:sz w:val="20"/>
          <w:szCs w:val="20"/>
          <w:lang w:val="en-US"/>
        </w:rPr>
        <w:t>,</w:t>
      </w:r>
      <w:r w:rsidR="00CB17C1" w:rsidRPr="00FE7BA7">
        <w:rPr>
          <w:rStyle w:val="FootnoteReference"/>
          <w:szCs w:val="20"/>
          <w:lang w:val="en-US"/>
        </w:rPr>
        <w:footnoteReference w:id="151"/>
      </w:r>
      <w:r w:rsidRPr="00FE7BA7">
        <w:rPr>
          <w:rFonts w:ascii="Verdana" w:hAnsi="Verdana"/>
          <w:sz w:val="20"/>
          <w:szCs w:val="20"/>
          <w:lang w:val="en-US"/>
        </w:rPr>
        <w:t xml:space="preserve"> which were reiterated to the State for the effects of that case, in the order on monitoring compliance of November 23, </w:t>
      </w:r>
      <w:r w:rsidR="00CB17C1" w:rsidRPr="00FE7BA7">
        <w:rPr>
          <w:rFonts w:ascii="Verdana" w:hAnsi="Verdana"/>
          <w:sz w:val="20"/>
          <w:szCs w:val="20"/>
          <w:lang w:val="en-US"/>
        </w:rPr>
        <w:t>2011</w:t>
      </w:r>
      <w:r w:rsidRPr="00FE7BA7">
        <w:rPr>
          <w:rFonts w:ascii="Verdana" w:hAnsi="Verdana"/>
          <w:sz w:val="20"/>
          <w:szCs w:val="20"/>
          <w:lang w:val="en-US"/>
        </w:rPr>
        <w:t>.</w:t>
      </w:r>
      <w:r w:rsidR="00CB17C1" w:rsidRPr="00FE7BA7">
        <w:rPr>
          <w:rStyle w:val="FootnoteReference"/>
          <w:szCs w:val="20"/>
          <w:lang w:val="en-US"/>
        </w:rPr>
        <w:footnoteReference w:id="152"/>
      </w:r>
    </w:p>
    <w:p w14:paraId="63126936" w14:textId="77777777" w:rsidR="00CB17C1" w:rsidRPr="00FE7BA7" w:rsidRDefault="00CB17C1" w:rsidP="00CB17C1">
      <w:pPr>
        <w:jc w:val="both"/>
        <w:rPr>
          <w:rFonts w:ascii="Verdana" w:hAnsi="Verdana"/>
          <w:sz w:val="20"/>
          <w:szCs w:val="20"/>
          <w:lang w:val="en-US"/>
        </w:rPr>
      </w:pPr>
    </w:p>
    <w:p w14:paraId="63126937" w14:textId="77777777" w:rsidR="00CB17C1" w:rsidRPr="00FE7BA7" w:rsidRDefault="000D786E" w:rsidP="00CB17C1">
      <w:pPr>
        <w:pStyle w:val="ListParagraph"/>
        <w:numPr>
          <w:ilvl w:val="0"/>
          <w:numId w:val="2"/>
        </w:numPr>
        <w:ind w:left="0" w:hanging="11"/>
        <w:jc w:val="both"/>
        <w:rPr>
          <w:lang w:val="en-US"/>
        </w:rPr>
      </w:pPr>
      <w:r w:rsidRPr="00FE7BA7">
        <w:rPr>
          <w:rFonts w:ascii="Verdana" w:hAnsi="Verdana"/>
          <w:sz w:val="20"/>
          <w:szCs w:val="20"/>
          <w:lang w:val="en-US"/>
        </w:rPr>
        <w:t xml:space="preserve">In conclusion, since the domestic laws of Suriname do not recognize the collective exercise of the </w:t>
      </w:r>
      <w:r w:rsidR="00FE6B3F">
        <w:rPr>
          <w:rFonts w:ascii="Verdana" w:hAnsi="Verdana"/>
          <w:sz w:val="20"/>
          <w:szCs w:val="20"/>
          <w:lang w:val="en-US"/>
        </w:rPr>
        <w:t>juridical</w:t>
      </w:r>
      <w:r w:rsidRPr="00FE7BA7">
        <w:rPr>
          <w:rFonts w:ascii="Verdana" w:hAnsi="Verdana"/>
          <w:sz w:val="20"/>
          <w:szCs w:val="20"/>
          <w:lang w:val="en-US"/>
        </w:rPr>
        <w:t xml:space="preserve"> personality of </w:t>
      </w:r>
      <w:r w:rsidR="00511E56" w:rsidRPr="00FE7BA7">
        <w:rPr>
          <w:rFonts w:ascii="Verdana" w:hAnsi="Verdana"/>
          <w:sz w:val="20"/>
          <w:szCs w:val="20"/>
          <w:lang w:val="en-US"/>
        </w:rPr>
        <w:t xml:space="preserve">the </w:t>
      </w:r>
      <w:r w:rsidR="00967E6B" w:rsidRPr="00FE7BA7">
        <w:rPr>
          <w:rFonts w:ascii="Verdana" w:hAnsi="Verdana"/>
          <w:sz w:val="20"/>
          <w:szCs w:val="20"/>
          <w:lang w:val="en-US"/>
        </w:rPr>
        <w:t xml:space="preserve">indigenous and </w:t>
      </w:r>
      <w:r w:rsidR="00F32607" w:rsidRPr="00FE7BA7">
        <w:rPr>
          <w:rFonts w:ascii="Verdana" w:hAnsi="Verdana"/>
          <w:sz w:val="20"/>
          <w:szCs w:val="20"/>
          <w:lang w:val="en-US"/>
        </w:rPr>
        <w:t>tribal peoples</w:t>
      </w:r>
      <w:r w:rsidRPr="00FE7BA7">
        <w:rPr>
          <w:rFonts w:ascii="Verdana" w:hAnsi="Verdana"/>
          <w:sz w:val="20"/>
          <w:szCs w:val="20"/>
          <w:lang w:val="en-US"/>
        </w:rPr>
        <w:t xml:space="preserve">, this Court finds that the State has violated </w:t>
      </w:r>
      <w:r w:rsidR="002B5CCD" w:rsidRPr="00FE7BA7">
        <w:rPr>
          <w:rFonts w:ascii="Verdana" w:hAnsi="Verdana"/>
          <w:sz w:val="20"/>
          <w:szCs w:val="20"/>
          <w:lang w:val="en-US"/>
        </w:rPr>
        <w:t>Article</w:t>
      </w:r>
      <w:r w:rsidR="00CB17C1" w:rsidRPr="00FE7BA7">
        <w:rPr>
          <w:rFonts w:ascii="Verdana" w:hAnsi="Verdana"/>
          <w:sz w:val="20"/>
          <w:szCs w:val="20"/>
          <w:lang w:val="en-US"/>
        </w:rPr>
        <w:t xml:space="preserve"> 3</w:t>
      </w:r>
      <w:r w:rsidR="002B5CCD" w:rsidRPr="00FE7BA7">
        <w:rPr>
          <w:rFonts w:ascii="Verdana" w:hAnsi="Verdana"/>
          <w:sz w:val="20"/>
          <w:szCs w:val="20"/>
          <w:lang w:val="en-US"/>
        </w:rPr>
        <w:t xml:space="preserve"> of the American Convention</w:t>
      </w:r>
      <w:r w:rsidR="00CB17C1" w:rsidRPr="00FE7BA7">
        <w:rPr>
          <w:rFonts w:ascii="Verdana" w:hAnsi="Verdana"/>
          <w:sz w:val="20"/>
          <w:szCs w:val="20"/>
          <w:lang w:val="en-US"/>
        </w:rPr>
        <w:t xml:space="preserve">, </w:t>
      </w:r>
      <w:r w:rsidR="00773D70" w:rsidRPr="00FE7BA7">
        <w:rPr>
          <w:rFonts w:ascii="Verdana" w:hAnsi="Verdana"/>
          <w:sz w:val="20"/>
          <w:szCs w:val="20"/>
          <w:lang w:val="en-US"/>
        </w:rPr>
        <w:t>to the detriment of the</w:t>
      </w:r>
      <w:r w:rsidR="00635ACD" w:rsidRPr="00FE7BA7">
        <w:rPr>
          <w:rFonts w:ascii="Verdana" w:hAnsi="Verdana"/>
          <w:sz w:val="20"/>
          <w:szCs w:val="20"/>
          <w:lang w:val="en-US"/>
        </w:rPr>
        <w:t xml:space="preserve"> </w:t>
      </w:r>
      <w:r w:rsidR="004C7D14" w:rsidRPr="00FE7BA7">
        <w:rPr>
          <w:rFonts w:ascii="Verdana" w:hAnsi="Verdana"/>
          <w:sz w:val="20"/>
          <w:szCs w:val="20"/>
          <w:lang w:val="en-US"/>
        </w:rPr>
        <w:t>Kaliña and Lokono peoples</w:t>
      </w:r>
      <w:r w:rsidR="00806004" w:rsidRPr="00FE7BA7">
        <w:rPr>
          <w:rFonts w:ascii="Verdana" w:hAnsi="Verdana"/>
          <w:sz w:val="20"/>
          <w:szCs w:val="20"/>
          <w:lang w:val="en-US"/>
        </w:rPr>
        <w:t>,</w:t>
      </w:r>
      <w:r w:rsidR="00E16261" w:rsidRPr="00FE7BA7">
        <w:rPr>
          <w:rFonts w:ascii="Verdana" w:hAnsi="Verdana"/>
          <w:sz w:val="20"/>
          <w:szCs w:val="20"/>
          <w:lang w:val="en-US"/>
        </w:rPr>
        <w:t xml:space="preserve"> </w:t>
      </w:r>
      <w:r w:rsidR="00773D70" w:rsidRPr="00FE7BA7">
        <w:rPr>
          <w:rFonts w:ascii="Verdana" w:hAnsi="Verdana"/>
          <w:sz w:val="20"/>
          <w:szCs w:val="20"/>
          <w:lang w:val="en-US"/>
        </w:rPr>
        <w:t>in relation to Article</w:t>
      </w:r>
      <w:r w:rsidR="00E16261" w:rsidRPr="00FE7BA7">
        <w:rPr>
          <w:rFonts w:ascii="Verdana" w:hAnsi="Verdana"/>
          <w:sz w:val="20"/>
          <w:szCs w:val="20"/>
          <w:lang w:val="en-US"/>
        </w:rPr>
        <w:t xml:space="preserve"> </w:t>
      </w:r>
      <w:r w:rsidR="00773D70" w:rsidRPr="00FE7BA7">
        <w:rPr>
          <w:rFonts w:ascii="Verdana" w:hAnsi="Verdana"/>
          <w:sz w:val="20"/>
          <w:szCs w:val="20"/>
          <w:lang w:val="en-US"/>
        </w:rPr>
        <w:t>2 of this instrument</w:t>
      </w:r>
      <w:r w:rsidR="00CB17C1" w:rsidRPr="00FE7BA7">
        <w:rPr>
          <w:rFonts w:ascii="Verdana" w:hAnsi="Verdana"/>
          <w:sz w:val="20"/>
          <w:szCs w:val="20"/>
          <w:lang w:val="en-US"/>
        </w:rPr>
        <w:t xml:space="preserve">. </w:t>
      </w:r>
      <w:r w:rsidRPr="00FE7BA7">
        <w:rPr>
          <w:rFonts w:ascii="Verdana" w:hAnsi="Verdana"/>
          <w:sz w:val="20"/>
          <w:szCs w:val="20"/>
          <w:lang w:val="en-US"/>
        </w:rPr>
        <w:t xml:space="preserve">In addition, for the effects of the instant case, the failure to recognize the </w:t>
      </w:r>
      <w:r w:rsidR="00773D70" w:rsidRPr="00FE7BA7">
        <w:rPr>
          <w:rFonts w:ascii="Verdana" w:hAnsi="Verdana"/>
          <w:sz w:val="20"/>
          <w:szCs w:val="20"/>
          <w:lang w:val="en-US"/>
        </w:rPr>
        <w:t>juridical personality</w:t>
      </w:r>
      <w:r w:rsidR="00CB17C1" w:rsidRPr="00FE7BA7">
        <w:rPr>
          <w:rFonts w:ascii="Verdana" w:hAnsi="Verdana"/>
          <w:sz w:val="20"/>
          <w:szCs w:val="20"/>
          <w:lang w:val="en-US"/>
        </w:rPr>
        <w:t xml:space="preserve"> </w:t>
      </w:r>
      <w:r w:rsidRPr="00FE7BA7">
        <w:rPr>
          <w:rFonts w:ascii="Verdana" w:hAnsi="Verdana"/>
          <w:sz w:val="20"/>
          <w:szCs w:val="20"/>
          <w:lang w:val="en-US"/>
        </w:rPr>
        <w:t xml:space="preserve">of the </w:t>
      </w:r>
      <w:r w:rsidR="00CB17C1" w:rsidRPr="00FE7BA7">
        <w:rPr>
          <w:rFonts w:ascii="Verdana" w:hAnsi="Verdana"/>
          <w:sz w:val="20"/>
          <w:szCs w:val="20"/>
          <w:lang w:val="en-US"/>
        </w:rPr>
        <w:t>Kaliña</w:t>
      </w:r>
      <w:r w:rsidR="002B5CCD" w:rsidRPr="00FE7BA7">
        <w:rPr>
          <w:rFonts w:ascii="Verdana" w:hAnsi="Verdana"/>
          <w:sz w:val="20"/>
          <w:szCs w:val="20"/>
          <w:lang w:val="en-US"/>
        </w:rPr>
        <w:t xml:space="preserve"> and </w:t>
      </w:r>
      <w:r w:rsidR="00CB17C1" w:rsidRPr="00FE7BA7">
        <w:rPr>
          <w:rFonts w:ascii="Verdana" w:hAnsi="Verdana"/>
          <w:sz w:val="20"/>
          <w:szCs w:val="20"/>
          <w:lang w:val="en-US"/>
        </w:rPr>
        <w:t xml:space="preserve">Lokono </w:t>
      </w:r>
      <w:r w:rsidRPr="00FE7BA7">
        <w:rPr>
          <w:rFonts w:ascii="Verdana" w:hAnsi="Verdana"/>
          <w:sz w:val="20"/>
          <w:szCs w:val="20"/>
          <w:lang w:val="en-US"/>
        </w:rPr>
        <w:t xml:space="preserve">peoples has an impact on the violation of other rights recognized in </w:t>
      </w:r>
      <w:r w:rsidR="00773D70" w:rsidRPr="00FE7BA7">
        <w:rPr>
          <w:rFonts w:ascii="Verdana" w:hAnsi="Verdana"/>
          <w:sz w:val="20"/>
          <w:szCs w:val="20"/>
          <w:lang w:val="en-US"/>
        </w:rPr>
        <w:t>Articles 1(1)</w:t>
      </w:r>
      <w:r w:rsidR="00CB17C1" w:rsidRPr="00FE7BA7">
        <w:rPr>
          <w:rFonts w:ascii="Verdana" w:hAnsi="Verdana"/>
          <w:sz w:val="20"/>
          <w:szCs w:val="20"/>
          <w:lang w:val="en-US"/>
        </w:rPr>
        <w:t>, 21</w:t>
      </w:r>
      <w:r w:rsidR="002B5CCD" w:rsidRPr="00FE7BA7">
        <w:rPr>
          <w:rFonts w:ascii="Verdana" w:hAnsi="Verdana"/>
          <w:sz w:val="20"/>
          <w:szCs w:val="20"/>
          <w:lang w:val="en-US"/>
        </w:rPr>
        <w:t xml:space="preserve"> and </w:t>
      </w:r>
      <w:r w:rsidR="00CB17C1" w:rsidRPr="00FE7BA7">
        <w:rPr>
          <w:rFonts w:ascii="Verdana" w:hAnsi="Verdana"/>
          <w:sz w:val="20"/>
          <w:szCs w:val="20"/>
          <w:lang w:val="en-US"/>
        </w:rPr>
        <w:t>25</w:t>
      </w:r>
      <w:r w:rsidR="002B5CCD" w:rsidRPr="00FE7BA7">
        <w:rPr>
          <w:rFonts w:ascii="Verdana" w:hAnsi="Verdana"/>
          <w:sz w:val="20"/>
          <w:szCs w:val="20"/>
          <w:lang w:val="en-US"/>
        </w:rPr>
        <w:t xml:space="preserve"> of the Convention</w:t>
      </w:r>
      <w:r w:rsidRPr="00FE7BA7">
        <w:rPr>
          <w:rFonts w:ascii="Verdana" w:hAnsi="Verdana"/>
          <w:sz w:val="20"/>
          <w:szCs w:val="20"/>
          <w:lang w:val="en-US"/>
        </w:rPr>
        <w:t>, as will be examined below.</w:t>
      </w:r>
    </w:p>
    <w:p w14:paraId="63126938" w14:textId="77777777" w:rsidR="00FC1FCF" w:rsidRPr="00FE7BA7" w:rsidRDefault="00FC1FCF" w:rsidP="00E4033A">
      <w:pPr>
        <w:pStyle w:val="ListParagraph"/>
        <w:ind w:left="0"/>
        <w:jc w:val="both"/>
        <w:rPr>
          <w:lang w:val="en-US"/>
        </w:rPr>
      </w:pPr>
    </w:p>
    <w:p w14:paraId="63126939" w14:textId="77777777" w:rsidR="007E0325" w:rsidRPr="00FE7BA7" w:rsidRDefault="007E0325" w:rsidP="007E0325">
      <w:pPr>
        <w:pStyle w:val="Heading1"/>
        <w:tabs>
          <w:tab w:val="left" w:pos="851"/>
        </w:tabs>
        <w:spacing w:before="0"/>
        <w:jc w:val="center"/>
        <w:rPr>
          <w:rFonts w:ascii="Verdana" w:hAnsi="Verdana" w:cs="Verdana"/>
          <w:caps/>
          <w:snapToGrid w:val="0"/>
          <w:color w:val="auto"/>
          <w:sz w:val="20"/>
          <w:szCs w:val="20"/>
          <w:lang w:val="en-US"/>
        </w:rPr>
      </w:pPr>
      <w:bookmarkStart w:id="35" w:name="_Toc441673203"/>
      <w:r w:rsidRPr="00FE7BA7">
        <w:rPr>
          <w:rFonts w:ascii="Verdana" w:hAnsi="Verdana" w:cs="Verdana"/>
          <w:caps/>
          <w:snapToGrid w:val="0"/>
          <w:color w:val="auto"/>
          <w:sz w:val="20"/>
          <w:szCs w:val="20"/>
          <w:lang w:val="en-US"/>
        </w:rPr>
        <w:t>VI-ii</w:t>
      </w:r>
      <w:r w:rsidRPr="00FE7BA7">
        <w:rPr>
          <w:rFonts w:ascii="Verdana" w:hAnsi="Verdana" w:cs="Verdana"/>
          <w:caps/>
          <w:snapToGrid w:val="0"/>
          <w:color w:val="auto"/>
          <w:sz w:val="20"/>
          <w:szCs w:val="20"/>
          <w:lang w:val="en-US"/>
        </w:rPr>
        <w:br/>
      </w:r>
      <w:r w:rsidR="00C34C52" w:rsidRPr="00FE7BA7">
        <w:rPr>
          <w:rFonts w:ascii="Verdana" w:hAnsi="Verdana" w:cs="Verdana"/>
          <w:caps/>
          <w:snapToGrid w:val="0"/>
          <w:color w:val="auto"/>
          <w:sz w:val="20"/>
          <w:szCs w:val="20"/>
          <w:lang w:val="en-US"/>
        </w:rPr>
        <w:t>RIGHT TO COLLECTIVE PROPERTY (ARTICLE</w:t>
      </w:r>
      <w:r w:rsidR="00806004" w:rsidRPr="00FE7BA7">
        <w:rPr>
          <w:rFonts w:ascii="Verdana" w:hAnsi="Verdana" w:cs="Verdana"/>
          <w:caps/>
          <w:snapToGrid w:val="0"/>
          <w:color w:val="auto"/>
          <w:sz w:val="20"/>
          <w:szCs w:val="20"/>
          <w:lang w:val="en-US"/>
        </w:rPr>
        <w:t xml:space="preserve"> 21)</w:t>
      </w:r>
      <w:r w:rsidR="002B5CCD" w:rsidRPr="00FE7BA7">
        <w:rPr>
          <w:rFonts w:ascii="Verdana" w:hAnsi="Verdana" w:cs="Verdana"/>
          <w:caps/>
          <w:snapToGrid w:val="0"/>
          <w:color w:val="auto"/>
          <w:sz w:val="20"/>
          <w:szCs w:val="20"/>
          <w:lang w:val="en-US"/>
        </w:rPr>
        <w:t xml:space="preserve"> and </w:t>
      </w:r>
      <w:r w:rsidR="008A1944" w:rsidRPr="00FE7BA7">
        <w:rPr>
          <w:rFonts w:ascii="Verdana" w:hAnsi="Verdana" w:cs="Verdana"/>
          <w:caps/>
          <w:snapToGrid w:val="0"/>
          <w:color w:val="auto"/>
          <w:sz w:val="20"/>
          <w:szCs w:val="20"/>
          <w:lang w:val="en-US"/>
        </w:rPr>
        <w:t>POLITICAL RIGHTS</w:t>
      </w:r>
      <w:r w:rsidR="00D273B0" w:rsidRPr="00FE7BA7">
        <w:rPr>
          <w:rFonts w:ascii="Verdana" w:hAnsi="Verdana" w:cs="Verdana"/>
          <w:caps/>
          <w:snapToGrid w:val="0"/>
          <w:color w:val="auto"/>
          <w:sz w:val="20"/>
          <w:szCs w:val="20"/>
          <w:lang w:val="en-US"/>
        </w:rPr>
        <w:t xml:space="preserve"> </w:t>
      </w:r>
      <w:r w:rsidR="00C34C52" w:rsidRPr="00FE7BA7">
        <w:rPr>
          <w:rFonts w:ascii="Verdana" w:hAnsi="Verdana" w:cs="Verdana"/>
          <w:caps/>
          <w:snapToGrid w:val="0"/>
          <w:color w:val="auto"/>
          <w:sz w:val="20"/>
          <w:szCs w:val="20"/>
          <w:lang w:val="en-US"/>
        </w:rPr>
        <w:t>(ARTICLE</w:t>
      </w:r>
      <w:r w:rsidR="00D273B0" w:rsidRPr="00FE7BA7">
        <w:rPr>
          <w:rFonts w:ascii="Verdana" w:hAnsi="Verdana" w:cs="Verdana"/>
          <w:caps/>
          <w:snapToGrid w:val="0"/>
          <w:color w:val="auto"/>
          <w:sz w:val="20"/>
          <w:szCs w:val="20"/>
          <w:lang w:val="en-US"/>
        </w:rPr>
        <w:t xml:space="preserve"> 23) </w:t>
      </w:r>
      <w:r w:rsidR="00C34C52" w:rsidRPr="00FE7BA7">
        <w:rPr>
          <w:rFonts w:ascii="Verdana" w:hAnsi="Verdana" w:cs="Verdana"/>
          <w:caps/>
          <w:snapToGrid w:val="0"/>
          <w:color w:val="auto"/>
          <w:sz w:val="20"/>
          <w:szCs w:val="20"/>
          <w:lang w:val="en-US"/>
        </w:rPr>
        <w:t>IN RELATION TO</w:t>
      </w:r>
      <w:r w:rsidRPr="00FE7BA7">
        <w:rPr>
          <w:rFonts w:ascii="Verdana" w:hAnsi="Verdana" w:cs="Verdana"/>
          <w:caps/>
          <w:snapToGrid w:val="0"/>
          <w:color w:val="auto"/>
          <w:sz w:val="20"/>
          <w:szCs w:val="20"/>
          <w:lang w:val="en-US"/>
        </w:rPr>
        <w:t xml:space="preserve"> </w:t>
      </w:r>
      <w:r w:rsidR="00C34C52" w:rsidRPr="00FE7BA7">
        <w:rPr>
          <w:rFonts w:ascii="Verdana" w:hAnsi="Verdana" w:cs="Verdana"/>
          <w:caps/>
          <w:snapToGrid w:val="0"/>
          <w:color w:val="auto"/>
          <w:sz w:val="20"/>
          <w:szCs w:val="20"/>
          <w:lang w:val="en-US"/>
        </w:rPr>
        <w:t>ARTICLE</w:t>
      </w:r>
      <w:r w:rsidRPr="00FE7BA7">
        <w:rPr>
          <w:rFonts w:ascii="Verdana" w:hAnsi="Verdana" w:cs="Verdana"/>
          <w:caps/>
          <w:snapToGrid w:val="0"/>
          <w:color w:val="auto"/>
          <w:sz w:val="20"/>
          <w:szCs w:val="20"/>
          <w:lang w:val="en-US"/>
        </w:rPr>
        <w:t xml:space="preserve">S </w:t>
      </w:r>
      <w:r w:rsidR="00C34C52" w:rsidRPr="00FE7BA7">
        <w:rPr>
          <w:rFonts w:ascii="Verdana" w:hAnsi="Verdana" w:cs="Verdana"/>
          <w:caps/>
          <w:snapToGrid w:val="0"/>
          <w:color w:val="auto"/>
          <w:sz w:val="20"/>
          <w:szCs w:val="20"/>
          <w:lang w:val="en-US"/>
        </w:rPr>
        <w:t>1(1)</w:t>
      </w:r>
      <w:r w:rsidR="002B5CCD" w:rsidRPr="00FE7BA7">
        <w:rPr>
          <w:rFonts w:ascii="Verdana" w:hAnsi="Verdana" w:cs="Verdana"/>
          <w:caps/>
          <w:snapToGrid w:val="0"/>
          <w:color w:val="auto"/>
          <w:sz w:val="20"/>
          <w:szCs w:val="20"/>
          <w:lang w:val="en-US"/>
        </w:rPr>
        <w:t xml:space="preserve"> and </w:t>
      </w:r>
      <w:r w:rsidRPr="00FE7BA7">
        <w:rPr>
          <w:rFonts w:ascii="Verdana" w:hAnsi="Verdana" w:cs="Verdana"/>
          <w:caps/>
          <w:snapToGrid w:val="0"/>
          <w:color w:val="auto"/>
          <w:sz w:val="20"/>
          <w:szCs w:val="20"/>
          <w:lang w:val="en-US"/>
        </w:rPr>
        <w:t>2</w:t>
      </w:r>
      <w:r w:rsidR="002B5CCD" w:rsidRPr="00FE7BA7">
        <w:rPr>
          <w:rFonts w:ascii="Verdana" w:hAnsi="Verdana" w:cs="Verdana"/>
          <w:caps/>
          <w:snapToGrid w:val="0"/>
          <w:color w:val="auto"/>
          <w:sz w:val="20"/>
          <w:szCs w:val="20"/>
          <w:lang w:val="en-US"/>
        </w:rPr>
        <w:t xml:space="preserve"> of the AMERICAN CONVENTION</w:t>
      </w:r>
      <w:bookmarkEnd w:id="35"/>
    </w:p>
    <w:p w14:paraId="6312693A" w14:textId="77777777" w:rsidR="00FC1FCF" w:rsidRPr="00FE7BA7" w:rsidRDefault="00FC1FCF" w:rsidP="002C323A">
      <w:pPr>
        <w:autoSpaceDE w:val="0"/>
        <w:autoSpaceDN w:val="0"/>
        <w:adjustRightInd w:val="0"/>
        <w:jc w:val="both"/>
        <w:rPr>
          <w:rFonts w:ascii="Verdana" w:hAnsi="Verdana" w:cs="Arial"/>
          <w:sz w:val="20"/>
          <w:szCs w:val="20"/>
          <w:lang w:val="en-US"/>
        </w:rPr>
      </w:pPr>
    </w:p>
    <w:p w14:paraId="6312693B" w14:textId="77777777" w:rsidR="00FC1FCF" w:rsidRPr="00FE7BA7" w:rsidRDefault="003231F8" w:rsidP="00FC1FCF">
      <w:pPr>
        <w:pStyle w:val="Heading2"/>
        <w:numPr>
          <w:ilvl w:val="0"/>
          <w:numId w:val="27"/>
        </w:numPr>
        <w:spacing w:before="0"/>
        <w:jc w:val="both"/>
        <w:rPr>
          <w:rFonts w:ascii="Verdana" w:hAnsi="Verdana"/>
          <w:bCs w:val="0"/>
          <w:i/>
          <w:color w:val="auto"/>
          <w:sz w:val="20"/>
          <w:szCs w:val="20"/>
          <w:lang w:val="en-US"/>
        </w:rPr>
      </w:pPr>
      <w:bookmarkStart w:id="36" w:name="_Toc441673204"/>
      <w:r w:rsidRPr="00FE7BA7">
        <w:rPr>
          <w:rFonts w:ascii="Verdana" w:hAnsi="Verdana"/>
          <w:bCs w:val="0"/>
          <w:i/>
          <w:color w:val="auto"/>
          <w:sz w:val="20"/>
          <w:szCs w:val="20"/>
          <w:lang w:val="en-US"/>
        </w:rPr>
        <w:t>Arguments of the Commission and of the parties</w:t>
      </w:r>
      <w:bookmarkEnd w:id="36"/>
      <w:r w:rsidR="00FC1FCF" w:rsidRPr="00FE7BA7">
        <w:rPr>
          <w:rFonts w:ascii="Verdana" w:hAnsi="Verdana"/>
          <w:bCs w:val="0"/>
          <w:i/>
          <w:color w:val="auto"/>
          <w:sz w:val="20"/>
          <w:szCs w:val="20"/>
          <w:lang w:val="en-US"/>
        </w:rPr>
        <w:t xml:space="preserve"> </w:t>
      </w:r>
    </w:p>
    <w:p w14:paraId="6312693C" w14:textId="77777777" w:rsidR="00FC1FCF" w:rsidRPr="00FE7BA7" w:rsidRDefault="00FC1FCF" w:rsidP="00FC1FCF">
      <w:pPr>
        <w:jc w:val="both"/>
        <w:rPr>
          <w:rFonts w:ascii="Verdana" w:hAnsi="Verdana" w:cs="Arial"/>
          <w:sz w:val="20"/>
          <w:szCs w:val="20"/>
          <w:lang w:val="en-US"/>
        </w:rPr>
      </w:pPr>
    </w:p>
    <w:p w14:paraId="6312693D" w14:textId="022C495A" w:rsidR="00FC1FCF" w:rsidRPr="00FE7BA7" w:rsidRDefault="002B5CCD"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Commission</w:t>
      </w:r>
      <w:r w:rsidR="00FC1FCF" w:rsidRPr="00FE7BA7">
        <w:rPr>
          <w:rFonts w:ascii="Verdana" w:hAnsi="Verdana" w:cs="Arial"/>
          <w:sz w:val="20"/>
          <w:szCs w:val="20"/>
          <w:lang w:val="en-US"/>
        </w:rPr>
        <w:t xml:space="preserve"> a</w:t>
      </w:r>
      <w:r w:rsidR="00DB712A" w:rsidRPr="00FE7BA7">
        <w:rPr>
          <w:rFonts w:ascii="Verdana" w:hAnsi="Verdana" w:cs="Arial"/>
          <w:sz w:val="20"/>
          <w:szCs w:val="20"/>
          <w:lang w:val="en-US"/>
        </w:rPr>
        <w:t>rgued that</w:t>
      </w:r>
      <w:r w:rsidR="00FC1FCF" w:rsidRPr="00FE7BA7">
        <w:rPr>
          <w:rFonts w:ascii="Verdana" w:hAnsi="Verdana" w:cs="Arial"/>
          <w:sz w:val="20"/>
          <w:szCs w:val="20"/>
          <w:lang w:val="en-US"/>
        </w:rPr>
        <w:t xml:space="preserve"> </w:t>
      </w:r>
      <w:r w:rsidRPr="00FE7BA7">
        <w:rPr>
          <w:rFonts w:ascii="Verdana" w:hAnsi="Verdana" w:cs="Arial"/>
          <w:sz w:val="20"/>
          <w:szCs w:val="20"/>
          <w:lang w:val="en-US"/>
        </w:rPr>
        <w:t>the State</w:t>
      </w:r>
      <w:r w:rsidR="002F0F93" w:rsidRPr="00FE7BA7">
        <w:rPr>
          <w:rFonts w:ascii="Verdana" w:hAnsi="Verdana" w:cs="Arial"/>
          <w:sz w:val="20"/>
          <w:szCs w:val="20"/>
          <w:lang w:val="en-US"/>
        </w:rPr>
        <w:t xml:space="preserve"> of Suriname</w:t>
      </w:r>
      <w:r w:rsidRPr="00FE7BA7">
        <w:rPr>
          <w:rFonts w:ascii="Verdana" w:hAnsi="Verdana" w:cs="Arial"/>
          <w:sz w:val="20"/>
          <w:szCs w:val="20"/>
          <w:lang w:val="en-US"/>
        </w:rPr>
        <w:t xml:space="preserve"> </w:t>
      </w:r>
      <w:r w:rsidR="00DB712A" w:rsidRPr="00FE7BA7">
        <w:rPr>
          <w:rFonts w:ascii="Verdana" w:hAnsi="Verdana" w:cs="Arial"/>
          <w:sz w:val="20"/>
          <w:szCs w:val="20"/>
          <w:lang w:val="en-US"/>
        </w:rPr>
        <w:t xml:space="preserve">had </w:t>
      </w:r>
      <w:r w:rsidR="00773D70" w:rsidRPr="00FE7BA7">
        <w:rPr>
          <w:rFonts w:ascii="Verdana" w:hAnsi="Verdana" w:cs="Arial"/>
          <w:sz w:val="20"/>
          <w:szCs w:val="20"/>
          <w:lang w:val="en-US"/>
        </w:rPr>
        <w:t>violated the right to</w:t>
      </w:r>
      <w:r w:rsidR="00FC1FCF" w:rsidRPr="00FE7BA7">
        <w:rPr>
          <w:rFonts w:ascii="Verdana" w:hAnsi="Verdana" w:cs="Arial"/>
          <w:sz w:val="20"/>
          <w:szCs w:val="20"/>
          <w:lang w:val="en-US"/>
        </w:rPr>
        <w:t xml:space="preserve"> </w:t>
      </w:r>
      <w:r w:rsidR="00DB712A" w:rsidRPr="00FE7BA7">
        <w:rPr>
          <w:rFonts w:ascii="Verdana" w:hAnsi="Verdana" w:cs="Arial"/>
          <w:sz w:val="20"/>
          <w:szCs w:val="20"/>
          <w:lang w:val="en-US"/>
        </w:rPr>
        <w:t>property established in</w:t>
      </w:r>
      <w:r w:rsidR="00FC1FCF" w:rsidRPr="00FE7BA7">
        <w:rPr>
          <w:rFonts w:ascii="Verdana" w:hAnsi="Verdana" w:cs="Arial"/>
          <w:sz w:val="20"/>
          <w:szCs w:val="20"/>
          <w:lang w:val="en-US"/>
        </w:rPr>
        <w:t xml:space="preserve"> </w:t>
      </w:r>
      <w:r w:rsidRPr="00FE7BA7">
        <w:rPr>
          <w:rFonts w:ascii="Verdana" w:hAnsi="Verdana" w:cs="Arial"/>
          <w:sz w:val="20"/>
          <w:szCs w:val="20"/>
          <w:lang w:val="en-US"/>
        </w:rPr>
        <w:t>Article</w:t>
      </w:r>
      <w:r w:rsidR="00FC1FCF" w:rsidRPr="00FE7BA7">
        <w:rPr>
          <w:rFonts w:ascii="Verdana" w:hAnsi="Verdana" w:cs="Arial"/>
          <w:sz w:val="20"/>
          <w:szCs w:val="20"/>
          <w:lang w:val="en-US"/>
        </w:rPr>
        <w:t xml:space="preserve"> 21</w:t>
      </w:r>
      <w:r w:rsidRPr="00FE7BA7">
        <w:rPr>
          <w:rFonts w:ascii="Verdana" w:hAnsi="Verdana" w:cs="Arial"/>
          <w:sz w:val="20"/>
          <w:szCs w:val="20"/>
          <w:lang w:val="en-US"/>
        </w:rPr>
        <w:t xml:space="preserve"> of the American Convention</w:t>
      </w:r>
      <w:r w:rsidR="00FC1FCF" w:rsidRPr="00FE7BA7">
        <w:rPr>
          <w:rFonts w:ascii="Verdana" w:hAnsi="Verdana" w:cs="Arial"/>
          <w:sz w:val="20"/>
          <w:szCs w:val="20"/>
          <w:lang w:val="en-US"/>
        </w:rPr>
        <w:t xml:space="preserve">, </w:t>
      </w:r>
      <w:r w:rsidR="00773D70" w:rsidRPr="00FE7BA7">
        <w:rPr>
          <w:rFonts w:ascii="Verdana" w:hAnsi="Verdana" w:cs="Arial"/>
          <w:sz w:val="20"/>
          <w:szCs w:val="20"/>
          <w:lang w:val="en-US"/>
        </w:rPr>
        <w:t>in relation to Articles 1(1)</w:t>
      </w:r>
      <w:r w:rsidRPr="00FE7BA7">
        <w:rPr>
          <w:rFonts w:ascii="Verdana" w:hAnsi="Verdana" w:cs="Arial"/>
          <w:sz w:val="20"/>
          <w:szCs w:val="20"/>
          <w:lang w:val="en-US"/>
        </w:rPr>
        <w:t xml:space="preserve"> and </w:t>
      </w:r>
      <w:r w:rsidR="00FC1FCF" w:rsidRPr="00FE7BA7">
        <w:rPr>
          <w:rFonts w:ascii="Verdana" w:hAnsi="Verdana" w:cs="Arial"/>
          <w:sz w:val="20"/>
          <w:szCs w:val="20"/>
          <w:lang w:val="en-US"/>
        </w:rPr>
        <w:t xml:space="preserve">2 </w:t>
      </w:r>
      <w:r w:rsidR="00644BD7" w:rsidRPr="00FE7BA7">
        <w:rPr>
          <w:rFonts w:ascii="Verdana" w:hAnsi="Verdana" w:cs="Arial"/>
          <w:sz w:val="20"/>
          <w:szCs w:val="20"/>
          <w:lang w:val="en-US"/>
        </w:rPr>
        <w:t>of this instrument</w:t>
      </w:r>
      <w:r w:rsidR="00FC1FCF" w:rsidRPr="00FE7BA7">
        <w:rPr>
          <w:rFonts w:ascii="Verdana" w:hAnsi="Verdana" w:cs="Arial"/>
          <w:sz w:val="20"/>
          <w:szCs w:val="20"/>
          <w:lang w:val="en-US"/>
        </w:rPr>
        <w:t xml:space="preserve">, </w:t>
      </w:r>
      <w:r w:rsidR="00773D70" w:rsidRPr="00FE7BA7">
        <w:rPr>
          <w:rFonts w:ascii="Verdana" w:hAnsi="Verdana" w:cs="Arial"/>
          <w:sz w:val="20"/>
          <w:szCs w:val="20"/>
          <w:lang w:val="en-US"/>
        </w:rPr>
        <w:t>to the detriment of the</w:t>
      </w:r>
      <w:r w:rsidR="00635ACD" w:rsidRPr="00FE7BA7">
        <w:rPr>
          <w:rFonts w:ascii="Verdana" w:hAnsi="Verdana" w:cs="Arial"/>
          <w:sz w:val="20"/>
          <w:szCs w:val="20"/>
          <w:lang w:val="en-US"/>
        </w:rPr>
        <w:t xml:space="preserve"> </w:t>
      </w:r>
      <w:r w:rsidR="004C7D14" w:rsidRPr="00FE7BA7">
        <w:rPr>
          <w:rFonts w:ascii="Verdana" w:hAnsi="Verdana" w:cs="Arial"/>
          <w:sz w:val="20"/>
          <w:szCs w:val="20"/>
          <w:lang w:val="en-US"/>
        </w:rPr>
        <w:t>Kaliña and Lokono peoples</w:t>
      </w:r>
      <w:r w:rsidR="00FC1FCF" w:rsidRPr="00FE7BA7">
        <w:rPr>
          <w:rFonts w:ascii="Verdana" w:hAnsi="Verdana" w:cs="Arial"/>
          <w:sz w:val="20"/>
          <w:szCs w:val="20"/>
          <w:lang w:val="en-US"/>
        </w:rPr>
        <w:t xml:space="preserve">, </w:t>
      </w:r>
      <w:r w:rsidR="00DB712A" w:rsidRPr="00FE7BA7">
        <w:rPr>
          <w:rFonts w:ascii="Verdana" w:hAnsi="Verdana" w:cs="Arial"/>
          <w:sz w:val="20"/>
          <w:szCs w:val="20"/>
          <w:lang w:val="en-US"/>
        </w:rPr>
        <w:t xml:space="preserve">by failing </w:t>
      </w:r>
      <w:r w:rsidR="005530FA">
        <w:rPr>
          <w:rFonts w:ascii="Verdana" w:hAnsi="Verdana" w:cs="Arial"/>
          <w:sz w:val="20"/>
          <w:szCs w:val="20"/>
          <w:lang w:val="en-US"/>
        </w:rPr>
        <w:t>to</w:t>
      </w:r>
      <w:r w:rsidR="00DB712A" w:rsidRPr="00FE7BA7">
        <w:rPr>
          <w:rFonts w:ascii="Verdana" w:hAnsi="Verdana" w:cs="Arial"/>
          <w:sz w:val="20"/>
          <w:szCs w:val="20"/>
          <w:lang w:val="en-US"/>
        </w:rPr>
        <w:t xml:space="preserve"> adopt effective measures to recognize their right to collective ownership of the </w:t>
      </w:r>
      <w:r w:rsidR="00804BD4" w:rsidRPr="00FE7BA7">
        <w:rPr>
          <w:rFonts w:ascii="Verdana" w:hAnsi="Verdana" w:cs="Arial"/>
          <w:sz w:val="20"/>
          <w:szCs w:val="20"/>
          <w:lang w:val="en-US"/>
        </w:rPr>
        <w:t>lands</w:t>
      </w:r>
      <w:r w:rsidR="00FC1FCF" w:rsidRPr="00FE7BA7">
        <w:rPr>
          <w:rFonts w:ascii="Verdana" w:hAnsi="Verdana" w:cs="Arial"/>
          <w:sz w:val="20"/>
          <w:szCs w:val="20"/>
          <w:lang w:val="en-US"/>
        </w:rPr>
        <w:t xml:space="preserve">, </w:t>
      </w:r>
      <w:r w:rsidR="00804BD4" w:rsidRPr="00FE7BA7">
        <w:rPr>
          <w:rFonts w:ascii="Verdana" w:hAnsi="Verdana" w:cs="Arial"/>
          <w:sz w:val="20"/>
          <w:szCs w:val="20"/>
          <w:lang w:val="en-US"/>
        </w:rPr>
        <w:t>territories</w:t>
      </w:r>
      <w:r w:rsidRPr="00FE7BA7">
        <w:rPr>
          <w:rFonts w:ascii="Verdana" w:hAnsi="Verdana" w:cs="Arial"/>
          <w:sz w:val="20"/>
          <w:szCs w:val="20"/>
          <w:lang w:val="en-US"/>
        </w:rPr>
        <w:t xml:space="preserve"> and </w:t>
      </w:r>
      <w:r w:rsidR="000D23A0" w:rsidRPr="00FE7BA7">
        <w:rPr>
          <w:rFonts w:ascii="Verdana" w:hAnsi="Verdana" w:cs="Arial"/>
          <w:sz w:val="20"/>
          <w:szCs w:val="20"/>
          <w:lang w:val="en-US"/>
        </w:rPr>
        <w:t>natural resources</w:t>
      </w:r>
      <w:r w:rsidR="00FC1FCF" w:rsidRPr="00FE7BA7">
        <w:rPr>
          <w:rFonts w:ascii="Verdana" w:hAnsi="Verdana" w:cs="Arial"/>
          <w:sz w:val="20"/>
          <w:szCs w:val="20"/>
          <w:lang w:val="en-US"/>
        </w:rPr>
        <w:t xml:space="preserve"> </w:t>
      </w:r>
      <w:r w:rsidR="00DB712A" w:rsidRPr="00FE7BA7">
        <w:rPr>
          <w:rFonts w:ascii="Verdana" w:hAnsi="Verdana" w:cs="Arial"/>
          <w:sz w:val="20"/>
          <w:szCs w:val="20"/>
          <w:lang w:val="en-US"/>
        </w:rPr>
        <w:t>that they had traditionally and ancestrally occupied and used.</w:t>
      </w:r>
      <w:r w:rsidR="00FC1FCF" w:rsidRPr="00FE7BA7">
        <w:rPr>
          <w:rFonts w:ascii="Verdana" w:hAnsi="Verdana" w:cs="Arial"/>
          <w:sz w:val="20"/>
          <w:szCs w:val="20"/>
          <w:lang w:val="en-US"/>
        </w:rPr>
        <w:t xml:space="preserve"> </w:t>
      </w:r>
      <w:r w:rsidR="00DB712A" w:rsidRPr="00FE7BA7">
        <w:rPr>
          <w:rFonts w:ascii="Verdana" w:hAnsi="Verdana" w:cs="Arial"/>
          <w:sz w:val="20"/>
          <w:szCs w:val="20"/>
          <w:lang w:val="en-US"/>
        </w:rPr>
        <w:t xml:space="preserve">Added to this, </w:t>
      </w:r>
      <w:r w:rsidRPr="00FE7BA7">
        <w:rPr>
          <w:rFonts w:ascii="Verdana" w:hAnsi="Verdana"/>
          <w:sz w:val="20"/>
          <w:szCs w:val="20"/>
          <w:lang w:val="en-US"/>
        </w:rPr>
        <w:t>the Commission</w:t>
      </w:r>
      <w:r w:rsidR="00FC1FCF" w:rsidRPr="00FE7BA7">
        <w:rPr>
          <w:rFonts w:ascii="Verdana" w:hAnsi="Verdana"/>
          <w:sz w:val="20"/>
          <w:szCs w:val="20"/>
          <w:lang w:val="en-US"/>
        </w:rPr>
        <w:t xml:space="preserve"> </w:t>
      </w:r>
      <w:r w:rsidR="00DB712A" w:rsidRPr="00FE7BA7">
        <w:rPr>
          <w:rFonts w:ascii="Verdana" w:hAnsi="Verdana"/>
          <w:sz w:val="20"/>
          <w:szCs w:val="20"/>
          <w:lang w:val="en-US"/>
        </w:rPr>
        <w:t xml:space="preserve">argued that </w:t>
      </w:r>
      <w:r w:rsidRPr="00FE7BA7">
        <w:rPr>
          <w:rFonts w:ascii="Verdana" w:hAnsi="Verdana"/>
          <w:sz w:val="20"/>
          <w:szCs w:val="20"/>
          <w:lang w:val="en-US"/>
        </w:rPr>
        <w:t>the State</w:t>
      </w:r>
      <w:r w:rsidR="00FC1FCF" w:rsidRPr="00FE7BA7">
        <w:rPr>
          <w:rFonts w:ascii="Verdana" w:hAnsi="Verdana"/>
          <w:sz w:val="20"/>
          <w:szCs w:val="20"/>
          <w:lang w:val="en-US"/>
        </w:rPr>
        <w:t xml:space="preserve"> </w:t>
      </w:r>
      <w:r w:rsidR="00DB712A" w:rsidRPr="00FE7BA7">
        <w:rPr>
          <w:rFonts w:ascii="Verdana" w:hAnsi="Verdana"/>
          <w:sz w:val="20"/>
          <w:szCs w:val="20"/>
          <w:lang w:val="en-US"/>
        </w:rPr>
        <w:t xml:space="preserve">had </w:t>
      </w:r>
      <w:r w:rsidR="00773D70" w:rsidRPr="00FE7BA7">
        <w:rPr>
          <w:rFonts w:ascii="Verdana" w:hAnsi="Verdana"/>
          <w:sz w:val="20"/>
          <w:szCs w:val="20"/>
          <w:lang w:val="en-US"/>
        </w:rPr>
        <w:t xml:space="preserve">violated </w:t>
      </w:r>
      <w:r w:rsidR="00635A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DB712A" w:rsidRPr="00FE7BA7">
        <w:rPr>
          <w:rFonts w:ascii="Verdana" w:hAnsi="Verdana"/>
          <w:sz w:val="20"/>
          <w:szCs w:val="20"/>
          <w:lang w:val="en-US"/>
        </w:rPr>
        <w:t>’ right to property</w:t>
      </w:r>
      <w:r w:rsidR="00FE4FBA" w:rsidRPr="00FE7BA7">
        <w:rPr>
          <w:rFonts w:ascii="Verdana" w:hAnsi="Verdana"/>
          <w:sz w:val="20"/>
          <w:szCs w:val="20"/>
          <w:lang w:val="en-US"/>
        </w:rPr>
        <w:t xml:space="preserve"> </w:t>
      </w:r>
      <w:r w:rsidR="00DB712A" w:rsidRPr="00FE7BA7">
        <w:rPr>
          <w:rFonts w:ascii="Verdana" w:hAnsi="Verdana"/>
          <w:sz w:val="20"/>
          <w:szCs w:val="20"/>
          <w:lang w:val="en-US"/>
        </w:rPr>
        <w:t>by</w:t>
      </w:r>
      <w:r w:rsidR="00FC1FCF" w:rsidRPr="00FE7BA7">
        <w:rPr>
          <w:rFonts w:ascii="Verdana" w:hAnsi="Verdana"/>
          <w:sz w:val="20"/>
          <w:szCs w:val="20"/>
          <w:lang w:val="en-US"/>
        </w:rPr>
        <w:t xml:space="preserve">: </w:t>
      </w:r>
      <w:r w:rsidR="00DB712A" w:rsidRPr="00FE7BA7">
        <w:rPr>
          <w:rFonts w:ascii="Verdana" w:hAnsi="Verdana"/>
          <w:sz w:val="20"/>
          <w:szCs w:val="20"/>
          <w:lang w:val="en-US"/>
        </w:rPr>
        <w:t>(</w:t>
      </w:r>
      <w:r w:rsidR="00FC1FCF" w:rsidRPr="00FE7BA7">
        <w:rPr>
          <w:rFonts w:ascii="Verdana" w:hAnsi="Verdana"/>
          <w:sz w:val="20"/>
          <w:szCs w:val="20"/>
          <w:lang w:val="en-US"/>
        </w:rPr>
        <w:t xml:space="preserve">i) </w:t>
      </w:r>
      <w:r w:rsidR="00DB712A" w:rsidRPr="00FE7BA7">
        <w:rPr>
          <w:rFonts w:ascii="Verdana" w:hAnsi="Verdana"/>
          <w:sz w:val="20"/>
          <w:szCs w:val="20"/>
          <w:lang w:val="en-US"/>
        </w:rPr>
        <w:t xml:space="preserve">granting property titles to </w:t>
      </w:r>
      <w:r w:rsidR="000E16B8" w:rsidRPr="00FE7BA7">
        <w:rPr>
          <w:rFonts w:ascii="Verdana" w:hAnsi="Verdana"/>
          <w:sz w:val="20"/>
          <w:szCs w:val="20"/>
          <w:lang w:val="en-US"/>
        </w:rPr>
        <w:t>non-indigenous persons</w:t>
      </w:r>
      <w:r w:rsidR="00FC1FCF" w:rsidRPr="00FE7BA7">
        <w:rPr>
          <w:rFonts w:ascii="Verdana" w:hAnsi="Verdana"/>
          <w:sz w:val="20"/>
          <w:szCs w:val="20"/>
          <w:lang w:val="en-US"/>
        </w:rPr>
        <w:t xml:space="preserve"> </w:t>
      </w:r>
      <w:r w:rsidR="00DB712A" w:rsidRPr="00FE7BA7">
        <w:rPr>
          <w:rFonts w:ascii="Verdana" w:hAnsi="Verdana"/>
          <w:sz w:val="20"/>
          <w:szCs w:val="20"/>
          <w:lang w:val="en-US"/>
        </w:rPr>
        <w:t xml:space="preserve">within their </w:t>
      </w:r>
      <w:r w:rsidR="00FD14B3" w:rsidRPr="00FE7BA7">
        <w:rPr>
          <w:rFonts w:ascii="Verdana" w:hAnsi="Verdana"/>
          <w:sz w:val="20"/>
          <w:szCs w:val="20"/>
          <w:lang w:val="en-US"/>
        </w:rPr>
        <w:t>traditional territory</w:t>
      </w:r>
      <w:r w:rsidR="00FC1FCF" w:rsidRPr="00FE7BA7">
        <w:rPr>
          <w:rFonts w:ascii="Verdana" w:hAnsi="Verdana"/>
          <w:sz w:val="20"/>
          <w:szCs w:val="20"/>
          <w:lang w:val="en-US"/>
        </w:rPr>
        <w:t>;</w:t>
      </w:r>
      <w:r w:rsidR="005530FA">
        <w:rPr>
          <w:rFonts w:ascii="Verdana" w:hAnsi="Verdana"/>
          <w:sz w:val="20"/>
          <w:szCs w:val="20"/>
          <w:lang w:val="en-US"/>
        </w:rPr>
        <w:t xml:space="preserve"> </w:t>
      </w:r>
      <w:r w:rsidR="00DB712A" w:rsidRPr="00FE7BA7">
        <w:rPr>
          <w:rFonts w:ascii="Verdana" w:hAnsi="Verdana"/>
          <w:sz w:val="20"/>
          <w:szCs w:val="20"/>
          <w:lang w:val="en-US"/>
        </w:rPr>
        <w:t>(</w:t>
      </w:r>
      <w:r w:rsidR="00FC1FCF" w:rsidRPr="00FE7BA7">
        <w:rPr>
          <w:rFonts w:ascii="Verdana" w:hAnsi="Verdana"/>
          <w:sz w:val="20"/>
          <w:szCs w:val="20"/>
          <w:lang w:val="en-US"/>
        </w:rPr>
        <w:t xml:space="preserve">ii) </w:t>
      </w:r>
      <w:r w:rsidR="00DB712A" w:rsidRPr="00FE7BA7">
        <w:rPr>
          <w:rFonts w:ascii="Verdana" w:hAnsi="Verdana"/>
          <w:sz w:val="20"/>
          <w:szCs w:val="20"/>
          <w:lang w:val="en-US"/>
        </w:rPr>
        <w:t xml:space="preserve">establishing and maintaining the </w:t>
      </w:r>
      <w:r w:rsidR="00FC1FCF" w:rsidRPr="00FE7BA7">
        <w:rPr>
          <w:rFonts w:ascii="Verdana" w:hAnsi="Verdana"/>
          <w:sz w:val="20"/>
          <w:szCs w:val="20"/>
          <w:lang w:val="en-US"/>
        </w:rPr>
        <w:t>Wia Wia, Galibi</w:t>
      </w:r>
      <w:r w:rsidRPr="00FE7BA7">
        <w:rPr>
          <w:rFonts w:ascii="Verdana" w:hAnsi="Verdana"/>
          <w:sz w:val="20"/>
          <w:szCs w:val="20"/>
          <w:lang w:val="en-US"/>
        </w:rPr>
        <w:t xml:space="preserve"> and </w:t>
      </w:r>
      <w:r w:rsidR="00FC1FCF" w:rsidRPr="00FE7BA7">
        <w:rPr>
          <w:rFonts w:ascii="Verdana" w:hAnsi="Verdana"/>
          <w:sz w:val="20"/>
          <w:szCs w:val="20"/>
          <w:lang w:val="en-US"/>
        </w:rPr>
        <w:t>Wane Kreek</w:t>
      </w:r>
      <w:r w:rsidR="00DB712A" w:rsidRPr="00FE7BA7">
        <w:rPr>
          <w:rFonts w:ascii="Verdana" w:hAnsi="Verdana"/>
          <w:sz w:val="20"/>
          <w:szCs w:val="20"/>
          <w:lang w:val="en-US"/>
        </w:rPr>
        <w:t xml:space="preserve"> Nature Reserves</w:t>
      </w:r>
      <w:r w:rsidR="00FC1FCF" w:rsidRPr="00FE7BA7">
        <w:rPr>
          <w:rFonts w:ascii="Verdana" w:hAnsi="Verdana"/>
          <w:sz w:val="20"/>
          <w:szCs w:val="20"/>
          <w:lang w:val="en-US"/>
        </w:rPr>
        <w:t>,</w:t>
      </w:r>
      <w:r w:rsidRPr="00FE7BA7">
        <w:rPr>
          <w:rFonts w:ascii="Verdana" w:hAnsi="Verdana"/>
          <w:sz w:val="20"/>
          <w:szCs w:val="20"/>
          <w:lang w:val="en-US"/>
        </w:rPr>
        <w:t xml:space="preserve"> and </w:t>
      </w:r>
      <w:r w:rsidR="00DB712A" w:rsidRPr="00FE7BA7">
        <w:rPr>
          <w:rFonts w:ascii="Verdana" w:hAnsi="Verdana"/>
          <w:sz w:val="20"/>
          <w:szCs w:val="20"/>
          <w:lang w:val="en-US"/>
        </w:rPr>
        <w:t>(</w:t>
      </w:r>
      <w:r w:rsidR="00FC1FCF" w:rsidRPr="00FE7BA7">
        <w:rPr>
          <w:rFonts w:ascii="Verdana" w:hAnsi="Verdana"/>
          <w:sz w:val="20"/>
          <w:szCs w:val="20"/>
          <w:lang w:val="en-US"/>
        </w:rPr>
        <w:t xml:space="preserve">iii) </w:t>
      </w:r>
      <w:r w:rsidR="00DB712A" w:rsidRPr="00FE7BA7">
        <w:rPr>
          <w:rFonts w:ascii="Verdana" w:hAnsi="Verdana"/>
          <w:sz w:val="20"/>
          <w:szCs w:val="20"/>
          <w:lang w:val="en-US"/>
        </w:rPr>
        <w:t xml:space="preserve">granting a mining concessions and authorizing mining </w:t>
      </w:r>
      <w:r w:rsidR="005530FA">
        <w:rPr>
          <w:rFonts w:ascii="Verdana" w:hAnsi="Verdana"/>
          <w:sz w:val="20"/>
          <w:szCs w:val="20"/>
          <w:lang w:val="en-US"/>
        </w:rPr>
        <w:t>operations</w:t>
      </w:r>
      <w:r w:rsidR="00DB712A" w:rsidRPr="00FE7BA7">
        <w:rPr>
          <w:rFonts w:ascii="Verdana" w:hAnsi="Verdana"/>
          <w:sz w:val="20"/>
          <w:szCs w:val="20"/>
          <w:lang w:val="en-US"/>
        </w:rPr>
        <w:t xml:space="preserve"> within their </w:t>
      </w:r>
      <w:r w:rsidR="00FD14B3" w:rsidRPr="00FE7BA7">
        <w:rPr>
          <w:rFonts w:ascii="Verdana" w:hAnsi="Verdana"/>
          <w:sz w:val="20"/>
          <w:szCs w:val="20"/>
          <w:lang w:val="en-US"/>
        </w:rPr>
        <w:t>traditional territory</w:t>
      </w:r>
      <w:r w:rsidR="00FC1FCF" w:rsidRPr="00FE7BA7">
        <w:rPr>
          <w:rFonts w:ascii="Verdana" w:hAnsi="Verdana"/>
          <w:sz w:val="20"/>
          <w:szCs w:val="20"/>
          <w:lang w:val="en-US"/>
        </w:rPr>
        <w:t xml:space="preserve">, </w:t>
      </w:r>
      <w:r w:rsidR="00DB712A" w:rsidRPr="00FE7BA7">
        <w:rPr>
          <w:rFonts w:ascii="Verdana" w:hAnsi="Verdana"/>
          <w:sz w:val="20"/>
          <w:szCs w:val="20"/>
          <w:lang w:val="en-US"/>
        </w:rPr>
        <w:t xml:space="preserve">all without conducting a prior, free and informed consultation process in accordance with the </w:t>
      </w:r>
      <w:r w:rsidR="00F46731">
        <w:rPr>
          <w:rFonts w:ascii="Verdana" w:hAnsi="Verdana"/>
          <w:sz w:val="20"/>
          <w:szCs w:val="20"/>
          <w:lang w:val="en-US"/>
        </w:rPr>
        <w:t>Inter-</w:t>
      </w:r>
      <w:r w:rsidR="00DB712A" w:rsidRPr="00FE7BA7">
        <w:rPr>
          <w:rFonts w:ascii="Verdana" w:hAnsi="Verdana"/>
          <w:sz w:val="20"/>
          <w:szCs w:val="20"/>
          <w:lang w:val="en-US"/>
        </w:rPr>
        <w:t xml:space="preserve">American standards, without a social and </w:t>
      </w:r>
      <w:r w:rsidR="00890830" w:rsidRPr="00FE7BA7">
        <w:rPr>
          <w:rFonts w:ascii="Verdana" w:hAnsi="Verdana"/>
          <w:sz w:val="20"/>
          <w:szCs w:val="20"/>
          <w:lang w:val="en-US"/>
        </w:rPr>
        <w:t>environmental impact assessment</w:t>
      </w:r>
      <w:r w:rsidR="006740C0" w:rsidRPr="00FE7BA7">
        <w:rPr>
          <w:rFonts w:ascii="Verdana" w:hAnsi="Verdana"/>
          <w:sz w:val="20"/>
          <w:szCs w:val="20"/>
          <w:lang w:val="en-US"/>
        </w:rPr>
        <w:t>,</w:t>
      </w:r>
      <w:r w:rsidRPr="00FE7BA7">
        <w:rPr>
          <w:rFonts w:ascii="Verdana" w:hAnsi="Verdana"/>
          <w:sz w:val="20"/>
          <w:szCs w:val="20"/>
          <w:lang w:val="en-US"/>
        </w:rPr>
        <w:t xml:space="preserve"> and </w:t>
      </w:r>
      <w:r w:rsidR="00DB712A" w:rsidRPr="00FE7BA7">
        <w:rPr>
          <w:rFonts w:ascii="Verdana" w:hAnsi="Verdana"/>
          <w:sz w:val="20"/>
          <w:szCs w:val="20"/>
          <w:lang w:val="en-US"/>
        </w:rPr>
        <w:t>without granting them a reasonable share of the benefi</w:t>
      </w:r>
      <w:r w:rsidR="00CE0693">
        <w:rPr>
          <w:rFonts w:ascii="Verdana" w:hAnsi="Verdana"/>
          <w:sz w:val="20"/>
          <w:szCs w:val="20"/>
          <w:lang w:val="en-US"/>
        </w:rPr>
        <w:t>ts derived from the concession.</w:t>
      </w:r>
    </w:p>
    <w:p w14:paraId="6312693E" w14:textId="77777777" w:rsidR="00FC1FCF" w:rsidRPr="00FE7BA7" w:rsidRDefault="00FC1FCF" w:rsidP="00FC1FCF">
      <w:pPr>
        <w:pStyle w:val="ListParagraph"/>
        <w:ind w:left="0"/>
        <w:jc w:val="both"/>
        <w:rPr>
          <w:rFonts w:ascii="Verdana" w:hAnsi="Verdana"/>
          <w:sz w:val="20"/>
          <w:szCs w:val="20"/>
          <w:lang w:val="en-US"/>
        </w:rPr>
      </w:pPr>
    </w:p>
    <w:p w14:paraId="6312693F" w14:textId="7806A73B" w:rsidR="00FC1FCF" w:rsidRPr="00FE7BA7" w:rsidRDefault="00DB712A"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w:t>
      </w:r>
      <w:r w:rsidR="00FC1FCF" w:rsidRPr="00FE7BA7">
        <w:rPr>
          <w:rFonts w:ascii="Verdana" w:hAnsi="Verdana"/>
          <w:sz w:val="20"/>
          <w:szCs w:val="20"/>
          <w:lang w:val="en-US"/>
        </w:rPr>
        <w:t xml:space="preserve">n particular, </w:t>
      </w:r>
      <w:r w:rsidR="002B5CCD" w:rsidRPr="00FE7BA7">
        <w:rPr>
          <w:rFonts w:ascii="Verdana" w:hAnsi="Verdana"/>
          <w:sz w:val="20"/>
          <w:szCs w:val="20"/>
          <w:lang w:val="en-US"/>
        </w:rPr>
        <w:t>the</w:t>
      </w:r>
      <w:r w:rsidR="00AC7E4B">
        <w:rPr>
          <w:rFonts w:ascii="Verdana" w:hAnsi="Verdana"/>
          <w:sz w:val="20"/>
          <w:szCs w:val="20"/>
          <w:lang w:val="en-US"/>
        </w:rPr>
        <w:t xml:space="preserve"> </w:t>
      </w:r>
      <w:r w:rsidR="002B5CCD" w:rsidRPr="00AC7E4B">
        <w:rPr>
          <w:rFonts w:ascii="Verdana" w:hAnsi="Verdana"/>
          <w:sz w:val="20"/>
          <w:szCs w:val="20"/>
          <w:lang w:val="en-US"/>
        </w:rPr>
        <w:t>Commission</w:t>
      </w:r>
      <w:r w:rsidR="00FC1FCF" w:rsidRPr="00AC7E4B">
        <w:rPr>
          <w:rFonts w:ascii="Verdana" w:hAnsi="Verdana"/>
          <w:sz w:val="20"/>
          <w:szCs w:val="20"/>
          <w:lang w:val="en-US"/>
        </w:rPr>
        <w:t xml:space="preserve"> </w:t>
      </w:r>
      <w:r w:rsidR="00FC1FCF" w:rsidRPr="00FE7BA7">
        <w:rPr>
          <w:rFonts w:ascii="Verdana" w:hAnsi="Verdana"/>
          <w:sz w:val="20"/>
          <w:szCs w:val="20"/>
          <w:lang w:val="en-US"/>
        </w:rPr>
        <w:t>a</w:t>
      </w:r>
      <w:r w:rsidR="005530FA">
        <w:rPr>
          <w:rFonts w:ascii="Verdana" w:hAnsi="Verdana"/>
          <w:sz w:val="20"/>
          <w:szCs w:val="20"/>
          <w:lang w:val="en-US"/>
        </w:rPr>
        <w:t>rgued that the continued</w:t>
      </w:r>
      <w:r w:rsidRPr="00FE7BA7">
        <w:rPr>
          <w:rFonts w:ascii="Verdana" w:hAnsi="Verdana"/>
          <w:sz w:val="20"/>
          <w:szCs w:val="20"/>
          <w:lang w:val="en-US"/>
        </w:rPr>
        <w:t xml:space="preserve"> granting of titles to non-indigenous third parties has meant that the rights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remain </w:t>
      </w:r>
      <w:r w:rsidRPr="00FE7BA7">
        <w:rPr>
          <w:rFonts w:ascii="Verdana" w:hAnsi="Verdana"/>
          <w:sz w:val="20"/>
          <w:szCs w:val="20"/>
          <w:lang w:val="en-US"/>
        </w:rPr>
        <w:lastRenderedPageBreak/>
        <w:t xml:space="preserve">unprotected. It also asserted that some of the third parties had obtained court rulings in favor of their property rights, thus excluding the rights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CE0693">
        <w:rPr>
          <w:rFonts w:ascii="Verdana" w:hAnsi="Verdana"/>
          <w:sz w:val="20"/>
          <w:szCs w:val="20"/>
          <w:lang w:val="en-US"/>
        </w:rPr>
        <w:t xml:space="preserve">. </w:t>
      </w:r>
      <w:r w:rsidRPr="00FE7BA7">
        <w:rPr>
          <w:rFonts w:ascii="Verdana" w:hAnsi="Verdana"/>
          <w:sz w:val="20"/>
          <w:szCs w:val="20"/>
          <w:lang w:val="en-US"/>
        </w:rPr>
        <w:t xml:space="preserve">Regarding the nature reserves, </w:t>
      </w:r>
      <w:r w:rsidR="002B5CCD" w:rsidRPr="00FE7BA7">
        <w:rPr>
          <w:rFonts w:ascii="Verdana" w:hAnsi="Verdana"/>
          <w:sz w:val="20"/>
          <w:szCs w:val="20"/>
          <w:lang w:val="en-US"/>
        </w:rPr>
        <w:t>the Commission</w:t>
      </w:r>
      <w:r w:rsidR="00FC1FCF" w:rsidRPr="00FE7BA7">
        <w:rPr>
          <w:rFonts w:ascii="Verdana" w:hAnsi="Verdana"/>
          <w:sz w:val="20"/>
          <w:szCs w:val="20"/>
          <w:lang w:val="en-US"/>
        </w:rPr>
        <w:t xml:space="preserve"> </w:t>
      </w:r>
      <w:r w:rsidRPr="00FE7BA7">
        <w:rPr>
          <w:rFonts w:ascii="Verdana" w:hAnsi="Verdana"/>
          <w:sz w:val="20"/>
          <w:szCs w:val="20"/>
          <w:lang w:val="en-US"/>
        </w:rPr>
        <w:t>affirmed that there was no rational connection between the prote</w:t>
      </w:r>
      <w:r w:rsidR="00CE0693">
        <w:rPr>
          <w:rFonts w:ascii="Verdana" w:hAnsi="Verdana"/>
          <w:sz w:val="20"/>
          <w:szCs w:val="20"/>
          <w:lang w:val="en-US"/>
        </w:rPr>
        <w:t>ction of the environment and restrictions on</w:t>
      </w:r>
      <w:r w:rsidRPr="00FE7BA7">
        <w:rPr>
          <w:rFonts w:ascii="Verdana" w:hAnsi="Verdana"/>
          <w:sz w:val="20"/>
          <w:szCs w:val="20"/>
          <w:lang w:val="en-US"/>
        </w:rPr>
        <w:t xml:space="preserve"> the use and enjoyment of the </w:t>
      </w:r>
      <w:r w:rsidR="00804BD4" w:rsidRPr="00FE7BA7">
        <w:rPr>
          <w:rFonts w:ascii="Verdana" w:hAnsi="Verdana"/>
          <w:sz w:val="20"/>
          <w:szCs w:val="20"/>
          <w:lang w:val="en-US"/>
        </w:rPr>
        <w:t>territories</w:t>
      </w:r>
      <w:r w:rsidR="002B5CCD" w:rsidRPr="00FE7BA7">
        <w:rPr>
          <w:rFonts w:ascii="Verdana" w:hAnsi="Verdana"/>
          <w:sz w:val="20"/>
          <w:szCs w:val="20"/>
          <w:lang w:val="en-US"/>
        </w:rPr>
        <w:t xml:space="preserve"> and </w:t>
      </w:r>
      <w:r w:rsidRPr="00FE7BA7">
        <w:rPr>
          <w:rFonts w:ascii="Verdana" w:hAnsi="Verdana"/>
          <w:sz w:val="20"/>
          <w:szCs w:val="20"/>
          <w:lang w:val="en-US"/>
        </w:rPr>
        <w:t>resources by indigenous pe</w:t>
      </w:r>
      <w:r w:rsidR="00CE0693">
        <w:rPr>
          <w:rFonts w:ascii="Verdana" w:hAnsi="Verdana"/>
          <w:sz w:val="20"/>
          <w:szCs w:val="20"/>
          <w:lang w:val="en-US"/>
        </w:rPr>
        <w:t>oples, because the latter contribute</w:t>
      </w:r>
      <w:r w:rsidR="005530FA">
        <w:rPr>
          <w:rFonts w:ascii="Verdana" w:hAnsi="Verdana"/>
          <w:sz w:val="20"/>
          <w:szCs w:val="20"/>
          <w:lang w:val="en-US"/>
        </w:rPr>
        <w:t>d</w:t>
      </w:r>
      <w:r w:rsidRPr="00FE7BA7">
        <w:rPr>
          <w:rFonts w:ascii="Verdana" w:hAnsi="Verdana"/>
          <w:sz w:val="20"/>
          <w:szCs w:val="20"/>
          <w:lang w:val="en-US"/>
        </w:rPr>
        <w:t xml:space="preserve"> to </w:t>
      </w:r>
      <w:r w:rsidR="005530FA">
        <w:rPr>
          <w:rFonts w:ascii="Verdana" w:hAnsi="Verdana"/>
          <w:sz w:val="20"/>
          <w:szCs w:val="20"/>
          <w:lang w:val="en-US"/>
        </w:rPr>
        <w:t>its</w:t>
      </w:r>
      <w:r w:rsidRPr="00FE7BA7">
        <w:rPr>
          <w:rFonts w:ascii="Verdana" w:hAnsi="Verdana"/>
          <w:sz w:val="20"/>
          <w:szCs w:val="20"/>
          <w:lang w:val="en-US"/>
        </w:rPr>
        <w:t xml:space="preserve"> protection. </w:t>
      </w:r>
      <w:r w:rsidR="00CE0693">
        <w:rPr>
          <w:rFonts w:ascii="Verdana" w:hAnsi="Verdana"/>
          <w:sz w:val="20"/>
          <w:szCs w:val="20"/>
          <w:lang w:val="en-US"/>
        </w:rPr>
        <w:t>The</w:t>
      </w:r>
      <w:r w:rsidR="002B5CCD" w:rsidRPr="00FE7BA7">
        <w:rPr>
          <w:rFonts w:ascii="Verdana" w:hAnsi="Verdana"/>
          <w:sz w:val="20"/>
          <w:szCs w:val="20"/>
          <w:lang w:val="en-US"/>
        </w:rPr>
        <w:t xml:space="preserve"> Commission</w:t>
      </w:r>
      <w:r w:rsidR="00FC1FCF" w:rsidRPr="00FE7BA7">
        <w:rPr>
          <w:rFonts w:ascii="Verdana" w:hAnsi="Verdana"/>
          <w:sz w:val="20"/>
          <w:szCs w:val="20"/>
          <w:lang w:val="en-US"/>
        </w:rPr>
        <w:t xml:space="preserve"> </w:t>
      </w:r>
      <w:r w:rsidR="00CE0693">
        <w:rPr>
          <w:rFonts w:ascii="Verdana" w:hAnsi="Verdana"/>
          <w:sz w:val="20"/>
          <w:szCs w:val="20"/>
          <w:lang w:val="en-US"/>
        </w:rPr>
        <w:t xml:space="preserve">also </w:t>
      </w:r>
      <w:r w:rsidRPr="00FE7BA7">
        <w:rPr>
          <w:rFonts w:ascii="Verdana" w:hAnsi="Verdana"/>
          <w:sz w:val="20"/>
          <w:szCs w:val="20"/>
          <w:lang w:val="en-US"/>
        </w:rPr>
        <w:t xml:space="preserve">underlined the need to </w:t>
      </w:r>
      <w:r w:rsidR="00CE0693">
        <w:rPr>
          <w:rFonts w:ascii="Verdana" w:hAnsi="Verdana"/>
          <w:sz w:val="20"/>
          <w:szCs w:val="20"/>
          <w:lang w:val="en-US"/>
        </w:rPr>
        <w:t>initiate</w:t>
      </w:r>
      <w:r w:rsidRPr="00FE7BA7">
        <w:rPr>
          <w:rFonts w:ascii="Verdana" w:hAnsi="Verdana"/>
          <w:sz w:val="20"/>
          <w:szCs w:val="20"/>
          <w:lang w:val="en-US"/>
        </w:rPr>
        <w:t xml:space="preserve"> a free and informed </w:t>
      </w:r>
      <w:r w:rsidR="00BE4D11" w:rsidRPr="00FE7BA7">
        <w:rPr>
          <w:rFonts w:ascii="Verdana" w:hAnsi="Verdana"/>
          <w:sz w:val="20"/>
          <w:szCs w:val="20"/>
          <w:lang w:val="en-US"/>
        </w:rPr>
        <w:t xml:space="preserve">consultation </w:t>
      </w:r>
      <w:r w:rsidRPr="00FE7BA7">
        <w:rPr>
          <w:rFonts w:ascii="Verdana" w:hAnsi="Verdana"/>
          <w:sz w:val="20"/>
          <w:szCs w:val="20"/>
          <w:lang w:val="en-US"/>
        </w:rPr>
        <w:t xml:space="preserve">with the communities to discuss the possibility of eliminating the reserves or retaining them under a </w:t>
      </w:r>
      <w:r w:rsidR="00CE0693">
        <w:rPr>
          <w:rFonts w:ascii="Verdana" w:hAnsi="Verdana"/>
          <w:sz w:val="20"/>
          <w:szCs w:val="20"/>
          <w:lang w:val="en-US"/>
        </w:rPr>
        <w:t>co-</w:t>
      </w:r>
      <w:r w:rsidRPr="00FE7BA7">
        <w:rPr>
          <w:rFonts w:ascii="Verdana" w:hAnsi="Verdana"/>
          <w:sz w:val="20"/>
          <w:szCs w:val="20"/>
          <w:lang w:val="en-US"/>
        </w:rPr>
        <w:t>management model that incorporated the full participation</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Pr="00FE7BA7">
        <w:rPr>
          <w:rFonts w:ascii="Verdana" w:hAnsi="Verdana"/>
          <w:sz w:val="20"/>
          <w:szCs w:val="20"/>
          <w:lang w:val="en-US"/>
        </w:rPr>
        <w:t>.</w:t>
      </w:r>
      <w:r w:rsidR="00FC1FCF" w:rsidRPr="00FE7BA7">
        <w:rPr>
          <w:rFonts w:ascii="Verdana" w:hAnsi="Verdana"/>
          <w:sz w:val="20"/>
          <w:szCs w:val="20"/>
          <w:lang w:val="en-US"/>
        </w:rPr>
        <w:t xml:space="preserve"> </w:t>
      </w:r>
      <w:r w:rsidRPr="00FE7BA7">
        <w:rPr>
          <w:rFonts w:ascii="Verdana" w:hAnsi="Verdana"/>
          <w:sz w:val="20"/>
          <w:szCs w:val="20"/>
          <w:lang w:val="en-US"/>
        </w:rPr>
        <w:t xml:space="preserve">With regard to the mining concessions, </w:t>
      </w:r>
      <w:r w:rsidR="002B5CCD" w:rsidRPr="00FE7BA7">
        <w:rPr>
          <w:rFonts w:ascii="Verdana" w:hAnsi="Verdana"/>
          <w:sz w:val="20"/>
          <w:szCs w:val="20"/>
          <w:lang w:val="en-US"/>
        </w:rPr>
        <w:t>the Commission</w:t>
      </w:r>
      <w:r w:rsidR="00FC1FCF" w:rsidRPr="00FE7BA7">
        <w:rPr>
          <w:rFonts w:ascii="Verdana" w:hAnsi="Verdana"/>
          <w:sz w:val="20"/>
          <w:szCs w:val="20"/>
          <w:lang w:val="en-US"/>
        </w:rPr>
        <w:t xml:space="preserve"> </w:t>
      </w:r>
      <w:r w:rsidRPr="00FE7BA7">
        <w:rPr>
          <w:rFonts w:ascii="Verdana" w:hAnsi="Verdana"/>
          <w:sz w:val="20"/>
          <w:szCs w:val="20"/>
          <w:lang w:val="en-US"/>
        </w:rPr>
        <w:t xml:space="preserve">indicated that the State had not consulted the communities affected when the mining </w:t>
      </w:r>
      <w:r w:rsidR="005530FA">
        <w:rPr>
          <w:rFonts w:ascii="Verdana" w:hAnsi="Verdana"/>
          <w:sz w:val="20"/>
          <w:szCs w:val="20"/>
          <w:lang w:val="en-US"/>
        </w:rPr>
        <w:t>operations</w:t>
      </w:r>
      <w:r w:rsidR="00CE0693">
        <w:rPr>
          <w:rFonts w:ascii="Verdana" w:hAnsi="Verdana"/>
          <w:sz w:val="20"/>
          <w:szCs w:val="20"/>
          <w:lang w:val="en-US"/>
        </w:rPr>
        <w:t xml:space="preserve"> were planned or commenced</w:t>
      </w:r>
      <w:r w:rsidRPr="00FE7BA7">
        <w:rPr>
          <w:rFonts w:ascii="Verdana" w:hAnsi="Verdana"/>
          <w:sz w:val="20"/>
          <w:szCs w:val="20"/>
          <w:lang w:val="en-US"/>
        </w:rPr>
        <w:t xml:space="preserve">, and </w:t>
      </w:r>
      <w:r w:rsidR="00CE0693">
        <w:rPr>
          <w:rFonts w:ascii="Verdana" w:hAnsi="Verdana"/>
          <w:sz w:val="20"/>
          <w:szCs w:val="20"/>
          <w:lang w:val="en-US"/>
        </w:rPr>
        <w:t xml:space="preserve">had </w:t>
      </w:r>
      <w:r w:rsidRPr="00FE7BA7">
        <w:rPr>
          <w:rFonts w:ascii="Verdana" w:hAnsi="Verdana"/>
          <w:sz w:val="20"/>
          <w:szCs w:val="20"/>
          <w:lang w:val="en-US"/>
        </w:rPr>
        <w:t>failed to include any type of protection for</w:t>
      </w:r>
      <w:r w:rsidR="00FC1FCF" w:rsidRPr="00FE7BA7">
        <w:rPr>
          <w:rFonts w:ascii="Verdana" w:hAnsi="Verdana"/>
          <w:sz w:val="20"/>
          <w:szCs w:val="20"/>
          <w:lang w:val="en-US"/>
        </w:rPr>
        <w:t xml:space="preserve"> </w:t>
      </w:r>
      <w:r w:rsidR="00BD40EF" w:rsidRPr="00FE7BA7">
        <w:rPr>
          <w:rFonts w:ascii="Verdana" w:hAnsi="Verdana"/>
          <w:sz w:val="20"/>
          <w:szCs w:val="20"/>
          <w:lang w:val="en-US"/>
        </w:rPr>
        <w:t>the indigenous peoples</w:t>
      </w:r>
      <w:r w:rsidR="00FC1FCF" w:rsidRPr="00FE7BA7">
        <w:rPr>
          <w:rFonts w:ascii="Verdana" w:hAnsi="Verdana"/>
          <w:sz w:val="20"/>
          <w:szCs w:val="20"/>
          <w:lang w:val="en-US"/>
        </w:rPr>
        <w:t>. A</w:t>
      </w:r>
      <w:r w:rsidRPr="00FE7BA7">
        <w:rPr>
          <w:rFonts w:ascii="Verdana" w:hAnsi="Verdana"/>
          <w:sz w:val="20"/>
          <w:szCs w:val="20"/>
          <w:lang w:val="en-US"/>
        </w:rPr>
        <w:t>lso, the concessi</w:t>
      </w:r>
      <w:r w:rsidR="00CE0693">
        <w:rPr>
          <w:rFonts w:ascii="Verdana" w:hAnsi="Verdana"/>
          <w:sz w:val="20"/>
          <w:szCs w:val="20"/>
          <w:lang w:val="en-US"/>
        </w:rPr>
        <w:t xml:space="preserve">ons had adversely affected </w:t>
      </w:r>
      <w:r w:rsidRPr="00FE7BA7">
        <w:rPr>
          <w:rFonts w:ascii="Verdana" w:hAnsi="Verdana"/>
          <w:sz w:val="20"/>
          <w:szCs w:val="20"/>
          <w:lang w:val="en-US"/>
        </w:rPr>
        <w:t xml:space="preserve">activities in the </w:t>
      </w:r>
      <w:r w:rsidR="00FD14B3" w:rsidRPr="00FE7BA7">
        <w:rPr>
          <w:rFonts w:ascii="Verdana" w:hAnsi="Verdana"/>
          <w:sz w:val="20"/>
          <w:szCs w:val="20"/>
          <w:lang w:val="en-US"/>
        </w:rPr>
        <w:t>traditional territory</w:t>
      </w:r>
      <w:r w:rsidR="00635ACD" w:rsidRPr="00FE7BA7">
        <w:rPr>
          <w:rFonts w:ascii="Verdana" w:hAnsi="Verdana"/>
          <w:sz w:val="20"/>
          <w:szCs w:val="20"/>
          <w:lang w:val="en-US"/>
        </w:rPr>
        <w:t xml:space="preserve"> of the </w:t>
      </w:r>
      <w:r w:rsidR="00CE0693">
        <w:rPr>
          <w:rFonts w:ascii="Verdana" w:hAnsi="Verdana"/>
          <w:sz w:val="20"/>
          <w:szCs w:val="20"/>
          <w:lang w:val="en-US"/>
        </w:rPr>
        <w:t>Kaliña and Lokono peoples</w:t>
      </w:r>
      <w:r w:rsidR="00FC1FCF" w:rsidRPr="00FE7BA7">
        <w:rPr>
          <w:rFonts w:ascii="Verdana" w:hAnsi="Verdana"/>
          <w:sz w:val="20"/>
          <w:szCs w:val="20"/>
          <w:lang w:val="en-US"/>
        </w:rPr>
        <w:t xml:space="preserve"> </w:t>
      </w:r>
      <w:r w:rsidR="005530FA">
        <w:rPr>
          <w:rFonts w:ascii="Verdana" w:hAnsi="Verdana"/>
          <w:sz w:val="20"/>
          <w:szCs w:val="20"/>
          <w:lang w:val="en-US"/>
        </w:rPr>
        <w:t>by</w:t>
      </w:r>
      <w:r w:rsidR="00CE0693">
        <w:rPr>
          <w:rFonts w:ascii="Verdana" w:hAnsi="Verdana"/>
          <w:sz w:val="20"/>
          <w:szCs w:val="20"/>
          <w:lang w:val="en-US"/>
        </w:rPr>
        <w:t xml:space="preserve"> </w:t>
      </w:r>
      <w:r w:rsidRPr="00FE7BA7">
        <w:rPr>
          <w:rFonts w:ascii="Verdana" w:hAnsi="Verdana"/>
          <w:sz w:val="20"/>
          <w:szCs w:val="20"/>
          <w:lang w:val="en-US"/>
        </w:rPr>
        <w:t>contamina</w:t>
      </w:r>
      <w:r w:rsidR="00CE0693">
        <w:rPr>
          <w:rFonts w:ascii="Verdana" w:hAnsi="Verdana"/>
          <w:sz w:val="20"/>
          <w:szCs w:val="20"/>
          <w:lang w:val="en-US"/>
        </w:rPr>
        <w:t>tion of</w:t>
      </w:r>
      <w:r w:rsidR="005530FA">
        <w:rPr>
          <w:rFonts w:ascii="Verdana" w:hAnsi="Verdana"/>
          <w:sz w:val="20"/>
          <w:szCs w:val="20"/>
          <w:lang w:val="en-US"/>
        </w:rPr>
        <w:t xml:space="preserve"> </w:t>
      </w:r>
      <w:r w:rsidRPr="00FE7BA7">
        <w:rPr>
          <w:rFonts w:ascii="Verdana" w:hAnsi="Verdana"/>
          <w:sz w:val="20"/>
          <w:szCs w:val="20"/>
          <w:lang w:val="en-US"/>
        </w:rPr>
        <w:t xml:space="preserve">resources, </w:t>
      </w:r>
      <w:r w:rsidR="00CE0693" w:rsidRPr="00FE7BA7">
        <w:rPr>
          <w:rFonts w:ascii="Verdana" w:hAnsi="Verdana"/>
          <w:sz w:val="20"/>
          <w:szCs w:val="20"/>
          <w:lang w:val="en-US"/>
        </w:rPr>
        <w:t>deforestation</w:t>
      </w:r>
      <w:r w:rsidR="005530FA">
        <w:rPr>
          <w:rFonts w:ascii="Verdana" w:hAnsi="Verdana"/>
          <w:sz w:val="20"/>
          <w:szCs w:val="20"/>
          <w:lang w:val="en-US"/>
        </w:rPr>
        <w:t>,</w:t>
      </w:r>
      <w:r w:rsidR="00CE0693" w:rsidRPr="00FE7BA7">
        <w:rPr>
          <w:rFonts w:ascii="Verdana" w:hAnsi="Verdana"/>
          <w:sz w:val="20"/>
          <w:szCs w:val="20"/>
          <w:lang w:val="en-US"/>
        </w:rPr>
        <w:t xml:space="preserve"> and habitat destruction</w:t>
      </w:r>
      <w:r w:rsidR="00CE0693">
        <w:rPr>
          <w:rFonts w:ascii="Verdana" w:hAnsi="Verdana"/>
          <w:sz w:val="20"/>
          <w:szCs w:val="20"/>
          <w:lang w:val="en-US"/>
        </w:rPr>
        <w:t>, which had result in</w:t>
      </w:r>
      <w:r w:rsidR="00CE0693" w:rsidRPr="00FE7BA7">
        <w:rPr>
          <w:rFonts w:ascii="Verdana" w:hAnsi="Verdana"/>
          <w:sz w:val="20"/>
          <w:szCs w:val="20"/>
          <w:lang w:val="en-US"/>
        </w:rPr>
        <w:t xml:space="preserve"> </w:t>
      </w:r>
      <w:r w:rsidRPr="00FE7BA7">
        <w:rPr>
          <w:rFonts w:ascii="Verdana" w:hAnsi="Verdana"/>
          <w:sz w:val="20"/>
          <w:szCs w:val="20"/>
          <w:lang w:val="en-US"/>
        </w:rPr>
        <w:t>the d</w:t>
      </w:r>
      <w:r w:rsidR="00CE0693">
        <w:rPr>
          <w:rFonts w:ascii="Verdana" w:hAnsi="Verdana"/>
          <w:sz w:val="20"/>
          <w:szCs w:val="20"/>
          <w:lang w:val="en-US"/>
        </w:rPr>
        <w:t>ecline of the wildlife they hunted</w:t>
      </w:r>
      <w:r w:rsidRPr="00FE7BA7">
        <w:rPr>
          <w:rFonts w:ascii="Verdana" w:hAnsi="Verdana"/>
          <w:sz w:val="20"/>
          <w:szCs w:val="20"/>
          <w:lang w:val="en-US"/>
        </w:rPr>
        <w:t>.</w:t>
      </w:r>
    </w:p>
    <w:p w14:paraId="63126940" w14:textId="77777777" w:rsidR="00FC1FCF" w:rsidRPr="00FE7BA7" w:rsidRDefault="00FC1FCF" w:rsidP="00FC1FCF">
      <w:pPr>
        <w:pStyle w:val="ListParagraph"/>
        <w:ind w:left="0"/>
        <w:jc w:val="both"/>
        <w:rPr>
          <w:rFonts w:ascii="Verdana" w:hAnsi="Verdana"/>
          <w:sz w:val="20"/>
          <w:szCs w:val="20"/>
          <w:lang w:val="en-US"/>
        </w:rPr>
      </w:pPr>
    </w:p>
    <w:p w14:paraId="63126941" w14:textId="234C66A6" w:rsidR="00FC1FCF" w:rsidRPr="00EC45EE" w:rsidRDefault="00810FAD" w:rsidP="00DB712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FC1FCF" w:rsidRPr="00FE7BA7">
        <w:rPr>
          <w:rFonts w:ascii="Verdana" w:hAnsi="Verdana"/>
          <w:sz w:val="20"/>
          <w:szCs w:val="20"/>
          <w:lang w:val="en-US"/>
        </w:rPr>
        <w:t xml:space="preserve"> </w:t>
      </w:r>
      <w:r w:rsidR="00DB712A" w:rsidRPr="00FE7BA7">
        <w:rPr>
          <w:rFonts w:ascii="Verdana" w:hAnsi="Verdana"/>
          <w:sz w:val="20"/>
          <w:szCs w:val="20"/>
          <w:lang w:val="en-US"/>
        </w:rPr>
        <w:t xml:space="preserve">agreed with </w:t>
      </w:r>
      <w:r w:rsidR="002B5CCD" w:rsidRPr="00FE7BA7">
        <w:rPr>
          <w:rFonts w:ascii="Verdana" w:hAnsi="Verdana"/>
          <w:sz w:val="20"/>
          <w:szCs w:val="20"/>
          <w:lang w:val="en-US"/>
        </w:rPr>
        <w:t>the Commission</w:t>
      </w:r>
      <w:r w:rsidR="00FC1FCF" w:rsidRPr="00FE7BA7">
        <w:rPr>
          <w:rFonts w:ascii="Verdana" w:hAnsi="Verdana"/>
          <w:sz w:val="20"/>
          <w:szCs w:val="20"/>
          <w:lang w:val="en-US"/>
        </w:rPr>
        <w:t xml:space="preserve"> </w:t>
      </w:r>
      <w:r w:rsidR="00DB712A" w:rsidRPr="00FE7BA7">
        <w:rPr>
          <w:rFonts w:ascii="Verdana" w:hAnsi="Verdana"/>
          <w:sz w:val="20"/>
          <w:szCs w:val="20"/>
          <w:lang w:val="en-US"/>
        </w:rPr>
        <w:t xml:space="preserve">that the State had not recognized or guaranteed the right </w:t>
      </w:r>
      <w:r w:rsidR="00BD40EF" w:rsidRPr="00FE7BA7">
        <w:rPr>
          <w:rFonts w:ascii="Verdana" w:hAnsi="Verdana"/>
          <w:sz w:val="20"/>
          <w:szCs w:val="20"/>
          <w:lang w:val="en-US"/>
        </w:rPr>
        <w:t>of the indigenous peoples</w:t>
      </w:r>
      <w:r w:rsidR="00FC1FCF" w:rsidRPr="00FE7BA7">
        <w:rPr>
          <w:rFonts w:ascii="Verdana" w:hAnsi="Verdana"/>
          <w:sz w:val="20"/>
          <w:szCs w:val="20"/>
          <w:lang w:val="en-US"/>
        </w:rPr>
        <w:t xml:space="preserve"> </w:t>
      </w:r>
      <w:r w:rsidR="00DB712A" w:rsidRPr="00FE7BA7">
        <w:rPr>
          <w:rFonts w:ascii="Verdana" w:hAnsi="Verdana"/>
          <w:sz w:val="20"/>
          <w:szCs w:val="20"/>
          <w:lang w:val="en-US"/>
        </w:rPr>
        <w:t>to collective property. They also indicated that</w:t>
      </w:r>
      <w:r w:rsidR="00CE0693">
        <w:rPr>
          <w:rFonts w:ascii="Verdana" w:hAnsi="Verdana"/>
          <w:sz w:val="20"/>
          <w:szCs w:val="20"/>
          <w:lang w:val="en-US"/>
        </w:rPr>
        <w:t xml:space="preserve"> Suriname’s acts and omissions we</w:t>
      </w:r>
      <w:r w:rsidR="00DB712A" w:rsidRPr="00FE7BA7">
        <w:rPr>
          <w:rFonts w:ascii="Verdana" w:hAnsi="Verdana"/>
          <w:sz w:val="20"/>
          <w:szCs w:val="20"/>
          <w:lang w:val="en-US"/>
        </w:rPr>
        <w:t xml:space="preserve">re </w:t>
      </w:r>
      <w:r w:rsidR="004D5C60">
        <w:rPr>
          <w:rFonts w:ascii="Verdana" w:hAnsi="Verdana"/>
          <w:sz w:val="20"/>
          <w:szCs w:val="20"/>
          <w:lang w:val="en-US"/>
        </w:rPr>
        <w:t xml:space="preserve">all the more egregious given </w:t>
      </w:r>
      <w:r w:rsidR="00DB712A" w:rsidRPr="00FE7BA7">
        <w:rPr>
          <w:rFonts w:ascii="Verdana" w:hAnsi="Verdana"/>
          <w:sz w:val="20"/>
          <w:szCs w:val="20"/>
          <w:lang w:val="en-US"/>
        </w:rPr>
        <w:t xml:space="preserve">the relationship between the recognition, guarantee and protection of the right to property and the victims’ survival and well-being, as well as respect for other interrelated and interdependent rights. They added that, by failing to </w:t>
      </w:r>
      <w:r w:rsidR="00DB712A" w:rsidRPr="00EC45EE">
        <w:rPr>
          <w:rFonts w:ascii="Verdana" w:hAnsi="Verdana"/>
          <w:sz w:val="20"/>
          <w:szCs w:val="20"/>
          <w:lang w:val="en-US"/>
        </w:rPr>
        <w:t xml:space="preserve">recognize and </w:t>
      </w:r>
      <w:r w:rsidR="004D5C60" w:rsidRPr="00EC45EE">
        <w:rPr>
          <w:rFonts w:ascii="Verdana" w:hAnsi="Verdana"/>
          <w:sz w:val="20"/>
          <w:szCs w:val="20"/>
          <w:lang w:val="en-US"/>
        </w:rPr>
        <w:t>secure</w:t>
      </w:r>
      <w:r w:rsidR="00DB712A" w:rsidRPr="00EC45EE">
        <w:rPr>
          <w:rFonts w:ascii="Verdana" w:hAnsi="Verdana"/>
          <w:sz w:val="20"/>
          <w:szCs w:val="20"/>
          <w:lang w:val="en-US"/>
        </w:rPr>
        <w:t xml:space="preserve"> the </w:t>
      </w:r>
      <w:r w:rsidR="004D5C60" w:rsidRPr="00EC45EE">
        <w:rPr>
          <w:rFonts w:ascii="Verdana" w:hAnsi="Verdana"/>
          <w:sz w:val="20"/>
          <w:szCs w:val="20"/>
          <w:lang w:val="en-US"/>
        </w:rPr>
        <w:t xml:space="preserve">rights 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4D5C60" w:rsidRPr="00EC45EE">
        <w:rPr>
          <w:rFonts w:ascii="Verdana" w:hAnsi="Verdana"/>
          <w:sz w:val="20"/>
          <w:szCs w:val="20"/>
          <w:lang w:val="en-US"/>
        </w:rPr>
        <w:t>victims</w:t>
      </w:r>
      <w:r w:rsidR="00DB712A" w:rsidRPr="00EC45EE">
        <w:rPr>
          <w:rFonts w:ascii="Verdana" w:hAnsi="Verdana"/>
          <w:sz w:val="20"/>
          <w:szCs w:val="20"/>
          <w:lang w:val="en-US"/>
        </w:rPr>
        <w:t xml:space="preserve"> to their territory, Suriname </w:t>
      </w:r>
      <w:r w:rsidR="004D5C60" w:rsidRPr="00EC45EE">
        <w:rPr>
          <w:rFonts w:ascii="Verdana" w:hAnsi="Verdana"/>
          <w:sz w:val="20"/>
          <w:szCs w:val="20"/>
          <w:lang w:val="en-US"/>
        </w:rPr>
        <w:t xml:space="preserve">had </w:t>
      </w:r>
      <w:r w:rsidR="00773D70" w:rsidRPr="00EC45EE">
        <w:rPr>
          <w:rFonts w:ascii="Verdana" w:hAnsi="Verdana"/>
          <w:sz w:val="20"/>
          <w:szCs w:val="20"/>
          <w:lang w:val="en-US"/>
        </w:rPr>
        <w:t>violated the right to</w:t>
      </w:r>
      <w:r w:rsidR="00FC1FCF" w:rsidRPr="00EC45EE">
        <w:rPr>
          <w:rFonts w:ascii="Verdana" w:hAnsi="Verdana"/>
          <w:sz w:val="20"/>
          <w:szCs w:val="20"/>
          <w:lang w:val="en-US"/>
        </w:rPr>
        <w:t xml:space="preserve"> </w:t>
      </w:r>
      <w:r w:rsidR="00DB712A" w:rsidRPr="00EC45EE">
        <w:rPr>
          <w:rFonts w:ascii="Verdana" w:hAnsi="Verdana"/>
          <w:sz w:val="20"/>
          <w:szCs w:val="20"/>
          <w:lang w:val="en-US"/>
        </w:rPr>
        <w:t xml:space="preserve">property </w:t>
      </w:r>
      <w:r w:rsidR="00635ACD" w:rsidRPr="00EC45EE">
        <w:rPr>
          <w:rFonts w:ascii="Verdana" w:hAnsi="Verdana"/>
          <w:sz w:val="20"/>
          <w:szCs w:val="20"/>
          <w:lang w:val="en-US"/>
        </w:rPr>
        <w:t xml:space="preserve">of the </w:t>
      </w:r>
      <w:r w:rsidR="004C7D14" w:rsidRPr="00EC45EE">
        <w:rPr>
          <w:rFonts w:ascii="Verdana" w:hAnsi="Verdana"/>
          <w:sz w:val="20"/>
          <w:szCs w:val="20"/>
          <w:lang w:val="en-US"/>
        </w:rPr>
        <w:t>Kaliña and Lokono peoples</w:t>
      </w:r>
      <w:r w:rsidR="004D5C60" w:rsidRPr="00EC45EE">
        <w:rPr>
          <w:rFonts w:ascii="Verdana" w:hAnsi="Verdana"/>
          <w:sz w:val="20"/>
          <w:szCs w:val="20"/>
          <w:lang w:val="en-US"/>
        </w:rPr>
        <w:t>, allocating areas</w:t>
      </w:r>
      <w:r w:rsidR="00DB712A" w:rsidRPr="00EC45EE">
        <w:rPr>
          <w:rFonts w:ascii="Verdana" w:hAnsi="Verdana"/>
          <w:sz w:val="20"/>
          <w:szCs w:val="20"/>
          <w:lang w:val="en-US"/>
        </w:rPr>
        <w:t xml:space="preserve"> of th</w:t>
      </w:r>
      <w:r w:rsidR="004D5C60" w:rsidRPr="00EC45EE">
        <w:rPr>
          <w:rFonts w:ascii="Verdana" w:hAnsi="Verdana"/>
          <w:sz w:val="20"/>
          <w:szCs w:val="20"/>
          <w:lang w:val="en-US"/>
        </w:rPr>
        <w:t>e lands to third parties and issuing</w:t>
      </w:r>
      <w:r w:rsidR="00DB712A" w:rsidRPr="00EC45EE">
        <w:rPr>
          <w:rFonts w:ascii="Verdana" w:hAnsi="Verdana"/>
          <w:sz w:val="20"/>
          <w:szCs w:val="20"/>
          <w:lang w:val="en-US"/>
        </w:rPr>
        <w:t xml:space="preserve"> individual titles in four of the</w:t>
      </w:r>
      <w:r w:rsidR="004D5C60" w:rsidRPr="00EC45EE">
        <w:rPr>
          <w:rFonts w:ascii="Verdana" w:hAnsi="Verdana"/>
          <w:sz w:val="20"/>
          <w:szCs w:val="20"/>
          <w:lang w:val="en-US"/>
        </w:rPr>
        <w:t xml:space="preserve"> victims’</w:t>
      </w:r>
      <w:r w:rsidR="00DB712A" w:rsidRPr="00EC45EE">
        <w:rPr>
          <w:rFonts w:ascii="Verdana" w:hAnsi="Verdana"/>
          <w:sz w:val="20"/>
          <w:szCs w:val="20"/>
          <w:lang w:val="en-US"/>
        </w:rPr>
        <w:t xml:space="preserve"> </w:t>
      </w:r>
      <w:r w:rsidR="00FE7BA7" w:rsidRPr="00EC45EE">
        <w:rPr>
          <w:rFonts w:ascii="Verdana" w:hAnsi="Verdana"/>
          <w:sz w:val="20"/>
          <w:szCs w:val="20"/>
          <w:lang w:val="en-US"/>
        </w:rPr>
        <w:t>communities</w:t>
      </w:r>
      <w:r w:rsidR="00DB712A" w:rsidRPr="00EC45EE">
        <w:rPr>
          <w:rFonts w:ascii="Verdana" w:hAnsi="Verdana"/>
          <w:sz w:val="20"/>
          <w:szCs w:val="20"/>
          <w:lang w:val="en-US"/>
        </w:rPr>
        <w:t xml:space="preserve"> </w:t>
      </w:r>
      <w:r w:rsidR="00FC1FCF" w:rsidRPr="00EC45EE">
        <w:rPr>
          <w:rFonts w:ascii="Verdana" w:hAnsi="Verdana"/>
          <w:sz w:val="20"/>
          <w:szCs w:val="20"/>
          <w:lang w:val="en-US"/>
        </w:rPr>
        <w:t>(Erowarte, Tapuku, Pierrekondre</w:t>
      </w:r>
      <w:r w:rsidR="002B5CCD" w:rsidRPr="00EC45EE">
        <w:rPr>
          <w:rFonts w:ascii="Verdana" w:hAnsi="Verdana"/>
          <w:sz w:val="20"/>
          <w:szCs w:val="20"/>
          <w:lang w:val="en-US"/>
        </w:rPr>
        <w:t xml:space="preserve"> and </w:t>
      </w:r>
      <w:r w:rsidR="00F1174A" w:rsidRPr="00EC45EE">
        <w:rPr>
          <w:rFonts w:ascii="Verdana" w:hAnsi="Verdana"/>
          <w:sz w:val="20"/>
          <w:szCs w:val="20"/>
          <w:lang w:val="en-US"/>
        </w:rPr>
        <w:t xml:space="preserve">Marijkedorp </w:t>
      </w:r>
      <w:r w:rsidR="00C55822">
        <w:rPr>
          <w:rFonts w:ascii="Verdana" w:hAnsi="Verdana"/>
          <w:sz w:val="20"/>
          <w:szCs w:val="20"/>
          <w:lang w:val="en-US"/>
        </w:rPr>
        <w:t>[</w:t>
      </w:r>
      <w:r w:rsidR="00F1174A" w:rsidRPr="00EC45EE">
        <w:rPr>
          <w:rFonts w:ascii="Verdana" w:hAnsi="Verdana"/>
          <w:sz w:val="20"/>
          <w:szCs w:val="20"/>
          <w:lang w:val="en-US"/>
        </w:rPr>
        <w:t>Wan Shi Sha</w:t>
      </w:r>
      <w:r w:rsidR="00C55822">
        <w:rPr>
          <w:rFonts w:ascii="Verdana" w:hAnsi="Verdana"/>
          <w:sz w:val="20"/>
          <w:szCs w:val="20"/>
          <w:lang w:val="en-US"/>
        </w:rPr>
        <w:t>]</w:t>
      </w:r>
      <w:r w:rsidR="005311C4">
        <w:rPr>
          <w:rFonts w:ascii="Verdana" w:hAnsi="Verdana"/>
          <w:sz w:val="20"/>
          <w:szCs w:val="20"/>
          <w:lang w:val="en-US"/>
        </w:rPr>
        <w:t>)</w:t>
      </w:r>
      <w:r w:rsidR="00FC1FCF" w:rsidRPr="00EC45EE">
        <w:rPr>
          <w:rFonts w:ascii="Verdana" w:hAnsi="Verdana"/>
          <w:sz w:val="20"/>
          <w:szCs w:val="20"/>
          <w:lang w:val="en-US"/>
        </w:rPr>
        <w:t xml:space="preserve">; </w:t>
      </w:r>
      <w:r w:rsidR="004D5C60" w:rsidRPr="00EC45EE">
        <w:rPr>
          <w:rFonts w:ascii="Verdana" w:hAnsi="Verdana"/>
          <w:sz w:val="20"/>
          <w:szCs w:val="20"/>
          <w:lang w:val="en-US"/>
        </w:rPr>
        <w:t>establishing</w:t>
      </w:r>
      <w:r w:rsidR="00DB712A" w:rsidRPr="00EC45EE">
        <w:rPr>
          <w:rFonts w:ascii="Verdana" w:hAnsi="Verdana"/>
          <w:sz w:val="20"/>
          <w:szCs w:val="20"/>
          <w:lang w:val="en-US"/>
        </w:rPr>
        <w:t xml:space="preserve"> nature reserves in th</w:t>
      </w:r>
      <w:r w:rsidR="004D5C60" w:rsidRPr="00EC45EE">
        <w:rPr>
          <w:rFonts w:ascii="Verdana" w:hAnsi="Verdana"/>
          <w:sz w:val="20"/>
          <w:szCs w:val="20"/>
          <w:lang w:val="en-US"/>
        </w:rPr>
        <w:t>eir territory, and</w:t>
      </w:r>
      <w:r w:rsidR="00DB712A" w:rsidRPr="00EC45EE">
        <w:rPr>
          <w:rFonts w:ascii="Verdana" w:hAnsi="Verdana"/>
          <w:sz w:val="20"/>
          <w:szCs w:val="20"/>
          <w:lang w:val="en-US"/>
        </w:rPr>
        <w:t xml:space="preserve"> unilateral</w:t>
      </w:r>
      <w:r w:rsidR="004D5C60" w:rsidRPr="00EC45EE">
        <w:rPr>
          <w:rFonts w:ascii="Verdana" w:hAnsi="Verdana"/>
          <w:sz w:val="20"/>
          <w:szCs w:val="20"/>
          <w:lang w:val="en-US"/>
        </w:rPr>
        <w:t>ly</w:t>
      </w:r>
      <w:r w:rsidR="00DB712A" w:rsidRPr="00EC45EE">
        <w:rPr>
          <w:rFonts w:ascii="Verdana" w:hAnsi="Verdana"/>
          <w:sz w:val="20"/>
          <w:szCs w:val="20"/>
          <w:lang w:val="en-US"/>
        </w:rPr>
        <w:t xml:space="preserve"> </w:t>
      </w:r>
      <w:r w:rsidR="004D5C60" w:rsidRPr="00EC45EE">
        <w:rPr>
          <w:rFonts w:ascii="Verdana" w:hAnsi="Verdana"/>
          <w:sz w:val="20"/>
          <w:szCs w:val="20"/>
          <w:lang w:val="en-US"/>
        </w:rPr>
        <w:t xml:space="preserve">granting </w:t>
      </w:r>
      <w:r w:rsidR="00DB712A" w:rsidRPr="00EC45EE">
        <w:rPr>
          <w:rFonts w:ascii="Verdana" w:hAnsi="Verdana"/>
          <w:sz w:val="20"/>
          <w:szCs w:val="20"/>
          <w:lang w:val="en-US"/>
        </w:rPr>
        <w:t>concessions to exploit the natural resources</w:t>
      </w:r>
      <w:r w:rsidR="004D5C60" w:rsidRPr="00EC45EE">
        <w:rPr>
          <w:rFonts w:ascii="Verdana" w:hAnsi="Verdana"/>
          <w:sz w:val="20"/>
          <w:szCs w:val="20"/>
          <w:lang w:val="en-US"/>
        </w:rPr>
        <w:t>.</w:t>
      </w:r>
    </w:p>
    <w:p w14:paraId="63126942" w14:textId="77777777" w:rsidR="00FC1FCF" w:rsidRPr="00EC45EE" w:rsidRDefault="00FC1FCF" w:rsidP="00FC1FCF">
      <w:pPr>
        <w:pStyle w:val="ListParagraph"/>
        <w:ind w:left="0"/>
        <w:jc w:val="both"/>
        <w:rPr>
          <w:rFonts w:ascii="Verdana" w:hAnsi="Verdana"/>
          <w:sz w:val="20"/>
          <w:szCs w:val="20"/>
          <w:lang w:val="en-US"/>
        </w:rPr>
      </w:pPr>
    </w:p>
    <w:p w14:paraId="63126943" w14:textId="66515CAE" w:rsidR="00FC1FCF" w:rsidRPr="00EC45EE" w:rsidRDefault="00DB712A" w:rsidP="00FC1FCF">
      <w:pPr>
        <w:pStyle w:val="ListParagraph"/>
        <w:numPr>
          <w:ilvl w:val="0"/>
          <w:numId w:val="2"/>
        </w:numPr>
        <w:ind w:left="0" w:hanging="11"/>
        <w:jc w:val="both"/>
        <w:rPr>
          <w:rFonts w:ascii="Verdana" w:hAnsi="Verdana"/>
          <w:sz w:val="20"/>
          <w:szCs w:val="20"/>
          <w:lang w:val="en-US"/>
        </w:rPr>
      </w:pPr>
      <w:r w:rsidRPr="00EC45EE">
        <w:rPr>
          <w:rFonts w:ascii="Verdana" w:hAnsi="Verdana"/>
          <w:sz w:val="20"/>
          <w:szCs w:val="20"/>
          <w:lang w:val="en-US"/>
        </w:rPr>
        <w:t>I</w:t>
      </w:r>
      <w:r w:rsidR="00FC1FCF" w:rsidRPr="00EC45EE">
        <w:rPr>
          <w:rFonts w:ascii="Verdana" w:hAnsi="Verdana"/>
          <w:sz w:val="20"/>
          <w:szCs w:val="20"/>
          <w:lang w:val="en-US"/>
        </w:rPr>
        <w:t xml:space="preserve">n particular, </w:t>
      </w:r>
      <w:r w:rsidR="00810FAD" w:rsidRPr="00EC45EE">
        <w:rPr>
          <w:rFonts w:ascii="Verdana" w:hAnsi="Verdana"/>
          <w:sz w:val="20"/>
          <w:szCs w:val="20"/>
          <w:lang w:val="en-US"/>
        </w:rPr>
        <w:t xml:space="preserve">the </w:t>
      </w:r>
      <w:r w:rsidR="00810FAD" w:rsidRPr="00AC7E4B">
        <w:rPr>
          <w:rFonts w:ascii="Verdana" w:hAnsi="Verdana"/>
          <w:sz w:val="20"/>
          <w:szCs w:val="20"/>
          <w:lang w:val="en-US"/>
        </w:rPr>
        <w:t>representatives</w:t>
      </w:r>
      <w:r w:rsidR="00FC1FCF" w:rsidRPr="006C38D5">
        <w:rPr>
          <w:rFonts w:ascii="Verdana" w:hAnsi="Verdana"/>
          <w:sz w:val="20"/>
          <w:szCs w:val="20"/>
          <w:lang w:val="en-US"/>
        </w:rPr>
        <w:t xml:space="preserve"> </w:t>
      </w:r>
      <w:r w:rsidR="00FC1FCF" w:rsidRPr="00EC45EE">
        <w:rPr>
          <w:rFonts w:ascii="Verdana" w:hAnsi="Verdana"/>
          <w:sz w:val="20"/>
          <w:szCs w:val="20"/>
          <w:lang w:val="en-US"/>
        </w:rPr>
        <w:t>a</w:t>
      </w:r>
      <w:r w:rsidRPr="00EC45EE">
        <w:rPr>
          <w:rFonts w:ascii="Verdana" w:hAnsi="Verdana"/>
          <w:sz w:val="20"/>
          <w:szCs w:val="20"/>
          <w:lang w:val="en-US"/>
        </w:rPr>
        <w:t xml:space="preserve">rgued that granting titles to non-indigenous third parties, despite the objections </w:t>
      </w:r>
      <w:r w:rsidR="00896645" w:rsidRPr="00EC45EE">
        <w:rPr>
          <w:rFonts w:ascii="Verdana" w:hAnsi="Verdana"/>
          <w:sz w:val="20"/>
          <w:szCs w:val="20"/>
          <w:lang w:val="en-US"/>
        </w:rPr>
        <w:t>of the community</w:t>
      </w:r>
      <w:r w:rsidR="00FC1FCF" w:rsidRPr="00EC45EE">
        <w:rPr>
          <w:rFonts w:ascii="Verdana" w:hAnsi="Verdana"/>
          <w:sz w:val="20"/>
          <w:szCs w:val="20"/>
          <w:lang w:val="en-US"/>
        </w:rPr>
        <w:t>, viola</w:t>
      </w:r>
      <w:r w:rsidRPr="00EC45EE">
        <w:rPr>
          <w:rFonts w:ascii="Verdana" w:hAnsi="Verdana"/>
          <w:sz w:val="20"/>
          <w:szCs w:val="20"/>
          <w:lang w:val="en-US"/>
        </w:rPr>
        <w:t xml:space="preserve">ted the State’s obligation to ensure the effective enjoyment of the right to property. Regarding the </w:t>
      </w:r>
      <w:r w:rsidR="00FE7BA7" w:rsidRPr="00EC45EE">
        <w:rPr>
          <w:rFonts w:ascii="Verdana" w:hAnsi="Verdana"/>
          <w:sz w:val="20"/>
          <w:szCs w:val="20"/>
          <w:lang w:val="en-US"/>
        </w:rPr>
        <w:t>nature</w:t>
      </w:r>
      <w:r w:rsidRPr="00EC45EE">
        <w:rPr>
          <w:rFonts w:ascii="Verdana" w:hAnsi="Verdana"/>
          <w:sz w:val="20"/>
          <w:szCs w:val="20"/>
          <w:lang w:val="en-US"/>
        </w:rPr>
        <w:t xml:space="preserve"> reserves, they added that </w:t>
      </w:r>
      <w:r w:rsidR="00FE7BA7" w:rsidRPr="00EC45EE">
        <w:rPr>
          <w:rFonts w:ascii="Verdana" w:hAnsi="Verdana"/>
          <w:sz w:val="20"/>
          <w:szCs w:val="20"/>
          <w:lang w:val="en-US"/>
        </w:rPr>
        <w:t>it</w:t>
      </w:r>
      <w:r w:rsidRPr="00EC45EE">
        <w:rPr>
          <w:rFonts w:ascii="Verdana" w:hAnsi="Verdana"/>
          <w:sz w:val="20"/>
          <w:szCs w:val="20"/>
          <w:lang w:val="en-US"/>
        </w:rPr>
        <w:t xml:space="preserve"> was nei</w:t>
      </w:r>
      <w:r w:rsidR="004D5C60" w:rsidRPr="00EC45EE">
        <w:rPr>
          <w:rFonts w:ascii="Verdana" w:hAnsi="Verdana"/>
          <w:sz w:val="20"/>
          <w:szCs w:val="20"/>
          <w:lang w:val="en-US"/>
        </w:rPr>
        <w:t>ther necessary nor proportionate</w:t>
      </w:r>
      <w:r w:rsidRPr="00EC45EE">
        <w:rPr>
          <w:rFonts w:ascii="Verdana" w:hAnsi="Verdana"/>
          <w:sz w:val="20"/>
          <w:szCs w:val="20"/>
          <w:lang w:val="en-US"/>
        </w:rPr>
        <w:t xml:space="preserve"> to deny </w:t>
      </w:r>
      <w:r w:rsidR="00BD40EF" w:rsidRPr="00EC45EE">
        <w:rPr>
          <w:rFonts w:ascii="Verdana" w:hAnsi="Verdana"/>
          <w:sz w:val="20"/>
          <w:szCs w:val="20"/>
          <w:lang w:val="en-US"/>
        </w:rPr>
        <w:t>the indigenous peoples</w:t>
      </w:r>
      <w:r w:rsidR="00FC1FCF" w:rsidRPr="00EC45EE">
        <w:rPr>
          <w:rFonts w:ascii="Verdana" w:hAnsi="Verdana"/>
          <w:sz w:val="20"/>
          <w:szCs w:val="20"/>
          <w:lang w:val="en-US"/>
        </w:rPr>
        <w:t xml:space="preserve"> </w:t>
      </w:r>
      <w:r w:rsidRPr="00EC45EE">
        <w:rPr>
          <w:rFonts w:ascii="Verdana" w:hAnsi="Verdana"/>
          <w:sz w:val="20"/>
          <w:szCs w:val="20"/>
          <w:lang w:val="en-US"/>
        </w:rPr>
        <w:t>the right to property and other rights within the reserves, bec</w:t>
      </w:r>
      <w:r w:rsidR="004D5C60" w:rsidRPr="00EC45EE">
        <w:rPr>
          <w:rFonts w:ascii="Verdana" w:hAnsi="Verdana"/>
          <w:sz w:val="20"/>
          <w:szCs w:val="20"/>
          <w:lang w:val="en-US"/>
        </w:rPr>
        <w:t>ause conservation objectives could</w:t>
      </w:r>
      <w:r w:rsidRPr="00EC45EE">
        <w:rPr>
          <w:rFonts w:ascii="Verdana" w:hAnsi="Verdana"/>
          <w:sz w:val="20"/>
          <w:szCs w:val="20"/>
          <w:lang w:val="en-US"/>
        </w:rPr>
        <w:t xml:space="preserve"> be achieved using less </w:t>
      </w:r>
      <w:r w:rsidR="004D5C60" w:rsidRPr="00EC45EE">
        <w:rPr>
          <w:rFonts w:ascii="Verdana" w:hAnsi="Verdana"/>
          <w:sz w:val="20"/>
          <w:szCs w:val="20"/>
          <w:lang w:val="en-US"/>
        </w:rPr>
        <w:t>harmful</w:t>
      </w:r>
      <w:r w:rsidRPr="00EC45EE">
        <w:rPr>
          <w:rFonts w:ascii="Verdana" w:hAnsi="Verdana"/>
          <w:sz w:val="20"/>
          <w:szCs w:val="20"/>
          <w:lang w:val="en-US"/>
        </w:rPr>
        <w:t xml:space="preserve"> means. Specifically, they affirmed that the State</w:t>
      </w:r>
      <w:r w:rsidR="004D5C60" w:rsidRPr="00EC45EE">
        <w:rPr>
          <w:rFonts w:ascii="Verdana" w:hAnsi="Verdana"/>
          <w:sz w:val="20"/>
          <w:szCs w:val="20"/>
          <w:lang w:val="en-US"/>
        </w:rPr>
        <w:t xml:space="preserve"> had, on the one hand, </w:t>
      </w:r>
      <w:r w:rsidRPr="00EC45EE">
        <w:rPr>
          <w:rFonts w:ascii="Verdana" w:hAnsi="Verdana"/>
          <w:sz w:val="20"/>
          <w:szCs w:val="20"/>
          <w:lang w:val="en-US"/>
        </w:rPr>
        <w:t>permitted mining</w:t>
      </w:r>
      <w:r w:rsidR="004D5C60" w:rsidRPr="00EC45EE">
        <w:rPr>
          <w:rFonts w:ascii="Verdana" w:hAnsi="Verdana"/>
          <w:sz w:val="20"/>
          <w:szCs w:val="20"/>
          <w:lang w:val="en-US"/>
        </w:rPr>
        <w:t xml:space="preserve"> concessions in nature reserves</w:t>
      </w:r>
      <w:r w:rsidR="006C4E70">
        <w:rPr>
          <w:rFonts w:ascii="Verdana" w:hAnsi="Verdana"/>
          <w:sz w:val="20"/>
          <w:szCs w:val="20"/>
          <w:lang w:val="en-US"/>
        </w:rPr>
        <w:t xml:space="preserve"> </w:t>
      </w:r>
      <w:proofErr w:type="gramStart"/>
      <w:r w:rsidRPr="00EC45EE">
        <w:rPr>
          <w:rFonts w:ascii="Verdana" w:hAnsi="Verdana"/>
          <w:sz w:val="20"/>
          <w:szCs w:val="20"/>
          <w:lang w:val="en-US"/>
        </w:rPr>
        <w:t>while,</w:t>
      </w:r>
      <w:proofErr w:type="gramEnd"/>
      <w:r w:rsidRPr="00EC45EE">
        <w:rPr>
          <w:rFonts w:ascii="Verdana" w:hAnsi="Verdana"/>
          <w:sz w:val="20"/>
          <w:szCs w:val="20"/>
          <w:lang w:val="en-US"/>
        </w:rPr>
        <w:t xml:space="preserve"> on the other</w:t>
      </w:r>
      <w:r w:rsidR="005530FA">
        <w:rPr>
          <w:rFonts w:ascii="Verdana" w:hAnsi="Verdana"/>
          <w:sz w:val="20"/>
          <w:szCs w:val="20"/>
          <w:lang w:val="en-US"/>
        </w:rPr>
        <w:t xml:space="preserve"> hand</w:t>
      </w:r>
      <w:r w:rsidRPr="00EC45EE">
        <w:rPr>
          <w:rFonts w:ascii="Verdana" w:hAnsi="Verdana"/>
          <w:sz w:val="20"/>
          <w:szCs w:val="20"/>
          <w:lang w:val="en-US"/>
        </w:rPr>
        <w:t xml:space="preserve">, it had justified the denial 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Pr="00EC45EE">
        <w:rPr>
          <w:rFonts w:ascii="Verdana" w:hAnsi="Verdana"/>
          <w:sz w:val="20"/>
          <w:szCs w:val="20"/>
          <w:lang w:val="en-US"/>
        </w:rPr>
        <w:t>victims’ rights to hunt and fish.</w:t>
      </w:r>
      <w:r w:rsidR="00FC1FCF" w:rsidRPr="00EC45EE">
        <w:rPr>
          <w:rFonts w:ascii="Verdana" w:hAnsi="Verdana"/>
          <w:sz w:val="20"/>
          <w:szCs w:val="20"/>
          <w:lang w:val="en-US"/>
        </w:rPr>
        <w:t xml:space="preserve"> </w:t>
      </w:r>
      <w:r w:rsidRPr="00EC45EE">
        <w:rPr>
          <w:rFonts w:ascii="Verdana" w:hAnsi="Verdana"/>
          <w:sz w:val="20"/>
          <w:szCs w:val="20"/>
          <w:lang w:val="en-US"/>
        </w:rPr>
        <w:t>The</w:t>
      </w:r>
      <w:r w:rsidR="00810FAD" w:rsidRPr="00EC45EE">
        <w:rPr>
          <w:rFonts w:ascii="Verdana" w:hAnsi="Verdana"/>
          <w:sz w:val="20"/>
          <w:szCs w:val="20"/>
          <w:lang w:val="en-US"/>
        </w:rPr>
        <w:t xml:space="preserve"> representatives</w:t>
      </w:r>
      <w:r w:rsidRPr="00EC45EE">
        <w:rPr>
          <w:rFonts w:ascii="Verdana" w:hAnsi="Verdana"/>
          <w:sz w:val="20"/>
          <w:szCs w:val="20"/>
          <w:lang w:val="en-US"/>
        </w:rPr>
        <w:t xml:space="preserve"> also </w:t>
      </w:r>
      <w:r w:rsidR="00FE7BA7" w:rsidRPr="00EC45EE">
        <w:rPr>
          <w:rFonts w:ascii="Verdana" w:hAnsi="Verdana"/>
          <w:sz w:val="20"/>
          <w:szCs w:val="20"/>
          <w:lang w:val="en-US"/>
        </w:rPr>
        <w:t>indicated that</w:t>
      </w:r>
      <w:r w:rsidR="00FC1FCF" w:rsidRPr="00EC45EE">
        <w:rPr>
          <w:rFonts w:ascii="Verdana" w:hAnsi="Verdana"/>
          <w:sz w:val="20"/>
          <w:szCs w:val="20"/>
          <w:lang w:val="en-US"/>
        </w:rPr>
        <w:t xml:space="preserve"> </w:t>
      </w:r>
      <w:r w:rsidR="002B5CCD" w:rsidRPr="00EC45EE">
        <w:rPr>
          <w:rFonts w:ascii="Verdana" w:hAnsi="Verdana"/>
          <w:sz w:val="20"/>
          <w:szCs w:val="20"/>
          <w:lang w:val="en-US"/>
        </w:rPr>
        <w:t xml:space="preserve">the </w:t>
      </w:r>
      <w:r w:rsidR="004C7D14" w:rsidRPr="00EC45EE">
        <w:rPr>
          <w:rFonts w:ascii="Verdana" w:hAnsi="Verdana"/>
          <w:sz w:val="20"/>
          <w:szCs w:val="20"/>
          <w:lang w:val="en-US"/>
        </w:rPr>
        <w:t>Kaliña and Lokono peoples</w:t>
      </w:r>
      <w:r w:rsidR="006740C0" w:rsidRPr="00EC45EE">
        <w:rPr>
          <w:rFonts w:ascii="Verdana" w:hAnsi="Verdana"/>
          <w:sz w:val="20"/>
          <w:szCs w:val="20"/>
          <w:lang w:val="en-US"/>
        </w:rPr>
        <w:t xml:space="preserve"> </w:t>
      </w:r>
      <w:r w:rsidRPr="00EC45EE">
        <w:rPr>
          <w:rFonts w:ascii="Verdana" w:hAnsi="Verdana"/>
          <w:sz w:val="20"/>
          <w:szCs w:val="20"/>
          <w:lang w:val="en-US"/>
        </w:rPr>
        <w:t>had not been consulted as regard the 1997 process to granting mining permits tha</w:t>
      </w:r>
      <w:r w:rsidR="004D5C60" w:rsidRPr="00EC45EE">
        <w:rPr>
          <w:rFonts w:ascii="Verdana" w:hAnsi="Verdana"/>
          <w:sz w:val="20"/>
          <w:szCs w:val="20"/>
          <w:lang w:val="en-US"/>
        </w:rPr>
        <w:t>t authorized mining</w:t>
      </w:r>
      <w:r w:rsidRPr="00EC45EE">
        <w:rPr>
          <w:rFonts w:ascii="Verdana" w:hAnsi="Verdana"/>
          <w:sz w:val="20"/>
          <w:szCs w:val="20"/>
          <w:lang w:val="en-US"/>
        </w:rPr>
        <w:t xml:space="preserve"> </w:t>
      </w:r>
      <w:r w:rsidR="009B119F">
        <w:rPr>
          <w:rFonts w:ascii="Verdana" w:hAnsi="Verdana"/>
          <w:sz w:val="20"/>
          <w:szCs w:val="20"/>
          <w:lang w:val="en-US"/>
        </w:rPr>
        <w:t>activities</w:t>
      </w:r>
      <w:r w:rsidRPr="00EC45EE">
        <w:rPr>
          <w:rFonts w:ascii="Verdana" w:hAnsi="Verdana"/>
          <w:sz w:val="20"/>
          <w:szCs w:val="20"/>
          <w:lang w:val="en-US"/>
        </w:rPr>
        <w:t xml:space="preserve">. In addition, no </w:t>
      </w:r>
      <w:r w:rsidR="00890830" w:rsidRPr="00EC45EE">
        <w:rPr>
          <w:rFonts w:ascii="Verdana" w:hAnsi="Verdana"/>
          <w:sz w:val="20"/>
          <w:szCs w:val="20"/>
          <w:lang w:val="en-US"/>
        </w:rPr>
        <w:t>environmental impact assessment</w:t>
      </w:r>
      <w:r w:rsidR="006740C0" w:rsidRPr="00EC45EE">
        <w:rPr>
          <w:rFonts w:ascii="Verdana" w:hAnsi="Verdana"/>
          <w:sz w:val="20"/>
          <w:szCs w:val="20"/>
          <w:lang w:val="en-US"/>
        </w:rPr>
        <w:t xml:space="preserve"> </w:t>
      </w:r>
      <w:r w:rsidR="004D5C60" w:rsidRPr="00EC45EE">
        <w:rPr>
          <w:rFonts w:ascii="Verdana" w:hAnsi="Verdana"/>
          <w:sz w:val="20"/>
          <w:szCs w:val="20"/>
          <w:lang w:val="en-US"/>
        </w:rPr>
        <w:t>had been</w:t>
      </w:r>
      <w:r w:rsidRPr="00EC45EE">
        <w:rPr>
          <w:rFonts w:ascii="Verdana" w:hAnsi="Verdana"/>
          <w:sz w:val="20"/>
          <w:szCs w:val="20"/>
          <w:lang w:val="en-US"/>
        </w:rPr>
        <w:t xml:space="preserve"> made before the start-up of these </w:t>
      </w:r>
      <w:r w:rsidR="004D5C60" w:rsidRPr="00EC45EE">
        <w:rPr>
          <w:rFonts w:ascii="Verdana" w:hAnsi="Verdana"/>
          <w:sz w:val="20"/>
          <w:szCs w:val="20"/>
          <w:lang w:val="en-US"/>
        </w:rPr>
        <w:t>operations</w:t>
      </w:r>
      <w:r w:rsidRPr="00EC45EE">
        <w:rPr>
          <w:rFonts w:ascii="Verdana" w:hAnsi="Verdana"/>
          <w:sz w:val="20"/>
          <w:szCs w:val="20"/>
          <w:lang w:val="en-US"/>
        </w:rPr>
        <w:t xml:space="preserve">, and </w:t>
      </w:r>
      <w:r w:rsidR="002B5CCD" w:rsidRPr="00EC45EE">
        <w:rPr>
          <w:rFonts w:ascii="Verdana" w:hAnsi="Verdana"/>
          <w:sz w:val="20"/>
          <w:szCs w:val="20"/>
          <w:lang w:val="en-US"/>
        </w:rPr>
        <w:t xml:space="preserve">the </w:t>
      </w:r>
      <w:r w:rsidR="004C7D14" w:rsidRPr="00EC45EE">
        <w:rPr>
          <w:rFonts w:ascii="Verdana" w:hAnsi="Verdana"/>
          <w:sz w:val="20"/>
          <w:szCs w:val="20"/>
          <w:lang w:val="en-US"/>
        </w:rPr>
        <w:t>Kaliña and Lokono peoples</w:t>
      </w:r>
      <w:r w:rsidR="006740C0" w:rsidRPr="00EC45EE">
        <w:rPr>
          <w:rFonts w:ascii="Verdana" w:hAnsi="Verdana"/>
          <w:sz w:val="20"/>
          <w:szCs w:val="20"/>
          <w:lang w:val="en-US"/>
        </w:rPr>
        <w:t xml:space="preserve"> </w:t>
      </w:r>
      <w:r w:rsidR="004D5C60" w:rsidRPr="00EC45EE">
        <w:rPr>
          <w:rFonts w:ascii="Verdana" w:hAnsi="Verdana"/>
          <w:sz w:val="20"/>
          <w:szCs w:val="20"/>
          <w:lang w:val="en-US"/>
        </w:rPr>
        <w:t>had not</w:t>
      </w:r>
      <w:r w:rsidRPr="00EC45EE">
        <w:rPr>
          <w:rFonts w:ascii="Verdana" w:hAnsi="Verdana"/>
          <w:sz w:val="20"/>
          <w:szCs w:val="20"/>
          <w:lang w:val="en-US"/>
        </w:rPr>
        <w:t xml:space="preserve"> benefit</w:t>
      </w:r>
      <w:r w:rsidR="004D5C60" w:rsidRPr="00EC45EE">
        <w:rPr>
          <w:rFonts w:ascii="Verdana" w:hAnsi="Verdana"/>
          <w:sz w:val="20"/>
          <w:szCs w:val="20"/>
          <w:lang w:val="en-US"/>
        </w:rPr>
        <w:t>ed</w:t>
      </w:r>
      <w:r w:rsidRPr="00EC45EE">
        <w:rPr>
          <w:rFonts w:ascii="Verdana" w:hAnsi="Verdana"/>
          <w:sz w:val="20"/>
          <w:szCs w:val="20"/>
          <w:lang w:val="en-US"/>
        </w:rPr>
        <w:t xml:space="preserve"> from</w:t>
      </w:r>
      <w:r w:rsidR="005530FA">
        <w:rPr>
          <w:rFonts w:ascii="Verdana" w:hAnsi="Verdana"/>
          <w:sz w:val="20"/>
          <w:szCs w:val="20"/>
          <w:lang w:val="en-US"/>
        </w:rPr>
        <w:t>,</w:t>
      </w:r>
      <w:r w:rsidR="004D5C60" w:rsidRPr="00EC45EE">
        <w:rPr>
          <w:rFonts w:ascii="Verdana" w:hAnsi="Verdana"/>
          <w:sz w:val="20"/>
          <w:szCs w:val="20"/>
          <w:lang w:val="en-US"/>
        </w:rPr>
        <w:t xml:space="preserve"> or otherwise been compensated for</w:t>
      </w:r>
      <w:r w:rsidR="005530FA">
        <w:rPr>
          <w:rFonts w:ascii="Verdana" w:hAnsi="Verdana"/>
          <w:sz w:val="20"/>
          <w:szCs w:val="20"/>
          <w:lang w:val="en-US"/>
        </w:rPr>
        <w:t>,</w:t>
      </w:r>
      <w:r w:rsidRPr="00EC45EE">
        <w:rPr>
          <w:rFonts w:ascii="Verdana" w:hAnsi="Verdana"/>
          <w:sz w:val="20"/>
          <w:szCs w:val="20"/>
          <w:lang w:val="en-US"/>
        </w:rPr>
        <w:t xml:space="preserve"> the use of their </w:t>
      </w:r>
      <w:r w:rsidR="004D5C60" w:rsidRPr="00EC45EE">
        <w:rPr>
          <w:rFonts w:ascii="Verdana" w:hAnsi="Verdana"/>
          <w:sz w:val="20"/>
          <w:szCs w:val="20"/>
          <w:lang w:val="en-US"/>
        </w:rPr>
        <w:t>territory</w:t>
      </w:r>
      <w:r w:rsidRPr="00EC45EE">
        <w:rPr>
          <w:rFonts w:ascii="Verdana" w:hAnsi="Verdana"/>
          <w:sz w:val="20"/>
          <w:szCs w:val="20"/>
          <w:lang w:val="en-US"/>
        </w:rPr>
        <w:t xml:space="preserve"> for mining </w:t>
      </w:r>
      <w:r w:rsidR="009B119F">
        <w:rPr>
          <w:rFonts w:ascii="Verdana" w:hAnsi="Verdana"/>
          <w:sz w:val="20"/>
          <w:szCs w:val="20"/>
          <w:lang w:val="en-US"/>
        </w:rPr>
        <w:t>activities</w:t>
      </w:r>
      <w:r w:rsidR="000D786E" w:rsidRPr="00EC45EE">
        <w:rPr>
          <w:rFonts w:ascii="Verdana" w:hAnsi="Verdana"/>
          <w:sz w:val="20"/>
          <w:szCs w:val="20"/>
          <w:lang w:val="en-US"/>
        </w:rPr>
        <w:t>.</w:t>
      </w:r>
      <w:r w:rsidR="006740C0" w:rsidRPr="00EC45EE">
        <w:rPr>
          <w:rFonts w:ascii="Verdana" w:hAnsi="Verdana"/>
          <w:sz w:val="20"/>
          <w:szCs w:val="20"/>
          <w:lang w:val="en-US"/>
        </w:rPr>
        <w:t xml:space="preserve"> </w:t>
      </w:r>
      <w:r w:rsidR="00810FAD" w:rsidRPr="00EC45EE">
        <w:rPr>
          <w:rFonts w:ascii="Verdana" w:hAnsi="Verdana"/>
          <w:sz w:val="20"/>
          <w:szCs w:val="20"/>
          <w:lang w:val="en-US"/>
        </w:rPr>
        <w:t>The representatives</w:t>
      </w:r>
      <w:r w:rsidR="006740C0" w:rsidRPr="00EC45EE">
        <w:rPr>
          <w:rFonts w:ascii="Verdana" w:hAnsi="Verdana"/>
          <w:sz w:val="20"/>
          <w:szCs w:val="20"/>
          <w:lang w:val="en-US"/>
        </w:rPr>
        <w:t xml:space="preserve"> </w:t>
      </w:r>
      <w:r w:rsidRPr="00EC45EE">
        <w:rPr>
          <w:rFonts w:ascii="Verdana" w:hAnsi="Verdana"/>
          <w:sz w:val="20"/>
          <w:szCs w:val="20"/>
          <w:lang w:val="en-US"/>
        </w:rPr>
        <w:t xml:space="preserve">argued that, to the contrary, the mining and logging operations in the </w:t>
      </w:r>
      <w:r w:rsidR="00FD14B3" w:rsidRPr="00EC45EE">
        <w:rPr>
          <w:rFonts w:ascii="Verdana" w:hAnsi="Verdana"/>
          <w:sz w:val="20"/>
          <w:lang w:val="en-US"/>
        </w:rPr>
        <w:t>traditional territory</w:t>
      </w:r>
      <w:r w:rsidR="00FC1FCF" w:rsidRPr="00EC45EE">
        <w:rPr>
          <w:rFonts w:ascii="Verdana" w:hAnsi="Verdana"/>
          <w:sz w:val="20"/>
          <w:lang w:val="en-US"/>
        </w:rPr>
        <w:t xml:space="preserve"> </w:t>
      </w:r>
      <w:r w:rsidR="00810FAD" w:rsidRPr="00EC45EE">
        <w:rPr>
          <w:rFonts w:ascii="Verdana" w:hAnsi="Verdana"/>
          <w:sz w:val="20"/>
          <w:lang w:val="en-US"/>
        </w:rPr>
        <w:t xml:space="preserve">of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10FAD" w:rsidRPr="00EC45EE">
        <w:rPr>
          <w:rFonts w:ascii="Verdana" w:hAnsi="Verdana"/>
          <w:sz w:val="20"/>
          <w:lang w:val="en-US"/>
        </w:rPr>
        <w:t>victims</w:t>
      </w:r>
      <w:r w:rsidRPr="00EC45EE">
        <w:rPr>
          <w:rFonts w:ascii="Verdana" w:hAnsi="Verdana"/>
          <w:sz w:val="20"/>
          <w:lang w:val="en-US"/>
        </w:rPr>
        <w:t xml:space="preserve"> took place without a</w:t>
      </w:r>
      <w:r w:rsidR="004D5C60" w:rsidRPr="00EC45EE">
        <w:rPr>
          <w:rFonts w:ascii="Verdana" w:hAnsi="Verdana"/>
          <w:sz w:val="20"/>
          <w:lang w:val="en-US"/>
        </w:rPr>
        <w:t>ny</w:t>
      </w:r>
      <w:r w:rsidRPr="00EC45EE">
        <w:rPr>
          <w:rFonts w:ascii="Verdana" w:hAnsi="Verdana"/>
          <w:sz w:val="20"/>
          <w:lang w:val="en-US"/>
        </w:rPr>
        <w:t xml:space="preserve"> </w:t>
      </w:r>
      <w:r w:rsidR="004D5C60" w:rsidRPr="00EC45EE">
        <w:rPr>
          <w:rFonts w:ascii="Verdana" w:hAnsi="Verdana"/>
          <w:sz w:val="20"/>
          <w:lang w:val="en-US"/>
        </w:rPr>
        <w:t>meaningful</w:t>
      </w:r>
      <w:r w:rsidRPr="00EC45EE">
        <w:rPr>
          <w:rFonts w:ascii="Verdana" w:hAnsi="Verdana"/>
          <w:sz w:val="20"/>
          <w:lang w:val="en-US"/>
        </w:rPr>
        <w:t xml:space="preserve"> regulation or </w:t>
      </w:r>
      <w:r w:rsidR="004D5C60" w:rsidRPr="00EC45EE">
        <w:rPr>
          <w:rFonts w:ascii="Verdana" w:hAnsi="Verdana"/>
          <w:sz w:val="20"/>
          <w:lang w:val="en-US"/>
        </w:rPr>
        <w:t>supervision</w:t>
      </w:r>
      <w:r w:rsidRPr="00EC45EE">
        <w:rPr>
          <w:rFonts w:ascii="Verdana" w:hAnsi="Verdana"/>
          <w:sz w:val="20"/>
          <w:lang w:val="en-US"/>
        </w:rPr>
        <w:t xml:space="preserve"> by the State and prejudiced their traditional </w:t>
      </w:r>
      <w:r w:rsidR="004D5C60" w:rsidRPr="00EC45EE">
        <w:rPr>
          <w:rFonts w:ascii="Verdana" w:hAnsi="Verdana"/>
          <w:sz w:val="20"/>
          <w:lang w:val="en-US"/>
        </w:rPr>
        <w:t xml:space="preserve">food </w:t>
      </w:r>
      <w:r w:rsidRPr="00EC45EE">
        <w:rPr>
          <w:rFonts w:ascii="Verdana" w:hAnsi="Verdana"/>
          <w:sz w:val="20"/>
          <w:lang w:val="en-US"/>
        </w:rPr>
        <w:t>sources</w:t>
      </w:r>
      <w:r w:rsidR="004D5C60" w:rsidRPr="00EC45EE">
        <w:rPr>
          <w:rFonts w:ascii="Verdana" w:hAnsi="Verdana"/>
          <w:sz w:val="20"/>
          <w:lang w:val="en-US"/>
        </w:rPr>
        <w:t xml:space="preserve">, </w:t>
      </w:r>
      <w:r w:rsidR="00FE7BA7" w:rsidRPr="00EC45EE">
        <w:rPr>
          <w:rFonts w:ascii="Verdana" w:hAnsi="Verdana"/>
          <w:sz w:val="20"/>
          <w:lang w:val="en-US"/>
        </w:rPr>
        <w:t>environment</w:t>
      </w:r>
      <w:r w:rsidRPr="00EC45EE">
        <w:rPr>
          <w:rFonts w:ascii="Verdana" w:hAnsi="Verdana"/>
          <w:sz w:val="20"/>
          <w:lang w:val="en-US"/>
        </w:rPr>
        <w:t xml:space="preserve">, and </w:t>
      </w:r>
      <w:r w:rsidR="004D5C60" w:rsidRPr="00EC45EE">
        <w:rPr>
          <w:rFonts w:ascii="Verdana" w:hAnsi="Verdana"/>
          <w:sz w:val="20"/>
          <w:lang w:val="en-US"/>
        </w:rPr>
        <w:t xml:space="preserve">cultural and </w:t>
      </w:r>
      <w:r w:rsidRPr="00EC45EE">
        <w:rPr>
          <w:rFonts w:ascii="Verdana" w:hAnsi="Verdana"/>
          <w:sz w:val="20"/>
          <w:lang w:val="en-US"/>
        </w:rPr>
        <w:t xml:space="preserve">spiritual values. </w:t>
      </w:r>
      <w:r w:rsidRPr="00EC45EE">
        <w:rPr>
          <w:rFonts w:ascii="Verdana" w:hAnsi="Verdana"/>
          <w:sz w:val="20"/>
          <w:szCs w:val="20"/>
          <w:lang w:val="en-US"/>
        </w:rPr>
        <w:t>Furthermore, t</w:t>
      </w:r>
      <w:r w:rsidR="00810FAD" w:rsidRPr="00EC45EE">
        <w:rPr>
          <w:rFonts w:ascii="Verdana" w:hAnsi="Verdana"/>
          <w:sz w:val="20"/>
          <w:szCs w:val="20"/>
          <w:lang w:val="en-US"/>
        </w:rPr>
        <w:t>he representatives</w:t>
      </w:r>
      <w:r w:rsidR="00FC1FCF" w:rsidRPr="00EC45EE">
        <w:rPr>
          <w:rFonts w:ascii="Verdana" w:hAnsi="Verdana"/>
          <w:sz w:val="20"/>
          <w:szCs w:val="20"/>
          <w:lang w:val="en-US"/>
        </w:rPr>
        <w:t xml:space="preserve"> indica</w:t>
      </w:r>
      <w:r w:rsidRPr="00EC45EE">
        <w:rPr>
          <w:rFonts w:ascii="Verdana" w:hAnsi="Verdana"/>
          <w:sz w:val="20"/>
          <w:szCs w:val="20"/>
          <w:lang w:val="en-US"/>
        </w:rPr>
        <w:t xml:space="preserve">ted that the State </w:t>
      </w:r>
      <w:r w:rsidR="004D5C60" w:rsidRPr="00EC45EE">
        <w:rPr>
          <w:rFonts w:ascii="Verdana" w:hAnsi="Verdana"/>
          <w:sz w:val="20"/>
          <w:szCs w:val="20"/>
          <w:lang w:val="en-US"/>
        </w:rPr>
        <w:t xml:space="preserve">had </w:t>
      </w:r>
      <w:r w:rsidRPr="00EC45EE">
        <w:rPr>
          <w:rFonts w:ascii="Verdana" w:hAnsi="Verdana"/>
          <w:sz w:val="20"/>
          <w:szCs w:val="20"/>
          <w:lang w:val="en-US"/>
        </w:rPr>
        <w:t xml:space="preserve">failed to ensure that such activities would not cause significant damage to the </w:t>
      </w:r>
      <w:r w:rsidR="00FD14B3" w:rsidRPr="00EC45EE">
        <w:rPr>
          <w:rFonts w:ascii="Verdana" w:hAnsi="Verdana"/>
          <w:sz w:val="20"/>
          <w:szCs w:val="20"/>
          <w:lang w:val="en-US"/>
        </w:rPr>
        <w:t>traditional lands</w:t>
      </w:r>
      <w:r w:rsidR="00FC1FCF" w:rsidRPr="00EC45EE">
        <w:rPr>
          <w:rFonts w:ascii="Verdana" w:hAnsi="Verdana"/>
          <w:sz w:val="20"/>
          <w:szCs w:val="20"/>
          <w:lang w:val="en-US"/>
        </w:rPr>
        <w:t xml:space="preserve"> </w:t>
      </w:r>
      <w:r w:rsidRPr="00EC45EE">
        <w:rPr>
          <w:rFonts w:ascii="Verdana" w:hAnsi="Verdana"/>
          <w:sz w:val="20"/>
          <w:szCs w:val="20"/>
          <w:lang w:val="en-US"/>
        </w:rPr>
        <w:t xml:space="preserve">of the victims </w:t>
      </w:r>
      <w:r w:rsidR="004D5C60" w:rsidRPr="00EC45EE">
        <w:rPr>
          <w:rFonts w:ascii="Verdana" w:hAnsi="Verdana"/>
          <w:sz w:val="20"/>
          <w:szCs w:val="20"/>
          <w:lang w:val="en-US"/>
        </w:rPr>
        <w:t>or</w:t>
      </w:r>
      <w:r w:rsidRPr="00EC45EE">
        <w:rPr>
          <w:rFonts w:ascii="Verdana" w:hAnsi="Verdana"/>
          <w:sz w:val="20"/>
          <w:szCs w:val="20"/>
          <w:lang w:val="en-US"/>
        </w:rPr>
        <w:t xml:space="preserve"> lead to severe environmental degradation</w:t>
      </w:r>
      <w:r w:rsidR="00FC1FCF" w:rsidRPr="00EC45EE">
        <w:rPr>
          <w:rFonts w:ascii="Verdana" w:hAnsi="Verdana"/>
          <w:sz w:val="20"/>
          <w:szCs w:val="20"/>
          <w:lang w:val="en-US"/>
        </w:rPr>
        <w:t xml:space="preserve">. </w:t>
      </w:r>
    </w:p>
    <w:p w14:paraId="63126944" w14:textId="77777777" w:rsidR="00FC1FCF" w:rsidRPr="00EC45EE" w:rsidRDefault="00FC1FCF" w:rsidP="00FC1FCF">
      <w:pPr>
        <w:pStyle w:val="ListParagraph"/>
        <w:ind w:left="0"/>
        <w:jc w:val="both"/>
        <w:rPr>
          <w:rFonts w:ascii="Verdana" w:hAnsi="Verdana"/>
          <w:sz w:val="20"/>
          <w:szCs w:val="20"/>
          <w:lang w:val="en-US"/>
        </w:rPr>
      </w:pPr>
    </w:p>
    <w:p w14:paraId="63126945" w14:textId="77777777" w:rsidR="00FC1FCF" w:rsidRPr="00FE7BA7" w:rsidRDefault="002B5CCD" w:rsidP="00DB0E7C">
      <w:pPr>
        <w:pStyle w:val="ListParagraph"/>
        <w:numPr>
          <w:ilvl w:val="0"/>
          <w:numId w:val="2"/>
        </w:numPr>
        <w:ind w:left="0" w:hanging="14"/>
        <w:jc w:val="both"/>
        <w:rPr>
          <w:rFonts w:ascii="Verdana" w:hAnsi="Verdana"/>
          <w:sz w:val="20"/>
          <w:szCs w:val="20"/>
          <w:lang w:val="en-US"/>
        </w:rPr>
      </w:pPr>
      <w:r w:rsidRPr="00EC45EE">
        <w:rPr>
          <w:rFonts w:ascii="Verdana" w:hAnsi="Verdana"/>
          <w:sz w:val="20"/>
          <w:szCs w:val="20"/>
          <w:lang w:val="en-US"/>
        </w:rPr>
        <w:t xml:space="preserve">The </w:t>
      </w:r>
      <w:r w:rsidRPr="006C4E70">
        <w:rPr>
          <w:rFonts w:ascii="Verdana" w:hAnsi="Verdana"/>
          <w:b/>
          <w:i/>
          <w:sz w:val="20"/>
          <w:szCs w:val="20"/>
          <w:lang w:val="en-US"/>
        </w:rPr>
        <w:t>State</w:t>
      </w:r>
      <w:r w:rsidR="008A4ABB" w:rsidRPr="00EC45EE">
        <w:rPr>
          <w:rFonts w:ascii="Verdana" w:hAnsi="Verdana"/>
          <w:sz w:val="20"/>
          <w:szCs w:val="20"/>
          <w:lang w:val="en-US"/>
        </w:rPr>
        <w:t xml:space="preserve"> </w:t>
      </w:r>
      <w:r w:rsidR="00540D55" w:rsidRPr="00EC45EE">
        <w:rPr>
          <w:rFonts w:ascii="Verdana" w:hAnsi="Verdana"/>
          <w:sz w:val="20"/>
          <w:szCs w:val="20"/>
          <w:lang w:val="en-US"/>
        </w:rPr>
        <w:t xml:space="preserve">indicated that, in about </w:t>
      </w:r>
      <w:r w:rsidR="008902AB" w:rsidRPr="00EC45EE">
        <w:rPr>
          <w:rFonts w:ascii="Verdana" w:hAnsi="Verdana"/>
          <w:sz w:val="20"/>
          <w:szCs w:val="20"/>
          <w:lang w:val="en-US"/>
        </w:rPr>
        <w:t xml:space="preserve">1975, </w:t>
      </w:r>
      <w:r w:rsidR="00540D55" w:rsidRPr="00EC45EE">
        <w:rPr>
          <w:rFonts w:ascii="Verdana" w:hAnsi="Verdana"/>
          <w:sz w:val="20"/>
          <w:szCs w:val="20"/>
          <w:lang w:val="en-US"/>
        </w:rPr>
        <w:t>the Government</w:t>
      </w:r>
      <w:r w:rsidR="00DB712A" w:rsidRPr="00EC45EE">
        <w:rPr>
          <w:rFonts w:ascii="Verdana" w:hAnsi="Verdana"/>
          <w:sz w:val="20"/>
          <w:szCs w:val="20"/>
          <w:lang w:val="en-US"/>
        </w:rPr>
        <w:t xml:space="preserve"> had</w:t>
      </w:r>
      <w:r w:rsidR="00540D55" w:rsidRPr="00EC45EE">
        <w:rPr>
          <w:rFonts w:ascii="Verdana" w:hAnsi="Verdana"/>
          <w:sz w:val="20"/>
          <w:szCs w:val="20"/>
          <w:lang w:val="en-US"/>
        </w:rPr>
        <w:t xml:space="preserve"> </w:t>
      </w:r>
      <w:r w:rsidR="004D5C60" w:rsidRPr="00EC45EE">
        <w:rPr>
          <w:rFonts w:ascii="Verdana" w:hAnsi="Verdana"/>
          <w:sz w:val="20"/>
          <w:szCs w:val="20"/>
          <w:lang w:val="en-US"/>
        </w:rPr>
        <w:t>“</w:t>
      </w:r>
      <w:r w:rsidR="00540D55" w:rsidRPr="00EC45EE">
        <w:rPr>
          <w:rFonts w:ascii="Verdana" w:hAnsi="Verdana"/>
          <w:sz w:val="20"/>
          <w:szCs w:val="20"/>
          <w:lang w:val="en-US"/>
        </w:rPr>
        <w:t>i</w:t>
      </w:r>
      <w:r w:rsidR="004D5C60" w:rsidRPr="00EC45EE">
        <w:rPr>
          <w:rFonts w:ascii="Verdana" w:hAnsi="Verdana"/>
          <w:sz w:val="20"/>
          <w:szCs w:val="20"/>
          <w:lang w:val="en-US"/>
        </w:rPr>
        <w:t>nitiated</w:t>
      </w:r>
      <w:r w:rsidR="00540D55" w:rsidRPr="00EC45EE">
        <w:rPr>
          <w:rFonts w:ascii="Verdana" w:hAnsi="Verdana"/>
          <w:sz w:val="20"/>
          <w:szCs w:val="20"/>
          <w:lang w:val="en-US"/>
        </w:rPr>
        <w:t xml:space="preserve"> a project called </w:t>
      </w:r>
      <w:r w:rsidR="008902AB" w:rsidRPr="00EC45EE">
        <w:rPr>
          <w:rFonts w:ascii="Verdana" w:hAnsi="Verdana"/>
          <w:sz w:val="20"/>
          <w:szCs w:val="20"/>
          <w:lang w:val="en-US"/>
        </w:rPr>
        <w:t>“Tuinstad Albina</w:t>
      </w:r>
      <w:r w:rsidR="004D5C60" w:rsidRPr="00EC45EE">
        <w:rPr>
          <w:rFonts w:ascii="Verdana" w:hAnsi="Verdana"/>
          <w:sz w:val="20"/>
          <w:szCs w:val="20"/>
          <w:lang w:val="en-US"/>
        </w:rPr>
        <w:t>,”</w:t>
      </w:r>
      <w:r w:rsidR="00540D55" w:rsidRPr="00EC45EE">
        <w:rPr>
          <w:rFonts w:ascii="Verdana" w:hAnsi="Verdana"/>
          <w:sz w:val="20"/>
          <w:szCs w:val="20"/>
          <w:lang w:val="en-US"/>
        </w:rPr>
        <w:t xml:space="preserve"> to parcel out an area </w:t>
      </w:r>
      <w:r w:rsidR="004D5C60" w:rsidRPr="00EC45EE">
        <w:rPr>
          <w:rFonts w:ascii="Verdana" w:hAnsi="Verdana"/>
          <w:sz w:val="20"/>
          <w:szCs w:val="20"/>
          <w:lang w:val="en-US"/>
        </w:rPr>
        <w:t xml:space="preserve">in the vicinity of </w:t>
      </w:r>
      <w:r w:rsidR="00540D55" w:rsidRPr="00EC45EE">
        <w:rPr>
          <w:rFonts w:ascii="Verdana" w:hAnsi="Verdana"/>
          <w:sz w:val="20"/>
          <w:szCs w:val="20"/>
          <w:lang w:val="en-US"/>
        </w:rPr>
        <w:t xml:space="preserve">the villages of </w:t>
      </w:r>
      <w:r w:rsidR="008902AB" w:rsidRPr="00EC45EE">
        <w:rPr>
          <w:rFonts w:ascii="Verdana" w:hAnsi="Verdana"/>
          <w:sz w:val="20"/>
          <w:szCs w:val="20"/>
          <w:lang w:val="en-US"/>
        </w:rPr>
        <w:t>Erowarte, Tapuku, Pierrekondre</w:t>
      </w:r>
      <w:r w:rsidRPr="00EC45EE">
        <w:rPr>
          <w:rFonts w:ascii="Verdana" w:hAnsi="Verdana"/>
          <w:sz w:val="20"/>
          <w:szCs w:val="20"/>
          <w:lang w:val="en-US"/>
        </w:rPr>
        <w:t xml:space="preserve"> and </w:t>
      </w:r>
      <w:r w:rsidR="008902AB" w:rsidRPr="00EC45EE">
        <w:rPr>
          <w:rFonts w:ascii="Verdana" w:hAnsi="Verdana"/>
          <w:sz w:val="20"/>
          <w:szCs w:val="20"/>
          <w:lang w:val="en-US"/>
        </w:rPr>
        <w:t>Marijkedorp (Wan Shi Sha)</w:t>
      </w:r>
      <w:r w:rsidR="00DB0E7C" w:rsidRPr="00EC45EE">
        <w:rPr>
          <w:rFonts w:ascii="Verdana" w:hAnsi="Verdana"/>
          <w:sz w:val="20"/>
          <w:szCs w:val="20"/>
          <w:lang w:val="en-US"/>
        </w:rPr>
        <w:t xml:space="preserve">, </w:t>
      </w:r>
      <w:r w:rsidR="00540D55" w:rsidRPr="00EC45EE">
        <w:rPr>
          <w:rFonts w:ascii="Verdana" w:hAnsi="Verdana"/>
          <w:sz w:val="20"/>
          <w:szCs w:val="20"/>
          <w:lang w:val="en-US"/>
        </w:rPr>
        <w:t xml:space="preserve">in which </w:t>
      </w:r>
      <w:r w:rsidR="004D5C60" w:rsidRPr="00EC45EE">
        <w:rPr>
          <w:rFonts w:ascii="Verdana" w:hAnsi="Verdana"/>
          <w:sz w:val="20"/>
          <w:szCs w:val="20"/>
          <w:lang w:val="en-US"/>
        </w:rPr>
        <w:t xml:space="preserve">titles of ownership, long-term lease and leasehold </w:t>
      </w:r>
      <w:r w:rsidR="00540D55" w:rsidRPr="00EC45EE">
        <w:rPr>
          <w:rFonts w:ascii="Verdana" w:hAnsi="Verdana"/>
          <w:sz w:val="20"/>
          <w:szCs w:val="20"/>
          <w:lang w:val="en-US"/>
        </w:rPr>
        <w:t>were</w:t>
      </w:r>
      <w:r w:rsidR="00DB712A" w:rsidRPr="00EC45EE">
        <w:rPr>
          <w:rFonts w:ascii="Verdana" w:hAnsi="Verdana"/>
          <w:sz w:val="20"/>
          <w:szCs w:val="20"/>
          <w:lang w:val="en-US"/>
        </w:rPr>
        <w:t xml:space="preserve"> granted</w:t>
      </w:r>
      <w:r w:rsidR="00540D55" w:rsidRPr="00EC45EE">
        <w:rPr>
          <w:rFonts w:ascii="Verdana" w:hAnsi="Verdana"/>
          <w:sz w:val="20"/>
          <w:szCs w:val="20"/>
          <w:lang w:val="en-US"/>
        </w:rPr>
        <w:t xml:space="preserve"> to a number of non-indigenous and indigenous </w:t>
      </w:r>
      <w:r w:rsidR="004D5C60" w:rsidRPr="00EC45EE">
        <w:rPr>
          <w:rFonts w:ascii="Verdana" w:hAnsi="Verdana"/>
          <w:sz w:val="20"/>
          <w:szCs w:val="20"/>
          <w:lang w:val="en-US"/>
        </w:rPr>
        <w:t>individual</w:t>
      </w:r>
      <w:r w:rsidR="00540D55" w:rsidRPr="00EC45EE">
        <w:rPr>
          <w:rFonts w:ascii="Verdana" w:hAnsi="Verdana"/>
          <w:sz w:val="20"/>
          <w:szCs w:val="20"/>
          <w:lang w:val="en-US"/>
        </w:rPr>
        <w:t>s</w:t>
      </w:r>
      <w:r w:rsidR="005530FA">
        <w:rPr>
          <w:rFonts w:ascii="Verdana" w:hAnsi="Verdana"/>
          <w:sz w:val="20"/>
          <w:szCs w:val="20"/>
          <w:lang w:val="en-US"/>
        </w:rPr>
        <w:t>.</w:t>
      </w:r>
      <w:r w:rsidR="004D5C60" w:rsidRPr="00EC45EE">
        <w:rPr>
          <w:rFonts w:ascii="Verdana" w:hAnsi="Verdana"/>
          <w:sz w:val="20"/>
          <w:szCs w:val="20"/>
          <w:lang w:val="en-US"/>
        </w:rPr>
        <w:t>”</w:t>
      </w:r>
      <w:r w:rsidR="000E6257" w:rsidRPr="00EC45EE">
        <w:rPr>
          <w:rStyle w:val="FootnoteReference"/>
          <w:szCs w:val="20"/>
          <w:lang w:val="en-US"/>
        </w:rPr>
        <w:footnoteReference w:id="153"/>
      </w:r>
      <w:r w:rsidR="008902AB" w:rsidRPr="00EC45EE">
        <w:rPr>
          <w:rFonts w:ascii="Verdana" w:hAnsi="Verdana"/>
          <w:sz w:val="20"/>
          <w:szCs w:val="20"/>
          <w:lang w:val="en-US"/>
        </w:rPr>
        <w:t xml:space="preserve"> </w:t>
      </w:r>
      <w:r w:rsidRPr="00EC45EE">
        <w:rPr>
          <w:rFonts w:ascii="Verdana" w:hAnsi="Verdana"/>
          <w:sz w:val="20"/>
          <w:szCs w:val="20"/>
          <w:lang w:val="en-US"/>
        </w:rPr>
        <w:t>The State</w:t>
      </w:r>
      <w:r w:rsidR="008902AB" w:rsidRPr="00EC45EE">
        <w:rPr>
          <w:rFonts w:ascii="Verdana" w:hAnsi="Verdana"/>
          <w:sz w:val="20"/>
          <w:szCs w:val="20"/>
          <w:lang w:val="en-US"/>
        </w:rPr>
        <w:t xml:space="preserve"> </w:t>
      </w:r>
      <w:r w:rsidR="008902AB" w:rsidRPr="00EC45EE">
        <w:rPr>
          <w:rFonts w:ascii="Verdana" w:hAnsi="Verdana"/>
          <w:sz w:val="20"/>
          <w:szCs w:val="20"/>
          <w:lang w:val="en-US"/>
        </w:rPr>
        <w:lastRenderedPageBreak/>
        <w:t>a</w:t>
      </w:r>
      <w:r w:rsidR="00540D55" w:rsidRPr="00EC45EE">
        <w:rPr>
          <w:rFonts w:ascii="Verdana" w:hAnsi="Verdana"/>
          <w:sz w:val="20"/>
          <w:szCs w:val="20"/>
          <w:lang w:val="en-US"/>
        </w:rPr>
        <w:t xml:space="preserve">rgued that the area, which constituted the suburbs of </w:t>
      </w:r>
      <w:r w:rsidR="000E6257" w:rsidRPr="00EC45EE">
        <w:rPr>
          <w:rFonts w:ascii="Verdana" w:hAnsi="Verdana"/>
          <w:sz w:val="20"/>
          <w:szCs w:val="20"/>
          <w:lang w:val="en-US"/>
        </w:rPr>
        <w:t xml:space="preserve">Albina, </w:t>
      </w:r>
      <w:r w:rsidR="00DB712A" w:rsidRPr="00EC45EE">
        <w:rPr>
          <w:rFonts w:ascii="Verdana" w:hAnsi="Verdana"/>
          <w:sz w:val="20"/>
          <w:szCs w:val="20"/>
          <w:lang w:val="en-US"/>
        </w:rPr>
        <w:t>was not</w:t>
      </w:r>
      <w:r w:rsidR="00540D55" w:rsidRPr="00EC45EE">
        <w:rPr>
          <w:rFonts w:ascii="Verdana" w:hAnsi="Verdana"/>
          <w:sz w:val="20"/>
          <w:szCs w:val="20"/>
          <w:lang w:val="en-US"/>
        </w:rPr>
        <w:t xml:space="preserve"> inhabited by </w:t>
      </w:r>
      <w:r w:rsidR="004D5C60" w:rsidRPr="00EC45EE">
        <w:rPr>
          <w:rFonts w:ascii="Verdana" w:hAnsi="Verdana"/>
          <w:sz w:val="20"/>
          <w:szCs w:val="20"/>
          <w:lang w:val="en-US"/>
        </w:rPr>
        <w:t xml:space="preserve">the </w:t>
      </w:r>
      <w:r w:rsidR="00635ACD" w:rsidRPr="00EC45EE">
        <w:rPr>
          <w:rFonts w:ascii="Verdana" w:hAnsi="Verdana"/>
          <w:sz w:val="20"/>
          <w:szCs w:val="20"/>
          <w:lang w:val="en-US"/>
        </w:rPr>
        <w:t>Lower Marowijne</w:t>
      </w:r>
      <w:r w:rsidR="004D5C60" w:rsidRPr="00EC45EE">
        <w:rPr>
          <w:rFonts w:ascii="Verdana" w:hAnsi="Verdana"/>
          <w:sz w:val="20"/>
          <w:szCs w:val="20"/>
          <w:lang w:val="en-US"/>
        </w:rPr>
        <w:t xml:space="preserve"> Indigenous Peoples</w:t>
      </w:r>
      <w:r w:rsidR="00540D55" w:rsidRPr="00EC45EE">
        <w:rPr>
          <w:rFonts w:ascii="Verdana" w:hAnsi="Verdana"/>
          <w:sz w:val="20"/>
          <w:szCs w:val="20"/>
          <w:lang w:val="en-US"/>
        </w:rPr>
        <w:t xml:space="preserve"> when the land was </w:t>
      </w:r>
      <w:r w:rsidR="004D5C60" w:rsidRPr="00EC45EE">
        <w:rPr>
          <w:rFonts w:ascii="Verdana" w:hAnsi="Verdana"/>
          <w:sz w:val="20"/>
          <w:szCs w:val="20"/>
          <w:lang w:val="en-US"/>
        </w:rPr>
        <w:t>subdivided</w:t>
      </w:r>
      <w:r w:rsidR="00540D55" w:rsidRPr="00EC45EE">
        <w:rPr>
          <w:rFonts w:ascii="Verdana" w:hAnsi="Verdana"/>
          <w:sz w:val="20"/>
          <w:szCs w:val="20"/>
          <w:lang w:val="en-US"/>
        </w:rPr>
        <w:t xml:space="preserve">, or </w:t>
      </w:r>
      <w:r w:rsidR="00FD14B3" w:rsidRPr="00EC45EE">
        <w:rPr>
          <w:rFonts w:ascii="Verdana" w:hAnsi="Verdana"/>
          <w:sz w:val="20"/>
          <w:szCs w:val="20"/>
          <w:lang w:val="en-US"/>
        </w:rPr>
        <w:t xml:space="preserve">during </w:t>
      </w:r>
      <w:r w:rsidR="00540D55" w:rsidRPr="00EC45EE">
        <w:rPr>
          <w:rFonts w:ascii="Verdana" w:hAnsi="Verdana"/>
          <w:sz w:val="20"/>
          <w:szCs w:val="20"/>
          <w:lang w:val="en-US"/>
        </w:rPr>
        <w:t>the years that preceded the start-up of the</w:t>
      </w:r>
      <w:r w:rsidR="00540D55" w:rsidRPr="00FE7BA7">
        <w:rPr>
          <w:rFonts w:ascii="Verdana" w:hAnsi="Verdana"/>
          <w:sz w:val="20"/>
          <w:szCs w:val="20"/>
          <w:lang w:val="en-US"/>
        </w:rPr>
        <w:t xml:space="preserve">se activities, and indicated that </w:t>
      </w:r>
      <w:r w:rsidR="004D5C60">
        <w:rPr>
          <w:rFonts w:ascii="Verdana" w:hAnsi="Verdana"/>
          <w:sz w:val="20"/>
          <w:szCs w:val="20"/>
          <w:lang w:val="en-US"/>
        </w:rPr>
        <w:t xml:space="preserve">the town of </w:t>
      </w:r>
      <w:r w:rsidR="008902AB" w:rsidRPr="00FE7BA7">
        <w:rPr>
          <w:rFonts w:ascii="Verdana" w:hAnsi="Verdana"/>
          <w:sz w:val="20"/>
          <w:szCs w:val="20"/>
          <w:lang w:val="en-US"/>
        </w:rPr>
        <w:t>Albina,</w:t>
      </w:r>
      <w:r w:rsidR="00540D55" w:rsidRPr="00FE7BA7">
        <w:rPr>
          <w:rFonts w:ascii="Verdana" w:hAnsi="Verdana"/>
          <w:sz w:val="20"/>
          <w:szCs w:val="20"/>
          <w:lang w:val="en-US"/>
        </w:rPr>
        <w:t xml:space="preserve"> the </w:t>
      </w:r>
      <w:r w:rsidR="008902AB" w:rsidRPr="00FE7BA7">
        <w:rPr>
          <w:rFonts w:ascii="Verdana" w:hAnsi="Verdana"/>
          <w:sz w:val="20"/>
          <w:szCs w:val="20"/>
          <w:lang w:val="en-US"/>
        </w:rPr>
        <w:t xml:space="preserve">capital </w:t>
      </w:r>
      <w:r w:rsidR="00540D55" w:rsidRPr="00FE7BA7">
        <w:rPr>
          <w:rFonts w:ascii="Verdana" w:hAnsi="Verdana"/>
          <w:sz w:val="20"/>
          <w:szCs w:val="20"/>
          <w:lang w:val="en-US"/>
        </w:rPr>
        <w:t>of the</w:t>
      </w:r>
      <w:r w:rsidR="008902AB" w:rsidRPr="00FE7BA7">
        <w:rPr>
          <w:rFonts w:ascii="Verdana" w:hAnsi="Verdana"/>
          <w:sz w:val="20"/>
          <w:szCs w:val="20"/>
          <w:lang w:val="en-US"/>
        </w:rPr>
        <w:t xml:space="preserve"> </w:t>
      </w:r>
      <w:r w:rsidR="00965219">
        <w:rPr>
          <w:rFonts w:ascii="Verdana" w:hAnsi="Verdana"/>
          <w:sz w:val="20"/>
          <w:szCs w:val="20"/>
          <w:lang w:val="en-US"/>
        </w:rPr>
        <w:t>district</w:t>
      </w:r>
      <w:r w:rsidR="004D5C60">
        <w:rPr>
          <w:rFonts w:ascii="Verdana" w:hAnsi="Verdana"/>
          <w:sz w:val="20"/>
          <w:szCs w:val="20"/>
          <w:lang w:val="en-US"/>
        </w:rPr>
        <w:t xml:space="preserve"> of </w:t>
      </w:r>
      <w:r w:rsidR="008902AB" w:rsidRPr="00FE7BA7">
        <w:rPr>
          <w:rFonts w:ascii="Verdana" w:hAnsi="Verdana"/>
          <w:sz w:val="20"/>
          <w:szCs w:val="20"/>
          <w:lang w:val="en-US"/>
        </w:rPr>
        <w:t>Marowijn</w:t>
      </w:r>
      <w:r w:rsidR="00540D55" w:rsidRPr="00FE7BA7">
        <w:rPr>
          <w:rFonts w:ascii="Verdana" w:hAnsi="Verdana"/>
          <w:sz w:val="20"/>
          <w:szCs w:val="20"/>
          <w:lang w:val="en-US"/>
        </w:rPr>
        <w:t>e</w:t>
      </w:r>
      <w:r w:rsidR="008902AB" w:rsidRPr="00FE7BA7">
        <w:rPr>
          <w:rFonts w:ascii="Verdana" w:hAnsi="Verdana"/>
          <w:sz w:val="20"/>
          <w:szCs w:val="20"/>
          <w:lang w:val="en-US"/>
        </w:rPr>
        <w:t>, ha</w:t>
      </w:r>
      <w:r w:rsidR="00DB712A" w:rsidRPr="00FE7BA7">
        <w:rPr>
          <w:rFonts w:ascii="Verdana" w:hAnsi="Verdana"/>
          <w:sz w:val="20"/>
          <w:szCs w:val="20"/>
          <w:lang w:val="en-US"/>
        </w:rPr>
        <w:t>d</w:t>
      </w:r>
      <w:r w:rsidR="00540D55" w:rsidRPr="00FE7BA7">
        <w:rPr>
          <w:rFonts w:ascii="Verdana" w:hAnsi="Verdana"/>
          <w:sz w:val="20"/>
          <w:szCs w:val="20"/>
          <w:lang w:val="en-US"/>
        </w:rPr>
        <w:t xml:space="preserve"> been a </w:t>
      </w:r>
      <w:r w:rsidR="004D5C60">
        <w:rPr>
          <w:rFonts w:ascii="Verdana" w:hAnsi="Verdana"/>
          <w:sz w:val="20"/>
          <w:szCs w:val="20"/>
          <w:lang w:val="en-US"/>
        </w:rPr>
        <w:t>nucleus of</w:t>
      </w:r>
      <w:r w:rsidR="00540D55" w:rsidRPr="00FE7BA7">
        <w:rPr>
          <w:rFonts w:ascii="Verdana" w:hAnsi="Verdana"/>
          <w:sz w:val="20"/>
          <w:szCs w:val="20"/>
          <w:lang w:val="en-US"/>
        </w:rPr>
        <w:t xml:space="preserve"> social, economic and cultural acti</w:t>
      </w:r>
      <w:r w:rsidR="00FE7BA7">
        <w:rPr>
          <w:rFonts w:ascii="Verdana" w:hAnsi="Verdana"/>
          <w:sz w:val="20"/>
          <w:szCs w:val="20"/>
          <w:lang w:val="en-US"/>
        </w:rPr>
        <w:t>vitie</w:t>
      </w:r>
      <w:r w:rsidR="00540D55" w:rsidRPr="00FE7BA7">
        <w:rPr>
          <w:rFonts w:ascii="Verdana" w:hAnsi="Verdana"/>
          <w:sz w:val="20"/>
          <w:szCs w:val="20"/>
          <w:lang w:val="en-US"/>
        </w:rPr>
        <w:t xml:space="preserve">s </w:t>
      </w:r>
      <w:r w:rsidR="00863A9E" w:rsidRPr="00FE7BA7">
        <w:rPr>
          <w:rFonts w:ascii="Verdana" w:hAnsi="Verdana"/>
          <w:sz w:val="20"/>
          <w:szCs w:val="20"/>
          <w:lang w:val="en-US"/>
        </w:rPr>
        <w:t xml:space="preserve">in the </w:t>
      </w:r>
      <w:r w:rsidR="00635ACD" w:rsidRPr="00FE7BA7">
        <w:rPr>
          <w:rFonts w:ascii="Verdana" w:hAnsi="Verdana"/>
          <w:sz w:val="20"/>
          <w:szCs w:val="20"/>
          <w:lang w:val="en-US"/>
        </w:rPr>
        <w:t>Lower Marowijne</w:t>
      </w:r>
      <w:r w:rsidR="00DB0E7C" w:rsidRPr="00FE7BA7">
        <w:rPr>
          <w:rFonts w:ascii="Verdana" w:hAnsi="Verdana"/>
          <w:sz w:val="20"/>
          <w:szCs w:val="20"/>
          <w:lang w:val="en-US"/>
        </w:rPr>
        <w:t xml:space="preserve"> </w:t>
      </w:r>
      <w:r w:rsidR="004D5C60">
        <w:rPr>
          <w:rFonts w:ascii="Verdana" w:hAnsi="Verdana"/>
          <w:sz w:val="20"/>
          <w:szCs w:val="20"/>
          <w:lang w:val="en-US"/>
        </w:rPr>
        <w:t>region</w:t>
      </w:r>
      <w:r w:rsidR="00FD14B3" w:rsidRPr="00FE7BA7">
        <w:rPr>
          <w:rFonts w:ascii="Verdana" w:hAnsi="Verdana"/>
          <w:sz w:val="20"/>
          <w:szCs w:val="20"/>
          <w:lang w:val="en-US"/>
        </w:rPr>
        <w:t xml:space="preserve"> </w:t>
      </w:r>
      <w:r w:rsidR="00540D55" w:rsidRPr="00FE7BA7">
        <w:rPr>
          <w:rFonts w:ascii="Verdana" w:hAnsi="Verdana"/>
          <w:sz w:val="20"/>
          <w:szCs w:val="20"/>
          <w:lang w:val="en-US"/>
        </w:rPr>
        <w:t>for centuries. It also indicated that although</w:t>
      </w:r>
      <w:r w:rsidR="008902AB" w:rsidRPr="00FE7BA7">
        <w:rPr>
          <w:rFonts w:ascii="Verdana" w:hAnsi="Verdana"/>
          <w:sz w:val="20"/>
          <w:szCs w:val="20"/>
          <w:lang w:val="en-US"/>
        </w:rPr>
        <w:t xml:space="preserve">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8902AB" w:rsidRPr="00FE7BA7">
        <w:rPr>
          <w:rFonts w:ascii="Verdana" w:hAnsi="Verdana"/>
          <w:sz w:val="20"/>
          <w:szCs w:val="20"/>
          <w:lang w:val="en-US"/>
        </w:rPr>
        <w:t xml:space="preserve"> ha</w:t>
      </w:r>
      <w:r w:rsidR="004D5C60">
        <w:rPr>
          <w:rFonts w:ascii="Verdana" w:hAnsi="Verdana"/>
          <w:sz w:val="20"/>
          <w:szCs w:val="20"/>
          <w:lang w:val="en-US"/>
        </w:rPr>
        <w:t>d</w:t>
      </w:r>
      <w:r w:rsidR="00540D55" w:rsidRPr="00FE7BA7">
        <w:rPr>
          <w:rFonts w:ascii="Verdana" w:hAnsi="Verdana"/>
          <w:sz w:val="20"/>
          <w:szCs w:val="20"/>
          <w:lang w:val="en-US"/>
        </w:rPr>
        <w:t xml:space="preserve"> taken part in these activities, they did not consider Albina to be part of </w:t>
      </w:r>
      <w:r w:rsidR="005269B1" w:rsidRPr="00FE7BA7">
        <w:rPr>
          <w:rFonts w:ascii="Verdana" w:hAnsi="Verdana"/>
          <w:sz w:val="20"/>
          <w:szCs w:val="20"/>
          <w:lang w:val="en-US"/>
        </w:rPr>
        <w:t>their ancestral territory</w:t>
      </w:r>
      <w:r w:rsidR="008902AB" w:rsidRPr="00FE7BA7">
        <w:rPr>
          <w:rFonts w:ascii="Verdana" w:hAnsi="Verdana"/>
          <w:sz w:val="20"/>
          <w:szCs w:val="20"/>
          <w:lang w:val="en-US"/>
        </w:rPr>
        <w:t xml:space="preserve"> </w:t>
      </w:r>
      <w:r w:rsidR="00540D55" w:rsidRPr="00FE7BA7">
        <w:rPr>
          <w:rFonts w:ascii="Verdana" w:hAnsi="Verdana"/>
          <w:sz w:val="20"/>
          <w:szCs w:val="20"/>
          <w:lang w:val="en-US"/>
        </w:rPr>
        <w:t xml:space="preserve">over which they could claim </w:t>
      </w:r>
      <w:r w:rsidR="004D5C60">
        <w:rPr>
          <w:rFonts w:ascii="Verdana" w:hAnsi="Verdana"/>
          <w:sz w:val="20"/>
          <w:szCs w:val="20"/>
          <w:lang w:val="en-US"/>
        </w:rPr>
        <w:t>ownership</w:t>
      </w:r>
      <w:r w:rsidR="00540D55" w:rsidRPr="00FE7BA7">
        <w:rPr>
          <w:rFonts w:ascii="Verdana" w:hAnsi="Verdana"/>
          <w:sz w:val="20"/>
          <w:szCs w:val="20"/>
          <w:lang w:val="en-US"/>
        </w:rPr>
        <w:t xml:space="preserve"> rights. In this regard, the State indicated that these peoples never protested against the project, because the site on which it was carried out was not part of the land with which they had a special relationship. In addition, the State </w:t>
      </w:r>
      <w:r w:rsidR="004D5C60">
        <w:rPr>
          <w:rFonts w:ascii="Verdana" w:hAnsi="Verdana"/>
          <w:sz w:val="20"/>
          <w:szCs w:val="20"/>
          <w:lang w:val="en-US"/>
        </w:rPr>
        <w:t>de</w:t>
      </w:r>
      <w:r w:rsidR="00B76ADB">
        <w:rPr>
          <w:rFonts w:ascii="Verdana" w:hAnsi="Verdana"/>
          <w:sz w:val="20"/>
          <w:szCs w:val="20"/>
          <w:lang w:val="en-US"/>
        </w:rPr>
        <w:t>cla</w:t>
      </w:r>
      <w:r w:rsidR="004D5C60">
        <w:rPr>
          <w:rFonts w:ascii="Verdana" w:hAnsi="Verdana"/>
          <w:sz w:val="20"/>
          <w:szCs w:val="20"/>
          <w:lang w:val="en-US"/>
        </w:rPr>
        <w:t>re</w:t>
      </w:r>
      <w:r w:rsidR="00540D55" w:rsidRPr="00FE7BA7">
        <w:rPr>
          <w:rFonts w:ascii="Verdana" w:hAnsi="Verdana"/>
          <w:sz w:val="20"/>
          <w:szCs w:val="20"/>
          <w:lang w:val="en-US"/>
        </w:rPr>
        <w:t>d that part of the villages claimed, in which the indigenous pe</w:t>
      </w:r>
      <w:r w:rsidR="004D5C60">
        <w:rPr>
          <w:rFonts w:ascii="Verdana" w:hAnsi="Verdana"/>
          <w:sz w:val="20"/>
          <w:szCs w:val="20"/>
          <w:lang w:val="en-US"/>
        </w:rPr>
        <w:t xml:space="preserve">oples live, are shared with members of </w:t>
      </w:r>
      <w:r w:rsidR="00540D55" w:rsidRPr="00FE7BA7">
        <w:rPr>
          <w:rFonts w:ascii="Verdana" w:hAnsi="Verdana"/>
          <w:sz w:val="20"/>
          <w:szCs w:val="20"/>
          <w:lang w:val="en-US"/>
        </w:rPr>
        <w:t>Maroon tribes.</w:t>
      </w:r>
      <w:r w:rsidR="008A4ABB" w:rsidRPr="00FE7BA7">
        <w:rPr>
          <w:rStyle w:val="FootnoteReference"/>
          <w:rFonts w:cs="Arial"/>
          <w:szCs w:val="20"/>
          <w:lang w:val="en-US"/>
        </w:rPr>
        <w:footnoteReference w:id="154"/>
      </w:r>
      <w:r w:rsidR="00540D55" w:rsidRPr="00FE7BA7">
        <w:rPr>
          <w:rFonts w:ascii="Verdana" w:hAnsi="Verdana"/>
          <w:sz w:val="20"/>
          <w:szCs w:val="20"/>
          <w:lang w:val="en-US"/>
        </w:rPr>
        <w:t xml:space="preserve"> During</w:t>
      </w:r>
      <w:r w:rsidR="008A4ABB" w:rsidRPr="00FE7BA7">
        <w:rPr>
          <w:rFonts w:ascii="Verdana" w:hAnsi="Verdana"/>
          <w:sz w:val="20"/>
          <w:szCs w:val="20"/>
          <w:lang w:val="en-US"/>
        </w:rPr>
        <w:t xml:space="preserve"> </w:t>
      </w:r>
      <w:r w:rsidR="00D16DA7" w:rsidRPr="00FE7BA7">
        <w:rPr>
          <w:rFonts w:ascii="Verdana" w:hAnsi="Verdana"/>
          <w:sz w:val="20"/>
          <w:szCs w:val="20"/>
          <w:lang w:val="en-US"/>
        </w:rPr>
        <w:t>the visit</w:t>
      </w:r>
      <w:r w:rsidR="008A4ABB" w:rsidRPr="00FE7BA7">
        <w:rPr>
          <w:rFonts w:ascii="Verdana" w:hAnsi="Verdana"/>
          <w:sz w:val="20"/>
          <w:szCs w:val="20"/>
          <w:lang w:val="en-US"/>
        </w:rPr>
        <w:t xml:space="preserve">, </w:t>
      </w:r>
      <w:r w:rsidR="00DB712A" w:rsidRPr="00FE7BA7">
        <w:rPr>
          <w:rFonts w:ascii="Verdana" w:hAnsi="Verdana"/>
          <w:sz w:val="20"/>
          <w:szCs w:val="20"/>
          <w:lang w:val="en-US"/>
        </w:rPr>
        <w:t>it added that the area claimed includes</w:t>
      </w:r>
      <w:r w:rsidR="00540D55" w:rsidRPr="00FE7BA7">
        <w:rPr>
          <w:rFonts w:ascii="Verdana" w:hAnsi="Verdana"/>
          <w:sz w:val="20"/>
          <w:szCs w:val="20"/>
          <w:lang w:val="en-US"/>
        </w:rPr>
        <w:t xml:space="preserve"> around 18 communities in which Maroons reside </w:t>
      </w:r>
      <w:r w:rsidR="008A4ABB" w:rsidRPr="00FE7BA7">
        <w:rPr>
          <w:rFonts w:ascii="Verdana" w:hAnsi="Verdana"/>
          <w:sz w:val="20"/>
          <w:szCs w:val="20"/>
          <w:lang w:val="en-US"/>
        </w:rPr>
        <w:t>(</w:t>
      </w:r>
      <w:r w:rsidR="008A4ABB" w:rsidRPr="00FE7BA7">
        <w:rPr>
          <w:rFonts w:ascii="Verdana" w:hAnsi="Verdana"/>
          <w:i/>
          <w:sz w:val="20"/>
          <w:szCs w:val="20"/>
          <w:lang w:val="en-US"/>
        </w:rPr>
        <w:t>supra</w:t>
      </w:r>
      <w:r w:rsidR="008A4ABB" w:rsidRPr="00FE7BA7">
        <w:rPr>
          <w:rFonts w:ascii="Verdana" w:hAnsi="Verdana"/>
          <w:sz w:val="20"/>
          <w:szCs w:val="20"/>
          <w:lang w:val="en-US"/>
        </w:rPr>
        <w:t xml:space="preserve"> </w:t>
      </w:r>
      <w:r w:rsidR="00810FAD" w:rsidRPr="00FE7BA7">
        <w:rPr>
          <w:rFonts w:ascii="Verdana" w:hAnsi="Verdana"/>
          <w:sz w:val="20"/>
          <w:szCs w:val="20"/>
          <w:lang w:val="en-US"/>
        </w:rPr>
        <w:t>para.</w:t>
      </w:r>
      <w:r w:rsidR="008A4ABB" w:rsidRPr="00FE7BA7">
        <w:rPr>
          <w:rFonts w:ascii="Verdana" w:hAnsi="Verdana"/>
          <w:sz w:val="20"/>
          <w:szCs w:val="20"/>
          <w:lang w:val="en-US"/>
        </w:rPr>
        <w:t xml:space="preserve"> 41). </w:t>
      </w:r>
    </w:p>
    <w:p w14:paraId="63126946" w14:textId="77777777" w:rsidR="00FC1FCF" w:rsidRPr="00FE7BA7" w:rsidRDefault="00FC1FCF" w:rsidP="00FC1FCF">
      <w:pPr>
        <w:pStyle w:val="ListParagraph"/>
        <w:ind w:left="0"/>
        <w:jc w:val="both"/>
        <w:rPr>
          <w:rFonts w:ascii="Verdana" w:hAnsi="Verdana"/>
          <w:sz w:val="20"/>
          <w:szCs w:val="20"/>
          <w:lang w:val="en-US"/>
        </w:rPr>
      </w:pPr>
    </w:p>
    <w:p w14:paraId="63126947" w14:textId="77777777" w:rsidR="00FC1FCF" w:rsidRPr="00FE7BA7" w:rsidRDefault="00DB712A" w:rsidP="00DB712A">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Regarding the nature reserves, the State affirmed that they </w:t>
      </w:r>
      <w:r w:rsidR="00EC45EE">
        <w:rPr>
          <w:rFonts w:ascii="Verdana" w:hAnsi="Verdana"/>
          <w:sz w:val="20"/>
          <w:szCs w:val="20"/>
          <w:lang w:val="en-US"/>
        </w:rPr>
        <w:t>had been</w:t>
      </w:r>
      <w:r w:rsidRPr="00FE7BA7">
        <w:rPr>
          <w:rFonts w:ascii="Verdana" w:hAnsi="Verdana"/>
          <w:sz w:val="20"/>
          <w:szCs w:val="20"/>
          <w:lang w:val="en-US"/>
        </w:rPr>
        <w:t xml:space="preserve"> established to advance nature conservation efforts and that they responded to a higher interest that prevailed over the property rights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FC1FCF" w:rsidRPr="00FE7BA7">
        <w:rPr>
          <w:rFonts w:ascii="Verdana" w:hAnsi="Verdana"/>
          <w:sz w:val="20"/>
          <w:szCs w:val="20"/>
          <w:lang w:val="en-US"/>
        </w:rPr>
        <w:t xml:space="preserve">. </w:t>
      </w:r>
      <w:r w:rsidRPr="00FE7BA7">
        <w:rPr>
          <w:rFonts w:ascii="Verdana" w:hAnsi="Verdana"/>
          <w:sz w:val="20"/>
          <w:szCs w:val="20"/>
          <w:lang w:val="en-US"/>
        </w:rPr>
        <w:t>It also argued that it had never r</w:t>
      </w:r>
      <w:r w:rsidR="005530FA">
        <w:rPr>
          <w:rFonts w:ascii="Verdana" w:hAnsi="Verdana"/>
          <w:sz w:val="20"/>
          <w:szCs w:val="20"/>
          <w:lang w:val="en-US"/>
        </w:rPr>
        <w:t xml:space="preserve">estricted access or </w:t>
      </w:r>
      <w:r w:rsidR="00B76ADB">
        <w:rPr>
          <w:rFonts w:ascii="Verdana" w:hAnsi="Verdana"/>
          <w:sz w:val="20"/>
          <w:szCs w:val="20"/>
          <w:lang w:val="en-US"/>
        </w:rPr>
        <w:t>use</w:t>
      </w:r>
      <w:r w:rsidRPr="00FE7BA7">
        <w:rPr>
          <w:rFonts w:ascii="Verdana" w:hAnsi="Verdana"/>
          <w:sz w:val="20"/>
          <w:szCs w:val="20"/>
          <w:lang w:val="en-US"/>
        </w:rPr>
        <w:t xml:space="preserve"> of resources within the res</w:t>
      </w:r>
      <w:r w:rsidR="005530FA">
        <w:rPr>
          <w:rFonts w:ascii="Verdana" w:hAnsi="Verdana"/>
          <w:sz w:val="20"/>
          <w:szCs w:val="20"/>
          <w:lang w:val="en-US"/>
        </w:rPr>
        <w:t>erves to these peoples, and it had</w:t>
      </w:r>
      <w:r w:rsidRPr="00FE7BA7">
        <w:rPr>
          <w:rFonts w:ascii="Verdana" w:hAnsi="Verdana"/>
          <w:sz w:val="20"/>
          <w:szCs w:val="20"/>
          <w:lang w:val="en-US"/>
        </w:rPr>
        <w:t xml:space="preserve"> encouraged their participation in the management of the reserves.</w:t>
      </w:r>
      <w:r w:rsidRPr="00FE7BA7">
        <w:rPr>
          <w:rStyle w:val="FootnoteReference"/>
          <w:rFonts w:cs="Arial"/>
          <w:szCs w:val="20"/>
          <w:lang w:val="en-US"/>
        </w:rPr>
        <w:footnoteReference w:id="155"/>
      </w:r>
      <w:r w:rsidRPr="00FE7BA7">
        <w:rPr>
          <w:rFonts w:ascii="Verdana" w:hAnsi="Verdana"/>
          <w:sz w:val="20"/>
          <w:szCs w:val="20"/>
          <w:lang w:val="en-US"/>
        </w:rPr>
        <w:t xml:space="preserve"> However, the State explained that it opposed the indigenous peoples managing </w:t>
      </w:r>
      <w:r w:rsidRPr="00EC45EE">
        <w:rPr>
          <w:rFonts w:ascii="Verdana" w:hAnsi="Verdana"/>
          <w:sz w:val="20"/>
          <w:szCs w:val="20"/>
          <w:lang w:val="en-US"/>
        </w:rPr>
        <w:t>the “</w:t>
      </w:r>
      <w:r w:rsidR="00EC45EE" w:rsidRPr="00EC45EE">
        <w:rPr>
          <w:rFonts w:ascii="Verdana" w:hAnsi="Verdana"/>
          <w:sz w:val="20"/>
          <w:szCs w:val="20"/>
          <w:lang w:val="en-US"/>
        </w:rPr>
        <w:t>nature reserves on their own</w:t>
      </w:r>
      <w:r w:rsidR="00EC45EE">
        <w:rPr>
          <w:rFonts w:ascii="Verdana" w:hAnsi="Verdana"/>
          <w:sz w:val="20"/>
          <w:szCs w:val="20"/>
          <w:lang w:val="en-US"/>
        </w:rPr>
        <w:t>.</w:t>
      </w:r>
      <w:r w:rsidRPr="00FE7BA7">
        <w:rPr>
          <w:rFonts w:ascii="Verdana" w:hAnsi="Verdana"/>
          <w:sz w:val="20"/>
          <w:szCs w:val="20"/>
          <w:lang w:val="en-US"/>
        </w:rPr>
        <w:t xml:space="preserve">” The State also argued that the restitution of the lands that are now part of the reserves would pose a threat to its obligations towards its </w:t>
      </w:r>
      <w:r w:rsidR="00FE7BA7" w:rsidRPr="00FE7BA7">
        <w:rPr>
          <w:rFonts w:ascii="Verdana" w:hAnsi="Verdana"/>
          <w:sz w:val="20"/>
          <w:szCs w:val="20"/>
          <w:lang w:val="en-US"/>
        </w:rPr>
        <w:t>citizens</w:t>
      </w:r>
      <w:r w:rsidRPr="00FE7BA7">
        <w:rPr>
          <w:rFonts w:ascii="Verdana" w:hAnsi="Verdana"/>
          <w:sz w:val="20"/>
          <w:szCs w:val="20"/>
          <w:lang w:val="en-US"/>
        </w:rPr>
        <w:t xml:space="preserve"> and could </w:t>
      </w:r>
      <w:r w:rsidR="00EC45EE">
        <w:rPr>
          <w:rFonts w:ascii="Verdana" w:hAnsi="Verdana"/>
          <w:sz w:val="20"/>
          <w:szCs w:val="20"/>
          <w:lang w:val="en-US"/>
        </w:rPr>
        <w:t>jeopardize the balance of</w:t>
      </w:r>
      <w:r w:rsidR="005530FA">
        <w:rPr>
          <w:rFonts w:ascii="Verdana" w:hAnsi="Verdana"/>
          <w:sz w:val="20"/>
          <w:szCs w:val="20"/>
          <w:lang w:val="en-US"/>
        </w:rPr>
        <w:t xml:space="preserve"> a system that had</w:t>
      </w:r>
      <w:r w:rsidRPr="00FE7BA7">
        <w:rPr>
          <w:rFonts w:ascii="Verdana" w:hAnsi="Verdana"/>
          <w:sz w:val="20"/>
          <w:szCs w:val="20"/>
          <w:lang w:val="en-US"/>
        </w:rPr>
        <w:t xml:space="preserve"> proved</w:t>
      </w:r>
      <w:r w:rsidR="00EC45EE">
        <w:rPr>
          <w:rFonts w:ascii="Verdana" w:hAnsi="Verdana"/>
          <w:sz w:val="20"/>
          <w:szCs w:val="20"/>
          <w:lang w:val="en-US"/>
        </w:rPr>
        <w:t xml:space="preserve"> able</w:t>
      </w:r>
      <w:r w:rsidRPr="00FE7BA7">
        <w:rPr>
          <w:rFonts w:ascii="Verdana" w:hAnsi="Verdana"/>
          <w:sz w:val="20"/>
          <w:szCs w:val="20"/>
          <w:lang w:val="en-US"/>
        </w:rPr>
        <w:t xml:space="preserve"> to keep the peace, owing to the legal, social, economic, ethnic and racial implications that this restitution could signify. </w:t>
      </w:r>
      <w:r w:rsidR="00FE7BA7" w:rsidRPr="00FE7BA7">
        <w:rPr>
          <w:rFonts w:ascii="Verdana" w:hAnsi="Verdana"/>
          <w:sz w:val="20"/>
          <w:szCs w:val="20"/>
          <w:lang w:val="en-US"/>
        </w:rPr>
        <w:t>Similarly</w:t>
      </w:r>
      <w:r w:rsidRPr="00FE7BA7">
        <w:rPr>
          <w:rFonts w:ascii="Verdana" w:hAnsi="Verdana"/>
          <w:sz w:val="20"/>
          <w:szCs w:val="20"/>
          <w:lang w:val="en-US"/>
        </w:rPr>
        <w:t>, the State affirmed that it was unable to share the management of the natur</w:t>
      </w:r>
      <w:r w:rsidR="00EC45EE">
        <w:rPr>
          <w:rFonts w:ascii="Verdana" w:hAnsi="Verdana"/>
          <w:sz w:val="20"/>
          <w:szCs w:val="20"/>
          <w:lang w:val="en-US"/>
        </w:rPr>
        <w:t>al resources, because if all</w:t>
      </w:r>
      <w:r w:rsidRPr="00FE7BA7">
        <w:rPr>
          <w:rFonts w:ascii="Verdana" w:hAnsi="Verdana"/>
          <w:sz w:val="20"/>
          <w:szCs w:val="20"/>
          <w:lang w:val="en-US"/>
        </w:rPr>
        <w:t xml:space="preserve"> indigenous </w:t>
      </w:r>
      <w:r w:rsidR="00EC45EE">
        <w:rPr>
          <w:rFonts w:ascii="Verdana" w:hAnsi="Verdana"/>
          <w:sz w:val="20"/>
          <w:szCs w:val="20"/>
          <w:lang w:val="en-US"/>
        </w:rPr>
        <w:t xml:space="preserve">and Maroon </w:t>
      </w:r>
      <w:r w:rsidR="00EC45EE" w:rsidRPr="00FE7BA7">
        <w:rPr>
          <w:rFonts w:ascii="Verdana" w:hAnsi="Verdana"/>
          <w:sz w:val="20"/>
          <w:szCs w:val="20"/>
          <w:lang w:val="en-US"/>
        </w:rPr>
        <w:t>peoples</w:t>
      </w:r>
      <w:r w:rsidR="00EC45EE">
        <w:rPr>
          <w:rFonts w:ascii="Verdana" w:hAnsi="Verdana"/>
          <w:sz w:val="20"/>
          <w:szCs w:val="20"/>
          <w:lang w:val="en-US"/>
        </w:rPr>
        <w:t xml:space="preserve"> claimed control over </w:t>
      </w:r>
      <w:r w:rsidRPr="00FE7BA7">
        <w:rPr>
          <w:rFonts w:ascii="Verdana" w:hAnsi="Verdana"/>
          <w:sz w:val="20"/>
          <w:szCs w:val="20"/>
          <w:lang w:val="en-US"/>
        </w:rPr>
        <w:t xml:space="preserve">such resources in their ancestral territories, it would be </w:t>
      </w:r>
      <w:r w:rsidR="00FE7BA7" w:rsidRPr="00FE7BA7">
        <w:rPr>
          <w:rFonts w:ascii="Verdana" w:hAnsi="Verdana"/>
          <w:sz w:val="20"/>
          <w:szCs w:val="20"/>
          <w:lang w:val="en-US"/>
        </w:rPr>
        <w:t>disastrous</w:t>
      </w:r>
      <w:r w:rsidRPr="00FE7BA7">
        <w:rPr>
          <w:rFonts w:ascii="Verdana" w:hAnsi="Verdana"/>
          <w:sz w:val="20"/>
          <w:szCs w:val="20"/>
          <w:lang w:val="en-US"/>
        </w:rPr>
        <w:t xml:space="preserve"> for Suriname’s </w:t>
      </w:r>
      <w:r w:rsidR="00086269" w:rsidRPr="00FE7BA7">
        <w:rPr>
          <w:rFonts w:ascii="Verdana" w:hAnsi="Verdana"/>
          <w:sz w:val="20"/>
          <w:szCs w:val="20"/>
          <w:lang w:val="en-US"/>
        </w:rPr>
        <w:t>economy.</w:t>
      </w:r>
      <w:r w:rsidR="00FC1FCF" w:rsidRPr="00FE7BA7">
        <w:rPr>
          <w:rStyle w:val="FootnoteReference"/>
          <w:rFonts w:cs="Arial"/>
          <w:szCs w:val="20"/>
          <w:lang w:val="en-US"/>
        </w:rPr>
        <w:footnoteReference w:id="156"/>
      </w:r>
    </w:p>
    <w:p w14:paraId="63126948" w14:textId="77777777" w:rsidR="00FC1FCF" w:rsidRPr="00FE7BA7" w:rsidRDefault="00FC1FCF" w:rsidP="00FC1FCF">
      <w:pPr>
        <w:pStyle w:val="ListParagraph"/>
        <w:ind w:left="0"/>
        <w:jc w:val="both"/>
        <w:rPr>
          <w:rFonts w:ascii="Verdana" w:hAnsi="Verdana"/>
          <w:sz w:val="20"/>
          <w:szCs w:val="20"/>
          <w:lang w:val="en-US"/>
        </w:rPr>
      </w:pPr>
    </w:p>
    <w:p w14:paraId="63126949" w14:textId="5A5D59A6" w:rsidR="00FC1FCF" w:rsidRPr="00FE7BA7" w:rsidRDefault="00FC1FCF" w:rsidP="00BB0B4D">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w:t>
      </w:r>
      <w:r w:rsidR="00086269" w:rsidRPr="00FE7BA7">
        <w:rPr>
          <w:rFonts w:ascii="Verdana" w:hAnsi="Verdana"/>
          <w:sz w:val="20"/>
          <w:szCs w:val="20"/>
          <w:lang w:val="en-US"/>
        </w:rPr>
        <w:t xml:space="preserve">garding the </w:t>
      </w:r>
      <w:r w:rsidR="00EC45EE">
        <w:rPr>
          <w:rFonts w:ascii="Verdana" w:hAnsi="Verdana"/>
          <w:sz w:val="20"/>
          <w:szCs w:val="20"/>
          <w:lang w:val="en-US"/>
        </w:rPr>
        <w:t xml:space="preserve">bauxite </w:t>
      </w:r>
      <w:r w:rsidR="00086269" w:rsidRPr="00FE7BA7">
        <w:rPr>
          <w:rFonts w:ascii="Verdana" w:hAnsi="Verdana"/>
          <w:sz w:val="20"/>
          <w:szCs w:val="20"/>
          <w:lang w:val="en-US"/>
        </w:rPr>
        <w:t>mining concessions, the State affirmed that</w:t>
      </w:r>
      <w:r w:rsidRPr="00FE7BA7">
        <w:rPr>
          <w:rFonts w:ascii="Verdana" w:hAnsi="Verdana"/>
          <w:sz w:val="20"/>
          <w:szCs w:val="20"/>
          <w:lang w:val="en-US"/>
        </w:rPr>
        <w:t xml:space="preserve"> </w:t>
      </w:r>
      <w:r w:rsidR="00BD40EF" w:rsidRPr="00FE7BA7">
        <w:rPr>
          <w:rFonts w:ascii="Verdana" w:hAnsi="Verdana"/>
          <w:sz w:val="20"/>
          <w:szCs w:val="20"/>
          <w:lang w:val="en-US"/>
        </w:rPr>
        <w:t>the indigenous peoples</w:t>
      </w:r>
      <w:r w:rsidRPr="00FE7BA7">
        <w:rPr>
          <w:rFonts w:ascii="Verdana" w:hAnsi="Verdana"/>
          <w:sz w:val="20"/>
          <w:szCs w:val="20"/>
          <w:lang w:val="en-US"/>
        </w:rPr>
        <w:t xml:space="preserve"> </w:t>
      </w:r>
      <w:r w:rsidR="00DB712A" w:rsidRPr="00FE7BA7">
        <w:rPr>
          <w:rFonts w:ascii="Verdana" w:hAnsi="Verdana"/>
          <w:sz w:val="20"/>
          <w:szCs w:val="20"/>
          <w:lang w:val="en-US"/>
        </w:rPr>
        <w:t>did not live in or</w:t>
      </w:r>
      <w:r w:rsidR="00BB0B4D" w:rsidRPr="00FE7BA7">
        <w:rPr>
          <w:rFonts w:ascii="Verdana" w:hAnsi="Verdana"/>
          <w:sz w:val="20"/>
          <w:szCs w:val="20"/>
          <w:lang w:val="en-US"/>
        </w:rPr>
        <w:t xml:space="preserve"> </w:t>
      </w:r>
      <w:r w:rsidR="00EC45EE">
        <w:rPr>
          <w:rFonts w:ascii="Verdana" w:hAnsi="Verdana"/>
          <w:sz w:val="20"/>
          <w:szCs w:val="20"/>
          <w:lang w:val="en-US"/>
        </w:rPr>
        <w:t>near</w:t>
      </w:r>
      <w:r w:rsidR="00DB712A" w:rsidRPr="00FE7BA7">
        <w:rPr>
          <w:rFonts w:ascii="Verdana" w:hAnsi="Verdana"/>
          <w:sz w:val="20"/>
          <w:szCs w:val="20"/>
          <w:lang w:val="en-US"/>
        </w:rPr>
        <w:t xml:space="preserve"> the mining</w:t>
      </w:r>
      <w:r w:rsidR="00BB0B4D" w:rsidRPr="00FE7BA7">
        <w:rPr>
          <w:rFonts w:ascii="Verdana" w:hAnsi="Verdana"/>
          <w:sz w:val="20"/>
          <w:szCs w:val="20"/>
          <w:lang w:val="en-US"/>
        </w:rPr>
        <w:t xml:space="preserve"> area and that the distance between this and the nearest indigenous village (Alfonsdorp) was approximately 6.3 km. The State also indicated that, </w:t>
      </w:r>
      <w:r w:rsidR="00EC45EE">
        <w:rPr>
          <w:rFonts w:ascii="Verdana" w:hAnsi="Verdana"/>
          <w:sz w:val="20"/>
          <w:szCs w:val="20"/>
          <w:lang w:val="en-US"/>
        </w:rPr>
        <w:t>currently</w:t>
      </w:r>
      <w:r w:rsidR="00BB0B4D" w:rsidRPr="00FE7BA7">
        <w:rPr>
          <w:rFonts w:ascii="Verdana" w:hAnsi="Verdana"/>
          <w:sz w:val="20"/>
          <w:szCs w:val="20"/>
          <w:lang w:val="en-US"/>
        </w:rPr>
        <w:t xml:space="preserve">, there were no exploration or exploitation </w:t>
      </w:r>
      <w:r w:rsidR="005530FA">
        <w:rPr>
          <w:rFonts w:ascii="Verdana" w:hAnsi="Verdana"/>
          <w:sz w:val="20"/>
          <w:szCs w:val="20"/>
          <w:lang w:val="en-US"/>
        </w:rPr>
        <w:t>activities</w:t>
      </w:r>
      <w:r w:rsidR="00BB0B4D" w:rsidRPr="00FE7BA7">
        <w:rPr>
          <w:rFonts w:ascii="Verdana" w:hAnsi="Verdana"/>
          <w:sz w:val="20"/>
          <w:szCs w:val="20"/>
          <w:lang w:val="en-US"/>
        </w:rPr>
        <w:t xml:space="preserve"> in the area; however, Suralco intended to re</w:t>
      </w:r>
      <w:r w:rsidR="00EC45EE">
        <w:rPr>
          <w:rFonts w:ascii="Verdana" w:hAnsi="Verdana"/>
          <w:sz w:val="20"/>
          <w:szCs w:val="20"/>
          <w:lang w:val="en-US"/>
        </w:rPr>
        <w:t>initiate</w:t>
      </w:r>
      <w:r w:rsidR="00BB0B4D" w:rsidRPr="00FE7BA7">
        <w:rPr>
          <w:rFonts w:ascii="Verdana" w:hAnsi="Verdana"/>
          <w:sz w:val="20"/>
          <w:szCs w:val="20"/>
          <w:lang w:val="en-US"/>
        </w:rPr>
        <w:t xml:space="preserve"> exploration activities, </w:t>
      </w:r>
      <w:r w:rsidR="00EC45EE">
        <w:rPr>
          <w:rFonts w:ascii="Verdana" w:hAnsi="Verdana"/>
          <w:sz w:val="20"/>
          <w:szCs w:val="20"/>
          <w:lang w:val="en-US"/>
        </w:rPr>
        <w:t>and an</w:t>
      </w:r>
      <w:r w:rsidR="00BB0B4D" w:rsidRPr="00FE7BA7">
        <w:rPr>
          <w:rFonts w:ascii="Verdana" w:hAnsi="Verdana"/>
          <w:sz w:val="20"/>
          <w:szCs w:val="20"/>
          <w:lang w:val="en-US"/>
        </w:rPr>
        <w:t xml:space="preserve"> exploration </w:t>
      </w:r>
      <w:r w:rsidR="00EC45EE">
        <w:rPr>
          <w:rFonts w:ascii="Verdana" w:hAnsi="Verdana"/>
          <w:sz w:val="20"/>
          <w:szCs w:val="20"/>
          <w:lang w:val="en-US"/>
        </w:rPr>
        <w:t>team</w:t>
      </w:r>
      <w:r w:rsidR="00BB0B4D" w:rsidRPr="00FE7BA7">
        <w:rPr>
          <w:rFonts w:ascii="Verdana" w:hAnsi="Verdana"/>
          <w:sz w:val="20"/>
          <w:szCs w:val="20"/>
          <w:lang w:val="en-US"/>
        </w:rPr>
        <w:t xml:space="preserve"> would </w:t>
      </w:r>
      <w:r w:rsidR="00EC45EE">
        <w:rPr>
          <w:rFonts w:ascii="Verdana" w:hAnsi="Verdana"/>
          <w:sz w:val="20"/>
          <w:szCs w:val="20"/>
          <w:lang w:val="en-US"/>
        </w:rPr>
        <w:t>be collecting</w:t>
      </w:r>
      <w:r w:rsidR="00BB0B4D" w:rsidRPr="00FE7BA7">
        <w:rPr>
          <w:rFonts w:ascii="Verdana" w:hAnsi="Verdana"/>
          <w:sz w:val="20"/>
          <w:szCs w:val="20"/>
          <w:lang w:val="en-US"/>
        </w:rPr>
        <w:t xml:space="preserve"> bauxite samples from the area. </w:t>
      </w:r>
      <w:r w:rsidR="00FE7BA7" w:rsidRPr="00FE7BA7">
        <w:rPr>
          <w:rFonts w:ascii="Verdana" w:hAnsi="Verdana"/>
          <w:sz w:val="20"/>
          <w:szCs w:val="20"/>
          <w:lang w:val="en-US"/>
        </w:rPr>
        <w:t>Similarly</w:t>
      </w:r>
      <w:r w:rsidR="00BB0B4D" w:rsidRPr="00FE7BA7">
        <w:rPr>
          <w:rFonts w:ascii="Verdana" w:hAnsi="Verdana"/>
          <w:sz w:val="20"/>
          <w:szCs w:val="20"/>
          <w:lang w:val="en-US"/>
        </w:rPr>
        <w:t xml:space="preserve">, the </w:t>
      </w:r>
      <w:r w:rsidR="00EC45EE">
        <w:rPr>
          <w:rFonts w:ascii="Verdana" w:hAnsi="Verdana"/>
          <w:sz w:val="20"/>
          <w:szCs w:val="20"/>
          <w:lang w:val="en-US"/>
        </w:rPr>
        <w:t>State argued that the</w:t>
      </w:r>
      <w:r w:rsidR="00BB0B4D" w:rsidRPr="00FE7BA7">
        <w:rPr>
          <w:rFonts w:ascii="Verdana" w:hAnsi="Verdana"/>
          <w:sz w:val="20"/>
          <w:szCs w:val="20"/>
          <w:lang w:val="en-US"/>
        </w:rPr>
        <w:t xml:space="preserve"> mining </w:t>
      </w:r>
      <w:r w:rsidR="009B119F">
        <w:rPr>
          <w:rFonts w:ascii="Verdana" w:hAnsi="Verdana"/>
          <w:sz w:val="20"/>
          <w:szCs w:val="20"/>
          <w:lang w:val="en-US"/>
        </w:rPr>
        <w:t>activities</w:t>
      </w:r>
      <w:r w:rsidR="009B119F" w:rsidRPr="00FE7BA7">
        <w:rPr>
          <w:rFonts w:ascii="Verdana" w:hAnsi="Verdana"/>
          <w:sz w:val="20"/>
          <w:szCs w:val="20"/>
          <w:lang w:val="en-US"/>
        </w:rPr>
        <w:t xml:space="preserve"> </w:t>
      </w:r>
      <w:r w:rsidR="00BB0B4D" w:rsidRPr="00FE7BA7">
        <w:rPr>
          <w:rFonts w:ascii="Verdana" w:hAnsi="Verdana"/>
          <w:sz w:val="20"/>
          <w:szCs w:val="20"/>
          <w:lang w:val="en-US"/>
        </w:rPr>
        <w:t xml:space="preserve">had </w:t>
      </w:r>
      <w:r w:rsidR="00EC45EE">
        <w:rPr>
          <w:rFonts w:ascii="Verdana" w:hAnsi="Verdana"/>
          <w:sz w:val="20"/>
          <w:szCs w:val="20"/>
          <w:lang w:val="en-US"/>
        </w:rPr>
        <w:t xml:space="preserve">had </w:t>
      </w:r>
      <w:r w:rsidR="00BB0B4D" w:rsidRPr="00FE7BA7">
        <w:rPr>
          <w:rFonts w:ascii="Verdana" w:hAnsi="Verdana"/>
          <w:sz w:val="20"/>
          <w:szCs w:val="20"/>
          <w:lang w:val="en-US"/>
        </w:rPr>
        <w:t xml:space="preserve">no </w:t>
      </w:r>
      <w:r w:rsidR="00EC45EE">
        <w:rPr>
          <w:rFonts w:ascii="Verdana" w:hAnsi="Verdana"/>
          <w:sz w:val="20"/>
          <w:szCs w:val="20"/>
          <w:lang w:val="en-US"/>
        </w:rPr>
        <w:t>harmful</w:t>
      </w:r>
      <w:r w:rsidR="00BB0B4D" w:rsidRPr="00FE7BA7">
        <w:rPr>
          <w:rFonts w:ascii="Verdana" w:hAnsi="Verdana"/>
          <w:sz w:val="20"/>
          <w:szCs w:val="20"/>
          <w:lang w:val="en-US"/>
        </w:rPr>
        <w:t xml:space="preserve"> effects on the community and that, in any case, 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BB0B4D" w:rsidRPr="00FE7BA7">
        <w:rPr>
          <w:rFonts w:ascii="Verdana" w:hAnsi="Verdana"/>
          <w:sz w:val="20"/>
          <w:szCs w:val="20"/>
          <w:lang w:val="en-US"/>
        </w:rPr>
        <w:t>victim</w:t>
      </w:r>
      <w:r w:rsidR="005530FA">
        <w:rPr>
          <w:rFonts w:ascii="Verdana" w:hAnsi="Verdana"/>
          <w:sz w:val="20"/>
          <w:szCs w:val="20"/>
          <w:lang w:val="en-US"/>
        </w:rPr>
        <w:t>s</w:t>
      </w:r>
      <w:r w:rsidR="00EC45EE">
        <w:rPr>
          <w:rFonts w:ascii="Verdana" w:hAnsi="Verdana"/>
          <w:sz w:val="20"/>
          <w:szCs w:val="20"/>
          <w:lang w:val="en-US"/>
        </w:rPr>
        <w:t xml:space="preserve"> had been compensated for </w:t>
      </w:r>
      <w:r w:rsidR="005530FA">
        <w:rPr>
          <w:rFonts w:ascii="Verdana" w:hAnsi="Verdana"/>
          <w:sz w:val="20"/>
          <w:szCs w:val="20"/>
          <w:lang w:val="en-US"/>
        </w:rPr>
        <w:t xml:space="preserve">any </w:t>
      </w:r>
      <w:r w:rsidR="00BB0B4D" w:rsidRPr="00FE7BA7">
        <w:rPr>
          <w:rFonts w:ascii="Verdana" w:hAnsi="Verdana"/>
          <w:sz w:val="20"/>
          <w:szCs w:val="20"/>
          <w:lang w:val="en-US"/>
        </w:rPr>
        <w:t xml:space="preserve">possible damage that they might have been caused by the mining concessions, because they had benefited from the possibility of using the road that existed for </w:t>
      </w:r>
      <w:r w:rsidR="00EC45EE">
        <w:rPr>
          <w:rFonts w:ascii="Verdana" w:hAnsi="Verdana"/>
          <w:sz w:val="20"/>
          <w:szCs w:val="20"/>
          <w:lang w:val="en-US"/>
        </w:rPr>
        <w:t>their logging activities and to</w:t>
      </w:r>
      <w:r w:rsidR="00BB0B4D" w:rsidRPr="00FE7BA7">
        <w:rPr>
          <w:rFonts w:ascii="Verdana" w:hAnsi="Verdana"/>
          <w:sz w:val="20"/>
          <w:szCs w:val="20"/>
          <w:lang w:val="en-US"/>
        </w:rPr>
        <w:t xml:space="preserve"> transport timber.</w:t>
      </w:r>
    </w:p>
    <w:p w14:paraId="6312694A" w14:textId="77777777" w:rsidR="00FC1FCF" w:rsidRPr="00FE7BA7" w:rsidRDefault="00FC1FCF" w:rsidP="00FC1FCF">
      <w:pPr>
        <w:jc w:val="both"/>
        <w:rPr>
          <w:rFonts w:ascii="Verdana" w:hAnsi="Verdana" w:cs="Arial"/>
          <w:sz w:val="20"/>
          <w:szCs w:val="20"/>
          <w:lang w:val="en-US"/>
        </w:rPr>
      </w:pPr>
    </w:p>
    <w:p w14:paraId="6312694B" w14:textId="77777777" w:rsidR="00FC1FCF" w:rsidRPr="00FE7BA7" w:rsidRDefault="00C34C52" w:rsidP="00FC1FCF">
      <w:pPr>
        <w:pStyle w:val="Heading2"/>
        <w:numPr>
          <w:ilvl w:val="0"/>
          <w:numId w:val="27"/>
        </w:numPr>
        <w:spacing w:before="0"/>
        <w:jc w:val="both"/>
        <w:rPr>
          <w:rFonts w:ascii="Verdana" w:hAnsi="Verdana"/>
          <w:bCs w:val="0"/>
          <w:i/>
          <w:color w:val="auto"/>
          <w:sz w:val="20"/>
          <w:szCs w:val="20"/>
          <w:lang w:val="en-US"/>
        </w:rPr>
      </w:pPr>
      <w:bookmarkStart w:id="37" w:name="_Toc441673205"/>
      <w:r w:rsidRPr="00FE7BA7">
        <w:rPr>
          <w:rFonts w:ascii="Verdana" w:hAnsi="Verdana"/>
          <w:bCs w:val="0"/>
          <w:i/>
          <w:color w:val="auto"/>
          <w:sz w:val="20"/>
          <w:szCs w:val="20"/>
          <w:lang w:val="en-US"/>
        </w:rPr>
        <w:lastRenderedPageBreak/>
        <w:t>Considerations</w:t>
      </w:r>
      <w:r w:rsidR="002B5CCD" w:rsidRPr="00FE7BA7">
        <w:rPr>
          <w:rFonts w:ascii="Verdana" w:hAnsi="Verdana"/>
          <w:bCs w:val="0"/>
          <w:i/>
          <w:color w:val="auto"/>
          <w:sz w:val="20"/>
          <w:szCs w:val="20"/>
          <w:lang w:val="en-US"/>
        </w:rPr>
        <w:t xml:space="preserve"> of the Court</w:t>
      </w:r>
      <w:bookmarkEnd w:id="37"/>
    </w:p>
    <w:p w14:paraId="6312694C" w14:textId="77777777" w:rsidR="00830B9E" w:rsidRPr="00FE7BA7" w:rsidRDefault="00830B9E" w:rsidP="00190AD3">
      <w:pPr>
        <w:rPr>
          <w:b/>
          <w:lang w:val="en-US"/>
        </w:rPr>
      </w:pPr>
    </w:p>
    <w:p w14:paraId="6312694D" w14:textId="7A6D36CF" w:rsidR="00ED02F8" w:rsidRPr="00FE7BA7" w:rsidRDefault="00AE60CD" w:rsidP="00190AD3">
      <w:pPr>
        <w:pStyle w:val="Heading3"/>
        <w:spacing w:before="0"/>
        <w:ind w:left="360" w:firstLine="360"/>
        <w:jc w:val="both"/>
        <w:rPr>
          <w:rFonts w:ascii="Verdana" w:hAnsi="Verdana"/>
          <w:i/>
          <w:color w:val="auto"/>
          <w:sz w:val="20"/>
          <w:szCs w:val="20"/>
          <w:lang w:val="en-US"/>
        </w:rPr>
      </w:pPr>
      <w:bookmarkStart w:id="38" w:name="_Toc441673206"/>
      <w:r w:rsidRPr="00FE7BA7">
        <w:rPr>
          <w:rFonts w:ascii="Verdana" w:hAnsi="Verdana"/>
          <w:i/>
          <w:color w:val="auto"/>
          <w:sz w:val="20"/>
          <w:szCs w:val="20"/>
          <w:lang w:val="en-US"/>
        </w:rPr>
        <w:t xml:space="preserve">B.1 </w:t>
      </w:r>
      <w:r w:rsidR="00D63518" w:rsidRPr="00FE7BA7">
        <w:rPr>
          <w:rFonts w:ascii="Verdana" w:hAnsi="Verdana"/>
          <w:i/>
          <w:color w:val="auto"/>
          <w:sz w:val="20"/>
          <w:szCs w:val="20"/>
          <w:lang w:val="en-US"/>
        </w:rPr>
        <w:t xml:space="preserve">Interpretation of the right to collective property </w:t>
      </w:r>
      <w:r w:rsidR="008608DF">
        <w:rPr>
          <w:rFonts w:ascii="Verdana" w:hAnsi="Verdana"/>
          <w:i/>
          <w:color w:val="auto"/>
          <w:sz w:val="20"/>
          <w:szCs w:val="20"/>
          <w:lang w:val="en-US"/>
        </w:rPr>
        <w:t xml:space="preserve">and participation in public affairs </w:t>
      </w:r>
      <w:r w:rsidR="00D63518" w:rsidRPr="00FE7BA7">
        <w:rPr>
          <w:rFonts w:ascii="Verdana" w:hAnsi="Verdana"/>
          <w:i/>
          <w:color w:val="auto"/>
          <w:sz w:val="20"/>
          <w:szCs w:val="20"/>
          <w:lang w:val="en-US"/>
        </w:rPr>
        <w:t>of the indigenous peoples in this case</w:t>
      </w:r>
      <w:bookmarkEnd w:id="38"/>
    </w:p>
    <w:p w14:paraId="6312694E" w14:textId="77777777" w:rsidR="00ED02F8" w:rsidRPr="00FE7BA7" w:rsidRDefault="00ED02F8" w:rsidP="002D0F97">
      <w:pPr>
        <w:pStyle w:val="ListParagraph"/>
        <w:ind w:left="0"/>
        <w:jc w:val="both"/>
        <w:rPr>
          <w:rFonts w:ascii="Verdana" w:hAnsi="Verdana"/>
          <w:sz w:val="20"/>
          <w:lang w:val="en-US"/>
        </w:rPr>
      </w:pPr>
    </w:p>
    <w:p w14:paraId="6312694F" w14:textId="77777777" w:rsidR="002D0F97" w:rsidRPr="005D239E" w:rsidRDefault="00D63518" w:rsidP="00D63518">
      <w:pPr>
        <w:pStyle w:val="ListParagraph"/>
        <w:numPr>
          <w:ilvl w:val="0"/>
          <w:numId w:val="2"/>
        </w:numPr>
        <w:ind w:left="0" w:hanging="11"/>
        <w:jc w:val="both"/>
        <w:rPr>
          <w:rFonts w:ascii="Verdana" w:hAnsi="Verdana"/>
          <w:sz w:val="20"/>
          <w:szCs w:val="20"/>
          <w:lang w:val="en-US"/>
        </w:rPr>
      </w:pPr>
      <w:r w:rsidRPr="005D239E">
        <w:rPr>
          <w:rFonts w:ascii="Verdana" w:hAnsi="Verdana"/>
          <w:sz w:val="20"/>
          <w:szCs w:val="20"/>
          <w:lang w:val="en-US"/>
        </w:rPr>
        <w:t xml:space="preserve">As established by this Court in 2007 in the </w:t>
      </w:r>
      <w:r w:rsidRPr="005D239E">
        <w:rPr>
          <w:rFonts w:ascii="Verdana" w:hAnsi="Verdana"/>
          <w:i/>
          <w:sz w:val="20"/>
          <w:szCs w:val="20"/>
          <w:lang w:val="en-US"/>
        </w:rPr>
        <w:t>case of the Saramaka People</w:t>
      </w:r>
      <w:r w:rsidR="00ED02F8" w:rsidRPr="005D239E">
        <w:rPr>
          <w:rFonts w:ascii="Verdana" w:hAnsi="Verdana"/>
          <w:i/>
          <w:sz w:val="20"/>
          <w:szCs w:val="20"/>
          <w:lang w:val="en-US"/>
        </w:rPr>
        <w:t xml:space="preserve"> </w:t>
      </w:r>
      <w:r w:rsidR="002B5CCD" w:rsidRPr="005D239E">
        <w:rPr>
          <w:rFonts w:ascii="Verdana" w:hAnsi="Verdana"/>
          <w:i/>
          <w:sz w:val="20"/>
          <w:szCs w:val="20"/>
          <w:lang w:val="en-US"/>
        </w:rPr>
        <w:t>v.</w:t>
      </w:r>
      <w:r w:rsidR="00ED02F8" w:rsidRPr="005D239E">
        <w:rPr>
          <w:rFonts w:ascii="Verdana" w:hAnsi="Verdana"/>
          <w:i/>
          <w:sz w:val="20"/>
          <w:szCs w:val="20"/>
          <w:lang w:val="en-US"/>
        </w:rPr>
        <w:t xml:space="preserve"> </w:t>
      </w:r>
      <w:r w:rsidR="004C7D14" w:rsidRPr="005D239E">
        <w:rPr>
          <w:rFonts w:ascii="Verdana" w:hAnsi="Verdana"/>
          <w:i/>
          <w:sz w:val="20"/>
          <w:szCs w:val="20"/>
          <w:lang w:val="en-US"/>
        </w:rPr>
        <w:t>Suriname,</w:t>
      </w:r>
      <w:r w:rsidR="00ED02F8" w:rsidRPr="005D239E">
        <w:rPr>
          <w:rFonts w:ascii="Verdana" w:hAnsi="Verdana"/>
          <w:sz w:val="20"/>
          <w:szCs w:val="20"/>
          <w:lang w:val="en-US"/>
        </w:rPr>
        <w:t xml:space="preserve"> </w:t>
      </w:r>
      <w:r w:rsidRPr="005D239E">
        <w:rPr>
          <w:rFonts w:ascii="Verdana" w:hAnsi="Verdana"/>
          <w:sz w:val="20"/>
          <w:szCs w:val="20"/>
          <w:lang w:val="en-US"/>
        </w:rPr>
        <w:t>the</w:t>
      </w:r>
      <w:r w:rsidRPr="00FE7BA7">
        <w:rPr>
          <w:rFonts w:ascii="Verdana" w:hAnsi="Verdana"/>
          <w:sz w:val="20"/>
          <w:szCs w:val="20"/>
          <w:lang w:val="en-US"/>
        </w:rPr>
        <w:t xml:space="preserve"> domestic laws of </w:t>
      </w:r>
      <w:r w:rsidR="002B5CCD" w:rsidRPr="00FE7BA7">
        <w:rPr>
          <w:rFonts w:ascii="Verdana" w:hAnsi="Verdana"/>
          <w:sz w:val="20"/>
          <w:szCs w:val="20"/>
          <w:lang w:val="en-US"/>
        </w:rPr>
        <w:t xml:space="preserve">Suriname </w:t>
      </w:r>
      <w:r w:rsidRPr="00FE7BA7">
        <w:rPr>
          <w:rFonts w:ascii="Verdana" w:hAnsi="Verdana"/>
          <w:sz w:val="20"/>
          <w:szCs w:val="20"/>
          <w:lang w:val="en-US"/>
        </w:rPr>
        <w:t xml:space="preserve">do not recognize the right to communal property of the members of its tribal peoples and it has not ratified ILO Convention </w:t>
      </w:r>
      <w:r w:rsidR="00ED02F8" w:rsidRPr="00FE7BA7">
        <w:rPr>
          <w:rFonts w:ascii="Verdana" w:hAnsi="Verdana"/>
          <w:sz w:val="20"/>
          <w:szCs w:val="20"/>
          <w:lang w:val="en-US"/>
        </w:rPr>
        <w:t>No. 169</w:t>
      </w:r>
      <w:r w:rsidRPr="00FE7BA7">
        <w:rPr>
          <w:rFonts w:ascii="Verdana" w:hAnsi="Verdana"/>
          <w:sz w:val="20"/>
          <w:szCs w:val="20"/>
          <w:lang w:val="en-US"/>
        </w:rPr>
        <w:t>.</w:t>
      </w:r>
      <w:r w:rsidR="008A4ABB" w:rsidRPr="00FE7BA7">
        <w:rPr>
          <w:rStyle w:val="FootnoteReference"/>
          <w:szCs w:val="20"/>
          <w:lang w:val="en-US"/>
        </w:rPr>
        <w:footnoteReference w:id="157"/>
      </w:r>
      <w:r w:rsidR="00ED02F8" w:rsidRPr="00FE7BA7">
        <w:rPr>
          <w:rFonts w:ascii="Verdana" w:hAnsi="Verdana"/>
          <w:sz w:val="20"/>
          <w:szCs w:val="20"/>
          <w:lang w:val="en-US"/>
        </w:rPr>
        <w:t xml:space="preserve"> </w:t>
      </w:r>
      <w:r w:rsidRPr="00FE7BA7">
        <w:rPr>
          <w:rFonts w:ascii="Verdana" w:hAnsi="Verdana"/>
          <w:sz w:val="20"/>
          <w:szCs w:val="20"/>
          <w:lang w:val="en-US"/>
        </w:rPr>
        <w:t>However</w:t>
      </w:r>
      <w:r w:rsidR="00ED02F8" w:rsidRPr="00FE7BA7">
        <w:rPr>
          <w:rFonts w:ascii="Verdana" w:hAnsi="Verdana"/>
          <w:sz w:val="20"/>
          <w:szCs w:val="20"/>
          <w:lang w:val="en-US"/>
        </w:rPr>
        <w:t xml:space="preserve">, </w:t>
      </w:r>
      <w:r w:rsidR="002B5CCD" w:rsidRPr="00FE7BA7">
        <w:rPr>
          <w:rFonts w:ascii="Verdana" w:hAnsi="Verdana"/>
          <w:sz w:val="20"/>
          <w:szCs w:val="20"/>
          <w:lang w:val="en-US"/>
        </w:rPr>
        <w:t xml:space="preserve">Suriname </w:t>
      </w:r>
      <w:r w:rsidRPr="00FE7BA7">
        <w:rPr>
          <w:rFonts w:ascii="Verdana" w:hAnsi="Verdana"/>
          <w:sz w:val="20"/>
          <w:szCs w:val="20"/>
          <w:lang w:val="en-US"/>
        </w:rPr>
        <w:t>has ratified both the International Covenant on Civil and Political Rights</w:t>
      </w:r>
      <w:r w:rsidR="003C1B17" w:rsidRPr="00FE7BA7">
        <w:rPr>
          <w:rFonts w:ascii="Verdana" w:hAnsi="Verdana"/>
          <w:sz w:val="20"/>
          <w:szCs w:val="20"/>
          <w:lang w:val="en-US"/>
        </w:rPr>
        <w:t xml:space="preserve"> (</w:t>
      </w:r>
      <w:r w:rsidRPr="00FE7BA7">
        <w:rPr>
          <w:rFonts w:ascii="Verdana" w:hAnsi="Verdana"/>
          <w:sz w:val="20"/>
          <w:szCs w:val="20"/>
          <w:lang w:val="en-US"/>
        </w:rPr>
        <w:t>ICCPR</w:t>
      </w:r>
      <w:r w:rsidR="003C1B17" w:rsidRPr="00FE7BA7">
        <w:rPr>
          <w:rFonts w:ascii="Verdana" w:hAnsi="Verdana"/>
          <w:sz w:val="20"/>
          <w:szCs w:val="20"/>
          <w:lang w:val="en-US"/>
        </w:rPr>
        <w:t>)</w:t>
      </w:r>
      <w:r w:rsidR="00ED02F8" w:rsidRPr="00FE7BA7">
        <w:rPr>
          <w:rFonts w:ascii="Verdana" w:hAnsi="Verdana"/>
          <w:sz w:val="20"/>
          <w:szCs w:val="20"/>
          <w:lang w:val="en-US"/>
        </w:rPr>
        <w:t xml:space="preserve"> </w:t>
      </w:r>
      <w:r w:rsidRPr="00FE7BA7">
        <w:rPr>
          <w:rFonts w:ascii="Verdana" w:hAnsi="Verdana"/>
          <w:sz w:val="20"/>
          <w:szCs w:val="20"/>
          <w:lang w:val="en-US"/>
        </w:rPr>
        <w:t>and</w:t>
      </w:r>
      <w:r w:rsidR="00ED02F8" w:rsidRPr="00FE7BA7">
        <w:rPr>
          <w:rFonts w:ascii="Verdana" w:hAnsi="Verdana"/>
          <w:sz w:val="20"/>
          <w:szCs w:val="20"/>
          <w:lang w:val="en-US"/>
        </w:rPr>
        <w:t xml:space="preserve"> </w:t>
      </w:r>
      <w:r w:rsidRPr="00FE7BA7">
        <w:rPr>
          <w:rFonts w:ascii="Verdana" w:hAnsi="Verdana"/>
          <w:sz w:val="20"/>
          <w:szCs w:val="20"/>
          <w:lang w:val="en-US"/>
        </w:rPr>
        <w:t>the International Covenant on Economic, Social and Cultural Rights</w:t>
      </w:r>
      <w:r w:rsidR="008A4ABB" w:rsidRPr="00FE7BA7">
        <w:rPr>
          <w:rStyle w:val="FootnoteReference"/>
          <w:szCs w:val="20"/>
          <w:lang w:val="en-US"/>
        </w:rPr>
        <w:footnoteReference w:id="158"/>
      </w:r>
      <w:r w:rsidR="00ED02F8" w:rsidRPr="00FE7BA7">
        <w:rPr>
          <w:rFonts w:ascii="Verdana" w:hAnsi="Verdana"/>
          <w:sz w:val="20"/>
          <w:szCs w:val="20"/>
          <w:lang w:val="en-US"/>
        </w:rPr>
        <w:t xml:space="preserve"> (</w:t>
      </w:r>
      <w:r w:rsidRPr="00FE7BA7">
        <w:rPr>
          <w:rFonts w:ascii="Verdana" w:hAnsi="Verdana"/>
          <w:sz w:val="20"/>
          <w:szCs w:val="20"/>
          <w:lang w:val="en-US"/>
        </w:rPr>
        <w:t>ICESCR</w:t>
      </w:r>
      <w:r w:rsidR="00ED02F8"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voted in favor of the United Nations Declaration on the Rights of Indigenous Peoples</w:t>
      </w:r>
      <w:r w:rsidR="00ED02F8" w:rsidRPr="00FE7BA7">
        <w:rPr>
          <w:rFonts w:ascii="Verdana" w:hAnsi="Verdana"/>
          <w:sz w:val="20"/>
          <w:szCs w:val="20"/>
          <w:lang w:val="en-US"/>
        </w:rPr>
        <w:t xml:space="preserve">. </w:t>
      </w:r>
      <w:r w:rsidRPr="00FE7BA7">
        <w:rPr>
          <w:rFonts w:ascii="Verdana" w:hAnsi="Verdana"/>
          <w:sz w:val="20"/>
          <w:szCs w:val="20"/>
          <w:lang w:val="en-US"/>
        </w:rPr>
        <w:t xml:space="preserve">The Committee on Economic, Social and Cultural Rights, which is the body of independent experts that </w:t>
      </w:r>
      <w:r w:rsidR="005D239E">
        <w:rPr>
          <w:rFonts w:ascii="Verdana" w:hAnsi="Verdana"/>
          <w:sz w:val="20"/>
          <w:szCs w:val="20"/>
          <w:lang w:val="en-US"/>
        </w:rPr>
        <w:t>monitors</w:t>
      </w:r>
      <w:r w:rsidRPr="00FE7BA7">
        <w:rPr>
          <w:rFonts w:ascii="Verdana" w:hAnsi="Verdana"/>
          <w:sz w:val="20"/>
          <w:szCs w:val="20"/>
          <w:lang w:val="en-US"/>
        </w:rPr>
        <w:t xml:space="preserve"> the </w:t>
      </w:r>
      <w:r w:rsidR="00FE7BA7" w:rsidRPr="00FE7BA7">
        <w:rPr>
          <w:rFonts w:ascii="Verdana" w:hAnsi="Verdana"/>
          <w:sz w:val="20"/>
          <w:szCs w:val="20"/>
          <w:lang w:val="en-US"/>
        </w:rPr>
        <w:t>implementation</w:t>
      </w:r>
      <w:r w:rsidRPr="00FE7BA7">
        <w:rPr>
          <w:rFonts w:ascii="Verdana" w:hAnsi="Verdana"/>
          <w:sz w:val="20"/>
          <w:szCs w:val="20"/>
          <w:lang w:val="en-US"/>
        </w:rPr>
        <w:t xml:space="preserve"> of the ICESCR</w:t>
      </w:r>
      <w:r w:rsidR="00ED02F8" w:rsidRPr="00FE7BA7">
        <w:rPr>
          <w:rFonts w:ascii="Verdana" w:hAnsi="Verdana"/>
          <w:sz w:val="20"/>
          <w:szCs w:val="20"/>
          <w:lang w:val="en-US"/>
        </w:rPr>
        <w:t xml:space="preserve"> </w:t>
      </w:r>
      <w:r w:rsidRPr="00FE7BA7">
        <w:rPr>
          <w:rFonts w:ascii="Verdana" w:hAnsi="Verdana"/>
          <w:sz w:val="20"/>
          <w:szCs w:val="20"/>
          <w:lang w:val="en-US"/>
        </w:rPr>
        <w:t>by the States Parties</w:t>
      </w:r>
      <w:r w:rsidR="00ED02F8" w:rsidRPr="00FE7BA7">
        <w:rPr>
          <w:rFonts w:ascii="Verdana" w:hAnsi="Verdana"/>
          <w:sz w:val="20"/>
          <w:szCs w:val="20"/>
          <w:lang w:val="en-US"/>
        </w:rPr>
        <w:t>, ha</w:t>
      </w:r>
      <w:r w:rsidRPr="00FE7BA7">
        <w:rPr>
          <w:rFonts w:ascii="Verdana" w:hAnsi="Verdana"/>
          <w:sz w:val="20"/>
          <w:szCs w:val="20"/>
          <w:lang w:val="en-US"/>
        </w:rPr>
        <w:t>s interpreted</w:t>
      </w:r>
      <w:r w:rsidR="00ED02F8" w:rsidRPr="00FE7BA7">
        <w:rPr>
          <w:rFonts w:ascii="Verdana" w:hAnsi="Verdana"/>
          <w:sz w:val="20"/>
          <w:szCs w:val="20"/>
          <w:lang w:val="en-US"/>
        </w:rPr>
        <w:t xml:space="preserve"> </w:t>
      </w:r>
      <w:r w:rsidR="002B5CCD" w:rsidRPr="00FE7BA7">
        <w:rPr>
          <w:rFonts w:ascii="Verdana" w:hAnsi="Verdana"/>
          <w:sz w:val="20"/>
          <w:szCs w:val="20"/>
          <w:lang w:val="en-US"/>
        </w:rPr>
        <w:t>Article</w:t>
      </w:r>
      <w:r w:rsidR="00ED02F8" w:rsidRPr="00FE7BA7">
        <w:rPr>
          <w:rFonts w:ascii="Verdana" w:hAnsi="Verdana"/>
          <w:sz w:val="20"/>
          <w:szCs w:val="20"/>
          <w:lang w:val="en-US"/>
        </w:rPr>
        <w:t xml:space="preserve"> 1 </w:t>
      </w:r>
      <w:r w:rsidR="005530FA">
        <w:rPr>
          <w:rFonts w:ascii="Verdana" w:hAnsi="Verdana"/>
          <w:sz w:val="20"/>
          <w:szCs w:val="20"/>
          <w:lang w:val="en-US"/>
        </w:rPr>
        <w:t>common to both C</w:t>
      </w:r>
      <w:r w:rsidRPr="00FE7BA7">
        <w:rPr>
          <w:rFonts w:ascii="Verdana" w:hAnsi="Verdana"/>
          <w:sz w:val="20"/>
          <w:szCs w:val="20"/>
          <w:lang w:val="en-US"/>
        </w:rPr>
        <w:t>ovenants as applic</w:t>
      </w:r>
      <w:r w:rsidR="005D239E">
        <w:rPr>
          <w:rFonts w:ascii="Verdana" w:hAnsi="Verdana"/>
          <w:sz w:val="20"/>
          <w:szCs w:val="20"/>
          <w:lang w:val="en-US"/>
        </w:rPr>
        <w:t>able to</w:t>
      </w:r>
      <w:r w:rsidRPr="00FE7BA7">
        <w:rPr>
          <w:rFonts w:ascii="Verdana" w:hAnsi="Verdana"/>
          <w:sz w:val="20"/>
          <w:szCs w:val="20"/>
          <w:lang w:val="en-US"/>
        </w:rPr>
        <w:t xml:space="preserve"> indigenous peoples.</w:t>
      </w:r>
      <w:r w:rsidR="00D929E5" w:rsidRPr="00FE7BA7">
        <w:rPr>
          <w:rFonts w:ascii="Verdana" w:hAnsi="Verdana"/>
          <w:sz w:val="20"/>
          <w:szCs w:val="20"/>
          <w:vertAlign w:val="superscript"/>
          <w:lang w:val="en-US"/>
        </w:rPr>
        <w:footnoteReference w:id="159"/>
      </w:r>
      <w:r w:rsidRPr="00FE7BA7">
        <w:rPr>
          <w:rFonts w:ascii="Verdana" w:hAnsi="Verdana"/>
          <w:sz w:val="20"/>
          <w:szCs w:val="20"/>
          <w:lang w:val="en-US"/>
        </w:rPr>
        <w:t xml:space="preserve"> In this regard, based on the right to self-determination of the indigenous peoples pursuant to the said Article </w:t>
      </w:r>
      <w:r w:rsidRPr="005D239E">
        <w:rPr>
          <w:rFonts w:ascii="Verdana" w:hAnsi="Verdana"/>
          <w:sz w:val="20"/>
          <w:szCs w:val="20"/>
          <w:lang w:val="en-US"/>
        </w:rPr>
        <w:t>1, such peoples may “freely pursue their economic, social and cultural development” and may “freely dispose of their natural wealth and resources” to ensure that they are not “deprived of [their] own means of subsistence.</w:t>
      </w:r>
      <w:r w:rsidR="00ED02F8" w:rsidRPr="005D239E">
        <w:rPr>
          <w:rFonts w:ascii="Verdana" w:hAnsi="Verdana"/>
          <w:sz w:val="20"/>
          <w:szCs w:val="20"/>
          <w:lang w:val="en-US"/>
        </w:rPr>
        <w:t>”</w:t>
      </w:r>
      <w:r w:rsidR="00ED02F8" w:rsidRPr="005D239E">
        <w:rPr>
          <w:rStyle w:val="FootnoteReference"/>
          <w:szCs w:val="20"/>
          <w:lang w:val="en-US"/>
        </w:rPr>
        <w:footnoteReference w:id="160"/>
      </w:r>
      <w:r w:rsidRPr="005D239E">
        <w:rPr>
          <w:rFonts w:ascii="Verdana" w:hAnsi="Verdana"/>
          <w:sz w:val="20"/>
          <w:szCs w:val="20"/>
          <w:lang w:val="en-US"/>
        </w:rPr>
        <w:t xml:space="preserve"> According to Article</w:t>
      </w:r>
      <w:r w:rsidR="00ED02F8" w:rsidRPr="005D239E">
        <w:rPr>
          <w:rFonts w:ascii="Verdana" w:hAnsi="Verdana"/>
          <w:sz w:val="20"/>
          <w:szCs w:val="20"/>
          <w:lang w:val="en-US"/>
        </w:rPr>
        <w:t xml:space="preserve"> </w:t>
      </w:r>
      <w:r w:rsidRPr="005D239E">
        <w:rPr>
          <w:rFonts w:ascii="Verdana" w:hAnsi="Verdana"/>
          <w:sz w:val="20"/>
          <w:szCs w:val="20"/>
          <w:lang w:val="en-US"/>
        </w:rPr>
        <w:t>29(</w:t>
      </w:r>
      <w:r w:rsidR="00ED02F8" w:rsidRPr="005D239E">
        <w:rPr>
          <w:rFonts w:ascii="Verdana" w:hAnsi="Verdana"/>
          <w:sz w:val="20"/>
          <w:szCs w:val="20"/>
          <w:lang w:val="en-US"/>
        </w:rPr>
        <w:t>b</w:t>
      </w:r>
      <w:r w:rsidRPr="005D239E">
        <w:rPr>
          <w:rFonts w:ascii="Verdana" w:hAnsi="Verdana"/>
          <w:sz w:val="20"/>
          <w:szCs w:val="20"/>
          <w:lang w:val="en-US"/>
        </w:rPr>
        <w:t>)</w:t>
      </w:r>
      <w:r w:rsidR="002B5CCD" w:rsidRPr="005D239E">
        <w:rPr>
          <w:rFonts w:ascii="Verdana" w:hAnsi="Verdana"/>
          <w:sz w:val="20"/>
          <w:szCs w:val="20"/>
          <w:lang w:val="en-US"/>
        </w:rPr>
        <w:t xml:space="preserve"> of the American Convention</w:t>
      </w:r>
      <w:r w:rsidR="00ED02F8" w:rsidRPr="005D239E">
        <w:rPr>
          <w:rFonts w:ascii="Verdana" w:hAnsi="Verdana"/>
          <w:sz w:val="20"/>
          <w:szCs w:val="20"/>
          <w:lang w:val="en-US"/>
        </w:rPr>
        <w:t xml:space="preserve">, </w:t>
      </w:r>
      <w:r w:rsidRPr="005D239E">
        <w:rPr>
          <w:rFonts w:ascii="Verdana" w:hAnsi="Verdana"/>
          <w:sz w:val="20"/>
          <w:szCs w:val="20"/>
          <w:lang w:val="en-US"/>
        </w:rPr>
        <w:t xml:space="preserve">this Court is unable to interpret the provisions of </w:t>
      </w:r>
      <w:r w:rsidR="00773D70" w:rsidRPr="005D239E">
        <w:rPr>
          <w:rFonts w:ascii="Verdana" w:hAnsi="Verdana"/>
          <w:sz w:val="20"/>
          <w:szCs w:val="20"/>
          <w:lang w:val="en-US"/>
        </w:rPr>
        <w:t>Article</w:t>
      </w:r>
      <w:r w:rsidR="00ED02F8" w:rsidRPr="005D239E">
        <w:rPr>
          <w:rFonts w:ascii="Verdana" w:hAnsi="Verdana"/>
          <w:sz w:val="20"/>
          <w:szCs w:val="20"/>
          <w:lang w:val="en-US"/>
        </w:rPr>
        <w:t xml:space="preserve"> 21</w:t>
      </w:r>
      <w:r w:rsidR="00ED02F8" w:rsidRPr="00FE7BA7">
        <w:rPr>
          <w:rFonts w:ascii="Verdana" w:hAnsi="Verdana"/>
          <w:sz w:val="20"/>
          <w:szCs w:val="20"/>
          <w:lang w:val="en-US"/>
        </w:rPr>
        <w:t xml:space="preserve"> </w:t>
      </w:r>
      <w:r w:rsidRPr="00FE7BA7">
        <w:rPr>
          <w:rFonts w:ascii="Verdana" w:hAnsi="Verdana"/>
          <w:sz w:val="20"/>
          <w:szCs w:val="20"/>
          <w:lang w:val="en-US"/>
        </w:rPr>
        <w:t xml:space="preserve">of this instrument in a sense that </w:t>
      </w:r>
      <w:r w:rsidRPr="005D239E">
        <w:rPr>
          <w:rFonts w:ascii="Verdana" w:hAnsi="Verdana"/>
          <w:sz w:val="20"/>
          <w:szCs w:val="20"/>
          <w:lang w:val="en-US"/>
        </w:rPr>
        <w:t xml:space="preserve">would limit the enjoyment and exercise of the </w:t>
      </w:r>
      <w:r w:rsidR="00FE7BA7" w:rsidRPr="005D239E">
        <w:rPr>
          <w:rFonts w:ascii="Verdana" w:hAnsi="Verdana"/>
          <w:sz w:val="20"/>
          <w:szCs w:val="20"/>
          <w:lang w:val="en-US"/>
        </w:rPr>
        <w:t>rights</w:t>
      </w:r>
      <w:r w:rsidRPr="005D239E">
        <w:rPr>
          <w:rFonts w:ascii="Verdana" w:hAnsi="Verdana"/>
          <w:sz w:val="20"/>
          <w:szCs w:val="20"/>
          <w:lang w:val="en-US"/>
        </w:rPr>
        <w:t xml:space="preserve"> recognized by </w:t>
      </w:r>
      <w:r w:rsidR="002B5CCD" w:rsidRPr="005D239E">
        <w:rPr>
          <w:rFonts w:ascii="Verdana" w:hAnsi="Verdana"/>
          <w:sz w:val="20"/>
          <w:szCs w:val="20"/>
          <w:lang w:val="en-US"/>
        </w:rPr>
        <w:t xml:space="preserve">Suriname </w:t>
      </w:r>
      <w:r w:rsidRPr="005D239E">
        <w:rPr>
          <w:rFonts w:ascii="Verdana" w:hAnsi="Verdana"/>
          <w:sz w:val="20"/>
          <w:szCs w:val="20"/>
          <w:lang w:val="en-US"/>
        </w:rPr>
        <w:t>in these covenants.</w:t>
      </w:r>
      <w:r w:rsidR="00ED02F8" w:rsidRPr="005D239E">
        <w:rPr>
          <w:rStyle w:val="FootnoteReference"/>
          <w:szCs w:val="20"/>
          <w:lang w:val="en-US"/>
        </w:rPr>
        <w:footnoteReference w:id="161"/>
      </w:r>
    </w:p>
    <w:p w14:paraId="63126950" w14:textId="77777777" w:rsidR="002D0F97" w:rsidRPr="005D239E" w:rsidRDefault="002D0F97" w:rsidP="002D0F97">
      <w:pPr>
        <w:pStyle w:val="ListParagraph"/>
        <w:ind w:left="0"/>
        <w:jc w:val="both"/>
        <w:rPr>
          <w:rFonts w:ascii="Verdana" w:hAnsi="Verdana"/>
          <w:sz w:val="20"/>
          <w:szCs w:val="20"/>
          <w:lang w:val="en-US"/>
        </w:rPr>
      </w:pPr>
    </w:p>
    <w:p w14:paraId="63126951" w14:textId="77777777" w:rsidR="00ED02F8" w:rsidRPr="005D239E" w:rsidRDefault="00ED02F8" w:rsidP="00D63518">
      <w:pPr>
        <w:pStyle w:val="ListParagraph"/>
        <w:numPr>
          <w:ilvl w:val="0"/>
          <w:numId w:val="2"/>
        </w:numPr>
        <w:ind w:left="0" w:hanging="11"/>
        <w:jc w:val="both"/>
        <w:rPr>
          <w:rFonts w:ascii="Verdana" w:hAnsi="Verdana"/>
          <w:sz w:val="20"/>
          <w:lang w:val="en-US"/>
        </w:rPr>
      </w:pPr>
      <w:r w:rsidRPr="005D239E">
        <w:rPr>
          <w:rFonts w:ascii="Verdana" w:hAnsi="Verdana"/>
          <w:sz w:val="20"/>
          <w:lang w:val="en-US"/>
        </w:rPr>
        <w:t xml:space="preserve"> </w:t>
      </w:r>
      <w:r w:rsidR="00D63518" w:rsidRPr="005D239E">
        <w:rPr>
          <w:rFonts w:ascii="Verdana" w:hAnsi="Verdana"/>
          <w:sz w:val="20"/>
          <w:lang w:val="en-US"/>
        </w:rPr>
        <w:t>Furthermore</w:t>
      </w:r>
      <w:r w:rsidRPr="005D239E">
        <w:rPr>
          <w:rFonts w:ascii="Verdana" w:hAnsi="Verdana"/>
          <w:sz w:val="20"/>
          <w:lang w:val="en-US"/>
        </w:rPr>
        <w:t xml:space="preserve">, </w:t>
      </w:r>
      <w:r w:rsidR="00D63518" w:rsidRPr="005D239E">
        <w:rPr>
          <w:rFonts w:ascii="Verdana" w:hAnsi="Verdana"/>
          <w:sz w:val="20"/>
          <w:lang w:val="en-US"/>
        </w:rPr>
        <w:t>the Human Rights Committee</w:t>
      </w:r>
      <w:r w:rsidRPr="005D239E">
        <w:rPr>
          <w:rFonts w:ascii="Verdana" w:hAnsi="Verdana"/>
          <w:sz w:val="20"/>
          <w:lang w:val="en-US"/>
        </w:rPr>
        <w:t xml:space="preserve"> ha</w:t>
      </w:r>
      <w:r w:rsidR="00D63518" w:rsidRPr="005D239E">
        <w:rPr>
          <w:rFonts w:ascii="Verdana" w:hAnsi="Verdana"/>
          <w:sz w:val="20"/>
          <w:lang w:val="en-US"/>
        </w:rPr>
        <w:t xml:space="preserve">s </w:t>
      </w:r>
      <w:r w:rsidR="00293732" w:rsidRPr="005D239E">
        <w:rPr>
          <w:rFonts w:ascii="Verdana" w:hAnsi="Verdana"/>
          <w:sz w:val="20"/>
          <w:lang w:val="en-US"/>
        </w:rPr>
        <w:t>examined</w:t>
      </w:r>
      <w:r w:rsidR="00D63518" w:rsidRPr="005D239E">
        <w:rPr>
          <w:rFonts w:ascii="Verdana" w:hAnsi="Verdana"/>
          <w:sz w:val="20"/>
          <w:lang w:val="en-US"/>
        </w:rPr>
        <w:t xml:space="preserve"> the obligations of the States Parties to the ICCPR, </w:t>
      </w:r>
      <w:r w:rsidR="00D63518" w:rsidRPr="005D239E">
        <w:rPr>
          <w:rFonts w:ascii="Verdana" w:hAnsi="Verdana"/>
          <w:sz w:val="20"/>
          <w:szCs w:val="20"/>
          <w:lang w:val="en-US"/>
        </w:rPr>
        <w:t>including</w:t>
      </w:r>
      <w:r w:rsidRPr="005D239E">
        <w:rPr>
          <w:rFonts w:ascii="Verdana" w:hAnsi="Verdana"/>
          <w:sz w:val="20"/>
          <w:szCs w:val="20"/>
          <w:lang w:val="en-US"/>
        </w:rPr>
        <w:t xml:space="preserve"> </w:t>
      </w:r>
      <w:r w:rsidR="004C7D14" w:rsidRPr="005D239E">
        <w:rPr>
          <w:rFonts w:ascii="Verdana" w:hAnsi="Verdana"/>
          <w:sz w:val="20"/>
          <w:szCs w:val="20"/>
          <w:lang w:val="en-US"/>
        </w:rPr>
        <w:t>Suriname,</w:t>
      </w:r>
      <w:r w:rsidR="00D63518" w:rsidRPr="005D239E">
        <w:rPr>
          <w:rFonts w:ascii="Verdana" w:hAnsi="Verdana"/>
          <w:sz w:val="20"/>
          <w:szCs w:val="20"/>
          <w:lang w:val="en-US"/>
        </w:rPr>
        <w:t xml:space="preserve"> under</w:t>
      </w:r>
      <w:r w:rsidRPr="005D239E">
        <w:rPr>
          <w:rFonts w:ascii="Verdana" w:hAnsi="Verdana"/>
          <w:sz w:val="20"/>
          <w:szCs w:val="20"/>
          <w:lang w:val="en-US"/>
        </w:rPr>
        <w:t xml:space="preserve"> </w:t>
      </w:r>
      <w:r w:rsidR="002B5CCD" w:rsidRPr="005D239E">
        <w:rPr>
          <w:rFonts w:ascii="Verdana" w:hAnsi="Verdana"/>
          <w:sz w:val="20"/>
          <w:szCs w:val="20"/>
          <w:lang w:val="en-US"/>
        </w:rPr>
        <w:t>Article</w:t>
      </w:r>
      <w:r w:rsidRPr="005D239E">
        <w:rPr>
          <w:rFonts w:ascii="Verdana" w:hAnsi="Verdana"/>
          <w:sz w:val="20"/>
          <w:szCs w:val="20"/>
          <w:lang w:val="en-US"/>
        </w:rPr>
        <w:t xml:space="preserve"> 27 </w:t>
      </w:r>
      <w:r w:rsidR="00D63518" w:rsidRPr="005D239E">
        <w:rPr>
          <w:rFonts w:ascii="Verdana" w:hAnsi="Verdana"/>
          <w:sz w:val="20"/>
          <w:szCs w:val="20"/>
          <w:lang w:val="en-US"/>
        </w:rPr>
        <w:t>of that instrument, and noted that “persons belonging to these minorities shall not be denied the right, in community with the other members of their group, to enjoy their own culture, [which] may consist in a way of life which is closely associated with territory and use of its resources. This may particularly be true of members of indigenous communities constituting a minority.</w:t>
      </w:r>
      <w:r w:rsidRPr="005D239E">
        <w:rPr>
          <w:rFonts w:ascii="Verdana" w:hAnsi="Verdana"/>
          <w:sz w:val="20"/>
          <w:lang w:val="en-US"/>
        </w:rPr>
        <w:t>”</w:t>
      </w:r>
      <w:r w:rsidRPr="005D239E">
        <w:rPr>
          <w:rStyle w:val="FootnoteReference"/>
          <w:lang w:val="en-US"/>
        </w:rPr>
        <w:footnoteReference w:id="162"/>
      </w:r>
    </w:p>
    <w:p w14:paraId="63126953" w14:textId="77777777" w:rsidR="00ED02F8" w:rsidRPr="00FE7BA7" w:rsidRDefault="00293732" w:rsidP="00ED02F8">
      <w:pPr>
        <w:pStyle w:val="ListParagraph"/>
        <w:numPr>
          <w:ilvl w:val="0"/>
          <w:numId w:val="2"/>
        </w:numPr>
        <w:ind w:left="0" w:hanging="11"/>
        <w:jc w:val="both"/>
        <w:rPr>
          <w:rFonts w:ascii="Verdana" w:hAnsi="Verdana"/>
          <w:sz w:val="20"/>
          <w:lang w:val="en-US"/>
        </w:rPr>
      </w:pPr>
      <w:r w:rsidRPr="00FE7BA7">
        <w:rPr>
          <w:rFonts w:ascii="Verdana" w:hAnsi="Verdana"/>
          <w:sz w:val="20"/>
          <w:lang w:val="en-US"/>
        </w:rPr>
        <w:lastRenderedPageBreak/>
        <w:t xml:space="preserve">The preceding analysis supports an interpretation </w:t>
      </w:r>
      <w:r w:rsidR="00773D70" w:rsidRPr="00FE7BA7">
        <w:rPr>
          <w:rFonts w:ascii="Verdana" w:hAnsi="Verdana"/>
          <w:sz w:val="20"/>
          <w:lang w:val="en-US"/>
        </w:rPr>
        <w:t>of Article</w:t>
      </w:r>
      <w:r w:rsidR="00ED02F8" w:rsidRPr="00FE7BA7">
        <w:rPr>
          <w:rFonts w:ascii="Verdana" w:hAnsi="Verdana"/>
          <w:sz w:val="20"/>
          <w:lang w:val="en-US"/>
        </w:rPr>
        <w:t xml:space="preserve"> 21</w:t>
      </w:r>
      <w:r w:rsidR="002B5CCD" w:rsidRPr="00FE7BA7">
        <w:rPr>
          <w:rFonts w:ascii="Verdana" w:hAnsi="Verdana"/>
          <w:sz w:val="20"/>
          <w:lang w:val="en-US"/>
        </w:rPr>
        <w:t xml:space="preserve"> of the American Convention</w:t>
      </w:r>
      <w:r w:rsidR="00ED02F8" w:rsidRPr="00FE7BA7">
        <w:rPr>
          <w:rFonts w:ascii="Verdana" w:hAnsi="Verdana"/>
          <w:sz w:val="20"/>
          <w:lang w:val="en-US"/>
        </w:rPr>
        <w:t xml:space="preserve"> </w:t>
      </w:r>
      <w:r w:rsidR="005D239E">
        <w:rPr>
          <w:rFonts w:ascii="Verdana" w:hAnsi="Verdana"/>
          <w:sz w:val="20"/>
          <w:lang w:val="en-US"/>
        </w:rPr>
        <w:t xml:space="preserve">that </w:t>
      </w:r>
      <w:r w:rsidR="00A725BE">
        <w:rPr>
          <w:rFonts w:ascii="Verdana" w:hAnsi="Verdana"/>
          <w:sz w:val="20"/>
          <w:lang w:val="en-US"/>
        </w:rPr>
        <w:t xml:space="preserve">requires recognition of </w:t>
      </w:r>
      <w:r w:rsidRPr="00FE7BA7">
        <w:rPr>
          <w:rFonts w:ascii="Verdana" w:hAnsi="Verdana"/>
          <w:sz w:val="20"/>
          <w:lang w:val="en-US"/>
        </w:rPr>
        <w:t>the right of the members of</w:t>
      </w:r>
      <w:r w:rsidR="00511E56" w:rsidRPr="00FE7BA7">
        <w:rPr>
          <w:rFonts w:ascii="Verdana" w:hAnsi="Verdana"/>
          <w:sz w:val="20"/>
          <w:lang w:val="en-US"/>
        </w:rPr>
        <w:t xml:space="preserve"> </w:t>
      </w:r>
      <w:r w:rsidRPr="00FE7BA7">
        <w:rPr>
          <w:rFonts w:ascii="Verdana" w:hAnsi="Verdana"/>
          <w:sz w:val="20"/>
          <w:lang w:val="en-US"/>
        </w:rPr>
        <w:t xml:space="preserve">indigenous and tribal peoples to </w:t>
      </w:r>
      <w:r w:rsidR="00A725BE">
        <w:rPr>
          <w:rFonts w:ascii="Verdana" w:hAnsi="Verdana"/>
          <w:sz w:val="20"/>
          <w:lang w:val="en-US"/>
        </w:rPr>
        <w:t>freely determine and</w:t>
      </w:r>
      <w:r w:rsidRPr="00FE7BA7">
        <w:rPr>
          <w:rFonts w:ascii="Verdana" w:hAnsi="Verdana"/>
          <w:sz w:val="20"/>
          <w:lang w:val="en-US"/>
        </w:rPr>
        <w:t xml:space="preserve"> enjoy their own social, cultural and economic development, which includes the right to enjoy their particular spiritual relationship with the territory they have traditionally used and occupied. Consequently, in this case, the right to property protected by </w:t>
      </w:r>
      <w:r w:rsidR="00C34C52" w:rsidRPr="00FE7BA7">
        <w:rPr>
          <w:rFonts w:ascii="Verdana" w:hAnsi="Verdana"/>
          <w:sz w:val="20"/>
          <w:lang w:val="en-US"/>
        </w:rPr>
        <w:t>Article</w:t>
      </w:r>
      <w:r w:rsidR="00ED02F8" w:rsidRPr="00FE7BA7">
        <w:rPr>
          <w:rFonts w:ascii="Verdana" w:hAnsi="Verdana"/>
          <w:sz w:val="20"/>
          <w:lang w:val="en-US"/>
        </w:rPr>
        <w:t xml:space="preserve"> 21</w:t>
      </w:r>
      <w:r w:rsidR="002B5CCD" w:rsidRPr="00FE7BA7">
        <w:rPr>
          <w:rFonts w:ascii="Verdana" w:hAnsi="Verdana"/>
          <w:sz w:val="20"/>
          <w:lang w:val="en-US"/>
        </w:rPr>
        <w:t xml:space="preserve"> of the American Convention</w:t>
      </w:r>
      <w:r w:rsidRPr="00FE7BA7">
        <w:rPr>
          <w:rFonts w:ascii="Verdana" w:hAnsi="Verdana"/>
          <w:sz w:val="20"/>
          <w:lang w:val="en-US"/>
        </w:rPr>
        <w:t>, and interpreted in light of the rights recognized in</w:t>
      </w:r>
      <w:r w:rsidR="00ED02F8" w:rsidRPr="00FE7BA7">
        <w:rPr>
          <w:rFonts w:ascii="Verdana" w:hAnsi="Verdana"/>
          <w:sz w:val="20"/>
          <w:lang w:val="en-US"/>
        </w:rPr>
        <w:t xml:space="preserve"> </w:t>
      </w:r>
      <w:r w:rsidRPr="00FE7BA7">
        <w:rPr>
          <w:rFonts w:ascii="Verdana" w:hAnsi="Verdana"/>
          <w:sz w:val="20"/>
          <w:lang w:val="en-US"/>
        </w:rPr>
        <w:t>Article</w:t>
      </w:r>
      <w:r w:rsidR="00ED02F8" w:rsidRPr="00FE7BA7">
        <w:rPr>
          <w:rFonts w:ascii="Verdana" w:hAnsi="Verdana"/>
          <w:sz w:val="20"/>
          <w:lang w:val="en-US"/>
        </w:rPr>
        <w:t xml:space="preserve"> 1 </w:t>
      </w:r>
      <w:r w:rsidRPr="00FE7BA7">
        <w:rPr>
          <w:rFonts w:ascii="Verdana" w:hAnsi="Verdana"/>
          <w:sz w:val="20"/>
          <w:lang w:val="en-US"/>
        </w:rPr>
        <w:t xml:space="preserve">common to the two Covenants, and Article </w:t>
      </w:r>
      <w:r w:rsidR="00ED02F8" w:rsidRPr="00FE7BA7">
        <w:rPr>
          <w:rFonts w:ascii="Verdana" w:hAnsi="Verdana"/>
          <w:sz w:val="20"/>
          <w:lang w:val="en-US"/>
        </w:rPr>
        <w:t>27</w:t>
      </w:r>
      <w:r w:rsidRPr="00FE7BA7">
        <w:rPr>
          <w:rFonts w:ascii="Verdana" w:hAnsi="Verdana"/>
          <w:sz w:val="20"/>
          <w:lang w:val="en-US"/>
        </w:rPr>
        <w:t xml:space="preserve"> of the</w:t>
      </w:r>
      <w:r w:rsidR="00ED02F8" w:rsidRPr="00FE7BA7">
        <w:rPr>
          <w:rFonts w:ascii="Verdana" w:hAnsi="Verdana"/>
          <w:sz w:val="20"/>
          <w:lang w:val="en-US"/>
        </w:rPr>
        <w:t xml:space="preserve"> </w:t>
      </w:r>
      <w:r w:rsidR="00D63518" w:rsidRPr="00FE7BA7">
        <w:rPr>
          <w:rFonts w:ascii="Verdana" w:hAnsi="Verdana"/>
          <w:sz w:val="20"/>
          <w:lang w:val="en-US"/>
        </w:rPr>
        <w:t>ICCPR</w:t>
      </w:r>
      <w:r w:rsidRPr="00FE7BA7">
        <w:rPr>
          <w:rFonts w:ascii="Verdana" w:hAnsi="Verdana"/>
          <w:sz w:val="20"/>
          <w:lang w:val="en-US"/>
        </w:rPr>
        <w:t xml:space="preserve"> which cannot be restricted when interpreting </w:t>
      </w:r>
      <w:r w:rsidR="002B5CCD" w:rsidRPr="00FE7BA7">
        <w:rPr>
          <w:rFonts w:ascii="Verdana" w:hAnsi="Verdana"/>
          <w:sz w:val="20"/>
          <w:lang w:val="en-US"/>
        </w:rPr>
        <w:t>the American Convention</w:t>
      </w:r>
      <w:r w:rsidR="00ED02F8" w:rsidRPr="00FE7BA7">
        <w:rPr>
          <w:rFonts w:ascii="Verdana" w:hAnsi="Verdana"/>
          <w:sz w:val="20"/>
          <w:lang w:val="en-US"/>
        </w:rPr>
        <w:t xml:space="preserve"> </w:t>
      </w:r>
      <w:r w:rsidRPr="00FE7BA7">
        <w:rPr>
          <w:rFonts w:ascii="Verdana" w:hAnsi="Verdana"/>
          <w:sz w:val="20"/>
          <w:lang w:val="en-US"/>
        </w:rPr>
        <w:t xml:space="preserve">in this case, confer on the members </w:t>
      </w:r>
      <w:r w:rsidR="00635ACD" w:rsidRPr="00FE7BA7">
        <w:rPr>
          <w:rFonts w:ascii="Verdana" w:hAnsi="Verdana"/>
          <w:sz w:val="20"/>
          <w:lang w:val="en-US"/>
        </w:rPr>
        <w:t xml:space="preserve">of the </w:t>
      </w:r>
      <w:r w:rsidR="004C7D14" w:rsidRPr="00FE7BA7">
        <w:rPr>
          <w:rFonts w:ascii="Verdana" w:hAnsi="Verdana"/>
          <w:sz w:val="20"/>
          <w:lang w:val="en-US"/>
        </w:rPr>
        <w:t>Kaliña and Lokono peoples</w:t>
      </w:r>
      <w:r w:rsidR="00ED02F8" w:rsidRPr="00FE7BA7">
        <w:rPr>
          <w:rFonts w:ascii="Verdana" w:hAnsi="Verdana"/>
          <w:sz w:val="20"/>
          <w:lang w:val="en-US"/>
        </w:rPr>
        <w:t xml:space="preserve"> </w:t>
      </w:r>
      <w:r w:rsidRPr="00FE7BA7">
        <w:rPr>
          <w:rFonts w:ascii="Verdana" w:hAnsi="Verdana"/>
          <w:sz w:val="20"/>
          <w:lang w:val="en-US"/>
        </w:rPr>
        <w:t>the right</w:t>
      </w:r>
      <w:r w:rsidR="00A725BE">
        <w:rPr>
          <w:rFonts w:ascii="Verdana" w:hAnsi="Verdana"/>
          <w:sz w:val="20"/>
          <w:lang w:val="en-US"/>
        </w:rPr>
        <w:t xml:space="preserve"> t</w:t>
      </w:r>
      <w:r w:rsidRPr="00FE7BA7">
        <w:rPr>
          <w:rFonts w:ascii="Verdana" w:hAnsi="Verdana"/>
          <w:sz w:val="20"/>
          <w:lang w:val="en-US"/>
        </w:rPr>
        <w:t>o the enjoyment of their property in keeping with their community-based tradition.</w:t>
      </w:r>
      <w:r w:rsidR="00ED02F8" w:rsidRPr="00FE7BA7">
        <w:rPr>
          <w:rStyle w:val="FootnoteReference"/>
          <w:lang w:val="en-US"/>
        </w:rPr>
        <w:footnoteReference w:id="163"/>
      </w:r>
      <w:r w:rsidR="00ED02F8" w:rsidRPr="00FE7BA7">
        <w:rPr>
          <w:rFonts w:ascii="Verdana" w:hAnsi="Verdana"/>
          <w:sz w:val="20"/>
          <w:lang w:val="en-US"/>
        </w:rPr>
        <w:t xml:space="preserve"> </w:t>
      </w:r>
    </w:p>
    <w:p w14:paraId="63126954" w14:textId="77777777" w:rsidR="00ED02F8" w:rsidRPr="00FE7BA7" w:rsidRDefault="00ED02F8" w:rsidP="002D0F97">
      <w:pPr>
        <w:pStyle w:val="ListParagraph"/>
        <w:rPr>
          <w:rFonts w:ascii="Verdana" w:hAnsi="Verdana"/>
          <w:sz w:val="20"/>
          <w:lang w:val="en-US"/>
        </w:rPr>
      </w:pPr>
    </w:p>
    <w:p w14:paraId="63126955" w14:textId="77777777" w:rsidR="00ED02F8" w:rsidRPr="00FE7BA7" w:rsidRDefault="00ED02F8" w:rsidP="0004420D">
      <w:pPr>
        <w:pStyle w:val="ListParagraph"/>
        <w:numPr>
          <w:ilvl w:val="0"/>
          <w:numId w:val="2"/>
        </w:numPr>
        <w:ind w:left="0" w:hanging="11"/>
        <w:jc w:val="both"/>
        <w:rPr>
          <w:rFonts w:ascii="Verdana" w:hAnsi="Verdana"/>
          <w:sz w:val="20"/>
          <w:lang w:val="en-US"/>
        </w:rPr>
      </w:pPr>
      <w:r w:rsidRPr="00FE7BA7">
        <w:rPr>
          <w:rFonts w:ascii="Verdana" w:hAnsi="Verdana"/>
          <w:sz w:val="20"/>
          <w:lang w:val="en-US"/>
        </w:rPr>
        <w:t>Ap</w:t>
      </w:r>
      <w:r w:rsidR="0004420D" w:rsidRPr="00FE7BA7">
        <w:rPr>
          <w:rFonts w:ascii="Verdana" w:hAnsi="Verdana"/>
          <w:sz w:val="20"/>
          <w:lang w:val="en-US"/>
        </w:rPr>
        <w:t xml:space="preserve">plying this criteria to the present case, the Court concludes that, as indigenous peoples, </w:t>
      </w:r>
      <w:r w:rsidR="002B5CCD" w:rsidRPr="00FE7BA7">
        <w:rPr>
          <w:rFonts w:ascii="Verdana" w:hAnsi="Verdana"/>
          <w:sz w:val="20"/>
          <w:lang w:val="en-US"/>
        </w:rPr>
        <w:t xml:space="preserve">the </w:t>
      </w:r>
      <w:r w:rsidR="004C7D14" w:rsidRPr="00FE7BA7">
        <w:rPr>
          <w:rFonts w:ascii="Verdana" w:hAnsi="Verdana"/>
          <w:sz w:val="20"/>
          <w:lang w:val="en-US"/>
        </w:rPr>
        <w:t>Kaliña and Lokono peoples</w:t>
      </w:r>
      <w:r w:rsidR="0004420D" w:rsidRPr="00FE7BA7">
        <w:rPr>
          <w:rFonts w:ascii="Verdana" w:hAnsi="Verdana"/>
          <w:sz w:val="20"/>
          <w:lang w:val="en-US"/>
        </w:rPr>
        <w:t xml:space="preserve"> are protected by international human rights law which guarantees the right to </w:t>
      </w:r>
      <w:r w:rsidR="00B402F0" w:rsidRPr="00FE7BA7">
        <w:rPr>
          <w:rFonts w:ascii="Verdana" w:hAnsi="Verdana"/>
          <w:sz w:val="20"/>
          <w:lang w:val="en-US"/>
        </w:rPr>
        <w:t xml:space="preserve">the </w:t>
      </w:r>
      <w:r w:rsidR="00A725BE">
        <w:rPr>
          <w:rFonts w:ascii="Verdana" w:hAnsi="Verdana"/>
          <w:sz w:val="20"/>
          <w:lang w:val="en-US"/>
        </w:rPr>
        <w:t>collective</w:t>
      </w:r>
      <w:r w:rsidR="0004420D" w:rsidRPr="00FE7BA7">
        <w:rPr>
          <w:rFonts w:ascii="Verdana" w:hAnsi="Verdana"/>
          <w:sz w:val="20"/>
          <w:lang w:val="en-US"/>
        </w:rPr>
        <w:t xml:space="preserve"> territory</w:t>
      </w:r>
      <w:r w:rsidR="00A725BE">
        <w:rPr>
          <w:rFonts w:ascii="Verdana" w:hAnsi="Verdana"/>
          <w:sz w:val="20"/>
          <w:lang w:val="en-US"/>
        </w:rPr>
        <w:t xml:space="preserve"> </w:t>
      </w:r>
      <w:r w:rsidR="00B402F0" w:rsidRPr="00FE7BA7">
        <w:rPr>
          <w:rFonts w:ascii="Verdana" w:hAnsi="Verdana"/>
          <w:sz w:val="20"/>
          <w:lang w:val="en-US"/>
        </w:rPr>
        <w:t>they have used and occupied traditionally, derived from the use and occupation of the land and of the resources necessary for their physical and cultural survival and, also, that the State has the obligation to adopt special measures to recognize, respect, protect and guarantee to their members the right to communal ownership of this territory.</w:t>
      </w:r>
      <w:r w:rsidRPr="00FE7BA7">
        <w:rPr>
          <w:rStyle w:val="FootnoteReference"/>
          <w:lang w:val="en-US"/>
        </w:rPr>
        <w:footnoteReference w:id="164"/>
      </w:r>
      <w:r w:rsidRPr="00FE7BA7">
        <w:rPr>
          <w:rFonts w:ascii="Verdana" w:hAnsi="Verdana"/>
          <w:sz w:val="20"/>
          <w:lang w:val="en-US"/>
        </w:rPr>
        <w:t xml:space="preserve"> </w:t>
      </w:r>
    </w:p>
    <w:p w14:paraId="63126956" w14:textId="77777777" w:rsidR="00ED02F8" w:rsidRPr="00FE7BA7" w:rsidRDefault="00ED02F8" w:rsidP="00ED02F8">
      <w:pPr>
        <w:jc w:val="both"/>
        <w:rPr>
          <w:rFonts w:ascii="Verdana" w:hAnsi="Verdana"/>
          <w:b/>
          <w:sz w:val="20"/>
          <w:lang w:val="en-US"/>
        </w:rPr>
      </w:pPr>
    </w:p>
    <w:p w14:paraId="63126957" w14:textId="4A45185C" w:rsidR="00ED02F8" w:rsidRPr="00FE7BA7" w:rsidRDefault="00B402F0" w:rsidP="00ED02F8">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addition, the Court considers it important to emphasize that</w:t>
      </w:r>
      <w:r w:rsidR="008C0D6F">
        <w:rPr>
          <w:rFonts w:ascii="Verdana" w:hAnsi="Verdana"/>
          <w:sz w:val="20"/>
          <w:szCs w:val="20"/>
          <w:lang w:val="en-US"/>
        </w:rPr>
        <w:t xml:space="preserve"> even though</w:t>
      </w:r>
      <w:r w:rsidRPr="00FE7BA7">
        <w:rPr>
          <w:rFonts w:ascii="Verdana" w:hAnsi="Verdana"/>
          <w:sz w:val="20"/>
          <w:szCs w:val="20"/>
          <w:lang w:val="en-US"/>
        </w:rPr>
        <w:t xml:space="preserve"> the parties have not argued </w:t>
      </w:r>
      <w:r w:rsidR="00511E56" w:rsidRPr="00FE7BA7">
        <w:rPr>
          <w:rFonts w:ascii="Verdana" w:hAnsi="Verdana"/>
          <w:sz w:val="20"/>
          <w:szCs w:val="20"/>
          <w:lang w:val="en-US"/>
        </w:rPr>
        <w:t>the violation</w:t>
      </w:r>
      <w:r w:rsidR="00ED02F8" w:rsidRPr="00FE7BA7">
        <w:rPr>
          <w:rFonts w:ascii="Verdana" w:hAnsi="Verdana"/>
          <w:sz w:val="20"/>
          <w:szCs w:val="20"/>
          <w:lang w:val="en-US"/>
        </w:rPr>
        <w:t xml:space="preserve"> </w:t>
      </w:r>
      <w:r w:rsidR="00773D70" w:rsidRPr="00FE7BA7">
        <w:rPr>
          <w:rFonts w:ascii="Verdana" w:hAnsi="Verdana"/>
          <w:sz w:val="20"/>
          <w:szCs w:val="20"/>
          <w:lang w:val="en-US"/>
        </w:rPr>
        <w:t>of Article</w:t>
      </w:r>
      <w:r w:rsidR="00ED02F8" w:rsidRPr="00FE7BA7">
        <w:rPr>
          <w:rFonts w:ascii="Verdana" w:hAnsi="Verdana"/>
          <w:sz w:val="20"/>
          <w:szCs w:val="20"/>
          <w:lang w:val="en-US"/>
        </w:rPr>
        <w:t xml:space="preserve"> 23</w:t>
      </w:r>
      <w:r w:rsidR="002B5CCD" w:rsidRPr="00FE7BA7">
        <w:rPr>
          <w:rFonts w:ascii="Verdana" w:hAnsi="Verdana"/>
          <w:sz w:val="20"/>
          <w:szCs w:val="20"/>
          <w:lang w:val="en-US"/>
        </w:rPr>
        <w:t xml:space="preserve"> of the Convention</w:t>
      </w:r>
      <w:r w:rsidR="00FD14B3" w:rsidRPr="00FE7BA7">
        <w:rPr>
          <w:rFonts w:ascii="Verdana" w:hAnsi="Verdana"/>
          <w:sz w:val="20"/>
          <w:szCs w:val="20"/>
          <w:lang w:val="en-US"/>
        </w:rPr>
        <w:t xml:space="preserve"> during </w:t>
      </w:r>
      <w:r w:rsidRPr="00FE7BA7">
        <w:rPr>
          <w:rFonts w:ascii="Verdana" w:hAnsi="Verdana"/>
          <w:sz w:val="20"/>
          <w:szCs w:val="20"/>
          <w:lang w:val="en-US"/>
        </w:rPr>
        <w:t xml:space="preserve">the proceedings before </w:t>
      </w:r>
      <w:r w:rsidR="00AB2117" w:rsidRPr="00FE7BA7">
        <w:rPr>
          <w:rFonts w:ascii="Verdana" w:hAnsi="Verdana"/>
          <w:sz w:val="20"/>
          <w:szCs w:val="20"/>
          <w:lang w:val="en-US"/>
        </w:rPr>
        <w:t>this Court</w:t>
      </w:r>
      <w:r w:rsidR="00ED02F8" w:rsidRPr="00FE7BA7">
        <w:rPr>
          <w:rFonts w:ascii="Verdana" w:hAnsi="Verdana"/>
          <w:sz w:val="20"/>
          <w:szCs w:val="20"/>
          <w:lang w:val="en-US"/>
        </w:rPr>
        <w:t xml:space="preserve">, </w:t>
      </w:r>
      <w:r w:rsidRPr="00FE7BA7">
        <w:rPr>
          <w:rFonts w:ascii="Verdana" w:hAnsi="Verdana"/>
          <w:sz w:val="20"/>
          <w:szCs w:val="20"/>
          <w:lang w:val="en-US"/>
        </w:rPr>
        <w:t xml:space="preserve">it finds it pertinent to apply the </w:t>
      </w:r>
      <w:r w:rsidR="00ED02F8" w:rsidRPr="00FE7BA7">
        <w:rPr>
          <w:rFonts w:ascii="Verdana" w:hAnsi="Verdana"/>
          <w:i/>
          <w:sz w:val="20"/>
          <w:szCs w:val="20"/>
          <w:lang w:val="en-US"/>
        </w:rPr>
        <w:t>iura novit curia</w:t>
      </w:r>
      <w:r w:rsidR="00ED02F8" w:rsidRPr="00FE7BA7">
        <w:rPr>
          <w:rFonts w:ascii="Verdana" w:hAnsi="Verdana"/>
          <w:sz w:val="20"/>
          <w:szCs w:val="20"/>
          <w:lang w:val="en-US"/>
        </w:rPr>
        <w:t xml:space="preserve"> </w:t>
      </w:r>
      <w:r w:rsidRPr="00FE7BA7">
        <w:rPr>
          <w:rFonts w:ascii="Verdana" w:hAnsi="Verdana"/>
          <w:sz w:val="20"/>
          <w:szCs w:val="20"/>
          <w:lang w:val="en-US"/>
        </w:rPr>
        <w:t xml:space="preserve">principle, which “allows it to examine the possible violation of provisions </w:t>
      </w:r>
      <w:r w:rsidR="002B5CCD" w:rsidRPr="00FE7BA7">
        <w:rPr>
          <w:rFonts w:ascii="Verdana" w:hAnsi="Verdana"/>
          <w:sz w:val="20"/>
          <w:szCs w:val="20"/>
          <w:lang w:val="en-US"/>
        </w:rPr>
        <w:t>of the Convention</w:t>
      </w:r>
      <w:r w:rsidR="00ED02F8" w:rsidRPr="00FE7BA7">
        <w:rPr>
          <w:rFonts w:ascii="Verdana" w:hAnsi="Verdana"/>
          <w:sz w:val="20"/>
          <w:szCs w:val="20"/>
          <w:lang w:val="en-US"/>
        </w:rPr>
        <w:t xml:space="preserve"> </w:t>
      </w:r>
      <w:r w:rsidRPr="00FE7BA7">
        <w:rPr>
          <w:rFonts w:ascii="Verdana" w:hAnsi="Verdana"/>
          <w:sz w:val="20"/>
          <w:szCs w:val="20"/>
          <w:lang w:val="en-US"/>
        </w:rPr>
        <w:t>that have not been alleged in the briefs presented by the parties, provided the parties have had the opportunity to express their respective positions in relation to the facts that substantiate this.</w:t>
      </w:r>
      <w:r w:rsidR="00480171" w:rsidRPr="00FE7BA7">
        <w:rPr>
          <w:rFonts w:ascii="Verdana" w:hAnsi="Verdana"/>
          <w:sz w:val="20"/>
          <w:szCs w:val="20"/>
          <w:lang w:val="en-US"/>
        </w:rPr>
        <w:t>”</w:t>
      </w:r>
      <w:r w:rsidR="00ED02F8" w:rsidRPr="00FE7BA7">
        <w:rPr>
          <w:rStyle w:val="FootnoteReference"/>
          <w:szCs w:val="20"/>
          <w:lang w:val="en-US"/>
        </w:rPr>
        <w:footnoteReference w:id="165"/>
      </w:r>
      <w:r w:rsidRPr="00FE7BA7">
        <w:rPr>
          <w:rFonts w:ascii="Verdana" w:hAnsi="Verdana"/>
          <w:sz w:val="20"/>
          <w:szCs w:val="20"/>
          <w:lang w:val="en-US"/>
        </w:rPr>
        <w:t xml:space="preserve"> Accordingly, the Court will rule on this right.</w:t>
      </w:r>
    </w:p>
    <w:p w14:paraId="63126958" w14:textId="77777777" w:rsidR="00830B9E" w:rsidRPr="00FE7BA7" w:rsidRDefault="00830B9E" w:rsidP="00190AD3">
      <w:pPr>
        <w:pStyle w:val="ListParagraph"/>
        <w:ind w:left="0"/>
        <w:jc w:val="both"/>
        <w:rPr>
          <w:rFonts w:ascii="Verdana" w:hAnsi="Verdana"/>
          <w:sz w:val="20"/>
          <w:szCs w:val="20"/>
          <w:lang w:val="en-US"/>
        </w:rPr>
      </w:pPr>
    </w:p>
    <w:p w14:paraId="63126959" w14:textId="77777777" w:rsidR="00FC1FCF" w:rsidRPr="00FE7BA7" w:rsidRDefault="00B402F0" w:rsidP="00FC1FCF">
      <w:pPr>
        <w:pStyle w:val="ListParagraph"/>
        <w:numPr>
          <w:ilvl w:val="0"/>
          <w:numId w:val="2"/>
        </w:numPr>
        <w:ind w:left="0" w:hanging="11"/>
        <w:jc w:val="both"/>
        <w:rPr>
          <w:rFonts w:ascii="Verdana" w:hAnsi="Verdana"/>
          <w:sz w:val="20"/>
          <w:lang w:val="en-US"/>
        </w:rPr>
      </w:pPr>
      <w:r w:rsidRPr="00FE7BA7">
        <w:rPr>
          <w:rFonts w:ascii="Verdana" w:hAnsi="Verdana" w:cs="Arial"/>
          <w:sz w:val="20"/>
          <w:szCs w:val="20"/>
          <w:lang w:val="en-US"/>
        </w:rPr>
        <w:t xml:space="preserve">Based on the above, in light of the arguments of the parties, the Court finds that the violations </w:t>
      </w:r>
      <w:r w:rsidR="00A725BE">
        <w:rPr>
          <w:rFonts w:ascii="Verdana" w:hAnsi="Verdana" w:cs="Arial"/>
          <w:sz w:val="20"/>
          <w:szCs w:val="20"/>
          <w:lang w:val="en-US"/>
        </w:rPr>
        <w:t>that have been alleged relate</w:t>
      </w:r>
      <w:r w:rsidRPr="00FE7BA7">
        <w:rPr>
          <w:rFonts w:ascii="Verdana" w:hAnsi="Verdana" w:cs="Arial"/>
          <w:sz w:val="20"/>
          <w:szCs w:val="20"/>
          <w:lang w:val="en-US"/>
        </w:rPr>
        <w:t xml:space="preserve"> to four main disputes: (a)</w:t>
      </w:r>
      <w:r w:rsidR="00FC1FCF" w:rsidRPr="00FE7BA7">
        <w:rPr>
          <w:rFonts w:ascii="Verdana" w:hAnsi="Verdana" w:cs="Arial"/>
          <w:sz w:val="20"/>
          <w:szCs w:val="20"/>
          <w:lang w:val="en-US"/>
        </w:rPr>
        <w:t xml:space="preserve"> </w:t>
      </w:r>
      <w:r w:rsidR="008A1944" w:rsidRPr="00FE7BA7">
        <w:rPr>
          <w:rFonts w:ascii="Verdana" w:hAnsi="Verdana" w:cs="Arial"/>
          <w:sz w:val="20"/>
          <w:szCs w:val="20"/>
          <w:lang w:val="en-US"/>
        </w:rPr>
        <w:t>the failure to recognize the right to collective property</w:t>
      </w:r>
      <w:r w:rsidR="002B5CCD" w:rsidRPr="00FE7BA7">
        <w:rPr>
          <w:rFonts w:ascii="Verdana" w:hAnsi="Verdana" w:cs="Arial"/>
          <w:sz w:val="20"/>
          <w:szCs w:val="20"/>
          <w:lang w:val="en-US"/>
        </w:rPr>
        <w:t xml:space="preserve"> and </w:t>
      </w:r>
      <w:r w:rsidRPr="00FE7BA7">
        <w:rPr>
          <w:rFonts w:ascii="Verdana" w:hAnsi="Verdana" w:cs="Arial"/>
          <w:sz w:val="20"/>
          <w:szCs w:val="20"/>
          <w:lang w:val="en-US"/>
        </w:rPr>
        <w:t>the absence of delimitation, demarcation and</w:t>
      </w:r>
      <w:r w:rsidR="00122FF4" w:rsidRPr="00FE7BA7">
        <w:rPr>
          <w:rFonts w:ascii="Verdana" w:hAnsi="Verdana" w:cs="Arial"/>
          <w:sz w:val="20"/>
          <w:szCs w:val="20"/>
          <w:lang w:val="en-US"/>
        </w:rPr>
        <w:t xml:space="preserve"> land-titling of the ancestral lands </w:t>
      </w:r>
      <w:r w:rsidR="00635ACD" w:rsidRPr="00FE7BA7">
        <w:rPr>
          <w:rFonts w:ascii="Verdana" w:hAnsi="Verdana" w:cs="Arial"/>
          <w:sz w:val="20"/>
          <w:szCs w:val="20"/>
          <w:lang w:val="en-US"/>
        </w:rPr>
        <w:t>of the Kaliña and Lokono indigenous peoples</w:t>
      </w:r>
      <w:r w:rsidR="00FC1FCF" w:rsidRPr="00FE7BA7">
        <w:rPr>
          <w:rFonts w:ascii="Verdana" w:hAnsi="Verdana" w:cs="Arial"/>
          <w:sz w:val="20"/>
          <w:szCs w:val="20"/>
          <w:lang w:val="en-US"/>
        </w:rPr>
        <w:t xml:space="preserve">; </w:t>
      </w:r>
      <w:r w:rsidR="00122FF4" w:rsidRPr="00FE7BA7">
        <w:rPr>
          <w:rFonts w:ascii="Verdana" w:hAnsi="Verdana" w:cs="Arial"/>
          <w:sz w:val="20"/>
          <w:szCs w:val="20"/>
          <w:lang w:val="en-US"/>
        </w:rPr>
        <w:t>(</w:t>
      </w:r>
      <w:r w:rsidR="00FC1FCF" w:rsidRPr="00FE7BA7">
        <w:rPr>
          <w:rFonts w:ascii="Verdana" w:hAnsi="Verdana" w:cs="Arial"/>
          <w:sz w:val="20"/>
          <w:szCs w:val="20"/>
          <w:lang w:val="en-US"/>
        </w:rPr>
        <w:t xml:space="preserve">b) </w:t>
      </w:r>
      <w:r w:rsidR="00122FF4" w:rsidRPr="00FE7BA7">
        <w:rPr>
          <w:rFonts w:ascii="Verdana" w:hAnsi="Verdana" w:cs="Arial"/>
          <w:sz w:val="20"/>
          <w:szCs w:val="20"/>
          <w:lang w:val="en-US"/>
        </w:rPr>
        <w:t xml:space="preserve">the granting of land titles and leases to </w:t>
      </w:r>
      <w:r w:rsidR="000E16B8" w:rsidRPr="00FE7BA7">
        <w:rPr>
          <w:rFonts w:ascii="Verdana" w:hAnsi="Verdana" w:cs="Arial"/>
          <w:sz w:val="20"/>
          <w:szCs w:val="20"/>
          <w:lang w:val="en-US"/>
        </w:rPr>
        <w:t>non-indigenous persons</w:t>
      </w:r>
      <w:r w:rsidR="00FC1FCF" w:rsidRPr="00FE7BA7">
        <w:rPr>
          <w:rFonts w:ascii="Verdana" w:hAnsi="Verdana" w:cs="Arial"/>
          <w:sz w:val="20"/>
          <w:szCs w:val="20"/>
          <w:lang w:val="en-US"/>
        </w:rPr>
        <w:t xml:space="preserve"> </w:t>
      </w:r>
      <w:r w:rsidR="00122FF4" w:rsidRPr="00FE7BA7">
        <w:rPr>
          <w:rFonts w:ascii="Verdana" w:hAnsi="Verdana" w:cs="Arial"/>
          <w:sz w:val="20"/>
          <w:szCs w:val="20"/>
          <w:lang w:val="en-US"/>
        </w:rPr>
        <w:t>within</w:t>
      </w:r>
      <w:r w:rsidR="00511E56" w:rsidRPr="00FE7BA7">
        <w:rPr>
          <w:rFonts w:ascii="Verdana" w:hAnsi="Verdana" w:cs="Arial"/>
          <w:sz w:val="20"/>
          <w:szCs w:val="20"/>
          <w:lang w:val="en-US"/>
        </w:rPr>
        <w:t xml:space="preserve"> the territory</w:t>
      </w:r>
      <w:r w:rsidR="00FC1FCF" w:rsidRPr="00FE7BA7">
        <w:rPr>
          <w:rFonts w:ascii="Verdana" w:hAnsi="Verdana" w:cs="Arial"/>
          <w:sz w:val="20"/>
          <w:szCs w:val="20"/>
          <w:lang w:val="en-US"/>
        </w:rPr>
        <w:t xml:space="preserve"> </w:t>
      </w:r>
      <w:r w:rsidR="00122FF4" w:rsidRPr="00FE7BA7">
        <w:rPr>
          <w:rFonts w:ascii="Verdana" w:hAnsi="Verdana" w:cs="Arial"/>
          <w:sz w:val="20"/>
          <w:szCs w:val="20"/>
          <w:lang w:val="en-US"/>
        </w:rPr>
        <w:t>claimed by</w:t>
      </w:r>
      <w:r w:rsidR="00CB17C1" w:rsidRPr="00FE7BA7">
        <w:rPr>
          <w:rFonts w:ascii="Verdana" w:hAnsi="Verdana" w:cs="Arial"/>
          <w:sz w:val="20"/>
          <w:szCs w:val="20"/>
          <w:lang w:val="en-US"/>
        </w:rPr>
        <w:t xml:space="preserve"> </w:t>
      </w:r>
      <w:r w:rsidR="002B5CCD" w:rsidRPr="00FE7BA7">
        <w:rPr>
          <w:rFonts w:ascii="Verdana" w:hAnsi="Verdana" w:cs="Arial"/>
          <w:sz w:val="20"/>
          <w:szCs w:val="20"/>
          <w:lang w:val="en-US"/>
        </w:rPr>
        <w:t xml:space="preserve">the </w:t>
      </w:r>
      <w:r w:rsidR="004C7D14" w:rsidRPr="00FE7BA7">
        <w:rPr>
          <w:rFonts w:ascii="Verdana" w:hAnsi="Verdana" w:cs="Arial"/>
          <w:sz w:val="20"/>
          <w:szCs w:val="20"/>
          <w:lang w:val="en-US"/>
        </w:rPr>
        <w:t>Kaliña and Lokono peoples</w:t>
      </w:r>
      <w:r w:rsidR="00FC1FCF" w:rsidRPr="00FE7BA7">
        <w:rPr>
          <w:rFonts w:ascii="Verdana" w:hAnsi="Verdana" w:cs="Arial"/>
          <w:sz w:val="20"/>
          <w:szCs w:val="20"/>
          <w:lang w:val="en-US"/>
        </w:rPr>
        <w:t xml:space="preserve">; </w:t>
      </w:r>
      <w:r w:rsidR="00122FF4" w:rsidRPr="00FE7BA7">
        <w:rPr>
          <w:rFonts w:ascii="Verdana" w:hAnsi="Verdana" w:cs="Arial"/>
          <w:sz w:val="20"/>
          <w:szCs w:val="20"/>
          <w:lang w:val="en-US"/>
        </w:rPr>
        <w:t>(</w:t>
      </w:r>
      <w:r w:rsidR="00FC1FCF" w:rsidRPr="00FE7BA7">
        <w:rPr>
          <w:rFonts w:ascii="Verdana" w:hAnsi="Verdana" w:cs="Arial"/>
          <w:sz w:val="20"/>
          <w:szCs w:val="20"/>
          <w:lang w:val="en-US"/>
        </w:rPr>
        <w:t xml:space="preserve">c) </w:t>
      </w:r>
      <w:r w:rsidR="005530FA">
        <w:rPr>
          <w:rFonts w:ascii="Verdana" w:hAnsi="Verdana" w:cs="Arial"/>
          <w:sz w:val="20"/>
          <w:szCs w:val="20"/>
          <w:lang w:val="en-US"/>
        </w:rPr>
        <w:t>the adverse effects on</w:t>
      </w:r>
      <w:r w:rsidR="00122FF4" w:rsidRPr="00FE7BA7">
        <w:rPr>
          <w:rFonts w:ascii="Verdana" w:hAnsi="Verdana" w:cs="Arial"/>
          <w:sz w:val="20"/>
          <w:szCs w:val="20"/>
          <w:lang w:val="en-US"/>
        </w:rPr>
        <w:t xml:space="preserve"> use and enjoyment of the </w:t>
      </w:r>
      <w:r w:rsidR="00A725BE">
        <w:rPr>
          <w:rFonts w:ascii="Verdana" w:hAnsi="Verdana" w:cs="Arial"/>
          <w:sz w:val="20"/>
          <w:szCs w:val="20"/>
          <w:lang w:val="en-US"/>
        </w:rPr>
        <w:t>parts</w:t>
      </w:r>
      <w:r w:rsidR="00122FF4" w:rsidRPr="00FE7BA7">
        <w:rPr>
          <w:rFonts w:ascii="Verdana" w:hAnsi="Verdana" w:cs="Arial"/>
          <w:sz w:val="20"/>
          <w:szCs w:val="20"/>
          <w:lang w:val="en-US"/>
        </w:rPr>
        <w:t xml:space="preserve"> of the nature reserves </w:t>
      </w:r>
      <w:r w:rsidR="005530FA">
        <w:rPr>
          <w:rFonts w:ascii="Verdana" w:hAnsi="Verdana" w:cs="Arial"/>
          <w:sz w:val="20"/>
          <w:szCs w:val="20"/>
          <w:lang w:val="en-US"/>
        </w:rPr>
        <w:t xml:space="preserve">that fall </w:t>
      </w:r>
      <w:r w:rsidR="00122FF4" w:rsidRPr="00FE7BA7">
        <w:rPr>
          <w:rFonts w:ascii="Verdana" w:hAnsi="Verdana" w:cs="Arial"/>
          <w:sz w:val="20"/>
          <w:szCs w:val="20"/>
          <w:lang w:val="en-US"/>
        </w:rPr>
        <w:t xml:space="preserve">within the alleged traditional </w:t>
      </w:r>
      <w:r w:rsidR="00804BD4" w:rsidRPr="00FE7BA7">
        <w:rPr>
          <w:rFonts w:ascii="Verdana" w:hAnsi="Verdana" w:cs="Arial"/>
          <w:sz w:val="20"/>
          <w:szCs w:val="20"/>
          <w:lang w:val="en-US"/>
        </w:rPr>
        <w:t>territories</w:t>
      </w:r>
      <w:r w:rsidR="003C1665" w:rsidRPr="00FE7BA7">
        <w:rPr>
          <w:rFonts w:ascii="Verdana" w:hAnsi="Verdana" w:cs="Arial"/>
          <w:sz w:val="20"/>
          <w:szCs w:val="20"/>
          <w:lang w:val="en-US"/>
        </w:rPr>
        <w:t>,</w:t>
      </w:r>
      <w:r w:rsidR="002B5CCD" w:rsidRPr="00FE7BA7">
        <w:rPr>
          <w:rFonts w:ascii="Verdana" w:hAnsi="Verdana" w:cs="Arial"/>
          <w:sz w:val="20"/>
          <w:szCs w:val="20"/>
          <w:lang w:val="en-US"/>
        </w:rPr>
        <w:t xml:space="preserve"> and </w:t>
      </w:r>
      <w:r w:rsidR="00122FF4" w:rsidRPr="00FE7BA7">
        <w:rPr>
          <w:rFonts w:ascii="Verdana" w:hAnsi="Verdana" w:cs="Arial"/>
          <w:sz w:val="20"/>
          <w:szCs w:val="20"/>
          <w:lang w:val="en-US"/>
        </w:rPr>
        <w:t>(</w:t>
      </w:r>
      <w:r w:rsidR="00FC1FCF" w:rsidRPr="00FE7BA7">
        <w:rPr>
          <w:rFonts w:ascii="Verdana" w:hAnsi="Verdana"/>
          <w:sz w:val="20"/>
          <w:lang w:val="en-US"/>
        </w:rPr>
        <w:t xml:space="preserve">d) </w:t>
      </w:r>
      <w:r w:rsidR="00122FF4" w:rsidRPr="00FE7BA7">
        <w:rPr>
          <w:rFonts w:ascii="Verdana" w:hAnsi="Verdana"/>
          <w:sz w:val="20"/>
          <w:lang w:val="en-US"/>
        </w:rPr>
        <w:t xml:space="preserve">the absence of effective participation, by </w:t>
      </w:r>
      <w:r w:rsidR="00A725BE">
        <w:rPr>
          <w:rFonts w:ascii="Verdana" w:hAnsi="Verdana"/>
          <w:sz w:val="20"/>
          <w:lang w:val="en-US"/>
        </w:rPr>
        <w:t xml:space="preserve">means of </w:t>
      </w:r>
      <w:r w:rsidR="00122FF4" w:rsidRPr="00FE7BA7">
        <w:rPr>
          <w:rFonts w:ascii="Verdana" w:hAnsi="Verdana"/>
          <w:sz w:val="20"/>
          <w:lang w:val="en-US"/>
        </w:rPr>
        <w:t xml:space="preserve">a </w:t>
      </w:r>
      <w:r w:rsidR="00BE4D11" w:rsidRPr="00FE7BA7">
        <w:rPr>
          <w:rFonts w:ascii="Verdana" w:hAnsi="Verdana" w:cs="Arial"/>
          <w:sz w:val="20"/>
          <w:szCs w:val="20"/>
          <w:lang w:val="en-US"/>
        </w:rPr>
        <w:t>consultation process</w:t>
      </w:r>
      <w:r w:rsidR="00122FF4" w:rsidRPr="00FE7BA7">
        <w:rPr>
          <w:rFonts w:ascii="Verdana" w:hAnsi="Verdana" w:cs="Arial"/>
          <w:sz w:val="20"/>
          <w:szCs w:val="20"/>
          <w:lang w:val="en-US"/>
        </w:rPr>
        <w:t xml:space="preserve">, with regard to the mining concessions within one of </w:t>
      </w:r>
      <w:r w:rsidR="00E91479" w:rsidRPr="00FE7BA7">
        <w:rPr>
          <w:rFonts w:ascii="Verdana" w:hAnsi="Verdana"/>
          <w:sz w:val="20"/>
          <w:lang w:val="en-US"/>
        </w:rPr>
        <w:t>the nature reserves in the</w:t>
      </w:r>
      <w:r w:rsidR="00FC1FCF" w:rsidRPr="00FE7BA7">
        <w:rPr>
          <w:rFonts w:ascii="Verdana" w:hAnsi="Verdana"/>
          <w:sz w:val="20"/>
          <w:lang w:val="en-US"/>
        </w:rPr>
        <w:t xml:space="preserve"> </w:t>
      </w:r>
      <w:r w:rsidR="005269B1" w:rsidRPr="00FE7BA7">
        <w:rPr>
          <w:rFonts w:ascii="Verdana" w:hAnsi="Verdana"/>
          <w:sz w:val="20"/>
          <w:lang w:val="en-US"/>
        </w:rPr>
        <w:t>ancestral territory</w:t>
      </w:r>
      <w:r w:rsidR="003F0781" w:rsidRPr="00FE7BA7">
        <w:rPr>
          <w:rFonts w:ascii="Verdana" w:hAnsi="Verdana"/>
          <w:sz w:val="20"/>
          <w:lang w:val="en-US"/>
        </w:rPr>
        <w:t>.</w:t>
      </w:r>
    </w:p>
    <w:p w14:paraId="6312695A" w14:textId="77777777" w:rsidR="00FC1FCF" w:rsidRPr="00FE7BA7" w:rsidRDefault="00FC1FCF" w:rsidP="00FC1FCF">
      <w:pPr>
        <w:pStyle w:val="ListParagraph"/>
        <w:ind w:left="0"/>
        <w:jc w:val="both"/>
        <w:rPr>
          <w:rFonts w:ascii="Verdana" w:hAnsi="Verdana"/>
          <w:sz w:val="20"/>
          <w:szCs w:val="20"/>
          <w:lang w:val="en-US"/>
        </w:rPr>
      </w:pPr>
    </w:p>
    <w:p w14:paraId="6312695B" w14:textId="77777777" w:rsidR="00FC1FCF" w:rsidRPr="00FE7BA7" w:rsidRDefault="002B5CCD"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122FF4" w:rsidRPr="00FE7BA7">
        <w:rPr>
          <w:rFonts w:ascii="Verdana" w:hAnsi="Verdana"/>
          <w:sz w:val="20"/>
          <w:szCs w:val="20"/>
          <w:lang w:val="en-US"/>
        </w:rPr>
        <w:t xml:space="preserve"> notes that, </w:t>
      </w:r>
      <w:r w:rsidR="005530FA">
        <w:rPr>
          <w:rFonts w:ascii="Verdana" w:hAnsi="Verdana"/>
          <w:sz w:val="20"/>
          <w:szCs w:val="20"/>
          <w:lang w:val="en-US"/>
        </w:rPr>
        <w:t xml:space="preserve">even </w:t>
      </w:r>
      <w:r w:rsidR="00122FF4" w:rsidRPr="00FE7BA7">
        <w:rPr>
          <w:rFonts w:ascii="Verdana" w:hAnsi="Verdana"/>
          <w:sz w:val="20"/>
          <w:szCs w:val="20"/>
          <w:lang w:val="en-US"/>
        </w:rPr>
        <w:t xml:space="preserve">though the State has </w:t>
      </w:r>
      <w:r w:rsidR="005530FA">
        <w:rPr>
          <w:rFonts w:ascii="Verdana" w:hAnsi="Verdana"/>
          <w:sz w:val="20"/>
          <w:szCs w:val="20"/>
          <w:lang w:val="en-US"/>
        </w:rPr>
        <w:t>acknowledged</w:t>
      </w:r>
      <w:r w:rsidR="00122FF4" w:rsidRPr="00FE7BA7">
        <w:rPr>
          <w:rFonts w:ascii="Verdana" w:hAnsi="Verdana"/>
          <w:sz w:val="20"/>
          <w:szCs w:val="20"/>
          <w:lang w:val="en-US"/>
        </w:rPr>
        <w:t xml:space="preserve"> the establishment of nature reserves and the granting of mining concessions, th</w:t>
      </w:r>
      <w:r w:rsidR="00A725BE">
        <w:rPr>
          <w:rFonts w:ascii="Verdana" w:hAnsi="Verdana"/>
          <w:sz w:val="20"/>
          <w:szCs w:val="20"/>
          <w:lang w:val="en-US"/>
        </w:rPr>
        <w:t>ese events occurred prior to Suriname’s</w:t>
      </w:r>
      <w:r w:rsidR="00122FF4" w:rsidRPr="00FE7BA7">
        <w:rPr>
          <w:rFonts w:ascii="Verdana" w:hAnsi="Verdana"/>
          <w:sz w:val="20"/>
          <w:szCs w:val="20"/>
          <w:lang w:val="en-US"/>
        </w:rPr>
        <w:t xml:space="preserve"> ratification </w:t>
      </w:r>
      <w:r w:rsidRPr="00FE7BA7">
        <w:rPr>
          <w:rFonts w:ascii="Verdana" w:hAnsi="Verdana"/>
          <w:sz w:val="20"/>
          <w:szCs w:val="20"/>
          <w:lang w:val="en-US"/>
        </w:rPr>
        <w:t>of the Convention</w:t>
      </w:r>
      <w:r w:rsidR="00FC1FCF" w:rsidRPr="00FE7BA7">
        <w:rPr>
          <w:rFonts w:ascii="Verdana" w:hAnsi="Verdana"/>
          <w:sz w:val="20"/>
          <w:szCs w:val="20"/>
          <w:lang w:val="en-US"/>
        </w:rPr>
        <w:t xml:space="preserve"> </w:t>
      </w:r>
      <w:r w:rsidR="00122FF4" w:rsidRPr="00FE7BA7">
        <w:rPr>
          <w:rFonts w:ascii="Verdana" w:hAnsi="Verdana"/>
          <w:sz w:val="20"/>
          <w:szCs w:val="20"/>
          <w:lang w:val="en-US"/>
        </w:rPr>
        <w:t xml:space="preserve">in </w:t>
      </w:r>
      <w:r w:rsidR="00FC1FCF" w:rsidRPr="00FE7BA7">
        <w:rPr>
          <w:rFonts w:ascii="Verdana" w:hAnsi="Verdana"/>
          <w:sz w:val="20"/>
          <w:szCs w:val="20"/>
          <w:lang w:val="en-US"/>
        </w:rPr>
        <w:t xml:space="preserve">1987. </w:t>
      </w:r>
      <w:r w:rsidR="005530FA">
        <w:rPr>
          <w:rFonts w:ascii="Verdana" w:hAnsi="Verdana"/>
          <w:sz w:val="20"/>
          <w:szCs w:val="20"/>
          <w:lang w:val="en-US"/>
        </w:rPr>
        <w:t>Al</w:t>
      </w:r>
      <w:r w:rsidR="00122FF4" w:rsidRPr="00FE7BA7">
        <w:rPr>
          <w:rFonts w:ascii="Verdana" w:hAnsi="Verdana"/>
          <w:sz w:val="20"/>
          <w:szCs w:val="20"/>
          <w:lang w:val="en-US"/>
        </w:rPr>
        <w:t xml:space="preserve">though the State has not filed a preliminary objection in this regard, the Court will take into account its competence </w:t>
      </w:r>
      <w:r w:rsidR="00FC1FCF" w:rsidRPr="00FE7BA7">
        <w:rPr>
          <w:rFonts w:ascii="Verdana" w:hAnsi="Verdana"/>
          <w:i/>
          <w:sz w:val="20"/>
          <w:szCs w:val="20"/>
          <w:lang w:val="en-US"/>
        </w:rPr>
        <w:t>ratione temporis</w:t>
      </w:r>
      <w:r w:rsidR="00FC1FCF" w:rsidRPr="00FE7BA7">
        <w:rPr>
          <w:rFonts w:ascii="Verdana" w:hAnsi="Verdana"/>
          <w:sz w:val="20"/>
          <w:szCs w:val="20"/>
          <w:lang w:val="en-US"/>
        </w:rPr>
        <w:t xml:space="preserve"> </w:t>
      </w:r>
      <w:r w:rsidR="00122FF4" w:rsidRPr="00FE7BA7">
        <w:rPr>
          <w:rFonts w:ascii="Verdana" w:hAnsi="Verdana"/>
          <w:sz w:val="20"/>
          <w:szCs w:val="20"/>
          <w:lang w:val="en-US"/>
        </w:rPr>
        <w:t xml:space="preserve">in relation to the disputes indicated in the preceding </w:t>
      </w:r>
      <w:r w:rsidR="00967E6B" w:rsidRPr="00FE7BA7">
        <w:rPr>
          <w:rFonts w:ascii="Verdana" w:hAnsi="Verdana"/>
          <w:sz w:val="20"/>
          <w:szCs w:val="20"/>
          <w:lang w:val="en-US"/>
        </w:rPr>
        <w:t>paragraph</w:t>
      </w:r>
      <w:r w:rsidR="00FC1FCF" w:rsidRPr="00FE7BA7">
        <w:rPr>
          <w:rFonts w:ascii="Verdana" w:hAnsi="Verdana"/>
          <w:sz w:val="20"/>
          <w:szCs w:val="20"/>
          <w:lang w:val="en-US"/>
        </w:rPr>
        <w:t>.</w:t>
      </w:r>
    </w:p>
    <w:p w14:paraId="6312695C" w14:textId="77777777" w:rsidR="00FC1FCF" w:rsidRPr="00FE7BA7" w:rsidRDefault="00FC1FCF" w:rsidP="00FC1FCF">
      <w:pPr>
        <w:pStyle w:val="ListParagraph"/>
        <w:ind w:left="0"/>
        <w:jc w:val="both"/>
        <w:rPr>
          <w:rFonts w:ascii="Verdana" w:hAnsi="Verdana"/>
          <w:sz w:val="20"/>
          <w:szCs w:val="20"/>
          <w:lang w:val="en-US"/>
        </w:rPr>
      </w:pPr>
    </w:p>
    <w:p w14:paraId="6312695D" w14:textId="77777777" w:rsidR="00FC1FCF" w:rsidRPr="00FE7BA7" w:rsidRDefault="00FC1FCF" w:rsidP="00AE4A66">
      <w:pPr>
        <w:pStyle w:val="Heading3"/>
        <w:spacing w:before="0"/>
        <w:ind w:left="360" w:firstLine="360"/>
        <w:jc w:val="both"/>
        <w:rPr>
          <w:rFonts w:ascii="Verdana" w:hAnsi="Verdana"/>
          <w:i/>
          <w:color w:val="auto"/>
          <w:sz w:val="20"/>
          <w:szCs w:val="20"/>
          <w:lang w:val="en-US"/>
        </w:rPr>
      </w:pPr>
      <w:bookmarkStart w:id="39" w:name="_Toc441673207"/>
      <w:r w:rsidRPr="00FE7BA7">
        <w:rPr>
          <w:rFonts w:ascii="Verdana" w:hAnsi="Verdana"/>
          <w:i/>
          <w:color w:val="auto"/>
          <w:sz w:val="20"/>
          <w:szCs w:val="20"/>
          <w:lang w:val="en-US"/>
        </w:rPr>
        <w:lastRenderedPageBreak/>
        <w:t>B.</w:t>
      </w:r>
      <w:r w:rsidR="00830B9E" w:rsidRPr="00FE7BA7">
        <w:rPr>
          <w:rFonts w:ascii="Verdana" w:hAnsi="Verdana"/>
          <w:i/>
          <w:color w:val="auto"/>
          <w:sz w:val="20"/>
          <w:szCs w:val="20"/>
          <w:lang w:val="en-US"/>
        </w:rPr>
        <w:t>2</w:t>
      </w:r>
      <w:r w:rsidRPr="00FE7BA7">
        <w:rPr>
          <w:rFonts w:ascii="Verdana" w:hAnsi="Verdana"/>
          <w:i/>
          <w:color w:val="auto"/>
          <w:sz w:val="20"/>
          <w:szCs w:val="20"/>
          <w:lang w:val="en-US"/>
        </w:rPr>
        <w:t xml:space="preserve"> </w:t>
      </w:r>
      <w:r w:rsidR="008A1944" w:rsidRPr="00FE7BA7">
        <w:rPr>
          <w:rFonts w:ascii="Verdana" w:hAnsi="Verdana"/>
          <w:i/>
          <w:color w:val="auto"/>
          <w:sz w:val="20"/>
          <w:szCs w:val="20"/>
          <w:lang w:val="en-US"/>
        </w:rPr>
        <w:t>The failure to recognize the right to collective property</w:t>
      </w:r>
      <w:r w:rsidR="00635ACD" w:rsidRPr="00FE7BA7">
        <w:rPr>
          <w:rFonts w:ascii="Verdana" w:hAnsi="Verdana"/>
          <w:i/>
          <w:color w:val="auto"/>
          <w:sz w:val="20"/>
          <w:szCs w:val="20"/>
          <w:lang w:val="en-US"/>
        </w:rPr>
        <w:t xml:space="preserve"> of the Kaliña and Lokono indigenous peoples</w:t>
      </w:r>
      <w:bookmarkEnd w:id="39"/>
    </w:p>
    <w:p w14:paraId="6312695E" w14:textId="77777777" w:rsidR="00FC1FCF" w:rsidRPr="00FE7BA7" w:rsidRDefault="00FC1FCF" w:rsidP="00FC1FCF">
      <w:pPr>
        <w:jc w:val="both"/>
        <w:rPr>
          <w:rFonts w:ascii="Verdana" w:hAnsi="Verdana"/>
          <w:sz w:val="20"/>
          <w:szCs w:val="20"/>
          <w:lang w:val="en-US"/>
        </w:rPr>
      </w:pPr>
    </w:p>
    <w:p w14:paraId="6312695F" w14:textId="77777777" w:rsidR="00FC1FCF" w:rsidRPr="00FE7BA7" w:rsidRDefault="00FC1FCF" w:rsidP="00FC1FCF">
      <w:pPr>
        <w:pStyle w:val="Heading4"/>
        <w:spacing w:before="0"/>
        <w:ind w:left="1440"/>
        <w:jc w:val="both"/>
        <w:rPr>
          <w:rFonts w:ascii="Verdana" w:hAnsi="Verdana"/>
          <w:color w:val="auto"/>
          <w:sz w:val="20"/>
          <w:szCs w:val="20"/>
          <w:lang w:val="en-US"/>
        </w:rPr>
      </w:pPr>
      <w:bookmarkStart w:id="40" w:name="_Toc423522830"/>
      <w:bookmarkStart w:id="41" w:name="_Toc441673208"/>
      <w:r w:rsidRPr="00FE7BA7">
        <w:rPr>
          <w:rFonts w:ascii="Verdana" w:hAnsi="Verdana"/>
          <w:color w:val="auto"/>
          <w:sz w:val="20"/>
          <w:szCs w:val="20"/>
          <w:lang w:val="en-US"/>
        </w:rPr>
        <w:t>B.</w:t>
      </w:r>
      <w:r w:rsidR="00830B9E" w:rsidRPr="00FE7BA7">
        <w:rPr>
          <w:rFonts w:ascii="Verdana" w:hAnsi="Verdana"/>
          <w:color w:val="auto"/>
          <w:sz w:val="20"/>
          <w:szCs w:val="20"/>
          <w:lang w:val="en-US"/>
        </w:rPr>
        <w:t>2</w:t>
      </w:r>
      <w:r w:rsidRPr="00FE7BA7">
        <w:rPr>
          <w:rFonts w:ascii="Verdana" w:hAnsi="Verdana"/>
          <w:color w:val="auto"/>
          <w:sz w:val="20"/>
          <w:szCs w:val="20"/>
          <w:lang w:val="en-US"/>
        </w:rPr>
        <w:t xml:space="preserve">.1 </w:t>
      </w:r>
      <w:bookmarkEnd w:id="40"/>
      <w:proofErr w:type="gramStart"/>
      <w:r w:rsidR="008A1944" w:rsidRPr="00FE7BA7">
        <w:rPr>
          <w:rFonts w:ascii="Verdana" w:hAnsi="Verdana"/>
          <w:color w:val="auto"/>
          <w:sz w:val="20"/>
          <w:szCs w:val="20"/>
          <w:lang w:val="en-US"/>
        </w:rPr>
        <w:t>The</w:t>
      </w:r>
      <w:proofErr w:type="gramEnd"/>
      <w:r w:rsidR="008A1944" w:rsidRPr="00FE7BA7">
        <w:rPr>
          <w:rFonts w:ascii="Verdana" w:hAnsi="Verdana"/>
          <w:color w:val="auto"/>
          <w:sz w:val="20"/>
          <w:szCs w:val="20"/>
          <w:lang w:val="en-US"/>
        </w:rPr>
        <w:t xml:space="preserve"> right to collective ownership and the obligation to delimit, demarcate, grant title to, and ensure the use and enjoyment of the collective territory</w:t>
      </w:r>
      <w:bookmarkEnd w:id="41"/>
    </w:p>
    <w:p w14:paraId="63126960" w14:textId="77777777" w:rsidR="00FC1FCF" w:rsidRPr="00FE7BA7" w:rsidRDefault="00FC1FCF" w:rsidP="00FC1FCF">
      <w:pPr>
        <w:rPr>
          <w:rFonts w:ascii="Verdana" w:hAnsi="Verdana"/>
          <w:sz w:val="20"/>
          <w:szCs w:val="20"/>
          <w:lang w:val="en-US"/>
        </w:rPr>
      </w:pPr>
    </w:p>
    <w:p w14:paraId="63126961" w14:textId="06BB2B9A" w:rsidR="00FC1FCF" w:rsidRPr="00DF26AF" w:rsidRDefault="002B5CCD" w:rsidP="00E0669C">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FC1FCF" w:rsidRPr="00FE7BA7">
        <w:rPr>
          <w:rFonts w:ascii="Verdana" w:hAnsi="Verdana"/>
          <w:sz w:val="20"/>
          <w:szCs w:val="20"/>
          <w:lang w:val="en-US"/>
        </w:rPr>
        <w:t xml:space="preserve"> rec</w:t>
      </w:r>
      <w:r w:rsidR="00F23D96" w:rsidRPr="00FE7BA7">
        <w:rPr>
          <w:rFonts w:ascii="Verdana" w:hAnsi="Verdana"/>
          <w:sz w:val="20"/>
          <w:szCs w:val="20"/>
          <w:lang w:val="en-US"/>
        </w:rPr>
        <w:t>alls its case law in this regard</w:t>
      </w:r>
      <w:r w:rsidR="00E0669C" w:rsidRPr="00FE7BA7">
        <w:rPr>
          <w:rFonts w:ascii="Verdana" w:hAnsi="Verdana"/>
          <w:sz w:val="20"/>
          <w:szCs w:val="20"/>
          <w:lang w:val="en-US"/>
        </w:rPr>
        <w:t xml:space="preserve"> in the sense that </w:t>
      </w:r>
      <w:r w:rsidRPr="00FE7BA7">
        <w:rPr>
          <w:rFonts w:ascii="Verdana" w:hAnsi="Verdana"/>
          <w:sz w:val="20"/>
          <w:szCs w:val="20"/>
          <w:lang w:val="en-US"/>
        </w:rPr>
        <w:t>Article</w:t>
      </w:r>
      <w:r w:rsidR="00FC1FCF" w:rsidRPr="00FE7BA7">
        <w:rPr>
          <w:rFonts w:ascii="Verdana" w:hAnsi="Verdana"/>
          <w:sz w:val="20"/>
          <w:szCs w:val="20"/>
          <w:lang w:val="en-US"/>
        </w:rPr>
        <w:t xml:space="preserve"> 21</w:t>
      </w:r>
      <w:r w:rsidRPr="00FE7BA7">
        <w:rPr>
          <w:rFonts w:ascii="Verdana" w:hAnsi="Verdana"/>
          <w:sz w:val="20"/>
          <w:szCs w:val="20"/>
          <w:lang w:val="en-US"/>
        </w:rPr>
        <w:t xml:space="preserve"> of the American Convention</w:t>
      </w:r>
      <w:r w:rsidR="00FC1FCF" w:rsidRPr="00FE7BA7">
        <w:rPr>
          <w:rFonts w:ascii="Verdana" w:hAnsi="Verdana"/>
          <w:sz w:val="20"/>
          <w:szCs w:val="20"/>
          <w:lang w:val="en-US"/>
        </w:rPr>
        <w:t xml:space="preserve"> prote</w:t>
      </w:r>
      <w:r w:rsidR="00E0669C" w:rsidRPr="00FE7BA7">
        <w:rPr>
          <w:rFonts w:ascii="Verdana" w:hAnsi="Verdana"/>
          <w:sz w:val="20"/>
          <w:szCs w:val="20"/>
          <w:lang w:val="en-US"/>
        </w:rPr>
        <w:t xml:space="preserve">cts the close </w:t>
      </w:r>
      <w:r w:rsidR="00DF26AF">
        <w:rPr>
          <w:rFonts w:ascii="Verdana" w:hAnsi="Verdana"/>
          <w:sz w:val="20"/>
          <w:szCs w:val="20"/>
          <w:lang w:val="en-US"/>
        </w:rPr>
        <w:t>relationship</w:t>
      </w:r>
      <w:r w:rsidR="00E0669C" w:rsidRPr="00FE7BA7">
        <w:rPr>
          <w:rFonts w:ascii="Verdana" w:hAnsi="Verdana"/>
          <w:sz w:val="20"/>
          <w:szCs w:val="20"/>
          <w:lang w:val="en-US"/>
        </w:rPr>
        <w:t xml:space="preserve"> that </w:t>
      </w:r>
      <w:r w:rsidR="00BD40EF" w:rsidRPr="00FE7BA7">
        <w:rPr>
          <w:rFonts w:ascii="Verdana" w:hAnsi="Verdana"/>
          <w:sz w:val="20"/>
          <w:szCs w:val="20"/>
          <w:lang w:val="en-US"/>
        </w:rPr>
        <w:t>the indigenous peoples</w:t>
      </w:r>
      <w:r w:rsidR="00FC1FCF" w:rsidRPr="00FE7BA7">
        <w:rPr>
          <w:rFonts w:ascii="Verdana" w:hAnsi="Verdana"/>
          <w:sz w:val="20"/>
          <w:szCs w:val="20"/>
          <w:lang w:val="en-US"/>
        </w:rPr>
        <w:t xml:space="preserve"> </w:t>
      </w:r>
      <w:r w:rsidR="00DF26AF">
        <w:rPr>
          <w:rFonts w:ascii="Verdana" w:hAnsi="Verdana"/>
          <w:sz w:val="20"/>
          <w:szCs w:val="20"/>
          <w:lang w:val="en-US"/>
        </w:rPr>
        <w:t>have with their lands, as well as with</w:t>
      </w:r>
      <w:r w:rsidR="00E0669C" w:rsidRPr="00FE7BA7">
        <w:rPr>
          <w:rFonts w:ascii="Verdana" w:hAnsi="Verdana"/>
          <w:sz w:val="20"/>
          <w:szCs w:val="20"/>
          <w:lang w:val="en-US"/>
        </w:rPr>
        <w:t xml:space="preserve"> the </w:t>
      </w:r>
      <w:r w:rsidR="00E0669C" w:rsidRPr="00DF26AF">
        <w:rPr>
          <w:rFonts w:ascii="Verdana" w:hAnsi="Verdana"/>
          <w:sz w:val="20"/>
          <w:szCs w:val="20"/>
          <w:lang w:val="en-US"/>
        </w:rPr>
        <w:t>natural resources within those lands, and the incorporeal elements that are derived from them. “Among the indigenous peoples there is a communal tradition as regards the collective ownership of the land</w:t>
      </w:r>
      <w:r w:rsidR="00E0669C" w:rsidRPr="00C77F9D">
        <w:rPr>
          <w:rFonts w:ascii="Verdana" w:hAnsi="Verdana"/>
          <w:sz w:val="20"/>
          <w:szCs w:val="20"/>
          <w:lang w:val="en-US"/>
        </w:rPr>
        <w:t xml:space="preserve">, in the sense that the ownership is not centered on an individual, but rather on the group and its community. </w:t>
      </w:r>
      <w:r w:rsidR="00E0669C" w:rsidRPr="00C77F9D">
        <w:rPr>
          <w:rFonts w:ascii="Verdana" w:eastAsia="Times New Roman" w:hAnsi="Verdana" w:cs="Arial"/>
          <w:sz w:val="20"/>
          <w:szCs w:val="20"/>
          <w:lang w:val="en-US"/>
        </w:rPr>
        <w:t xml:space="preserve">This notion of ownership and possession of land does not necessarily conform to the classic concept of property, but the Court has established that it deserves equal protection under </w:t>
      </w:r>
      <w:r w:rsidR="00E0669C" w:rsidRPr="00C77F9D">
        <w:rPr>
          <w:rFonts w:ascii="Verdana" w:hAnsi="Verdana"/>
          <w:sz w:val="20"/>
          <w:szCs w:val="20"/>
          <w:lang w:val="en-US"/>
        </w:rPr>
        <w:t xml:space="preserve">Article 21 of the American Convention. Disregard for specific versions of the use </w:t>
      </w:r>
      <w:r w:rsidR="00E0669C" w:rsidRPr="00C77F9D">
        <w:rPr>
          <w:rFonts w:ascii="Verdana" w:eastAsia="Times New Roman" w:hAnsi="Verdana" w:cs="Arial"/>
          <w:sz w:val="20"/>
          <w:szCs w:val="20"/>
          <w:lang w:val="en-US"/>
        </w:rPr>
        <w:t xml:space="preserve">and enjoyment of property arising from the culture, uses, customs and beliefs of each people, would be tantamount to holding that </w:t>
      </w:r>
      <w:r w:rsidR="00E0669C" w:rsidRPr="006C38D5">
        <w:rPr>
          <w:rFonts w:ascii="Verdana" w:eastAsia="Times New Roman" w:hAnsi="Verdana" w:cs="Arial"/>
          <w:sz w:val="20"/>
          <w:szCs w:val="20"/>
          <w:lang w:val="en-US"/>
        </w:rPr>
        <w:t xml:space="preserve">there is only one way of using and disposing of property, which, in turn, would render protection under </w:t>
      </w:r>
      <w:r w:rsidR="006C38D5">
        <w:rPr>
          <w:rFonts w:ascii="Verdana" w:eastAsia="Times New Roman" w:hAnsi="Verdana" w:cs="Arial"/>
          <w:sz w:val="20"/>
          <w:szCs w:val="20"/>
          <w:lang w:val="en-US"/>
        </w:rPr>
        <w:t xml:space="preserve">that provision </w:t>
      </w:r>
      <w:r w:rsidR="00E0669C" w:rsidRPr="00DF26AF">
        <w:rPr>
          <w:rFonts w:ascii="Verdana" w:eastAsia="Times New Roman" w:hAnsi="Verdana" w:cs="Arial"/>
          <w:sz w:val="20"/>
          <w:szCs w:val="20"/>
          <w:lang w:val="en-US"/>
        </w:rPr>
        <w:t>illusory for these communities.</w:t>
      </w:r>
      <w:r w:rsidR="00480171" w:rsidRPr="00DF26AF">
        <w:rPr>
          <w:rFonts w:ascii="Verdana" w:hAnsi="Verdana"/>
          <w:sz w:val="20"/>
          <w:szCs w:val="20"/>
          <w:lang w:val="en-US"/>
        </w:rPr>
        <w:t>”</w:t>
      </w:r>
      <w:r w:rsidR="00FC1FCF" w:rsidRPr="00DF26AF">
        <w:rPr>
          <w:rFonts w:ascii="Verdana" w:hAnsi="Verdana"/>
          <w:sz w:val="20"/>
          <w:szCs w:val="20"/>
          <w:vertAlign w:val="superscript"/>
          <w:lang w:val="en-US"/>
        </w:rPr>
        <w:footnoteReference w:id="166"/>
      </w:r>
    </w:p>
    <w:p w14:paraId="63126962" w14:textId="77777777" w:rsidR="00FC1FCF" w:rsidRPr="00DF26AF" w:rsidRDefault="00FC1FCF" w:rsidP="00FC1FCF">
      <w:pPr>
        <w:pStyle w:val="ListParagraph"/>
        <w:ind w:left="0"/>
        <w:jc w:val="both"/>
        <w:rPr>
          <w:rFonts w:ascii="Verdana" w:hAnsi="Verdana"/>
          <w:sz w:val="20"/>
          <w:szCs w:val="20"/>
          <w:lang w:val="en-US"/>
        </w:rPr>
      </w:pPr>
    </w:p>
    <w:p w14:paraId="63126963" w14:textId="77777777" w:rsidR="00FC1FCF" w:rsidRPr="00FE7BA7" w:rsidRDefault="002B5CCD" w:rsidP="00E0669C">
      <w:pPr>
        <w:pStyle w:val="ListParagraph"/>
        <w:numPr>
          <w:ilvl w:val="0"/>
          <w:numId w:val="2"/>
        </w:numPr>
        <w:ind w:left="0" w:hanging="11"/>
        <w:jc w:val="both"/>
        <w:rPr>
          <w:rFonts w:ascii="Verdana" w:hAnsi="Verdana"/>
          <w:sz w:val="20"/>
          <w:szCs w:val="20"/>
          <w:lang w:val="en-US"/>
        </w:rPr>
      </w:pPr>
      <w:r w:rsidRPr="00DF26AF">
        <w:rPr>
          <w:rFonts w:ascii="Verdana" w:hAnsi="Verdana"/>
          <w:sz w:val="20"/>
          <w:szCs w:val="20"/>
          <w:lang w:val="en-US"/>
        </w:rPr>
        <w:t>The Court</w:t>
      </w:r>
      <w:r w:rsidR="00FC1FCF" w:rsidRPr="00DF26AF">
        <w:rPr>
          <w:rFonts w:ascii="Verdana" w:hAnsi="Verdana"/>
          <w:sz w:val="20"/>
          <w:szCs w:val="20"/>
          <w:lang w:val="en-US"/>
        </w:rPr>
        <w:t xml:space="preserve"> ha</w:t>
      </w:r>
      <w:r w:rsidR="00E0669C" w:rsidRPr="00DF26AF">
        <w:rPr>
          <w:rFonts w:ascii="Verdana" w:hAnsi="Verdana"/>
          <w:sz w:val="20"/>
          <w:szCs w:val="20"/>
          <w:lang w:val="en-US"/>
        </w:rPr>
        <w:t>s considered that, owing</w:t>
      </w:r>
      <w:r w:rsidR="00E0669C" w:rsidRPr="00FE7BA7">
        <w:rPr>
          <w:rFonts w:ascii="Verdana" w:hAnsi="Verdana"/>
          <w:sz w:val="20"/>
          <w:szCs w:val="20"/>
          <w:lang w:val="en-US"/>
        </w:rPr>
        <w:t xml:space="preserve"> to their very existence, the indigenous peoples have a right to live freely in their territories. In addition, the close relationship that the indigenous peoples have with the land should be recognized and understood as the essential basis of their culture, spiritual life, integrity and economic system. “For the indigenous communities, the relationship with the land is not merely a question of possession and production, but rather a material and spiritual element that they should be able to enjoy fully, including </w:t>
      </w:r>
      <w:proofErr w:type="gramStart"/>
      <w:r w:rsidR="00E0669C" w:rsidRPr="00FE7BA7">
        <w:rPr>
          <w:rFonts w:ascii="Verdana" w:hAnsi="Verdana"/>
          <w:sz w:val="20"/>
          <w:szCs w:val="20"/>
          <w:lang w:val="en-US"/>
        </w:rPr>
        <w:t>to preserve their cultural legacy and transmit</w:t>
      </w:r>
      <w:proofErr w:type="gramEnd"/>
      <w:r w:rsidR="00E0669C" w:rsidRPr="00FE7BA7">
        <w:rPr>
          <w:rFonts w:ascii="Verdana" w:hAnsi="Verdana"/>
          <w:sz w:val="20"/>
          <w:szCs w:val="20"/>
          <w:lang w:val="en-US"/>
        </w:rPr>
        <w:t xml:space="preserve"> it to the future generations.</w:t>
      </w:r>
      <w:r w:rsidR="00480171" w:rsidRPr="00FE7BA7">
        <w:rPr>
          <w:rFonts w:ascii="Verdana" w:hAnsi="Verdana"/>
          <w:sz w:val="20"/>
          <w:szCs w:val="20"/>
          <w:lang w:val="en-US"/>
        </w:rPr>
        <w:t>”</w:t>
      </w:r>
      <w:r w:rsidR="00FC1FCF" w:rsidRPr="00FE7BA7">
        <w:rPr>
          <w:rFonts w:ascii="Verdana" w:hAnsi="Verdana"/>
          <w:sz w:val="20"/>
          <w:szCs w:val="20"/>
          <w:vertAlign w:val="superscript"/>
          <w:lang w:val="en-US"/>
        </w:rPr>
        <w:footnoteReference w:id="167"/>
      </w:r>
      <w:r w:rsidR="00E0669C" w:rsidRPr="00FE7BA7">
        <w:rPr>
          <w:rFonts w:ascii="Verdana" w:hAnsi="Verdana"/>
          <w:sz w:val="20"/>
          <w:szCs w:val="20"/>
          <w:lang w:val="en-US"/>
        </w:rPr>
        <w:t xml:space="preserve"> The culture </w:t>
      </w:r>
      <w:r w:rsidR="00E91479" w:rsidRPr="00FE7BA7">
        <w:rPr>
          <w:rFonts w:ascii="Verdana" w:hAnsi="Verdana"/>
          <w:sz w:val="20"/>
          <w:szCs w:val="20"/>
          <w:lang w:val="en-US"/>
        </w:rPr>
        <w:t>of the members of the indigenous communities</w:t>
      </w:r>
      <w:r w:rsidR="00FC1FCF" w:rsidRPr="00FE7BA7">
        <w:rPr>
          <w:rFonts w:ascii="Verdana" w:hAnsi="Verdana"/>
          <w:sz w:val="20"/>
          <w:szCs w:val="20"/>
          <w:lang w:val="en-US"/>
        </w:rPr>
        <w:t xml:space="preserve"> correspond</w:t>
      </w:r>
      <w:r w:rsidR="00E0669C" w:rsidRPr="00FE7BA7">
        <w:rPr>
          <w:rFonts w:ascii="Verdana" w:hAnsi="Verdana"/>
          <w:sz w:val="20"/>
          <w:szCs w:val="20"/>
          <w:lang w:val="en-US"/>
        </w:rPr>
        <w:t xml:space="preserve">s to a particular way of being, seeing and acting in the world, </w:t>
      </w:r>
      <w:r w:rsidR="00C77F9D">
        <w:rPr>
          <w:rFonts w:ascii="Verdana" w:hAnsi="Verdana"/>
          <w:sz w:val="20"/>
          <w:szCs w:val="20"/>
          <w:lang w:val="en-US"/>
        </w:rPr>
        <w:t>based on</w:t>
      </w:r>
      <w:r w:rsidR="00E0669C" w:rsidRPr="00FE7BA7">
        <w:rPr>
          <w:rFonts w:ascii="Verdana" w:hAnsi="Verdana"/>
          <w:sz w:val="20"/>
          <w:szCs w:val="20"/>
          <w:lang w:val="en-US"/>
        </w:rPr>
        <w:t xml:space="preserve"> their close relationship with their traditional lands and natural resources, not only because these are their main means of subsistence, but also because the</w:t>
      </w:r>
      <w:r w:rsidR="00841F72">
        <w:rPr>
          <w:rFonts w:ascii="Verdana" w:hAnsi="Verdana"/>
          <w:sz w:val="20"/>
          <w:szCs w:val="20"/>
          <w:lang w:val="en-US"/>
        </w:rPr>
        <w:t>y</w:t>
      </w:r>
      <w:r w:rsidR="00E0669C" w:rsidRPr="00FE7BA7">
        <w:rPr>
          <w:rFonts w:ascii="Verdana" w:hAnsi="Verdana"/>
          <w:sz w:val="20"/>
          <w:szCs w:val="20"/>
          <w:lang w:val="en-US"/>
        </w:rPr>
        <w:t xml:space="preserve"> are a component of their world vision, </w:t>
      </w:r>
      <w:r w:rsidR="00DA4B96" w:rsidRPr="00FE7BA7">
        <w:rPr>
          <w:rFonts w:ascii="Verdana" w:hAnsi="Verdana"/>
          <w:sz w:val="20"/>
          <w:szCs w:val="20"/>
          <w:lang w:val="en-US"/>
        </w:rPr>
        <w:t xml:space="preserve">their religious </w:t>
      </w:r>
      <w:r w:rsidR="00FE7BA7" w:rsidRPr="00FE7BA7">
        <w:rPr>
          <w:rFonts w:ascii="Verdana" w:hAnsi="Verdana"/>
          <w:sz w:val="20"/>
          <w:szCs w:val="20"/>
          <w:lang w:val="en-US"/>
        </w:rPr>
        <w:t>beliefs</w:t>
      </w:r>
      <w:r w:rsidR="00DA4B96" w:rsidRPr="00FE7BA7">
        <w:rPr>
          <w:rFonts w:ascii="Verdana" w:hAnsi="Verdana"/>
          <w:sz w:val="20"/>
          <w:szCs w:val="20"/>
          <w:lang w:val="en-US"/>
        </w:rPr>
        <w:t xml:space="preserve"> and, consequently, their cultural identity,</w:t>
      </w:r>
      <w:r w:rsidR="00FC1FCF" w:rsidRPr="00FE7BA7">
        <w:rPr>
          <w:rFonts w:ascii="Verdana" w:hAnsi="Verdana"/>
          <w:sz w:val="20"/>
          <w:szCs w:val="20"/>
          <w:vertAlign w:val="superscript"/>
          <w:lang w:val="en-US"/>
        </w:rPr>
        <w:footnoteReference w:id="168"/>
      </w:r>
      <w:r w:rsidR="00DA4B96" w:rsidRPr="00FE7BA7">
        <w:rPr>
          <w:rFonts w:ascii="Verdana" w:hAnsi="Verdana"/>
          <w:sz w:val="20"/>
          <w:szCs w:val="20"/>
          <w:lang w:val="en-US"/>
        </w:rPr>
        <w:t xml:space="preserve"> so that the protection and guarantee of the right to use and enjoyment of their territory is necessary in order to </w:t>
      </w:r>
      <w:r w:rsidR="00841F72">
        <w:rPr>
          <w:rFonts w:ascii="Verdana" w:hAnsi="Verdana"/>
          <w:sz w:val="20"/>
          <w:szCs w:val="20"/>
          <w:lang w:val="en-US"/>
        </w:rPr>
        <w:t>safeguard</w:t>
      </w:r>
      <w:r w:rsidR="00C77F9D">
        <w:rPr>
          <w:rFonts w:ascii="Verdana" w:hAnsi="Verdana"/>
          <w:sz w:val="20"/>
          <w:szCs w:val="20"/>
          <w:lang w:val="en-US"/>
        </w:rPr>
        <w:t xml:space="preserve"> not only the</w:t>
      </w:r>
      <w:r w:rsidR="00DA4B96" w:rsidRPr="00FE7BA7">
        <w:rPr>
          <w:rFonts w:ascii="Verdana" w:hAnsi="Verdana"/>
          <w:sz w:val="20"/>
          <w:szCs w:val="20"/>
          <w:lang w:val="en-US"/>
        </w:rPr>
        <w:t xml:space="preserve"> survival</w:t>
      </w:r>
      <w:r w:rsidR="00C77F9D" w:rsidRPr="00C77F9D">
        <w:rPr>
          <w:rFonts w:ascii="Verdana" w:hAnsi="Verdana"/>
          <w:sz w:val="20"/>
          <w:szCs w:val="20"/>
          <w:lang w:val="en-US"/>
        </w:rPr>
        <w:t xml:space="preserve"> </w:t>
      </w:r>
      <w:r w:rsidR="00C77F9D" w:rsidRPr="00FE7BA7">
        <w:rPr>
          <w:rFonts w:ascii="Verdana" w:hAnsi="Verdana"/>
          <w:sz w:val="20"/>
          <w:szCs w:val="20"/>
          <w:lang w:val="en-US"/>
        </w:rPr>
        <w:t>of these communities</w:t>
      </w:r>
      <w:r w:rsidR="00DA4B96" w:rsidRPr="00FE7BA7">
        <w:rPr>
          <w:rFonts w:ascii="Verdana" w:hAnsi="Verdana"/>
          <w:sz w:val="20"/>
          <w:szCs w:val="20"/>
          <w:lang w:val="en-US"/>
        </w:rPr>
        <w:t>, but also the</w:t>
      </w:r>
      <w:r w:rsidR="00C77F9D">
        <w:rPr>
          <w:rFonts w:ascii="Verdana" w:hAnsi="Verdana"/>
          <w:sz w:val="20"/>
          <w:szCs w:val="20"/>
          <w:lang w:val="en-US"/>
        </w:rPr>
        <w:t>ir</w:t>
      </w:r>
      <w:r w:rsidR="00DA4B96" w:rsidRPr="00FE7BA7">
        <w:rPr>
          <w:rFonts w:ascii="Verdana" w:hAnsi="Verdana"/>
          <w:sz w:val="20"/>
          <w:szCs w:val="20"/>
          <w:lang w:val="en-US"/>
        </w:rPr>
        <w:t xml:space="preserve"> development and evolution as a people</w:t>
      </w:r>
      <w:r w:rsidR="00C77F9D">
        <w:rPr>
          <w:rFonts w:ascii="Verdana" w:hAnsi="Verdana"/>
          <w:sz w:val="20"/>
          <w:szCs w:val="20"/>
          <w:lang w:val="en-US"/>
        </w:rPr>
        <w:t>.</w:t>
      </w:r>
      <w:r w:rsidR="00FC1FCF" w:rsidRPr="00FE7BA7">
        <w:rPr>
          <w:rFonts w:ascii="Verdana" w:hAnsi="Verdana"/>
          <w:sz w:val="20"/>
          <w:szCs w:val="20"/>
          <w:vertAlign w:val="superscript"/>
          <w:lang w:val="en-US"/>
        </w:rPr>
        <w:footnoteReference w:id="169"/>
      </w:r>
      <w:bookmarkStart w:id="42" w:name="_ftnref1"/>
      <w:bookmarkEnd w:id="42"/>
      <w:r w:rsidR="00FC1FCF" w:rsidRPr="00FE7BA7">
        <w:rPr>
          <w:rFonts w:ascii="Verdana" w:hAnsi="Verdana"/>
          <w:sz w:val="20"/>
          <w:szCs w:val="20"/>
          <w:lang w:val="en-US"/>
        </w:rPr>
        <w:t xml:space="preserve"> </w:t>
      </w:r>
    </w:p>
    <w:p w14:paraId="63126964" w14:textId="77777777" w:rsidR="00FC1FCF" w:rsidRPr="00FE7BA7" w:rsidRDefault="00FC1FCF" w:rsidP="00FC1FCF">
      <w:pPr>
        <w:pStyle w:val="ListParagraph"/>
        <w:ind w:left="0"/>
        <w:jc w:val="both"/>
        <w:rPr>
          <w:rFonts w:ascii="Verdana" w:hAnsi="Verdana"/>
          <w:sz w:val="20"/>
          <w:szCs w:val="20"/>
          <w:lang w:val="en-US"/>
        </w:rPr>
      </w:pPr>
    </w:p>
    <w:p w14:paraId="63126965" w14:textId="77777777" w:rsidR="00FC1FCF" w:rsidRPr="00FE7BA7" w:rsidRDefault="00DA4B96"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Throughout its case law on this matter, the Court has stressed the relevance of </w:t>
      </w:r>
      <w:r w:rsidR="00841F72">
        <w:rPr>
          <w:rFonts w:ascii="Verdana" w:hAnsi="Verdana"/>
          <w:sz w:val="20"/>
          <w:szCs w:val="20"/>
          <w:lang w:val="en-US"/>
        </w:rPr>
        <w:t>ensur</w:t>
      </w:r>
      <w:r w:rsidRPr="00FE7BA7">
        <w:rPr>
          <w:rFonts w:ascii="Verdana" w:hAnsi="Verdana"/>
          <w:sz w:val="20"/>
          <w:szCs w:val="20"/>
          <w:lang w:val="en-US"/>
        </w:rPr>
        <w:t xml:space="preserve">ing the protection of the collective nature of indigenous property </w:t>
      </w:r>
      <w:r w:rsidR="00FC1FCF" w:rsidRPr="00FE7BA7">
        <w:rPr>
          <w:rFonts w:ascii="Verdana" w:hAnsi="Verdana"/>
          <w:sz w:val="20"/>
          <w:szCs w:val="20"/>
          <w:lang w:val="en-US"/>
        </w:rPr>
        <w:t>(</w:t>
      </w:r>
      <w:r w:rsidR="00366D91" w:rsidRPr="00FE7BA7">
        <w:rPr>
          <w:rFonts w:ascii="Verdana" w:hAnsi="Verdana"/>
          <w:i/>
          <w:sz w:val="20"/>
          <w:szCs w:val="20"/>
          <w:lang w:val="en-US"/>
        </w:rPr>
        <w:t>supra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FC1FCF" w:rsidRPr="00FE7BA7">
        <w:rPr>
          <w:rFonts w:ascii="Verdana" w:hAnsi="Verdana"/>
          <w:sz w:val="20"/>
          <w:szCs w:val="20"/>
          <w:lang w:val="en-US"/>
        </w:rPr>
        <w:t xml:space="preserve"> </w:t>
      </w:r>
      <w:r w:rsidR="00D9634E" w:rsidRPr="00FE7BA7">
        <w:rPr>
          <w:rFonts w:ascii="Verdana" w:hAnsi="Verdana"/>
          <w:sz w:val="20"/>
          <w:szCs w:val="20"/>
          <w:lang w:val="en-US"/>
        </w:rPr>
        <w:t>129</w:t>
      </w:r>
      <w:r w:rsidR="00FC1FCF" w:rsidRPr="00FE7BA7">
        <w:rPr>
          <w:rFonts w:ascii="Verdana" w:hAnsi="Verdana"/>
          <w:sz w:val="20"/>
          <w:szCs w:val="20"/>
          <w:lang w:val="en-US"/>
        </w:rPr>
        <w:t xml:space="preserve">). </w:t>
      </w:r>
      <w:r w:rsidR="00C77F9D">
        <w:rPr>
          <w:rFonts w:ascii="Verdana" w:hAnsi="Verdana"/>
          <w:sz w:val="20"/>
          <w:szCs w:val="20"/>
          <w:lang w:val="en-US"/>
        </w:rPr>
        <w:t xml:space="preserve">In this regard, in the </w:t>
      </w:r>
      <w:r w:rsidRPr="00FE7BA7">
        <w:rPr>
          <w:rFonts w:ascii="Verdana" w:hAnsi="Verdana"/>
          <w:sz w:val="20"/>
          <w:szCs w:val="20"/>
          <w:lang w:val="en-US"/>
        </w:rPr>
        <w:t>cases</w:t>
      </w:r>
      <w:r w:rsidR="00C77F9D">
        <w:rPr>
          <w:rFonts w:ascii="Verdana" w:hAnsi="Verdana"/>
          <w:sz w:val="20"/>
          <w:szCs w:val="20"/>
          <w:lang w:val="en-US"/>
        </w:rPr>
        <w:t xml:space="preserve"> against Paraguay</w:t>
      </w:r>
      <w:r w:rsidRPr="00FE7BA7">
        <w:rPr>
          <w:rFonts w:ascii="Verdana" w:hAnsi="Verdana"/>
          <w:sz w:val="20"/>
          <w:szCs w:val="20"/>
          <w:lang w:val="en-US"/>
        </w:rPr>
        <w:t xml:space="preserve"> of the </w:t>
      </w:r>
      <w:r w:rsidR="00FC1FCF" w:rsidRPr="00FE7BA7">
        <w:rPr>
          <w:rFonts w:ascii="Verdana" w:eastAsiaTheme="minorHAnsi" w:hAnsi="Verdana"/>
          <w:i/>
          <w:sz w:val="20"/>
          <w:szCs w:val="20"/>
          <w:lang w:val="en-US"/>
        </w:rPr>
        <w:t>Yakye Axa, Sawhoyamaxa</w:t>
      </w:r>
      <w:r w:rsidR="002B5CCD" w:rsidRPr="00FE7BA7">
        <w:rPr>
          <w:rFonts w:ascii="Verdana" w:eastAsiaTheme="minorHAnsi" w:hAnsi="Verdana"/>
          <w:i/>
          <w:sz w:val="20"/>
          <w:szCs w:val="20"/>
          <w:lang w:val="en-US"/>
        </w:rPr>
        <w:t xml:space="preserve"> </w:t>
      </w:r>
      <w:r w:rsidR="002B5CCD" w:rsidRPr="00FE7BA7">
        <w:rPr>
          <w:rFonts w:ascii="Verdana" w:eastAsiaTheme="minorHAnsi" w:hAnsi="Verdana"/>
          <w:sz w:val="20"/>
          <w:szCs w:val="20"/>
          <w:lang w:val="en-US"/>
        </w:rPr>
        <w:t>and</w:t>
      </w:r>
      <w:r w:rsidR="002B5CCD" w:rsidRPr="00FE7BA7">
        <w:rPr>
          <w:rFonts w:ascii="Verdana" w:eastAsiaTheme="minorHAnsi" w:hAnsi="Verdana"/>
          <w:i/>
          <w:sz w:val="20"/>
          <w:szCs w:val="20"/>
          <w:lang w:val="en-US"/>
        </w:rPr>
        <w:t xml:space="preserve"> </w:t>
      </w:r>
      <w:r w:rsidR="00FC1FCF" w:rsidRPr="00FE7BA7">
        <w:rPr>
          <w:rFonts w:ascii="Verdana" w:eastAsiaTheme="minorHAnsi" w:hAnsi="Verdana"/>
          <w:i/>
          <w:sz w:val="20"/>
          <w:szCs w:val="20"/>
          <w:lang w:val="en-US"/>
        </w:rPr>
        <w:t>Xákmok Kásek</w:t>
      </w:r>
      <w:r w:rsidRPr="00FE7BA7">
        <w:rPr>
          <w:rFonts w:ascii="Verdana" w:eastAsiaTheme="minorHAnsi" w:hAnsi="Verdana"/>
          <w:sz w:val="20"/>
          <w:szCs w:val="20"/>
          <w:lang w:val="en-US"/>
        </w:rPr>
        <w:t xml:space="preserve"> communities, the Court established that: (a) the tradition</w:t>
      </w:r>
      <w:r w:rsidR="00C77F9D">
        <w:rPr>
          <w:rFonts w:ascii="Verdana" w:eastAsiaTheme="minorHAnsi" w:hAnsi="Verdana"/>
          <w:sz w:val="20"/>
          <w:szCs w:val="20"/>
          <w:lang w:val="en-US"/>
        </w:rPr>
        <w:t>al</w:t>
      </w:r>
      <w:r w:rsidRPr="00FE7BA7">
        <w:rPr>
          <w:rFonts w:ascii="Verdana" w:eastAsiaTheme="minorHAnsi" w:hAnsi="Verdana"/>
          <w:sz w:val="20"/>
          <w:szCs w:val="20"/>
          <w:lang w:val="en-US"/>
        </w:rPr>
        <w:t xml:space="preserve"> </w:t>
      </w:r>
      <w:r w:rsidR="00C77F9D">
        <w:rPr>
          <w:rFonts w:ascii="Verdana" w:eastAsiaTheme="minorHAnsi" w:hAnsi="Verdana"/>
          <w:sz w:val="20"/>
          <w:szCs w:val="20"/>
          <w:lang w:val="en-US"/>
        </w:rPr>
        <w:t>possession by</w:t>
      </w:r>
      <w:r w:rsidRPr="00FE7BA7">
        <w:rPr>
          <w:rFonts w:ascii="Verdana" w:eastAsiaTheme="minorHAnsi" w:hAnsi="Verdana"/>
          <w:sz w:val="20"/>
          <w:szCs w:val="20"/>
          <w:lang w:val="en-US"/>
        </w:rPr>
        <w:t xml:space="preserve"> the indigenous peoples of their lands had equivalent effects to the full title granted by </w:t>
      </w:r>
      <w:r w:rsidR="002B5CCD" w:rsidRPr="00FE7BA7">
        <w:rPr>
          <w:rFonts w:ascii="Verdana" w:hAnsi="Verdana"/>
          <w:sz w:val="20"/>
          <w:szCs w:val="20"/>
          <w:lang w:val="en-US"/>
        </w:rPr>
        <w:t>the State</w:t>
      </w:r>
      <w:r w:rsidR="00FC1FCF" w:rsidRPr="00FE7BA7">
        <w:rPr>
          <w:rFonts w:ascii="Verdana" w:hAnsi="Verdana"/>
          <w:sz w:val="20"/>
          <w:szCs w:val="20"/>
          <w:lang w:val="en-US"/>
        </w:rPr>
        <w:t xml:space="preserve">, </w:t>
      </w:r>
      <w:r w:rsidR="00C77F9D">
        <w:rPr>
          <w:rFonts w:ascii="Verdana" w:hAnsi="Verdana"/>
          <w:sz w:val="20"/>
          <w:szCs w:val="20"/>
          <w:lang w:val="en-US"/>
        </w:rPr>
        <w:t xml:space="preserve">so that the </w:t>
      </w:r>
      <w:r w:rsidR="00AD0CEE">
        <w:rPr>
          <w:rFonts w:ascii="Verdana" w:hAnsi="Verdana"/>
          <w:sz w:val="20"/>
          <w:szCs w:val="20"/>
          <w:lang w:val="en-US"/>
        </w:rPr>
        <w:t>area possessed in practice wa</w:t>
      </w:r>
      <w:r w:rsidRPr="00FE7BA7">
        <w:rPr>
          <w:rFonts w:ascii="Verdana" w:hAnsi="Verdana"/>
          <w:sz w:val="20"/>
          <w:szCs w:val="20"/>
          <w:lang w:val="en-US"/>
        </w:rPr>
        <w:t>s equal to the</w:t>
      </w:r>
      <w:r w:rsidR="00AD0CEE">
        <w:rPr>
          <w:rFonts w:ascii="Verdana" w:hAnsi="Verdana"/>
          <w:sz w:val="20"/>
          <w:szCs w:val="20"/>
          <w:lang w:val="en-US"/>
        </w:rPr>
        <w:t>ir</w:t>
      </w:r>
      <w:r w:rsidRPr="00FE7BA7">
        <w:rPr>
          <w:rFonts w:ascii="Verdana" w:hAnsi="Verdana"/>
          <w:sz w:val="20"/>
          <w:szCs w:val="20"/>
          <w:lang w:val="en-US"/>
        </w:rPr>
        <w:t xml:space="preserve"> property; (b) the members </w:t>
      </w:r>
      <w:r w:rsidR="00BD40EF" w:rsidRPr="00FE7BA7">
        <w:rPr>
          <w:rFonts w:ascii="Verdana" w:hAnsi="Verdana"/>
          <w:sz w:val="20"/>
          <w:szCs w:val="20"/>
          <w:lang w:val="en-US"/>
        </w:rPr>
        <w:t>of the indigenous peoples</w:t>
      </w:r>
      <w:r w:rsidR="00FC1FCF" w:rsidRPr="00FE7BA7">
        <w:rPr>
          <w:rFonts w:ascii="Verdana" w:hAnsi="Verdana"/>
          <w:sz w:val="20"/>
          <w:szCs w:val="20"/>
          <w:lang w:val="en-US"/>
        </w:rPr>
        <w:t xml:space="preserve"> </w:t>
      </w:r>
      <w:r w:rsidRPr="00FE7BA7">
        <w:rPr>
          <w:rFonts w:ascii="Verdana" w:hAnsi="Verdana"/>
          <w:sz w:val="20"/>
          <w:szCs w:val="20"/>
          <w:lang w:val="en-US"/>
        </w:rPr>
        <w:t xml:space="preserve">who, for reasons beyond </w:t>
      </w:r>
      <w:r w:rsidRPr="00FE7BA7">
        <w:rPr>
          <w:rFonts w:ascii="Verdana" w:hAnsi="Verdana"/>
          <w:sz w:val="20"/>
          <w:szCs w:val="20"/>
          <w:lang w:val="en-US"/>
        </w:rPr>
        <w:lastRenderedPageBreak/>
        <w:t xml:space="preserve">their </w:t>
      </w:r>
      <w:r w:rsidR="00AD0CEE">
        <w:rPr>
          <w:rFonts w:ascii="Verdana" w:hAnsi="Verdana"/>
          <w:sz w:val="20"/>
          <w:szCs w:val="20"/>
          <w:lang w:val="en-US"/>
        </w:rPr>
        <w:t>control, had</w:t>
      </w:r>
      <w:r w:rsidRPr="00FE7BA7">
        <w:rPr>
          <w:rFonts w:ascii="Verdana" w:hAnsi="Verdana"/>
          <w:sz w:val="20"/>
          <w:szCs w:val="20"/>
          <w:lang w:val="en-US"/>
        </w:rPr>
        <w:t xml:space="preserve"> left or lost possession of their </w:t>
      </w:r>
      <w:r w:rsidR="00FD14B3" w:rsidRPr="00FE7BA7">
        <w:rPr>
          <w:rFonts w:ascii="Verdana" w:hAnsi="Verdana"/>
          <w:sz w:val="20"/>
          <w:szCs w:val="20"/>
          <w:lang w:val="en-US"/>
        </w:rPr>
        <w:t>traditional lands</w:t>
      </w:r>
      <w:r w:rsidR="00FC1FCF" w:rsidRPr="00FE7BA7">
        <w:rPr>
          <w:rFonts w:ascii="Verdana" w:hAnsi="Verdana"/>
          <w:sz w:val="20"/>
          <w:szCs w:val="20"/>
          <w:lang w:val="en-US"/>
        </w:rPr>
        <w:t xml:space="preserve"> </w:t>
      </w:r>
      <w:r w:rsidRPr="00FE7BA7">
        <w:rPr>
          <w:rFonts w:ascii="Verdana" w:hAnsi="Verdana"/>
          <w:sz w:val="20"/>
          <w:szCs w:val="20"/>
          <w:lang w:val="en-US"/>
        </w:rPr>
        <w:t>retain</w:t>
      </w:r>
      <w:r w:rsidR="00AD0CEE">
        <w:rPr>
          <w:rFonts w:ascii="Verdana" w:hAnsi="Verdana"/>
          <w:sz w:val="20"/>
          <w:szCs w:val="20"/>
          <w:lang w:val="en-US"/>
        </w:rPr>
        <w:t>ed</w:t>
      </w:r>
      <w:r w:rsidRPr="00FE7BA7">
        <w:rPr>
          <w:rFonts w:ascii="Verdana" w:hAnsi="Verdana"/>
          <w:sz w:val="20"/>
          <w:szCs w:val="20"/>
          <w:lang w:val="en-US"/>
        </w:rPr>
        <w:t xml:space="preserve"> the right to property over the</w:t>
      </w:r>
      <w:r w:rsidR="00AD0CEE">
        <w:rPr>
          <w:rFonts w:ascii="Verdana" w:hAnsi="Verdana"/>
          <w:sz w:val="20"/>
          <w:szCs w:val="20"/>
          <w:lang w:val="en-US"/>
        </w:rPr>
        <w:t>m, even in the absence of</w:t>
      </w:r>
      <w:r w:rsidRPr="00FE7BA7">
        <w:rPr>
          <w:rFonts w:ascii="Verdana" w:hAnsi="Verdana"/>
          <w:sz w:val="20"/>
          <w:szCs w:val="20"/>
          <w:lang w:val="en-US"/>
        </w:rPr>
        <w:t xml:space="preserve"> le</w:t>
      </w:r>
      <w:r w:rsidR="00AD0CEE">
        <w:rPr>
          <w:rFonts w:ascii="Verdana" w:hAnsi="Verdana"/>
          <w:sz w:val="20"/>
          <w:szCs w:val="20"/>
          <w:lang w:val="en-US"/>
        </w:rPr>
        <w:t>gal title, unless the lands had</w:t>
      </w:r>
      <w:r w:rsidRPr="00FE7BA7">
        <w:rPr>
          <w:rFonts w:ascii="Verdana" w:hAnsi="Verdana"/>
          <w:sz w:val="20"/>
          <w:szCs w:val="20"/>
          <w:lang w:val="en-US"/>
        </w:rPr>
        <w:t xml:space="preserve"> been lawfully transferred to third parties in good faith, and (c) the members </w:t>
      </w:r>
      <w:r w:rsidR="00BD40EF" w:rsidRPr="00FE7BA7">
        <w:rPr>
          <w:rFonts w:ascii="Verdana" w:hAnsi="Verdana"/>
          <w:sz w:val="20"/>
          <w:szCs w:val="20"/>
          <w:lang w:val="en-US"/>
        </w:rPr>
        <w:t>of the indigenous peoples</w:t>
      </w:r>
      <w:r w:rsidRPr="00FE7BA7">
        <w:rPr>
          <w:rFonts w:ascii="Verdana" w:hAnsi="Verdana"/>
          <w:sz w:val="20"/>
          <w:szCs w:val="20"/>
          <w:lang w:val="en-US"/>
        </w:rPr>
        <w:t xml:space="preserve"> who</w:t>
      </w:r>
      <w:r w:rsidR="00AD0CEE">
        <w:rPr>
          <w:rFonts w:ascii="Verdana" w:hAnsi="Verdana"/>
          <w:sz w:val="20"/>
          <w:szCs w:val="20"/>
          <w:lang w:val="en-US"/>
        </w:rPr>
        <w:t xml:space="preserve"> had involuntarily</w:t>
      </w:r>
      <w:r w:rsidRPr="00FE7BA7">
        <w:rPr>
          <w:rFonts w:ascii="Verdana" w:hAnsi="Verdana"/>
          <w:sz w:val="20"/>
          <w:szCs w:val="20"/>
          <w:lang w:val="en-US"/>
        </w:rPr>
        <w:t xml:space="preserve"> lost the possessio</w:t>
      </w:r>
      <w:r w:rsidR="00AD0CEE">
        <w:rPr>
          <w:rFonts w:ascii="Verdana" w:hAnsi="Verdana"/>
          <w:sz w:val="20"/>
          <w:szCs w:val="20"/>
          <w:lang w:val="en-US"/>
        </w:rPr>
        <w:t>n of their lands, and these had</w:t>
      </w:r>
      <w:r w:rsidRPr="00FE7BA7">
        <w:rPr>
          <w:rFonts w:ascii="Verdana" w:hAnsi="Verdana"/>
          <w:sz w:val="20"/>
          <w:szCs w:val="20"/>
          <w:lang w:val="en-US"/>
        </w:rPr>
        <w:t xml:space="preserve"> been transferred lawfully</w:t>
      </w:r>
      <w:r w:rsidR="00AD0CEE">
        <w:rPr>
          <w:rFonts w:ascii="Verdana" w:hAnsi="Verdana"/>
          <w:sz w:val="20"/>
          <w:szCs w:val="20"/>
          <w:lang w:val="en-US"/>
        </w:rPr>
        <w:t xml:space="preserve"> to innocent third parties, had</w:t>
      </w:r>
      <w:r w:rsidRPr="00FE7BA7">
        <w:rPr>
          <w:rFonts w:ascii="Verdana" w:hAnsi="Verdana"/>
          <w:sz w:val="20"/>
          <w:szCs w:val="20"/>
          <w:lang w:val="en-US"/>
        </w:rPr>
        <w:t xml:space="preserve"> the right to recover them or to obtain other lands of the same </w:t>
      </w:r>
      <w:r w:rsidR="00841F72">
        <w:rPr>
          <w:rFonts w:ascii="Verdana" w:hAnsi="Verdana"/>
          <w:sz w:val="20"/>
          <w:szCs w:val="20"/>
          <w:lang w:val="en-US"/>
        </w:rPr>
        <w:t>size</w:t>
      </w:r>
      <w:r w:rsidRPr="00FE7BA7">
        <w:rPr>
          <w:rFonts w:ascii="Verdana" w:hAnsi="Verdana"/>
          <w:sz w:val="20"/>
          <w:szCs w:val="20"/>
          <w:lang w:val="en-US"/>
        </w:rPr>
        <w:t xml:space="preserve"> and quality.</w:t>
      </w:r>
      <w:r w:rsidR="00FC1FCF" w:rsidRPr="00FE7BA7">
        <w:rPr>
          <w:rStyle w:val="FootnoteReference"/>
          <w:szCs w:val="20"/>
          <w:lang w:val="en-US"/>
        </w:rPr>
        <w:footnoteReference w:id="170"/>
      </w:r>
    </w:p>
    <w:p w14:paraId="63126966" w14:textId="77777777" w:rsidR="00FC1FCF" w:rsidRPr="00FE7BA7" w:rsidRDefault="00FC1FCF" w:rsidP="00FC1FCF">
      <w:pPr>
        <w:pStyle w:val="ListParagraph"/>
        <w:rPr>
          <w:rFonts w:ascii="Verdana" w:hAnsi="Verdana"/>
          <w:sz w:val="20"/>
          <w:szCs w:val="20"/>
          <w:lang w:val="en-US"/>
        </w:rPr>
      </w:pPr>
    </w:p>
    <w:p w14:paraId="63126967" w14:textId="77777777" w:rsidR="00FC1FCF" w:rsidRPr="00FE7BA7" w:rsidRDefault="00DA4B96" w:rsidP="00DA4B9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Meanwhile, with regard to the guarantees of use and enjoyment of property, in </w:t>
      </w:r>
      <w:r w:rsidRPr="00AD0CEE">
        <w:rPr>
          <w:rFonts w:ascii="Verdana" w:hAnsi="Verdana"/>
          <w:sz w:val="20"/>
          <w:szCs w:val="20"/>
          <w:lang w:val="en-US"/>
        </w:rPr>
        <w:t xml:space="preserve">the </w:t>
      </w:r>
      <w:r w:rsidRPr="00AD0CEE">
        <w:rPr>
          <w:rFonts w:ascii="Verdana" w:hAnsi="Verdana"/>
          <w:i/>
          <w:sz w:val="20"/>
          <w:szCs w:val="20"/>
          <w:lang w:val="en-US"/>
        </w:rPr>
        <w:t>case of</w:t>
      </w:r>
      <w:r w:rsidRPr="00FE7BA7">
        <w:rPr>
          <w:rFonts w:ascii="Verdana" w:hAnsi="Verdana"/>
          <w:sz w:val="20"/>
          <w:szCs w:val="20"/>
          <w:lang w:val="en-US"/>
        </w:rPr>
        <w:t xml:space="preserve"> the </w:t>
      </w:r>
      <w:r w:rsidR="00FC1FCF" w:rsidRPr="00FE7BA7">
        <w:rPr>
          <w:rFonts w:ascii="Verdana" w:hAnsi="Verdana"/>
          <w:i/>
          <w:sz w:val="20"/>
          <w:szCs w:val="20"/>
          <w:lang w:val="en-US"/>
        </w:rPr>
        <w:t xml:space="preserve">Mayagna </w:t>
      </w:r>
      <w:r w:rsidR="00D9634E" w:rsidRPr="00FE7BA7">
        <w:rPr>
          <w:rFonts w:ascii="Verdana" w:hAnsi="Verdana"/>
          <w:i/>
          <w:sz w:val="20"/>
          <w:szCs w:val="20"/>
          <w:lang w:val="en-US"/>
        </w:rPr>
        <w:t>(S</w:t>
      </w:r>
      <w:r w:rsidR="00FC1FCF" w:rsidRPr="00FE7BA7">
        <w:rPr>
          <w:rFonts w:ascii="Verdana" w:hAnsi="Verdana"/>
          <w:i/>
          <w:sz w:val="20"/>
          <w:szCs w:val="20"/>
          <w:lang w:val="en-US"/>
        </w:rPr>
        <w:t>umo</w:t>
      </w:r>
      <w:r w:rsidR="00D9634E" w:rsidRPr="00FE7BA7">
        <w:rPr>
          <w:rFonts w:ascii="Verdana" w:hAnsi="Verdana"/>
          <w:i/>
          <w:sz w:val="20"/>
          <w:szCs w:val="20"/>
          <w:lang w:val="en-US"/>
        </w:rPr>
        <w:t>)</w:t>
      </w:r>
      <w:r w:rsidR="00FC1FCF" w:rsidRPr="00FE7BA7">
        <w:rPr>
          <w:rFonts w:ascii="Verdana" w:hAnsi="Verdana"/>
          <w:i/>
          <w:sz w:val="20"/>
          <w:szCs w:val="20"/>
          <w:lang w:val="en-US"/>
        </w:rPr>
        <w:t xml:space="preserve"> Awas Tingni</w:t>
      </w:r>
      <w:r w:rsidRPr="00FE7BA7">
        <w:rPr>
          <w:rFonts w:ascii="Verdana" w:hAnsi="Verdana"/>
          <w:i/>
          <w:sz w:val="20"/>
          <w:szCs w:val="20"/>
          <w:lang w:val="en-US"/>
        </w:rPr>
        <w:t xml:space="preserve"> Community</w:t>
      </w:r>
      <w:r w:rsidR="007626EB" w:rsidRPr="00FE7BA7">
        <w:rPr>
          <w:rFonts w:ascii="Verdana" w:hAnsi="Verdana"/>
          <w:i/>
          <w:sz w:val="20"/>
          <w:szCs w:val="20"/>
          <w:lang w:val="en-US"/>
        </w:rPr>
        <w:t xml:space="preserve"> </w:t>
      </w:r>
      <w:r w:rsidR="002B5CCD" w:rsidRPr="00FE7BA7">
        <w:rPr>
          <w:rFonts w:ascii="Verdana" w:hAnsi="Verdana"/>
          <w:i/>
          <w:sz w:val="20"/>
          <w:szCs w:val="20"/>
          <w:lang w:val="en-US"/>
        </w:rPr>
        <w:t>v.</w:t>
      </w:r>
      <w:r w:rsidR="007626EB" w:rsidRPr="00FE7BA7">
        <w:rPr>
          <w:rFonts w:ascii="Verdana" w:hAnsi="Verdana"/>
          <w:i/>
          <w:sz w:val="20"/>
          <w:szCs w:val="20"/>
          <w:lang w:val="en-US"/>
        </w:rPr>
        <w:t xml:space="preserve"> Nicaragua</w:t>
      </w:r>
      <w:r w:rsidRPr="00FE7BA7">
        <w:rPr>
          <w:rFonts w:ascii="Verdana" w:hAnsi="Verdana"/>
          <w:i/>
          <w:sz w:val="20"/>
          <w:szCs w:val="20"/>
          <w:lang w:val="en-US"/>
        </w:rPr>
        <w:t>,</w:t>
      </w:r>
      <w:r w:rsidR="00FC1FCF" w:rsidRPr="00FE7BA7">
        <w:rPr>
          <w:rFonts w:ascii="Verdana" w:hAnsi="Verdana"/>
          <w:sz w:val="20"/>
          <w:szCs w:val="20"/>
          <w:lang w:val="en-US"/>
        </w:rPr>
        <w:t xml:space="preserve"> </w:t>
      </w:r>
      <w:r w:rsidR="002B5CCD" w:rsidRPr="00FE7BA7">
        <w:rPr>
          <w:rFonts w:ascii="Verdana" w:hAnsi="Verdana"/>
          <w:sz w:val="20"/>
          <w:szCs w:val="20"/>
          <w:lang w:val="en-US"/>
        </w:rPr>
        <w:t>the Court</w:t>
      </w:r>
      <w:r w:rsidR="00CB17C1" w:rsidRPr="00FE7BA7">
        <w:rPr>
          <w:rFonts w:ascii="Verdana" w:hAnsi="Verdana"/>
          <w:sz w:val="20"/>
          <w:szCs w:val="20"/>
          <w:lang w:val="en-US"/>
        </w:rPr>
        <w:t xml:space="preserve"> </w:t>
      </w:r>
      <w:r w:rsidRPr="00FE7BA7">
        <w:rPr>
          <w:rFonts w:ascii="Verdana" w:hAnsi="Verdana"/>
          <w:sz w:val="20"/>
          <w:szCs w:val="20"/>
          <w:lang w:val="en-US"/>
        </w:rPr>
        <w:t xml:space="preserve">indicated that States must ensure the effective ownership </w:t>
      </w:r>
      <w:r w:rsidR="00BD40EF" w:rsidRPr="00FE7BA7">
        <w:rPr>
          <w:rFonts w:ascii="Verdana" w:eastAsiaTheme="minorHAnsi" w:hAnsi="Verdana"/>
          <w:sz w:val="20"/>
          <w:szCs w:val="20"/>
          <w:lang w:val="en-US"/>
        </w:rPr>
        <w:t>of the indigenous peoples</w:t>
      </w:r>
      <w:r w:rsidR="002B5CCD" w:rsidRPr="00FE7BA7">
        <w:rPr>
          <w:rFonts w:ascii="Verdana" w:eastAsiaTheme="minorHAnsi" w:hAnsi="Verdana"/>
          <w:sz w:val="20"/>
          <w:szCs w:val="20"/>
          <w:lang w:val="en-US"/>
        </w:rPr>
        <w:t xml:space="preserve"> and </w:t>
      </w:r>
      <w:r w:rsidRPr="00FE7BA7">
        <w:rPr>
          <w:rFonts w:ascii="Verdana" w:eastAsiaTheme="minorHAnsi" w:hAnsi="Verdana"/>
          <w:sz w:val="20"/>
          <w:szCs w:val="20"/>
          <w:lang w:val="en-US"/>
        </w:rPr>
        <w:t>refrain from taking steps that could lead to State</w:t>
      </w:r>
      <w:r w:rsidR="00841F72">
        <w:rPr>
          <w:rFonts w:ascii="Verdana" w:eastAsiaTheme="minorHAnsi" w:hAnsi="Verdana"/>
          <w:sz w:val="20"/>
          <w:szCs w:val="20"/>
          <w:lang w:val="en-US"/>
        </w:rPr>
        <w:t xml:space="preserve"> agents</w:t>
      </w:r>
      <w:r w:rsidRPr="00FE7BA7">
        <w:rPr>
          <w:rFonts w:ascii="Verdana" w:eastAsiaTheme="minorHAnsi" w:hAnsi="Verdana"/>
          <w:sz w:val="20"/>
          <w:szCs w:val="20"/>
          <w:lang w:val="en-US"/>
        </w:rPr>
        <w:t xml:space="preserve">, </w:t>
      </w:r>
      <w:r w:rsidR="00841F72">
        <w:rPr>
          <w:rFonts w:ascii="Verdana" w:eastAsiaTheme="minorHAnsi" w:hAnsi="Verdana"/>
          <w:sz w:val="20"/>
          <w:szCs w:val="20"/>
          <w:lang w:val="en-US"/>
        </w:rPr>
        <w:t>or third parties acting with their</w:t>
      </w:r>
      <w:r w:rsidRPr="00FE7BA7">
        <w:rPr>
          <w:rFonts w:ascii="Verdana" w:eastAsiaTheme="minorHAnsi" w:hAnsi="Verdana"/>
          <w:sz w:val="20"/>
          <w:szCs w:val="20"/>
          <w:lang w:val="en-US"/>
        </w:rPr>
        <w:t xml:space="preserve"> acquiescence or tolerance, adversely affecting the existence, value, use or enjoyment of their territory.</w:t>
      </w:r>
      <w:r w:rsidR="00D929E5" w:rsidRPr="00FE7BA7">
        <w:rPr>
          <w:rFonts w:ascii="Verdana" w:hAnsi="Verdana"/>
          <w:sz w:val="20"/>
          <w:vertAlign w:val="superscript"/>
          <w:lang w:val="en-US"/>
        </w:rPr>
        <w:footnoteReference w:id="171"/>
      </w:r>
      <w:r w:rsidRPr="00FE7BA7">
        <w:rPr>
          <w:rFonts w:ascii="Verdana" w:eastAsiaTheme="minorHAnsi" w:hAnsi="Verdana"/>
          <w:sz w:val="20"/>
          <w:szCs w:val="20"/>
          <w:lang w:val="en-US"/>
        </w:rPr>
        <w:t xml:space="preserve"> In the </w:t>
      </w:r>
      <w:r w:rsidR="00D63518" w:rsidRPr="00AD0CEE">
        <w:rPr>
          <w:rFonts w:ascii="Verdana" w:eastAsiaTheme="minorHAnsi" w:hAnsi="Verdana"/>
          <w:i/>
          <w:sz w:val="20"/>
          <w:szCs w:val="20"/>
          <w:lang w:val="en-US"/>
        </w:rPr>
        <w:t>case of the</w:t>
      </w:r>
      <w:r w:rsidR="00D63518" w:rsidRPr="00FE7BA7">
        <w:rPr>
          <w:rFonts w:ascii="Verdana" w:eastAsiaTheme="minorHAnsi" w:hAnsi="Verdana"/>
          <w:sz w:val="20"/>
          <w:szCs w:val="20"/>
          <w:lang w:val="en-US"/>
        </w:rPr>
        <w:t xml:space="preserve"> </w:t>
      </w:r>
      <w:r w:rsidR="00D63518" w:rsidRPr="00FE7BA7">
        <w:rPr>
          <w:rFonts w:ascii="Verdana" w:eastAsiaTheme="minorHAnsi" w:hAnsi="Verdana"/>
          <w:i/>
          <w:sz w:val="20"/>
          <w:szCs w:val="20"/>
          <w:lang w:val="en-US"/>
        </w:rPr>
        <w:t>Saramaka People</w:t>
      </w:r>
      <w:r w:rsidR="002C6BFD" w:rsidRPr="00FE7BA7">
        <w:rPr>
          <w:rFonts w:ascii="Verdana" w:eastAsiaTheme="minorHAnsi" w:hAnsi="Verdana"/>
          <w:i/>
          <w:sz w:val="20"/>
          <w:szCs w:val="20"/>
          <w:lang w:val="en-US"/>
        </w:rPr>
        <w:t xml:space="preserve"> </w:t>
      </w:r>
      <w:r w:rsidR="002B5CCD" w:rsidRPr="00FE7BA7">
        <w:rPr>
          <w:rFonts w:ascii="Verdana" w:eastAsiaTheme="minorHAnsi" w:hAnsi="Verdana"/>
          <w:i/>
          <w:sz w:val="20"/>
          <w:szCs w:val="20"/>
          <w:lang w:val="en-US"/>
        </w:rPr>
        <w:t>v.</w:t>
      </w:r>
      <w:r w:rsidR="002C6BFD" w:rsidRPr="00FE7BA7">
        <w:rPr>
          <w:rFonts w:ascii="Verdana" w:eastAsiaTheme="minorHAnsi" w:hAnsi="Verdana"/>
          <w:i/>
          <w:sz w:val="20"/>
          <w:szCs w:val="20"/>
          <w:lang w:val="en-US"/>
        </w:rPr>
        <w:t xml:space="preserve"> </w:t>
      </w:r>
      <w:r w:rsidR="002B5CCD" w:rsidRPr="00FE7BA7">
        <w:rPr>
          <w:rFonts w:ascii="Verdana" w:eastAsiaTheme="minorHAnsi" w:hAnsi="Verdana"/>
          <w:i/>
          <w:sz w:val="20"/>
          <w:szCs w:val="20"/>
          <w:lang w:val="en-US"/>
        </w:rPr>
        <w:t>Suriname</w:t>
      </w:r>
      <w:r w:rsidRPr="00FE7BA7">
        <w:rPr>
          <w:rFonts w:ascii="Verdana" w:eastAsiaTheme="minorHAnsi" w:hAnsi="Verdana"/>
          <w:i/>
          <w:sz w:val="20"/>
          <w:szCs w:val="20"/>
          <w:lang w:val="en-US"/>
        </w:rPr>
        <w:t>,</w:t>
      </w:r>
      <w:r w:rsidR="002B5CCD" w:rsidRPr="00FE7BA7">
        <w:rPr>
          <w:rFonts w:ascii="Verdana" w:eastAsiaTheme="minorHAnsi" w:hAnsi="Verdana"/>
          <w:i/>
          <w:sz w:val="20"/>
          <w:szCs w:val="20"/>
          <w:lang w:val="en-US"/>
        </w:rPr>
        <w:t xml:space="preserve"> </w:t>
      </w:r>
      <w:r w:rsidRPr="00FE7BA7">
        <w:rPr>
          <w:rFonts w:ascii="Verdana" w:eastAsiaTheme="minorHAnsi" w:hAnsi="Verdana"/>
          <w:sz w:val="20"/>
          <w:szCs w:val="20"/>
          <w:lang w:val="en-US"/>
        </w:rPr>
        <w:t xml:space="preserve">the Court established that State must ensure the right </w:t>
      </w:r>
      <w:r w:rsidR="00BD40EF" w:rsidRPr="00FE7BA7">
        <w:rPr>
          <w:rFonts w:ascii="Verdana" w:hAnsi="Verdana"/>
          <w:sz w:val="20"/>
          <w:szCs w:val="20"/>
          <w:lang w:val="en-US"/>
        </w:rPr>
        <w:t>of the indigenous peoples</w:t>
      </w:r>
      <w:r w:rsidR="00FC1FCF" w:rsidRPr="00FE7BA7">
        <w:rPr>
          <w:rFonts w:ascii="Verdana" w:hAnsi="Verdana"/>
          <w:sz w:val="20"/>
          <w:szCs w:val="20"/>
          <w:lang w:val="en-US"/>
        </w:rPr>
        <w:t xml:space="preserve"> </w:t>
      </w:r>
      <w:r w:rsidRPr="00FE7BA7">
        <w:rPr>
          <w:rFonts w:ascii="Verdana" w:hAnsi="Verdana"/>
          <w:sz w:val="20"/>
          <w:szCs w:val="20"/>
          <w:lang w:val="en-US"/>
        </w:rPr>
        <w:t xml:space="preserve">to </w:t>
      </w:r>
      <w:r w:rsidR="00290BA0">
        <w:rPr>
          <w:rFonts w:ascii="Verdana" w:hAnsi="Verdana"/>
          <w:sz w:val="20"/>
          <w:szCs w:val="20"/>
          <w:lang w:val="en-US"/>
        </w:rPr>
        <w:t>control</w:t>
      </w:r>
      <w:r w:rsidRPr="00FE7BA7">
        <w:rPr>
          <w:rFonts w:ascii="Verdana" w:hAnsi="Verdana"/>
          <w:sz w:val="20"/>
          <w:szCs w:val="20"/>
          <w:lang w:val="en-US"/>
        </w:rPr>
        <w:t xml:space="preserve"> and to own their territory without any type of outside interference by third parties.</w:t>
      </w:r>
      <w:r w:rsidR="00D929E5" w:rsidRPr="00FE7BA7">
        <w:rPr>
          <w:rFonts w:ascii="Verdana" w:hAnsi="Verdana"/>
          <w:sz w:val="20"/>
          <w:vertAlign w:val="superscript"/>
          <w:lang w:val="en-US"/>
        </w:rPr>
        <w:footnoteReference w:id="172"/>
      </w:r>
      <w:r w:rsidRPr="00FE7BA7">
        <w:rPr>
          <w:rFonts w:ascii="Verdana" w:hAnsi="Verdana"/>
          <w:sz w:val="20"/>
          <w:szCs w:val="20"/>
          <w:lang w:val="en-US"/>
        </w:rPr>
        <w:t xml:space="preserve"> In </w:t>
      </w:r>
      <w:r w:rsidR="00FC1FCF" w:rsidRPr="00FE7BA7">
        <w:rPr>
          <w:rFonts w:ascii="Verdana" w:hAnsi="Verdana"/>
          <w:i/>
          <w:sz w:val="20"/>
          <w:szCs w:val="20"/>
          <w:lang w:val="en-US"/>
        </w:rPr>
        <w:t>Sarayaku</w:t>
      </w:r>
      <w:r w:rsidR="007626EB" w:rsidRPr="00FE7BA7">
        <w:rPr>
          <w:rFonts w:ascii="Verdana" w:hAnsi="Verdana"/>
          <w:i/>
          <w:sz w:val="20"/>
          <w:szCs w:val="20"/>
          <w:lang w:val="en-US"/>
        </w:rPr>
        <w:t xml:space="preserve"> </w:t>
      </w:r>
      <w:r w:rsidR="002B5CCD" w:rsidRPr="00FE7BA7">
        <w:rPr>
          <w:rFonts w:ascii="Verdana" w:hAnsi="Verdana"/>
          <w:i/>
          <w:sz w:val="20"/>
          <w:szCs w:val="20"/>
          <w:lang w:val="en-US"/>
        </w:rPr>
        <w:t>v.</w:t>
      </w:r>
      <w:r w:rsidR="007626EB" w:rsidRPr="00FE7BA7">
        <w:rPr>
          <w:rFonts w:ascii="Verdana" w:hAnsi="Verdana"/>
          <w:i/>
          <w:sz w:val="20"/>
          <w:szCs w:val="20"/>
          <w:lang w:val="en-US"/>
        </w:rPr>
        <w:t xml:space="preserve"> Ecuador</w:t>
      </w:r>
      <w:r w:rsidRPr="00FE7BA7">
        <w:rPr>
          <w:rFonts w:ascii="Verdana" w:hAnsi="Verdana"/>
          <w:i/>
          <w:sz w:val="20"/>
          <w:szCs w:val="20"/>
          <w:lang w:val="en-US"/>
        </w:rPr>
        <w:t>,</w:t>
      </w:r>
      <w:r w:rsidRPr="00FE7BA7">
        <w:rPr>
          <w:rFonts w:ascii="Verdana" w:hAnsi="Verdana"/>
          <w:sz w:val="20"/>
          <w:szCs w:val="20"/>
          <w:lang w:val="en-US"/>
        </w:rPr>
        <w:t xml:space="preserve"> the Court established that States must ensure the right</w:t>
      </w:r>
      <w:r w:rsidR="00511E56" w:rsidRPr="00FE7BA7">
        <w:rPr>
          <w:rFonts w:ascii="Verdana" w:eastAsiaTheme="minorHAnsi" w:hAnsi="Verdana"/>
          <w:sz w:val="20"/>
          <w:szCs w:val="20"/>
          <w:lang w:val="en-US"/>
        </w:rPr>
        <w:t xml:space="preserve"> of the </w:t>
      </w:r>
      <w:r w:rsidRPr="00FE7BA7">
        <w:rPr>
          <w:rFonts w:ascii="Verdana" w:eastAsiaTheme="minorHAnsi" w:hAnsi="Verdana"/>
          <w:sz w:val="20"/>
          <w:szCs w:val="20"/>
          <w:lang w:val="en-US"/>
        </w:rPr>
        <w:t>indigenous and tribal peoples to control and to use their territory and natural resources.</w:t>
      </w:r>
      <w:r w:rsidR="008A4ABB" w:rsidRPr="00AD0CEE">
        <w:rPr>
          <w:rFonts w:ascii="Verdana" w:hAnsi="Verdana"/>
          <w:sz w:val="20"/>
          <w:szCs w:val="20"/>
          <w:vertAlign w:val="superscript"/>
          <w:lang w:val="en-US"/>
        </w:rPr>
        <w:footnoteReference w:id="173"/>
      </w:r>
    </w:p>
    <w:p w14:paraId="63126968" w14:textId="77777777" w:rsidR="00FC1FCF" w:rsidRPr="00FE7BA7" w:rsidRDefault="00FC1FCF" w:rsidP="00FC1FCF">
      <w:pPr>
        <w:pStyle w:val="ListParagraph"/>
        <w:ind w:left="0"/>
        <w:jc w:val="both"/>
        <w:rPr>
          <w:rFonts w:ascii="Verdana" w:hAnsi="Verdana"/>
          <w:sz w:val="20"/>
          <w:szCs w:val="20"/>
          <w:lang w:val="en-US"/>
        </w:rPr>
      </w:pPr>
    </w:p>
    <w:p w14:paraId="63126969" w14:textId="77777777" w:rsidR="00FC1FCF" w:rsidRPr="00FE7BA7" w:rsidRDefault="00FC1FCF" w:rsidP="004B1D0E">
      <w:pPr>
        <w:pStyle w:val="Heading5"/>
        <w:spacing w:before="0" w:line="240" w:lineRule="auto"/>
        <w:ind w:left="2160"/>
        <w:jc w:val="both"/>
        <w:rPr>
          <w:rFonts w:ascii="Verdana" w:hAnsi="Verdana"/>
          <w:b/>
          <w:i/>
          <w:color w:val="auto"/>
          <w:sz w:val="20"/>
          <w:szCs w:val="20"/>
        </w:rPr>
      </w:pPr>
      <w:bookmarkStart w:id="43" w:name="_Toc441673209"/>
      <w:r w:rsidRPr="00FE7BA7">
        <w:rPr>
          <w:rFonts w:ascii="Verdana" w:hAnsi="Verdana"/>
          <w:b/>
          <w:i/>
          <w:color w:val="auto"/>
          <w:sz w:val="20"/>
          <w:szCs w:val="20"/>
        </w:rPr>
        <w:t>B.</w:t>
      </w:r>
      <w:r w:rsidR="00830B9E" w:rsidRPr="00FE7BA7">
        <w:rPr>
          <w:rFonts w:ascii="Verdana" w:hAnsi="Verdana"/>
          <w:b/>
          <w:i/>
          <w:color w:val="auto"/>
          <w:sz w:val="20"/>
          <w:szCs w:val="20"/>
        </w:rPr>
        <w:t>2</w:t>
      </w:r>
      <w:r w:rsidRPr="00FE7BA7">
        <w:rPr>
          <w:rFonts w:ascii="Verdana" w:hAnsi="Verdana"/>
          <w:b/>
          <w:i/>
          <w:color w:val="auto"/>
          <w:sz w:val="20"/>
          <w:szCs w:val="20"/>
        </w:rPr>
        <w:t>.</w:t>
      </w:r>
      <w:r w:rsidR="00C34C52" w:rsidRPr="00FE7BA7">
        <w:rPr>
          <w:rFonts w:ascii="Verdana" w:hAnsi="Verdana"/>
          <w:b/>
          <w:i/>
          <w:color w:val="auto"/>
          <w:sz w:val="20"/>
          <w:szCs w:val="20"/>
        </w:rPr>
        <w:t>1</w:t>
      </w:r>
      <w:r w:rsidR="00FD14B3" w:rsidRPr="00FE7BA7">
        <w:rPr>
          <w:rFonts w:ascii="Verdana" w:hAnsi="Verdana"/>
          <w:b/>
          <w:i/>
          <w:color w:val="auto"/>
          <w:sz w:val="20"/>
          <w:szCs w:val="20"/>
        </w:rPr>
        <w:t>.1</w:t>
      </w:r>
      <w:r w:rsidRPr="00FE7BA7">
        <w:rPr>
          <w:rFonts w:ascii="Verdana" w:hAnsi="Verdana"/>
          <w:b/>
          <w:i/>
          <w:color w:val="auto"/>
          <w:sz w:val="20"/>
          <w:szCs w:val="20"/>
        </w:rPr>
        <w:t xml:space="preserve"> </w:t>
      </w:r>
      <w:r w:rsidR="00694E93" w:rsidRPr="00FE7BA7">
        <w:rPr>
          <w:rFonts w:ascii="Verdana" w:hAnsi="Verdana"/>
          <w:b/>
          <w:i/>
          <w:color w:val="auto"/>
          <w:sz w:val="20"/>
          <w:szCs w:val="20"/>
        </w:rPr>
        <w:t>The failure to delimit, demarcate and grant title in this case</w:t>
      </w:r>
      <w:bookmarkEnd w:id="43"/>
    </w:p>
    <w:p w14:paraId="6312696A" w14:textId="77777777" w:rsidR="00FC1FCF" w:rsidRPr="00FE7BA7" w:rsidRDefault="00FC1FCF" w:rsidP="00FC1FCF">
      <w:pPr>
        <w:pStyle w:val="ListParagraph"/>
        <w:ind w:left="708"/>
        <w:jc w:val="both"/>
        <w:rPr>
          <w:rFonts w:ascii="Verdana" w:hAnsi="Verdana"/>
          <w:sz w:val="20"/>
          <w:szCs w:val="20"/>
          <w:lang w:val="en-US"/>
        </w:rPr>
      </w:pPr>
    </w:p>
    <w:p w14:paraId="6312696B" w14:textId="77777777" w:rsidR="00FC1FCF" w:rsidRPr="00FE7BA7" w:rsidRDefault="002B5CCD" w:rsidP="00694E9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FC1FCF" w:rsidRPr="00FE7BA7">
        <w:rPr>
          <w:rFonts w:ascii="Verdana" w:hAnsi="Verdana"/>
          <w:sz w:val="20"/>
          <w:szCs w:val="20"/>
          <w:lang w:val="en-US"/>
        </w:rPr>
        <w:t xml:space="preserve"> ha</w:t>
      </w:r>
      <w:r w:rsidR="00694E93" w:rsidRPr="00FE7BA7">
        <w:rPr>
          <w:rFonts w:ascii="Verdana" w:hAnsi="Verdana"/>
          <w:sz w:val="20"/>
          <w:szCs w:val="20"/>
          <w:lang w:val="en-US"/>
        </w:rPr>
        <w:t xml:space="preserve">s established that, based on the principle of legal certainty, the land rights of the indigenous peoples must be formalized by the adoption of the </w:t>
      </w:r>
      <w:r w:rsidR="00FE7BA7" w:rsidRPr="00FE7BA7">
        <w:rPr>
          <w:rFonts w:ascii="Verdana" w:hAnsi="Verdana"/>
          <w:sz w:val="20"/>
          <w:szCs w:val="20"/>
          <w:lang w:val="en-US"/>
        </w:rPr>
        <w:t>administrative</w:t>
      </w:r>
      <w:r w:rsidR="00694E93" w:rsidRPr="00FE7BA7">
        <w:rPr>
          <w:rFonts w:ascii="Verdana" w:hAnsi="Verdana"/>
          <w:sz w:val="20"/>
          <w:szCs w:val="20"/>
          <w:lang w:val="en-US"/>
        </w:rPr>
        <w:t xml:space="preserve"> and legislative measures required to create an effective mechanism for delimitation, demarcation and </w:t>
      </w:r>
      <w:r w:rsidR="00AD0CEE">
        <w:rPr>
          <w:rFonts w:ascii="Verdana" w:hAnsi="Verdana"/>
          <w:sz w:val="20"/>
          <w:szCs w:val="20"/>
          <w:lang w:val="en-US"/>
        </w:rPr>
        <w:t xml:space="preserve">the </w:t>
      </w:r>
      <w:r w:rsidR="00694E93" w:rsidRPr="00FE7BA7">
        <w:rPr>
          <w:rFonts w:ascii="Verdana" w:hAnsi="Verdana"/>
          <w:sz w:val="20"/>
          <w:szCs w:val="20"/>
          <w:lang w:val="en-US"/>
        </w:rPr>
        <w:t>granting</w:t>
      </w:r>
      <w:r w:rsidR="00AD0CEE">
        <w:rPr>
          <w:rFonts w:ascii="Verdana" w:hAnsi="Verdana"/>
          <w:sz w:val="20"/>
          <w:szCs w:val="20"/>
          <w:lang w:val="en-US"/>
        </w:rPr>
        <w:t xml:space="preserve"> of</w:t>
      </w:r>
      <w:r w:rsidR="00694E93" w:rsidRPr="00FE7BA7">
        <w:rPr>
          <w:rFonts w:ascii="Verdana" w:hAnsi="Verdana"/>
          <w:sz w:val="20"/>
          <w:szCs w:val="20"/>
          <w:lang w:val="en-US"/>
        </w:rPr>
        <w:t xml:space="preserve"> title</w:t>
      </w:r>
      <w:r w:rsidR="00AD0CEE">
        <w:rPr>
          <w:rFonts w:ascii="Verdana" w:hAnsi="Verdana"/>
          <w:sz w:val="20"/>
          <w:szCs w:val="20"/>
          <w:lang w:val="en-US"/>
        </w:rPr>
        <w:t>s</w:t>
      </w:r>
      <w:r w:rsidR="00694E93" w:rsidRPr="00FE7BA7">
        <w:rPr>
          <w:rFonts w:ascii="Verdana" w:hAnsi="Verdana"/>
          <w:sz w:val="20"/>
          <w:szCs w:val="20"/>
          <w:lang w:val="en-US"/>
        </w:rPr>
        <w:t xml:space="preserve"> that recognizes these rights in the practice.</w:t>
      </w:r>
      <w:r w:rsidR="00694E93" w:rsidRPr="00FE7BA7">
        <w:rPr>
          <w:rFonts w:ascii="Verdana" w:hAnsi="Verdana"/>
          <w:sz w:val="20"/>
          <w:szCs w:val="20"/>
          <w:vertAlign w:val="superscript"/>
          <w:lang w:val="en-US"/>
        </w:rPr>
        <w:footnoteReference w:id="174"/>
      </w:r>
      <w:r w:rsidR="00AD0CEE">
        <w:rPr>
          <w:rFonts w:ascii="Verdana" w:hAnsi="Verdana"/>
          <w:sz w:val="20"/>
          <w:szCs w:val="20"/>
          <w:lang w:val="en-US"/>
        </w:rPr>
        <w:t xml:space="preserve"> This is because the recognition of the right</w:t>
      </w:r>
      <w:r w:rsidR="00694E93" w:rsidRPr="00FE7BA7">
        <w:rPr>
          <w:rFonts w:ascii="Verdana" w:hAnsi="Verdana"/>
          <w:sz w:val="20"/>
          <w:szCs w:val="20"/>
          <w:lang w:val="en-US"/>
        </w:rPr>
        <w:t xml:space="preserve"> to indigenous communal property should be ensured by granting a formal property title, or other similar form of State recognition, </w:t>
      </w:r>
      <w:r w:rsidR="00AD0CEE">
        <w:rPr>
          <w:rFonts w:ascii="Verdana" w:hAnsi="Verdana"/>
          <w:sz w:val="20"/>
          <w:szCs w:val="20"/>
          <w:lang w:val="en-US"/>
        </w:rPr>
        <w:t>that provides legal certainty concerning</w:t>
      </w:r>
      <w:r w:rsidR="00694E93" w:rsidRPr="00FE7BA7">
        <w:rPr>
          <w:rFonts w:ascii="Verdana" w:hAnsi="Verdana"/>
          <w:sz w:val="20"/>
          <w:szCs w:val="20"/>
          <w:lang w:val="en-US"/>
        </w:rPr>
        <w:t xml:space="preserve"> the indigenous ownership of land in the face of actions of third parties or of agents of</w:t>
      </w:r>
      <w:r w:rsidR="00AD0CEE">
        <w:rPr>
          <w:rFonts w:ascii="Verdana" w:hAnsi="Verdana"/>
          <w:sz w:val="20"/>
          <w:szCs w:val="20"/>
          <w:lang w:val="en-US"/>
        </w:rPr>
        <w:t xml:space="preserve"> the State itself, and that the</w:t>
      </w:r>
      <w:r w:rsidR="00841F72">
        <w:rPr>
          <w:rFonts w:ascii="Verdana" w:hAnsi="Verdana"/>
          <w:sz w:val="20"/>
          <w:szCs w:val="20"/>
          <w:lang w:val="en-US"/>
        </w:rPr>
        <w:t xml:space="preserve"> “mere</w:t>
      </w:r>
      <w:r w:rsidR="00694E93" w:rsidRPr="00FE7BA7">
        <w:rPr>
          <w:rFonts w:ascii="Verdana" w:hAnsi="Verdana"/>
          <w:sz w:val="20"/>
          <w:szCs w:val="20"/>
          <w:lang w:val="en-US"/>
        </w:rPr>
        <w:t xml:space="preserve"> abstract or legal recognition of indigenous lands, territories or resources has almost no meaning if the property is not </w:t>
      </w:r>
      <w:r w:rsidR="00FE7BA7" w:rsidRPr="00FE7BA7">
        <w:rPr>
          <w:rFonts w:ascii="Verdana" w:hAnsi="Verdana"/>
          <w:sz w:val="20"/>
          <w:szCs w:val="20"/>
          <w:lang w:val="en-US"/>
        </w:rPr>
        <w:t>physically</w:t>
      </w:r>
      <w:r w:rsidR="00694E93" w:rsidRPr="00FE7BA7">
        <w:rPr>
          <w:rFonts w:ascii="Verdana" w:hAnsi="Verdana"/>
          <w:sz w:val="20"/>
          <w:szCs w:val="20"/>
          <w:lang w:val="en-US"/>
        </w:rPr>
        <w:t xml:space="preserve"> [delimited and demarcated].</w:t>
      </w:r>
      <w:r w:rsidR="00FC1FCF" w:rsidRPr="00FE7BA7">
        <w:rPr>
          <w:rFonts w:ascii="Verdana" w:hAnsi="Verdana"/>
          <w:sz w:val="20"/>
          <w:szCs w:val="20"/>
          <w:lang w:val="en-US"/>
        </w:rPr>
        <w:t>”</w:t>
      </w:r>
      <w:bookmarkStart w:id="44" w:name="_ftnref7"/>
      <w:r w:rsidR="00FC1FCF" w:rsidRPr="00FE7BA7">
        <w:rPr>
          <w:rFonts w:ascii="Verdana" w:hAnsi="Verdana"/>
          <w:sz w:val="20"/>
          <w:szCs w:val="20"/>
          <w:vertAlign w:val="superscript"/>
          <w:lang w:val="en-US"/>
        </w:rPr>
        <w:footnoteReference w:id="175"/>
      </w:r>
      <w:bookmarkEnd w:id="44"/>
      <w:r w:rsidR="00FC1FCF" w:rsidRPr="00FE7BA7">
        <w:rPr>
          <w:rFonts w:ascii="Verdana" w:hAnsi="Verdana"/>
          <w:sz w:val="20"/>
          <w:szCs w:val="20"/>
          <w:lang w:val="en-US"/>
        </w:rPr>
        <w:t xml:space="preserve">  </w:t>
      </w:r>
    </w:p>
    <w:p w14:paraId="6312696C" w14:textId="77777777" w:rsidR="00FC1FCF" w:rsidRPr="00FE7BA7" w:rsidRDefault="00FC1FCF" w:rsidP="00FC1FCF">
      <w:pPr>
        <w:pStyle w:val="ListParagraph"/>
        <w:ind w:left="0"/>
        <w:jc w:val="both"/>
        <w:rPr>
          <w:rFonts w:ascii="Verdana" w:hAnsi="Verdana"/>
          <w:sz w:val="20"/>
          <w:szCs w:val="20"/>
          <w:lang w:val="en-US"/>
        </w:rPr>
      </w:pPr>
    </w:p>
    <w:p w14:paraId="6312696D" w14:textId="77777777" w:rsidR="00FC1FCF" w:rsidRPr="00FE7BA7" w:rsidRDefault="00694E93" w:rsidP="00694E9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this regard, t</w:t>
      </w:r>
      <w:r w:rsidR="002B5CCD" w:rsidRPr="00FE7BA7">
        <w:rPr>
          <w:rFonts w:ascii="Verdana" w:hAnsi="Verdana"/>
          <w:sz w:val="20"/>
          <w:szCs w:val="20"/>
          <w:lang w:val="en-US"/>
        </w:rPr>
        <w:t>he Court</w:t>
      </w:r>
      <w:r w:rsidRPr="00FE7BA7">
        <w:rPr>
          <w:rFonts w:ascii="Verdana" w:hAnsi="Verdana"/>
          <w:sz w:val="20"/>
          <w:szCs w:val="20"/>
          <w:lang w:val="en-US"/>
        </w:rPr>
        <w:t xml:space="preserve"> already determined in the </w:t>
      </w:r>
      <w:r w:rsidRPr="00FE7BA7">
        <w:rPr>
          <w:rFonts w:ascii="Verdana" w:hAnsi="Verdana"/>
          <w:i/>
          <w:sz w:val="20"/>
          <w:szCs w:val="20"/>
          <w:lang w:val="en-US"/>
        </w:rPr>
        <w:t>Saramaka</w:t>
      </w:r>
      <w:r w:rsidRPr="00FE7BA7">
        <w:rPr>
          <w:rFonts w:ascii="Verdana" w:hAnsi="Verdana"/>
          <w:sz w:val="20"/>
          <w:szCs w:val="20"/>
          <w:lang w:val="en-US"/>
        </w:rPr>
        <w:t xml:space="preserve"> case that the legal framework </w:t>
      </w:r>
      <w:r w:rsidR="00810FAD" w:rsidRPr="00FE7BA7">
        <w:rPr>
          <w:rFonts w:ascii="Verdana" w:hAnsi="Verdana"/>
          <w:sz w:val="20"/>
          <w:szCs w:val="20"/>
          <w:lang w:val="en-US"/>
        </w:rPr>
        <w:t xml:space="preserve">of the </w:t>
      </w:r>
      <w:r w:rsidR="002B5CCD" w:rsidRPr="00FE7BA7">
        <w:rPr>
          <w:rFonts w:ascii="Verdana" w:hAnsi="Verdana"/>
          <w:sz w:val="20"/>
          <w:szCs w:val="20"/>
          <w:lang w:val="en-US"/>
        </w:rPr>
        <w:t>State</w:t>
      </w:r>
      <w:r w:rsidR="002F0F93" w:rsidRPr="00FE7BA7">
        <w:rPr>
          <w:rFonts w:ascii="Verdana" w:hAnsi="Verdana"/>
          <w:sz w:val="20"/>
          <w:szCs w:val="20"/>
          <w:lang w:val="en-US"/>
        </w:rPr>
        <w:t xml:space="preserve"> of </w:t>
      </w:r>
      <w:r w:rsidR="002F0F93" w:rsidRPr="00AD0CEE">
        <w:rPr>
          <w:rFonts w:ascii="Verdana" w:hAnsi="Verdana"/>
          <w:sz w:val="20"/>
          <w:szCs w:val="20"/>
          <w:lang w:val="en-US"/>
        </w:rPr>
        <w:t>Suriname</w:t>
      </w:r>
      <w:r w:rsidR="002B5CCD" w:rsidRPr="00AD0CEE">
        <w:rPr>
          <w:rFonts w:ascii="Verdana" w:hAnsi="Verdana"/>
          <w:sz w:val="20"/>
          <w:szCs w:val="20"/>
          <w:lang w:val="en-US"/>
        </w:rPr>
        <w:t xml:space="preserve"> </w:t>
      </w:r>
      <w:r w:rsidR="00FC1FCF" w:rsidRPr="00AD0CEE">
        <w:rPr>
          <w:rFonts w:ascii="Verdana" w:hAnsi="Verdana"/>
          <w:sz w:val="20"/>
          <w:szCs w:val="20"/>
          <w:lang w:val="en-US"/>
        </w:rPr>
        <w:t>“mer</w:t>
      </w:r>
      <w:r w:rsidRPr="00AD0CEE">
        <w:rPr>
          <w:rFonts w:ascii="Verdana" w:hAnsi="Verdana"/>
          <w:sz w:val="20"/>
          <w:szCs w:val="20"/>
          <w:lang w:val="en-US"/>
        </w:rPr>
        <w:t xml:space="preserve">ely grant[ed] the members of the […] people a privilege to use the land, which </w:t>
      </w:r>
      <w:proofErr w:type="gramStart"/>
      <w:r w:rsidRPr="00AD0CEE">
        <w:rPr>
          <w:rFonts w:ascii="Verdana" w:hAnsi="Verdana"/>
          <w:sz w:val="20"/>
          <w:szCs w:val="20"/>
          <w:lang w:val="en-US"/>
        </w:rPr>
        <w:t>d[</w:t>
      </w:r>
      <w:proofErr w:type="gramEnd"/>
      <w:r w:rsidRPr="00AD0CEE">
        <w:rPr>
          <w:rFonts w:ascii="Verdana" w:hAnsi="Verdana"/>
          <w:sz w:val="20"/>
          <w:szCs w:val="20"/>
          <w:lang w:val="en-US"/>
        </w:rPr>
        <w:t>id not guarantee them the right to own and to control their territory without any outside interference. [… Therefore,] to obtain such title, the territory traditionally used and occupied by the members of the […] people must first be delimited and</w:t>
      </w:r>
      <w:r w:rsidRPr="00FE7BA7">
        <w:rPr>
          <w:rFonts w:ascii="Verdana" w:hAnsi="Verdana"/>
          <w:sz w:val="20"/>
          <w:szCs w:val="20"/>
          <w:lang w:val="en-US"/>
        </w:rPr>
        <w:t xml:space="preserve"> demarcated in consultation with such people and other neighboring peoples.</w:t>
      </w:r>
      <w:r w:rsidR="00FC1FCF" w:rsidRPr="00FE7BA7">
        <w:rPr>
          <w:rFonts w:ascii="Verdana" w:hAnsi="Verdana"/>
          <w:sz w:val="20"/>
          <w:szCs w:val="20"/>
          <w:lang w:val="en-US"/>
        </w:rPr>
        <w:t>”</w:t>
      </w:r>
      <w:r w:rsidR="00EC22F5" w:rsidRPr="00FE7BA7">
        <w:rPr>
          <w:rStyle w:val="FootnoteReference"/>
          <w:szCs w:val="20"/>
          <w:lang w:val="en-US"/>
        </w:rPr>
        <w:footnoteReference w:id="176"/>
      </w:r>
    </w:p>
    <w:p w14:paraId="6312696F" w14:textId="55845D94" w:rsidR="00FC1FCF" w:rsidRPr="00FE7BA7" w:rsidRDefault="002B5CCD"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lastRenderedPageBreak/>
        <w:t>The Court</w:t>
      </w:r>
      <w:r w:rsidR="00FC1FCF" w:rsidRPr="00FE7BA7">
        <w:rPr>
          <w:rFonts w:ascii="Verdana" w:hAnsi="Verdana"/>
          <w:sz w:val="20"/>
          <w:szCs w:val="20"/>
          <w:lang w:val="en-US"/>
        </w:rPr>
        <w:t xml:space="preserve"> </w:t>
      </w:r>
      <w:r w:rsidR="00DC745B" w:rsidRPr="00FE7BA7">
        <w:rPr>
          <w:rFonts w:ascii="Verdana" w:hAnsi="Verdana"/>
          <w:sz w:val="20"/>
          <w:szCs w:val="20"/>
          <w:lang w:val="en-US"/>
        </w:rPr>
        <w:t>points out that</w:t>
      </w:r>
      <w:r w:rsidR="00FC1FCF" w:rsidRPr="00FE7BA7">
        <w:rPr>
          <w:rFonts w:ascii="Verdana" w:hAnsi="Verdana"/>
          <w:sz w:val="20"/>
          <w:szCs w:val="20"/>
          <w:lang w:val="en-US"/>
        </w:rPr>
        <w:t xml:space="preserve"> </w:t>
      </w:r>
      <w:r w:rsidR="009B119F">
        <w:rPr>
          <w:rFonts w:ascii="Verdana" w:hAnsi="Verdana"/>
          <w:sz w:val="20"/>
          <w:szCs w:val="20"/>
          <w:lang w:val="en-US"/>
        </w:rPr>
        <w:t>A</w:t>
      </w:r>
      <w:r w:rsidRPr="00FE7BA7">
        <w:rPr>
          <w:rFonts w:ascii="Verdana" w:hAnsi="Verdana"/>
          <w:sz w:val="20"/>
          <w:szCs w:val="20"/>
          <w:lang w:val="en-US"/>
        </w:rPr>
        <w:t>rticle</w:t>
      </w:r>
      <w:r w:rsidR="00FC1FCF" w:rsidRPr="00FE7BA7">
        <w:rPr>
          <w:rFonts w:ascii="Verdana" w:hAnsi="Verdana"/>
          <w:sz w:val="20"/>
          <w:szCs w:val="20"/>
          <w:lang w:val="en-US"/>
        </w:rPr>
        <w:t xml:space="preserve"> 10 </w:t>
      </w:r>
      <w:r w:rsidR="00DC745B" w:rsidRPr="00FE7BA7">
        <w:rPr>
          <w:rFonts w:ascii="Verdana" w:hAnsi="Verdana"/>
          <w:sz w:val="20"/>
          <w:szCs w:val="20"/>
          <w:lang w:val="en-US"/>
        </w:rPr>
        <w:t>of the 1992</w:t>
      </w:r>
      <w:r w:rsidR="00FC1FCF" w:rsidRPr="00FE7BA7">
        <w:rPr>
          <w:rFonts w:ascii="Verdana" w:hAnsi="Verdana"/>
          <w:sz w:val="20"/>
          <w:szCs w:val="20"/>
          <w:lang w:val="en-US"/>
        </w:rPr>
        <w:t xml:space="preserve"> Lelydorp</w:t>
      </w:r>
      <w:r w:rsidR="00DC745B" w:rsidRPr="00FE7BA7">
        <w:rPr>
          <w:rFonts w:ascii="Verdana" w:hAnsi="Verdana"/>
          <w:sz w:val="20"/>
          <w:szCs w:val="20"/>
          <w:lang w:val="en-US"/>
        </w:rPr>
        <w:t xml:space="preserve"> Peace Accord established</w:t>
      </w:r>
      <w:r w:rsidR="00EE340D">
        <w:rPr>
          <w:rFonts w:ascii="Verdana" w:hAnsi="Verdana"/>
          <w:sz w:val="20"/>
          <w:szCs w:val="20"/>
          <w:lang w:val="en-US"/>
        </w:rPr>
        <w:t xml:space="preserve"> </w:t>
      </w:r>
      <w:r w:rsidR="00841F72">
        <w:rPr>
          <w:rFonts w:ascii="Verdana" w:hAnsi="Verdana"/>
          <w:sz w:val="20"/>
          <w:szCs w:val="20"/>
          <w:lang w:val="en-US"/>
        </w:rPr>
        <w:t xml:space="preserve">the </w:t>
      </w:r>
      <w:r w:rsidR="00EE340D">
        <w:rPr>
          <w:rFonts w:ascii="Verdana" w:hAnsi="Verdana"/>
          <w:sz w:val="20"/>
          <w:szCs w:val="20"/>
          <w:lang w:val="en-US"/>
        </w:rPr>
        <w:t>State’s</w:t>
      </w:r>
      <w:r w:rsidR="00DC745B" w:rsidRPr="00FE7BA7">
        <w:rPr>
          <w:rFonts w:ascii="Verdana" w:hAnsi="Verdana"/>
          <w:sz w:val="20"/>
          <w:szCs w:val="20"/>
          <w:lang w:val="en-US"/>
        </w:rPr>
        <w:t xml:space="preserve"> undertaking to </w:t>
      </w:r>
      <w:r w:rsidR="00967E6B" w:rsidRPr="00FE7BA7">
        <w:rPr>
          <w:rFonts w:ascii="Verdana" w:hAnsi="Verdana"/>
          <w:sz w:val="20"/>
          <w:szCs w:val="20"/>
          <w:lang w:val="en-US"/>
        </w:rPr>
        <w:t xml:space="preserve">the indigenous and tribal peoples </w:t>
      </w:r>
      <w:r w:rsidR="00DC745B" w:rsidRPr="00FE7BA7">
        <w:rPr>
          <w:rFonts w:ascii="Verdana" w:hAnsi="Verdana"/>
          <w:sz w:val="20"/>
          <w:szCs w:val="20"/>
          <w:lang w:val="en-US"/>
        </w:rPr>
        <w:t xml:space="preserve">that it would demarcate and </w:t>
      </w:r>
      <w:r w:rsidR="00EE340D">
        <w:rPr>
          <w:rFonts w:ascii="Verdana" w:hAnsi="Verdana"/>
          <w:sz w:val="20"/>
          <w:szCs w:val="20"/>
          <w:lang w:val="en-US"/>
        </w:rPr>
        <w:t>grant</w:t>
      </w:r>
      <w:r w:rsidR="00841F72">
        <w:rPr>
          <w:rFonts w:ascii="Verdana" w:hAnsi="Verdana"/>
          <w:sz w:val="20"/>
          <w:szCs w:val="20"/>
          <w:lang w:val="en-US"/>
        </w:rPr>
        <w:t xml:space="preserve"> legal title to </w:t>
      </w:r>
      <w:r w:rsidR="00841F72" w:rsidRPr="00FE7BA7">
        <w:rPr>
          <w:rFonts w:ascii="Verdana" w:hAnsi="Verdana"/>
          <w:sz w:val="20"/>
          <w:szCs w:val="20"/>
          <w:lang w:val="en-US"/>
        </w:rPr>
        <w:t xml:space="preserve">their territories </w:t>
      </w:r>
      <w:r w:rsidR="00FC1FCF" w:rsidRPr="00FE7BA7">
        <w:rPr>
          <w:rFonts w:ascii="Verdana" w:hAnsi="Verdana"/>
          <w:sz w:val="20"/>
          <w:szCs w:val="20"/>
          <w:lang w:val="en-US"/>
        </w:rPr>
        <w:t>(</w:t>
      </w:r>
      <w:r w:rsidR="00366D91" w:rsidRPr="00FE7BA7">
        <w:rPr>
          <w:rFonts w:ascii="Verdana" w:hAnsi="Verdana"/>
          <w:i/>
          <w:sz w:val="20"/>
          <w:szCs w:val="20"/>
          <w:lang w:val="en-US"/>
        </w:rPr>
        <w:t>supra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A504FC" w:rsidRPr="00FE7BA7">
        <w:rPr>
          <w:rFonts w:ascii="Verdana" w:hAnsi="Verdana"/>
          <w:sz w:val="20"/>
          <w:szCs w:val="20"/>
          <w:lang w:val="en-US"/>
        </w:rPr>
        <w:t xml:space="preserve"> </w:t>
      </w:r>
      <w:r w:rsidR="00F829AA" w:rsidRPr="00FE7BA7">
        <w:rPr>
          <w:rFonts w:ascii="Verdana" w:hAnsi="Verdana"/>
          <w:sz w:val="20"/>
          <w:szCs w:val="20"/>
          <w:lang w:val="en-US"/>
        </w:rPr>
        <w:t>51</w:t>
      </w:r>
      <w:r w:rsidR="00FC1FCF" w:rsidRPr="00FE7BA7">
        <w:rPr>
          <w:rFonts w:ascii="Verdana" w:hAnsi="Verdana"/>
          <w:sz w:val="20"/>
          <w:szCs w:val="20"/>
          <w:lang w:val="en-US"/>
        </w:rPr>
        <w:t>).</w:t>
      </w:r>
    </w:p>
    <w:p w14:paraId="63126970" w14:textId="77777777" w:rsidR="00FC1FCF" w:rsidRPr="00FE7BA7" w:rsidRDefault="00FC1FCF" w:rsidP="00FC1FCF">
      <w:pPr>
        <w:pStyle w:val="ListParagraph"/>
        <w:spacing w:after="200" w:line="276" w:lineRule="auto"/>
        <w:rPr>
          <w:rFonts w:ascii="Verdana" w:hAnsi="Verdana"/>
          <w:sz w:val="20"/>
          <w:szCs w:val="20"/>
          <w:lang w:val="en-US"/>
        </w:rPr>
      </w:pPr>
    </w:p>
    <w:p w14:paraId="63126971" w14:textId="77777777" w:rsidR="00FC1FCF" w:rsidRPr="00FE7BA7" w:rsidRDefault="00DC745B" w:rsidP="00DC745B">
      <w:pPr>
        <w:pStyle w:val="ListParagraph"/>
        <w:numPr>
          <w:ilvl w:val="0"/>
          <w:numId w:val="2"/>
        </w:numPr>
        <w:ind w:left="0" w:hanging="11"/>
        <w:jc w:val="both"/>
        <w:rPr>
          <w:rFonts w:ascii="Verdana" w:hAnsi="Verdana"/>
          <w:strike/>
          <w:sz w:val="20"/>
          <w:szCs w:val="20"/>
          <w:lang w:val="en-US"/>
        </w:rPr>
      </w:pPr>
      <w:r w:rsidRPr="00FE7BA7">
        <w:rPr>
          <w:rFonts w:ascii="Verdana" w:hAnsi="Verdana"/>
          <w:sz w:val="20"/>
          <w:szCs w:val="20"/>
          <w:lang w:val="en-US"/>
        </w:rPr>
        <w:t xml:space="preserve">The evidence in the case file, as well as </w:t>
      </w:r>
      <w:r w:rsidR="003231F8" w:rsidRPr="00FE7BA7">
        <w:rPr>
          <w:rFonts w:ascii="Verdana" w:hAnsi="Verdana"/>
          <w:sz w:val="20"/>
          <w:szCs w:val="20"/>
          <w:lang w:val="en-US"/>
        </w:rPr>
        <w:t>the</w:t>
      </w:r>
      <w:r w:rsidRPr="00FE7BA7">
        <w:rPr>
          <w:rFonts w:ascii="Verdana" w:hAnsi="Verdana"/>
          <w:sz w:val="20"/>
          <w:szCs w:val="20"/>
          <w:lang w:val="en-US"/>
        </w:rPr>
        <w:t xml:space="preserve"> </w:t>
      </w:r>
      <w:r w:rsidR="003F59F5" w:rsidRPr="00FE7BA7">
        <w:rPr>
          <w:rFonts w:ascii="Verdana" w:hAnsi="Verdana"/>
          <w:sz w:val="20"/>
          <w:szCs w:val="20"/>
          <w:lang w:val="en-US"/>
        </w:rPr>
        <w:t>on-site procedure</w:t>
      </w:r>
      <w:r w:rsidR="00FC1FCF" w:rsidRPr="00FE7BA7">
        <w:rPr>
          <w:rFonts w:ascii="Verdana" w:hAnsi="Verdana"/>
          <w:sz w:val="20"/>
          <w:szCs w:val="20"/>
          <w:lang w:val="en-US"/>
        </w:rPr>
        <w:t xml:space="preserve"> </w:t>
      </w:r>
      <w:r w:rsidR="00841F72">
        <w:rPr>
          <w:rFonts w:ascii="Verdana" w:hAnsi="Verdana"/>
          <w:sz w:val="20"/>
          <w:szCs w:val="20"/>
          <w:lang w:val="en-US"/>
        </w:rPr>
        <w:t>conducted</w:t>
      </w:r>
      <w:r w:rsidRPr="00FE7BA7">
        <w:rPr>
          <w:rFonts w:ascii="Verdana" w:hAnsi="Verdana"/>
          <w:sz w:val="20"/>
          <w:szCs w:val="20"/>
          <w:lang w:val="en-US"/>
        </w:rPr>
        <w:t xml:space="preserve"> by the Court’s </w:t>
      </w:r>
      <w:r w:rsidR="00841F72">
        <w:rPr>
          <w:rFonts w:ascii="Verdana" w:hAnsi="Verdana"/>
          <w:sz w:val="20"/>
          <w:szCs w:val="20"/>
          <w:lang w:val="en-US"/>
        </w:rPr>
        <w:t>delegation, reveal that, at the present</w:t>
      </w:r>
      <w:r w:rsidRPr="00FE7BA7">
        <w:rPr>
          <w:rFonts w:ascii="Verdana" w:hAnsi="Verdana"/>
          <w:sz w:val="20"/>
          <w:szCs w:val="20"/>
          <w:lang w:val="en-US"/>
        </w:rPr>
        <w:t xml:space="preserve"> time, Suriname still does not recognize the right to collective property of in</w:t>
      </w:r>
      <w:r w:rsidR="00EE340D">
        <w:rPr>
          <w:rFonts w:ascii="Verdana" w:hAnsi="Verdana"/>
          <w:sz w:val="20"/>
          <w:szCs w:val="20"/>
          <w:lang w:val="en-US"/>
        </w:rPr>
        <w:t>digenous and tribal peoples,</w:t>
      </w:r>
      <w:r w:rsidRPr="00FE7BA7">
        <w:rPr>
          <w:rFonts w:ascii="Verdana" w:hAnsi="Verdana"/>
          <w:sz w:val="20"/>
          <w:szCs w:val="20"/>
          <w:lang w:val="en-US"/>
        </w:rPr>
        <w:t xml:space="preserve"> nor </w:t>
      </w:r>
      <w:r w:rsidR="00EE340D">
        <w:rPr>
          <w:rFonts w:ascii="Verdana" w:hAnsi="Verdana"/>
          <w:sz w:val="20"/>
          <w:szCs w:val="20"/>
          <w:lang w:val="en-US"/>
        </w:rPr>
        <w:t>do</w:t>
      </w:r>
      <w:r w:rsidRPr="00FE7BA7">
        <w:rPr>
          <w:rFonts w:ascii="Verdana" w:hAnsi="Verdana"/>
          <w:sz w:val="20"/>
          <w:szCs w:val="20"/>
          <w:lang w:val="en-US"/>
        </w:rPr>
        <w:t xml:space="preserve"> mechanisms or procedures </w:t>
      </w:r>
      <w:r w:rsidR="00EE340D">
        <w:rPr>
          <w:rFonts w:ascii="Verdana" w:hAnsi="Verdana"/>
          <w:sz w:val="20"/>
          <w:szCs w:val="20"/>
          <w:lang w:val="en-US"/>
        </w:rPr>
        <w:t xml:space="preserve">exist </w:t>
      </w:r>
      <w:r w:rsidRPr="00FE7BA7">
        <w:rPr>
          <w:rFonts w:ascii="Verdana" w:hAnsi="Verdana"/>
          <w:sz w:val="20"/>
          <w:szCs w:val="20"/>
          <w:lang w:val="en-US"/>
        </w:rPr>
        <w:t>to delimit the traditional territories. Consequently</w:t>
      </w:r>
      <w:r w:rsidR="00FC1FCF"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FC1FCF" w:rsidRPr="00FE7BA7">
        <w:rPr>
          <w:rFonts w:ascii="Verdana" w:hAnsi="Verdana"/>
          <w:sz w:val="20"/>
          <w:szCs w:val="20"/>
          <w:lang w:val="en-US"/>
        </w:rPr>
        <w:t xml:space="preserve"> </w:t>
      </w:r>
      <w:r w:rsidRPr="00FE7BA7">
        <w:rPr>
          <w:rFonts w:ascii="Verdana" w:hAnsi="Verdana"/>
          <w:sz w:val="20"/>
          <w:szCs w:val="20"/>
          <w:lang w:val="en-US"/>
        </w:rPr>
        <w:t>have no type of guarantee or title with regard to</w:t>
      </w:r>
      <w:r w:rsidR="00511E56" w:rsidRPr="00FE7BA7">
        <w:rPr>
          <w:rFonts w:ascii="Verdana" w:hAnsi="Verdana"/>
          <w:sz w:val="20"/>
          <w:szCs w:val="20"/>
          <w:lang w:val="en-US"/>
        </w:rPr>
        <w:t xml:space="preserve"> the territory</w:t>
      </w:r>
      <w:r w:rsidR="002B5CCD" w:rsidRPr="00FE7BA7">
        <w:rPr>
          <w:rFonts w:ascii="Verdana" w:hAnsi="Verdana"/>
          <w:sz w:val="20"/>
          <w:szCs w:val="20"/>
          <w:lang w:val="en-US"/>
        </w:rPr>
        <w:t xml:space="preserve"> and </w:t>
      </w:r>
      <w:r w:rsidRPr="00FE7BA7">
        <w:rPr>
          <w:rFonts w:ascii="Verdana" w:hAnsi="Verdana"/>
          <w:sz w:val="20"/>
          <w:szCs w:val="20"/>
          <w:lang w:val="en-US"/>
        </w:rPr>
        <w:t>ha</w:t>
      </w:r>
      <w:r w:rsidR="00FC1FCF" w:rsidRPr="00FE7BA7">
        <w:rPr>
          <w:rFonts w:ascii="Verdana" w:hAnsi="Verdana"/>
          <w:sz w:val="20"/>
          <w:szCs w:val="20"/>
          <w:lang w:val="en-US"/>
        </w:rPr>
        <w:t xml:space="preserve">bitat </w:t>
      </w:r>
      <w:r w:rsidRPr="00FE7BA7">
        <w:rPr>
          <w:rFonts w:ascii="Verdana" w:hAnsi="Verdana"/>
          <w:sz w:val="20"/>
          <w:szCs w:val="20"/>
          <w:lang w:val="en-US"/>
        </w:rPr>
        <w:t>they h</w:t>
      </w:r>
      <w:r w:rsidR="00EE340D">
        <w:rPr>
          <w:rFonts w:ascii="Verdana" w:hAnsi="Verdana"/>
          <w:sz w:val="20"/>
          <w:szCs w:val="20"/>
          <w:lang w:val="en-US"/>
        </w:rPr>
        <w:t xml:space="preserve">ave occupied traditionally, or to the land </w:t>
      </w:r>
      <w:r w:rsidRPr="00FE7BA7">
        <w:rPr>
          <w:rFonts w:ascii="Verdana" w:hAnsi="Verdana"/>
          <w:sz w:val="20"/>
          <w:szCs w:val="20"/>
          <w:lang w:val="en-US"/>
        </w:rPr>
        <w:t>they possess currently. In addition, the State has not taken any steps to</w:t>
      </w:r>
      <w:r w:rsidR="00EE340D">
        <w:rPr>
          <w:rFonts w:ascii="Verdana" w:hAnsi="Verdana"/>
          <w:sz w:val="20"/>
          <w:szCs w:val="20"/>
          <w:lang w:val="en-US"/>
        </w:rPr>
        <w:t xml:space="preserve"> delimit, demarcate or grant titl</w:t>
      </w:r>
      <w:r w:rsidRPr="00FE7BA7">
        <w:rPr>
          <w:rFonts w:ascii="Verdana" w:hAnsi="Verdana"/>
          <w:sz w:val="20"/>
          <w:szCs w:val="20"/>
          <w:lang w:val="en-US"/>
        </w:rPr>
        <w:t xml:space="preserve">e to the traditional territory, or to ensure </w:t>
      </w:r>
      <w:r w:rsidR="00841F72">
        <w:rPr>
          <w:rFonts w:ascii="Verdana" w:hAnsi="Verdana"/>
          <w:sz w:val="20"/>
          <w:szCs w:val="20"/>
          <w:lang w:val="en-US"/>
        </w:rPr>
        <w:t xml:space="preserve">to </w:t>
      </w:r>
      <w:r w:rsidR="00841F72" w:rsidRPr="00FE7BA7">
        <w:rPr>
          <w:rFonts w:ascii="Verdana" w:hAnsi="Verdana"/>
          <w:sz w:val="20"/>
          <w:szCs w:val="20"/>
          <w:lang w:val="en-US"/>
        </w:rPr>
        <w:t>the Kaliña and Lokono peoples</w:t>
      </w:r>
      <w:r w:rsidRPr="00FE7BA7">
        <w:rPr>
          <w:rFonts w:ascii="Verdana" w:hAnsi="Verdana"/>
          <w:sz w:val="20"/>
          <w:szCs w:val="20"/>
          <w:lang w:val="en-US"/>
        </w:rPr>
        <w:t xml:space="preserve"> the use and enjoyment of their territory in relation to third parties.</w:t>
      </w:r>
    </w:p>
    <w:p w14:paraId="63126972" w14:textId="77777777" w:rsidR="00FC1FCF" w:rsidRPr="00FE7BA7" w:rsidRDefault="00FC1FCF" w:rsidP="00190AD3">
      <w:pPr>
        <w:rPr>
          <w:rFonts w:ascii="Verdana" w:hAnsi="Verdana"/>
          <w:i/>
          <w:sz w:val="20"/>
          <w:lang w:val="en-US"/>
        </w:rPr>
      </w:pPr>
    </w:p>
    <w:p w14:paraId="63126973" w14:textId="5206DE2A" w:rsidR="00FC1FCF" w:rsidRPr="00FE7BA7" w:rsidRDefault="00014B9A"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w:t>
      </w:r>
      <w:r w:rsidR="00DC745B" w:rsidRPr="00FE7BA7">
        <w:rPr>
          <w:rFonts w:ascii="Verdana" w:hAnsi="Verdana"/>
          <w:sz w:val="20"/>
          <w:szCs w:val="20"/>
          <w:lang w:val="en-US"/>
        </w:rPr>
        <w:t xml:space="preserve">garding the </w:t>
      </w:r>
      <w:r w:rsidR="000E16B8" w:rsidRPr="00FE7BA7">
        <w:rPr>
          <w:rFonts w:ascii="Verdana" w:hAnsi="Verdana"/>
          <w:sz w:val="20"/>
          <w:szCs w:val="20"/>
          <w:lang w:val="en-US"/>
        </w:rPr>
        <w:t>area</w:t>
      </w:r>
      <w:r w:rsidR="00DC745B" w:rsidRPr="00FE7BA7">
        <w:rPr>
          <w:rFonts w:ascii="Verdana" w:hAnsi="Verdana"/>
          <w:sz w:val="20"/>
          <w:szCs w:val="20"/>
          <w:lang w:val="en-US"/>
        </w:rPr>
        <w:t xml:space="preserve"> </w:t>
      </w:r>
      <w:r w:rsidR="00511E56" w:rsidRPr="00FE7BA7">
        <w:rPr>
          <w:rFonts w:ascii="Verdana" w:hAnsi="Verdana"/>
          <w:sz w:val="20"/>
          <w:szCs w:val="20"/>
          <w:lang w:val="en-US"/>
        </w:rPr>
        <w:t>of the</w:t>
      </w:r>
      <w:r w:rsidR="00DC745B" w:rsidRPr="00FE7BA7">
        <w:rPr>
          <w:rFonts w:ascii="Verdana" w:hAnsi="Verdana"/>
          <w:sz w:val="20"/>
          <w:szCs w:val="20"/>
          <w:lang w:val="en-US"/>
        </w:rPr>
        <w:t xml:space="preserve"> traditional</w:t>
      </w:r>
      <w:r w:rsidR="00511E56" w:rsidRPr="00FE7BA7">
        <w:rPr>
          <w:rFonts w:ascii="Verdana" w:hAnsi="Verdana"/>
          <w:sz w:val="20"/>
          <w:szCs w:val="20"/>
          <w:lang w:val="en-US"/>
        </w:rPr>
        <w:t xml:space="preserve"> territory</w:t>
      </w:r>
      <w:r w:rsidRPr="00FE7BA7">
        <w:rPr>
          <w:rFonts w:ascii="Verdana" w:hAnsi="Verdana"/>
          <w:sz w:val="20"/>
          <w:szCs w:val="20"/>
          <w:lang w:val="en-US"/>
        </w:rPr>
        <w:t xml:space="preserve"> </w:t>
      </w:r>
      <w:r w:rsidR="00DC745B" w:rsidRPr="00FE7BA7">
        <w:rPr>
          <w:rFonts w:ascii="Verdana" w:hAnsi="Verdana"/>
          <w:sz w:val="20"/>
          <w:szCs w:val="20"/>
          <w:lang w:val="en-US"/>
        </w:rPr>
        <w:t xml:space="preserve">and the occupation by other tribal people (Maroons), in this case </w:t>
      </w:r>
      <w:r w:rsidR="00810FAD" w:rsidRPr="00FE7BA7">
        <w:rPr>
          <w:rFonts w:ascii="Verdana" w:hAnsi="Verdana"/>
          <w:sz w:val="20"/>
          <w:szCs w:val="20"/>
          <w:lang w:val="en-US"/>
        </w:rPr>
        <w:t>the representatives</w:t>
      </w:r>
      <w:r w:rsidR="00DC745B" w:rsidRPr="00FE7BA7">
        <w:rPr>
          <w:rFonts w:ascii="Verdana" w:hAnsi="Verdana"/>
          <w:sz w:val="20"/>
          <w:szCs w:val="20"/>
          <w:lang w:val="en-US"/>
        </w:rPr>
        <w:t xml:space="preserve"> have</w:t>
      </w:r>
      <w:r w:rsidR="00CD7F34" w:rsidRPr="00FE7BA7">
        <w:rPr>
          <w:rFonts w:ascii="Verdana" w:hAnsi="Verdana"/>
          <w:sz w:val="20"/>
          <w:szCs w:val="20"/>
          <w:lang w:val="en-US"/>
        </w:rPr>
        <w:t xml:space="preserve"> indicat</w:t>
      </w:r>
      <w:r w:rsidR="00DC745B" w:rsidRPr="00FE7BA7">
        <w:rPr>
          <w:rFonts w:ascii="Verdana" w:hAnsi="Verdana"/>
          <w:sz w:val="20"/>
          <w:szCs w:val="20"/>
          <w:lang w:val="en-US"/>
        </w:rPr>
        <w:t xml:space="preserve">ed that the traditional territory covers an area of around </w:t>
      </w:r>
      <w:r w:rsidR="00FC1FCF" w:rsidRPr="00FE7BA7">
        <w:rPr>
          <w:rFonts w:ascii="Verdana" w:hAnsi="Verdana"/>
          <w:sz w:val="20"/>
          <w:szCs w:val="20"/>
          <w:lang w:val="en-US"/>
        </w:rPr>
        <w:t xml:space="preserve">133,945 </w:t>
      </w:r>
      <w:r w:rsidR="00B07A66" w:rsidRPr="00FE7BA7">
        <w:rPr>
          <w:rFonts w:ascii="Verdana" w:hAnsi="Verdana"/>
          <w:sz w:val="20"/>
          <w:szCs w:val="20"/>
          <w:lang w:val="en-US"/>
        </w:rPr>
        <w:t>h</w:t>
      </w:r>
      <w:r w:rsidR="003A17DD">
        <w:rPr>
          <w:rFonts w:ascii="Verdana" w:hAnsi="Verdana"/>
          <w:sz w:val="20"/>
          <w:szCs w:val="20"/>
          <w:lang w:val="en-US"/>
        </w:rPr>
        <w:t>a</w:t>
      </w:r>
      <w:r w:rsidR="002B5CCD" w:rsidRPr="00FE7BA7">
        <w:rPr>
          <w:rFonts w:ascii="Verdana" w:hAnsi="Verdana"/>
          <w:sz w:val="20"/>
          <w:szCs w:val="20"/>
          <w:lang w:val="en-US"/>
        </w:rPr>
        <w:t xml:space="preserve"> and </w:t>
      </w:r>
      <w:r w:rsidR="00DC745B" w:rsidRPr="00FE7BA7">
        <w:rPr>
          <w:rFonts w:ascii="Verdana" w:hAnsi="Verdana"/>
          <w:sz w:val="20"/>
          <w:szCs w:val="20"/>
          <w:lang w:val="en-US"/>
        </w:rPr>
        <w:t xml:space="preserve">have provided a map with the approximate areas covered by this territory </w:t>
      </w:r>
      <w:r w:rsidR="00CB17C1" w:rsidRPr="00FE7BA7">
        <w:rPr>
          <w:rFonts w:ascii="Verdana" w:hAnsi="Verdana"/>
          <w:sz w:val="20"/>
          <w:szCs w:val="20"/>
          <w:lang w:val="en-US"/>
        </w:rPr>
        <w:t>(</w:t>
      </w:r>
      <w:r w:rsidR="00366D91" w:rsidRPr="00FE7BA7">
        <w:rPr>
          <w:rFonts w:ascii="Verdana" w:hAnsi="Verdana"/>
          <w:i/>
          <w:sz w:val="20"/>
          <w:szCs w:val="20"/>
          <w:lang w:val="en-US"/>
        </w:rPr>
        <w:t>supra</w:t>
      </w:r>
      <w:r w:rsidR="00CB17C1" w:rsidRPr="00FE7BA7">
        <w:rPr>
          <w:rFonts w:ascii="Verdana" w:hAnsi="Verdana"/>
          <w:sz w:val="20"/>
          <w:szCs w:val="20"/>
          <w:lang w:val="en-US"/>
        </w:rPr>
        <w:t xml:space="preserve"> </w:t>
      </w:r>
      <w:r w:rsidR="008F798A" w:rsidRPr="00FE7BA7">
        <w:rPr>
          <w:rFonts w:ascii="Verdana" w:hAnsi="Verdana"/>
          <w:sz w:val="20"/>
          <w:szCs w:val="20"/>
          <w:lang w:val="en-US"/>
        </w:rPr>
        <w:t>paras.</w:t>
      </w:r>
      <w:r w:rsidR="00161542" w:rsidRPr="00FE7BA7">
        <w:rPr>
          <w:rFonts w:ascii="Verdana" w:hAnsi="Verdana"/>
          <w:sz w:val="20"/>
          <w:szCs w:val="20"/>
          <w:lang w:val="en-US"/>
        </w:rPr>
        <w:t xml:space="preserve"> </w:t>
      </w:r>
      <w:r w:rsidR="00A504FC" w:rsidRPr="00FE7BA7">
        <w:rPr>
          <w:rFonts w:ascii="Verdana" w:hAnsi="Verdana"/>
          <w:sz w:val="20"/>
          <w:szCs w:val="20"/>
          <w:lang w:val="en-US"/>
        </w:rPr>
        <w:t>8</w:t>
      </w:r>
      <w:r w:rsidR="002B5CCD" w:rsidRPr="00FE7BA7">
        <w:rPr>
          <w:rFonts w:ascii="Verdana" w:hAnsi="Verdana"/>
          <w:sz w:val="20"/>
          <w:szCs w:val="20"/>
          <w:lang w:val="en-US"/>
        </w:rPr>
        <w:t xml:space="preserve"> and </w:t>
      </w:r>
      <w:r w:rsidR="00161542" w:rsidRPr="00FE7BA7">
        <w:rPr>
          <w:rFonts w:ascii="Verdana" w:hAnsi="Verdana"/>
          <w:sz w:val="20"/>
          <w:szCs w:val="20"/>
          <w:lang w:val="en-US"/>
        </w:rPr>
        <w:t>30</w:t>
      </w:r>
      <w:r w:rsidR="00CB17C1" w:rsidRPr="00FE7BA7">
        <w:rPr>
          <w:rFonts w:ascii="Verdana" w:hAnsi="Verdana"/>
          <w:sz w:val="20"/>
          <w:szCs w:val="20"/>
          <w:lang w:val="en-US"/>
        </w:rPr>
        <w:t xml:space="preserve">).  </w:t>
      </w:r>
    </w:p>
    <w:p w14:paraId="63126974" w14:textId="77777777" w:rsidR="00FC1FCF" w:rsidRPr="00FE7BA7" w:rsidRDefault="00FC1FCF" w:rsidP="00FC1FCF">
      <w:pPr>
        <w:pStyle w:val="ListParagraph"/>
        <w:jc w:val="both"/>
        <w:rPr>
          <w:rFonts w:ascii="Verdana" w:hAnsi="Verdana"/>
          <w:sz w:val="20"/>
          <w:szCs w:val="20"/>
          <w:lang w:val="en-US"/>
        </w:rPr>
      </w:pPr>
    </w:p>
    <w:p w14:paraId="63126975" w14:textId="77777777" w:rsidR="00CB17C1" w:rsidRPr="00FE7BA7" w:rsidRDefault="002B5CCD" w:rsidP="00DC745B">
      <w:pPr>
        <w:pStyle w:val="ListParagraph"/>
        <w:numPr>
          <w:ilvl w:val="0"/>
          <w:numId w:val="2"/>
        </w:numPr>
        <w:ind w:left="0" w:hanging="11"/>
        <w:jc w:val="both"/>
        <w:rPr>
          <w:rFonts w:ascii="Verdana" w:hAnsi="Verdana" w:cs="Verdana"/>
          <w:lang w:val="en-US"/>
        </w:rPr>
      </w:pPr>
      <w:r w:rsidRPr="00FE7BA7">
        <w:rPr>
          <w:rFonts w:ascii="Verdana" w:eastAsiaTheme="minorHAnsi" w:hAnsi="Verdana" w:cs="Verdana"/>
          <w:color w:val="000000"/>
          <w:sz w:val="20"/>
          <w:szCs w:val="20"/>
          <w:lang w:val="en-US"/>
        </w:rPr>
        <w:t>The Court</w:t>
      </w:r>
      <w:r w:rsidR="00CB17C1" w:rsidRPr="00FE7BA7">
        <w:rPr>
          <w:rFonts w:ascii="Verdana" w:eastAsiaTheme="minorHAnsi" w:hAnsi="Verdana" w:cs="Verdana"/>
          <w:color w:val="000000"/>
          <w:sz w:val="20"/>
          <w:szCs w:val="20"/>
          <w:lang w:val="en-US"/>
        </w:rPr>
        <w:t xml:space="preserve"> ha</w:t>
      </w:r>
      <w:r w:rsidR="00DC745B" w:rsidRPr="00FE7BA7">
        <w:rPr>
          <w:rFonts w:ascii="Verdana" w:eastAsiaTheme="minorHAnsi" w:hAnsi="Verdana" w:cs="Verdana"/>
          <w:color w:val="000000"/>
          <w:sz w:val="20"/>
          <w:szCs w:val="20"/>
          <w:lang w:val="en-US"/>
        </w:rPr>
        <w:t>s established that the territorial rights of the indigenous peoples “encompass a different and broader concept that is related to the</w:t>
      </w:r>
      <w:r w:rsidR="00EE340D">
        <w:rPr>
          <w:rFonts w:ascii="Verdana" w:eastAsiaTheme="minorHAnsi" w:hAnsi="Verdana" w:cs="Verdana"/>
          <w:color w:val="000000"/>
          <w:sz w:val="20"/>
          <w:szCs w:val="20"/>
          <w:lang w:val="en-US"/>
        </w:rPr>
        <w:t>ir</w:t>
      </w:r>
      <w:r w:rsidR="00DC745B" w:rsidRPr="00FE7BA7">
        <w:rPr>
          <w:rFonts w:ascii="Verdana" w:eastAsiaTheme="minorHAnsi" w:hAnsi="Verdana" w:cs="Verdana"/>
          <w:color w:val="000000"/>
          <w:sz w:val="20"/>
          <w:szCs w:val="20"/>
          <w:lang w:val="en-US"/>
        </w:rPr>
        <w:t xml:space="preserve"> collective right to survival </w:t>
      </w:r>
      <w:r w:rsidR="00EE340D">
        <w:rPr>
          <w:rFonts w:ascii="Verdana" w:eastAsiaTheme="minorHAnsi" w:hAnsi="Verdana" w:cs="Verdana"/>
          <w:color w:val="000000"/>
          <w:sz w:val="20"/>
          <w:szCs w:val="20"/>
          <w:lang w:val="en-US"/>
        </w:rPr>
        <w:t>as an organized people with control of their</w:t>
      </w:r>
      <w:r w:rsidR="00DC745B" w:rsidRPr="00FE7BA7">
        <w:rPr>
          <w:rFonts w:ascii="Verdana" w:eastAsiaTheme="minorHAnsi" w:hAnsi="Verdana" w:cs="Verdana"/>
          <w:color w:val="000000"/>
          <w:sz w:val="20"/>
          <w:szCs w:val="20"/>
          <w:lang w:val="en-US"/>
        </w:rPr>
        <w:t xml:space="preserve"> habitat as a</w:t>
      </w:r>
      <w:r w:rsidR="00EE340D">
        <w:rPr>
          <w:rFonts w:ascii="Verdana" w:eastAsiaTheme="minorHAnsi" w:hAnsi="Verdana" w:cs="Verdana"/>
          <w:color w:val="000000"/>
          <w:sz w:val="20"/>
          <w:szCs w:val="20"/>
          <w:lang w:val="en-US"/>
        </w:rPr>
        <w:t>n essential</w:t>
      </w:r>
      <w:r w:rsidR="00DC745B" w:rsidRPr="00FE7BA7">
        <w:rPr>
          <w:rFonts w:ascii="Verdana" w:eastAsiaTheme="minorHAnsi" w:hAnsi="Verdana" w:cs="Verdana"/>
          <w:color w:val="000000"/>
          <w:sz w:val="20"/>
          <w:szCs w:val="20"/>
          <w:lang w:val="en-US"/>
        </w:rPr>
        <w:t xml:space="preserve"> condi</w:t>
      </w:r>
      <w:r w:rsidR="00EE340D">
        <w:rPr>
          <w:rFonts w:ascii="Verdana" w:eastAsiaTheme="minorHAnsi" w:hAnsi="Verdana" w:cs="Verdana"/>
          <w:color w:val="000000"/>
          <w:sz w:val="20"/>
          <w:szCs w:val="20"/>
          <w:lang w:val="en-US"/>
        </w:rPr>
        <w:t>tion for the reproduction of their culture, for their</w:t>
      </w:r>
      <w:r w:rsidR="00DC745B" w:rsidRPr="00FE7BA7">
        <w:rPr>
          <w:rFonts w:ascii="Verdana" w:eastAsiaTheme="minorHAnsi" w:hAnsi="Verdana" w:cs="Verdana"/>
          <w:color w:val="000000"/>
          <w:sz w:val="20"/>
          <w:szCs w:val="20"/>
          <w:lang w:val="en-US"/>
        </w:rPr>
        <w:t xml:space="preserve"> </w:t>
      </w:r>
      <w:r w:rsidR="00EE340D">
        <w:rPr>
          <w:rFonts w:ascii="Verdana" w:eastAsiaTheme="minorHAnsi" w:hAnsi="Verdana" w:cs="Verdana"/>
          <w:color w:val="000000"/>
          <w:sz w:val="20"/>
          <w:szCs w:val="20"/>
          <w:lang w:val="en-US"/>
        </w:rPr>
        <w:t>very survival, and to implement their</w:t>
      </w:r>
      <w:r w:rsidR="00DC745B" w:rsidRPr="00FE7BA7">
        <w:rPr>
          <w:rFonts w:ascii="Verdana" w:eastAsiaTheme="minorHAnsi" w:hAnsi="Verdana" w:cs="Verdana"/>
          <w:color w:val="000000"/>
          <w:sz w:val="20"/>
          <w:szCs w:val="20"/>
          <w:lang w:val="en-US"/>
        </w:rPr>
        <w:t xml:space="preserve"> life projects.</w:t>
      </w:r>
      <w:r w:rsidR="00E92150" w:rsidRPr="00FE7BA7">
        <w:rPr>
          <w:rFonts w:ascii="Verdana" w:hAnsi="Verdana"/>
          <w:sz w:val="20"/>
          <w:szCs w:val="20"/>
          <w:lang w:val="en-US"/>
        </w:rPr>
        <w:t>”</w:t>
      </w:r>
      <w:r w:rsidR="00BD1AFF" w:rsidRPr="00FE7BA7">
        <w:rPr>
          <w:rStyle w:val="FootnoteReference"/>
          <w:szCs w:val="20"/>
          <w:lang w:val="en-US"/>
        </w:rPr>
        <w:footnoteReference w:id="177"/>
      </w:r>
      <w:r w:rsidR="00772D46" w:rsidRPr="00FE7BA7">
        <w:rPr>
          <w:rFonts w:ascii="Verdana" w:hAnsi="Verdana"/>
          <w:sz w:val="20"/>
          <w:szCs w:val="20"/>
          <w:lang w:val="en-US"/>
        </w:rPr>
        <w:t xml:space="preserve"> </w:t>
      </w:r>
      <w:r w:rsidR="00E92150" w:rsidRPr="00FE7BA7">
        <w:rPr>
          <w:rFonts w:ascii="Verdana" w:hAnsi="Verdana"/>
          <w:sz w:val="20"/>
          <w:szCs w:val="20"/>
          <w:lang w:val="en-US"/>
        </w:rPr>
        <w:t>“</w:t>
      </w:r>
      <w:r w:rsidR="00DC745B" w:rsidRPr="00FE7BA7">
        <w:rPr>
          <w:rFonts w:ascii="Verdana" w:hAnsi="Verdana"/>
          <w:sz w:val="20"/>
          <w:szCs w:val="20"/>
          <w:lang w:val="en-US"/>
        </w:rPr>
        <w:t>Ownership of the land</w:t>
      </w:r>
      <w:r w:rsidR="00EE340D">
        <w:rPr>
          <w:rFonts w:ascii="Verdana" w:hAnsi="Verdana"/>
          <w:sz w:val="20"/>
          <w:szCs w:val="20"/>
          <w:lang w:val="en-US"/>
        </w:rPr>
        <w:t xml:space="preserve"> ensures that the members of</w:t>
      </w:r>
      <w:r w:rsidR="00DC745B" w:rsidRPr="00FE7BA7">
        <w:rPr>
          <w:rFonts w:ascii="Verdana" w:hAnsi="Verdana"/>
          <w:sz w:val="20"/>
          <w:szCs w:val="20"/>
          <w:lang w:val="en-US"/>
        </w:rPr>
        <w:t xml:space="preserve"> indigenous communities conserve their cultural heritage.</w:t>
      </w:r>
      <w:r w:rsidR="005938FE" w:rsidRPr="00FE7BA7">
        <w:rPr>
          <w:rFonts w:ascii="Verdana" w:eastAsiaTheme="minorHAnsi" w:hAnsi="Verdana" w:cs="Verdana"/>
          <w:sz w:val="20"/>
          <w:szCs w:val="20"/>
          <w:lang w:val="en-US"/>
        </w:rPr>
        <w:t>”</w:t>
      </w:r>
      <w:r w:rsidR="00CB17C1" w:rsidRPr="00FE7BA7">
        <w:rPr>
          <w:rFonts w:ascii="Verdana" w:hAnsi="Verdana"/>
          <w:sz w:val="20"/>
          <w:szCs w:val="20"/>
          <w:vertAlign w:val="superscript"/>
          <w:lang w:val="en-US"/>
        </w:rPr>
        <w:footnoteReference w:id="178"/>
      </w:r>
    </w:p>
    <w:p w14:paraId="63126976" w14:textId="77777777" w:rsidR="00FC1FCF" w:rsidRPr="00FE7BA7" w:rsidRDefault="00FC1FCF" w:rsidP="00FC1FCF">
      <w:pPr>
        <w:pStyle w:val="ListParagraph"/>
        <w:jc w:val="both"/>
        <w:rPr>
          <w:rFonts w:ascii="Verdana" w:hAnsi="Verdana"/>
          <w:sz w:val="20"/>
          <w:szCs w:val="20"/>
          <w:lang w:val="en-US"/>
        </w:rPr>
      </w:pPr>
    </w:p>
    <w:p w14:paraId="63126977" w14:textId="77777777" w:rsidR="00DC745B" w:rsidRPr="00FE7BA7" w:rsidRDefault="00DC745B" w:rsidP="00CB17C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It should be clarified that, in order to delimit, demarcate and grant title to</w:t>
      </w:r>
      <w:r w:rsidR="00511E56" w:rsidRPr="00FE7BA7">
        <w:rPr>
          <w:rFonts w:ascii="Verdana" w:hAnsi="Verdana"/>
          <w:sz w:val="20"/>
          <w:szCs w:val="20"/>
          <w:lang w:val="en-US"/>
        </w:rPr>
        <w:t xml:space="preserve"> the </w:t>
      </w:r>
      <w:r w:rsidRPr="00FE7BA7">
        <w:rPr>
          <w:rFonts w:ascii="Verdana" w:hAnsi="Verdana"/>
          <w:sz w:val="20"/>
          <w:szCs w:val="20"/>
          <w:lang w:val="en-US"/>
        </w:rPr>
        <w:t xml:space="preserve">traditional territory in this case, the Court finds that the right to property </w:t>
      </w:r>
      <w:r w:rsidR="00511E56" w:rsidRPr="00FE7BA7">
        <w:rPr>
          <w:rFonts w:ascii="Verdana" w:hAnsi="Verdana"/>
          <w:sz w:val="20"/>
          <w:szCs w:val="20"/>
          <w:lang w:val="en-US"/>
        </w:rPr>
        <w:t xml:space="preserve">of the </w:t>
      </w:r>
      <w:r w:rsidR="00967E6B" w:rsidRPr="00FE7BA7">
        <w:rPr>
          <w:rFonts w:ascii="Verdana" w:hAnsi="Verdana"/>
          <w:sz w:val="20"/>
          <w:szCs w:val="20"/>
          <w:lang w:val="en-US"/>
        </w:rPr>
        <w:t xml:space="preserve">indigenous and tribal peoples </w:t>
      </w:r>
      <w:r w:rsidRPr="00FE7BA7">
        <w:rPr>
          <w:rFonts w:ascii="Verdana" w:hAnsi="Verdana"/>
          <w:sz w:val="20"/>
          <w:szCs w:val="20"/>
          <w:lang w:val="en-US"/>
        </w:rPr>
        <w:t xml:space="preserve">includes full guarantees over the </w:t>
      </w:r>
      <w:r w:rsidR="00EE340D">
        <w:rPr>
          <w:rFonts w:ascii="Verdana" w:hAnsi="Verdana"/>
          <w:sz w:val="20"/>
          <w:szCs w:val="20"/>
          <w:lang w:val="en-US"/>
        </w:rPr>
        <w:t>territories</w:t>
      </w:r>
      <w:r w:rsidRPr="00FE7BA7">
        <w:rPr>
          <w:rFonts w:ascii="Verdana" w:hAnsi="Verdana"/>
          <w:sz w:val="20"/>
          <w:szCs w:val="20"/>
          <w:lang w:val="en-US"/>
        </w:rPr>
        <w:t xml:space="preserve"> they have traditionally </w:t>
      </w:r>
      <w:r w:rsidR="00EE340D">
        <w:rPr>
          <w:rFonts w:ascii="Verdana" w:hAnsi="Verdana"/>
          <w:sz w:val="20"/>
          <w:szCs w:val="20"/>
          <w:lang w:val="en-US"/>
        </w:rPr>
        <w:t>owned</w:t>
      </w:r>
      <w:r w:rsidRPr="00FE7BA7">
        <w:rPr>
          <w:rFonts w:ascii="Verdana" w:hAnsi="Verdana"/>
          <w:sz w:val="20"/>
          <w:szCs w:val="20"/>
          <w:lang w:val="en-US"/>
        </w:rPr>
        <w:t xml:space="preserve">, occupied and used in order to </w:t>
      </w:r>
      <w:r w:rsidR="00EE340D">
        <w:rPr>
          <w:rFonts w:ascii="Verdana" w:hAnsi="Verdana"/>
          <w:sz w:val="20"/>
          <w:szCs w:val="20"/>
          <w:lang w:val="en-US"/>
        </w:rPr>
        <w:t>ensure</w:t>
      </w:r>
      <w:r w:rsidRPr="00FE7BA7">
        <w:rPr>
          <w:rFonts w:ascii="Verdana" w:hAnsi="Verdana"/>
          <w:sz w:val="20"/>
          <w:szCs w:val="20"/>
          <w:lang w:val="en-US"/>
        </w:rPr>
        <w:t xml:space="preserve"> their </w:t>
      </w:r>
      <w:r w:rsidR="00EE340D">
        <w:rPr>
          <w:rFonts w:ascii="Verdana" w:hAnsi="Verdana"/>
          <w:sz w:val="20"/>
          <w:szCs w:val="20"/>
          <w:lang w:val="en-US"/>
        </w:rPr>
        <w:t>particular</w:t>
      </w:r>
      <w:r w:rsidRPr="00FE7BA7">
        <w:rPr>
          <w:rFonts w:ascii="Verdana" w:hAnsi="Verdana"/>
          <w:sz w:val="20"/>
          <w:szCs w:val="20"/>
          <w:lang w:val="en-US"/>
        </w:rPr>
        <w:t xml:space="preserve"> way of life, </w:t>
      </w:r>
      <w:r w:rsidR="00EE340D">
        <w:rPr>
          <w:rFonts w:ascii="Verdana" w:hAnsi="Verdana"/>
          <w:sz w:val="20"/>
          <w:szCs w:val="20"/>
          <w:lang w:val="en-US"/>
        </w:rPr>
        <w:t xml:space="preserve">and their </w:t>
      </w:r>
      <w:r w:rsidRPr="00FE7BA7">
        <w:rPr>
          <w:rFonts w:ascii="Verdana" w:hAnsi="Verdana"/>
          <w:sz w:val="20"/>
          <w:szCs w:val="20"/>
          <w:lang w:val="en-US"/>
        </w:rPr>
        <w:t>subsistence, traditions, culture, and development as peoples.</w:t>
      </w:r>
      <w:r w:rsidR="00CB17C1" w:rsidRPr="00FE7BA7">
        <w:rPr>
          <w:rStyle w:val="FootnoteReference"/>
          <w:szCs w:val="20"/>
          <w:lang w:val="en-US"/>
        </w:rPr>
        <w:footnoteReference w:id="179"/>
      </w:r>
      <w:r w:rsidRPr="00FE7BA7">
        <w:rPr>
          <w:rFonts w:ascii="Verdana" w:hAnsi="Verdana"/>
          <w:sz w:val="20"/>
          <w:szCs w:val="20"/>
          <w:lang w:val="en-US"/>
        </w:rPr>
        <w:t xml:space="preserve"> Nevertheless, there may be other complementary or additional traditional areas to which they have had access for their traditional or subsistence activities (which may </w:t>
      </w:r>
      <w:r w:rsidR="00EE340D">
        <w:rPr>
          <w:rFonts w:ascii="Verdana" w:hAnsi="Verdana"/>
          <w:sz w:val="20"/>
          <w:szCs w:val="20"/>
          <w:lang w:val="en-US"/>
        </w:rPr>
        <w:t>have</w:t>
      </w:r>
      <w:r w:rsidRPr="00FE7BA7">
        <w:rPr>
          <w:rFonts w:ascii="Verdana" w:hAnsi="Verdana"/>
          <w:sz w:val="20"/>
          <w:szCs w:val="20"/>
          <w:lang w:val="en-US"/>
        </w:rPr>
        <w:t xml:space="preserve"> other </w:t>
      </w:r>
      <w:r w:rsidR="00EE340D">
        <w:rPr>
          <w:rFonts w:ascii="Verdana" w:hAnsi="Verdana"/>
          <w:sz w:val="20"/>
          <w:szCs w:val="20"/>
          <w:lang w:val="en-US"/>
        </w:rPr>
        <w:t>purposes</w:t>
      </w:r>
      <w:r w:rsidRPr="00FE7BA7">
        <w:rPr>
          <w:rFonts w:ascii="Verdana" w:hAnsi="Verdana"/>
          <w:sz w:val="20"/>
          <w:szCs w:val="20"/>
          <w:lang w:val="en-US"/>
        </w:rPr>
        <w:t xml:space="preserve">), regarding which they should be </w:t>
      </w:r>
      <w:r w:rsidR="0066269B">
        <w:rPr>
          <w:rFonts w:ascii="Verdana" w:hAnsi="Verdana"/>
          <w:sz w:val="20"/>
          <w:szCs w:val="20"/>
          <w:lang w:val="en-US"/>
        </w:rPr>
        <w:t>ensured</w:t>
      </w:r>
      <w:r w:rsidRPr="00FE7BA7">
        <w:rPr>
          <w:rFonts w:ascii="Verdana" w:hAnsi="Verdana"/>
          <w:sz w:val="20"/>
          <w:szCs w:val="20"/>
          <w:lang w:val="en-US"/>
        </w:rPr>
        <w:t xml:space="preserve">, at least, </w:t>
      </w:r>
      <w:r w:rsidR="00EE340D">
        <w:rPr>
          <w:rFonts w:ascii="Verdana" w:hAnsi="Verdana"/>
          <w:sz w:val="20"/>
          <w:szCs w:val="20"/>
          <w:lang w:val="en-US"/>
        </w:rPr>
        <w:t>the necessary access and use</w:t>
      </w:r>
      <w:r w:rsidRPr="00FE7BA7">
        <w:rPr>
          <w:rFonts w:ascii="Verdana" w:hAnsi="Verdana"/>
          <w:sz w:val="20"/>
          <w:szCs w:val="20"/>
          <w:lang w:val="en-US"/>
        </w:rPr>
        <w:t>.</w:t>
      </w:r>
    </w:p>
    <w:p w14:paraId="63126978" w14:textId="77777777" w:rsidR="00FC1FCF" w:rsidRPr="00FE7BA7" w:rsidRDefault="00FC1FCF" w:rsidP="00261627">
      <w:pPr>
        <w:pStyle w:val="ListParagraph"/>
        <w:ind w:left="0"/>
        <w:jc w:val="both"/>
        <w:rPr>
          <w:rFonts w:ascii="Verdana" w:hAnsi="Verdana"/>
          <w:sz w:val="20"/>
          <w:szCs w:val="20"/>
          <w:lang w:val="en-US"/>
        </w:rPr>
      </w:pPr>
    </w:p>
    <w:p w14:paraId="63126979" w14:textId="77777777" w:rsidR="00D2614E" w:rsidRPr="00FE7BA7" w:rsidRDefault="00DC745B" w:rsidP="00D2614E">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addition, the </w:t>
      </w:r>
      <w:r w:rsidR="00EA0952">
        <w:rPr>
          <w:rFonts w:ascii="Verdana" w:hAnsi="Verdana"/>
          <w:sz w:val="20"/>
          <w:szCs w:val="20"/>
          <w:lang w:val="en-US"/>
        </w:rPr>
        <w:t>Court has verified that,</w:t>
      </w:r>
      <w:r w:rsidRPr="00FE7BA7">
        <w:rPr>
          <w:rFonts w:ascii="Verdana" w:hAnsi="Verdana"/>
          <w:sz w:val="20"/>
          <w:szCs w:val="20"/>
          <w:lang w:val="en-US"/>
        </w:rPr>
        <w:t xml:space="preserve"> within </w:t>
      </w:r>
      <w:r w:rsidR="00511E56" w:rsidRPr="00FE7BA7">
        <w:rPr>
          <w:rFonts w:ascii="Verdana" w:hAnsi="Verdana"/>
          <w:sz w:val="20"/>
          <w:szCs w:val="20"/>
          <w:lang w:val="en-US"/>
        </w:rPr>
        <w:t>the territory</w:t>
      </w:r>
      <w:r w:rsidR="00D2614E" w:rsidRPr="00FE7BA7">
        <w:rPr>
          <w:rFonts w:ascii="Verdana" w:hAnsi="Verdana"/>
          <w:sz w:val="20"/>
          <w:szCs w:val="20"/>
          <w:lang w:val="en-US"/>
        </w:rPr>
        <w:t xml:space="preserve"> </w:t>
      </w:r>
      <w:r w:rsidRPr="00FE7BA7">
        <w:rPr>
          <w:rFonts w:ascii="Verdana" w:hAnsi="Verdana"/>
          <w:sz w:val="20"/>
          <w:szCs w:val="20"/>
          <w:lang w:val="en-US"/>
        </w:rPr>
        <w:t xml:space="preserve">that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allege is theirs traditionally</w:t>
      </w:r>
      <w:r w:rsidR="00D2614E" w:rsidRPr="00FE7BA7">
        <w:rPr>
          <w:rFonts w:ascii="Verdana" w:hAnsi="Verdana"/>
          <w:sz w:val="20"/>
          <w:szCs w:val="20"/>
          <w:lang w:val="en-US"/>
        </w:rPr>
        <w:t xml:space="preserve">, </w:t>
      </w:r>
      <w:r w:rsidRPr="00FE7BA7">
        <w:rPr>
          <w:rFonts w:ascii="Verdana" w:hAnsi="Verdana"/>
          <w:sz w:val="20"/>
          <w:szCs w:val="20"/>
          <w:lang w:val="en-US"/>
        </w:rPr>
        <w:t xml:space="preserve">there are at least </w:t>
      </w:r>
      <w:r w:rsidR="00D2614E" w:rsidRPr="00FE7BA7">
        <w:rPr>
          <w:rFonts w:ascii="Verdana" w:hAnsi="Verdana"/>
          <w:sz w:val="20"/>
          <w:szCs w:val="20"/>
          <w:lang w:val="en-US"/>
        </w:rPr>
        <w:t xml:space="preserve">10 </w:t>
      </w:r>
      <w:r w:rsidR="005269B1" w:rsidRPr="00FE7BA7">
        <w:rPr>
          <w:rFonts w:ascii="Verdana" w:hAnsi="Verdana"/>
          <w:sz w:val="20"/>
          <w:szCs w:val="20"/>
          <w:lang w:val="en-US"/>
        </w:rPr>
        <w:t>Maroon settlements</w:t>
      </w:r>
      <w:r w:rsidR="00D2614E" w:rsidRPr="00FE7BA7">
        <w:rPr>
          <w:rFonts w:ascii="Verdana" w:hAnsi="Verdana"/>
          <w:sz w:val="20"/>
          <w:szCs w:val="20"/>
          <w:lang w:val="en-US"/>
        </w:rPr>
        <w:t xml:space="preserve"> </w:t>
      </w:r>
      <w:r w:rsidRPr="00FE7BA7">
        <w:rPr>
          <w:rFonts w:ascii="Verdana" w:hAnsi="Verdana"/>
          <w:sz w:val="20"/>
          <w:szCs w:val="20"/>
          <w:lang w:val="en-US"/>
        </w:rPr>
        <w:t xml:space="preserve">that are excluded from their claims, namely: </w:t>
      </w:r>
      <w:r w:rsidR="00D2614E" w:rsidRPr="00FE7BA7">
        <w:rPr>
          <w:rFonts w:ascii="Verdana" w:hAnsi="Verdana"/>
          <w:sz w:val="20"/>
          <w:szCs w:val="20"/>
          <w:lang w:val="en-US"/>
        </w:rPr>
        <w:t>1</w:t>
      </w:r>
      <w:r w:rsidR="00D2614E" w:rsidRPr="00FE7BA7">
        <w:rPr>
          <w:rStyle w:val="Strong"/>
          <w:rFonts w:ascii="Verdana" w:hAnsi="Verdana"/>
          <w:b w:val="0"/>
          <w:sz w:val="20"/>
          <w:szCs w:val="20"/>
          <w:lang w:val="en-US"/>
        </w:rPr>
        <w:t>) Albina; 2) Papatam; 3) Mankelekampu; 4) Mariakondre; 5) Eduardkondre; 6) Akoloikondre; 7) Bamboesi; 8) Koni</w:t>
      </w:r>
      <w:r w:rsidR="00D2614E" w:rsidRPr="00FE7BA7">
        <w:rPr>
          <w:rFonts w:ascii="Verdana" w:hAnsi="Verdana"/>
          <w:sz w:val="20"/>
          <w:szCs w:val="20"/>
          <w:lang w:val="en-US"/>
        </w:rPr>
        <w:t xml:space="preserve">; 9) </w:t>
      </w:r>
      <w:r w:rsidR="00D2614E" w:rsidRPr="00FE7BA7">
        <w:rPr>
          <w:rStyle w:val="Strong"/>
          <w:rFonts w:ascii="Verdana" w:hAnsi="Verdana"/>
          <w:b w:val="0"/>
          <w:sz w:val="20"/>
          <w:szCs w:val="20"/>
          <w:lang w:val="en-US"/>
        </w:rPr>
        <w:t>Moengotapu,</w:t>
      </w:r>
      <w:r w:rsidR="002B5CCD" w:rsidRPr="00FE7BA7">
        <w:rPr>
          <w:rStyle w:val="Strong"/>
          <w:rFonts w:ascii="Verdana" w:hAnsi="Verdana"/>
          <w:b w:val="0"/>
          <w:sz w:val="20"/>
          <w:szCs w:val="20"/>
          <w:lang w:val="en-US"/>
        </w:rPr>
        <w:t xml:space="preserve"> and </w:t>
      </w:r>
      <w:r w:rsidR="00D2614E" w:rsidRPr="00FE7BA7">
        <w:rPr>
          <w:rStyle w:val="Strong"/>
          <w:rFonts w:ascii="Verdana" w:hAnsi="Verdana"/>
          <w:b w:val="0"/>
          <w:sz w:val="20"/>
          <w:szCs w:val="20"/>
          <w:lang w:val="en-US"/>
        </w:rPr>
        <w:t>10) Adjoemakondre</w:t>
      </w:r>
      <w:r w:rsidR="00D2614E" w:rsidRPr="00FE7BA7">
        <w:rPr>
          <w:rFonts w:ascii="Verdana" w:hAnsi="Verdana"/>
          <w:sz w:val="20"/>
          <w:szCs w:val="20"/>
          <w:lang w:val="en-US"/>
        </w:rPr>
        <w:t xml:space="preserve"> (</w:t>
      </w:r>
      <w:r w:rsidR="00366D91" w:rsidRPr="00FE7BA7">
        <w:rPr>
          <w:rFonts w:ascii="Verdana" w:hAnsi="Verdana"/>
          <w:i/>
          <w:sz w:val="20"/>
          <w:szCs w:val="20"/>
          <w:lang w:val="en-US"/>
        </w:rPr>
        <w:t>supra</w:t>
      </w:r>
      <w:r w:rsidR="00D2614E" w:rsidRPr="00FE7BA7">
        <w:rPr>
          <w:rFonts w:ascii="Verdana" w:hAnsi="Verdana"/>
          <w:sz w:val="20"/>
          <w:szCs w:val="20"/>
          <w:lang w:val="en-US"/>
        </w:rPr>
        <w:t xml:space="preserve"> </w:t>
      </w:r>
      <w:r w:rsidR="00810FAD" w:rsidRPr="00FE7BA7">
        <w:rPr>
          <w:rFonts w:ascii="Verdana" w:hAnsi="Verdana"/>
          <w:sz w:val="20"/>
          <w:szCs w:val="20"/>
          <w:lang w:val="en-US"/>
        </w:rPr>
        <w:t>para.</w:t>
      </w:r>
      <w:r w:rsidR="00D2614E" w:rsidRPr="00FE7BA7">
        <w:rPr>
          <w:rFonts w:ascii="Verdana" w:hAnsi="Verdana"/>
          <w:sz w:val="20"/>
          <w:szCs w:val="20"/>
          <w:lang w:val="en-US"/>
        </w:rPr>
        <w:t xml:space="preserve"> </w:t>
      </w:r>
      <w:r w:rsidR="00D84B7E" w:rsidRPr="00FE7BA7">
        <w:rPr>
          <w:rFonts w:ascii="Verdana" w:hAnsi="Verdana"/>
          <w:sz w:val="20"/>
          <w:szCs w:val="20"/>
          <w:lang w:val="en-US"/>
        </w:rPr>
        <w:t>47</w:t>
      </w:r>
      <w:r w:rsidR="00D2614E" w:rsidRPr="00FE7BA7">
        <w:rPr>
          <w:rFonts w:ascii="Verdana" w:hAnsi="Verdana"/>
          <w:sz w:val="20"/>
          <w:szCs w:val="20"/>
          <w:lang w:val="en-US"/>
        </w:rPr>
        <w:t xml:space="preserve">). </w:t>
      </w:r>
      <w:r w:rsidRPr="00FE7BA7">
        <w:rPr>
          <w:rFonts w:ascii="Verdana" w:hAnsi="Verdana"/>
          <w:sz w:val="20"/>
          <w:szCs w:val="20"/>
          <w:lang w:val="en-US"/>
        </w:rPr>
        <w:t>However</w:t>
      </w:r>
      <w:r w:rsidR="00D2614E" w:rsidRPr="00FE7BA7">
        <w:rPr>
          <w:rFonts w:ascii="Verdana" w:hAnsi="Verdana"/>
          <w:sz w:val="20"/>
          <w:szCs w:val="20"/>
          <w:lang w:val="en-US"/>
        </w:rPr>
        <w:t xml:space="preserve">, </w:t>
      </w:r>
      <w:r w:rsidR="002B5CCD" w:rsidRPr="00FE7BA7">
        <w:rPr>
          <w:rFonts w:ascii="Verdana" w:hAnsi="Verdana"/>
          <w:sz w:val="20"/>
          <w:szCs w:val="20"/>
          <w:lang w:val="en-US"/>
        </w:rPr>
        <w:t>the Court</w:t>
      </w:r>
      <w:r w:rsidR="00D2614E" w:rsidRPr="00FE7BA7">
        <w:rPr>
          <w:rFonts w:ascii="Verdana" w:hAnsi="Verdana"/>
          <w:sz w:val="20"/>
          <w:szCs w:val="20"/>
          <w:lang w:val="en-US"/>
        </w:rPr>
        <w:t xml:space="preserve"> </w:t>
      </w:r>
      <w:r w:rsidRPr="00FE7BA7">
        <w:rPr>
          <w:rFonts w:ascii="Verdana" w:hAnsi="Verdana"/>
          <w:sz w:val="20"/>
          <w:szCs w:val="20"/>
          <w:lang w:val="en-US"/>
        </w:rPr>
        <w:t xml:space="preserve">has insufficient information to clarify the arguments relating to possible </w:t>
      </w:r>
      <w:r w:rsidR="005269B1" w:rsidRPr="00FE7BA7">
        <w:rPr>
          <w:rFonts w:ascii="Verdana" w:hAnsi="Verdana"/>
          <w:sz w:val="20"/>
          <w:szCs w:val="20"/>
          <w:lang w:val="en-US"/>
        </w:rPr>
        <w:t>Maroon settlements</w:t>
      </w:r>
      <w:r w:rsidR="006A0CFB" w:rsidRPr="00FE7BA7">
        <w:rPr>
          <w:rFonts w:ascii="Verdana" w:hAnsi="Verdana"/>
          <w:sz w:val="20"/>
          <w:szCs w:val="20"/>
          <w:lang w:val="en-US"/>
        </w:rPr>
        <w:t xml:space="preserve"> </w:t>
      </w:r>
      <w:r w:rsidRPr="00FE7BA7">
        <w:rPr>
          <w:rFonts w:ascii="Verdana" w:hAnsi="Verdana"/>
          <w:sz w:val="20"/>
          <w:szCs w:val="20"/>
          <w:lang w:val="en-US"/>
        </w:rPr>
        <w:t>i</w:t>
      </w:r>
      <w:r w:rsidR="00EC22F5" w:rsidRPr="00FE7BA7">
        <w:rPr>
          <w:rFonts w:ascii="Verdana" w:hAnsi="Verdana"/>
          <w:sz w:val="20"/>
          <w:szCs w:val="20"/>
          <w:lang w:val="en-US"/>
        </w:rPr>
        <w:t>n</w:t>
      </w:r>
      <w:r w:rsidR="00D2614E" w:rsidRPr="00FE7BA7">
        <w:rPr>
          <w:rFonts w:ascii="Verdana" w:hAnsi="Verdana"/>
          <w:sz w:val="20"/>
          <w:szCs w:val="20"/>
          <w:lang w:val="en-US"/>
        </w:rPr>
        <w:t>: 1) Bilokondre; 2) Kronto</w:t>
      </w:r>
      <w:r w:rsidR="00D84B7E" w:rsidRPr="00FE7BA7">
        <w:rPr>
          <w:rFonts w:ascii="Verdana" w:hAnsi="Verdana"/>
          <w:sz w:val="20"/>
          <w:szCs w:val="20"/>
          <w:lang w:val="en-US"/>
        </w:rPr>
        <w:t>k</w:t>
      </w:r>
      <w:r w:rsidR="00D2614E" w:rsidRPr="00FE7BA7">
        <w:rPr>
          <w:rFonts w:ascii="Verdana" w:hAnsi="Verdana"/>
          <w:sz w:val="20"/>
          <w:szCs w:val="20"/>
          <w:lang w:val="en-US"/>
        </w:rPr>
        <w:t>ondre; 3) Soke; 4) Pakirakondre; 5) Mopikondre; 6) Onikaikondre; 7) Manjabong; 8) Bonikondre o</w:t>
      </w:r>
      <w:r w:rsidRPr="00FE7BA7">
        <w:rPr>
          <w:rFonts w:ascii="Verdana" w:hAnsi="Verdana"/>
          <w:sz w:val="20"/>
          <w:szCs w:val="20"/>
          <w:lang w:val="en-US"/>
        </w:rPr>
        <w:t>r</w:t>
      </w:r>
      <w:r w:rsidR="00D2614E" w:rsidRPr="00FE7BA7">
        <w:rPr>
          <w:rFonts w:ascii="Verdana" w:hAnsi="Verdana"/>
          <w:sz w:val="20"/>
          <w:szCs w:val="20"/>
          <w:lang w:val="en-US"/>
        </w:rPr>
        <w:t xml:space="preserve"> Baajoebekampu; 9) Nengrekriki; 10) Solegakampu,</w:t>
      </w:r>
      <w:r w:rsidR="002B5CCD" w:rsidRPr="00FE7BA7">
        <w:rPr>
          <w:rFonts w:ascii="Verdana" w:hAnsi="Verdana"/>
          <w:sz w:val="20"/>
          <w:szCs w:val="20"/>
          <w:lang w:val="en-US"/>
        </w:rPr>
        <w:t xml:space="preserve"> and </w:t>
      </w:r>
      <w:r w:rsidR="00D2614E" w:rsidRPr="00FE7BA7">
        <w:rPr>
          <w:rFonts w:ascii="Verdana" w:hAnsi="Verdana"/>
          <w:sz w:val="20"/>
          <w:szCs w:val="20"/>
          <w:lang w:val="en-US"/>
        </w:rPr>
        <w:t>11) Brunswijkkamp (</w:t>
      </w:r>
      <w:r w:rsidR="00366D91" w:rsidRPr="00FE7BA7">
        <w:rPr>
          <w:rFonts w:ascii="Verdana" w:hAnsi="Verdana"/>
          <w:i/>
          <w:sz w:val="20"/>
          <w:szCs w:val="20"/>
          <w:lang w:val="en-US"/>
        </w:rPr>
        <w:t>supra</w:t>
      </w:r>
      <w:r w:rsidR="00D2614E" w:rsidRPr="00FE7BA7">
        <w:rPr>
          <w:rFonts w:ascii="Verdana" w:hAnsi="Verdana"/>
          <w:sz w:val="20"/>
          <w:szCs w:val="20"/>
          <w:lang w:val="en-US"/>
        </w:rPr>
        <w:t xml:space="preserve"> </w:t>
      </w:r>
      <w:r w:rsidR="008F798A" w:rsidRPr="00FE7BA7">
        <w:rPr>
          <w:rFonts w:ascii="Verdana" w:hAnsi="Verdana"/>
          <w:sz w:val="20"/>
          <w:szCs w:val="20"/>
          <w:lang w:val="en-US"/>
        </w:rPr>
        <w:t>paras.</w:t>
      </w:r>
      <w:r w:rsidR="00D2614E" w:rsidRPr="00FE7BA7">
        <w:rPr>
          <w:rFonts w:ascii="Verdana" w:hAnsi="Verdana"/>
          <w:sz w:val="20"/>
          <w:szCs w:val="20"/>
          <w:lang w:val="en-US"/>
        </w:rPr>
        <w:t xml:space="preserve"> </w:t>
      </w:r>
      <w:r w:rsidR="00364CD1" w:rsidRPr="00FE7BA7">
        <w:rPr>
          <w:rFonts w:ascii="Verdana" w:hAnsi="Verdana"/>
          <w:sz w:val="20"/>
          <w:szCs w:val="20"/>
          <w:lang w:val="en-US"/>
        </w:rPr>
        <w:t>4</w:t>
      </w:r>
      <w:r w:rsidR="00A504FC" w:rsidRPr="00FE7BA7">
        <w:rPr>
          <w:rFonts w:ascii="Verdana" w:hAnsi="Verdana"/>
          <w:sz w:val="20"/>
          <w:szCs w:val="20"/>
          <w:lang w:val="en-US"/>
        </w:rPr>
        <w:t>8</w:t>
      </w:r>
      <w:r w:rsidR="002B5CCD" w:rsidRPr="00FE7BA7">
        <w:rPr>
          <w:rFonts w:ascii="Verdana" w:hAnsi="Verdana"/>
          <w:sz w:val="20"/>
          <w:szCs w:val="20"/>
          <w:lang w:val="en-US"/>
        </w:rPr>
        <w:t xml:space="preserve"> and </w:t>
      </w:r>
      <w:r w:rsidR="00D84B7E" w:rsidRPr="00FE7BA7">
        <w:rPr>
          <w:rFonts w:ascii="Verdana" w:hAnsi="Verdana"/>
          <w:sz w:val="20"/>
          <w:szCs w:val="20"/>
          <w:lang w:val="en-US"/>
        </w:rPr>
        <w:t>49</w:t>
      </w:r>
      <w:r w:rsidR="00D2614E" w:rsidRPr="00FE7BA7">
        <w:rPr>
          <w:rFonts w:ascii="Verdana" w:hAnsi="Verdana"/>
          <w:sz w:val="20"/>
          <w:szCs w:val="20"/>
          <w:lang w:val="en-US"/>
        </w:rPr>
        <w:t>).</w:t>
      </w:r>
    </w:p>
    <w:p w14:paraId="6312697A" w14:textId="77777777" w:rsidR="00FC1FCF" w:rsidRPr="00FE7BA7" w:rsidRDefault="00FC1FCF" w:rsidP="00FC1FCF">
      <w:pPr>
        <w:pStyle w:val="ListParagraph"/>
        <w:jc w:val="both"/>
        <w:rPr>
          <w:rFonts w:ascii="Verdana" w:hAnsi="Verdana"/>
          <w:sz w:val="20"/>
          <w:szCs w:val="20"/>
          <w:lang w:val="en-US"/>
        </w:rPr>
      </w:pPr>
    </w:p>
    <w:p w14:paraId="6312697B" w14:textId="77777777" w:rsidR="00FC1FCF" w:rsidRPr="00FE7BA7" w:rsidRDefault="00FC1FCF" w:rsidP="00DC745B">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lastRenderedPageBreak/>
        <w:t xml:space="preserve"> </w:t>
      </w:r>
      <w:r w:rsidR="00EA0952">
        <w:rPr>
          <w:rFonts w:ascii="Verdana" w:hAnsi="Verdana"/>
          <w:sz w:val="20"/>
          <w:szCs w:val="20"/>
          <w:lang w:val="en-US"/>
        </w:rPr>
        <w:t>Notwithstanding the above,</w:t>
      </w:r>
      <w:r w:rsidR="00DC745B" w:rsidRPr="00FE7BA7">
        <w:rPr>
          <w:rFonts w:ascii="Verdana" w:hAnsi="Verdana"/>
          <w:sz w:val="20"/>
          <w:szCs w:val="20"/>
          <w:lang w:val="en-US"/>
        </w:rPr>
        <w:t xml:space="preserve"> since it is the State’s obligation to delimit the traditional territories,</w:t>
      </w:r>
      <w:r w:rsidRPr="00FE7BA7">
        <w:rPr>
          <w:rStyle w:val="FootnoteReference"/>
          <w:szCs w:val="20"/>
          <w:lang w:val="en-US"/>
        </w:rPr>
        <w:footnoteReference w:id="180"/>
      </w:r>
      <w:r w:rsidR="00DC745B" w:rsidRPr="00FE7BA7">
        <w:rPr>
          <w:rFonts w:ascii="Verdana" w:hAnsi="Verdana"/>
          <w:sz w:val="20"/>
          <w:szCs w:val="20"/>
          <w:lang w:val="en-US"/>
        </w:rPr>
        <w:t xml:space="preserve"> the State must, </w:t>
      </w:r>
      <w:r w:rsidR="00EA0952">
        <w:rPr>
          <w:rFonts w:ascii="Verdana" w:hAnsi="Verdana"/>
          <w:sz w:val="20"/>
          <w:szCs w:val="20"/>
          <w:lang w:val="en-US"/>
        </w:rPr>
        <w:t>following</w:t>
      </w:r>
      <w:r w:rsidR="00DC745B" w:rsidRPr="00FE7BA7">
        <w:rPr>
          <w:rFonts w:ascii="Verdana" w:hAnsi="Verdana"/>
          <w:sz w:val="20"/>
          <w:szCs w:val="20"/>
          <w:lang w:val="en-US"/>
        </w:rPr>
        <w:t xml:space="preserve"> a consultation </w:t>
      </w:r>
      <w:r w:rsidR="00EA0952">
        <w:rPr>
          <w:rFonts w:ascii="Verdana" w:hAnsi="Verdana"/>
          <w:sz w:val="20"/>
          <w:szCs w:val="20"/>
          <w:lang w:val="en-US"/>
        </w:rPr>
        <w:t xml:space="preserve">process </w:t>
      </w:r>
      <w:r w:rsidR="00DC745B" w:rsidRPr="00FE7BA7">
        <w:rPr>
          <w:rFonts w:ascii="Verdana" w:hAnsi="Verdana"/>
          <w:sz w:val="20"/>
          <w:szCs w:val="20"/>
          <w:lang w:val="en-US"/>
        </w:rPr>
        <w:t xml:space="preserve">and using the necessary administrative and legal measures in keeping with the relevant international standards, first delimit the territories that correspond to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CB17C1" w:rsidRPr="00FE7BA7">
        <w:rPr>
          <w:rFonts w:ascii="Verdana" w:hAnsi="Verdana"/>
          <w:sz w:val="20"/>
          <w:szCs w:val="20"/>
          <w:lang w:val="en-US"/>
        </w:rPr>
        <w:t>,</w:t>
      </w:r>
      <w:r w:rsidRPr="00FE7BA7">
        <w:rPr>
          <w:rFonts w:ascii="Verdana" w:hAnsi="Verdana"/>
          <w:sz w:val="20"/>
          <w:szCs w:val="20"/>
          <w:lang w:val="en-US"/>
        </w:rPr>
        <w:t xml:space="preserve"> </w:t>
      </w:r>
      <w:r w:rsidR="00DC745B" w:rsidRPr="00FE7BA7">
        <w:rPr>
          <w:rFonts w:ascii="Verdana" w:hAnsi="Verdana"/>
          <w:sz w:val="20"/>
          <w:szCs w:val="20"/>
          <w:lang w:val="en-US"/>
        </w:rPr>
        <w:t xml:space="preserve">in accordance with </w:t>
      </w:r>
      <w:r w:rsidR="00967E6B" w:rsidRPr="00FE7BA7">
        <w:rPr>
          <w:rFonts w:ascii="Verdana" w:hAnsi="Verdana"/>
          <w:sz w:val="20"/>
          <w:szCs w:val="20"/>
          <w:lang w:val="en-US"/>
        </w:rPr>
        <w:t>paragraph</w:t>
      </w:r>
      <w:r w:rsidR="008A4ABB" w:rsidRPr="00FE7BA7">
        <w:rPr>
          <w:rFonts w:ascii="Verdana" w:hAnsi="Verdana"/>
          <w:sz w:val="20"/>
          <w:szCs w:val="20"/>
          <w:lang w:val="en-US"/>
        </w:rPr>
        <w:t xml:space="preserve"> 139 </w:t>
      </w:r>
      <w:r w:rsidR="00DC745B" w:rsidRPr="00FE7BA7">
        <w:rPr>
          <w:rFonts w:ascii="Verdana" w:hAnsi="Verdana"/>
          <w:sz w:val="20"/>
          <w:szCs w:val="20"/>
          <w:lang w:val="en-US"/>
        </w:rPr>
        <w:t>of this Judgment, and then proceed to demarcate and</w:t>
      </w:r>
      <w:r w:rsidR="00EA0952">
        <w:rPr>
          <w:rFonts w:ascii="Verdana" w:hAnsi="Verdana"/>
          <w:sz w:val="20"/>
          <w:szCs w:val="20"/>
          <w:lang w:val="en-US"/>
        </w:rPr>
        <w:t xml:space="preserve"> title</w:t>
      </w:r>
      <w:r w:rsidR="00DC745B" w:rsidRPr="00FE7BA7">
        <w:rPr>
          <w:rFonts w:ascii="Verdana" w:hAnsi="Verdana"/>
          <w:sz w:val="20"/>
          <w:szCs w:val="20"/>
          <w:lang w:val="en-US"/>
        </w:rPr>
        <w:t xml:space="preserve"> them, guaranteeing their use and </w:t>
      </w:r>
      <w:r w:rsidR="00FE7BA7" w:rsidRPr="00FE7BA7">
        <w:rPr>
          <w:rFonts w:ascii="Verdana" w:hAnsi="Verdana"/>
          <w:sz w:val="20"/>
          <w:szCs w:val="20"/>
          <w:lang w:val="en-US"/>
        </w:rPr>
        <w:t>enjoyment</w:t>
      </w:r>
      <w:r w:rsidR="00DC745B" w:rsidRPr="00FE7BA7">
        <w:rPr>
          <w:rFonts w:ascii="Verdana" w:hAnsi="Verdana"/>
          <w:sz w:val="20"/>
          <w:szCs w:val="20"/>
          <w:lang w:val="en-US"/>
        </w:rPr>
        <w:t xml:space="preserve">. To this end, the State must also respect the rights of the tribal peoples or their members in the area. Thus, the State must, in agreement with the indigenous and </w:t>
      </w:r>
      <w:r w:rsidR="00FE7BA7" w:rsidRPr="00FE7BA7">
        <w:rPr>
          <w:rFonts w:ascii="Verdana" w:hAnsi="Verdana"/>
          <w:sz w:val="20"/>
          <w:szCs w:val="20"/>
          <w:lang w:val="en-US"/>
        </w:rPr>
        <w:t>Maroon</w:t>
      </w:r>
      <w:r w:rsidR="0066269B">
        <w:rPr>
          <w:rFonts w:ascii="Verdana" w:hAnsi="Verdana"/>
          <w:sz w:val="20"/>
          <w:szCs w:val="20"/>
          <w:lang w:val="en-US"/>
        </w:rPr>
        <w:t xml:space="preserve"> communities, draw up</w:t>
      </w:r>
      <w:r w:rsidR="00DC745B" w:rsidRPr="00FE7BA7">
        <w:rPr>
          <w:rFonts w:ascii="Verdana" w:hAnsi="Verdana"/>
          <w:sz w:val="20"/>
          <w:szCs w:val="20"/>
          <w:lang w:val="en-US"/>
        </w:rPr>
        <w:t xml:space="preserve"> rules for peaceful and harmonious coexistence in the territory in question.</w:t>
      </w:r>
      <w:r w:rsidR="003A0B87" w:rsidRPr="00FE7BA7">
        <w:rPr>
          <w:rStyle w:val="FootnoteReference"/>
          <w:color w:val="000000"/>
          <w:szCs w:val="20"/>
          <w:lang w:val="en-US"/>
        </w:rPr>
        <w:footnoteReference w:id="181"/>
      </w:r>
      <w:r w:rsidR="003A0B87" w:rsidRPr="00FE7BA7">
        <w:rPr>
          <w:rFonts w:ascii="Verdana" w:hAnsi="Verdana"/>
          <w:sz w:val="20"/>
          <w:szCs w:val="20"/>
          <w:lang w:val="en-US"/>
        </w:rPr>
        <w:t xml:space="preserve"> </w:t>
      </w:r>
    </w:p>
    <w:p w14:paraId="6312697C" w14:textId="77777777" w:rsidR="00FC1FCF" w:rsidRPr="00FE7BA7" w:rsidRDefault="00FC1FCF" w:rsidP="00FC1FCF">
      <w:pPr>
        <w:pStyle w:val="ListParagraph"/>
        <w:spacing w:after="200" w:line="276" w:lineRule="auto"/>
        <w:rPr>
          <w:rFonts w:ascii="Verdana" w:hAnsi="Verdana"/>
          <w:sz w:val="20"/>
          <w:szCs w:val="20"/>
          <w:lang w:val="en-US"/>
        </w:rPr>
      </w:pPr>
    </w:p>
    <w:p w14:paraId="6312697D" w14:textId="77777777" w:rsidR="00261627" w:rsidRPr="00FE7BA7" w:rsidRDefault="00DC745B"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Based on the above, the State’s failure to delimit, demarcate and grant title to the territories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has violated the right to collective property, recognized in </w:t>
      </w:r>
      <w:r w:rsidR="002B5CCD" w:rsidRPr="00FE7BA7">
        <w:rPr>
          <w:rFonts w:ascii="Verdana" w:hAnsi="Verdana"/>
          <w:sz w:val="20"/>
          <w:szCs w:val="20"/>
          <w:lang w:val="en-US"/>
        </w:rPr>
        <w:t>Article</w:t>
      </w:r>
      <w:r w:rsidR="00FC1FCF" w:rsidRPr="00FE7BA7">
        <w:rPr>
          <w:rFonts w:ascii="Verdana" w:hAnsi="Verdana"/>
          <w:sz w:val="20"/>
          <w:szCs w:val="20"/>
          <w:lang w:val="en-US"/>
        </w:rPr>
        <w:t xml:space="preserve"> 21</w:t>
      </w:r>
      <w:r w:rsidR="002B5CCD" w:rsidRPr="00FE7BA7">
        <w:rPr>
          <w:rFonts w:ascii="Verdana" w:hAnsi="Verdana"/>
          <w:sz w:val="20"/>
          <w:szCs w:val="20"/>
          <w:lang w:val="en-US"/>
        </w:rPr>
        <w:t xml:space="preserve"> of the American Convention</w:t>
      </w:r>
      <w:r w:rsidR="00FC1FCF"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the obligation to adopt domestic legal provisions established in </w:t>
      </w:r>
      <w:r w:rsidR="002B5CCD" w:rsidRPr="00FE7BA7">
        <w:rPr>
          <w:rFonts w:ascii="Verdana" w:hAnsi="Verdana"/>
          <w:sz w:val="20"/>
          <w:szCs w:val="20"/>
          <w:lang w:val="en-US"/>
        </w:rPr>
        <w:t>Article</w:t>
      </w:r>
      <w:r w:rsidR="00014B9A" w:rsidRPr="00FE7BA7">
        <w:rPr>
          <w:rFonts w:ascii="Verdana" w:hAnsi="Verdana"/>
          <w:sz w:val="20"/>
          <w:szCs w:val="20"/>
          <w:lang w:val="en-US"/>
        </w:rPr>
        <w:t xml:space="preserve"> </w:t>
      </w:r>
      <w:r w:rsidR="00773D70" w:rsidRPr="00FE7BA7">
        <w:rPr>
          <w:rFonts w:ascii="Verdana" w:hAnsi="Verdana"/>
          <w:sz w:val="20"/>
          <w:szCs w:val="20"/>
          <w:lang w:val="en-US"/>
        </w:rPr>
        <w:t>2 of this instrument</w:t>
      </w:r>
      <w:r w:rsidR="00014B9A" w:rsidRPr="00FE7BA7">
        <w:rPr>
          <w:rFonts w:ascii="Verdana" w:hAnsi="Verdana"/>
          <w:sz w:val="20"/>
          <w:szCs w:val="20"/>
          <w:lang w:val="en-US"/>
        </w:rPr>
        <w:t>,</w:t>
      </w:r>
      <w:r w:rsidR="00014B9A" w:rsidRPr="00FE7BA7">
        <w:rPr>
          <w:rFonts w:ascii="Verdana" w:hAnsi="Verdana"/>
          <w:b/>
          <w:sz w:val="20"/>
          <w:szCs w:val="20"/>
          <w:lang w:val="en-US"/>
        </w:rPr>
        <w:t xml:space="preserve"> </w:t>
      </w:r>
      <w:r w:rsidRPr="00FE7BA7">
        <w:rPr>
          <w:rFonts w:ascii="Verdana" w:hAnsi="Verdana"/>
          <w:sz w:val="20"/>
          <w:szCs w:val="20"/>
          <w:lang w:val="en-US"/>
        </w:rPr>
        <w:t>to the detriment of these peoples</w:t>
      </w:r>
      <w:r w:rsidR="00014B9A" w:rsidRPr="00FE7BA7">
        <w:rPr>
          <w:rFonts w:ascii="Verdana" w:hAnsi="Verdana"/>
          <w:sz w:val="20"/>
          <w:szCs w:val="20"/>
          <w:lang w:val="en-US"/>
        </w:rPr>
        <w:t>.</w:t>
      </w:r>
    </w:p>
    <w:p w14:paraId="6312697E" w14:textId="77777777" w:rsidR="00014B9A" w:rsidRPr="00FE7BA7" w:rsidRDefault="00014B9A" w:rsidP="002C323A">
      <w:pPr>
        <w:pStyle w:val="ListParagraph"/>
        <w:ind w:left="0"/>
        <w:jc w:val="both"/>
        <w:rPr>
          <w:rFonts w:ascii="Verdana" w:hAnsi="Verdana"/>
          <w:sz w:val="20"/>
          <w:szCs w:val="20"/>
          <w:lang w:val="en-US"/>
        </w:rPr>
      </w:pPr>
    </w:p>
    <w:p w14:paraId="6312697F" w14:textId="77777777" w:rsidR="002E4580" w:rsidRPr="00FE7BA7" w:rsidRDefault="002E4580" w:rsidP="007118DE">
      <w:pPr>
        <w:pStyle w:val="Heading4"/>
        <w:spacing w:before="0"/>
        <w:ind w:left="1440"/>
        <w:jc w:val="both"/>
        <w:rPr>
          <w:rFonts w:ascii="Verdana" w:hAnsi="Verdana"/>
          <w:color w:val="auto"/>
          <w:sz w:val="20"/>
          <w:szCs w:val="20"/>
          <w:lang w:val="en-US"/>
        </w:rPr>
      </w:pPr>
      <w:bookmarkStart w:id="45" w:name="_Toc441673210"/>
      <w:r w:rsidRPr="00FE7BA7">
        <w:rPr>
          <w:rFonts w:ascii="Verdana" w:hAnsi="Verdana"/>
          <w:color w:val="auto"/>
          <w:sz w:val="20"/>
          <w:szCs w:val="20"/>
          <w:lang w:val="en-US"/>
        </w:rPr>
        <w:t>B.</w:t>
      </w:r>
      <w:r w:rsidR="00830B9E" w:rsidRPr="00FE7BA7">
        <w:rPr>
          <w:rFonts w:ascii="Verdana" w:hAnsi="Verdana"/>
          <w:color w:val="auto"/>
          <w:sz w:val="20"/>
          <w:szCs w:val="20"/>
          <w:lang w:val="en-US"/>
        </w:rPr>
        <w:t>2</w:t>
      </w:r>
      <w:r w:rsidRPr="00FE7BA7">
        <w:rPr>
          <w:rFonts w:ascii="Verdana" w:hAnsi="Verdana"/>
          <w:color w:val="auto"/>
          <w:sz w:val="20"/>
          <w:szCs w:val="20"/>
          <w:lang w:val="en-US"/>
        </w:rPr>
        <w:t xml:space="preserve">.2 </w:t>
      </w:r>
      <w:r w:rsidR="00DC745B" w:rsidRPr="00FE7BA7">
        <w:rPr>
          <w:rFonts w:ascii="Verdana" w:hAnsi="Verdana"/>
          <w:color w:val="auto"/>
          <w:sz w:val="20"/>
          <w:szCs w:val="20"/>
          <w:lang w:val="en-US"/>
        </w:rPr>
        <w:t>The right to request the restitution of the territory</w:t>
      </w:r>
      <w:r w:rsidR="000E16B8" w:rsidRPr="00FE7BA7">
        <w:rPr>
          <w:rFonts w:ascii="Verdana" w:hAnsi="Verdana"/>
          <w:color w:val="auto"/>
          <w:sz w:val="20"/>
          <w:szCs w:val="20"/>
          <w:lang w:val="en-US"/>
        </w:rPr>
        <w:t>,</w:t>
      </w:r>
      <w:r w:rsidR="00EA0952">
        <w:rPr>
          <w:rFonts w:ascii="Verdana" w:hAnsi="Verdana"/>
          <w:color w:val="auto"/>
          <w:sz w:val="20"/>
          <w:szCs w:val="20"/>
          <w:lang w:val="en-US"/>
        </w:rPr>
        <w:t xml:space="preserve"> because</w:t>
      </w:r>
      <w:r w:rsidR="00DC745B" w:rsidRPr="00FE7BA7">
        <w:rPr>
          <w:rFonts w:ascii="Verdana" w:hAnsi="Verdana"/>
          <w:color w:val="auto"/>
          <w:sz w:val="20"/>
          <w:szCs w:val="20"/>
          <w:lang w:val="en-US"/>
        </w:rPr>
        <w:t xml:space="preserve"> individual titles have been granted to non-indigenous and non-tribal third parties</w:t>
      </w:r>
      <w:bookmarkEnd w:id="45"/>
    </w:p>
    <w:p w14:paraId="63126980" w14:textId="77777777" w:rsidR="002109E0" w:rsidRPr="00FE7BA7" w:rsidRDefault="002109E0" w:rsidP="002109E0">
      <w:pPr>
        <w:rPr>
          <w:lang w:val="en-US"/>
        </w:rPr>
      </w:pPr>
    </w:p>
    <w:p w14:paraId="63126981" w14:textId="77777777" w:rsidR="002109E0" w:rsidRPr="00FE7BA7" w:rsidRDefault="000E16B8" w:rsidP="00261627">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section, the Court will examine the alleged effects </w:t>
      </w:r>
      <w:r w:rsidR="00EA0952">
        <w:rPr>
          <w:rFonts w:ascii="Verdana" w:hAnsi="Verdana"/>
          <w:sz w:val="20"/>
          <w:szCs w:val="20"/>
          <w:lang w:val="en-US"/>
        </w:rPr>
        <w:t>arising from</w:t>
      </w:r>
      <w:r w:rsidRPr="00FE7BA7">
        <w:rPr>
          <w:rFonts w:ascii="Verdana" w:hAnsi="Verdana"/>
          <w:sz w:val="20"/>
          <w:szCs w:val="20"/>
          <w:lang w:val="en-US"/>
        </w:rPr>
        <w:t xml:space="preserve"> the granting of titles to third parties in the territory that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2B5CCD" w:rsidRPr="00FE7BA7">
        <w:rPr>
          <w:rFonts w:ascii="Verdana" w:hAnsi="Verdana"/>
          <w:sz w:val="20"/>
          <w:szCs w:val="20"/>
          <w:lang w:val="en-US"/>
        </w:rPr>
        <w:t xml:space="preserve"> </w:t>
      </w:r>
      <w:r w:rsidRPr="00FE7BA7">
        <w:rPr>
          <w:rFonts w:ascii="Verdana" w:hAnsi="Verdana"/>
          <w:sz w:val="20"/>
          <w:szCs w:val="20"/>
          <w:lang w:val="en-US"/>
        </w:rPr>
        <w:t>claim is their</w:t>
      </w:r>
      <w:r w:rsidR="00EA0952">
        <w:rPr>
          <w:rFonts w:ascii="Verdana" w:hAnsi="Verdana"/>
          <w:sz w:val="20"/>
          <w:szCs w:val="20"/>
          <w:lang w:val="en-US"/>
        </w:rPr>
        <w:t>s</w:t>
      </w:r>
      <w:r w:rsidRPr="00FE7BA7">
        <w:rPr>
          <w:rFonts w:ascii="Verdana" w:hAnsi="Verdana"/>
          <w:sz w:val="20"/>
          <w:szCs w:val="20"/>
          <w:lang w:val="en-US"/>
        </w:rPr>
        <w:t xml:space="preserve"> traditionally </w:t>
      </w:r>
      <w:r w:rsidR="002B5CCD" w:rsidRPr="00FE7BA7">
        <w:rPr>
          <w:rFonts w:ascii="Verdana" w:hAnsi="Verdana"/>
          <w:sz w:val="20"/>
          <w:szCs w:val="20"/>
          <w:lang w:val="en-US"/>
        </w:rPr>
        <w:t>and</w:t>
      </w:r>
      <w:r w:rsidRPr="00FE7BA7">
        <w:rPr>
          <w:rFonts w:ascii="Verdana" w:hAnsi="Verdana"/>
          <w:sz w:val="20"/>
          <w:szCs w:val="20"/>
          <w:lang w:val="en-US"/>
        </w:rPr>
        <w:t xml:space="preserve">, on this basis, </w:t>
      </w:r>
      <w:r w:rsidR="00EA0952">
        <w:rPr>
          <w:rFonts w:ascii="Verdana" w:hAnsi="Verdana"/>
          <w:sz w:val="20"/>
          <w:szCs w:val="20"/>
          <w:lang w:val="en-US"/>
        </w:rPr>
        <w:t xml:space="preserve">will </w:t>
      </w:r>
      <w:r w:rsidRPr="00FE7BA7">
        <w:rPr>
          <w:rFonts w:ascii="Verdana" w:hAnsi="Verdana"/>
          <w:sz w:val="20"/>
          <w:szCs w:val="20"/>
          <w:lang w:val="en-US"/>
        </w:rPr>
        <w:t xml:space="preserve">determine whether they have the right to claim its restitution. To this end, the Court will consider the existence of such titles, the </w:t>
      </w:r>
      <w:r w:rsidR="00EA0952">
        <w:rPr>
          <w:rFonts w:ascii="Verdana" w:hAnsi="Verdana"/>
          <w:sz w:val="20"/>
          <w:szCs w:val="20"/>
          <w:lang w:val="en-US"/>
        </w:rPr>
        <w:t>ownership of the land</w:t>
      </w:r>
      <w:r w:rsidRPr="00FE7BA7">
        <w:rPr>
          <w:rFonts w:ascii="Verdana" w:hAnsi="Verdana"/>
          <w:sz w:val="20"/>
          <w:szCs w:val="20"/>
          <w:lang w:val="en-US"/>
        </w:rPr>
        <w:t xml:space="preserve"> claimed, the</w:t>
      </w:r>
      <w:r w:rsidR="00F3787D">
        <w:rPr>
          <w:rFonts w:ascii="Verdana" w:hAnsi="Verdana"/>
          <w:sz w:val="20"/>
          <w:szCs w:val="20"/>
          <w:lang w:val="en-US"/>
        </w:rPr>
        <w:t xml:space="preserve"> validity </w:t>
      </w:r>
      <w:r w:rsidRPr="00FE7BA7">
        <w:rPr>
          <w:rFonts w:ascii="Verdana" w:hAnsi="Verdana"/>
          <w:sz w:val="20"/>
          <w:szCs w:val="20"/>
          <w:lang w:val="en-US"/>
        </w:rPr>
        <w:t xml:space="preserve">of the </w:t>
      </w:r>
      <w:r w:rsidR="00F3787D">
        <w:rPr>
          <w:rFonts w:ascii="Verdana" w:hAnsi="Verdana"/>
          <w:sz w:val="20"/>
          <w:szCs w:val="20"/>
          <w:lang w:val="en-US"/>
        </w:rPr>
        <w:t xml:space="preserve">claim, </w:t>
      </w:r>
      <w:r w:rsidRPr="00FE7BA7">
        <w:rPr>
          <w:rFonts w:ascii="Verdana" w:hAnsi="Verdana"/>
          <w:sz w:val="20"/>
          <w:szCs w:val="20"/>
          <w:lang w:val="en-US"/>
        </w:rPr>
        <w:t>and will also weigh the right to private property against the right to collective property</w:t>
      </w:r>
      <w:r w:rsidR="002109E0" w:rsidRPr="00FE7BA7">
        <w:rPr>
          <w:rFonts w:ascii="Verdana" w:hAnsi="Verdana"/>
          <w:sz w:val="20"/>
          <w:szCs w:val="20"/>
          <w:lang w:val="en-US"/>
        </w:rPr>
        <w:t xml:space="preserve">. </w:t>
      </w:r>
    </w:p>
    <w:p w14:paraId="63126982" w14:textId="77777777" w:rsidR="002109E0" w:rsidRPr="00FE7BA7" w:rsidRDefault="002109E0" w:rsidP="00366D91">
      <w:pPr>
        <w:rPr>
          <w:lang w:val="en-US"/>
        </w:rPr>
      </w:pPr>
    </w:p>
    <w:p w14:paraId="63126983" w14:textId="77777777" w:rsidR="00F44542" w:rsidRPr="00FE7BA7" w:rsidRDefault="002B5CCD" w:rsidP="00F44542">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5309C2" w:rsidRPr="00FE7BA7">
        <w:rPr>
          <w:rFonts w:ascii="Verdana" w:hAnsi="Verdana"/>
          <w:sz w:val="20"/>
          <w:szCs w:val="20"/>
          <w:lang w:val="en-US"/>
        </w:rPr>
        <w:t xml:space="preserve"> ha</w:t>
      </w:r>
      <w:r w:rsidR="00F678CF" w:rsidRPr="00FE7BA7">
        <w:rPr>
          <w:rFonts w:ascii="Verdana" w:hAnsi="Verdana"/>
          <w:sz w:val="20"/>
          <w:szCs w:val="20"/>
          <w:lang w:val="en-US"/>
        </w:rPr>
        <w:t>s verified that</w:t>
      </w:r>
      <w:r w:rsidR="000E16B8" w:rsidRPr="00FE7BA7">
        <w:rPr>
          <w:rFonts w:ascii="Verdana" w:hAnsi="Verdana"/>
          <w:sz w:val="20"/>
          <w:szCs w:val="20"/>
          <w:lang w:val="en-US"/>
        </w:rPr>
        <w:t>, traditionally,</w:t>
      </w:r>
      <w:r w:rsidR="00F678CF" w:rsidRPr="00FE7BA7">
        <w:rPr>
          <w:rFonts w:ascii="Verdana" w:hAnsi="Verdana"/>
          <w:sz w:val="20"/>
          <w:szCs w:val="20"/>
          <w:lang w:val="en-US"/>
        </w:rPr>
        <w:t xml:space="preserve"> </w:t>
      </w:r>
      <w:r w:rsidR="000E16B8" w:rsidRPr="00FE7BA7">
        <w:rPr>
          <w:rFonts w:ascii="Verdana" w:hAnsi="Verdana"/>
          <w:sz w:val="20"/>
          <w:szCs w:val="20"/>
          <w:lang w:val="en-US"/>
        </w:rPr>
        <w:t>several</w:t>
      </w:r>
      <w:r w:rsidR="00F678CF" w:rsidRPr="00FE7BA7">
        <w:rPr>
          <w:rFonts w:ascii="Verdana" w:hAnsi="Verdana"/>
          <w:sz w:val="20"/>
          <w:szCs w:val="20"/>
          <w:lang w:val="en-US"/>
        </w:rPr>
        <w:t xml:space="preserve"> </w:t>
      </w:r>
      <w:r w:rsidR="005309C2" w:rsidRPr="00FE7BA7">
        <w:rPr>
          <w:rFonts w:ascii="Verdana" w:hAnsi="Verdana"/>
          <w:sz w:val="20"/>
          <w:szCs w:val="20"/>
          <w:lang w:val="en-US"/>
        </w:rPr>
        <w:t>Kaliña</w:t>
      </w:r>
      <w:r w:rsidR="0066269B">
        <w:rPr>
          <w:rFonts w:ascii="Verdana" w:hAnsi="Verdana"/>
          <w:sz w:val="20"/>
          <w:szCs w:val="20"/>
          <w:lang w:val="en-US"/>
        </w:rPr>
        <w:t xml:space="preserve"> villages </w:t>
      </w:r>
      <w:r w:rsidRPr="00FE7BA7">
        <w:rPr>
          <w:rFonts w:ascii="Verdana" w:hAnsi="Verdana"/>
          <w:sz w:val="20"/>
          <w:szCs w:val="20"/>
          <w:lang w:val="en-US"/>
        </w:rPr>
        <w:t xml:space="preserve">and </w:t>
      </w:r>
      <w:r w:rsidR="00F678CF" w:rsidRPr="00FE7BA7">
        <w:rPr>
          <w:rFonts w:ascii="Verdana" w:hAnsi="Verdana"/>
          <w:sz w:val="20"/>
          <w:szCs w:val="20"/>
          <w:lang w:val="en-US"/>
        </w:rPr>
        <w:t xml:space="preserve">the </w:t>
      </w:r>
      <w:r w:rsidR="005309C2" w:rsidRPr="00FE7BA7">
        <w:rPr>
          <w:rFonts w:ascii="Verdana" w:hAnsi="Verdana"/>
          <w:sz w:val="20"/>
          <w:szCs w:val="20"/>
          <w:lang w:val="en-US"/>
        </w:rPr>
        <w:t xml:space="preserve">Lokono </w:t>
      </w:r>
      <w:r w:rsidR="0066269B">
        <w:rPr>
          <w:rFonts w:ascii="Verdana" w:hAnsi="Verdana"/>
          <w:sz w:val="20"/>
          <w:szCs w:val="20"/>
          <w:lang w:val="en-US"/>
        </w:rPr>
        <w:t>village</w:t>
      </w:r>
      <w:r w:rsidR="00F678CF" w:rsidRPr="00FE7BA7">
        <w:rPr>
          <w:rFonts w:ascii="Verdana" w:hAnsi="Verdana"/>
          <w:sz w:val="20"/>
          <w:szCs w:val="20"/>
          <w:lang w:val="en-US"/>
        </w:rPr>
        <w:t xml:space="preserve"> of</w:t>
      </w:r>
      <w:r w:rsidR="005309C2" w:rsidRPr="00FE7BA7">
        <w:rPr>
          <w:rFonts w:ascii="Verdana" w:hAnsi="Verdana"/>
          <w:sz w:val="20"/>
          <w:szCs w:val="20"/>
          <w:lang w:val="en-US"/>
        </w:rPr>
        <w:t xml:space="preserve"> </w:t>
      </w:r>
      <w:r w:rsidR="00F1174A" w:rsidRPr="00FE7BA7">
        <w:rPr>
          <w:rFonts w:ascii="Verdana" w:hAnsi="Verdana"/>
          <w:sz w:val="20"/>
          <w:szCs w:val="20"/>
          <w:lang w:val="en-US"/>
        </w:rPr>
        <w:t>Marijkedorp (Wan Shi Sha)</w:t>
      </w:r>
      <w:r w:rsidR="005309C2" w:rsidRPr="00FE7BA7">
        <w:rPr>
          <w:rFonts w:ascii="Verdana" w:hAnsi="Verdana"/>
          <w:sz w:val="20"/>
          <w:szCs w:val="20"/>
          <w:lang w:val="en-US"/>
        </w:rPr>
        <w:t xml:space="preserve"> </w:t>
      </w:r>
      <w:r w:rsidR="0066269B">
        <w:rPr>
          <w:rFonts w:ascii="Verdana" w:hAnsi="Verdana"/>
          <w:sz w:val="20"/>
          <w:szCs w:val="20"/>
          <w:lang w:val="en-US"/>
        </w:rPr>
        <w:t>are located on</w:t>
      </w:r>
      <w:r w:rsidR="00F678CF" w:rsidRPr="00FE7BA7">
        <w:rPr>
          <w:rFonts w:ascii="Verdana" w:hAnsi="Verdana"/>
          <w:sz w:val="20"/>
          <w:szCs w:val="20"/>
          <w:lang w:val="en-US"/>
        </w:rPr>
        <w:t xml:space="preserve"> the banks of the </w:t>
      </w:r>
      <w:r w:rsidR="00F44542" w:rsidRPr="00FE7BA7">
        <w:rPr>
          <w:rFonts w:ascii="Verdana" w:hAnsi="Verdana"/>
          <w:sz w:val="20"/>
          <w:szCs w:val="20"/>
          <w:lang w:val="en-US"/>
        </w:rPr>
        <w:t>Marowijne</w:t>
      </w:r>
      <w:r w:rsidR="00F678CF" w:rsidRPr="00FE7BA7">
        <w:rPr>
          <w:rFonts w:ascii="Verdana" w:hAnsi="Verdana"/>
          <w:sz w:val="20"/>
          <w:szCs w:val="20"/>
          <w:lang w:val="en-US"/>
        </w:rPr>
        <w:t xml:space="preserve"> River, as indicated in the oral history told by</w:t>
      </w:r>
      <w:r w:rsidR="000E16B8" w:rsidRPr="00FE7BA7">
        <w:rPr>
          <w:rFonts w:ascii="Verdana" w:hAnsi="Verdana"/>
          <w:sz w:val="20"/>
          <w:szCs w:val="20"/>
          <w:lang w:val="en-US"/>
        </w:rPr>
        <w:t xml:space="preserve"> the elders.</w:t>
      </w:r>
      <w:r w:rsidR="000E3E0B" w:rsidRPr="00FE7BA7">
        <w:rPr>
          <w:rStyle w:val="FootnoteReference"/>
          <w:szCs w:val="20"/>
          <w:lang w:val="en-US"/>
        </w:rPr>
        <w:footnoteReference w:id="182"/>
      </w:r>
      <w:r w:rsidR="000E16B8" w:rsidRPr="00FE7BA7">
        <w:rPr>
          <w:rFonts w:ascii="Verdana" w:hAnsi="Verdana"/>
          <w:sz w:val="20"/>
          <w:szCs w:val="20"/>
          <w:lang w:val="en-US"/>
        </w:rPr>
        <w:t xml:space="preserve"> A</w:t>
      </w:r>
      <w:r w:rsidR="00F678CF" w:rsidRPr="00FE7BA7">
        <w:rPr>
          <w:rFonts w:ascii="Verdana" w:hAnsi="Verdana"/>
          <w:sz w:val="20"/>
          <w:szCs w:val="20"/>
          <w:lang w:val="en-US"/>
        </w:rPr>
        <w:t xml:space="preserve">ccording to different statements </w:t>
      </w:r>
      <w:r w:rsidR="000E3E0B" w:rsidRPr="00FE7BA7">
        <w:rPr>
          <w:rFonts w:ascii="Verdana" w:hAnsi="Verdana"/>
          <w:sz w:val="20"/>
          <w:szCs w:val="20"/>
          <w:lang w:val="en-US"/>
        </w:rPr>
        <w:t>(</w:t>
      </w:r>
      <w:r w:rsidR="000E3E0B" w:rsidRPr="00FE7BA7">
        <w:rPr>
          <w:rFonts w:ascii="Verdana" w:hAnsi="Verdana"/>
          <w:i/>
          <w:sz w:val="20"/>
          <w:szCs w:val="20"/>
          <w:lang w:val="en-US"/>
        </w:rPr>
        <w:t>supra</w:t>
      </w:r>
      <w:r w:rsidR="000E3E0B" w:rsidRPr="00FE7BA7">
        <w:rPr>
          <w:rFonts w:ascii="Verdana" w:hAnsi="Verdana"/>
          <w:sz w:val="20"/>
          <w:szCs w:val="20"/>
          <w:lang w:val="en-US"/>
        </w:rPr>
        <w:t xml:space="preserve"> </w:t>
      </w:r>
      <w:r w:rsidR="008F798A" w:rsidRPr="00FE7BA7">
        <w:rPr>
          <w:rFonts w:ascii="Verdana" w:hAnsi="Verdana"/>
          <w:sz w:val="20"/>
          <w:szCs w:val="20"/>
          <w:lang w:val="en-US"/>
        </w:rPr>
        <w:t>paras.</w:t>
      </w:r>
      <w:r w:rsidR="000E3E0B" w:rsidRPr="00FE7BA7">
        <w:rPr>
          <w:rFonts w:ascii="Verdana" w:hAnsi="Verdana"/>
          <w:sz w:val="20"/>
          <w:szCs w:val="20"/>
          <w:lang w:val="en-US"/>
        </w:rPr>
        <w:t xml:space="preserve"> </w:t>
      </w:r>
      <w:r w:rsidR="00DB62DD" w:rsidRPr="00FE7BA7">
        <w:rPr>
          <w:rFonts w:ascii="Verdana" w:hAnsi="Verdana"/>
          <w:sz w:val="20"/>
          <w:szCs w:val="20"/>
          <w:lang w:val="en-US"/>
        </w:rPr>
        <w:t>30</w:t>
      </w:r>
      <w:r w:rsidRPr="00FE7BA7">
        <w:rPr>
          <w:rFonts w:ascii="Verdana" w:hAnsi="Verdana"/>
          <w:sz w:val="20"/>
          <w:szCs w:val="20"/>
          <w:lang w:val="en-US"/>
        </w:rPr>
        <w:t xml:space="preserve"> and </w:t>
      </w:r>
      <w:r w:rsidR="00020007" w:rsidRPr="00FE7BA7">
        <w:rPr>
          <w:rFonts w:ascii="Verdana" w:hAnsi="Verdana"/>
          <w:sz w:val="20"/>
          <w:szCs w:val="20"/>
          <w:lang w:val="en-US"/>
        </w:rPr>
        <w:t>33</w:t>
      </w:r>
      <w:r w:rsidR="000E3E0B" w:rsidRPr="00FE7BA7">
        <w:rPr>
          <w:rFonts w:ascii="Verdana" w:hAnsi="Verdana"/>
          <w:sz w:val="20"/>
          <w:szCs w:val="20"/>
          <w:lang w:val="en-US"/>
        </w:rPr>
        <w:t>)</w:t>
      </w:r>
      <w:r w:rsidR="0066269B">
        <w:rPr>
          <w:rFonts w:ascii="Verdana" w:hAnsi="Verdana"/>
          <w:sz w:val="20"/>
          <w:szCs w:val="20"/>
          <w:lang w:val="en-US"/>
        </w:rPr>
        <w:t xml:space="preserve">, </w:t>
      </w:r>
      <w:r w:rsidR="0066269B" w:rsidRPr="00FE7BA7">
        <w:rPr>
          <w:rFonts w:ascii="Verdana" w:hAnsi="Verdana"/>
          <w:sz w:val="20"/>
          <w:szCs w:val="20"/>
          <w:lang w:val="en-US"/>
        </w:rPr>
        <w:t>the Kaliña and Lokono peoples</w:t>
      </w:r>
      <w:r w:rsidR="0066269B">
        <w:rPr>
          <w:rFonts w:ascii="Verdana" w:hAnsi="Verdana"/>
          <w:sz w:val="20"/>
          <w:szCs w:val="20"/>
          <w:lang w:val="en-US"/>
        </w:rPr>
        <w:t xml:space="preserve"> have maintained a</w:t>
      </w:r>
      <w:r w:rsidR="000E16B8" w:rsidRPr="00FE7BA7">
        <w:rPr>
          <w:rFonts w:ascii="Verdana" w:hAnsi="Verdana"/>
          <w:sz w:val="20"/>
          <w:szCs w:val="20"/>
          <w:lang w:val="en-US"/>
        </w:rPr>
        <w:t xml:space="preserve"> </w:t>
      </w:r>
      <w:r w:rsidR="00F3787D">
        <w:rPr>
          <w:rFonts w:ascii="Verdana" w:hAnsi="Verdana"/>
          <w:sz w:val="20"/>
          <w:szCs w:val="20"/>
          <w:lang w:val="en-US"/>
        </w:rPr>
        <w:t>strong</w:t>
      </w:r>
      <w:r w:rsidR="000E16B8" w:rsidRPr="00FE7BA7">
        <w:rPr>
          <w:rFonts w:ascii="Verdana" w:hAnsi="Verdana"/>
          <w:sz w:val="20"/>
          <w:szCs w:val="20"/>
          <w:lang w:val="en-US"/>
        </w:rPr>
        <w:t xml:space="preserve"> physical and spiritual relationship with the river,</w:t>
      </w:r>
      <w:r w:rsidRPr="00FE7BA7">
        <w:rPr>
          <w:rFonts w:ascii="Verdana" w:hAnsi="Verdana"/>
          <w:sz w:val="20"/>
          <w:szCs w:val="20"/>
          <w:lang w:val="en-US"/>
        </w:rPr>
        <w:t xml:space="preserve"> and </w:t>
      </w:r>
      <w:r w:rsidR="00F678CF" w:rsidRPr="00FE7BA7">
        <w:rPr>
          <w:rFonts w:ascii="Verdana" w:hAnsi="Verdana"/>
          <w:sz w:val="20"/>
          <w:szCs w:val="20"/>
          <w:lang w:val="en-US"/>
        </w:rPr>
        <w:t>are recognized</w:t>
      </w:r>
      <w:r w:rsidR="00521447" w:rsidRPr="00FE7BA7">
        <w:rPr>
          <w:rFonts w:ascii="Verdana" w:hAnsi="Verdana"/>
          <w:sz w:val="20"/>
          <w:szCs w:val="20"/>
          <w:lang w:val="en-US"/>
        </w:rPr>
        <w:t xml:space="preserve"> </w:t>
      </w:r>
      <w:r w:rsidR="000E16B8" w:rsidRPr="00FE7BA7">
        <w:rPr>
          <w:rFonts w:ascii="Verdana" w:hAnsi="Verdana"/>
          <w:sz w:val="20"/>
          <w:szCs w:val="20"/>
          <w:lang w:val="en-US"/>
        </w:rPr>
        <w:t xml:space="preserve">in </w:t>
      </w:r>
      <w:r w:rsidRPr="00FE7BA7">
        <w:rPr>
          <w:rFonts w:ascii="Verdana" w:hAnsi="Verdana"/>
          <w:sz w:val="20"/>
          <w:szCs w:val="20"/>
          <w:lang w:val="en-US"/>
        </w:rPr>
        <w:t xml:space="preserve">Suriname </w:t>
      </w:r>
      <w:r w:rsidR="00F678CF" w:rsidRPr="00FE7BA7">
        <w:rPr>
          <w:rFonts w:ascii="Verdana" w:hAnsi="Verdana"/>
          <w:sz w:val="20"/>
          <w:szCs w:val="20"/>
          <w:lang w:val="en-US"/>
        </w:rPr>
        <w:t>as</w:t>
      </w:r>
      <w:r w:rsidR="00F44542" w:rsidRPr="00FE7BA7">
        <w:rPr>
          <w:rFonts w:ascii="Verdana" w:hAnsi="Verdana"/>
          <w:sz w:val="20"/>
          <w:szCs w:val="20"/>
          <w:lang w:val="en-US"/>
        </w:rPr>
        <w:t xml:space="preserve"> </w:t>
      </w:r>
      <w:r w:rsidR="00F678CF" w:rsidRPr="00FE7BA7">
        <w:rPr>
          <w:rFonts w:ascii="Verdana" w:hAnsi="Verdana"/>
          <w:sz w:val="20"/>
          <w:szCs w:val="20"/>
          <w:lang w:val="en-US"/>
        </w:rPr>
        <w:t>the</w:t>
      </w:r>
      <w:r w:rsidR="00F44542" w:rsidRPr="00FE7BA7">
        <w:rPr>
          <w:rFonts w:ascii="Verdana" w:hAnsi="Verdana"/>
          <w:sz w:val="20"/>
          <w:szCs w:val="20"/>
          <w:lang w:val="en-US"/>
        </w:rPr>
        <w:t xml:space="preserve"> </w:t>
      </w:r>
      <w:r w:rsidR="00DB62DD" w:rsidRPr="00FE7BA7">
        <w:rPr>
          <w:rFonts w:ascii="Verdana" w:hAnsi="Verdana"/>
          <w:sz w:val="20"/>
          <w:szCs w:val="20"/>
          <w:lang w:val="en-US"/>
        </w:rPr>
        <w:t>“</w:t>
      </w:r>
      <w:r w:rsidR="00635ACD" w:rsidRPr="00FE7BA7">
        <w:rPr>
          <w:rFonts w:ascii="Verdana" w:hAnsi="Verdana"/>
          <w:sz w:val="20"/>
          <w:szCs w:val="20"/>
          <w:lang w:val="en-US"/>
        </w:rPr>
        <w:t>Lower Marowijne</w:t>
      </w:r>
      <w:r w:rsidR="00F678CF" w:rsidRPr="00FE7BA7">
        <w:rPr>
          <w:rFonts w:ascii="Verdana" w:hAnsi="Verdana"/>
          <w:sz w:val="20"/>
          <w:szCs w:val="20"/>
          <w:lang w:val="en-US"/>
        </w:rPr>
        <w:t xml:space="preserve"> Peoples</w:t>
      </w:r>
      <w:r w:rsidR="00F44542" w:rsidRPr="00FE7BA7">
        <w:rPr>
          <w:rFonts w:ascii="Verdana" w:hAnsi="Verdana"/>
          <w:sz w:val="20"/>
          <w:szCs w:val="20"/>
          <w:lang w:val="en-US"/>
        </w:rPr>
        <w:t>” (</w:t>
      </w:r>
      <w:r w:rsidR="00F44542" w:rsidRPr="00FE7BA7">
        <w:rPr>
          <w:rFonts w:ascii="Verdana" w:hAnsi="Verdana"/>
          <w:i/>
          <w:sz w:val="20"/>
          <w:szCs w:val="20"/>
          <w:lang w:val="en-US"/>
        </w:rPr>
        <w:t>supra</w:t>
      </w:r>
      <w:r w:rsidR="00F44542" w:rsidRPr="00FE7BA7">
        <w:rPr>
          <w:rFonts w:ascii="Verdana" w:hAnsi="Verdana"/>
          <w:sz w:val="20"/>
          <w:szCs w:val="20"/>
          <w:lang w:val="en-US"/>
        </w:rPr>
        <w:t xml:space="preserve"> </w:t>
      </w:r>
      <w:r w:rsidR="00810FAD" w:rsidRPr="00FE7BA7">
        <w:rPr>
          <w:rFonts w:ascii="Verdana" w:hAnsi="Verdana"/>
          <w:sz w:val="20"/>
          <w:szCs w:val="20"/>
          <w:lang w:val="en-US"/>
        </w:rPr>
        <w:t>para.</w:t>
      </w:r>
      <w:r w:rsidR="00F44542" w:rsidRPr="00FE7BA7">
        <w:rPr>
          <w:rFonts w:ascii="Verdana" w:hAnsi="Verdana"/>
          <w:sz w:val="20"/>
          <w:szCs w:val="20"/>
          <w:lang w:val="en-US"/>
        </w:rPr>
        <w:t xml:space="preserve"> </w:t>
      </w:r>
      <w:r w:rsidR="00DB62DD" w:rsidRPr="00FE7BA7">
        <w:rPr>
          <w:rFonts w:ascii="Verdana" w:hAnsi="Verdana"/>
          <w:sz w:val="20"/>
          <w:szCs w:val="20"/>
          <w:lang w:val="en-US"/>
        </w:rPr>
        <w:t>29</w:t>
      </w:r>
      <w:r w:rsidR="00F44542" w:rsidRPr="00FE7BA7">
        <w:rPr>
          <w:rFonts w:ascii="Verdana" w:hAnsi="Verdana"/>
          <w:sz w:val="20"/>
          <w:szCs w:val="20"/>
          <w:lang w:val="en-US"/>
        </w:rPr>
        <w:t>)</w:t>
      </w:r>
      <w:r w:rsidR="005309C2" w:rsidRPr="00FE7BA7">
        <w:rPr>
          <w:rFonts w:ascii="Verdana" w:hAnsi="Verdana"/>
          <w:sz w:val="20"/>
          <w:szCs w:val="20"/>
          <w:lang w:val="en-US"/>
        </w:rPr>
        <w:t>.</w:t>
      </w:r>
      <w:r w:rsidR="004748A3" w:rsidRPr="00FE7BA7">
        <w:rPr>
          <w:rFonts w:ascii="Verdana" w:hAnsi="Verdana"/>
          <w:sz w:val="20"/>
          <w:szCs w:val="20"/>
          <w:lang w:val="en-US"/>
        </w:rPr>
        <w:t xml:space="preserve"> </w:t>
      </w:r>
    </w:p>
    <w:p w14:paraId="63126984" w14:textId="77777777" w:rsidR="00F44542" w:rsidRPr="00FE7BA7" w:rsidRDefault="00F44542" w:rsidP="00E477FD">
      <w:pPr>
        <w:pStyle w:val="ListParagraph"/>
        <w:rPr>
          <w:rFonts w:ascii="Verdana" w:hAnsi="Verdana"/>
          <w:sz w:val="20"/>
          <w:szCs w:val="20"/>
          <w:lang w:val="en-US"/>
        </w:rPr>
      </w:pPr>
    </w:p>
    <w:p w14:paraId="63126985" w14:textId="61774212" w:rsidR="00CA4D4B" w:rsidRPr="001C6EC9" w:rsidRDefault="000E16B8" w:rsidP="001C6EC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addition</w:t>
      </w:r>
      <w:r w:rsidR="004748A3" w:rsidRPr="00FE7BA7">
        <w:rPr>
          <w:rFonts w:ascii="Verdana" w:hAnsi="Verdana"/>
          <w:sz w:val="20"/>
          <w:szCs w:val="20"/>
          <w:lang w:val="en-US"/>
        </w:rPr>
        <w:t xml:space="preserve">, </w:t>
      </w:r>
      <w:r w:rsidR="002B5CCD" w:rsidRPr="00FE7BA7">
        <w:rPr>
          <w:rFonts w:ascii="Verdana" w:hAnsi="Verdana"/>
          <w:sz w:val="20"/>
          <w:szCs w:val="20"/>
          <w:lang w:val="en-US"/>
        </w:rPr>
        <w:t>the Court</w:t>
      </w:r>
      <w:r w:rsidR="002109E0" w:rsidRPr="00FE7BA7">
        <w:rPr>
          <w:rFonts w:ascii="Verdana" w:hAnsi="Verdana"/>
          <w:sz w:val="20"/>
          <w:szCs w:val="20"/>
          <w:lang w:val="en-US"/>
        </w:rPr>
        <w:t xml:space="preserve"> ha</w:t>
      </w:r>
      <w:r w:rsidRPr="00FE7BA7">
        <w:rPr>
          <w:rFonts w:ascii="Verdana" w:hAnsi="Verdana"/>
          <w:sz w:val="20"/>
          <w:szCs w:val="20"/>
          <w:lang w:val="en-US"/>
        </w:rPr>
        <w:t xml:space="preserve">s established that it is an undisputed fact that, in </w:t>
      </w:r>
      <w:r w:rsidR="002109E0" w:rsidRPr="00FE7BA7">
        <w:rPr>
          <w:rFonts w:ascii="Verdana" w:hAnsi="Verdana"/>
          <w:sz w:val="20"/>
          <w:szCs w:val="20"/>
          <w:lang w:val="en-US"/>
        </w:rPr>
        <w:t xml:space="preserve">1975, </w:t>
      </w:r>
      <w:r w:rsidR="002B5CCD" w:rsidRPr="00FE7BA7">
        <w:rPr>
          <w:rFonts w:ascii="Verdana" w:hAnsi="Verdana"/>
          <w:sz w:val="20"/>
          <w:szCs w:val="20"/>
          <w:lang w:val="en-US"/>
        </w:rPr>
        <w:t>the State</w:t>
      </w:r>
      <w:r w:rsidR="002109E0" w:rsidRPr="00FE7BA7">
        <w:rPr>
          <w:rFonts w:ascii="Verdana" w:hAnsi="Verdana"/>
          <w:sz w:val="20"/>
          <w:szCs w:val="20"/>
          <w:lang w:val="en-US"/>
        </w:rPr>
        <w:t xml:space="preserve"> </w:t>
      </w:r>
      <w:r w:rsidR="00F3787D">
        <w:rPr>
          <w:rFonts w:ascii="Verdana" w:hAnsi="Verdana"/>
          <w:sz w:val="20"/>
          <w:szCs w:val="20"/>
          <w:lang w:val="en-US"/>
        </w:rPr>
        <w:t>initiated</w:t>
      </w:r>
      <w:r w:rsidRPr="00FE7BA7">
        <w:rPr>
          <w:rFonts w:ascii="Verdana" w:hAnsi="Verdana"/>
          <w:sz w:val="20"/>
          <w:szCs w:val="20"/>
          <w:lang w:val="en-US"/>
        </w:rPr>
        <w:t xml:space="preserve"> an urban </w:t>
      </w:r>
      <w:r w:rsidR="00184E23">
        <w:rPr>
          <w:rFonts w:ascii="Verdana" w:hAnsi="Verdana"/>
          <w:sz w:val="20"/>
          <w:szCs w:val="20"/>
          <w:lang w:val="en-US"/>
        </w:rPr>
        <w:t>subdivision</w:t>
      </w:r>
      <w:r w:rsidRPr="00FE7BA7">
        <w:rPr>
          <w:rFonts w:ascii="Verdana" w:hAnsi="Verdana"/>
          <w:sz w:val="20"/>
          <w:szCs w:val="20"/>
          <w:lang w:val="en-US"/>
        </w:rPr>
        <w:t xml:space="preserve"> project called </w:t>
      </w:r>
      <w:r w:rsidR="002109E0" w:rsidRPr="00FE7BA7">
        <w:rPr>
          <w:rFonts w:ascii="Verdana" w:hAnsi="Verdana"/>
          <w:sz w:val="20"/>
          <w:szCs w:val="20"/>
          <w:lang w:val="en-US"/>
        </w:rPr>
        <w:t>“Tuinstad Albina”</w:t>
      </w:r>
      <w:r w:rsidR="00DB62DD" w:rsidRPr="00FE7BA7">
        <w:rPr>
          <w:rFonts w:ascii="Verdana" w:hAnsi="Verdana"/>
          <w:sz w:val="20"/>
          <w:szCs w:val="20"/>
          <w:lang w:val="en-US"/>
        </w:rPr>
        <w:t xml:space="preserve"> (Garden City Albina)</w:t>
      </w:r>
      <w:r w:rsidR="002109E0" w:rsidRPr="00FE7BA7">
        <w:rPr>
          <w:rFonts w:ascii="Verdana" w:hAnsi="Verdana"/>
          <w:sz w:val="20"/>
          <w:szCs w:val="20"/>
          <w:lang w:val="en-US"/>
        </w:rPr>
        <w:t xml:space="preserve"> </w:t>
      </w:r>
      <w:r w:rsidR="00CA4D4B" w:rsidRPr="00FE7BA7">
        <w:rPr>
          <w:rFonts w:ascii="Verdana" w:hAnsi="Verdana"/>
          <w:sz w:val="20"/>
          <w:szCs w:val="20"/>
          <w:lang w:val="en-US"/>
        </w:rPr>
        <w:t>paral</w:t>
      </w:r>
      <w:r w:rsidRPr="00FE7BA7">
        <w:rPr>
          <w:rFonts w:ascii="Verdana" w:hAnsi="Verdana"/>
          <w:sz w:val="20"/>
          <w:szCs w:val="20"/>
          <w:lang w:val="en-US"/>
        </w:rPr>
        <w:t>lel to</w:t>
      </w:r>
      <w:r w:rsidR="00CA4D4B" w:rsidRPr="00FE7BA7">
        <w:rPr>
          <w:rFonts w:ascii="Verdana" w:hAnsi="Verdana"/>
          <w:sz w:val="20"/>
          <w:szCs w:val="20"/>
          <w:lang w:val="en-US"/>
        </w:rPr>
        <w:t xml:space="preserve"> </w:t>
      </w:r>
      <w:r w:rsidRPr="00FE7BA7">
        <w:rPr>
          <w:rFonts w:ascii="Verdana" w:hAnsi="Verdana"/>
          <w:sz w:val="20"/>
          <w:szCs w:val="20"/>
          <w:lang w:val="en-US"/>
        </w:rPr>
        <w:t>the Marowijne River</w:t>
      </w:r>
      <w:r w:rsidR="004748A3" w:rsidRPr="00FE7BA7">
        <w:rPr>
          <w:rFonts w:ascii="Verdana" w:hAnsi="Verdana"/>
          <w:sz w:val="20"/>
          <w:szCs w:val="20"/>
          <w:lang w:val="en-US"/>
        </w:rPr>
        <w:t>,</w:t>
      </w:r>
      <w:r w:rsidRPr="00FE7BA7">
        <w:rPr>
          <w:rFonts w:ascii="Verdana" w:hAnsi="Verdana"/>
          <w:sz w:val="20"/>
          <w:szCs w:val="20"/>
          <w:lang w:val="en-US"/>
        </w:rPr>
        <w:t xml:space="preserve"> near the villages of </w:t>
      </w:r>
      <w:r w:rsidR="002109E0" w:rsidRPr="00FE7BA7">
        <w:rPr>
          <w:rFonts w:ascii="Verdana" w:hAnsi="Verdana"/>
          <w:sz w:val="20"/>
          <w:szCs w:val="20"/>
          <w:lang w:val="en-US"/>
        </w:rPr>
        <w:t>Erowarte, Tapuku, Pierrekondre</w:t>
      </w:r>
      <w:r w:rsidR="002B5CCD" w:rsidRPr="00FE7BA7">
        <w:rPr>
          <w:rFonts w:ascii="Verdana" w:hAnsi="Verdana"/>
          <w:sz w:val="20"/>
          <w:szCs w:val="20"/>
          <w:lang w:val="en-US"/>
        </w:rPr>
        <w:t xml:space="preserve"> and </w:t>
      </w:r>
      <w:r w:rsidR="00F1174A" w:rsidRPr="00FE7BA7">
        <w:rPr>
          <w:rFonts w:ascii="Verdana" w:hAnsi="Verdana"/>
          <w:sz w:val="20"/>
          <w:szCs w:val="20"/>
          <w:lang w:val="en-US"/>
        </w:rPr>
        <w:t>Marijkedorp (Wan Shi Sha)</w:t>
      </w:r>
      <w:r w:rsidRPr="001C6EC9">
        <w:rPr>
          <w:rFonts w:ascii="Verdana" w:hAnsi="Verdana"/>
          <w:sz w:val="20"/>
          <w:szCs w:val="20"/>
          <w:lang w:val="en-US"/>
        </w:rPr>
        <w:t>,</w:t>
      </w:r>
      <w:r w:rsidR="002B5CCD" w:rsidRPr="001C6EC9">
        <w:rPr>
          <w:rFonts w:ascii="Verdana" w:hAnsi="Verdana"/>
          <w:sz w:val="20"/>
          <w:szCs w:val="20"/>
          <w:lang w:val="en-US"/>
        </w:rPr>
        <w:t xml:space="preserve"> and</w:t>
      </w:r>
      <w:r w:rsidRPr="001C6EC9">
        <w:rPr>
          <w:rFonts w:ascii="Verdana" w:hAnsi="Verdana"/>
          <w:sz w:val="20"/>
          <w:szCs w:val="20"/>
          <w:lang w:val="en-US"/>
        </w:rPr>
        <w:t xml:space="preserve"> that some of </w:t>
      </w:r>
      <w:r w:rsidR="00F3787D" w:rsidRPr="001C6EC9">
        <w:rPr>
          <w:rFonts w:ascii="Verdana" w:hAnsi="Verdana"/>
          <w:sz w:val="20"/>
          <w:szCs w:val="20"/>
          <w:lang w:val="en-US"/>
        </w:rPr>
        <w:t>the lots</w:t>
      </w:r>
      <w:r w:rsidRPr="001C6EC9">
        <w:rPr>
          <w:rFonts w:ascii="Verdana" w:hAnsi="Verdana"/>
          <w:sz w:val="20"/>
          <w:szCs w:val="20"/>
          <w:lang w:val="en-US"/>
        </w:rPr>
        <w:t xml:space="preserve"> were granted to non-indigenous persons, by the issue of</w:t>
      </w:r>
      <w:r w:rsidR="00D818E8" w:rsidRPr="001C6EC9">
        <w:rPr>
          <w:rFonts w:ascii="Verdana" w:hAnsi="Verdana"/>
          <w:sz w:val="20"/>
          <w:szCs w:val="20"/>
          <w:lang w:val="en-US"/>
        </w:rPr>
        <w:t xml:space="preserve"> freehold </w:t>
      </w:r>
      <w:r w:rsidR="004E2536" w:rsidRPr="001C6EC9">
        <w:rPr>
          <w:rFonts w:ascii="Verdana" w:hAnsi="Verdana"/>
          <w:sz w:val="20"/>
          <w:szCs w:val="20"/>
          <w:lang w:val="en-US"/>
        </w:rPr>
        <w:t>titles, and</w:t>
      </w:r>
      <w:r w:rsidR="00D818E8" w:rsidRPr="001C6EC9">
        <w:rPr>
          <w:rFonts w:ascii="Verdana" w:hAnsi="Verdana"/>
          <w:sz w:val="20"/>
          <w:szCs w:val="20"/>
          <w:lang w:val="en-US"/>
        </w:rPr>
        <w:t xml:space="preserve"> leasehold titles and </w:t>
      </w:r>
      <w:r w:rsidR="00F3787D" w:rsidRPr="001C6EC9">
        <w:rPr>
          <w:rFonts w:ascii="Verdana" w:hAnsi="Verdana"/>
          <w:sz w:val="20"/>
          <w:szCs w:val="20"/>
          <w:lang w:val="en-US"/>
        </w:rPr>
        <w:t>long-term leases</w:t>
      </w:r>
      <w:r w:rsidRPr="001C6EC9">
        <w:rPr>
          <w:rFonts w:ascii="Verdana" w:hAnsi="Verdana"/>
          <w:sz w:val="20"/>
          <w:szCs w:val="20"/>
          <w:lang w:val="en-US"/>
        </w:rPr>
        <w:t xml:space="preserve"> until at least </w:t>
      </w:r>
      <w:r w:rsidR="00CA4D4B" w:rsidRPr="001C6EC9">
        <w:rPr>
          <w:rFonts w:ascii="Verdana" w:hAnsi="Verdana"/>
          <w:sz w:val="20"/>
          <w:szCs w:val="20"/>
          <w:lang w:val="en-US"/>
        </w:rPr>
        <w:t>2013</w:t>
      </w:r>
      <w:r w:rsidR="00D712F8" w:rsidRPr="001C6EC9">
        <w:rPr>
          <w:rFonts w:ascii="Verdana" w:hAnsi="Verdana"/>
          <w:sz w:val="20"/>
          <w:szCs w:val="20"/>
          <w:lang w:val="en-US"/>
        </w:rPr>
        <w:t>,</w:t>
      </w:r>
      <w:r w:rsidR="00CA4D4B" w:rsidRPr="001C6EC9">
        <w:rPr>
          <w:rFonts w:ascii="Verdana" w:hAnsi="Verdana"/>
          <w:sz w:val="20"/>
          <w:szCs w:val="20"/>
          <w:lang w:val="en-US"/>
        </w:rPr>
        <w:t xml:space="preserve"> </w:t>
      </w:r>
      <w:r w:rsidRPr="001C6EC9">
        <w:rPr>
          <w:rFonts w:ascii="Verdana" w:hAnsi="Verdana"/>
          <w:sz w:val="20"/>
          <w:szCs w:val="20"/>
          <w:lang w:val="en-US"/>
        </w:rPr>
        <w:t xml:space="preserve">over part of the traditional lands </w:t>
      </w:r>
      <w:r w:rsidR="00635ACD" w:rsidRPr="001C6EC9">
        <w:rPr>
          <w:rFonts w:ascii="Verdana" w:hAnsi="Verdana"/>
          <w:sz w:val="20"/>
          <w:szCs w:val="20"/>
          <w:lang w:val="en-US"/>
        </w:rPr>
        <w:t xml:space="preserve">of the </w:t>
      </w:r>
      <w:r w:rsidR="004C7D14" w:rsidRPr="001C6EC9">
        <w:rPr>
          <w:rFonts w:ascii="Verdana" w:hAnsi="Verdana"/>
          <w:sz w:val="20"/>
          <w:szCs w:val="20"/>
          <w:lang w:val="en-US"/>
        </w:rPr>
        <w:t>Kaliña and Lokono peoples</w:t>
      </w:r>
      <w:r w:rsidR="004748A3" w:rsidRPr="001C6EC9">
        <w:rPr>
          <w:rFonts w:ascii="Verdana" w:hAnsi="Verdana"/>
          <w:sz w:val="20"/>
          <w:szCs w:val="20"/>
          <w:lang w:val="en-US"/>
        </w:rPr>
        <w:t xml:space="preserve"> (</w:t>
      </w:r>
      <w:r w:rsidR="004748A3" w:rsidRPr="001C6EC9">
        <w:rPr>
          <w:rFonts w:ascii="Verdana" w:hAnsi="Verdana"/>
          <w:i/>
          <w:sz w:val="20"/>
          <w:szCs w:val="20"/>
          <w:lang w:val="en-US"/>
        </w:rPr>
        <w:t>supra</w:t>
      </w:r>
      <w:r w:rsidR="004748A3" w:rsidRPr="001C6EC9">
        <w:rPr>
          <w:rFonts w:ascii="Verdana" w:hAnsi="Verdana"/>
          <w:sz w:val="20"/>
          <w:szCs w:val="20"/>
          <w:lang w:val="en-US"/>
        </w:rPr>
        <w:t xml:space="preserve"> </w:t>
      </w:r>
      <w:r w:rsidR="008F798A" w:rsidRPr="001C6EC9">
        <w:rPr>
          <w:rFonts w:ascii="Verdana" w:hAnsi="Verdana"/>
          <w:sz w:val="20"/>
          <w:szCs w:val="20"/>
          <w:lang w:val="en-US"/>
        </w:rPr>
        <w:t>paras.</w:t>
      </w:r>
      <w:r w:rsidR="004748A3" w:rsidRPr="001C6EC9">
        <w:rPr>
          <w:rFonts w:ascii="Verdana" w:hAnsi="Verdana"/>
          <w:sz w:val="20"/>
          <w:szCs w:val="20"/>
          <w:lang w:val="en-US"/>
        </w:rPr>
        <w:t xml:space="preserve"> </w:t>
      </w:r>
      <w:r w:rsidR="00DB62DD" w:rsidRPr="001C6EC9">
        <w:rPr>
          <w:rFonts w:ascii="Verdana" w:hAnsi="Verdana"/>
          <w:sz w:val="20"/>
          <w:szCs w:val="20"/>
          <w:lang w:val="en-US"/>
        </w:rPr>
        <w:t>9</w:t>
      </w:r>
      <w:r w:rsidRPr="001C6EC9">
        <w:rPr>
          <w:rFonts w:ascii="Verdana" w:hAnsi="Verdana"/>
          <w:sz w:val="20"/>
          <w:szCs w:val="20"/>
          <w:lang w:val="en-US"/>
        </w:rPr>
        <w:t>6 to</w:t>
      </w:r>
      <w:r w:rsidR="00020007" w:rsidRPr="001C6EC9">
        <w:rPr>
          <w:rFonts w:ascii="Verdana" w:hAnsi="Verdana"/>
          <w:sz w:val="20"/>
          <w:szCs w:val="20"/>
          <w:lang w:val="en-US"/>
        </w:rPr>
        <w:t xml:space="preserve"> 98</w:t>
      </w:r>
      <w:r w:rsidR="004748A3" w:rsidRPr="001C6EC9">
        <w:rPr>
          <w:rFonts w:ascii="Verdana" w:hAnsi="Verdana"/>
          <w:sz w:val="20"/>
          <w:szCs w:val="20"/>
          <w:lang w:val="en-US"/>
        </w:rPr>
        <w:t>).</w:t>
      </w:r>
    </w:p>
    <w:p w14:paraId="63126986" w14:textId="77777777" w:rsidR="00CA4D4B" w:rsidRPr="00FE7BA7" w:rsidRDefault="00CA4D4B" w:rsidP="00E477FD">
      <w:pPr>
        <w:pStyle w:val="ListParagraph"/>
        <w:rPr>
          <w:rFonts w:ascii="Verdana" w:hAnsi="Verdana"/>
          <w:sz w:val="20"/>
          <w:szCs w:val="20"/>
          <w:lang w:val="en-US"/>
        </w:rPr>
      </w:pPr>
    </w:p>
    <w:p w14:paraId="63126987" w14:textId="57C46034" w:rsidR="001B19DD" w:rsidRPr="00FE7BA7" w:rsidRDefault="000E16B8" w:rsidP="001B19DD">
      <w:pPr>
        <w:pStyle w:val="ListParagraph"/>
        <w:numPr>
          <w:ilvl w:val="0"/>
          <w:numId w:val="2"/>
        </w:numPr>
        <w:ind w:left="0" w:hanging="11"/>
        <w:jc w:val="both"/>
        <w:rPr>
          <w:rFonts w:ascii="Verdana" w:hAnsi="Verdana"/>
          <w:b/>
          <w:sz w:val="20"/>
          <w:szCs w:val="20"/>
          <w:lang w:val="en-US"/>
        </w:rPr>
      </w:pPr>
      <w:r w:rsidRPr="00FE7BA7">
        <w:rPr>
          <w:rFonts w:ascii="Verdana" w:hAnsi="Verdana"/>
          <w:sz w:val="20"/>
          <w:szCs w:val="20"/>
          <w:lang w:val="en-US"/>
        </w:rPr>
        <w:t>Even though</w:t>
      </w:r>
      <w:r w:rsidR="00EA66FF" w:rsidRPr="00FE7BA7">
        <w:rPr>
          <w:rFonts w:ascii="Verdana" w:hAnsi="Verdana"/>
          <w:sz w:val="20"/>
          <w:szCs w:val="20"/>
          <w:lang w:val="en-US"/>
        </w:rPr>
        <w:t xml:space="preserve"> </w:t>
      </w:r>
      <w:r w:rsidR="002B5CCD" w:rsidRPr="00FE7BA7">
        <w:rPr>
          <w:rFonts w:ascii="Verdana" w:hAnsi="Verdana"/>
          <w:sz w:val="20"/>
          <w:szCs w:val="20"/>
          <w:lang w:val="en-US"/>
        </w:rPr>
        <w:t>the Court</w:t>
      </w:r>
      <w:r w:rsidR="002109E0" w:rsidRPr="00FE7BA7">
        <w:rPr>
          <w:rFonts w:ascii="Verdana" w:hAnsi="Verdana"/>
          <w:sz w:val="20"/>
          <w:szCs w:val="20"/>
          <w:lang w:val="en-US"/>
        </w:rPr>
        <w:t xml:space="preserve"> </w:t>
      </w:r>
      <w:r w:rsidRPr="00FE7BA7">
        <w:rPr>
          <w:rFonts w:ascii="Verdana" w:hAnsi="Verdana"/>
          <w:sz w:val="20"/>
          <w:szCs w:val="20"/>
          <w:lang w:val="en-US"/>
        </w:rPr>
        <w:t xml:space="preserve">does not have </w:t>
      </w:r>
      <w:r w:rsidR="00F3787D">
        <w:rPr>
          <w:rFonts w:ascii="Verdana" w:hAnsi="Verdana"/>
          <w:sz w:val="20"/>
          <w:szCs w:val="20"/>
          <w:lang w:val="en-US"/>
        </w:rPr>
        <w:t>precise</w:t>
      </w:r>
      <w:r w:rsidRPr="00FE7BA7">
        <w:rPr>
          <w:rFonts w:ascii="Verdana" w:hAnsi="Verdana"/>
          <w:sz w:val="20"/>
          <w:szCs w:val="20"/>
          <w:lang w:val="en-US"/>
        </w:rPr>
        <w:t xml:space="preserve"> in</w:t>
      </w:r>
      <w:r w:rsidR="00F3787D">
        <w:rPr>
          <w:rFonts w:ascii="Verdana" w:hAnsi="Verdana"/>
          <w:sz w:val="20"/>
          <w:szCs w:val="20"/>
          <w:lang w:val="en-US"/>
        </w:rPr>
        <w:t>formation on the number, location</w:t>
      </w:r>
      <w:r w:rsidRPr="00FE7BA7">
        <w:rPr>
          <w:rFonts w:ascii="Verdana" w:hAnsi="Verdana"/>
          <w:sz w:val="20"/>
          <w:szCs w:val="20"/>
          <w:lang w:val="en-US"/>
        </w:rPr>
        <w:t xml:space="preserve">, area and date of issue of the property titles or leases, the helpful information </w:t>
      </w:r>
      <w:r w:rsidR="001030B1">
        <w:rPr>
          <w:rFonts w:ascii="Verdana" w:hAnsi="Verdana"/>
          <w:sz w:val="20"/>
          <w:szCs w:val="20"/>
          <w:lang w:val="en-US"/>
        </w:rPr>
        <w:t>submitted</w:t>
      </w:r>
      <w:r w:rsidR="001030B1" w:rsidRPr="00FE7BA7">
        <w:rPr>
          <w:rFonts w:ascii="Verdana" w:hAnsi="Verdana"/>
          <w:sz w:val="20"/>
          <w:szCs w:val="20"/>
          <w:lang w:val="en-US"/>
        </w:rPr>
        <w:t xml:space="preserve"> </w:t>
      </w:r>
      <w:r w:rsidRPr="00FE7BA7">
        <w:rPr>
          <w:rFonts w:ascii="Verdana" w:hAnsi="Verdana"/>
          <w:sz w:val="20"/>
          <w:szCs w:val="20"/>
          <w:lang w:val="en-US"/>
        </w:rPr>
        <w:t xml:space="preserve">by the State reveals, </w:t>
      </w:r>
      <w:r w:rsidR="00FE7BA7" w:rsidRPr="00FE7BA7">
        <w:rPr>
          <w:rFonts w:ascii="Verdana" w:hAnsi="Verdana"/>
          <w:sz w:val="20"/>
          <w:szCs w:val="20"/>
          <w:lang w:val="en-US"/>
        </w:rPr>
        <w:t>at</w:t>
      </w:r>
      <w:r w:rsidRPr="00FE7BA7">
        <w:rPr>
          <w:rFonts w:ascii="Verdana" w:hAnsi="Verdana"/>
          <w:sz w:val="20"/>
          <w:szCs w:val="20"/>
          <w:lang w:val="en-US"/>
        </w:rPr>
        <w:t xml:space="preserve"> least, the existence of </w:t>
      </w:r>
      <w:r w:rsidR="00FE7BA7" w:rsidRPr="00FE7BA7">
        <w:rPr>
          <w:rFonts w:ascii="Verdana" w:hAnsi="Verdana"/>
          <w:sz w:val="20"/>
          <w:szCs w:val="20"/>
          <w:lang w:val="en-US"/>
        </w:rPr>
        <w:t>several</w:t>
      </w:r>
      <w:r w:rsidRPr="00FE7BA7">
        <w:rPr>
          <w:rFonts w:ascii="Verdana" w:hAnsi="Verdana"/>
          <w:sz w:val="20"/>
          <w:szCs w:val="20"/>
          <w:lang w:val="en-US"/>
        </w:rPr>
        <w:t xml:space="preserve"> titles registered in the Suriname Domains Office, all of the</w:t>
      </w:r>
      <w:r w:rsidR="00F3787D">
        <w:rPr>
          <w:rFonts w:ascii="Verdana" w:hAnsi="Verdana"/>
          <w:sz w:val="20"/>
          <w:szCs w:val="20"/>
          <w:lang w:val="en-US"/>
        </w:rPr>
        <w:t>m</w:t>
      </w:r>
      <w:r w:rsidRPr="00FE7BA7">
        <w:rPr>
          <w:rFonts w:ascii="Verdana" w:hAnsi="Verdana"/>
          <w:sz w:val="20"/>
          <w:szCs w:val="20"/>
          <w:lang w:val="en-US"/>
        </w:rPr>
        <w:t xml:space="preserve"> located within the </w:t>
      </w:r>
      <w:r w:rsidR="00EA66FF" w:rsidRPr="00FE7BA7">
        <w:rPr>
          <w:rFonts w:ascii="Verdana" w:hAnsi="Verdana"/>
          <w:sz w:val="20"/>
          <w:szCs w:val="20"/>
          <w:lang w:val="en-US"/>
        </w:rPr>
        <w:t>Tuinstad Albina</w:t>
      </w:r>
      <w:r w:rsidRPr="00FE7BA7">
        <w:rPr>
          <w:rFonts w:ascii="Verdana" w:hAnsi="Verdana"/>
          <w:sz w:val="20"/>
          <w:szCs w:val="20"/>
          <w:lang w:val="en-US"/>
        </w:rPr>
        <w:t xml:space="preserve"> project</w:t>
      </w:r>
      <w:r w:rsidR="001B19DD" w:rsidRPr="00FE7BA7">
        <w:rPr>
          <w:rFonts w:ascii="Verdana" w:hAnsi="Verdana"/>
          <w:sz w:val="20"/>
          <w:szCs w:val="20"/>
          <w:lang w:val="en-US"/>
        </w:rPr>
        <w:t xml:space="preserve"> (</w:t>
      </w:r>
      <w:r w:rsidR="001B19DD" w:rsidRPr="00FE7BA7">
        <w:rPr>
          <w:rFonts w:ascii="Verdana" w:hAnsi="Verdana"/>
          <w:i/>
          <w:sz w:val="20"/>
          <w:szCs w:val="20"/>
          <w:lang w:val="en-US"/>
        </w:rPr>
        <w:t>supra</w:t>
      </w:r>
      <w:r w:rsidR="001B19DD" w:rsidRPr="00FE7BA7">
        <w:rPr>
          <w:rFonts w:ascii="Verdana" w:hAnsi="Verdana"/>
          <w:sz w:val="20"/>
          <w:szCs w:val="20"/>
          <w:lang w:val="en-US"/>
        </w:rPr>
        <w:t xml:space="preserve"> </w:t>
      </w:r>
      <w:r w:rsidR="00810FAD" w:rsidRPr="00FE7BA7">
        <w:rPr>
          <w:rFonts w:ascii="Verdana" w:hAnsi="Verdana"/>
          <w:sz w:val="20"/>
          <w:szCs w:val="20"/>
          <w:lang w:val="en-US"/>
        </w:rPr>
        <w:t>para.</w:t>
      </w:r>
      <w:r w:rsidR="001B19DD" w:rsidRPr="00FE7BA7">
        <w:rPr>
          <w:rFonts w:ascii="Verdana" w:hAnsi="Verdana"/>
          <w:sz w:val="20"/>
          <w:szCs w:val="20"/>
          <w:lang w:val="en-US"/>
        </w:rPr>
        <w:t xml:space="preserve"> </w:t>
      </w:r>
      <w:r w:rsidR="00DB62DD" w:rsidRPr="00FE7BA7">
        <w:rPr>
          <w:rFonts w:ascii="Verdana" w:hAnsi="Verdana"/>
          <w:sz w:val="20"/>
          <w:szCs w:val="20"/>
          <w:lang w:val="en-US"/>
        </w:rPr>
        <w:t>27</w:t>
      </w:r>
      <w:r w:rsidR="001B19DD" w:rsidRPr="00FE7BA7">
        <w:rPr>
          <w:rFonts w:ascii="Verdana" w:hAnsi="Verdana"/>
          <w:sz w:val="20"/>
          <w:szCs w:val="20"/>
          <w:lang w:val="en-US"/>
        </w:rPr>
        <w:t>)</w:t>
      </w:r>
      <w:r w:rsidR="0014427B" w:rsidRPr="00FE7BA7">
        <w:rPr>
          <w:rFonts w:ascii="Verdana" w:hAnsi="Verdana"/>
          <w:sz w:val="20"/>
          <w:szCs w:val="20"/>
          <w:lang w:val="en-US"/>
        </w:rPr>
        <w:t>.</w:t>
      </w:r>
      <w:r w:rsidR="00EA66FF" w:rsidRPr="00FE7BA7">
        <w:rPr>
          <w:rFonts w:ascii="Verdana" w:hAnsi="Verdana"/>
          <w:sz w:val="20"/>
          <w:szCs w:val="20"/>
          <w:lang w:val="en-US"/>
        </w:rPr>
        <w:t xml:space="preserve"> </w:t>
      </w:r>
      <w:r w:rsidRPr="00FE7BA7">
        <w:rPr>
          <w:rFonts w:ascii="Verdana" w:hAnsi="Verdana"/>
          <w:sz w:val="20"/>
          <w:szCs w:val="20"/>
          <w:lang w:val="en-US"/>
        </w:rPr>
        <w:t xml:space="preserve">Some of them refer to private property, and others to short- and long-term leases granted to private individuals on lands </w:t>
      </w:r>
      <w:r w:rsidRPr="00FE7BA7">
        <w:rPr>
          <w:rFonts w:ascii="Verdana" w:hAnsi="Verdana"/>
          <w:sz w:val="20"/>
          <w:szCs w:val="20"/>
          <w:lang w:val="en-US"/>
        </w:rPr>
        <w:lastRenderedPageBreak/>
        <w:t>allegedly owned by th</w:t>
      </w:r>
      <w:r w:rsidR="00F3787D">
        <w:rPr>
          <w:rFonts w:ascii="Verdana" w:hAnsi="Verdana"/>
          <w:sz w:val="20"/>
          <w:szCs w:val="20"/>
          <w:lang w:val="en-US"/>
        </w:rPr>
        <w:t xml:space="preserve">e State. </w:t>
      </w:r>
      <w:r w:rsidRPr="00FE7BA7">
        <w:rPr>
          <w:rFonts w:ascii="Verdana" w:hAnsi="Verdana"/>
          <w:sz w:val="20"/>
          <w:szCs w:val="20"/>
          <w:lang w:val="en-US"/>
        </w:rPr>
        <w:t xml:space="preserve">Furthermore, the body of evidence in the case includes a partial list with the names of </w:t>
      </w:r>
      <w:r w:rsidR="00B628A8">
        <w:rPr>
          <w:rFonts w:ascii="Verdana" w:hAnsi="Verdana"/>
          <w:sz w:val="20"/>
          <w:szCs w:val="20"/>
          <w:lang w:val="en-US"/>
        </w:rPr>
        <w:t>approximately 17</w:t>
      </w:r>
      <w:r w:rsidR="002109E0" w:rsidRPr="00FE7BA7">
        <w:rPr>
          <w:rFonts w:ascii="Verdana" w:hAnsi="Verdana"/>
          <w:sz w:val="20"/>
          <w:szCs w:val="20"/>
          <w:lang w:val="en-US"/>
        </w:rPr>
        <w:t xml:space="preserve"> </w:t>
      </w:r>
      <w:r w:rsidRPr="00FE7BA7">
        <w:rPr>
          <w:rFonts w:ascii="Verdana" w:hAnsi="Verdana"/>
          <w:sz w:val="20"/>
          <w:szCs w:val="20"/>
          <w:lang w:val="en-US"/>
        </w:rPr>
        <w:t>non-indigenous persons</w:t>
      </w:r>
      <w:r w:rsidR="002109E0" w:rsidRPr="00FE7BA7">
        <w:rPr>
          <w:rFonts w:ascii="Verdana" w:hAnsi="Verdana"/>
          <w:sz w:val="20"/>
          <w:szCs w:val="20"/>
          <w:lang w:val="en-US"/>
        </w:rPr>
        <w:t xml:space="preserve"> </w:t>
      </w:r>
      <w:r w:rsidRPr="00FE7BA7">
        <w:rPr>
          <w:rFonts w:ascii="Verdana" w:hAnsi="Verdana"/>
          <w:sz w:val="20"/>
          <w:szCs w:val="20"/>
          <w:lang w:val="en-US"/>
        </w:rPr>
        <w:t xml:space="preserve">who own title to land in the territories of the indigenous peoples of </w:t>
      </w:r>
      <w:r w:rsidR="002109E0" w:rsidRPr="00FE7BA7">
        <w:rPr>
          <w:rFonts w:ascii="Verdana" w:hAnsi="Verdana"/>
          <w:sz w:val="20"/>
          <w:szCs w:val="20"/>
          <w:lang w:val="en-US"/>
        </w:rPr>
        <w:t>Pierrekondre</w:t>
      </w:r>
      <w:r w:rsidR="002B5CCD" w:rsidRPr="00FE7BA7">
        <w:rPr>
          <w:rFonts w:ascii="Verdana" w:hAnsi="Verdana"/>
          <w:sz w:val="20"/>
          <w:szCs w:val="20"/>
          <w:lang w:val="en-US"/>
        </w:rPr>
        <w:t xml:space="preserve"> and </w:t>
      </w:r>
      <w:r w:rsidR="00F1174A" w:rsidRPr="00F3787D">
        <w:rPr>
          <w:rFonts w:ascii="Verdana" w:hAnsi="Verdana"/>
          <w:sz w:val="20"/>
          <w:szCs w:val="20"/>
          <w:lang w:val="en-US"/>
        </w:rPr>
        <w:t>Marijkedorp (Wan Shi Sha)</w:t>
      </w:r>
      <w:r w:rsidRPr="00F3787D">
        <w:rPr>
          <w:rFonts w:ascii="Verdana" w:hAnsi="Verdana"/>
          <w:sz w:val="20"/>
          <w:szCs w:val="20"/>
          <w:lang w:val="en-US"/>
        </w:rPr>
        <w:t>.</w:t>
      </w:r>
      <w:r w:rsidR="002109E0" w:rsidRPr="00F3787D">
        <w:rPr>
          <w:rStyle w:val="FootnoteReference"/>
          <w:szCs w:val="20"/>
          <w:lang w:val="en-US"/>
        </w:rPr>
        <w:footnoteReference w:id="183"/>
      </w:r>
      <w:r w:rsidRPr="00F3787D">
        <w:rPr>
          <w:rFonts w:ascii="Verdana" w:hAnsi="Verdana"/>
          <w:sz w:val="20"/>
          <w:szCs w:val="20"/>
          <w:lang w:val="en-US"/>
        </w:rPr>
        <w:t xml:space="preserve"> The Court is unaware of the type of title granted (ownership or leasehold)</w:t>
      </w:r>
      <w:r w:rsidR="00F3787D" w:rsidRPr="00F3787D">
        <w:rPr>
          <w:rFonts w:ascii="Verdana" w:hAnsi="Verdana"/>
          <w:sz w:val="20"/>
          <w:szCs w:val="20"/>
          <w:lang w:val="en-US"/>
        </w:rPr>
        <w:t>.</w:t>
      </w:r>
    </w:p>
    <w:p w14:paraId="63126988" w14:textId="77777777" w:rsidR="00B15FEF" w:rsidRPr="00FE7BA7" w:rsidRDefault="00B15FEF">
      <w:pPr>
        <w:pStyle w:val="ListParagraph"/>
        <w:ind w:left="0"/>
        <w:jc w:val="both"/>
        <w:rPr>
          <w:rFonts w:ascii="Verdana" w:hAnsi="Verdana"/>
          <w:b/>
          <w:sz w:val="20"/>
          <w:szCs w:val="20"/>
          <w:lang w:val="en-US"/>
        </w:rPr>
      </w:pPr>
    </w:p>
    <w:p w14:paraId="63126989" w14:textId="77777777" w:rsidR="001920C5" w:rsidRPr="00FE7BA7" w:rsidRDefault="000E16B8" w:rsidP="001920C5">
      <w:pPr>
        <w:pStyle w:val="ListParagraph"/>
        <w:numPr>
          <w:ilvl w:val="0"/>
          <w:numId w:val="2"/>
        </w:numPr>
        <w:ind w:left="0" w:hanging="11"/>
        <w:jc w:val="both"/>
        <w:rPr>
          <w:rFonts w:ascii="Verdana" w:hAnsi="Verdana"/>
          <w:sz w:val="20"/>
          <w:szCs w:val="20"/>
          <w:lang w:val="en-US"/>
        </w:rPr>
      </w:pPr>
      <w:r w:rsidRPr="00FE7BA7">
        <w:rPr>
          <w:rFonts w:ascii="Verdana" w:hAnsi="Verdana"/>
          <w:sz w:val="20"/>
          <w:lang w:val="en-US"/>
        </w:rPr>
        <w:t>Furthermore, during</w:t>
      </w:r>
      <w:r w:rsidR="002109E0" w:rsidRPr="00FE7BA7">
        <w:rPr>
          <w:rFonts w:ascii="Verdana" w:hAnsi="Verdana"/>
          <w:sz w:val="20"/>
          <w:lang w:val="en-US"/>
        </w:rPr>
        <w:t xml:space="preserve"> </w:t>
      </w:r>
      <w:r w:rsidR="003F59F5" w:rsidRPr="00FE7BA7">
        <w:rPr>
          <w:rFonts w:ascii="Verdana" w:hAnsi="Verdana"/>
          <w:sz w:val="20"/>
          <w:lang w:val="en-US"/>
        </w:rPr>
        <w:t>the on-site procedure</w:t>
      </w:r>
      <w:r w:rsidR="002109E0" w:rsidRPr="00FE7BA7">
        <w:rPr>
          <w:rFonts w:ascii="Verdana" w:hAnsi="Verdana"/>
          <w:sz w:val="20"/>
          <w:lang w:val="en-US"/>
        </w:rPr>
        <w:t xml:space="preserve">, </w:t>
      </w:r>
      <w:r w:rsidRPr="00FE7BA7">
        <w:rPr>
          <w:rFonts w:ascii="Verdana" w:hAnsi="Verdana"/>
          <w:sz w:val="20"/>
          <w:lang w:val="en-US"/>
        </w:rPr>
        <w:t>the Court</w:t>
      </w:r>
      <w:r w:rsidR="00F3787D">
        <w:rPr>
          <w:rFonts w:ascii="Verdana" w:hAnsi="Verdana"/>
          <w:sz w:val="20"/>
          <w:lang w:val="en-US"/>
        </w:rPr>
        <w:t>’s</w:t>
      </w:r>
      <w:r w:rsidRPr="00FE7BA7">
        <w:rPr>
          <w:rFonts w:ascii="Verdana" w:hAnsi="Verdana"/>
          <w:sz w:val="20"/>
          <w:lang w:val="en-US"/>
        </w:rPr>
        <w:t xml:space="preserve"> delegation was able to verify the existence of seve</w:t>
      </w:r>
      <w:r w:rsidR="00F3787D">
        <w:rPr>
          <w:rFonts w:ascii="Verdana" w:hAnsi="Verdana"/>
          <w:sz w:val="20"/>
          <w:lang w:val="en-US"/>
        </w:rPr>
        <w:t>ral buildings on the territory</w:t>
      </w:r>
      <w:r w:rsidRPr="00FE7BA7">
        <w:rPr>
          <w:rFonts w:ascii="Verdana" w:hAnsi="Verdana"/>
          <w:sz w:val="20"/>
          <w:lang w:val="en-US"/>
        </w:rPr>
        <w:t xml:space="preserve"> of</w:t>
      </w:r>
      <w:r w:rsidR="002109E0" w:rsidRPr="00FE7BA7">
        <w:rPr>
          <w:rFonts w:ascii="Verdana" w:hAnsi="Verdana"/>
          <w:sz w:val="20"/>
          <w:lang w:val="en-US"/>
        </w:rPr>
        <w:t xml:space="preserve"> Pierrekondre</w:t>
      </w:r>
      <w:r w:rsidR="002B5CCD" w:rsidRPr="00FE7BA7">
        <w:rPr>
          <w:rFonts w:ascii="Verdana" w:hAnsi="Verdana"/>
          <w:sz w:val="20"/>
          <w:lang w:val="en-US"/>
        </w:rPr>
        <w:t xml:space="preserve"> and </w:t>
      </w:r>
      <w:r w:rsidR="00F1174A" w:rsidRPr="00FE7BA7">
        <w:rPr>
          <w:rFonts w:ascii="Verdana" w:hAnsi="Verdana"/>
          <w:sz w:val="20"/>
          <w:lang w:val="en-US"/>
        </w:rPr>
        <w:t>Marijkedorp (Wan Shi Sha)</w:t>
      </w:r>
      <w:r w:rsidR="002109E0" w:rsidRPr="00FE7BA7">
        <w:rPr>
          <w:rFonts w:ascii="Verdana" w:hAnsi="Verdana"/>
          <w:sz w:val="20"/>
          <w:lang w:val="en-US"/>
        </w:rPr>
        <w:t>, loca</w:t>
      </w:r>
      <w:r w:rsidRPr="00FE7BA7">
        <w:rPr>
          <w:rFonts w:ascii="Verdana" w:hAnsi="Verdana"/>
          <w:sz w:val="20"/>
          <w:lang w:val="en-US"/>
        </w:rPr>
        <w:t>ted on the banks of the Marowijne River</w:t>
      </w:r>
      <w:r w:rsidR="002109E0" w:rsidRPr="00FE7BA7">
        <w:rPr>
          <w:rFonts w:ascii="Verdana" w:hAnsi="Verdana"/>
          <w:sz w:val="20"/>
          <w:lang w:val="en-US"/>
        </w:rPr>
        <w:t>,</w:t>
      </w:r>
      <w:r w:rsidR="00831049" w:rsidRPr="00FE7BA7">
        <w:rPr>
          <w:rFonts w:ascii="Verdana" w:hAnsi="Verdana"/>
          <w:sz w:val="20"/>
          <w:lang w:val="en-US"/>
        </w:rPr>
        <w:t xml:space="preserve"> </w:t>
      </w:r>
      <w:r w:rsidRPr="00FE7BA7">
        <w:rPr>
          <w:rFonts w:ascii="Verdana" w:hAnsi="Verdana"/>
          <w:sz w:val="20"/>
          <w:lang w:val="en-US"/>
        </w:rPr>
        <w:t xml:space="preserve">which are </w:t>
      </w:r>
      <w:r w:rsidR="00FE7BA7" w:rsidRPr="00FE7BA7">
        <w:rPr>
          <w:rFonts w:ascii="Verdana" w:hAnsi="Verdana"/>
          <w:sz w:val="20"/>
          <w:lang w:val="en-US"/>
        </w:rPr>
        <w:t>presumably</w:t>
      </w:r>
      <w:r w:rsidRPr="00FE7BA7">
        <w:rPr>
          <w:rFonts w:ascii="Verdana" w:hAnsi="Verdana"/>
          <w:sz w:val="20"/>
          <w:lang w:val="en-US"/>
        </w:rPr>
        <w:t xml:space="preserve"> </w:t>
      </w:r>
      <w:r w:rsidR="00965219">
        <w:rPr>
          <w:rFonts w:ascii="Verdana" w:hAnsi="Verdana"/>
          <w:sz w:val="20"/>
          <w:lang w:val="en-US"/>
        </w:rPr>
        <w:t>vacation</w:t>
      </w:r>
      <w:r w:rsidR="009566E9">
        <w:rPr>
          <w:rFonts w:ascii="Verdana" w:hAnsi="Verdana"/>
          <w:sz w:val="20"/>
          <w:lang w:val="en-US"/>
        </w:rPr>
        <w:t xml:space="preserve"> </w:t>
      </w:r>
      <w:r w:rsidRPr="00FE7BA7">
        <w:rPr>
          <w:rFonts w:ascii="Verdana" w:hAnsi="Verdana"/>
          <w:sz w:val="20"/>
          <w:lang w:val="en-US"/>
        </w:rPr>
        <w:t>homes of third parties.</w:t>
      </w:r>
      <w:r w:rsidR="002109E0" w:rsidRPr="00FE7BA7">
        <w:rPr>
          <w:rStyle w:val="FootnoteReference"/>
          <w:lang w:val="en-US"/>
        </w:rPr>
        <w:footnoteReference w:id="184"/>
      </w:r>
      <w:r w:rsidRPr="00FE7BA7">
        <w:rPr>
          <w:rFonts w:ascii="Verdana" w:hAnsi="Verdana"/>
          <w:sz w:val="20"/>
          <w:lang w:val="en-US"/>
        </w:rPr>
        <w:t xml:space="preserve"> These buildings have security devices preventing </w:t>
      </w:r>
      <w:r w:rsidR="00F3787D">
        <w:rPr>
          <w:rFonts w:ascii="Verdana" w:hAnsi="Verdana"/>
          <w:sz w:val="20"/>
          <w:lang w:val="en-US"/>
        </w:rPr>
        <w:t>entry</w:t>
      </w:r>
      <w:r w:rsidRPr="00FE7BA7">
        <w:rPr>
          <w:rFonts w:ascii="Verdana" w:hAnsi="Verdana"/>
          <w:sz w:val="20"/>
          <w:lang w:val="en-US"/>
        </w:rPr>
        <w:t xml:space="preserve">, thus restricting access to the river. In addition, the delegation observed the construction of a small building that, according to </w:t>
      </w:r>
      <w:r w:rsidR="00810FAD" w:rsidRPr="00FE7BA7">
        <w:rPr>
          <w:rFonts w:ascii="Verdana" w:hAnsi="Verdana"/>
          <w:sz w:val="20"/>
          <w:lang w:val="en-US"/>
        </w:rPr>
        <w:t>the representatives</w:t>
      </w:r>
      <w:r w:rsidR="002109E0" w:rsidRPr="00FE7BA7">
        <w:rPr>
          <w:rFonts w:ascii="Verdana" w:hAnsi="Verdana"/>
          <w:sz w:val="20"/>
          <w:lang w:val="en-US"/>
        </w:rPr>
        <w:t xml:space="preserve">, </w:t>
      </w:r>
      <w:r w:rsidRPr="00FE7BA7">
        <w:rPr>
          <w:rFonts w:ascii="Verdana" w:hAnsi="Verdana"/>
          <w:sz w:val="20"/>
          <w:lang w:val="en-US"/>
        </w:rPr>
        <w:t xml:space="preserve">consisted in a </w:t>
      </w:r>
      <w:r w:rsidR="002109E0" w:rsidRPr="00FE7BA7">
        <w:rPr>
          <w:rFonts w:ascii="Verdana" w:hAnsi="Verdana"/>
          <w:sz w:val="20"/>
          <w:lang w:val="en-US"/>
        </w:rPr>
        <w:t>hotel-casino</w:t>
      </w:r>
      <w:r w:rsidRPr="00FE7BA7">
        <w:rPr>
          <w:rFonts w:ascii="Verdana" w:hAnsi="Verdana"/>
          <w:sz w:val="20"/>
          <w:lang w:val="en-US"/>
        </w:rPr>
        <w:t>.</w:t>
      </w:r>
      <w:r w:rsidR="002109E0" w:rsidRPr="00FE7BA7">
        <w:rPr>
          <w:rStyle w:val="FootnoteReference"/>
          <w:lang w:val="en-US"/>
        </w:rPr>
        <w:footnoteReference w:id="185"/>
      </w:r>
      <w:r w:rsidRPr="00FE7BA7">
        <w:rPr>
          <w:rFonts w:ascii="Verdana" w:hAnsi="Verdana"/>
          <w:sz w:val="20"/>
          <w:lang w:val="en-US"/>
        </w:rPr>
        <w:t xml:space="preserve"> Thus, the Court </w:t>
      </w:r>
      <w:r w:rsidR="0086680E">
        <w:rPr>
          <w:rFonts w:ascii="Verdana" w:hAnsi="Verdana"/>
          <w:sz w:val="20"/>
          <w:lang w:val="en-US"/>
        </w:rPr>
        <w:t xml:space="preserve">has </w:t>
      </w:r>
      <w:r w:rsidRPr="00FE7BA7">
        <w:rPr>
          <w:rFonts w:ascii="Verdana" w:hAnsi="Verdana"/>
          <w:sz w:val="20"/>
          <w:lang w:val="en-US"/>
        </w:rPr>
        <w:t xml:space="preserve">verified that some </w:t>
      </w:r>
      <w:r w:rsidR="00511E56" w:rsidRPr="00FE7BA7">
        <w:rPr>
          <w:rFonts w:ascii="Verdana" w:hAnsi="Verdana"/>
          <w:sz w:val="20"/>
          <w:lang w:val="en-US"/>
        </w:rPr>
        <w:t xml:space="preserve">of the </w:t>
      </w:r>
      <w:r w:rsidR="00F3787D">
        <w:rPr>
          <w:rFonts w:ascii="Verdana" w:hAnsi="Verdana"/>
          <w:sz w:val="20"/>
          <w:lang w:val="en-US"/>
        </w:rPr>
        <w:t>land</w:t>
      </w:r>
      <w:r w:rsidR="002109E0" w:rsidRPr="00FE7BA7">
        <w:rPr>
          <w:rFonts w:ascii="Verdana" w:hAnsi="Verdana"/>
          <w:sz w:val="20"/>
          <w:lang w:val="en-US"/>
        </w:rPr>
        <w:t xml:space="preserve"> </w:t>
      </w:r>
      <w:r w:rsidRPr="00FE7BA7">
        <w:rPr>
          <w:rFonts w:ascii="Verdana" w:hAnsi="Verdana"/>
          <w:sz w:val="20"/>
          <w:lang w:val="en-US"/>
        </w:rPr>
        <w:t>claimed by</w:t>
      </w:r>
      <w:r w:rsidR="002109E0" w:rsidRPr="00FE7BA7">
        <w:rPr>
          <w:rFonts w:ascii="Verdana" w:hAnsi="Verdana"/>
          <w:sz w:val="20"/>
          <w:lang w:val="en-US"/>
        </w:rPr>
        <w:t xml:space="preserve"> </w:t>
      </w:r>
      <w:r w:rsidR="002B5CCD" w:rsidRPr="00FE7BA7">
        <w:rPr>
          <w:rFonts w:ascii="Verdana" w:hAnsi="Verdana"/>
          <w:sz w:val="20"/>
          <w:lang w:val="en-US"/>
        </w:rPr>
        <w:t xml:space="preserve">the </w:t>
      </w:r>
      <w:r w:rsidR="004C7D14" w:rsidRPr="00FE7BA7">
        <w:rPr>
          <w:rFonts w:ascii="Verdana" w:hAnsi="Verdana"/>
          <w:sz w:val="20"/>
          <w:lang w:val="en-US"/>
        </w:rPr>
        <w:t>Kaliña and Lokono peoples</w:t>
      </w:r>
      <w:r w:rsidRPr="00FE7BA7">
        <w:rPr>
          <w:rFonts w:ascii="Verdana" w:hAnsi="Verdana"/>
          <w:sz w:val="20"/>
          <w:lang w:val="en-US"/>
        </w:rPr>
        <w:t xml:space="preserve"> is owned </w:t>
      </w:r>
      <w:r w:rsidR="00F3787D">
        <w:rPr>
          <w:rFonts w:ascii="Verdana" w:hAnsi="Verdana"/>
          <w:sz w:val="20"/>
          <w:lang w:val="en-US"/>
        </w:rPr>
        <w:t>by non-indigenous third parties. However,</w:t>
      </w:r>
      <w:r w:rsidRPr="00FE7BA7">
        <w:rPr>
          <w:rFonts w:ascii="Verdana" w:hAnsi="Verdana"/>
          <w:sz w:val="20"/>
          <w:lang w:val="en-US"/>
        </w:rPr>
        <w:t xml:space="preserve"> despite this, the members of these peoples “still, today, consider that those lands belong to them.”</w:t>
      </w:r>
      <w:r w:rsidR="001920C5" w:rsidRPr="00FE7BA7">
        <w:rPr>
          <w:rStyle w:val="FootnoteReference"/>
          <w:szCs w:val="26"/>
          <w:lang w:val="en-US"/>
        </w:rPr>
        <w:footnoteReference w:id="186"/>
      </w:r>
      <w:r w:rsidR="001920C5" w:rsidRPr="00FE7BA7">
        <w:rPr>
          <w:rFonts w:ascii="Verdana" w:hAnsi="Verdana"/>
          <w:sz w:val="20"/>
          <w:szCs w:val="20"/>
          <w:lang w:val="en-US"/>
        </w:rPr>
        <w:t xml:space="preserve"> </w:t>
      </w:r>
    </w:p>
    <w:p w14:paraId="6312698A" w14:textId="77777777" w:rsidR="007304C6" w:rsidRPr="00FE7BA7" w:rsidRDefault="007304C6" w:rsidP="007304C6">
      <w:pPr>
        <w:pStyle w:val="ListParagraph"/>
        <w:rPr>
          <w:rFonts w:ascii="Verdana" w:hAnsi="Verdana"/>
          <w:sz w:val="20"/>
          <w:szCs w:val="20"/>
          <w:lang w:val="en-US"/>
        </w:rPr>
      </w:pPr>
    </w:p>
    <w:p w14:paraId="6312698B" w14:textId="77777777" w:rsidR="007304C6" w:rsidRPr="00FE7BA7" w:rsidRDefault="000E16B8" w:rsidP="007304C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During</w:t>
      </w:r>
      <w:r w:rsidR="007304C6" w:rsidRPr="00FE7BA7">
        <w:rPr>
          <w:rFonts w:ascii="Verdana" w:hAnsi="Verdana"/>
          <w:sz w:val="20"/>
          <w:szCs w:val="20"/>
          <w:lang w:val="en-US"/>
        </w:rPr>
        <w:t xml:space="preserve"> </w:t>
      </w:r>
      <w:r w:rsidR="003F59F5" w:rsidRPr="00FE7BA7">
        <w:rPr>
          <w:rFonts w:ascii="Verdana" w:hAnsi="Verdana"/>
          <w:sz w:val="20"/>
          <w:szCs w:val="20"/>
          <w:lang w:val="en-US"/>
        </w:rPr>
        <w:t>the on-site procedure</w:t>
      </w:r>
      <w:r w:rsidRPr="00FE7BA7">
        <w:rPr>
          <w:rFonts w:ascii="Verdana" w:hAnsi="Verdana"/>
          <w:sz w:val="20"/>
          <w:szCs w:val="20"/>
          <w:lang w:val="en-US"/>
        </w:rPr>
        <w:t>, the Court also corroborated that</w:t>
      </w:r>
      <w:r w:rsidR="007304C6" w:rsidRPr="00FE7BA7">
        <w:rPr>
          <w:rFonts w:ascii="Verdana" w:hAnsi="Verdana"/>
          <w:sz w:val="20"/>
          <w:szCs w:val="20"/>
          <w:lang w:val="en-US"/>
        </w:rPr>
        <w:t xml:space="preserve"> </w:t>
      </w:r>
      <w:r w:rsidRPr="00FE7BA7">
        <w:rPr>
          <w:rFonts w:ascii="Verdana" w:hAnsi="Verdana"/>
          <w:sz w:val="20"/>
          <w:szCs w:val="20"/>
          <w:lang w:val="en-US"/>
        </w:rPr>
        <w:t xml:space="preserve">the residential </w:t>
      </w:r>
      <w:r w:rsidR="00F3787D">
        <w:rPr>
          <w:rFonts w:ascii="Verdana" w:hAnsi="Verdana"/>
          <w:sz w:val="20"/>
          <w:szCs w:val="20"/>
          <w:lang w:val="en-US"/>
        </w:rPr>
        <w:t>area</w:t>
      </w:r>
      <w:r w:rsidRPr="00FE7BA7">
        <w:rPr>
          <w:rFonts w:ascii="Verdana" w:hAnsi="Verdana"/>
          <w:sz w:val="20"/>
          <w:szCs w:val="20"/>
          <w:lang w:val="en-US"/>
        </w:rPr>
        <w:t xml:space="preserve"> of the </w:t>
      </w:r>
      <w:r w:rsidRPr="00F3787D">
        <w:rPr>
          <w:rFonts w:ascii="Verdana" w:hAnsi="Verdana"/>
          <w:sz w:val="20"/>
          <w:szCs w:val="20"/>
          <w:lang w:val="en-US"/>
        </w:rPr>
        <w:t>villages of Erowarte</w:t>
      </w:r>
      <w:r w:rsidRPr="00FE7BA7">
        <w:rPr>
          <w:rFonts w:ascii="Verdana" w:hAnsi="Verdana"/>
          <w:sz w:val="20"/>
          <w:szCs w:val="20"/>
          <w:lang w:val="en-US"/>
        </w:rPr>
        <w:t>, Tapuku, Pierrekondre and</w:t>
      </w:r>
      <w:r w:rsidR="007304C6" w:rsidRPr="00FE7BA7">
        <w:rPr>
          <w:rFonts w:ascii="Verdana" w:hAnsi="Verdana"/>
          <w:sz w:val="20"/>
          <w:szCs w:val="20"/>
          <w:lang w:val="en-US"/>
        </w:rPr>
        <w:t xml:space="preserve"> </w:t>
      </w:r>
      <w:r w:rsidR="00F1174A" w:rsidRPr="00FE7BA7">
        <w:rPr>
          <w:rFonts w:ascii="Verdana" w:hAnsi="Verdana"/>
          <w:sz w:val="20"/>
          <w:szCs w:val="20"/>
          <w:lang w:val="en-US"/>
        </w:rPr>
        <w:t>Marijkedorp (Wan Shi Sha)</w:t>
      </w:r>
      <w:r w:rsidRPr="00FE7BA7">
        <w:rPr>
          <w:rFonts w:ascii="Verdana" w:hAnsi="Verdana"/>
          <w:sz w:val="20"/>
          <w:szCs w:val="20"/>
          <w:lang w:val="en-US"/>
        </w:rPr>
        <w:t xml:space="preserve"> is only a few meters away from the buildings of the</w:t>
      </w:r>
      <w:r w:rsidR="00F3787D">
        <w:rPr>
          <w:rFonts w:ascii="Verdana" w:hAnsi="Verdana"/>
          <w:sz w:val="20"/>
          <w:szCs w:val="20"/>
          <w:lang w:val="en-US"/>
        </w:rPr>
        <w:t xml:space="preserve"> local</w:t>
      </w:r>
      <w:r w:rsidRPr="00FE7BA7">
        <w:rPr>
          <w:rFonts w:ascii="Verdana" w:hAnsi="Verdana"/>
          <w:sz w:val="20"/>
          <w:szCs w:val="20"/>
          <w:lang w:val="en-US"/>
        </w:rPr>
        <w:t xml:space="preserve"> indigenous peoples.</w:t>
      </w:r>
      <w:r w:rsidR="007304C6" w:rsidRPr="00FE7BA7">
        <w:rPr>
          <w:rStyle w:val="FootnoteReference"/>
          <w:szCs w:val="20"/>
          <w:lang w:val="en-US"/>
        </w:rPr>
        <w:footnoteReference w:id="187"/>
      </w:r>
      <w:r w:rsidR="007304C6" w:rsidRPr="00FE7BA7">
        <w:rPr>
          <w:rFonts w:ascii="Verdana" w:hAnsi="Verdana"/>
          <w:sz w:val="20"/>
          <w:szCs w:val="20"/>
          <w:lang w:val="en-US"/>
        </w:rPr>
        <w:t xml:space="preserve"> </w:t>
      </w:r>
    </w:p>
    <w:p w14:paraId="6312698C" w14:textId="77777777" w:rsidR="001920C5" w:rsidRPr="00FE7BA7" w:rsidRDefault="001920C5" w:rsidP="00E477FD">
      <w:pPr>
        <w:pStyle w:val="ListParagraph"/>
        <w:rPr>
          <w:rFonts w:ascii="Verdana" w:hAnsi="Verdana"/>
          <w:sz w:val="20"/>
          <w:szCs w:val="20"/>
          <w:lang w:val="en-US"/>
        </w:rPr>
      </w:pPr>
    </w:p>
    <w:p w14:paraId="6312698D" w14:textId="77777777" w:rsidR="004748A3" w:rsidRPr="00FE7BA7" w:rsidRDefault="000E16B8" w:rsidP="00E477FD">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this regard, the Court’s consisten</w:t>
      </w:r>
      <w:r w:rsidR="00F3787D">
        <w:rPr>
          <w:rFonts w:ascii="Verdana" w:hAnsi="Verdana"/>
          <w:sz w:val="20"/>
          <w:szCs w:val="20"/>
          <w:lang w:val="en-US"/>
        </w:rPr>
        <w:t>t case law has established that</w:t>
      </w:r>
      <w:r w:rsidR="00967E6B" w:rsidRPr="00FE7BA7">
        <w:rPr>
          <w:rFonts w:ascii="Verdana" w:hAnsi="Verdana"/>
          <w:sz w:val="20"/>
          <w:szCs w:val="20"/>
          <w:lang w:val="en-US"/>
        </w:rPr>
        <w:t xml:space="preserve"> indigenous and tribal peoples</w:t>
      </w:r>
      <w:r w:rsidRPr="00FE7BA7">
        <w:rPr>
          <w:rFonts w:ascii="Verdana" w:hAnsi="Verdana"/>
          <w:sz w:val="20"/>
          <w:szCs w:val="20"/>
          <w:lang w:val="en-US"/>
        </w:rPr>
        <w:t xml:space="preserve"> who have lost their </w:t>
      </w:r>
      <w:r w:rsidR="00F3787D">
        <w:rPr>
          <w:rFonts w:ascii="Verdana" w:hAnsi="Verdana"/>
          <w:sz w:val="20"/>
          <w:szCs w:val="20"/>
          <w:lang w:val="en-US"/>
        </w:rPr>
        <w:t>traditional lands involuntarily</w:t>
      </w:r>
      <w:r w:rsidRPr="00FE7BA7">
        <w:rPr>
          <w:rFonts w:ascii="Verdana" w:hAnsi="Verdana"/>
          <w:sz w:val="20"/>
          <w:szCs w:val="20"/>
          <w:lang w:val="en-US"/>
        </w:rPr>
        <w:t xml:space="preserve"> have the right to request restitution</w:t>
      </w:r>
      <w:r w:rsidR="00F3787D">
        <w:rPr>
          <w:rFonts w:ascii="Verdana" w:hAnsi="Verdana"/>
          <w:sz w:val="20"/>
          <w:szCs w:val="20"/>
          <w:lang w:val="en-US"/>
        </w:rPr>
        <w:t>,</w:t>
      </w:r>
      <w:r w:rsidRPr="00FE7BA7">
        <w:rPr>
          <w:rFonts w:ascii="Verdana" w:hAnsi="Verdana"/>
          <w:sz w:val="20"/>
          <w:szCs w:val="20"/>
          <w:lang w:val="en-US"/>
        </w:rPr>
        <w:t xml:space="preserve"> or to obtain other land</w:t>
      </w:r>
      <w:r w:rsidR="00F3787D">
        <w:rPr>
          <w:rFonts w:ascii="Verdana" w:hAnsi="Verdana"/>
          <w:sz w:val="20"/>
          <w:szCs w:val="20"/>
          <w:lang w:val="en-US"/>
        </w:rPr>
        <w:t>s</w:t>
      </w:r>
      <w:r w:rsidRPr="00FE7BA7">
        <w:rPr>
          <w:rFonts w:ascii="Verdana" w:hAnsi="Verdana"/>
          <w:sz w:val="20"/>
          <w:szCs w:val="20"/>
          <w:lang w:val="en-US"/>
        </w:rPr>
        <w:t xml:space="preserve"> of the </w:t>
      </w:r>
      <w:r w:rsidRPr="00F3787D">
        <w:rPr>
          <w:rFonts w:ascii="Verdana" w:hAnsi="Verdana"/>
          <w:sz w:val="20"/>
          <w:szCs w:val="20"/>
          <w:lang w:val="en-US"/>
        </w:rPr>
        <w:t>same size</w:t>
      </w:r>
      <w:r w:rsidRPr="00FE7BA7">
        <w:rPr>
          <w:rFonts w:ascii="Verdana" w:hAnsi="Verdana"/>
          <w:sz w:val="20"/>
          <w:szCs w:val="20"/>
          <w:lang w:val="en-US"/>
        </w:rPr>
        <w:t xml:space="preserve"> and quality</w:t>
      </w:r>
      <w:r w:rsidR="00F3787D">
        <w:rPr>
          <w:rFonts w:ascii="Verdana" w:hAnsi="Verdana"/>
          <w:sz w:val="20"/>
          <w:szCs w:val="20"/>
          <w:lang w:val="en-US"/>
        </w:rPr>
        <w:t xml:space="preserve">, </w:t>
      </w:r>
      <w:r w:rsidR="00F3787D" w:rsidRPr="00FE7BA7">
        <w:rPr>
          <w:rFonts w:ascii="Verdana" w:hAnsi="Verdana"/>
          <w:sz w:val="20"/>
          <w:szCs w:val="20"/>
          <w:lang w:val="en-US"/>
        </w:rPr>
        <w:t>when those lands have been transferred le</w:t>
      </w:r>
      <w:r w:rsidR="00F3787D">
        <w:rPr>
          <w:rFonts w:ascii="Verdana" w:hAnsi="Verdana"/>
          <w:sz w:val="20"/>
          <w:szCs w:val="20"/>
          <w:lang w:val="en-US"/>
        </w:rPr>
        <w:t>gally to innocent third parties</w:t>
      </w:r>
      <w:r w:rsidRPr="00FE7BA7">
        <w:rPr>
          <w:rFonts w:ascii="Verdana" w:hAnsi="Verdana"/>
          <w:sz w:val="20"/>
          <w:szCs w:val="20"/>
          <w:lang w:val="en-US"/>
        </w:rPr>
        <w:t>.</w:t>
      </w:r>
      <w:r w:rsidR="002109E0" w:rsidRPr="00FE7BA7">
        <w:rPr>
          <w:rStyle w:val="FootnoteReference"/>
          <w:szCs w:val="20"/>
          <w:lang w:val="en-US"/>
        </w:rPr>
        <w:footnoteReference w:id="188"/>
      </w:r>
    </w:p>
    <w:p w14:paraId="6312698E" w14:textId="77777777" w:rsidR="00B17B8E" w:rsidRPr="00FE7BA7" w:rsidRDefault="00B17B8E" w:rsidP="00B17B8E">
      <w:pPr>
        <w:pStyle w:val="ListParagraph"/>
        <w:ind w:left="0"/>
        <w:jc w:val="both"/>
        <w:rPr>
          <w:rFonts w:ascii="Verdana" w:hAnsi="Verdana"/>
          <w:sz w:val="20"/>
          <w:szCs w:val="20"/>
          <w:lang w:val="en-US"/>
        </w:rPr>
      </w:pPr>
    </w:p>
    <w:p w14:paraId="6312698F" w14:textId="12EB1A9D" w:rsidR="002109E0" w:rsidRPr="00FE7BA7" w:rsidRDefault="000E16B8" w:rsidP="001431EC">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Likewise, as established in the cases of the communities of </w:t>
      </w:r>
      <w:r w:rsidR="008A4ABB" w:rsidRPr="00FE7BA7">
        <w:rPr>
          <w:rFonts w:ascii="Verdana" w:hAnsi="Verdana"/>
          <w:i/>
          <w:sz w:val="20"/>
          <w:szCs w:val="20"/>
          <w:lang w:val="en-US"/>
        </w:rPr>
        <w:t>Moiwana,</w:t>
      </w:r>
      <w:r w:rsidR="002109E0" w:rsidRPr="00FE7BA7">
        <w:rPr>
          <w:rFonts w:ascii="Verdana" w:hAnsi="Verdana"/>
          <w:sz w:val="20"/>
          <w:szCs w:val="20"/>
          <w:lang w:val="en-US"/>
        </w:rPr>
        <w:t xml:space="preserve"> </w:t>
      </w:r>
      <w:r w:rsidR="002109E0" w:rsidRPr="00FE7BA7">
        <w:rPr>
          <w:rFonts w:ascii="Verdana" w:hAnsi="Verdana"/>
          <w:i/>
          <w:sz w:val="20"/>
          <w:szCs w:val="20"/>
          <w:lang w:val="en-US"/>
        </w:rPr>
        <w:t>Yakye Axa, Sawho</w:t>
      </w:r>
      <w:r w:rsidR="00335C11" w:rsidRPr="00FE7BA7">
        <w:rPr>
          <w:rFonts w:ascii="Verdana" w:hAnsi="Verdana"/>
          <w:i/>
          <w:sz w:val="20"/>
          <w:szCs w:val="20"/>
          <w:lang w:val="en-US"/>
        </w:rPr>
        <w:t>ya</w:t>
      </w:r>
      <w:r w:rsidR="002109E0" w:rsidRPr="00FE7BA7">
        <w:rPr>
          <w:rFonts w:ascii="Verdana" w:hAnsi="Verdana"/>
          <w:i/>
          <w:sz w:val="20"/>
          <w:szCs w:val="20"/>
          <w:lang w:val="en-US"/>
        </w:rPr>
        <w:t>max</w:t>
      </w:r>
      <w:r w:rsidR="0069276F" w:rsidRPr="00FE7BA7">
        <w:rPr>
          <w:rFonts w:ascii="Verdana" w:hAnsi="Verdana"/>
          <w:i/>
          <w:sz w:val="20"/>
          <w:szCs w:val="20"/>
          <w:lang w:val="en-US"/>
        </w:rPr>
        <w:t>a</w:t>
      </w:r>
      <w:r w:rsidR="002B5CCD" w:rsidRPr="00FE7BA7">
        <w:rPr>
          <w:rFonts w:ascii="Verdana" w:hAnsi="Verdana"/>
          <w:i/>
          <w:sz w:val="20"/>
          <w:szCs w:val="20"/>
          <w:lang w:val="en-US"/>
        </w:rPr>
        <w:t xml:space="preserve"> </w:t>
      </w:r>
      <w:r w:rsidR="002B5CCD" w:rsidRPr="00FE7BA7">
        <w:rPr>
          <w:rFonts w:ascii="Verdana" w:hAnsi="Verdana"/>
          <w:sz w:val="20"/>
          <w:szCs w:val="20"/>
          <w:lang w:val="en-US"/>
        </w:rPr>
        <w:t>and</w:t>
      </w:r>
      <w:r w:rsidR="002B5CCD" w:rsidRPr="00FE7BA7">
        <w:rPr>
          <w:rFonts w:ascii="Verdana" w:hAnsi="Verdana"/>
          <w:i/>
          <w:sz w:val="20"/>
          <w:szCs w:val="20"/>
          <w:lang w:val="en-US"/>
        </w:rPr>
        <w:t xml:space="preserve"> </w:t>
      </w:r>
      <w:r w:rsidR="002109E0" w:rsidRPr="00FE7BA7">
        <w:rPr>
          <w:rFonts w:ascii="Verdana" w:hAnsi="Verdana"/>
          <w:i/>
          <w:sz w:val="20"/>
          <w:szCs w:val="20"/>
          <w:lang w:val="en-US"/>
        </w:rPr>
        <w:t>Xákmok Kásek,</w:t>
      </w:r>
      <w:r w:rsidR="002109E0" w:rsidRPr="00FE7BA7">
        <w:rPr>
          <w:rFonts w:ascii="Verdana" w:hAnsi="Verdana"/>
          <w:sz w:val="20"/>
          <w:szCs w:val="20"/>
          <w:lang w:val="en-US"/>
        </w:rPr>
        <w:t xml:space="preserve"> </w:t>
      </w:r>
      <w:r w:rsidRPr="00FE7BA7">
        <w:rPr>
          <w:rFonts w:ascii="Verdana" w:hAnsi="Verdana"/>
          <w:sz w:val="20"/>
          <w:szCs w:val="20"/>
          <w:lang w:val="en-US"/>
        </w:rPr>
        <w:t xml:space="preserve">the physical and </w:t>
      </w:r>
      <w:r w:rsidR="00FE7BA7" w:rsidRPr="00FE7BA7">
        <w:rPr>
          <w:rFonts w:ascii="Verdana" w:hAnsi="Verdana"/>
          <w:sz w:val="20"/>
          <w:szCs w:val="20"/>
          <w:lang w:val="en-US"/>
        </w:rPr>
        <w:t>spiritual</w:t>
      </w:r>
      <w:r w:rsidRPr="00FE7BA7">
        <w:rPr>
          <w:rFonts w:ascii="Verdana" w:hAnsi="Verdana"/>
          <w:sz w:val="20"/>
          <w:szCs w:val="20"/>
          <w:lang w:val="en-US"/>
        </w:rPr>
        <w:t xml:space="preserve"> foundations of the ident</w:t>
      </w:r>
      <w:r w:rsidR="00F3787D">
        <w:rPr>
          <w:rFonts w:ascii="Verdana" w:hAnsi="Verdana"/>
          <w:sz w:val="20"/>
          <w:szCs w:val="20"/>
          <w:lang w:val="en-US"/>
        </w:rPr>
        <w:t>ity of the indigenous peoples are</w:t>
      </w:r>
      <w:r w:rsidRPr="00FE7BA7">
        <w:rPr>
          <w:rFonts w:ascii="Verdana" w:hAnsi="Verdana"/>
          <w:sz w:val="20"/>
          <w:szCs w:val="20"/>
          <w:lang w:val="en-US"/>
        </w:rPr>
        <w:t xml:space="preserve"> based mainly on their unique relationship with their traditional lands, so that, while this relationship exists, the right to request the restitution of those lands remains valid. If this relationship shoul</w:t>
      </w:r>
      <w:r w:rsidR="00F3787D">
        <w:rPr>
          <w:rFonts w:ascii="Verdana" w:hAnsi="Verdana"/>
          <w:sz w:val="20"/>
          <w:szCs w:val="20"/>
          <w:lang w:val="en-US"/>
        </w:rPr>
        <w:t>d have extinguished, that right</w:t>
      </w:r>
      <w:r w:rsidRPr="00FE7BA7">
        <w:rPr>
          <w:rFonts w:ascii="Verdana" w:hAnsi="Verdana"/>
          <w:sz w:val="20"/>
          <w:szCs w:val="20"/>
          <w:lang w:val="en-US"/>
        </w:rPr>
        <w:t xml:space="preserve"> would also extinguish.</w:t>
      </w:r>
      <w:r w:rsidR="001431EC" w:rsidRPr="00FE7BA7">
        <w:rPr>
          <w:rStyle w:val="FootnoteReference"/>
          <w:szCs w:val="20"/>
          <w:lang w:val="en-US"/>
        </w:rPr>
        <w:footnoteReference w:id="189"/>
      </w:r>
      <w:r w:rsidRPr="00FE7BA7">
        <w:rPr>
          <w:rFonts w:ascii="Verdana" w:hAnsi="Verdana"/>
          <w:sz w:val="20"/>
          <w:szCs w:val="20"/>
          <w:lang w:val="en-US"/>
        </w:rPr>
        <w:t xml:space="preserve"> </w:t>
      </w:r>
      <w:r w:rsidRPr="00FE7BA7">
        <w:rPr>
          <w:rFonts w:ascii="Verdana" w:hAnsi="Verdana"/>
          <w:sz w:val="20"/>
          <w:szCs w:val="20"/>
          <w:lang w:val="en-US"/>
        </w:rPr>
        <w:lastRenderedPageBreak/>
        <w:t xml:space="preserve">Accordingly, the Court will analyze the right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D712F8" w:rsidRPr="00FE7BA7">
        <w:rPr>
          <w:rFonts w:ascii="Verdana" w:hAnsi="Verdana"/>
          <w:sz w:val="20"/>
          <w:szCs w:val="20"/>
          <w:lang w:val="en-US"/>
        </w:rPr>
        <w:t xml:space="preserve"> </w:t>
      </w:r>
      <w:r w:rsidRPr="00FE7BA7">
        <w:rPr>
          <w:rFonts w:ascii="Verdana" w:hAnsi="Verdana"/>
          <w:sz w:val="20"/>
          <w:szCs w:val="20"/>
          <w:lang w:val="en-US"/>
        </w:rPr>
        <w:t>to request the restitution of their traditional territories.</w:t>
      </w:r>
    </w:p>
    <w:p w14:paraId="63126990" w14:textId="77777777" w:rsidR="002109E0" w:rsidRPr="00FE7BA7" w:rsidRDefault="002109E0" w:rsidP="00366D91">
      <w:pPr>
        <w:rPr>
          <w:lang w:val="en-US"/>
        </w:rPr>
      </w:pPr>
    </w:p>
    <w:p w14:paraId="63126991" w14:textId="77777777" w:rsidR="002109E0" w:rsidRPr="00FE7BA7" w:rsidRDefault="00FD14B3" w:rsidP="00FD14B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To determine the existence of the relationship of the indigenous peop</w:t>
      </w:r>
      <w:r w:rsidR="009029C3">
        <w:rPr>
          <w:rFonts w:ascii="Verdana" w:hAnsi="Verdana"/>
          <w:sz w:val="20"/>
          <w:szCs w:val="20"/>
          <w:lang w:val="en-US"/>
        </w:rPr>
        <w:t>les with their traditional land</w:t>
      </w:r>
      <w:r w:rsidR="002109E0" w:rsidRPr="00FE7BA7">
        <w:rPr>
          <w:rFonts w:ascii="Verdana" w:hAnsi="Verdana"/>
          <w:sz w:val="20"/>
          <w:szCs w:val="20"/>
          <w:lang w:val="en-US"/>
        </w:rPr>
        <w:t xml:space="preserve">, </w:t>
      </w:r>
      <w:r w:rsidR="002B5CCD" w:rsidRPr="00FE7BA7">
        <w:rPr>
          <w:rFonts w:ascii="Verdana" w:hAnsi="Verdana"/>
          <w:sz w:val="20"/>
          <w:szCs w:val="20"/>
          <w:lang w:val="en-US"/>
        </w:rPr>
        <w:t>the Court</w:t>
      </w:r>
      <w:r w:rsidR="00256BD1" w:rsidRPr="00FE7BA7">
        <w:rPr>
          <w:rFonts w:ascii="Verdana" w:hAnsi="Verdana"/>
          <w:sz w:val="20"/>
          <w:szCs w:val="20"/>
          <w:lang w:val="en-US"/>
        </w:rPr>
        <w:t xml:space="preserve"> ha</w:t>
      </w:r>
      <w:r w:rsidRPr="00FE7BA7">
        <w:rPr>
          <w:rFonts w:ascii="Verdana" w:hAnsi="Verdana"/>
          <w:sz w:val="20"/>
          <w:szCs w:val="20"/>
          <w:lang w:val="en-US"/>
        </w:rPr>
        <w:t>s established that: (i) this may be expressed in different ways, according to the indigenous people in question and their specific circumstances</w:t>
      </w:r>
      <w:r w:rsidR="002109E0"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w:t>
      </w:r>
      <w:r w:rsidR="002109E0" w:rsidRPr="00FE7BA7">
        <w:rPr>
          <w:rFonts w:ascii="Verdana" w:hAnsi="Verdana"/>
          <w:sz w:val="20"/>
          <w:szCs w:val="20"/>
          <w:lang w:val="en-US"/>
        </w:rPr>
        <w:t xml:space="preserve">ii) </w:t>
      </w:r>
      <w:r w:rsidR="009029C3">
        <w:rPr>
          <w:rFonts w:ascii="Verdana" w:hAnsi="Verdana"/>
          <w:sz w:val="20"/>
          <w:szCs w:val="20"/>
          <w:lang w:val="en-US"/>
        </w:rPr>
        <w:t>the relationship with the land</w:t>
      </w:r>
      <w:r w:rsidRPr="00FE7BA7">
        <w:rPr>
          <w:rFonts w:ascii="Verdana" w:hAnsi="Verdana"/>
          <w:sz w:val="20"/>
          <w:szCs w:val="20"/>
          <w:lang w:val="en-US"/>
        </w:rPr>
        <w:t xml:space="preserve"> must be possible. The ways in which this relationship is expressed could incl</w:t>
      </w:r>
      <w:r w:rsidR="009029C3">
        <w:rPr>
          <w:rFonts w:ascii="Verdana" w:hAnsi="Verdana"/>
          <w:sz w:val="20"/>
          <w:szCs w:val="20"/>
          <w:lang w:val="en-US"/>
        </w:rPr>
        <w:t>ude traditional use or presence</w:t>
      </w:r>
      <w:r w:rsidRPr="00FE7BA7">
        <w:rPr>
          <w:rFonts w:ascii="Verdana" w:hAnsi="Verdana"/>
          <w:sz w:val="20"/>
          <w:szCs w:val="20"/>
          <w:lang w:val="en-US"/>
        </w:rPr>
        <w:t xml:space="preserve"> by spiritual or ceremonial ties; sporadic settlements or crops; seasonal or nomadic hunting, fishing or gathering; use of natural resources</w:t>
      </w:r>
      <w:r w:rsidR="009029C3">
        <w:rPr>
          <w:rFonts w:ascii="Verdana" w:hAnsi="Verdana"/>
          <w:sz w:val="20"/>
          <w:szCs w:val="20"/>
          <w:lang w:val="en-US"/>
        </w:rPr>
        <w:t xml:space="preserve"> connected</w:t>
      </w:r>
      <w:r w:rsidRPr="00FE7BA7">
        <w:rPr>
          <w:rFonts w:ascii="Verdana" w:hAnsi="Verdana"/>
          <w:sz w:val="20"/>
          <w:szCs w:val="20"/>
          <w:lang w:val="en-US"/>
        </w:rPr>
        <w:t xml:space="preserve"> to their customs, and any other element characteristic of their culture.</w:t>
      </w:r>
      <w:r w:rsidR="002109E0" w:rsidRPr="00FE7BA7">
        <w:rPr>
          <w:rFonts w:ascii="Verdana" w:hAnsi="Verdana"/>
          <w:sz w:val="20"/>
          <w:szCs w:val="20"/>
          <w:vertAlign w:val="superscript"/>
          <w:lang w:val="en-US"/>
        </w:rPr>
        <w:footnoteReference w:id="190"/>
      </w:r>
      <w:r w:rsidRPr="00FE7BA7">
        <w:rPr>
          <w:rFonts w:ascii="Verdana" w:hAnsi="Verdana"/>
          <w:sz w:val="20"/>
          <w:szCs w:val="20"/>
          <w:lang w:val="en-US"/>
        </w:rPr>
        <w:t xml:space="preserve"> The second element means that the members of the indigenous peoples are not prevented, for </w:t>
      </w:r>
      <w:r w:rsidR="0086680E">
        <w:rPr>
          <w:rFonts w:ascii="Verdana" w:hAnsi="Verdana"/>
          <w:sz w:val="20"/>
          <w:szCs w:val="20"/>
          <w:lang w:val="en-US"/>
        </w:rPr>
        <w:t>reasons beyond their control, from</w:t>
      </w:r>
      <w:r w:rsidRPr="00FE7BA7">
        <w:rPr>
          <w:rFonts w:ascii="Verdana" w:hAnsi="Verdana"/>
          <w:sz w:val="20"/>
          <w:szCs w:val="20"/>
          <w:lang w:val="en-US"/>
        </w:rPr>
        <w:t xml:space="preserve"> carrying out those activities that reveal the persistence of the relationship with their traditional </w:t>
      </w:r>
      <w:r w:rsidR="009029C3">
        <w:rPr>
          <w:rFonts w:ascii="Verdana" w:hAnsi="Verdana"/>
          <w:sz w:val="20"/>
          <w:szCs w:val="20"/>
          <w:lang w:val="en-US"/>
        </w:rPr>
        <w:t>territorie</w:t>
      </w:r>
      <w:r w:rsidRPr="00FE7BA7">
        <w:rPr>
          <w:rFonts w:ascii="Verdana" w:hAnsi="Verdana"/>
          <w:sz w:val="20"/>
          <w:szCs w:val="20"/>
          <w:lang w:val="en-US"/>
        </w:rPr>
        <w:t>s.</w:t>
      </w:r>
      <w:r w:rsidR="002109E0" w:rsidRPr="00FE7BA7">
        <w:rPr>
          <w:rStyle w:val="FootnoteReference"/>
          <w:szCs w:val="20"/>
          <w:lang w:val="en-US"/>
        </w:rPr>
        <w:footnoteReference w:id="191"/>
      </w:r>
    </w:p>
    <w:p w14:paraId="63126992" w14:textId="77777777" w:rsidR="00BD7748" w:rsidRPr="00FE7BA7" w:rsidRDefault="00BD7748" w:rsidP="00261627">
      <w:pPr>
        <w:pStyle w:val="ListParagraph"/>
        <w:ind w:left="0"/>
        <w:jc w:val="both"/>
        <w:rPr>
          <w:rFonts w:ascii="Verdana" w:hAnsi="Verdana"/>
          <w:sz w:val="20"/>
          <w:szCs w:val="20"/>
          <w:lang w:val="en-US"/>
        </w:rPr>
      </w:pPr>
    </w:p>
    <w:p w14:paraId="63126993" w14:textId="77777777" w:rsidR="00D712F8" w:rsidRPr="00FE7BA7" w:rsidRDefault="002109E0" w:rsidP="00E477FD">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 </w:t>
      </w:r>
      <w:r w:rsidR="00FD14B3" w:rsidRPr="00FE7BA7">
        <w:rPr>
          <w:rFonts w:ascii="Verdana" w:hAnsi="Verdana"/>
          <w:sz w:val="20"/>
          <w:szCs w:val="20"/>
          <w:lang w:val="en-US"/>
        </w:rPr>
        <w:t>In this case, the Court observes that the relationship of the members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C02FFA" w:rsidRPr="00FE7BA7">
        <w:rPr>
          <w:rFonts w:ascii="Verdana" w:hAnsi="Verdana"/>
          <w:sz w:val="20"/>
          <w:szCs w:val="20"/>
          <w:lang w:val="en-US"/>
        </w:rPr>
        <w:t xml:space="preserve"> </w:t>
      </w:r>
      <w:r w:rsidR="00FD14B3" w:rsidRPr="00FE7BA7">
        <w:rPr>
          <w:rFonts w:ascii="Verdana" w:hAnsi="Verdana"/>
          <w:sz w:val="20"/>
          <w:szCs w:val="20"/>
          <w:lang w:val="en-US"/>
        </w:rPr>
        <w:t>with their</w:t>
      </w:r>
      <w:r w:rsidRPr="00FE7BA7">
        <w:rPr>
          <w:rFonts w:ascii="Verdana" w:hAnsi="Verdana"/>
          <w:sz w:val="20"/>
          <w:szCs w:val="20"/>
          <w:lang w:val="en-US"/>
        </w:rPr>
        <w:t xml:space="preserve"> </w:t>
      </w:r>
      <w:r w:rsidR="00FD14B3" w:rsidRPr="00FE7BA7">
        <w:rPr>
          <w:rFonts w:ascii="Verdana" w:hAnsi="Verdana"/>
          <w:sz w:val="20"/>
          <w:szCs w:val="20"/>
          <w:lang w:val="en-US"/>
        </w:rPr>
        <w:t>traditional territory is revealed</w:t>
      </w:r>
      <w:r w:rsidRPr="00FE7BA7">
        <w:rPr>
          <w:rFonts w:ascii="Verdana" w:hAnsi="Verdana"/>
          <w:sz w:val="20"/>
          <w:szCs w:val="20"/>
          <w:lang w:val="en-US"/>
        </w:rPr>
        <w:t xml:space="preserve">, </w:t>
      </w:r>
      <w:r w:rsidRPr="00FE7BA7">
        <w:rPr>
          <w:rFonts w:ascii="Verdana" w:hAnsi="Verdana"/>
          <w:i/>
          <w:sz w:val="20"/>
          <w:szCs w:val="20"/>
          <w:lang w:val="en-US"/>
        </w:rPr>
        <w:t>inter alia,</w:t>
      </w:r>
      <w:r w:rsidRPr="00FE7BA7">
        <w:rPr>
          <w:rFonts w:ascii="Verdana" w:hAnsi="Verdana"/>
          <w:sz w:val="20"/>
          <w:szCs w:val="20"/>
          <w:lang w:val="en-US"/>
        </w:rPr>
        <w:t xml:space="preserve"> </w:t>
      </w:r>
      <w:r w:rsidR="00FD14B3" w:rsidRPr="00FE7BA7">
        <w:rPr>
          <w:rFonts w:ascii="Verdana" w:hAnsi="Verdana"/>
          <w:sz w:val="20"/>
          <w:szCs w:val="20"/>
          <w:lang w:val="en-US"/>
        </w:rPr>
        <w:t xml:space="preserve">by the fact that they </w:t>
      </w:r>
      <w:r w:rsidR="0086680E">
        <w:rPr>
          <w:rFonts w:ascii="Verdana" w:hAnsi="Verdana"/>
          <w:sz w:val="20"/>
          <w:szCs w:val="20"/>
          <w:lang w:val="en-US"/>
        </w:rPr>
        <w:t>conduct</w:t>
      </w:r>
      <w:r w:rsidR="00FD14B3" w:rsidRPr="00FE7BA7">
        <w:rPr>
          <w:rFonts w:ascii="Verdana" w:hAnsi="Verdana"/>
          <w:sz w:val="20"/>
          <w:szCs w:val="20"/>
          <w:lang w:val="en-US"/>
        </w:rPr>
        <w:t xml:space="preserve"> their traditional activities within the lands claimed </w:t>
      </w:r>
      <w:r w:rsidRPr="00FE7BA7">
        <w:rPr>
          <w:rFonts w:ascii="Verdana" w:hAnsi="Verdana"/>
          <w:sz w:val="20"/>
          <w:szCs w:val="20"/>
          <w:lang w:val="en-US"/>
        </w:rPr>
        <w:t>(</w:t>
      </w:r>
      <w:r w:rsidR="00366D91" w:rsidRPr="00FE7BA7">
        <w:rPr>
          <w:rFonts w:ascii="Verdana" w:hAnsi="Verdana"/>
          <w:i/>
          <w:sz w:val="20"/>
          <w:szCs w:val="20"/>
          <w:lang w:val="en-US"/>
        </w:rPr>
        <w:t>supra</w:t>
      </w:r>
      <w:r w:rsidRPr="00FE7BA7">
        <w:rPr>
          <w:rFonts w:ascii="Verdana" w:hAnsi="Verdana"/>
          <w:sz w:val="20"/>
          <w:szCs w:val="20"/>
          <w:lang w:val="en-US"/>
        </w:rPr>
        <w:t xml:space="preserve"> </w:t>
      </w:r>
      <w:r w:rsidR="008F798A" w:rsidRPr="00FE7BA7">
        <w:rPr>
          <w:rFonts w:ascii="Verdana" w:hAnsi="Verdana"/>
          <w:sz w:val="20"/>
          <w:szCs w:val="20"/>
          <w:lang w:val="en-US"/>
        </w:rPr>
        <w:t>paras.</w:t>
      </w:r>
      <w:r w:rsidRPr="00FE7BA7">
        <w:rPr>
          <w:rFonts w:ascii="Verdana" w:hAnsi="Verdana"/>
          <w:sz w:val="20"/>
          <w:szCs w:val="20"/>
          <w:lang w:val="en-US"/>
        </w:rPr>
        <w:t xml:space="preserve"> </w:t>
      </w:r>
      <w:r w:rsidR="004F7DCE" w:rsidRPr="00FE7BA7">
        <w:rPr>
          <w:rFonts w:ascii="Verdana" w:hAnsi="Verdana"/>
          <w:sz w:val="20"/>
          <w:szCs w:val="20"/>
          <w:lang w:val="en-US"/>
        </w:rPr>
        <w:t>33</w:t>
      </w:r>
      <w:r w:rsidR="002B5CCD" w:rsidRPr="00FE7BA7">
        <w:rPr>
          <w:rFonts w:ascii="Verdana" w:hAnsi="Verdana"/>
          <w:sz w:val="20"/>
          <w:szCs w:val="20"/>
          <w:lang w:val="en-US"/>
        </w:rPr>
        <w:t xml:space="preserve"> and </w:t>
      </w:r>
      <w:r w:rsidR="00020007" w:rsidRPr="00FE7BA7">
        <w:rPr>
          <w:rFonts w:ascii="Verdana" w:hAnsi="Verdana"/>
          <w:sz w:val="20"/>
          <w:szCs w:val="20"/>
          <w:lang w:val="en-US"/>
        </w:rPr>
        <w:t>34</w:t>
      </w:r>
      <w:r w:rsidRPr="00FE7BA7">
        <w:rPr>
          <w:rFonts w:ascii="Verdana" w:hAnsi="Verdana"/>
          <w:sz w:val="20"/>
          <w:szCs w:val="20"/>
          <w:lang w:val="en-US"/>
        </w:rPr>
        <w:t>)</w:t>
      </w:r>
      <w:r w:rsidR="004F7DCE" w:rsidRPr="00FE7BA7">
        <w:rPr>
          <w:rFonts w:ascii="Verdana" w:hAnsi="Verdana"/>
          <w:sz w:val="20"/>
          <w:szCs w:val="20"/>
          <w:lang w:val="en-US"/>
        </w:rPr>
        <w:t>, as</w:t>
      </w:r>
      <w:r w:rsidR="00FD14B3" w:rsidRPr="00FE7BA7">
        <w:rPr>
          <w:rFonts w:ascii="Verdana" w:hAnsi="Verdana"/>
          <w:sz w:val="20"/>
          <w:szCs w:val="20"/>
          <w:lang w:val="en-US"/>
        </w:rPr>
        <w:t xml:space="preserve"> well as by their intrinsic and physical relationship with </w:t>
      </w:r>
      <w:r w:rsidR="000E16B8" w:rsidRPr="00FE7BA7">
        <w:rPr>
          <w:rFonts w:ascii="Verdana" w:hAnsi="Verdana"/>
          <w:sz w:val="20"/>
          <w:szCs w:val="20"/>
          <w:lang w:val="en-US"/>
        </w:rPr>
        <w:t>the Marowijne River</w:t>
      </w:r>
      <w:r w:rsidRPr="00FE7BA7">
        <w:rPr>
          <w:rFonts w:ascii="Verdana" w:hAnsi="Verdana"/>
          <w:sz w:val="20"/>
          <w:szCs w:val="20"/>
          <w:lang w:val="en-US"/>
        </w:rPr>
        <w:t xml:space="preserve">, </w:t>
      </w:r>
      <w:r w:rsidR="00FD14B3" w:rsidRPr="00FE7BA7">
        <w:rPr>
          <w:rFonts w:ascii="Verdana" w:hAnsi="Verdana"/>
          <w:sz w:val="20"/>
          <w:szCs w:val="20"/>
          <w:lang w:val="en-US"/>
        </w:rPr>
        <w:t>which is an essential element of their cultural and traditional identity a</w:t>
      </w:r>
      <w:r w:rsidR="00FE7BA7">
        <w:rPr>
          <w:rFonts w:ascii="Verdana" w:hAnsi="Verdana"/>
          <w:sz w:val="20"/>
          <w:szCs w:val="20"/>
          <w:lang w:val="en-US"/>
        </w:rPr>
        <w:t xml:space="preserve">nd a source of their survival </w:t>
      </w:r>
      <w:r w:rsidRPr="00FE7BA7">
        <w:rPr>
          <w:rFonts w:ascii="Verdana" w:hAnsi="Verdana"/>
          <w:sz w:val="20"/>
          <w:szCs w:val="20"/>
          <w:lang w:val="en-US"/>
        </w:rPr>
        <w:t>(</w:t>
      </w:r>
      <w:r w:rsidR="00366D91" w:rsidRPr="00FE7BA7">
        <w:rPr>
          <w:rFonts w:ascii="Verdana" w:hAnsi="Verdana"/>
          <w:i/>
          <w:sz w:val="20"/>
          <w:szCs w:val="20"/>
          <w:lang w:val="en-US"/>
        </w:rPr>
        <w:t>supra</w:t>
      </w:r>
      <w:r w:rsidRPr="00FE7BA7">
        <w:rPr>
          <w:rFonts w:ascii="Verdana" w:hAnsi="Verdana"/>
          <w:i/>
          <w:sz w:val="20"/>
          <w:szCs w:val="20"/>
          <w:lang w:val="en-US"/>
        </w:rPr>
        <w:t xml:space="preserve"> </w:t>
      </w:r>
      <w:r w:rsidRPr="00FE7BA7">
        <w:rPr>
          <w:rFonts w:ascii="Verdana" w:hAnsi="Verdana"/>
          <w:sz w:val="20"/>
          <w:szCs w:val="20"/>
          <w:lang w:val="en-US"/>
        </w:rPr>
        <w:t>p</w:t>
      </w:r>
      <w:r w:rsidR="00FD14B3" w:rsidRPr="00FE7BA7">
        <w:rPr>
          <w:rFonts w:ascii="Verdana" w:hAnsi="Verdana"/>
          <w:sz w:val="20"/>
          <w:szCs w:val="20"/>
          <w:lang w:val="en-US"/>
        </w:rPr>
        <w:t>ara.</w:t>
      </w:r>
      <w:r w:rsidRPr="00FE7BA7">
        <w:rPr>
          <w:rFonts w:ascii="Verdana" w:hAnsi="Verdana"/>
          <w:sz w:val="20"/>
          <w:szCs w:val="20"/>
          <w:lang w:val="en-US"/>
        </w:rPr>
        <w:t xml:space="preserve"> </w:t>
      </w:r>
      <w:r w:rsidR="004F7DCE" w:rsidRPr="00FE7BA7">
        <w:rPr>
          <w:rFonts w:ascii="Verdana" w:hAnsi="Verdana"/>
          <w:sz w:val="20"/>
          <w:szCs w:val="20"/>
          <w:lang w:val="en-US"/>
        </w:rPr>
        <w:t>35</w:t>
      </w:r>
      <w:r w:rsidRPr="00FE7BA7">
        <w:rPr>
          <w:rFonts w:ascii="Verdana" w:hAnsi="Verdana"/>
          <w:sz w:val="20"/>
          <w:szCs w:val="20"/>
          <w:lang w:val="en-US"/>
        </w:rPr>
        <w:t>)</w:t>
      </w:r>
      <w:r w:rsidR="00CE7B44" w:rsidRPr="00FE7BA7">
        <w:rPr>
          <w:rFonts w:ascii="Verdana" w:hAnsi="Verdana"/>
          <w:sz w:val="20"/>
          <w:szCs w:val="20"/>
          <w:lang w:val="en-US"/>
        </w:rPr>
        <w:t xml:space="preserve">. </w:t>
      </w:r>
      <w:r w:rsidR="00FD14B3" w:rsidRPr="00FE7BA7">
        <w:rPr>
          <w:rFonts w:ascii="Verdana" w:hAnsi="Verdana"/>
          <w:sz w:val="20"/>
          <w:szCs w:val="20"/>
          <w:lang w:val="en-US"/>
        </w:rPr>
        <w:t xml:space="preserve">Indeed, the river is used by the members of these peoples to moor their boats, to fish, to bathe, and to wash their </w:t>
      </w:r>
      <w:r w:rsidR="00FE7BA7" w:rsidRPr="00FE7BA7">
        <w:rPr>
          <w:rFonts w:ascii="Verdana" w:hAnsi="Verdana"/>
          <w:sz w:val="20"/>
          <w:szCs w:val="20"/>
          <w:lang w:val="en-US"/>
        </w:rPr>
        <w:t>clothes</w:t>
      </w:r>
      <w:r w:rsidR="00FD14B3" w:rsidRPr="00FE7BA7">
        <w:rPr>
          <w:rFonts w:ascii="Verdana" w:hAnsi="Verdana"/>
          <w:sz w:val="20"/>
          <w:szCs w:val="20"/>
          <w:lang w:val="en-US"/>
        </w:rPr>
        <w:t xml:space="preserve"> </w:t>
      </w:r>
      <w:r w:rsidRPr="00FE7BA7">
        <w:rPr>
          <w:rFonts w:ascii="Verdana" w:hAnsi="Verdana"/>
          <w:sz w:val="20"/>
          <w:szCs w:val="20"/>
          <w:lang w:val="en-US"/>
        </w:rPr>
        <w:t>(</w:t>
      </w:r>
      <w:r w:rsidR="00366D91" w:rsidRPr="00FE7BA7">
        <w:rPr>
          <w:rFonts w:ascii="Verdana" w:hAnsi="Verdana"/>
          <w:i/>
          <w:sz w:val="20"/>
          <w:szCs w:val="20"/>
          <w:lang w:val="en-US"/>
        </w:rPr>
        <w:t>supra</w:t>
      </w:r>
      <w:r w:rsidRPr="00FE7BA7">
        <w:rPr>
          <w:rFonts w:ascii="Verdana" w:hAnsi="Verdana"/>
          <w:sz w:val="20"/>
          <w:szCs w:val="20"/>
          <w:lang w:val="en-US"/>
        </w:rPr>
        <w:t xml:space="preserve"> </w:t>
      </w:r>
      <w:r w:rsidR="00810FAD" w:rsidRPr="00FE7BA7">
        <w:rPr>
          <w:rFonts w:ascii="Verdana" w:hAnsi="Verdana"/>
          <w:sz w:val="20"/>
          <w:szCs w:val="20"/>
          <w:lang w:val="en-US"/>
        </w:rPr>
        <w:t>para.</w:t>
      </w:r>
      <w:r w:rsidRPr="00FE7BA7">
        <w:rPr>
          <w:rFonts w:ascii="Verdana" w:hAnsi="Verdana"/>
          <w:sz w:val="20"/>
          <w:szCs w:val="20"/>
          <w:lang w:val="en-US"/>
        </w:rPr>
        <w:t xml:space="preserve"> </w:t>
      </w:r>
      <w:r w:rsidR="004F7DCE" w:rsidRPr="00FE7BA7">
        <w:rPr>
          <w:rFonts w:ascii="Verdana" w:hAnsi="Verdana"/>
          <w:sz w:val="20"/>
          <w:szCs w:val="20"/>
          <w:lang w:val="en-US"/>
        </w:rPr>
        <w:t>98</w:t>
      </w:r>
      <w:r w:rsidRPr="00FE7BA7">
        <w:rPr>
          <w:rFonts w:ascii="Verdana" w:hAnsi="Verdana"/>
          <w:sz w:val="20"/>
          <w:szCs w:val="20"/>
          <w:lang w:val="en-US"/>
        </w:rPr>
        <w:t xml:space="preserve">). </w:t>
      </w:r>
      <w:r w:rsidR="00FD14B3" w:rsidRPr="00FE7BA7">
        <w:rPr>
          <w:rFonts w:ascii="Verdana" w:hAnsi="Verdana"/>
          <w:sz w:val="20"/>
          <w:szCs w:val="20"/>
          <w:lang w:val="en-US"/>
        </w:rPr>
        <w:t>In addition</w:t>
      </w:r>
      <w:r w:rsidRPr="00FE7BA7">
        <w:rPr>
          <w:rFonts w:ascii="Verdana" w:hAnsi="Verdana"/>
          <w:sz w:val="20"/>
          <w:szCs w:val="20"/>
          <w:lang w:val="en-US"/>
        </w:rPr>
        <w:t xml:space="preserve">, </w:t>
      </w:r>
      <w:r w:rsidR="00FD14B3" w:rsidRPr="00FE7BA7">
        <w:rPr>
          <w:rFonts w:ascii="Verdana" w:hAnsi="Verdana"/>
          <w:sz w:val="20"/>
          <w:szCs w:val="20"/>
          <w:lang w:val="en-US"/>
        </w:rPr>
        <w:t xml:space="preserve">Captain </w:t>
      </w:r>
      <w:r w:rsidRPr="00FE7BA7">
        <w:rPr>
          <w:rFonts w:ascii="Verdana" w:hAnsi="Verdana"/>
          <w:sz w:val="20"/>
          <w:szCs w:val="20"/>
          <w:lang w:val="en-US"/>
        </w:rPr>
        <w:t xml:space="preserve">Grace Watamaleo </w:t>
      </w:r>
      <w:r w:rsidR="00FD14B3" w:rsidRPr="00FE7BA7">
        <w:rPr>
          <w:rFonts w:ascii="Verdana" w:hAnsi="Verdana"/>
          <w:sz w:val="20"/>
          <w:szCs w:val="20"/>
          <w:lang w:val="en-US"/>
        </w:rPr>
        <w:t>stated that</w:t>
      </w:r>
      <w:r w:rsidR="009029C3">
        <w:rPr>
          <w:rFonts w:ascii="Verdana" w:hAnsi="Verdana"/>
          <w:sz w:val="20"/>
          <w:szCs w:val="20"/>
          <w:lang w:val="en-US"/>
        </w:rPr>
        <w:t xml:space="preserve"> they</w:t>
      </w:r>
      <w:r w:rsidRPr="00FE7BA7">
        <w:rPr>
          <w:rFonts w:ascii="Verdana" w:hAnsi="Verdana"/>
          <w:sz w:val="20"/>
          <w:szCs w:val="20"/>
          <w:lang w:val="en-US"/>
        </w:rPr>
        <w:t xml:space="preserve"> “</w:t>
      </w:r>
      <w:r w:rsidR="00FD14B3" w:rsidRPr="00FE7BA7">
        <w:rPr>
          <w:rFonts w:ascii="Verdana" w:hAnsi="Verdana"/>
          <w:sz w:val="20"/>
          <w:szCs w:val="20"/>
          <w:lang w:val="en-US"/>
        </w:rPr>
        <w:t xml:space="preserve">have a strong spiritual connection </w:t>
      </w:r>
      <w:r w:rsidR="009029C3">
        <w:rPr>
          <w:rFonts w:ascii="Verdana" w:hAnsi="Verdana"/>
          <w:sz w:val="20"/>
          <w:szCs w:val="20"/>
          <w:lang w:val="en-US"/>
        </w:rPr>
        <w:t>to</w:t>
      </w:r>
      <w:r w:rsidR="00FD14B3" w:rsidRPr="00FE7BA7">
        <w:rPr>
          <w:rFonts w:ascii="Verdana" w:hAnsi="Verdana"/>
          <w:sz w:val="20"/>
          <w:szCs w:val="20"/>
          <w:lang w:val="en-US"/>
        </w:rPr>
        <w:t xml:space="preserve"> </w:t>
      </w:r>
      <w:r w:rsidR="000E16B8" w:rsidRPr="00FE7BA7">
        <w:rPr>
          <w:rFonts w:ascii="Verdana" w:hAnsi="Verdana"/>
          <w:sz w:val="20"/>
          <w:szCs w:val="20"/>
          <w:lang w:val="en-US"/>
        </w:rPr>
        <w:t>the Marowijne River</w:t>
      </w:r>
      <w:r w:rsidR="00BD7748" w:rsidRPr="00FE7BA7">
        <w:rPr>
          <w:rFonts w:ascii="Verdana" w:hAnsi="Verdana"/>
          <w:sz w:val="20"/>
          <w:szCs w:val="20"/>
          <w:lang w:val="en-US"/>
        </w:rPr>
        <w:t xml:space="preserve">, </w:t>
      </w:r>
      <w:r w:rsidR="00FD14B3" w:rsidRPr="00FE7BA7">
        <w:rPr>
          <w:rFonts w:ascii="Verdana" w:hAnsi="Verdana"/>
          <w:sz w:val="20"/>
          <w:szCs w:val="20"/>
          <w:lang w:val="en-US"/>
        </w:rPr>
        <w:t xml:space="preserve">which </w:t>
      </w:r>
      <w:r w:rsidR="009029C3">
        <w:rPr>
          <w:rFonts w:ascii="Verdana" w:hAnsi="Verdana"/>
          <w:sz w:val="20"/>
          <w:szCs w:val="20"/>
          <w:lang w:val="en-US"/>
        </w:rPr>
        <w:t xml:space="preserve">has a central place </w:t>
      </w:r>
      <w:r w:rsidR="00FD14B3" w:rsidRPr="00FE7BA7">
        <w:rPr>
          <w:rFonts w:ascii="Verdana" w:hAnsi="Verdana"/>
          <w:sz w:val="20"/>
          <w:szCs w:val="20"/>
          <w:lang w:val="en-US"/>
        </w:rPr>
        <w:t xml:space="preserve">in </w:t>
      </w:r>
      <w:r w:rsidR="009029C3">
        <w:rPr>
          <w:rFonts w:ascii="Verdana" w:hAnsi="Verdana"/>
          <w:sz w:val="20"/>
          <w:szCs w:val="20"/>
          <w:lang w:val="en-US"/>
        </w:rPr>
        <w:t>[</w:t>
      </w:r>
      <w:r w:rsidR="00FD14B3" w:rsidRPr="00FE7BA7">
        <w:rPr>
          <w:rFonts w:ascii="Verdana" w:hAnsi="Verdana"/>
          <w:sz w:val="20"/>
          <w:szCs w:val="20"/>
          <w:lang w:val="en-US"/>
        </w:rPr>
        <w:t>their</w:t>
      </w:r>
      <w:r w:rsidR="009029C3">
        <w:rPr>
          <w:rFonts w:ascii="Verdana" w:hAnsi="Verdana"/>
          <w:sz w:val="20"/>
          <w:szCs w:val="20"/>
          <w:lang w:val="en-US"/>
        </w:rPr>
        <w:t>]</w:t>
      </w:r>
      <w:r w:rsidR="00FD14B3" w:rsidRPr="00FE7BA7">
        <w:rPr>
          <w:rFonts w:ascii="Verdana" w:hAnsi="Verdana"/>
          <w:sz w:val="20"/>
          <w:szCs w:val="20"/>
          <w:lang w:val="en-US"/>
        </w:rPr>
        <w:t xml:space="preserve"> cultural identity and traditions, and through which </w:t>
      </w:r>
      <w:r w:rsidR="009029C3">
        <w:rPr>
          <w:rFonts w:ascii="Verdana" w:hAnsi="Verdana"/>
          <w:sz w:val="20"/>
          <w:szCs w:val="20"/>
          <w:lang w:val="en-US"/>
        </w:rPr>
        <w:t>[</w:t>
      </w:r>
      <w:r w:rsidR="00FD14B3" w:rsidRPr="00FE7BA7">
        <w:rPr>
          <w:rFonts w:ascii="Verdana" w:hAnsi="Verdana"/>
          <w:sz w:val="20"/>
          <w:szCs w:val="20"/>
          <w:lang w:val="en-US"/>
        </w:rPr>
        <w:t>they</w:t>
      </w:r>
      <w:r w:rsidR="009029C3">
        <w:rPr>
          <w:rFonts w:ascii="Verdana" w:hAnsi="Verdana"/>
          <w:sz w:val="20"/>
          <w:szCs w:val="20"/>
          <w:lang w:val="en-US"/>
        </w:rPr>
        <w:t>]</w:t>
      </w:r>
      <w:r w:rsidR="00FD14B3" w:rsidRPr="00FE7BA7">
        <w:rPr>
          <w:rFonts w:ascii="Verdana" w:hAnsi="Verdana"/>
          <w:sz w:val="20"/>
          <w:szCs w:val="20"/>
          <w:lang w:val="en-US"/>
        </w:rPr>
        <w:t xml:space="preserve"> underst</w:t>
      </w:r>
      <w:r w:rsidR="009029C3">
        <w:rPr>
          <w:rFonts w:ascii="Verdana" w:hAnsi="Verdana"/>
          <w:sz w:val="20"/>
          <w:szCs w:val="20"/>
          <w:lang w:val="en-US"/>
        </w:rPr>
        <w:t>and</w:t>
      </w:r>
      <w:r w:rsidR="00FD14B3" w:rsidRPr="00FE7BA7">
        <w:rPr>
          <w:rFonts w:ascii="Verdana" w:hAnsi="Verdana"/>
          <w:sz w:val="20"/>
          <w:szCs w:val="20"/>
          <w:lang w:val="en-US"/>
        </w:rPr>
        <w:t xml:space="preserve"> that </w:t>
      </w:r>
      <w:r w:rsidR="009029C3">
        <w:rPr>
          <w:rFonts w:ascii="Verdana" w:hAnsi="Verdana"/>
          <w:sz w:val="20"/>
          <w:szCs w:val="20"/>
          <w:lang w:val="en-US"/>
        </w:rPr>
        <w:t>[</w:t>
      </w:r>
      <w:r w:rsidR="00FD14B3" w:rsidRPr="00FE7BA7">
        <w:rPr>
          <w:rFonts w:ascii="Verdana" w:hAnsi="Verdana"/>
          <w:sz w:val="20"/>
          <w:szCs w:val="20"/>
          <w:lang w:val="en-US"/>
        </w:rPr>
        <w:t>they</w:t>
      </w:r>
      <w:r w:rsidR="009029C3">
        <w:rPr>
          <w:rFonts w:ascii="Verdana" w:hAnsi="Verdana"/>
          <w:sz w:val="20"/>
          <w:szCs w:val="20"/>
          <w:lang w:val="en-US"/>
        </w:rPr>
        <w:t>] belong</w:t>
      </w:r>
      <w:r w:rsidR="00FD14B3" w:rsidRPr="00FE7BA7">
        <w:rPr>
          <w:rFonts w:ascii="Verdana" w:hAnsi="Verdana"/>
          <w:sz w:val="20"/>
          <w:szCs w:val="20"/>
          <w:lang w:val="en-US"/>
        </w:rPr>
        <w:t xml:space="preserve"> to [that</w:t>
      </w:r>
      <w:r w:rsidR="009029C3">
        <w:rPr>
          <w:rFonts w:ascii="Verdana" w:hAnsi="Verdana"/>
          <w:sz w:val="20"/>
          <w:szCs w:val="20"/>
          <w:lang w:val="en-US"/>
        </w:rPr>
        <w:t>] place as much as [they] believe that it belongs</w:t>
      </w:r>
      <w:r w:rsidR="00FD14B3" w:rsidRPr="00FE7BA7">
        <w:rPr>
          <w:rFonts w:ascii="Verdana" w:hAnsi="Verdana"/>
          <w:sz w:val="20"/>
          <w:szCs w:val="20"/>
          <w:lang w:val="en-US"/>
        </w:rPr>
        <w:t xml:space="preserve"> to </w:t>
      </w:r>
      <w:r w:rsidR="009029C3">
        <w:rPr>
          <w:rFonts w:ascii="Verdana" w:hAnsi="Verdana"/>
          <w:sz w:val="20"/>
          <w:szCs w:val="20"/>
          <w:lang w:val="en-US"/>
        </w:rPr>
        <w:t>[</w:t>
      </w:r>
      <w:r w:rsidR="00FD14B3" w:rsidRPr="00FE7BA7">
        <w:rPr>
          <w:rFonts w:ascii="Verdana" w:hAnsi="Verdana"/>
          <w:sz w:val="20"/>
          <w:szCs w:val="20"/>
          <w:lang w:val="en-US"/>
        </w:rPr>
        <w:t>them</w:t>
      </w:r>
      <w:r w:rsidR="009029C3">
        <w:rPr>
          <w:rFonts w:ascii="Verdana" w:hAnsi="Verdana"/>
          <w:sz w:val="20"/>
          <w:szCs w:val="20"/>
          <w:lang w:val="en-US"/>
        </w:rPr>
        <w:t>]</w:t>
      </w:r>
      <w:r w:rsidR="00FD14B3" w:rsidRPr="00FE7BA7">
        <w:rPr>
          <w:rFonts w:ascii="Verdana" w:hAnsi="Verdana"/>
          <w:sz w:val="20"/>
          <w:szCs w:val="20"/>
          <w:lang w:val="en-US"/>
        </w:rPr>
        <w:t>.</w:t>
      </w:r>
      <w:r w:rsidR="00BE6D91" w:rsidRPr="00FE7BA7">
        <w:rPr>
          <w:rFonts w:ascii="Verdana" w:hAnsi="Verdana"/>
          <w:sz w:val="20"/>
          <w:szCs w:val="20"/>
          <w:lang w:val="en-US"/>
        </w:rPr>
        <w:t>”</w:t>
      </w:r>
      <w:r w:rsidRPr="00FE7BA7">
        <w:rPr>
          <w:rStyle w:val="FootnoteReference"/>
          <w:szCs w:val="20"/>
          <w:lang w:val="en-US"/>
        </w:rPr>
        <w:footnoteReference w:id="192"/>
      </w:r>
      <w:r w:rsidR="00FD14B3" w:rsidRPr="00FE7BA7">
        <w:rPr>
          <w:rFonts w:ascii="Verdana" w:hAnsi="Verdana"/>
          <w:sz w:val="20"/>
          <w:szCs w:val="20"/>
          <w:lang w:val="en-US"/>
        </w:rPr>
        <w:t xml:space="preserve"> However, the testimony of several members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w:t>
      </w:r>
      <w:r w:rsidR="00366D91" w:rsidRPr="00FE7BA7">
        <w:rPr>
          <w:rFonts w:ascii="Verdana" w:hAnsi="Verdana"/>
          <w:i/>
          <w:sz w:val="20"/>
          <w:szCs w:val="20"/>
          <w:lang w:val="en-US"/>
        </w:rPr>
        <w:t>supra</w:t>
      </w:r>
      <w:r w:rsidRPr="00FE7BA7">
        <w:rPr>
          <w:rFonts w:ascii="Verdana" w:hAnsi="Verdana"/>
          <w:sz w:val="20"/>
          <w:szCs w:val="20"/>
          <w:lang w:val="en-US"/>
        </w:rPr>
        <w:t xml:space="preserve"> </w:t>
      </w:r>
      <w:r w:rsidR="00810FAD" w:rsidRPr="00FE7BA7">
        <w:rPr>
          <w:rFonts w:ascii="Verdana" w:hAnsi="Verdana"/>
          <w:sz w:val="20"/>
          <w:szCs w:val="20"/>
          <w:lang w:val="en-US"/>
        </w:rPr>
        <w:t>para.</w:t>
      </w:r>
      <w:r w:rsidRPr="00FE7BA7">
        <w:rPr>
          <w:rFonts w:ascii="Verdana" w:hAnsi="Verdana"/>
          <w:sz w:val="20"/>
          <w:szCs w:val="20"/>
          <w:lang w:val="en-US"/>
        </w:rPr>
        <w:t xml:space="preserve"> </w:t>
      </w:r>
      <w:r w:rsidR="004F7DCE" w:rsidRPr="00FE7BA7">
        <w:rPr>
          <w:rFonts w:ascii="Verdana" w:hAnsi="Verdana"/>
          <w:sz w:val="20"/>
          <w:szCs w:val="20"/>
          <w:lang w:val="en-US"/>
        </w:rPr>
        <w:t>98</w:t>
      </w:r>
      <w:r w:rsidRPr="00FE7BA7">
        <w:rPr>
          <w:rFonts w:ascii="Verdana" w:hAnsi="Verdana"/>
          <w:sz w:val="20"/>
          <w:szCs w:val="20"/>
          <w:lang w:val="en-US"/>
        </w:rPr>
        <w:t xml:space="preserve">) </w:t>
      </w:r>
      <w:r w:rsidR="00FD14B3" w:rsidRPr="00FE7BA7">
        <w:rPr>
          <w:rFonts w:ascii="Verdana" w:hAnsi="Verdana"/>
          <w:sz w:val="20"/>
          <w:szCs w:val="20"/>
          <w:lang w:val="en-US"/>
        </w:rPr>
        <w:t xml:space="preserve">was consistent in indicating that the owners of the buildings have </w:t>
      </w:r>
      <w:r w:rsidR="00804BD4" w:rsidRPr="00FE7BA7">
        <w:rPr>
          <w:rFonts w:ascii="Verdana" w:hAnsi="Verdana"/>
          <w:sz w:val="20"/>
          <w:szCs w:val="20"/>
          <w:lang w:val="en-US"/>
        </w:rPr>
        <w:t>restricted</w:t>
      </w:r>
      <w:r w:rsidR="00FD14B3" w:rsidRPr="00FE7BA7">
        <w:rPr>
          <w:rFonts w:ascii="Verdana" w:hAnsi="Verdana"/>
          <w:sz w:val="20"/>
          <w:szCs w:val="20"/>
          <w:lang w:val="en-US"/>
        </w:rPr>
        <w:t xml:space="preserve"> direct access to</w:t>
      </w:r>
      <w:r w:rsidR="00020007" w:rsidRPr="00FE7BA7">
        <w:rPr>
          <w:rFonts w:ascii="Verdana" w:hAnsi="Verdana"/>
          <w:sz w:val="20"/>
          <w:szCs w:val="20"/>
          <w:lang w:val="en-US"/>
        </w:rPr>
        <w:t xml:space="preserve"> </w:t>
      </w:r>
      <w:r w:rsidR="000E16B8" w:rsidRPr="00FE7BA7">
        <w:rPr>
          <w:rFonts w:ascii="Verdana" w:hAnsi="Verdana"/>
          <w:sz w:val="20"/>
          <w:szCs w:val="20"/>
          <w:lang w:val="en-US"/>
        </w:rPr>
        <w:t>the Marowijne River</w:t>
      </w:r>
      <w:r w:rsidR="00020007" w:rsidRPr="00FE7BA7">
        <w:rPr>
          <w:rFonts w:ascii="Verdana" w:hAnsi="Verdana"/>
          <w:sz w:val="20"/>
          <w:szCs w:val="20"/>
          <w:lang w:val="en-US"/>
        </w:rPr>
        <w:t xml:space="preserve">, </w:t>
      </w:r>
      <w:r w:rsidR="00FD14B3" w:rsidRPr="00FE7BA7">
        <w:rPr>
          <w:rFonts w:ascii="Verdana" w:hAnsi="Verdana"/>
          <w:sz w:val="20"/>
          <w:szCs w:val="20"/>
          <w:lang w:val="en-US"/>
        </w:rPr>
        <w:t xml:space="preserve">and this was corroborated during </w:t>
      </w:r>
      <w:r w:rsidR="003F59F5" w:rsidRPr="00FE7BA7">
        <w:rPr>
          <w:rFonts w:ascii="Verdana" w:hAnsi="Verdana"/>
          <w:sz w:val="20"/>
          <w:szCs w:val="20"/>
          <w:lang w:val="en-US"/>
        </w:rPr>
        <w:t>the on-site procedure</w:t>
      </w:r>
      <w:r w:rsidR="007304C6" w:rsidRPr="00FE7BA7">
        <w:rPr>
          <w:rFonts w:ascii="Verdana" w:hAnsi="Verdana"/>
          <w:sz w:val="20"/>
          <w:szCs w:val="20"/>
          <w:lang w:val="en-US"/>
        </w:rPr>
        <w:t xml:space="preserve">. </w:t>
      </w:r>
    </w:p>
    <w:p w14:paraId="63126994" w14:textId="77777777" w:rsidR="002109E0" w:rsidRPr="00FE7BA7" w:rsidRDefault="002109E0" w:rsidP="00366D91">
      <w:pPr>
        <w:rPr>
          <w:lang w:val="en-US"/>
        </w:rPr>
      </w:pPr>
    </w:p>
    <w:p w14:paraId="63126995" w14:textId="23ABA27A" w:rsidR="00864333" w:rsidRPr="00FE7BA7" w:rsidRDefault="00804BD4" w:rsidP="00804BD4">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addition</w:t>
      </w:r>
      <w:r w:rsidR="00A427F6" w:rsidRPr="00FE7BA7">
        <w:rPr>
          <w:rFonts w:ascii="Verdana" w:hAnsi="Verdana"/>
          <w:sz w:val="20"/>
          <w:szCs w:val="20"/>
          <w:lang w:val="en-US"/>
        </w:rPr>
        <w:t xml:space="preserve">, </w:t>
      </w:r>
      <w:r w:rsidR="002B5CCD" w:rsidRPr="00FE7BA7">
        <w:rPr>
          <w:rFonts w:ascii="Verdana" w:hAnsi="Verdana"/>
          <w:sz w:val="20"/>
          <w:szCs w:val="20"/>
          <w:lang w:val="en-US"/>
        </w:rPr>
        <w:t>the Court</w:t>
      </w:r>
      <w:r w:rsidR="002109E0" w:rsidRPr="00FE7BA7">
        <w:rPr>
          <w:rFonts w:ascii="Verdana" w:hAnsi="Verdana"/>
          <w:sz w:val="20"/>
          <w:szCs w:val="20"/>
          <w:lang w:val="en-US"/>
        </w:rPr>
        <w:t xml:space="preserve"> </w:t>
      </w:r>
      <w:r w:rsidRPr="00FE7BA7">
        <w:rPr>
          <w:rFonts w:ascii="Verdana" w:hAnsi="Verdana"/>
          <w:sz w:val="20"/>
          <w:szCs w:val="20"/>
          <w:lang w:val="en-US"/>
        </w:rPr>
        <w:t xml:space="preserve">has already established that </w:t>
      </w:r>
      <w:r w:rsidR="002B5CCD" w:rsidRPr="00FE7BA7">
        <w:rPr>
          <w:rFonts w:ascii="Verdana" w:hAnsi="Verdana"/>
          <w:sz w:val="20"/>
          <w:szCs w:val="20"/>
          <w:lang w:val="en-US"/>
        </w:rPr>
        <w:t xml:space="preserve">Suriname </w:t>
      </w:r>
      <w:r w:rsidRPr="00FE7BA7">
        <w:rPr>
          <w:rFonts w:ascii="Verdana" w:hAnsi="Verdana"/>
          <w:sz w:val="20"/>
          <w:szCs w:val="20"/>
          <w:lang w:val="en-US"/>
        </w:rPr>
        <w:t>does not recognize th</w:t>
      </w:r>
      <w:r w:rsidR="009029C3">
        <w:rPr>
          <w:rFonts w:ascii="Verdana" w:hAnsi="Verdana"/>
          <w:sz w:val="20"/>
          <w:szCs w:val="20"/>
          <w:lang w:val="en-US"/>
        </w:rPr>
        <w:t xml:space="preserve">e right to collective property; hence,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020007" w:rsidRPr="00FE7BA7">
        <w:rPr>
          <w:rFonts w:ascii="Verdana" w:hAnsi="Verdana"/>
          <w:sz w:val="20"/>
          <w:szCs w:val="20"/>
          <w:lang w:val="en-US"/>
        </w:rPr>
        <w:t xml:space="preserve"> </w:t>
      </w:r>
      <w:r w:rsidRPr="00FE7BA7">
        <w:rPr>
          <w:rFonts w:ascii="Verdana" w:hAnsi="Verdana"/>
          <w:sz w:val="20"/>
          <w:szCs w:val="20"/>
          <w:lang w:val="en-US"/>
        </w:rPr>
        <w:t>have not been able to obta</w:t>
      </w:r>
      <w:r w:rsidR="009029C3">
        <w:rPr>
          <w:rFonts w:ascii="Verdana" w:hAnsi="Verdana"/>
          <w:sz w:val="20"/>
          <w:szCs w:val="20"/>
          <w:lang w:val="en-US"/>
        </w:rPr>
        <w:t>in the delimitation, demarcation</w:t>
      </w:r>
      <w:r w:rsidRPr="00FE7BA7">
        <w:rPr>
          <w:rFonts w:ascii="Verdana" w:hAnsi="Verdana"/>
          <w:sz w:val="20"/>
          <w:szCs w:val="20"/>
          <w:lang w:val="en-US"/>
        </w:rPr>
        <w:t xml:space="preserve"> and titling of the territories they claim, even though the State undertook to ensure this right and to demarcate the indigenous residential lands in the 1992 Lelydorp Peace Accord</w:t>
      </w:r>
      <w:r w:rsidR="002109E0" w:rsidRPr="00FE7BA7">
        <w:rPr>
          <w:rFonts w:ascii="Verdana" w:hAnsi="Verdana"/>
          <w:sz w:val="20"/>
          <w:szCs w:val="20"/>
          <w:lang w:val="en-US"/>
        </w:rPr>
        <w:t xml:space="preserve"> (</w:t>
      </w:r>
      <w:r w:rsidR="00366D91" w:rsidRPr="00FE7BA7">
        <w:rPr>
          <w:rFonts w:ascii="Verdana" w:hAnsi="Verdana"/>
          <w:i/>
          <w:sz w:val="20"/>
          <w:szCs w:val="20"/>
          <w:lang w:val="en-US"/>
        </w:rPr>
        <w:t>supra</w:t>
      </w:r>
      <w:r w:rsidR="002109E0" w:rsidRPr="00FE7BA7">
        <w:rPr>
          <w:rFonts w:ascii="Verdana" w:hAnsi="Verdana"/>
          <w:sz w:val="20"/>
          <w:szCs w:val="20"/>
          <w:lang w:val="en-US"/>
        </w:rPr>
        <w:t xml:space="preserve"> </w:t>
      </w:r>
      <w:r w:rsidR="00810FAD" w:rsidRPr="00FE7BA7">
        <w:rPr>
          <w:rFonts w:ascii="Verdana" w:hAnsi="Verdana"/>
          <w:sz w:val="20"/>
          <w:szCs w:val="20"/>
          <w:lang w:val="en-US"/>
        </w:rPr>
        <w:t>para.</w:t>
      </w:r>
      <w:r w:rsidR="002109E0" w:rsidRPr="00FE7BA7">
        <w:rPr>
          <w:rFonts w:ascii="Verdana" w:hAnsi="Verdana"/>
          <w:sz w:val="20"/>
          <w:szCs w:val="20"/>
          <w:lang w:val="en-US"/>
        </w:rPr>
        <w:t xml:space="preserve"> </w:t>
      </w:r>
      <w:r w:rsidR="00020007" w:rsidRPr="00FE7BA7">
        <w:rPr>
          <w:rFonts w:ascii="Verdana" w:hAnsi="Verdana"/>
          <w:sz w:val="20"/>
          <w:szCs w:val="20"/>
          <w:lang w:val="en-US"/>
        </w:rPr>
        <w:t>51</w:t>
      </w:r>
      <w:r w:rsidR="002109E0" w:rsidRPr="00FE7BA7">
        <w:rPr>
          <w:rFonts w:ascii="Verdana" w:hAnsi="Verdana"/>
          <w:sz w:val="20"/>
          <w:szCs w:val="20"/>
          <w:lang w:val="en-US"/>
        </w:rPr>
        <w:t xml:space="preserve">). </w:t>
      </w:r>
      <w:r w:rsidRPr="00FE7BA7">
        <w:rPr>
          <w:rFonts w:ascii="Verdana" w:hAnsi="Verdana"/>
          <w:sz w:val="20"/>
          <w:szCs w:val="20"/>
          <w:lang w:val="en-US"/>
        </w:rPr>
        <w:t xml:space="preserve">To the contrary, </w:t>
      </w:r>
      <w:r w:rsidR="002B5CCD" w:rsidRPr="00FE7BA7">
        <w:rPr>
          <w:rFonts w:ascii="Verdana" w:hAnsi="Verdana"/>
          <w:sz w:val="20"/>
          <w:szCs w:val="20"/>
          <w:lang w:val="en-US"/>
        </w:rPr>
        <w:t xml:space="preserve">Suriname </w:t>
      </w:r>
      <w:r w:rsidR="002109E0" w:rsidRPr="00FE7BA7">
        <w:rPr>
          <w:rFonts w:ascii="Verdana" w:hAnsi="Verdana"/>
          <w:sz w:val="20"/>
          <w:szCs w:val="20"/>
          <w:lang w:val="en-US"/>
        </w:rPr>
        <w:t>ha</w:t>
      </w:r>
      <w:r w:rsidRPr="00FE7BA7">
        <w:rPr>
          <w:rFonts w:ascii="Verdana" w:hAnsi="Verdana"/>
          <w:sz w:val="20"/>
          <w:szCs w:val="20"/>
          <w:lang w:val="en-US"/>
        </w:rPr>
        <w:t xml:space="preserve">s issued individual </w:t>
      </w:r>
      <w:r w:rsidR="009029C3">
        <w:rPr>
          <w:rFonts w:ascii="Verdana" w:hAnsi="Verdana"/>
          <w:sz w:val="20"/>
          <w:szCs w:val="20"/>
          <w:lang w:val="en-US"/>
        </w:rPr>
        <w:t xml:space="preserve">land </w:t>
      </w:r>
      <w:r w:rsidRPr="00FE7BA7">
        <w:rPr>
          <w:rFonts w:ascii="Verdana" w:hAnsi="Verdana"/>
          <w:sz w:val="20"/>
          <w:szCs w:val="20"/>
          <w:lang w:val="en-US"/>
        </w:rPr>
        <w:t xml:space="preserve">titles to </w:t>
      </w:r>
      <w:r w:rsidR="000E16B8" w:rsidRPr="00FE7BA7">
        <w:rPr>
          <w:rFonts w:ascii="Verdana" w:hAnsi="Verdana"/>
          <w:sz w:val="20"/>
          <w:szCs w:val="20"/>
          <w:lang w:val="en-US"/>
        </w:rPr>
        <w:t>non-indigenous persons</w:t>
      </w:r>
      <w:r w:rsidR="002109E0" w:rsidRPr="00FE7BA7">
        <w:rPr>
          <w:rFonts w:ascii="Verdana" w:hAnsi="Verdana"/>
          <w:sz w:val="20"/>
          <w:szCs w:val="20"/>
          <w:lang w:val="en-US"/>
        </w:rPr>
        <w:t xml:space="preserve"> </w:t>
      </w:r>
      <w:r w:rsidRPr="00FE7BA7">
        <w:rPr>
          <w:rFonts w:ascii="Verdana" w:hAnsi="Verdana"/>
          <w:sz w:val="20"/>
          <w:szCs w:val="20"/>
          <w:lang w:val="en-US"/>
        </w:rPr>
        <w:t xml:space="preserve">in the territories claimed. In view of this situation, and owing to the absence of a remedy to obtain the protection of their rights </w:t>
      </w:r>
      <w:r w:rsidR="002109E0" w:rsidRPr="00FE7BA7">
        <w:rPr>
          <w:rFonts w:ascii="Verdana" w:hAnsi="Verdana"/>
          <w:sz w:val="20"/>
          <w:szCs w:val="20"/>
          <w:lang w:val="en-US"/>
        </w:rPr>
        <w:t>(</w:t>
      </w:r>
      <w:r w:rsidR="007829DF" w:rsidRPr="00FE7BA7">
        <w:rPr>
          <w:rFonts w:ascii="Verdana" w:hAnsi="Verdana"/>
          <w:i/>
          <w:sz w:val="20"/>
          <w:szCs w:val="20"/>
          <w:lang w:val="en-US"/>
        </w:rPr>
        <w:t>infra</w:t>
      </w:r>
      <w:r w:rsidR="002109E0" w:rsidRPr="00FE7BA7">
        <w:rPr>
          <w:rFonts w:ascii="Verdana" w:hAnsi="Verdana"/>
          <w:sz w:val="20"/>
          <w:szCs w:val="20"/>
          <w:lang w:val="en-US"/>
        </w:rPr>
        <w:t xml:space="preserve"> </w:t>
      </w:r>
      <w:r w:rsidR="008F798A" w:rsidRPr="00FE7BA7">
        <w:rPr>
          <w:rFonts w:ascii="Verdana" w:hAnsi="Verdana"/>
          <w:sz w:val="20"/>
          <w:szCs w:val="20"/>
          <w:lang w:val="en-US"/>
        </w:rPr>
        <w:t>paras.</w:t>
      </w:r>
      <w:r w:rsidR="002109E0" w:rsidRPr="00FE7BA7">
        <w:rPr>
          <w:rFonts w:ascii="Verdana" w:hAnsi="Verdana"/>
          <w:sz w:val="20"/>
          <w:szCs w:val="20"/>
          <w:lang w:val="en-US"/>
        </w:rPr>
        <w:t xml:space="preserve"> </w:t>
      </w:r>
      <w:r w:rsidR="00503265" w:rsidRPr="00FE7BA7">
        <w:rPr>
          <w:rFonts w:ascii="Verdana" w:hAnsi="Verdana"/>
          <w:sz w:val="20"/>
          <w:szCs w:val="20"/>
          <w:lang w:val="en-US"/>
        </w:rPr>
        <w:t>249</w:t>
      </w:r>
      <w:r w:rsidR="002B5CCD" w:rsidRPr="00FE7BA7">
        <w:rPr>
          <w:rFonts w:ascii="Verdana" w:hAnsi="Verdana"/>
          <w:sz w:val="20"/>
          <w:szCs w:val="20"/>
          <w:lang w:val="en-US"/>
        </w:rPr>
        <w:t xml:space="preserve"> and </w:t>
      </w:r>
      <w:r w:rsidR="00503265" w:rsidRPr="00FE7BA7">
        <w:rPr>
          <w:rFonts w:ascii="Verdana" w:hAnsi="Verdana"/>
          <w:sz w:val="20"/>
          <w:szCs w:val="20"/>
          <w:lang w:val="en-US"/>
        </w:rPr>
        <w:t>258</w:t>
      </w:r>
      <w:r w:rsidR="002109E0"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have filed several actions to achieve the recognition of their right to collective property and a halt to the granting of land titles. In this regard, the Court has verified several claims filed </w:t>
      </w:r>
      <w:r w:rsidR="009029C3">
        <w:rPr>
          <w:rFonts w:ascii="Verdana" w:hAnsi="Verdana"/>
          <w:sz w:val="20"/>
          <w:szCs w:val="20"/>
          <w:lang w:val="en-US"/>
        </w:rPr>
        <w:t>between 1972 and</w:t>
      </w:r>
      <w:r w:rsidRPr="00FE7BA7">
        <w:rPr>
          <w:rFonts w:ascii="Verdana" w:hAnsi="Verdana"/>
          <w:sz w:val="20"/>
          <w:szCs w:val="20"/>
          <w:lang w:val="en-US"/>
        </w:rPr>
        <w:t xml:space="preserve"> </w:t>
      </w:r>
      <w:r w:rsidR="0077758E">
        <w:rPr>
          <w:rFonts w:ascii="Verdana" w:hAnsi="Verdana"/>
          <w:sz w:val="20"/>
          <w:szCs w:val="20"/>
          <w:lang w:val="en-US"/>
        </w:rPr>
        <w:t xml:space="preserve">at least </w:t>
      </w:r>
      <w:r w:rsidRPr="00FE7BA7">
        <w:rPr>
          <w:rFonts w:ascii="Verdana" w:hAnsi="Verdana"/>
          <w:sz w:val="20"/>
          <w:szCs w:val="20"/>
          <w:lang w:val="en-US"/>
        </w:rPr>
        <w:t>2013, in relation to the presence of third parties in their territories</w:t>
      </w:r>
      <w:r w:rsidR="002109E0" w:rsidRPr="00FE7BA7">
        <w:rPr>
          <w:rStyle w:val="FootnoteReference"/>
          <w:szCs w:val="20"/>
          <w:lang w:val="en-US"/>
        </w:rPr>
        <w:footnoteReference w:id="193"/>
      </w:r>
      <w:r w:rsidR="002109E0" w:rsidRPr="00FE7BA7">
        <w:rPr>
          <w:rFonts w:ascii="Verdana" w:hAnsi="Verdana"/>
          <w:sz w:val="20"/>
          <w:szCs w:val="20"/>
          <w:lang w:val="en-US"/>
        </w:rPr>
        <w:t xml:space="preserve"> </w:t>
      </w:r>
      <w:r w:rsidR="002109E0" w:rsidRPr="00FE7BA7">
        <w:rPr>
          <w:rFonts w:ascii="Verdana" w:hAnsi="Verdana"/>
          <w:snapToGrid w:val="0"/>
          <w:sz w:val="20"/>
          <w:szCs w:val="20"/>
          <w:lang w:val="en-US"/>
        </w:rPr>
        <w:t>(</w:t>
      </w:r>
      <w:r w:rsidR="00366D91" w:rsidRPr="00FE7BA7">
        <w:rPr>
          <w:rFonts w:ascii="Verdana" w:hAnsi="Verdana"/>
          <w:i/>
          <w:snapToGrid w:val="0"/>
          <w:sz w:val="20"/>
          <w:szCs w:val="20"/>
          <w:lang w:val="en-US"/>
        </w:rPr>
        <w:t>supra</w:t>
      </w:r>
      <w:r w:rsidR="002109E0" w:rsidRPr="00FE7BA7">
        <w:rPr>
          <w:rFonts w:ascii="Verdana" w:hAnsi="Verdana"/>
          <w:snapToGrid w:val="0"/>
          <w:sz w:val="20"/>
          <w:szCs w:val="20"/>
          <w:lang w:val="en-US"/>
        </w:rPr>
        <w:t xml:space="preserve"> </w:t>
      </w:r>
      <w:r w:rsidR="008F798A" w:rsidRPr="00FE7BA7">
        <w:rPr>
          <w:rFonts w:ascii="Verdana" w:hAnsi="Verdana"/>
          <w:snapToGrid w:val="0"/>
          <w:sz w:val="20"/>
          <w:szCs w:val="20"/>
          <w:lang w:val="en-US"/>
        </w:rPr>
        <w:t>paras.</w:t>
      </w:r>
      <w:r w:rsidR="002109E0" w:rsidRPr="00FE7BA7">
        <w:rPr>
          <w:rFonts w:ascii="Verdana" w:hAnsi="Verdana"/>
          <w:snapToGrid w:val="0"/>
          <w:sz w:val="20"/>
          <w:szCs w:val="20"/>
          <w:lang w:val="en-US"/>
        </w:rPr>
        <w:t xml:space="preserve"> </w:t>
      </w:r>
      <w:r w:rsidRPr="00FE7BA7">
        <w:rPr>
          <w:rFonts w:ascii="Verdana" w:hAnsi="Verdana"/>
          <w:snapToGrid w:val="0"/>
          <w:sz w:val="20"/>
          <w:szCs w:val="20"/>
          <w:lang w:val="en-US"/>
        </w:rPr>
        <w:t>59 to</w:t>
      </w:r>
      <w:r w:rsidR="001F4DBD" w:rsidRPr="00FE7BA7">
        <w:rPr>
          <w:rFonts w:ascii="Verdana" w:hAnsi="Verdana"/>
          <w:snapToGrid w:val="0"/>
          <w:sz w:val="20"/>
          <w:szCs w:val="20"/>
          <w:lang w:val="en-US"/>
        </w:rPr>
        <w:t xml:space="preserve"> 69</w:t>
      </w:r>
      <w:r w:rsidR="002109E0" w:rsidRPr="00FE7BA7">
        <w:rPr>
          <w:rFonts w:ascii="Verdana" w:hAnsi="Verdana"/>
          <w:snapToGrid w:val="0"/>
          <w:sz w:val="20"/>
          <w:szCs w:val="20"/>
          <w:lang w:val="en-US"/>
        </w:rPr>
        <w:t>)</w:t>
      </w:r>
      <w:r w:rsidR="00C31C29"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Consequently, the Court </w:t>
      </w:r>
      <w:r w:rsidR="008C0D6F">
        <w:rPr>
          <w:rFonts w:ascii="Verdana" w:hAnsi="Verdana"/>
          <w:snapToGrid w:val="0"/>
          <w:sz w:val="20"/>
          <w:szCs w:val="20"/>
          <w:lang w:val="en-US"/>
        </w:rPr>
        <w:t>finds</w:t>
      </w:r>
      <w:r w:rsidR="008C0D6F"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that the State was </w:t>
      </w:r>
      <w:r w:rsidRPr="00FE7BA7">
        <w:rPr>
          <w:rFonts w:ascii="Verdana" w:hAnsi="Verdana"/>
          <w:snapToGrid w:val="0"/>
          <w:sz w:val="20"/>
          <w:szCs w:val="20"/>
          <w:lang w:val="en-US"/>
        </w:rPr>
        <w:lastRenderedPageBreak/>
        <w:t xml:space="preserve">aware of the territorial claims </w:t>
      </w:r>
      <w:r w:rsidR="00635ACD" w:rsidRPr="00FE7BA7">
        <w:rPr>
          <w:rFonts w:ascii="Verdana" w:hAnsi="Verdana"/>
          <w:snapToGrid w:val="0"/>
          <w:sz w:val="20"/>
          <w:szCs w:val="20"/>
          <w:lang w:val="en-US"/>
        </w:rPr>
        <w:t xml:space="preserve">of the </w:t>
      </w:r>
      <w:r w:rsidR="004C7D14" w:rsidRPr="00FE7BA7">
        <w:rPr>
          <w:rFonts w:ascii="Verdana" w:hAnsi="Verdana"/>
          <w:snapToGrid w:val="0"/>
          <w:sz w:val="20"/>
          <w:szCs w:val="20"/>
          <w:lang w:val="en-US"/>
        </w:rPr>
        <w:t>Kaliña and Lokono peoples</w:t>
      </w:r>
      <w:r w:rsidR="002B5CCD" w:rsidRPr="00FE7BA7">
        <w:rPr>
          <w:rFonts w:ascii="Verdana" w:hAnsi="Verdana"/>
          <w:snapToGrid w:val="0"/>
          <w:sz w:val="20"/>
          <w:szCs w:val="20"/>
          <w:lang w:val="en-US"/>
        </w:rPr>
        <w:t xml:space="preserve"> and</w:t>
      </w:r>
      <w:r w:rsidRPr="00FE7BA7">
        <w:rPr>
          <w:rFonts w:ascii="Verdana" w:hAnsi="Verdana"/>
          <w:snapToGrid w:val="0"/>
          <w:sz w:val="20"/>
          <w:szCs w:val="20"/>
          <w:lang w:val="en-US"/>
        </w:rPr>
        <w:t xml:space="preserve">, despite this, without responding to any of their petitions, continued to issue private land titles that prejudiced them, even though they </w:t>
      </w:r>
      <w:r w:rsidR="0077758E">
        <w:rPr>
          <w:rFonts w:ascii="Verdana" w:hAnsi="Verdana"/>
          <w:snapToGrid w:val="0"/>
          <w:sz w:val="20"/>
          <w:szCs w:val="20"/>
          <w:lang w:val="en-US"/>
        </w:rPr>
        <w:t xml:space="preserve">had claimed </w:t>
      </w:r>
      <w:r w:rsidRPr="00FE7BA7">
        <w:rPr>
          <w:rFonts w:ascii="Verdana" w:hAnsi="Verdana"/>
          <w:snapToGrid w:val="0"/>
          <w:sz w:val="20"/>
          <w:szCs w:val="20"/>
          <w:lang w:val="en-US"/>
        </w:rPr>
        <w:t xml:space="preserve">that the said area was part of </w:t>
      </w:r>
      <w:r w:rsidR="005269B1" w:rsidRPr="00FE7BA7">
        <w:rPr>
          <w:rFonts w:ascii="Verdana" w:hAnsi="Verdana"/>
          <w:snapToGrid w:val="0"/>
          <w:sz w:val="20"/>
          <w:szCs w:val="20"/>
          <w:lang w:val="en-US"/>
        </w:rPr>
        <w:t>their ancestral territory</w:t>
      </w:r>
      <w:r w:rsidR="002109E0"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Thus, the State failed to </w:t>
      </w:r>
      <w:r w:rsidR="0086680E">
        <w:rPr>
          <w:rFonts w:ascii="Verdana" w:hAnsi="Verdana"/>
          <w:snapToGrid w:val="0"/>
          <w:sz w:val="20"/>
          <w:szCs w:val="20"/>
          <w:lang w:val="en-US"/>
        </w:rPr>
        <w:t>secure</w:t>
      </w:r>
      <w:r w:rsidRPr="00FE7BA7">
        <w:rPr>
          <w:rFonts w:ascii="Verdana" w:hAnsi="Verdana"/>
          <w:snapToGrid w:val="0"/>
          <w:sz w:val="20"/>
          <w:szCs w:val="20"/>
          <w:lang w:val="en-US"/>
        </w:rPr>
        <w:t xml:space="preserve"> the use and enjoyment of their territory without any outside interference.</w:t>
      </w:r>
      <w:r w:rsidR="00864333" w:rsidRPr="00FE7BA7">
        <w:rPr>
          <w:rStyle w:val="FootnoteReference"/>
          <w:szCs w:val="20"/>
          <w:lang w:val="en-US"/>
        </w:rPr>
        <w:footnoteReference w:id="194"/>
      </w:r>
    </w:p>
    <w:p w14:paraId="63126996" w14:textId="77777777" w:rsidR="00185682" w:rsidRPr="00FE7BA7" w:rsidRDefault="00185682" w:rsidP="00185682">
      <w:pPr>
        <w:pStyle w:val="ListParagraph"/>
        <w:ind w:left="0"/>
        <w:jc w:val="both"/>
        <w:rPr>
          <w:rFonts w:ascii="Verdana" w:hAnsi="Verdana"/>
          <w:sz w:val="20"/>
          <w:szCs w:val="20"/>
          <w:lang w:val="en-US"/>
        </w:rPr>
      </w:pPr>
    </w:p>
    <w:p w14:paraId="63126997" w14:textId="77777777" w:rsidR="00185682" w:rsidRPr="00FE7BA7" w:rsidRDefault="00804BD4" w:rsidP="00185682">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Based on the above, the Court concludes that the direct access of these peoples to </w:t>
      </w:r>
      <w:r w:rsidR="000E16B8" w:rsidRPr="00FE7BA7">
        <w:rPr>
          <w:rFonts w:ascii="Verdana" w:hAnsi="Verdana"/>
          <w:sz w:val="20"/>
          <w:szCs w:val="20"/>
          <w:lang w:val="en-US"/>
        </w:rPr>
        <w:t>the Marowijne River</w:t>
      </w:r>
      <w:r w:rsidR="002B5CCD" w:rsidRPr="00FE7BA7">
        <w:rPr>
          <w:rFonts w:ascii="Verdana" w:hAnsi="Verdana"/>
          <w:sz w:val="20"/>
          <w:szCs w:val="20"/>
          <w:lang w:val="en-US"/>
        </w:rPr>
        <w:t xml:space="preserve"> </w:t>
      </w:r>
      <w:r w:rsidRPr="00FE7BA7">
        <w:rPr>
          <w:rFonts w:ascii="Verdana" w:hAnsi="Verdana"/>
          <w:sz w:val="20"/>
          <w:szCs w:val="20"/>
          <w:lang w:val="en-US"/>
        </w:rPr>
        <w:t>has been restricted and, consequently, the use and enjoyment of the traditional</w:t>
      </w:r>
      <w:r w:rsidR="00185682" w:rsidRPr="00FE7BA7">
        <w:rPr>
          <w:rFonts w:ascii="Verdana" w:hAnsi="Verdana"/>
          <w:sz w:val="20"/>
          <w:szCs w:val="20"/>
          <w:lang w:val="en-US"/>
        </w:rPr>
        <w:t xml:space="preserve"> </w:t>
      </w:r>
      <w:r w:rsidR="0077758E">
        <w:rPr>
          <w:rFonts w:ascii="Verdana" w:hAnsi="Verdana"/>
          <w:sz w:val="20"/>
          <w:szCs w:val="20"/>
          <w:lang w:val="en-US"/>
        </w:rPr>
        <w:t>lands</w:t>
      </w:r>
      <w:r w:rsidR="00185682" w:rsidRPr="00FE7BA7">
        <w:rPr>
          <w:rFonts w:ascii="Verdana" w:hAnsi="Verdana"/>
          <w:sz w:val="20"/>
          <w:szCs w:val="20"/>
          <w:lang w:val="en-US"/>
        </w:rPr>
        <w:t xml:space="preserve"> </w:t>
      </w:r>
      <w:r w:rsidRPr="00FE7BA7">
        <w:rPr>
          <w:rFonts w:ascii="Verdana" w:hAnsi="Verdana"/>
          <w:sz w:val="20"/>
          <w:szCs w:val="20"/>
          <w:lang w:val="en-US"/>
        </w:rPr>
        <w:t xml:space="preserve">adjoining the river. </w:t>
      </w:r>
      <w:r w:rsidR="0077758E">
        <w:rPr>
          <w:rFonts w:ascii="Verdana" w:hAnsi="Verdana"/>
          <w:sz w:val="20"/>
          <w:szCs w:val="20"/>
          <w:lang w:val="en-US"/>
        </w:rPr>
        <w:t>Nevertheless</w:t>
      </w:r>
      <w:r w:rsidRPr="00FE7BA7">
        <w:rPr>
          <w:rFonts w:ascii="Verdana" w:hAnsi="Verdana"/>
          <w:sz w:val="20"/>
          <w:szCs w:val="20"/>
          <w:lang w:val="en-US"/>
        </w:rPr>
        <w:t xml:space="preserve">, the Court finds that the right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185682" w:rsidRPr="00FE7BA7">
        <w:rPr>
          <w:rFonts w:ascii="Verdana" w:hAnsi="Verdana"/>
          <w:sz w:val="20"/>
          <w:szCs w:val="20"/>
          <w:lang w:val="en-US"/>
        </w:rPr>
        <w:t xml:space="preserve"> </w:t>
      </w:r>
      <w:r w:rsidRPr="00FE7BA7">
        <w:rPr>
          <w:rFonts w:ascii="Verdana" w:hAnsi="Verdana"/>
          <w:sz w:val="20"/>
          <w:szCs w:val="20"/>
          <w:lang w:val="en-US"/>
        </w:rPr>
        <w:t xml:space="preserve">to require the restitution of their </w:t>
      </w:r>
      <w:r w:rsidR="00FD14B3" w:rsidRPr="00FE7BA7">
        <w:rPr>
          <w:rFonts w:ascii="Verdana" w:hAnsi="Verdana"/>
          <w:sz w:val="20"/>
          <w:szCs w:val="20"/>
          <w:lang w:val="en-US"/>
        </w:rPr>
        <w:t>traditional lands</w:t>
      </w:r>
      <w:r w:rsidRPr="00FE7BA7">
        <w:rPr>
          <w:rFonts w:ascii="Verdana" w:hAnsi="Verdana"/>
          <w:sz w:val="20"/>
          <w:szCs w:val="20"/>
          <w:lang w:val="en-US"/>
        </w:rPr>
        <w:t>, which are currently owned and in the possession of non-indigenous third parties, remains valid.</w:t>
      </w:r>
      <w:r w:rsidR="00185682" w:rsidRPr="00FE7BA7">
        <w:rPr>
          <w:rStyle w:val="FootnoteReference"/>
          <w:szCs w:val="20"/>
          <w:lang w:val="en-US"/>
        </w:rPr>
        <w:footnoteReference w:id="195"/>
      </w:r>
    </w:p>
    <w:p w14:paraId="63126998" w14:textId="77777777" w:rsidR="002109E0" w:rsidRPr="00FE7BA7" w:rsidRDefault="002109E0" w:rsidP="002109E0">
      <w:pPr>
        <w:pStyle w:val="ListParagraph"/>
        <w:jc w:val="both"/>
        <w:rPr>
          <w:rFonts w:ascii="Verdana" w:hAnsi="Verdana"/>
          <w:sz w:val="20"/>
          <w:szCs w:val="20"/>
          <w:lang w:val="en-US"/>
        </w:rPr>
      </w:pPr>
      <w:r w:rsidRPr="00FE7BA7">
        <w:rPr>
          <w:rFonts w:ascii="Verdana" w:hAnsi="Verdana"/>
          <w:bCs/>
          <w:sz w:val="20"/>
          <w:szCs w:val="20"/>
          <w:lang w:val="en-US"/>
        </w:rPr>
        <w:t xml:space="preserve"> </w:t>
      </w:r>
    </w:p>
    <w:p w14:paraId="63126999" w14:textId="77777777" w:rsidR="002109E0" w:rsidRPr="00FE7BA7" w:rsidRDefault="0077758E" w:rsidP="00804BD4">
      <w:pPr>
        <w:pStyle w:val="ListParagraph"/>
        <w:numPr>
          <w:ilvl w:val="0"/>
          <w:numId w:val="2"/>
        </w:numPr>
        <w:ind w:left="0" w:hanging="11"/>
        <w:jc w:val="both"/>
        <w:rPr>
          <w:rFonts w:ascii="Verdana" w:hAnsi="Verdana"/>
          <w:sz w:val="20"/>
          <w:szCs w:val="20"/>
          <w:lang w:val="en-US"/>
        </w:rPr>
      </w:pPr>
      <w:r>
        <w:rPr>
          <w:rFonts w:ascii="Verdana" w:hAnsi="Verdana"/>
          <w:sz w:val="20"/>
          <w:szCs w:val="20"/>
          <w:lang w:val="en-US"/>
        </w:rPr>
        <w:t>However</w:t>
      </w:r>
      <w:r w:rsidR="00804BD4" w:rsidRPr="00FE7BA7">
        <w:rPr>
          <w:rFonts w:ascii="Verdana" w:hAnsi="Verdana"/>
          <w:sz w:val="20"/>
          <w:szCs w:val="20"/>
          <w:lang w:val="en-US"/>
        </w:rPr>
        <w:t xml:space="preserve">, the Court reiterates its case law that both the property of private individuals and the collective property of the members of the indigenous communities are protected by </w:t>
      </w:r>
      <w:r w:rsidR="002B5CCD" w:rsidRPr="00FE7BA7">
        <w:rPr>
          <w:rFonts w:ascii="Verdana" w:hAnsi="Verdana"/>
          <w:sz w:val="20"/>
          <w:szCs w:val="20"/>
          <w:lang w:val="en-US"/>
        </w:rPr>
        <w:t>Article</w:t>
      </w:r>
      <w:r w:rsidR="002109E0" w:rsidRPr="00FE7BA7">
        <w:rPr>
          <w:rFonts w:ascii="Verdana" w:hAnsi="Verdana"/>
          <w:sz w:val="20"/>
          <w:szCs w:val="20"/>
          <w:lang w:val="en-US"/>
        </w:rPr>
        <w:t xml:space="preserve"> 21</w:t>
      </w:r>
      <w:r w:rsidR="002B5CCD" w:rsidRPr="00FE7BA7">
        <w:rPr>
          <w:rFonts w:ascii="Verdana" w:hAnsi="Verdana"/>
          <w:sz w:val="20"/>
          <w:szCs w:val="20"/>
          <w:lang w:val="en-US"/>
        </w:rPr>
        <w:t xml:space="preserve"> of the American Convention</w:t>
      </w:r>
      <w:r w:rsidR="00804BD4" w:rsidRPr="00FE7BA7">
        <w:rPr>
          <w:rFonts w:ascii="Verdana" w:hAnsi="Verdana"/>
          <w:sz w:val="20"/>
          <w:szCs w:val="20"/>
          <w:lang w:val="en-US"/>
        </w:rPr>
        <w:t>.</w:t>
      </w:r>
      <w:r w:rsidR="002109E0" w:rsidRPr="00FE7BA7">
        <w:rPr>
          <w:rStyle w:val="FootnoteReference"/>
          <w:szCs w:val="20"/>
          <w:lang w:val="en-US"/>
        </w:rPr>
        <w:footnoteReference w:id="196"/>
      </w:r>
      <w:r w:rsidR="00804BD4" w:rsidRPr="00FE7BA7">
        <w:rPr>
          <w:rFonts w:ascii="Verdana" w:hAnsi="Verdana"/>
          <w:sz w:val="20"/>
          <w:szCs w:val="20"/>
          <w:lang w:val="en-US"/>
        </w:rPr>
        <w:t xml:space="preserve"> In this regard, </w:t>
      </w:r>
      <w:r w:rsidR="002B5CCD" w:rsidRPr="00FE7BA7">
        <w:rPr>
          <w:rFonts w:ascii="Verdana" w:hAnsi="Verdana"/>
          <w:sz w:val="20"/>
          <w:szCs w:val="20"/>
          <w:lang w:val="en-US"/>
        </w:rPr>
        <w:t>the Court</w:t>
      </w:r>
      <w:r w:rsidR="002109E0" w:rsidRPr="00FE7BA7">
        <w:rPr>
          <w:rFonts w:ascii="Verdana" w:hAnsi="Verdana"/>
          <w:sz w:val="20"/>
          <w:szCs w:val="20"/>
          <w:lang w:val="en-US"/>
        </w:rPr>
        <w:t xml:space="preserve"> ha</w:t>
      </w:r>
      <w:r w:rsidR="00804BD4" w:rsidRPr="00FE7BA7">
        <w:rPr>
          <w:rFonts w:ascii="Verdana" w:hAnsi="Verdana"/>
          <w:sz w:val="20"/>
          <w:szCs w:val="20"/>
          <w:lang w:val="en-US"/>
        </w:rPr>
        <w:t>s indicated that, when</w:t>
      </w:r>
      <w:r>
        <w:rPr>
          <w:rFonts w:ascii="Verdana" w:hAnsi="Verdana"/>
          <w:sz w:val="20"/>
          <w:szCs w:val="20"/>
          <w:lang w:val="en-US"/>
        </w:rPr>
        <w:t xml:space="preserve"> there is</w:t>
      </w:r>
      <w:r w:rsidR="00804BD4" w:rsidRPr="00FE7BA7">
        <w:rPr>
          <w:rFonts w:ascii="Verdana" w:hAnsi="Verdana"/>
          <w:sz w:val="20"/>
          <w:szCs w:val="20"/>
          <w:lang w:val="en-US"/>
        </w:rPr>
        <w:t xml:space="preserve"> a conflict of interests in</w:t>
      </w:r>
      <w:r>
        <w:rPr>
          <w:rFonts w:ascii="Verdana" w:hAnsi="Verdana"/>
          <w:sz w:val="20"/>
          <w:szCs w:val="20"/>
          <w:lang w:val="en-US"/>
        </w:rPr>
        <w:t xml:space="preserve"> relation to</w:t>
      </w:r>
      <w:r w:rsidR="00804BD4" w:rsidRPr="00FE7BA7">
        <w:rPr>
          <w:rFonts w:ascii="Verdana" w:hAnsi="Verdana"/>
          <w:sz w:val="20"/>
          <w:szCs w:val="20"/>
          <w:lang w:val="en-US"/>
        </w:rPr>
        <w:t xml:space="preserve"> indigenous claims, or a real or </w:t>
      </w:r>
      <w:r w:rsidR="00804BD4" w:rsidRPr="0077758E">
        <w:rPr>
          <w:rFonts w:ascii="Verdana" w:hAnsi="Verdana"/>
          <w:sz w:val="20"/>
          <w:szCs w:val="20"/>
          <w:lang w:val="en-US"/>
        </w:rPr>
        <w:t>apparent conflict</w:t>
      </w:r>
      <w:r w:rsidR="00804BD4" w:rsidRPr="00FE7BA7">
        <w:rPr>
          <w:rFonts w:ascii="Verdana" w:hAnsi="Verdana"/>
          <w:sz w:val="20"/>
          <w:szCs w:val="20"/>
          <w:lang w:val="en-US"/>
        </w:rPr>
        <w:t xml:space="preserve"> between the right to indigenous communal property and the property of private individuals, the l</w:t>
      </w:r>
      <w:r>
        <w:rPr>
          <w:rFonts w:ascii="Verdana" w:hAnsi="Verdana"/>
          <w:sz w:val="20"/>
          <w:szCs w:val="20"/>
          <w:lang w:val="en-US"/>
        </w:rPr>
        <w:t>egality</w:t>
      </w:r>
      <w:r w:rsidR="00804BD4" w:rsidRPr="00FE7BA7">
        <w:rPr>
          <w:rFonts w:ascii="Verdana" w:hAnsi="Verdana"/>
          <w:sz w:val="20"/>
          <w:szCs w:val="20"/>
          <w:lang w:val="en-US"/>
        </w:rPr>
        <w:t>, ne</w:t>
      </w:r>
      <w:r>
        <w:rPr>
          <w:rFonts w:ascii="Verdana" w:hAnsi="Verdana"/>
          <w:sz w:val="20"/>
          <w:szCs w:val="20"/>
          <w:lang w:val="en-US"/>
        </w:rPr>
        <w:t>cessity, proportionality and</w:t>
      </w:r>
      <w:r w:rsidR="00804BD4" w:rsidRPr="00FE7BA7">
        <w:rPr>
          <w:rFonts w:ascii="Verdana" w:hAnsi="Verdana"/>
          <w:sz w:val="20"/>
          <w:szCs w:val="20"/>
          <w:lang w:val="en-US"/>
        </w:rPr>
        <w:t xml:space="preserve"> attainment of a legitimate objective in a democratic society</w:t>
      </w:r>
      <w:r w:rsidR="00804BD4" w:rsidRPr="00FE7BA7">
        <w:rPr>
          <w:rStyle w:val="FootnoteReference"/>
          <w:szCs w:val="20"/>
          <w:lang w:val="en-US"/>
        </w:rPr>
        <w:footnoteReference w:id="197"/>
      </w:r>
      <w:r w:rsidR="00804BD4" w:rsidRPr="00FE7BA7">
        <w:rPr>
          <w:rFonts w:ascii="Verdana" w:hAnsi="Verdana"/>
          <w:sz w:val="20"/>
          <w:szCs w:val="20"/>
          <w:lang w:val="en-US"/>
        </w:rPr>
        <w:t xml:space="preserve"> (public utility and social interest) must be assessed on a case-by-case basis, in order to restrict the right to property, on t</w:t>
      </w:r>
      <w:r>
        <w:rPr>
          <w:rFonts w:ascii="Verdana" w:hAnsi="Verdana"/>
          <w:sz w:val="20"/>
          <w:szCs w:val="20"/>
          <w:lang w:val="en-US"/>
        </w:rPr>
        <w:t>he one hand, or the right to</w:t>
      </w:r>
      <w:r w:rsidR="00804BD4" w:rsidRPr="00FE7BA7">
        <w:rPr>
          <w:rFonts w:ascii="Verdana" w:hAnsi="Verdana"/>
          <w:sz w:val="20"/>
          <w:szCs w:val="20"/>
          <w:lang w:val="en-US"/>
        </w:rPr>
        <w:t xml:space="preserve"> traditional lands, on the other,</w:t>
      </w:r>
      <w:r w:rsidR="00804BD4" w:rsidRPr="00FE7BA7">
        <w:rPr>
          <w:rStyle w:val="FootnoteReference"/>
          <w:szCs w:val="20"/>
          <w:lang w:val="en-US"/>
        </w:rPr>
        <w:footnoteReference w:id="198"/>
      </w:r>
      <w:r>
        <w:rPr>
          <w:rFonts w:ascii="Verdana" w:hAnsi="Verdana"/>
          <w:sz w:val="20"/>
          <w:szCs w:val="20"/>
          <w:lang w:val="en-US"/>
        </w:rPr>
        <w:t xml:space="preserve"> </w:t>
      </w:r>
      <w:r w:rsidR="00804BD4" w:rsidRPr="00FE7BA7">
        <w:rPr>
          <w:rFonts w:ascii="Verdana" w:hAnsi="Verdana"/>
          <w:sz w:val="20"/>
          <w:szCs w:val="20"/>
          <w:lang w:val="en-US"/>
        </w:rPr>
        <w:t xml:space="preserve">without the </w:t>
      </w:r>
      <w:r>
        <w:rPr>
          <w:rFonts w:ascii="Verdana" w:hAnsi="Verdana"/>
          <w:sz w:val="20"/>
          <w:szCs w:val="20"/>
          <w:lang w:val="en-US"/>
        </w:rPr>
        <w:t>restriction</w:t>
      </w:r>
      <w:r w:rsidR="00804BD4" w:rsidRPr="00FE7BA7">
        <w:rPr>
          <w:rFonts w:ascii="Verdana" w:hAnsi="Verdana"/>
          <w:sz w:val="20"/>
          <w:szCs w:val="20"/>
          <w:lang w:val="en-US"/>
        </w:rPr>
        <w:t xml:space="preserve"> of the latter </w:t>
      </w:r>
      <w:r>
        <w:rPr>
          <w:rFonts w:ascii="Verdana" w:hAnsi="Verdana"/>
          <w:sz w:val="20"/>
          <w:szCs w:val="20"/>
          <w:lang w:val="en-US"/>
        </w:rPr>
        <w:t>preventing</w:t>
      </w:r>
      <w:r w:rsidR="00804BD4" w:rsidRPr="00FE7BA7">
        <w:rPr>
          <w:rFonts w:ascii="Verdana" w:hAnsi="Verdana"/>
          <w:sz w:val="20"/>
          <w:szCs w:val="20"/>
          <w:lang w:val="en-US"/>
        </w:rPr>
        <w:t xml:space="preserve"> the survival </w:t>
      </w:r>
      <w:r>
        <w:rPr>
          <w:rFonts w:ascii="Verdana" w:hAnsi="Verdana"/>
          <w:sz w:val="20"/>
          <w:szCs w:val="20"/>
          <w:lang w:val="en-US"/>
        </w:rPr>
        <w:t xml:space="preserve">of </w:t>
      </w:r>
      <w:r w:rsidR="00804BD4" w:rsidRPr="00FE7BA7">
        <w:rPr>
          <w:rFonts w:ascii="Verdana" w:hAnsi="Verdana"/>
          <w:sz w:val="20"/>
          <w:szCs w:val="20"/>
          <w:lang w:val="en-US"/>
        </w:rPr>
        <w:t>the members of the indigenous communities as a people.</w:t>
      </w:r>
      <w:r w:rsidR="00864333" w:rsidRPr="00FE7BA7">
        <w:rPr>
          <w:rStyle w:val="FootnoteReference"/>
          <w:szCs w:val="20"/>
          <w:lang w:val="en-US"/>
        </w:rPr>
        <w:footnoteReference w:id="199"/>
      </w:r>
      <w:r w:rsidR="00804BD4" w:rsidRPr="00FE7BA7">
        <w:rPr>
          <w:rFonts w:ascii="Verdana" w:hAnsi="Verdana"/>
          <w:sz w:val="20"/>
          <w:szCs w:val="20"/>
          <w:lang w:val="en-US"/>
        </w:rPr>
        <w:t xml:space="preserve"> The Court has defined the content of each of these parameters in its case law </w:t>
      </w:r>
      <w:r w:rsidR="00627F48" w:rsidRPr="00FE7BA7">
        <w:rPr>
          <w:rFonts w:ascii="Verdana" w:hAnsi="Verdana"/>
          <w:sz w:val="20"/>
          <w:szCs w:val="20"/>
          <w:lang w:val="en-US"/>
        </w:rPr>
        <w:t>(</w:t>
      </w:r>
      <w:r>
        <w:rPr>
          <w:rFonts w:ascii="Verdana" w:hAnsi="Verdana"/>
          <w:i/>
          <w:sz w:val="20"/>
          <w:szCs w:val="20"/>
          <w:lang w:val="en-US"/>
        </w:rPr>
        <w:t>c</w:t>
      </w:r>
      <w:r w:rsidR="00804BD4" w:rsidRPr="00FE7BA7">
        <w:rPr>
          <w:rFonts w:ascii="Verdana" w:hAnsi="Verdana"/>
          <w:i/>
          <w:sz w:val="20"/>
          <w:szCs w:val="20"/>
          <w:lang w:val="en-US"/>
        </w:rPr>
        <w:t>ase of the</w:t>
      </w:r>
      <w:r w:rsidR="002109E0" w:rsidRPr="00FE7BA7">
        <w:rPr>
          <w:rFonts w:ascii="Verdana" w:hAnsi="Verdana"/>
          <w:i/>
          <w:sz w:val="20"/>
          <w:szCs w:val="20"/>
          <w:lang w:val="en-US"/>
        </w:rPr>
        <w:t xml:space="preserve"> Yakye Axa</w:t>
      </w:r>
      <w:r w:rsidR="00804BD4" w:rsidRPr="00FE7BA7">
        <w:rPr>
          <w:rFonts w:ascii="Verdana" w:hAnsi="Verdana"/>
          <w:i/>
          <w:sz w:val="20"/>
          <w:szCs w:val="20"/>
          <w:lang w:val="en-US"/>
        </w:rPr>
        <w:t xml:space="preserve"> Indigenous Community</w:t>
      </w:r>
      <w:r w:rsidR="002109E0" w:rsidRPr="00FE7BA7">
        <w:rPr>
          <w:rStyle w:val="FootnoteReference"/>
          <w:szCs w:val="20"/>
          <w:lang w:val="en-US"/>
        </w:rPr>
        <w:footnoteReference w:id="200"/>
      </w:r>
      <w:r w:rsidR="002B5CCD" w:rsidRPr="00FE7BA7">
        <w:rPr>
          <w:rFonts w:ascii="Verdana" w:hAnsi="Verdana"/>
          <w:sz w:val="20"/>
          <w:szCs w:val="20"/>
          <w:lang w:val="en-US"/>
        </w:rPr>
        <w:t xml:space="preserve"> and </w:t>
      </w:r>
      <w:r>
        <w:rPr>
          <w:rFonts w:ascii="Verdana" w:hAnsi="Verdana"/>
          <w:sz w:val="20"/>
          <w:szCs w:val="20"/>
          <w:lang w:val="en-US"/>
        </w:rPr>
        <w:t>subsequent</w:t>
      </w:r>
      <w:r w:rsidR="00804BD4" w:rsidRPr="00FE7BA7">
        <w:rPr>
          <w:rFonts w:ascii="Verdana" w:hAnsi="Verdana"/>
          <w:sz w:val="20"/>
          <w:szCs w:val="20"/>
          <w:lang w:val="en-US"/>
        </w:rPr>
        <w:t xml:space="preserve"> cases</w:t>
      </w:r>
      <w:r w:rsidR="00627F48" w:rsidRPr="00FE7BA7">
        <w:rPr>
          <w:rFonts w:ascii="Verdana" w:hAnsi="Verdana"/>
          <w:sz w:val="20"/>
          <w:szCs w:val="20"/>
          <w:lang w:val="en-US"/>
        </w:rPr>
        <w:t>)</w:t>
      </w:r>
      <w:r w:rsidR="00CF73E8" w:rsidRPr="00FE7BA7">
        <w:rPr>
          <w:rFonts w:ascii="Verdana" w:hAnsi="Verdana"/>
          <w:sz w:val="20"/>
          <w:szCs w:val="20"/>
          <w:lang w:val="en-US"/>
        </w:rPr>
        <w:t>.</w:t>
      </w:r>
    </w:p>
    <w:p w14:paraId="6312699A" w14:textId="77777777" w:rsidR="0047688B" w:rsidRPr="00FE7BA7" w:rsidRDefault="0047688B" w:rsidP="00B17B8E">
      <w:pPr>
        <w:pStyle w:val="ListParagraph"/>
        <w:ind w:left="0"/>
        <w:jc w:val="both"/>
        <w:rPr>
          <w:rFonts w:ascii="Verdana" w:hAnsi="Verdana"/>
          <w:sz w:val="20"/>
          <w:szCs w:val="20"/>
          <w:lang w:val="en-US"/>
        </w:rPr>
      </w:pPr>
    </w:p>
    <w:p w14:paraId="6312699B" w14:textId="77777777" w:rsidR="00834E95" w:rsidRPr="00FE7BA7" w:rsidRDefault="00804BD4" w:rsidP="00A965C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w:t>
      </w:r>
      <w:r w:rsidR="00D50F7B">
        <w:rPr>
          <w:rFonts w:ascii="Verdana" w:hAnsi="Verdana"/>
          <w:sz w:val="20"/>
          <w:szCs w:val="20"/>
          <w:lang w:val="en-US"/>
        </w:rPr>
        <w:t>n this regard, it is not for this</w:t>
      </w:r>
      <w:r w:rsidRPr="00FE7BA7">
        <w:rPr>
          <w:rFonts w:ascii="Verdana" w:hAnsi="Verdana"/>
          <w:sz w:val="20"/>
          <w:szCs w:val="20"/>
          <w:lang w:val="en-US"/>
        </w:rPr>
        <w:t xml:space="preserve"> Court to decide whether the right to collective property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2109E0" w:rsidRPr="00FE7BA7">
        <w:rPr>
          <w:rFonts w:ascii="Verdana" w:hAnsi="Verdana"/>
          <w:sz w:val="20"/>
          <w:szCs w:val="20"/>
          <w:lang w:val="en-US"/>
        </w:rPr>
        <w:t xml:space="preserve"> </w:t>
      </w:r>
      <w:r w:rsidRPr="00FE7BA7">
        <w:rPr>
          <w:rFonts w:ascii="Verdana" w:hAnsi="Verdana"/>
          <w:sz w:val="20"/>
          <w:szCs w:val="20"/>
          <w:lang w:val="en-US"/>
        </w:rPr>
        <w:t>should take precedence over the right</w:t>
      </w:r>
      <w:r w:rsidR="0086680E">
        <w:rPr>
          <w:rFonts w:ascii="Verdana" w:hAnsi="Verdana"/>
          <w:sz w:val="20"/>
          <w:szCs w:val="20"/>
          <w:lang w:val="en-US"/>
        </w:rPr>
        <w:t xml:space="preserve"> to private property, because the Inter-American Court</w:t>
      </w:r>
      <w:r w:rsidRPr="00FE7BA7">
        <w:rPr>
          <w:rFonts w:ascii="Verdana" w:hAnsi="Verdana"/>
          <w:sz w:val="20"/>
          <w:szCs w:val="20"/>
          <w:lang w:val="en-US"/>
        </w:rPr>
        <w:t xml:space="preserve"> is not a domestic court of law that decides disputes between private individuals. This task corresponds exclusively to the State,</w:t>
      </w:r>
      <w:r w:rsidR="002109E0" w:rsidRPr="00FE7BA7">
        <w:rPr>
          <w:rStyle w:val="FootnoteReference"/>
          <w:szCs w:val="20"/>
          <w:lang w:val="en-US"/>
        </w:rPr>
        <w:footnoteReference w:id="201"/>
      </w:r>
      <w:r w:rsidRPr="00FE7BA7">
        <w:rPr>
          <w:rFonts w:ascii="Verdana" w:hAnsi="Verdana"/>
          <w:sz w:val="20"/>
          <w:szCs w:val="20"/>
          <w:lang w:val="en-US"/>
        </w:rPr>
        <w:t xml:space="preserve"> which must execute it without any </w:t>
      </w:r>
      <w:r w:rsidR="00FE7BA7" w:rsidRPr="00FE7BA7">
        <w:rPr>
          <w:rFonts w:ascii="Verdana" w:hAnsi="Verdana"/>
          <w:sz w:val="20"/>
          <w:szCs w:val="20"/>
          <w:lang w:val="en-US"/>
        </w:rPr>
        <w:t>discrimination</w:t>
      </w:r>
      <w:r w:rsidRPr="00FE7BA7">
        <w:rPr>
          <w:rFonts w:ascii="Verdana" w:hAnsi="Verdana"/>
          <w:sz w:val="20"/>
          <w:szCs w:val="20"/>
          <w:lang w:val="en-US"/>
        </w:rPr>
        <w:t xml:space="preserve"> and taking into account the above-mentioned criteria and </w:t>
      </w:r>
      <w:r w:rsidRPr="00FE7BA7">
        <w:rPr>
          <w:rFonts w:ascii="Verdana" w:hAnsi="Verdana"/>
          <w:sz w:val="20"/>
          <w:szCs w:val="20"/>
          <w:lang w:val="en-US"/>
        </w:rPr>
        <w:lastRenderedPageBreak/>
        <w:t>circumstances</w:t>
      </w:r>
      <w:r w:rsidR="006E360C" w:rsidRPr="00FE7BA7">
        <w:rPr>
          <w:rFonts w:ascii="Verdana" w:hAnsi="Verdana"/>
          <w:sz w:val="20"/>
          <w:szCs w:val="20"/>
          <w:lang w:val="en-US"/>
        </w:rPr>
        <w:t xml:space="preserve">, </w:t>
      </w:r>
      <w:r w:rsidRPr="00FE7BA7">
        <w:rPr>
          <w:rFonts w:ascii="Verdana" w:hAnsi="Verdana"/>
          <w:sz w:val="20"/>
          <w:szCs w:val="20"/>
          <w:lang w:val="en-US"/>
        </w:rPr>
        <w:t xml:space="preserve">including the special relationship that the indigenous peoples have with </w:t>
      </w:r>
      <w:r w:rsidRPr="00FE7BA7">
        <w:rPr>
          <w:rFonts w:ascii="Verdana" w:hAnsi="Verdana"/>
          <w:sz w:val="20"/>
          <w:lang w:val="en-US"/>
        </w:rPr>
        <w:t>their</w:t>
      </w:r>
      <w:r w:rsidR="00CF7F55" w:rsidRPr="00FE7BA7">
        <w:rPr>
          <w:rFonts w:ascii="Verdana" w:hAnsi="Verdana"/>
          <w:sz w:val="20"/>
          <w:lang w:val="en-US"/>
        </w:rPr>
        <w:t xml:space="preserve"> </w:t>
      </w:r>
      <w:r w:rsidRPr="00FE7BA7">
        <w:rPr>
          <w:rFonts w:ascii="Verdana" w:hAnsi="Verdana"/>
          <w:sz w:val="20"/>
          <w:lang w:val="en-US"/>
        </w:rPr>
        <w:t>lands</w:t>
      </w:r>
      <w:r w:rsidR="00D50F7B">
        <w:rPr>
          <w:rFonts w:ascii="Verdana" w:hAnsi="Verdana"/>
          <w:sz w:val="20"/>
          <w:lang w:val="en-US"/>
        </w:rPr>
        <w:t>.</w:t>
      </w:r>
      <w:r w:rsidR="006E360C" w:rsidRPr="00FE7BA7">
        <w:rPr>
          <w:rStyle w:val="FootnoteReference"/>
          <w:lang w:val="en-US"/>
        </w:rPr>
        <w:footnoteReference w:id="202"/>
      </w:r>
    </w:p>
    <w:p w14:paraId="6312699C" w14:textId="77777777" w:rsidR="00B52AC2" w:rsidRPr="00FE7BA7" w:rsidRDefault="00B52AC2" w:rsidP="00366D91">
      <w:pPr>
        <w:pStyle w:val="ListParagraph"/>
        <w:ind w:left="0"/>
        <w:jc w:val="both"/>
        <w:rPr>
          <w:rFonts w:ascii="Verdana" w:hAnsi="Verdana"/>
          <w:sz w:val="20"/>
          <w:szCs w:val="20"/>
          <w:lang w:val="en-US"/>
        </w:rPr>
      </w:pPr>
    </w:p>
    <w:p w14:paraId="6312699D" w14:textId="77777777" w:rsidR="00CB3548" w:rsidRPr="00FE7BA7" w:rsidRDefault="00E91479" w:rsidP="00366D91">
      <w:pPr>
        <w:pStyle w:val="ListParagraph"/>
        <w:numPr>
          <w:ilvl w:val="0"/>
          <w:numId w:val="2"/>
        </w:numPr>
        <w:ind w:left="0" w:hanging="11"/>
        <w:jc w:val="both"/>
        <w:rPr>
          <w:rFonts w:ascii="Verdana" w:hAnsi="Verdana"/>
          <w:sz w:val="20"/>
          <w:lang w:val="en-US"/>
        </w:rPr>
      </w:pPr>
      <w:r w:rsidRPr="00FE7BA7">
        <w:rPr>
          <w:rFonts w:ascii="Verdana" w:hAnsi="Verdana"/>
          <w:sz w:val="20"/>
          <w:szCs w:val="20"/>
          <w:lang w:val="en-US"/>
        </w:rPr>
        <w:t xml:space="preserve">Furthermore, the Court considers that the </w:t>
      </w:r>
      <w:r w:rsidR="00D50F7B">
        <w:rPr>
          <w:rFonts w:ascii="Verdana" w:hAnsi="Verdana"/>
          <w:sz w:val="20"/>
          <w:szCs w:val="20"/>
          <w:lang w:val="en-US"/>
        </w:rPr>
        <w:t>f</w:t>
      </w:r>
      <w:r w:rsidRPr="00FE7BA7">
        <w:rPr>
          <w:rFonts w:ascii="Verdana" w:hAnsi="Verdana"/>
          <w:sz w:val="20"/>
          <w:szCs w:val="20"/>
          <w:lang w:val="en-US"/>
        </w:rPr>
        <w:t xml:space="preserve">act that the lands claimed are in the hands of private individuals does not constitute, </w:t>
      </w:r>
      <w:r w:rsidR="00BF1D36" w:rsidRPr="00FE7BA7">
        <w:rPr>
          <w:rFonts w:ascii="Verdana" w:hAnsi="Verdana"/>
          <w:i/>
          <w:sz w:val="20"/>
          <w:szCs w:val="20"/>
          <w:lang w:val="en-US"/>
        </w:rPr>
        <w:t>per se</w:t>
      </w:r>
      <w:r w:rsidRPr="00FE7BA7">
        <w:rPr>
          <w:rFonts w:ascii="Verdana" w:hAnsi="Verdana"/>
          <w:i/>
          <w:sz w:val="20"/>
          <w:szCs w:val="20"/>
          <w:lang w:val="en-US"/>
        </w:rPr>
        <w:t>,</w:t>
      </w:r>
      <w:r w:rsidRPr="00FE7BA7">
        <w:rPr>
          <w:rFonts w:ascii="Verdana" w:hAnsi="Verdana"/>
          <w:sz w:val="20"/>
          <w:szCs w:val="20"/>
          <w:lang w:val="en-US"/>
        </w:rPr>
        <w:t xml:space="preserve"> a sufficient reason to deny </w:t>
      </w:r>
      <w:r w:rsidR="00BF1D36" w:rsidRPr="00FE7BA7">
        <w:rPr>
          <w:rFonts w:ascii="Verdana" w:hAnsi="Verdana"/>
          <w:i/>
          <w:sz w:val="20"/>
          <w:szCs w:val="20"/>
          <w:lang w:val="en-US"/>
        </w:rPr>
        <w:t>prima facie</w:t>
      </w:r>
      <w:r w:rsidRPr="00FE7BA7">
        <w:rPr>
          <w:rFonts w:ascii="Verdana" w:hAnsi="Verdana"/>
          <w:sz w:val="20"/>
          <w:szCs w:val="20"/>
          <w:lang w:val="en-US"/>
        </w:rPr>
        <w:t xml:space="preserve"> the indigenous claims.</w:t>
      </w:r>
      <w:r w:rsidR="00BF1D36" w:rsidRPr="00FE7BA7">
        <w:rPr>
          <w:rStyle w:val="FootnoteReference"/>
          <w:szCs w:val="20"/>
          <w:lang w:val="en-US"/>
        </w:rPr>
        <w:footnoteReference w:id="203"/>
      </w:r>
      <w:r w:rsidRPr="00FE7BA7">
        <w:rPr>
          <w:rFonts w:ascii="Verdana" w:hAnsi="Verdana"/>
          <w:sz w:val="20"/>
          <w:szCs w:val="20"/>
          <w:lang w:val="en-US"/>
        </w:rPr>
        <w:t xml:space="preserve"> This would place the indigenous peoples in a vulnerable situation where the rights to individual property can prevail over the rights to communal property,</w:t>
      </w:r>
      <w:r w:rsidR="0073412C" w:rsidRPr="00FE7BA7">
        <w:rPr>
          <w:rStyle w:val="FootnoteReference"/>
          <w:lang w:val="en-US"/>
        </w:rPr>
        <w:footnoteReference w:id="204"/>
      </w:r>
      <w:r w:rsidRPr="00FE7BA7">
        <w:rPr>
          <w:rFonts w:ascii="Verdana" w:hAnsi="Verdana"/>
          <w:sz w:val="20"/>
          <w:szCs w:val="20"/>
          <w:lang w:val="en-US"/>
        </w:rPr>
        <w:t xml:space="preserve"> </w:t>
      </w:r>
      <w:r w:rsidR="00D50F7B">
        <w:rPr>
          <w:rFonts w:ascii="Verdana" w:hAnsi="Verdana"/>
          <w:sz w:val="20"/>
          <w:szCs w:val="20"/>
          <w:lang w:val="en-US"/>
        </w:rPr>
        <w:t xml:space="preserve">owing </w:t>
      </w:r>
      <w:r w:rsidRPr="00FE7BA7">
        <w:rPr>
          <w:rFonts w:ascii="Verdana" w:hAnsi="Verdana"/>
          <w:sz w:val="20"/>
          <w:szCs w:val="20"/>
          <w:lang w:val="en-US"/>
        </w:rPr>
        <w:t xml:space="preserve">merely to the existence of titles in favor of the former, to the detriment of the latter, as in cases such as </w:t>
      </w:r>
      <w:r w:rsidR="00693FA8" w:rsidRPr="00FE7BA7">
        <w:rPr>
          <w:rFonts w:ascii="Verdana" w:hAnsi="Verdana"/>
          <w:i/>
          <w:sz w:val="20"/>
          <w:szCs w:val="20"/>
          <w:lang w:val="en-US"/>
        </w:rPr>
        <w:t>Tjang A Sjin v. Zaalman</w:t>
      </w:r>
      <w:r w:rsidR="002B5CCD" w:rsidRPr="00FE7BA7">
        <w:rPr>
          <w:rFonts w:ascii="Verdana" w:hAnsi="Verdana"/>
          <w:sz w:val="20"/>
          <w:szCs w:val="20"/>
          <w:lang w:val="en-US"/>
        </w:rPr>
        <w:t xml:space="preserve"> and </w:t>
      </w:r>
      <w:r w:rsidR="00693FA8" w:rsidRPr="00FE7BA7">
        <w:rPr>
          <w:rFonts w:ascii="Verdana" w:hAnsi="Verdana"/>
          <w:i/>
          <w:snapToGrid w:val="0"/>
          <w:sz w:val="20"/>
          <w:szCs w:val="20"/>
          <w:lang w:val="en-US"/>
        </w:rPr>
        <w:t>Celientje Martina Joeroeja-Koewie</w:t>
      </w:r>
      <w:r w:rsidR="002B5CCD" w:rsidRPr="00FE7BA7">
        <w:rPr>
          <w:rFonts w:ascii="Verdana" w:hAnsi="Verdana"/>
          <w:i/>
          <w:snapToGrid w:val="0"/>
          <w:sz w:val="20"/>
          <w:szCs w:val="20"/>
          <w:lang w:val="en-US"/>
        </w:rPr>
        <w:t xml:space="preserve"> </w:t>
      </w:r>
      <w:r w:rsidR="009566E9">
        <w:rPr>
          <w:rFonts w:ascii="Verdana" w:hAnsi="Verdana"/>
          <w:i/>
          <w:snapToGrid w:val="0"/>
          <w:sz w:val="20"/>
          <w:szCs w:val="20"/>
          <w:lang w:val="en-US"/>
        </w:rPr>
        <w:t>and Others</w:t>
      </w:r>
      <w:r w:rsidRPr="00FE7BA7">
        <w:rPr>
          <w:rFonts w:ascii="Verdana" w:hAnsi="Verdana"/>
          <w:i/>
          <w:snapToGrid w:val="0"/>
          <w:sz w:val="20"/>
          <w:szCs w:val="20"/>
          <w:lang w:val="en-US"/>
        </w:rPr>
        <w:t xml:space="preserve"> </w:t>
      </w:r>
      <w:r w:rsidR="000B1239" w:rsidRPr="00FE7BA7">
        <w:rPr>
          <w:rFonts w:ascii="Verdana" w:hAnsi="Verdana"/>
          <w:i/>
          <w:snapToGrid w:val="0"/>
          <w:sz w:val="20"/>
          <w:szCs w:val="20"/>
          <w:lang w:val="en-US"/>
        </w:rPr>
        <w:t>v.</w:t>
      </w:r>
      <w:r w:rsidR="00693FA8" w:rsidRPr="00FE7BA7">
        <w:rPr>
          <w:rFonts w:ascii="Verdana" w:hAnsi="Verdana"/>
          <w:i/>
          <w:snapToGrid w:val="0"/>
          <w:sz w:val="20"/>
          <w:szCs w:val="20"/>
          <w:lang w:val="en-US"/>
        </w:rPr>
        <w:t xml:space="preserve"> </w:t>
      </w:r>
      <w:r w:rsidR="002B5CCD" w:rsidRPr="00FE7BA7">
        <w:rPr>
          <w:rFonts w:ascii="Verdana" w:hAnsi="Verdana"/>
          <w:i/>
          <w:snapToGrid w:val="0"/>
          <w:sz w:val="20"/>
          <w:szCs w:val="20"/>
          <w:lang w:val="en-US"/>
        </w:rPr>
        <w:t xml:space="preserve">Suriname </w:t>
      </w:r>
      <w:r w:rsidR="00693FA8" w:rsidRPr="00FE7BA7">
        <w:rPr>
          <w:rFonts w:ascii="Verdana" w:hAnsi="Verdana"/>
          <w:i/>
          <w:sz w:val="20"/>
          <w:szCs w:val="20"/>
          <w:lang w:val="en-US"/>
        </w:rPr>
        <w:t xml:space="preserve">&amp; </w:t>
      </w:r>
      <w:r w:rsidR="002B5CCD" w:rsidRPr="00FE7BA7">
        <w:rPr>
          <w:rFonts w:ascii="Verdana" w:hAnsi="Verdana"/>
          <w:i/>
          <w:sz w:val="20"/>
          <w:szCs w:val="20"/>
          <w:lang w:val="en-US"/>
        </w:rPr>
        <w:t xml:space="preserve">Suriname </w:t>
      </w:r>
      <w:r w:rsidR="00693FA8" w:rsidRPr="00FE7BA7">
        <w:rPr>
          <w:rFonts w:ascii="Verdana" w:hAnsi="Verdana"/>
          <w:i/>
          <w:sz w:val="20"/>
          <w:szCs w:val="20"/>
          <w:lang w:val="en-US"/>
        </w:rPr>
        <w:t>Stone &amp; Industries N.V</w:t>
      </w:r>
      <w:r w:rsidR="00693FA8" w:rsidRPr="00FE7BA7">
        <w:rPr>
          <w:rFonts w:ascii="Verdana" w:hAnsi="Verdana"/>
          <w:i/>
          <w:snapToGrid w:val="0"/>
          <w:sz w:val="20"/>
          <w:szCs w:val="20"/>
          <w:lang w:val="en-US"/>
        </w:rPr>
        <w:t>.</w:t>
      </w:r>
      <w:r w:rsidR="00693FA8" w:rsidRPr="00FE7BA7">
        <w:rPr>
          <w:rFonts w:ascii="Verdana" w:hAnsi="Verdana"/>
          <w:sz w:val="20"/>
          <w:szCs w:val="20"/>
          <w:lang w:val="en-US"/>
        </w:rPr>
        <w:t xml:space="preserve"> (</w:t>
      </w:r>
      <w:r w:rsidR="00366D91" w:rsidRPr="00FE7BA7">
        <w:rPr>
          <w:rFonts w:ascii="Verdana" w:hAnsi="Verdana"/>
          <w:i/>
          <w:sz w:val="20"/>
          <w:szCs w:val="20"/>
          <w:lang w:val="en-US"/>
        </w:rPr>
        <w:t>supra</w:t>
      </w:r>
      <w:r w:rsidR="00693FA8" w:rsidRPr="00FE7BA7">
        <w:rPr>
          <w:rFonts w:ascii="Verdana" w:hAnsi="Verdana"/>
          <w:sz w:val="20"/>
          <w:szCs w:val="20"/>
          <w:lang w:val="en-US"/>
        </w:rPr>
        <w:t xml:space="preserve"> </w:t>
      </w:r>
      <w:r w:rsidR="008F798A" w:rsidRPr="00FE7BA7">
        <w:rPr>
          <w:rFonts w:ascii="Verdana" w:hAnsi="Verdana"/>
          <w:sz w:val="20"/>
          <w:szCs w:val="20"/>
          <w:lang w:val="en-US"/>
        </w:rPr>
        <w:t>paras.</w:t>
      </w:r>
      <w:r w:rsidR="00693FA8" w:rsidRPr="00FE7BA7">
        <w:rPr>
          <w:rFonts w:ascii="Verdana" w:hAnsi="Verdana"/>
          <w:sz w:val="20"/>
          <w:szCs w:val="20"/>
          <w:lang w:val="en-US"/>
        </w:rPr>
        <w:t xml:space="preserve"> </w:t>
      </w:r>
      <w:r w:rsidRPr="00FE7BA7">
        <w:rPr>
          <w:rFonts w:ascii="Verdana" w:hAnsi="Verdana"/>
          <w:sz w:val="20"/>
          <w:szCs w:val="20"/>
          <w:lang w:val="en-US"/>
        </w:rPr>
        <w:t>62 to</w:t>
      </w:r>
      <w:r w:rsidR="00020007" w:rsidRPr="00FE7BA7">
        <w:rPr>
          <w:rFonts w:ascii="Verdana" w:hAnsi="Verdana"/>
          <w:sz w:val="20"/>
          <w:szCs w:val="20"/>
          <w:lang w:val="en-US"/>
        </w:rPr>
        <w:t xml:space="preserve"> </w:t>
      </w:r>
      <w:r w:rsidR="002A6C21" w:rsidRPr="00FE7BA7">
        <w:rPr>
          <w:rFonts w:ascii="Verdana" w:hAnsi="Verdana"/>
          <w:sz w:val="20"/>
          <w:szCs w:val="20"/>
          <w:lang w:val="en-US"/>
        </w:rPr>
        <w:t>64</w:t>
      </w:r>
      <w:r w:rsidR="00693FA8" w:rsidRPr="00FE7BA7">
        <w:rPr>
          <w:rFonts w:ascii="Verdana" w:hAnsi="Verdana"/>
          <w:sz w:val="20"/>
          <w:szCs w:val="20"/>
          <w:lang w:val="en-US"/>
        </w:rPr>
        <w:t>)</w:t>
      </w:r>
      <w:r w:rsidR="0073412C" w:rsidRPr="00FE7BA7">
        <w:rPr>
          <w:rFonts w:ascii="Verdana" w:hAnsi="Verdana"/>
          <w:sz w:val="20"/>
          <w:szCs w:val="20"/>
          <w:lang w:val="en-US"/>
        </w:rPr>
        <w:t>.</w:t>
      </w:r>
    </w:p>
    <w:p w14:paraId="6312699E" w14:textId="77777777" w:rsidR="00C1411F" w:rsidRPr="00FE7BA7" w:rsidRDefault="00C1411F" w:rsidP="002C323A">
      <w:pPr>
        <w:pStyle w:val="ListParagraph"/>
        <w:rPr>
          <w:rFonts w:ascii="Verdana" w:hAnsi="Verdana"/>
          <w:sz w:val="20"/>
          <w:lang w:val="en-US"/>
        </w:rPr>
      </w:pPr>
    </w:p>
    <w:p w14:paraId="6312699F" w14:textId="77777777" w:rsidR="009B781F" w:rsidRPr="00FE7BA7" w:rsidRDefault="00E91479" w:rsidP="00E9147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w:t>
      </w:r>
      <w:r w:rsidR="00D50F7B">
        <w:rPr>
          <w:rFonts w:ascii="Verdana" w:hAnsi="Verdana"/>
          <w:sz w:val="20"/>
          <w:szCs w:val="20"/>
          <w:lang w:val="en-US"/>
        </w:rPr>
        <w:t>he foregoing does not mean that</w:t>
      </w:r>
      <w:r w:rsidRPr="00FE7BA7">
        <w:rPr>
          <w:rFonts w:ascii="Verdana" w:hAnsi="Verdana"/>
          <w:sz w:val="20"/>
          <w:szCs w:val="20"/>
          <w:lang w:val="en-US"/>
        </w:rPr>
        <w:t xml:space="preserve"> whenever there is a conflict between the territorial interest</w:t>
      </w:r>
      <w:r w:rsidR="00D50F7B">
        <w:rPr>
          <w:rFonts w:ascii="Verdana" w:hAnsi="Verdana"/>
          <w:sz w:val="20"/>
          <w:szCs w:val="20"/>
          <w:lang w:val="en-US"/>
        </w:rPr>
        <w:t>s of the State or of</w:t>
      </w:r>
      <w:r w:rsidR="00430FB4" w:rsidRPr="00FE7BA7">
        <w:rPr>
          <w:rFonts w:ascii="Verdana" w:hAnsi="Verdana"/>
          <w:sz w:val="20"/>
          <w:szCs w:val="20"/>
          <w:lang w:val="en-US"/>
        </w:rPr>
        <w:t xml:space="preserve"> </w:t>
      </w:r>
      <w:r w:rsidRPr="00FE7BA7">
        <w:rPr>
          <w:rFonts w:ascii="Verdana" w:hAnsi="Verdana"/>
          <w:sz w:val="20"/>
          <w:szCs w:val="20"/>
          <w:lang w:val="en-US"/>
        </w:rPr>
        <w:t>private individuals and the territorial interests of the members of the indigenous communities</w:t>
      </w:r>
      <w:r w:rsidR="001E178F" w:rsidRPr="00FE7BA7">
        <w:rPr>
          <w:rFonts w:ascii="Verdana" w:hAnsi="Verdana"/>
          <w:sz w:val="20"/>
          <w:szCs w:val="20"/>
          <w:lang w:val="en-US"/>
        </w:rPr>
        <w:t xml:space="preserve">, </w:t>
      </w:r>
      <w:r w:rsidRPr="00FE7BA7">
        <w:rPr>
          <w:rFonts w:ascii="Verdana" w:hAnsi="Verdana"/>
          <w:sz w:val="20"/>
          <w:szCs w:val="20"/>
          <w:lang w:val="en-US"/>
        </w:rPr>
        <w:t>the latter prevail over the former.</w:t>
      </w:r>
      <w:r w:rsidR="001E178F" w:rsidRPr="00FE7BA7">
        <w:rPr>
          <w:rStyle w:val="FootnoteReference"/>
          <w:szCs w:val="20"/>
          <w:lang w:val="en-US"/>
        </w:rPr>
        <w:footnoteReference w:id="205"/>
      </w:r>
      <w:r w:rsidRPr="00FE7BA7">
        <w:rPr>
          <w:rFonts w:ascii="Verdana" w:hAnsi="Verdana"/>
          <w:sz w:val="20"/>
          <w:szCs w:val="20"/>
          <w:lang w:val="en-US"/>
        </w:rPr>
        <w:t xml:space="preserve"> Thus if, for objective, specific and justified reasons, the State is unable to </w:t>
      </w:r>
      <w:r w:rsidR="00D50F7B">
        <w:rPr>
          <w:rFonts w:ascii="Verdana" w:hAnsi="Verdana"/>
          <w:sz w:val="20"/>
          <w:szCs w:val="20"/>
          <w:lang w:val="en-US"/>
        </w:rPr>
        <w:t>take</w:t>
      </w:r>
      <w:r w:rsidRPr="00FE7BA7">
        <w:rPr>
          <w:rFonts w:ascii="Verdana" w:hAnsi="Verdana"/>
          <w:sz w:val="20"/>
          <w:szCs w:val="20"/>
          <w:lang w:val="en-US"/>
        </w:rPr>
        <w:t xml:space="preserve"> measures to return the </w:t>
      </w:r>
      <w:r w:rsidR="00FD14B3" w:rsidRPr="00FE7BA7">
        <w:rPr>
          <w:rFonts w:ascii="Verdana" w:hAnsi="Verdana"/>
          <w:sz w:val="20"/>
          <w:szCs w:val="20"/>
          <w:lang w:val="en-US"/>
        </w:rPr>
        <w:t>traditional territory</w:t>
      </w:r>
      <w:r w:rsidR="002B5CCD" w:rsidRPr="00FE7BA7">
        <w:rPr>
          <w:rFonts w:ascii="Verdana" w:hAnsi="Verdana"/>
          <w:sz w:val="20"/>
          <w:szCs w:val="20"/>
          <w:lang w:val="en-US"/>
        </w:rPr>
        <w:t xml:space="preserve"> and</w:t>
      </w:r>
      <w:r w:rsidRPr="00FE7BA7">
        <w:rPr>
          <w:rFonts w:ascii="Verdana" w:hAnsi="Verdana"/>
          <w:sz w:val="20"/>
          <w:szCs w:val="20"/>
          <w:lang w:val="en-US"/>
        </w:rPr>
        <w:t xml:space="preserve"> the communal resources to </w:t>
      </w:r>
      <w:r w:rsidR="002B5CCD" w:rsidRPr="00FE7BA7">
        <w:rPr>
          <w:rFonts w:ascii="Verdana" w:hAnsi="Verdana"/>
          <w:color w:val="000000"/>
          <w:sz w:val="20"/>
          <w:szCs w:val="20"/>
          <w:lang w:val="en-US"/>
        </w:rPr>
        <w:t xml:space="preserve">the </w:t>
      </w:r>
      <w:r w:rsidR="004C7D14" w:rsidRPr="00FE7BA7">
        <w:rPr>
          <w:rFonts w:ascii="Verdana" w:hAnsi="Verdana"/>
          <w:color w:val="000000"/>
          <w:sz w:val="20"/>
          <w:szCs w:val="20"/>
          <w:lang w:val="en-US"/>
        </w:rPr>
        <w:t>Kaliña and Lokono peoples</w:t>
      </w:r>
      <w:r w:rsidR="00366ECD" w:rsidRPr="00FE7BA7">
        <w:rPr>
          <w:rStyle w:val="FootnoteReference"/>
          <w:szCs w:val="20"/>
          <w:lang w:val="en-US"/>
        </w:rPr>
        <w:footnoteReference w:id="206"/>
      </w:r>
      <w:r w:rsidRPr="00FE7BA7">
        <w:rPr>
          <w:rFonts w:ascii="Verdana" w:hAnsi="Verdana"/>
          <w:sz w:val="20"/>
          <w:szCs w:val="20"/>
          <w:lang w:val="en-US"/>
        </w:rPr>
        <w:t xml:space="preserve"> - after the possibility of expropriating</w:t>
      </w:r>
      <w:r w:rsidRPr="00FE7BA7">
        <w:rPr>
          <w:rStyle w:val="FootnoteReference"/>
          <w:color w:val="000000"/>
          <w:szCs w:val="20"/>
          <w:lang w:val="en-US"/>
        </w:rPr>
        <w:footnoteReference w:id="207"/>
      </w:r>
      <w:r w:rsidRPr="00FE7BA7">
        <w:rPr>
          <w:rFonts w:ascii="Verdana" w:hAnsi="Verdana"/>
          <w:sz w:val="20"/>
          <w:szCs w:val="20"/>
          <w:lang w:val="en-US"/>
        </w:rPr>
        <w:t xml:space="preserve"> the property of third parties has been adequately assessed as indicated in this Judgment – the State may offer al</w:t>
      </w:r>
      <w:r w:rsidR="00D50F7B">
        <w:rPr>
          <w:rFonts w:ascii="Verdana" w:hAnsi="Verdana"/>
          <w:sz w:val="20"/>
          <w:szCs w:val="20"/>
          <w:lang w:val="en-US"/>
        </w:rPr>
        <w:t>ternative lands of the same or</w:t>
      </w:r>
      <w:r w:rsidRPr="00FE7BA7">
        <w:rPr>
          <w:rFonts w:ascii="Verdana" w:hAnsi="Verdana"/>
          <w:sz w:val="20"/>
          <w:szCs w:val="20"/>
          <w:lang w:val="en-US"/>
        </w:rPr>
        <w:t xml:space="preserve"> greater </w:t>
      </w:r>
      <w:r w:rsidR="00D50F7B">
        <w:rPr>
          <w:rFonts w:ascii="Verdana" w:hAnsi="Verdana"/>
          <w:sz w:val="20"/>
          <w:szCs w:val="20"/>
          <w:lang w:val="en-US"/>
        </w:rPr>
        <w:t>size</w:t>
      </w:r>
      <w:r w:rsidRPr="00FE7BA7">
        <w:rPr>
          <w:rFonts w:ascii="Verdana" w:hAnsi="Verdana"/>
          <w:sz w:val="20"/>
          <w:szCs w:val="20"/>
          <w:lang w:val="en-US"/>
        </w:rPr>
        <w:t xml:space="preserve"> and quality or payment of fair compensation, or both, by mutual agreement with the peoples concerned</w:t>
      </w:r>
      <w:r w:rsidR="00366ECD" w:rsidRPr="00FE7BA7">
        <w:rPr>
          <w:rStyle w:val="FootnoteReference"/>
          <w:szCs w:val="20"/>
          <w:lang w:val="en-US"/>
        </w:rPr>
        <w:footnoteReference w:id="208"/>
      </w:r>
      <w:r w:rsidR="00366ECD" w:rsidRPr="00FE7BA7">
        <w:rPr>
          <w:rFonts w:ascii="Verdana" w:hAnsi="Verdana"/>
          <w:sz w:val="20"/>
          <w:szCs w:val="20"/>
          <w:lang w:val="en-US"/>
        </w:rPr>
        <w:t xml:space="preserve"> (</w:t>
      </w:r>
      <w:r w:rsidR="007829DF" w:rsidRPr="00FE7BA7">
        <w:rPr>
          <w:rFonts w:ascii="Verdana" w:hAnsi="Verdana"/>
          <w:i/>
          <w:sz w:val="20"/>
          <w:szCs w:val="20"/>
          <w:lang w:val="en-US"/>
        </w:rPr>
        <w:t>infra</w:t>
      </w:r>
      <w:r w:rsidR="00366ECD" w:rsidRPr="00FE7BA7">
        <w:rPr>
          <w:rFonts w:ascii="Verdana" w:hAnsi="Verdana"/>
          <w:sz w:val="20"/>
          <w:szCs w:val="20"/>
          <w:lang w:val="en-US"/>
        </w:rPr>
        <w:t xml:space="preserve"> </w:t>
      </w:r>
      <w:r w:rsidR="00810FAD" w:rsidRPr="00FE7BA7">
        <w:rPr>
          <w:rFonts w:ascii="Verdana" w:hAnsi="Verdana"/>
          <w:sz w:val="20"/>
          <w:szCs w:val="20"/>
          <w:lang w:val="en-US"/>
        </w:rPr>
        <w:t>para.</w:t>
      </w:r>
      <w:r w:rsidR="00366ECD" w:rsidRPr="00FE7BA7">
        <w:rPr>
          <w:rFonts w:ascii="Verdana" w:hAnsi="Verdana"/>
          <w:sz w:val="20"/>
          <w:szCs w:val="20"/>
          <w:lang w:val="en-US"/>
        </w:rPr>
        <w:t xml:space="preserve"> </w:t>
      </w:r>
      <w:r w:rsidR="002A6C21" w:rsidRPr="00FE7BA7">
        <w:rPr>
          <w:rFonts w:ascii="Verdana" w:hAnsi="Verdana"/>
          <w:sz w:val="20"/>
          <w:szCs w:val="20"/>
          <w:lang w:val="en-US"/>
        </w:rPr>
        <w:t>281</w:t>
      </w:r>
      <w:r w:rsidR="00020007" w:rsidRPr="00FE7BA7">
        <w:rPr>
          <w:rFonts w:ascii="Verdana" w:hAnsi="Verdana"/>
          <w:sz w:val="20"/>
          <w:szCs w:val="20"/>
          <w:lang w:val="en-US"/>
        </w:rPr>
        <w:t>)</w:t>
      </w:r>
      <w:r w:rsidR="001049A0" w:rsidRPr="00FE7BA7">
        <w:rPr>
          <w:rFonts w:ascii="Verdana" w:hAnsi="Verdana"/>
          <w:sz w:val="20"/>
          <w:szCs w:val="20"/>
          <w:lang w:val="en-US"/>
        </w:rPr>
        <w:t>.</w:t>
      </w:r>
    </w:p>
    <w:p w14:paraId="631269A0" w14:textId="77777777" w:rsidR="00C1411F" w:rsidRPr="00FE7BA7" w:rsidRDefault="00C1411F" w:rsidP="00020007">
      <w:pPr>
        <w:pStyle w:val="ListParagraph"/>
        <w:ind w:left="0"/>
        <w:jc w:val="both"/>
        <w:rPr>
          <w:rFonts w:ascii="Verdana" w:hAnsi="Verdana"/>
          <w:sz w:val="20"/>
          <w:szCs w:val="20"/>
          <w:lang w:val="en-US"/>
        </w:rPr>
      </w:pPr>
    </w:p>
    <w:p w14:paraId="631269A1" w14:textId="77777777" w:rsidR="00C1411F" w:rsidRPr="00FE7BA7" w:rsidRDefault="00E91479" w:rsidP="00190AD3">
      <w:pPr>
        <w:pStyle w:val="ListParagraph"/>
        <w:numPr>
          <w:ilvl w:val="0"/>
          <w:numId w:val="2"/>
        </w:numPr>
        <w:ind w:left="0" w:hanging="11"/>
        <w:jc w:val="both"/>
        <w:rPr>
          <w:rFonts w:ascii="Verdana" w:hAnsi="Verdana"/>
          <w:color w:val="000000"/>
          <w:sz w:val="20"/>
          <w:lang w:val="en-US"/>
        </w:rPr>
      </w:pPr>
      <w:r w:rsidRPr="00FE7BA7">
        <w:rPr>
          <w:rFonts w:ascii="Verdana" w:hAnsi="Verdana"/>
          <w:color w:val="000000"/>
          <w:sz w:val="20"/>
          <w:lang w:val="en-US"/>
        </w:rPr>
        <w:t xml:space="preserve">Notwithstanding the above, the State must establish, by mutual agreement with </w:t>
      </w:r>
      <w:r w:rsidR="002B5CCD" w:rsidRPr="00FE7BA7">
        <w:rPr>
          <w:rFonts w:ascii="Verdana" w:hAnsi="Verdana"/>
          <w:sz w:val="20"/>
          <w:lang w:val="en-US"/>
        </w:rPr>
        <w:t xml:space="preserve">the </w:t>
      </w:r>
      <w:r w:rsidR="004C7D14" w:rsidRPr="00FE7BA7">
        <w:rPr>
          <w:rFonts w:ascii="Verdana" w:hAnsi="Verdana"/>
          <w:sz w:val="20"/>
          <w:lang w:val="en-US"/>
        </w:rPr>
        <w:t>Kaliña and Lokono peoples</w:t>
      </w:r>
      <w:r w:rsidR="002B5CCD" w:rsidRPr="00FE7BA7">
        <w:rPr>
          <w:rFonts w:ascii="Verdana" w:hAnsi="Verdana"/>
          <w:sz w:val="20"/>
          <w:lang w:val="en-US"/>
        </w:rPr>
        <w:t xml:space="preserve"> and</w:t>
      </w:r>
      <w:r w:rsidRPr="00FE7BA7">
        <w:rPr>
          <w:rFonts w:ascii="Verdana" w:hAnsi="Verdana"/>
          <w:sz w:val="20"/>
          <w:lang w:val="en-US"/>
        </w:rPr>
        <w:t xml:space="preserve"> the third parties, rules for peaceful and harmonious coexistence in the lands in questions, which respect the uses and customs of these peoples and ensure their access to </w:t>
      </w:r>
      <w:r w:rsidR="000E16B8" w:rsidRPr="00FE7BA7">
        <w:rPr>
          <w:rFonts w:ascii="Verdana" w:hAnsi="Verdana"/>
          <w:color w:val="000000"/>
          <w:sz w:val="20"/>
          <w:lang w:val="en-US"/>
        </w:rPr>
        <w:t>the Marowijne River</w:t>
      </w:r>
      <w:r w:rsidR="00C90FE0" w:rsidRPr="00FE7BA7">
        <w:rPr>
          <w:rFonts w:ascii="Verdana" w:hAnsi="Verdana"/>
          <w:color w:val="000000"/>
          <w:sz w:val="20"/>
          <w:lang w:val="en-US"/>
        </w:rPr>
        <w:t xml:space="preserve"> (</w:t>
      </w:r>
      <w:r w:rsidR="00C90FE0" w:rsidRPr="00FE7BA7">
        <w:rPr>
          <w:rFonts w:ascii="Verdana" w:hAnsi="Verdana"/>
          <w:i/>
          <w:color w:val="000000"/>
          <w:sz w:val="20"/>
          <w:lang w:val="en-US"/>
        </w:rPr>
        <w:t>infra</w:t>
      </w:r>
      <w:r w:rsidR="00C90FE0" w:rsidRPr="00FE7BA7">
        <w:rPr>
          <w:rFonts w:ascii="Verdana" w:hAnsi="Verdana"/>
          <w:color w:val="000000"/>
          <w:sz w:val="20"/>
          <w:lang w:val="en-US"/>
        </w:rPr>
        <w:t xml:space="preserve"> </w:t>
      </w:r>
      <w:r w:rsidR="00810FAD" w:rsidRPr="00FE7BA7">
        <w:rPr>
          <w:rFonts w:ascii="Verdana" w:hAnsi="Verdana"/>
          <w:color w:val="000000"/>
          <w:sz w:val="20"/>
          <w:lang w:val="en-US"/>
        </w:rPr>
        <w:t>para.</w:t>
      </w:r>
      <w:r w:rsidR="002A6C21" w:rsidRPr="00FE7BA7">
        <w:rPr>
          <w:rFonts w:ascii="Verdana" w:hAnsi="Verdana"/>
          <w:color w:val="000000"/>
          <w:sz w:val="20"/>
          <w:lang w:val="en-US"/>
        </w:rPr>
        <w:t xml:space="preserve"> 283</w:t>
      </w:r>
      <w:r w:rsidR="00C1411F" w:rsidRPr="00FE7BA7">
        <w:rPr>
          <w:rFonts w:ascii="Verdana" w:hAnsi="Verdana"/>
          <w:color w:val="000000"/>
          <w:sz w:val="20"/>
          <w:lang w:val="en-US"/>
        </w:rPr>
        <w:t>)</w:t>
      </w:r>
      <w:r w:rsidR="00020007" w:rsidRPr="00FE7BA7">
        <w:rPr>
          <w:rFonts w:ascii="Verdana" w:hAnsi="Verdana"/>
          <w:color w:val="000000"/>
          <w:sz w:val="20"/>
          <w:lang w:val="en-US"/>
        </w:rPr>
        <w:t>.</w:t>
      </w:r>
    </w:p>
    <w:p w14:paraId="631269A2" w14:textId="77777777" w:rsidR="00BF1D36" w:rsidRPr="00FE7BA7" w:rsidRDefault="00BF1D36" w:rsidP="00366D91">
      <w:pPr>
        <w:pStyle w:val="ListParagraph"/>
        <w:ind w:left="0"/>
        <w:jc w:val="both"/>
        <w:rPr>
          <w:rFonts w:ascii="Verdana" w:hAnsi="Verdana"/>
          <w:sz w:val="20"/>
          <w:highlight w:val="green"/>
          <w:lang w:val="en-US"/>
        </w:rPr>
      </w:pPr>
    </w:p>
    <w:p w14:paraId="631269A3" w14:textId="1AAFD3C5" w:rsidR="002109E0" w:rsidRPr="00FE7BA7" w:rsidRDefault="00E91479" w:rsidP="002109E0">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Based on the </w:t>
      </w:r>
      <w:r w:rsidR="0084687F">
        <w:rPr>
          <w:rFonts w:ascii="Verdana" w:hAnsi="Verdana"/>
          <w:sz w:val="20"/>
          <w:szCs w:val="20"/>
          <w:lang w:val="en-US"/>
        </w:rPr>
        <w:t>above</w:t>
      </w:r>
      <w:r w:rsidRPr="00FE7BA7">
        <w:rPr>
          <w:rFonts w:ascii="Verdana" w:hAnsi="Verdana"/>
          <w:sz w:val="20"/>
          <w:szCs w:val="20"/>
          <w:lang w:val="en-US"/>
        </w:rPr>
        <w:t>, the Court concludes that</w:t>
      </w:r>
      <w:r w:rsidR="002109E0" w:rsidRPr="00FE7BA7">
        <w:rPr>
          <w:rFonts w:ascii="Verdana" w:hAnsi="Verdana"/>
          <w:sz w:val="20"/>
          <w:szCs w:val="20"/>
          <w:lang w:val="en-US"/>
        </w:rPr>
        <w:t xml:space="preserve"> </w:t>
      </w:r>
      <w:r w:rsidR="002B5CCD" w:rsidRPr="00FE7BA7">
        <w:rPr>
          <w:rFonts w:ascii="Verdana" w:hAnsi="Verdana"/>
          <w:sz w:val="20"/>
          <w:szCs w:val="20"/>
          <w:lang w:val="en-US"/>
        </w:rPr>
        <w:t>the State</w:t>
      </w:r>
      <w:r w:rsidRPr="00FE7BA7">
        <w:rPr>
          <w:rFonts w:ascii="Verdana" w:hAnsi="Verdana"/>
          <w:sz w:val="20"/>
          <w:szCs w:val="20"/>
          <w:lang w:val="en-US"/>
        </w:rPr>
        <w:t xml:space="preserve"> of</w:t>
      </w:r>
      <w:r w:rsidR="002109E0" w:rsidRPr="00FE7BA7">
        <w:rPr>
          <w:rFonts w:ascii="Verdana" w:hAnsi="Verdana"/>
          <w:sz w:val="20"/>
          <w:szCs w:val="20"/>
          <w:lang w:val="en-US"/>
        </w:rPr>
        <w:t xml:space="preserve"> </w:t>
      </w:r>
      <w:r w:rsidR="002B5CCD" w:rsidRPr="00FE7BA7">
        <w:rPr>
          <w:rFonts w:ascii="Verdana" w:hAnsi="Verdana"/>
          <w:sz w:val="20"/>
          <w:szCs w:val="20"/>
          <w:lang w:val="en-US"/>
        </w:rPr>
        <w:t xml:space="preserve">Suriname </w:t>
      </w:r>
      <w:r w:rsidR="0084687F">
        <w:rPr>
          <w:rFonts w:ascii="Verdana" w:hAnsi="Verdana"/>
          <w:sz w:val="20"/>
          <w:szCs w:val="20"/>
          <w:lang w:val="en-US"/>
        </w:rPr>
        <w:t>was aware of the claims for</w:t>
      </w:r>
      <w:r w:rsidRPr="00FE7BA7">
        <w:rPr>
          <w:rFonts w:ascii="Verdana" w:hAnsi="Verdana"/>
          <w:sz w:val="20"/>
          <w:szCs w:val="20"/>
          <w:lang w:val="en-US"/>
        </w:rPr>
        <w:t xml:space="preserve"> restitution of </w:t>
      </w:r>
      <w:r w:rsidR="00804BD4" w:rsidRPr="00FE7BA7">
        <w:rPr>
          <w:rFonts w:ascii="Verdana" w:hAnsi="Verdana"/>
          <w:sz w:val="20"/>
          <w:szCs w:val="20"/>
          <w:lang w:val="en-US"/>
        </w:rPr>
        <w:t>lands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2B5CCD" w:rsidRPr="00FE7BA7">
        <w:rPr>
          <w:rFonts w:ascii="Verdana" w:hAnsi="Verdana"/>
          <w:sz w:val="20"/>
          <w:szCs w:val="20"/>
          <w:lang w:val="en-US"/>
        </w:rPr>
        <w:t xml:space="preserve"> and </w:t>
      </w:r>
      <w:r w:rsidR="002109E0" w:rsidRPr="00FE7BA7">
        <w:rPr>
          <w:rFonts w:ascii="Verdana" w:hAnsi="Verdana"/>
          <w:sz w:val="20"/>
          <w:szCs w:val="20"/>
          <w:lang w:val="en-US"/>
        </w:rPr>
        <w:t>continu</w:t>
      </w:r>
      <w:r w:rsidRPr="00FE7BA7">
        <w:rPr>
          <w:rFonts w:ascii="Verdana" w:hAnsi="Verdana"/>
          <w:sz w:val="20"/>
          <w:szCs w:val="20"/>
          <w:lang w:val="en-US"/>
        </w:rPr>
        <w:t>ed to issue property titles and leases to private third parties, at least until 2013, despite these specific claims. Furthermore, the Court reiterates that the failu</w:t>
      </w:r>
      <w:r w:rsidR="0084687F">
        <w:rPr>
          <w:rFonts w:ascii="Verdana" w:hAnsi="Verdana"/>
          <w:sz w:val="20"/>
          <w:szCs w:val="20"/>
          <w:lang w:val="en-US"/>
        </w:rPr>
        <w:t>re to delimit, demarcate and grant title in favor of</w:t>
      </w:r>
      <w:r w:rsidRPr="00FE7BA7">
        <w:rPr>
          <w:rFonts w:ascii="Verdana" w:hAnsi="Verdana"/>
          <w:sz w:val="20"/>
          <w:szCs w:val="20"/>
          <w:lang w:val="en-US"/>
        </w:rPr>
        <w:t xml:space="preserve"> </w:t>
      </w:r>
      <w:r w:rsidR="00635ACD" w:rsidRPr="00FE7BA7">
        <w:rPr>
          <w:rFonts w:ascii="Verdana" w:hAnsi="Verdana"/>
          <w:sz w:val="20"/>
          <w:lang w:val="en-US"/>
        </w:rPr>
        <w:t xml:space="preserve">the </w:t>
      </w:r>
      <w:r w:rsidR="004C7D14" w:rsidRPr="00FE7BA7">
        <w:rPr>
          <w:rFonts w:ascii="Verdana" w:hAnsi="Verdana"/>
          <w:sz w:val="20"/>
          <w:lang w:val="en-US"/>
        </w:rPr>
        <w:t>Kaliña and Lokono peoples</w:t>
      </w:r>
      <w:r w:rsidR="002109E0" w:rsidRPr="00FE7BA7">
        <w:rPr>
          <w:rFonts w:ascii="Verdana" w:hAnsi="Verdana"/>
          <w:sz w:val="20"/>
          <w:szCs w:val="20"/>
          <w:lang w:val="en-US"/>
        </w:rPr>
        <w:t xml:space="preserve">, </w:t>
      </w:r>
      <w:r w:rsidRPr="00FE7BA7">
        <w:rPr>
          <w:rFonts w:ascii="Verdana" w:hAnsi="Verdana"/>
          <w:sz w:val="20"/>
          <w:szCs w:val="20"/>
          <w:lang w:val="en-US"/>
        </w:rPr>
        <w:t xml:space="preserve">made it </w:t>
      </w:r>
      <w:r w:rsidR="00FE7BA7" w:rsidRPr="00FE7BA7">
        <w:rPr>
          <w:rFonts w:ascii="Verdana" w:hAnsi="Verdana"/>
          <w:sz w:val="20"/>
          <w:szCs w:val="20"/>
          <w:lang w:val="en-US"/>
        </w:rPr>
        <w:t>possible</w:t>
      </w:r>
      <w:r w:rsidRPr="00FE7BA7">
        <w:rPr>
          <w:rFonts w:ascii="Verdana" w:hAnsi="Verdana"/>
          <w:sz w:val="20"/>
          <w:szCs w:val="20"/>
          <w:lang w:val="en-US"/>
        </w:rPr>
        <w:t xml:space="preserve"> to continue </w:t>
      </w:r>
      <w:r w:rsidR="0084687F">
        <w:rPr>
          <w:rFonts w:ascii="Verdana" w:hAnsi="Verdana"/>
          <w:sz w:val="20"/>
          <w:szCs w:val="20"/>
          <w:lang w:val="en-US"/>
        </w:rPr>
        <w:t>issuing land titles, without the</w:t>
      </w:r>
      <w:r w:rsidRPr="00FE7BA7">
        <w:rPr>
          <w:rFonts w:ascii="Verdana" w:hAnsi="Verdana"/>
          <w:sz w:val="20"/>
          <w:szCs w:val="20"/>
          <w:lang w:val="en-US"/>
        </w:rPr>
        <w:t xml:space="preserve">se peoples having a domestic remedy that would allow them to achieve the protection of their rights. This violates the obligation to </w:t>
      </w:r>
      <w:r w:rsidR="00FE7BA7" w:rsidRPr="00FE7BA7">
        <w:rPr>
          <w:rFonts w:ascii="Verdana" w:hAnsi="Verdana"/>
          <w:sz w:val="20"/>
          <w:szCs w:val="20"/>
          <w:lang w:val="en-US"/>
        </w:rPr>
        <w:t>ensure</w:t>
      </w:r>
      <w:r w:rsidRPr="00FE7BA7">
        <w:rPr>
          <w:rFonts w:ascii="Verdana" w:hAnsi="Verdana"/>
          <w:sz w:val="20"/>
          <w:szCs w:val="20"/>
          <w:lang w:val="en-US"/>
        </w:rPr>
        <w:t xml:space="preserve"> the right protected by </w:t>
      </w:r>
      <w:r w:rsidR="00773D70" w:rsidRPr="00FE7BA7">
        <w:rPr>
          <w:rFonts w:ascii="Verdana" w:hAnsi="Verdana"/>
          <w:sz w:val="20"/>
          <w:szCs w:val="20"/>
          <w:lang w:val="en-US"/>
        </w:rPr>
        <w:t>Article</w:t>
      </w:r>
      <w:r w:rsidR="002109E0" w:rsidRPr="00FE7BA7">
        <w:rPr>
          <w:rFonts w:ascii="Verdana" w:hAnsi="Verdana"/>
          <w:sz w:val="20"/>
          <w:szCs w:val="20"/>
          <w:lang w:val="en-US"/>
        </w:rPr>
        <w:t xml:space="preserve"> 21</w:t>
      </w:r>
      <w:r w:rsidR="002B5CCD" w:rsidRPr="00FE7BA7">
        <w:rPr>
          <w:rFonts w:ascii="Verdana" w:hAnsi="Verdana"/>
          <w:sz w:val="20"/>
          <w:szCs w:val="20"/>
          <w:lang w:val="en-US"/>
        </w:rPr>
        <w:t xml:space="preserve"> of the American Convention</w:t>
      </w:r>
      <w:r w:rsidR="002109E0" w:rsidRPr="00FE7BA7">
        <w:rPr>
          <w:rFonts w:ascii="Verdana" w:hAnsi="Verdana"/>
          <w:sz w:val="20"/>
          <w:szCs w:val="20"/>
          <w:lang w:val="en-US"/>
        </w:rPr>
        <w:t xml:space="preserve">, </w:t>
      </w:r>
      <w:r w:rsidR="00773D70" w:rsidRPr="00FE7BA7">
        <w:rPr>
          <w:rFonts w:ascii="Verdana" w:hAnsi="Verdana"/>
          <w:sz w:val="20"/>
          <w:szCs w:val="20"/>
          <w:lang w:val="en-US"/>
        </w:rPr>
        <w:t>in relation to Article 1(1)</w:t>
      </w:r>
      <w:r w:rsidR="002109E0" w:rsidRPr="00FE7BA7">
        <w:rPr>
          <w:rFonts w:ascii="Verdana" w:hAnsi="Verdana"/>
          <w:sz w:val="20"/>
          <w:szCs w:val="20"/>
          <w:lang w:val="en-US"/>
        </w:rPr>
        <w:t xml:space="preserve"> </w:t>
      </w:r>
      <w:r w:rsidRPr="00FE7BA7">
        <w:rPr>
          <w:rFonts w:ascii="Verdana" w:hAnsi="Verdana"/>
          <w:sz w:val="20"/>
          <w:szCs w:val="20"/>
          <w:lang w:val="en-US"/>
        </w:rPr>
        <w:t>thereof</w:t>
      </w:r>
      <w:r w:rsidR="002109E0" w:rsidRPr="00FE7BA7">
        <w:rPr>
          <w:rFonts w:ascii="Verdana" w:hAnsi="Verdana"/>
          <w:sz w:val="20"/>
          <w:szCs w:val="20"/>
          <w:lang w:val="en-US"/>
        </w:rPr>
        <w:t xml:space="preserve">. </w:t>
      </w:r>
    </w:p>
    <w:p w14:paraId="631269A4" w14:textId="77777777" w:rsidR="00F66B20" w:rsidRPr="00FE7BA7" w:rsidRDefault="00F66B20" w:rsidP="009E77BD">
      <w:pPr>
        <w:pStyle w:val="ListParagraph"/>
        <w:ind w:left="0"/>
        <w:jc w:val="both"/>
        <w:rPr>
          <w:rFonts w:ascii="Verdana" w:hAnsi="Verdana"/>
          <w:sz w:val="20"/>
          <w:szCs w:val="20"/>
          <w:lang w:val="en-US"/>
        </w:rPr>
      </w:pPr>
    </w:p>
    <w:p w14:paraId="631269A5" w14:textId="77777777" w:rsidR="00FC1FCF" w:rsidRPr="00FE7BA7" w:rsidRDefault="00FC1FCF" w:rsidP="00FC1FCF">
      <w:pPr>
        <w:pStyle w:val="Heading3"/>
        <w:spacing w:before="0"/>
        <w:ind w:left="360"/>
        <w:jc w:val="both"/>
        <w:rPr>
          <w:rFonts w:ascii="Verdana" w:hAnsi="Verdana"/>
          <w:i/>
          <w:color w:val="auto"/>
          <w:sz w:val="20"/>
          <w:szCs w:val="20"/>
          <w:lang w:val="en-US"/>
        </w:rPr>
      </w:pPr>
      <w:bookmarkStart w:id="46" w:name="_Toc441673211"/>
      <w:r w:rsidRPr="00FE7BA7">
        <w:rPr>
          <w:rFonts w:ascii="Verdana" w:hAnsi="Verdana"/>
          <w:i/>
          <w:color w:val="auto"/>
          <w:sz w:val="20"/>
          <w:szCs w:val="20"/>
          <w:lang w:val="en-US"/>
        </w:rPr>
        <w:lastRenderedPageBreak/>
        <w:t>B.</w:t>
      </w:r>
      <w:r w:rsidR="00830B9E" w:rsidRPr="00FE7BA7">
        <w:rPr>
          <w:rFonts w:ascii="Verdana" w:hAnsi="Verdana"/>
          <w:i/>
          <w:color w:val="auto"/>
          <w:sz w:val="20"/>
          <w:szCs w:val="20"/>
          <w:lang w:val="en-US"/>
        </w:rPr>
        <w:t>3</w:t>
      </w:r>
      <w:r w:rsidRPr="00FE7BA7">
        <w:rPr>
          <w:rFonts w:ascii="Verdana" w:hAnsi="Verdana"/>
          <w:i/>
          <w:color w:val="auto"/>
          <w:sz w:val="20"/>
          <w:szCs w:val="20"/>
          <w:lang w:val="en-US"/>
        </w:rPr>
        <w:t xml:space="preserve"> </w:t>
      </w:r>
      <w:r w:rsidR="00E91479" w:rsidRPr="00FE7BA7">
        <w:rPr>
          <w:rFonts w:ascii="Verdana" w:hAnsi="Verdana"/>
          <w:i/>
          <w:color w:val="auto"/>
          <w:sz w:val="20"/>
          <w:szCs w:val="20"/>
          <w:lang w:val="en-US"/>
        </w:rPr>
        <w:t>Nature reserves in the</w:t>
      </w:r>
      <w:r w:rsidRPr="00FE7BA7">
        <w:rPr>
          <w:rFonts w:ascii="Verdana" w:hAnsi="Verdana"/>
          <w:i/>
          <w:color w:val="auto"/>
          <w:sz w:val="20"/>
          <w:szCs w:val="20"/>
          <w:lang w:val="en-US"/>
        </w:rPr>
        <w:t xml:space="preserve"> </w:t>
      </w:r>
      <w:r w:rsidR="00FD14B3" w:rsidRPr="00FE7BA7">
        <w:rPr>
          <w:rFonts w:ascii="Verdana" w:hAnsi="Verdana"/>
          <w:i/>
          <w:color w:val="auto"/>
          <w:sz w:val="20"/>
          <w:szCs w:val="20"/>
          <w:lang w:val="en-US"/>
        </w:rPr>
        <w:t>traditional territory</w:t>
      </w:r>
      <w:bookmarkEnd w:id="46"/>
      <w:r w:rsidRPr="00FE7BA7">
        <w:rPr>
          <w:rFonts w:ascii="Verdana" w:hAnsi="Verdana"/>
          <w:i/>
          <w:color w:val="auto"/>
          <w:sz w:val="20"/>
          <w:szCs w:val="20"/>
          <w:lang w:val="en-US"/>
        </w:rPr>
        <w:t xml:space="preserve"> </w:t>
      </w:r>
    </w:p>
    <w:p w14:paraId="631269A6" w14:textId="77777777" w:rsidR="00FC1FCF" w:rsidRPr="00FE7BA7" w:rsidRDefault="00FD5BBD" w:rsidP="00366D91">
      <w:pPr>
        <w:tabs>
          <w:tab w:val="left" w:pos="6048"/>
        </w:tabs>
        <w:jc w:val="both"/>
        <w:rPr>
          <w:rFonts w:ascii="Verdana" w:hAnsi="Verdana" w:cs="Arial"/>
          <w:sz w:val="20"/>
          <w:szCs w:val="20"/>
          <w:lang w:val="en-US"/>
        </w:rPr>
      </w:pPr>
      <w:r w:rsidRPr="00FE7BA7">
        <w:rPr>
          <w:rFonts w:ascii="Verdana" w:hAnsi="Verdana" w:cs="Arial"/>
          <w:sz w:val="20"/>
          <w:szCs w:val="20"/>
          <w:lang w:val="en-US"/>
        </w:rPr>
        <w:tab/>
      </w:r>
    </w:p>
    <w:p w14:paraId="631269A7" w14:textId="77777777" w:rsidR="00FC1FCF" w:rsidRPr="00FE7BA7" w:rsidRDefault="00E91479" w:rsidP="00FC1FCF">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Regarding</w:t>
      </w:r>
      <w:r w:rsidR="00FC1FCF" w:rsidRPr="00FE7BA7">
        <w:rPr>
          <w:rFonts w:ascii="Verdana" w:hAnsi="Verdana" w:cs="Arial"/>
          <w:sz w:val="20"/>
          <w:szCs w:val="20"/>
          <w:lang w:val="en-US"/>
        </w:rPr>
        <w:t xml:space="preserve"> </w:t>
      </w:r>
      <w:r w:rsidRPr="00FE7BA7">
        <w:rPr>
          <w:rFonts w:ascii="Verdana" w:hAnsi="Verdana" w:cs="Arial"/>
          <w:sz w:val="20"/>
          <w:szCs w:val="20"/>
          <w:lang w:val="en-US"/>
        </w:rPr>
        <w:t>the nature reserves in the</w:t>
      </w:r>
      <w:r w:rsidR="00FC1FCF" w:rsidRPr="00FE7BA7">
        <w:rPr>
          <w:rFonts w:ascii="Verdana" w:hAnsi="Verdana" w:cs="Arial"/>
          <w:sz w:val="20"/>
          <w:szCs w:val="20"/>
          <w:lang w:val="en-US"/>
        </w:rPr>
        <w:t xml:space="preserve"> territor</w:t>
      </w:r>
      <w:r w:rsidRPr="00FE7BA7">
        <w:rPr>
          <w:rFonts w:ascii="Verdana" w:hAnsi="Verdana" w:cs="Arial"/>
          <w:sz w:val="20"/>
          <w:szCs w:val="20"/>
          <w:lang w:val="en-US"/>
        </w:rPr>
        <w:t xml:space="preserve">y that is allegedly traditional, the Court observes that the arguments are related, on the one hand, to the creation of the reserves and the absence of consultation regarding their establishment and their </w:t>
      </w:r>
      <w:r w:rsidR="0086680E">
        <w:rPr>
          <w:rFonts w:ascii="Verdana" w:hAnsi="Verdana" w:cs="Arial"/>
          <w:sz w:val="20"/>
          <w:szCs w:val="20"/>
          <w:lang w:val="en-US"/>
        </w:rPr>
        <w:t>perpetuation</w:t>
      </w:r>
      <w:r w:rsidRPr="00FE7BA7">
        <w:rPr>
          <w:rFonts w:ascii="Verdana" w:hAnsi="Verdana" w:cs="Arial"/>
          <w:sz w:val="20"/>
          <w:szCs w:val="20"/>
          <w:lang w:val="en-US"/>
        </w:rPr>
        <w:t xml:space="preserve"> and, on the other hand, t</w:t>
      </w:r>
      <w:r w:rsidR="0084687F">
        <w:rPr>
          <w:rFonts w:ascii="Verdana" w:hAnsi="Verdana" w:cs="Arial"/>
          <w:sz w:val="20"/>
          <w:szCs w:val="20"/>
          <w:lang w:val="en-US"/>
        </w:rPr>
        <w:t>o certain restrictions for the</w:t>
      </w:r>
      <w:r w:rsidR="0084687F" w:rsidRPr="0084687F">
        <w:rPr>
          <w:rFonts w:ascii="Verdana" w:hAnsi="Verdana"/>
          <w:sz w:val="20"/>
          <w:szCs w:val="20"/>
          <w:lang w:val="en-US"/>
        </w:rPr>
        <w:t xml:space="preserve"> </w:t>
      </w:r>
      <w:r w:rsidR="0084687F" w:rsidRPr="00FE7BA7">
        <w:rPr>
          <w:rFonts w:ascii="Verdana" w:hAnsi="Verdana"/>
          <w:sz w:val="20"/>
          <w:szCs w:val="20"/>
          <w:lang w:val="en-US"/>
        </w:rPr>
        <w:t>Kaliña and Lokono</w:t>
      </w:r>
      <w:r w:rsidRPr="00FE7BA7">
        <w:rPr>
          <w:rFonts w:ascii="Verdana" w:hAnsi="Verdana" w:cs="Arial"/>
          <w:sz w:val="20"/>
          <w:szCs w:val="20"/>
          <w:lang w:val="en-US"/>
        </w:rPr>
        <w:t xml:space="preserve"> peoples within the reserves. Accordingly, the Court will now delimit its jurisdiction.</w:t>
      </w:r>
    </w:p>
    <w:p w14:paraId="631269A8" w14:textId="77777777" w:rsidR="00FC1FCF" w:rsidRPr="00FE7BA7" w:rsidRDefault="00FC1FCF" w:rsidP="00F44DDE">
      <w:pPr>
        <w:tabs>
          <w:tab w:val="left" w:pos="3769"/>
        </w:tabs>
        <w:jc w:val="both"/>
        <w:rPr>
          <w:rFonts w:ascii="Verdana" w:hAnsi="Verdana" w:cs="Arial"/>
          <w:sz w:val="20"/>
          <w:szCs w:val="20"/>
          <w:lang w:val="en-US"/>
        </w:rPr>
      </w:pPr>
    </w:p>
    <w:p w14:paraId="631269A9" w14:textId="77777777" w:rsidR="00FC1FCF" w:rsidRPr="00FE7BA7" w:rsidRDefault="00E91479" w:rsidP="00FC1FCF">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In relation to the creation of the nature reserves of</w:t>
      </w:r>
      <w:r w:rsidR="002A6C21" w:rsidRPr="00FE7BA7">
        <w:rPr>
          <w:rFonts w:ascii="Verdana" w:hAnsi="Verdana" w:cs="Arial"/>
          <w:sz w:val="20"/>
          <w:szCs w:val="20"/>
          <w:lang w:val="en-US"/>
        </w:rPr>
        <w:t xml:space="preserve"> </w:t>
      </w:r>
      <w:proofErr w:type="gramStart"/>
      <w:r w:rsidR="002A6C21" w:rsidRPr="00FE7BA7">
        <w:rPr>
          <w:rFonts w:ascii="Verdana" w:hAnsi="Verdana" w:cs="Arial"/>
          <w:sz w:val="20"/>
          <w:szCs w:val="20"/>
          <w:lang w:val="en-US"/>
        </w:rPr>
        <w:t>Wia Wia</w:t>
      </w:r>
      <w:proofErr w:type="gramEnd"/>
      <w:r w:rsidR="002A6C21" w:rsidRPr="00FE7BA7">
        <w:rPr>
          <w:rFonts w:ascii="Verdana" w:hAnsi="Verdana" w:cs="Arial"/>
          <w:sz w:val="20"/>
          <w:szCs w:val="20"/>
          <w:lang w:val="en-US"/>
        </w:rPr>
        <w:t xml:space="preserve"> (1966), Galibi (1969)</w:t>
      </w:r>
      <w:r w:rsidR="002B5CCD" w:rsidRPr="00FE7BA7">
        <w:rPr>
          <w:rFonts w:ascii="Verdana" w:hAnsi="Verdana" w:cs="Arial"/>
          <w:sz w:val="20"/>
          <w:szCs w:val="20"/>
          <w:lang w:val="en-US"/>
        </w:rPr>
        <w:t xml:space="preserve"> and </w:t>
      </w:r>
      <w:r w:rsidR="002A6C21" w:rsidRPr="00FE7BA7">
        <w:rPr>
          <w:rFonts w:ascii="Verdana" w:hAnsi="Verdana" w:cs="Arial"/>
          <w:sz w:val="20"/>
          <w:szCs w:val="20"/>
          <w:lang w:val="en-US"/>
        </w:rPr>
        <w:t>Wane Kreek (1986)</w:t>
      </w:r>
      <w:r w:rsidR="00FC1FCF" w:rsidRPr="00FE7BA7">
        <w:rPr>
          <w:rFonts w:ascii="Verdana" w:hAnsi="Verdana" w:cs="Arial"/>
          <w:sz w:val="20"/>
          <w:szCs w:val="20"/>
          <w:lang w:val="en-US"/>
        </w:rPr>
        <w:t xml:space="preserve">, </w:t>
      </w:r>
      <w:r w:rsidR="002B5CCD" w:rsidRPr="00FE7BA7">
        <w:rPr>
          <w:rFonts w:ascii="Verdana" w:hAnsi="Verdana" w:cs="Arial"/>
          <w:sz w:val="20"/>
          <w:szCs w:val="20"/>
          <w:lang w:val="en-US"/>
        </w:rPr>
        <w:t>the Court</w:t>
      </w:r>
      <w:r w:rsidR="000849CD" w:rsidRPr="00FE7BA7">
        <w:rPr>
          <w:rFonts w:ascii="Verdana" w:hAnsi="Verdana" w:cs="Arial"/>
          <w:sz w:val="20"/>
          <w:szCs w:val="20"/>
          <w:lang w:val="en-US"/>
        </w:rPr>
        <w:t xml:space="preserve"> reitera</w:t>
      </w:r>
      <w:r w:rsidRPr="00FE7BA7">
        <w:rPr>
          <w:rFonts w:ascii="Verdana" w:hAnsi="Verdana" w:cs="Arial"/>
          <w:sz w:val="20"/>
          <w:szCs w:val="20"/>
          <w:lang w:val="en-US"/>
        </w:rPr>
        <w:t>tes that it will not rule with regard to their establishment and other facts that occurred prior to the acceptance of its jurisdiction. However, it will rule on “new facts” that have taken place following the date on which Suriname accepted the Court’s contentious jurisdiction, “as well as with regard to violations that, although they started prior to that date, have continued or remained following it</w:t>
      </w:r>
      <w:r w:rsidR="00FC1FCF" w:rsidRPr="00FE7BA7">
        <w:rPr>
          <w:rFonts w:ascii="Verdana" w:hAnsi="Verdana"/>
          <w:sz w:val="20"/>
          <w:szCs w:val="20"/>
          <w:lang w:val="en-US"/>
        </w:rPr>
        <w:t>”</w:t>
      </w:r>
      <w:r w:rsidRPr="00FE7BA7">
        <w:rPr>
          <w:rFonts w:ascii="Verdana" w:hAnsi="Verdana"/>
          <w:sz w:val="20"/>
          <w:szCs w:val="20"/>
          <w:lang w:val="en-US"/>
        </w:rPr>
        <w:t>;</w:t>
      </w:r>
      <w:r w:rsidR="00FC1FCF" w:rsidRPr="00FE7BA7">
        <w:rPr>
          <w:rStyle w:val="FootnoteReference"/>
          <w:szCs w:val="20"/>
          <w:lang w:val="en-US"/>
        </w:rPr>
        <w:footnoteReference w:id="209"/>
      </w:r>
      <w:r w:rsidRPr="00FE7BA7">
        <w:rPr>
          <w:rFonts w:ascii="Verdana" w:hAnsi="Verdana"/>
          <w:sz w:val="20"/>
          <w:szCs w:val="20"/>
          <w:lang w:val="en-US"/>
        </w:rPr>
        <w:t xml:space="preserve"> in other words, the alleged persistence of the </w:t>
      </w:r>
      <w:r w:rsidR="00FE7BA7" w:rsidRPr="00FE7BA7">
        <w:rPr>
          <w:rFonts w:ascii="Verdana" w:hAnsi="Verdana"/>
          <w:sz w:val="20"/>
          <w:szCs w:val="20"/>
          <w:lang w:val="en-US"/>
        </w:rPr>
        <w:t>reserves</w:t>
      </w:r>
      <w:r w:rsidRPr="00FE7BA7">
        <w:rPr>
          <w:rFonts w:ascii="Verdana" w:hAnsi="Verdana"/>
          <w:sz w:val="20"/>
          <w:szCs w:val="20"/>
          <w:lang w:val="en-US"/>
        </w:rPr>
        <w:t xml:space="preserve"> and their negative impact</w:t>
      </w:r>
      <w:r w:rsidR="00F44DDE" w:rsidRPr="00FE7BA7">
        <w:rPr>
          <w:rFonts w:ascii="Verdana" w:hAnsi="Verdana"/>
          <w:sz w:val="20"/>
          <w:szCs w:val="20"/>
          <w:lang w:val="en-US"/>
        </w:rPr>
        <w:t xml:space="preserve">. </w:t>
      </w:r>
    </w:p>
    <w:p w14:paraId="631269AA" w14:textId="77777777" w:rsidR="00FC1FCF" w:rsidRPr="00FE7BA7" w:rsidRDefault="00FC1FCF" w:rsidP="00FC1FCF">
      <w:pPr>
        <w:jc w:val="both"/>
        <w:rPr>
          <w:rFonts w:ascii="Verdana" w:hAnsi="Verdana" w:cs="Arial"/>
          <w:sz w:val="20"/>
          <w:szCs w:val="20"/>
          <w:lang w:val="en-US"/>
        </w:rPr>
      </w:pPr>
    </w:p>
    <w:p w14:paraId="631269AB" w14:textId="77777777" w:rsidR="00FC1FCF" w:rsidRPr="00FE7BA7" w:rsidRDefault="0079049B" w:rsidP="00B17B8E">
      <w:pPr>
        <w:pStyle w:val="Heading4"/>
        <w:spacing w:before="0"/>
        <w:ind w:left="1440"/>
        <w:jc w:val="both"/>
        <w:rPr>
          <w:rFonts w:ascii="Verdana" w:hAnsi="Verdana"/>
          <w:color w:val="auto"/>
          <w:sz w:val="20"/>
          <w:szCs w:val="20"/>
          <w:lang w:val="en-US"/>
        </w:rPr>
      </w:pPr>
      <w:bookmarkStart w:id="47" w:name="_Toc441673212"/>
      <w:r w:rsidRPr="00FE7BA7">
        <w:rPr>
          <w:rFonts w:ascii="Verdana" w:hAnsi="Verdana"/>
          <w:color w:val="auto"/>
          <w:sz w:val="20"/>
          <w:szCs w:val="20"/>
          <w:lang w:val="en-US"/>
        </w:rPr>
        <w:t>B.</w:t>
      </w:r>
      <w:r w:rsidR="00830B9E" w:rsidRPr="00FE7BA7">
        <w:rPr>
          <w:rFonts w:ascii="Verdana" w:hAnsi="Verdana"/>
          <w:color w:val="auto"/>
          <w:sz w:val="20"/>
          <w:szCs w:val="20"/>
          <w:lang w:val="en-US"/>
        </w:rPr>
        <w:t>3</w:t>
      </w:r>
      <w:r w:rsidRPr="00FE7BA7">
        <w:rPr>
          <w:rFonts w:ascii="Verdana" w:hAnsi="Verdana"/>
          <w:color w:val="auto"/>
          <w:sz w:val="20"/>
          <w:szCs w:val="20"/>
          <w:lang w:val="en-US"/>
        </w:rPr>
        <w:t>.</w:t>
      </w:r>
      <w:r w:rsidR="00A30243" w:rsidRPr="00FE7BA7">
        <w:rPr>
          <w:rFonts w:ascii="Verdana" w:hAnsi="Verdana"/>
          <w:color w:val="auto"/>
          <w:sz w:val="20"/>
          <w:szCs w:val="20"/>
          <w:lang w:val="en-US"/>
        </w:rPr>
        <w:t>1</w:t>
      </w:r>
      <w:r w:rsidRPr="00FE7BA7">
        <w:rPr>
          <w:rFonts w:ascii="Verdana" w:hAnsi="Verdana"/>
          <w:color w:val="auto"/>
          <w:sz w:val="20"/>
          <w:szCs w:val="20"/>
          <w:lang w:val="en-US"/>
        </w:rPr>
        <w:t xml:space="preserve"> </w:t>
      </w:r>
      <w:r w:rsidR="00E91479" w:rsidRPr="00FE7BA7">
        <w:rPr>
          <w:rFonts w:ascii="Verdana" w:hAnsi="Verdana"/>
          <w:color w:val="auto"/>
          <w:sz w:val="20"/>
          <w:szCs w:val="20"/>
          <w:lang w:val="en-US"/>
        </w:rPr>
        <w:t xml:space="preserve">The alleged persistence of the nature reserve and </w:t>
      </w:r>
      <w:r w:rsidR="0084687F" w:rsidRPr="0084687F">
        <w:rPr>
          <w:rFonts w:ascii="Verdana" w:hAnsi="Verdana"/>
          <w:color w:val="auto"/>
          <w:sz w:val="20"/>
          <w:szCs w:val="20"/>
          <w:lang w:val="en-US"/>
        </w:rPr>
        <w:t xml:space="preserve">the </w:t>
      </w:r>
      <w:r w:rsidR="00E91479" w:rsidRPr="0084687F">
        <w:rPr>
          <w:rFonts w:ascii="Verdana" w:hAnsi="Verdana"/>
          <w:color w:val="auto"/>
          <w:sz w:val="20"/>
          <w:szCs w:val="20"/>
          <w:lang w:val="en-US"/>
        </w:rPr>
        <w:t>claim</w:t>
      </w:r>
      <w:r w:rsidR="0084687F" w:rsidRPr="0084687F">
        <w:rPr>
          <w:rFonts w:ascii="Verdana" w:hAnsi="Verdana"/>
          <w:color w:val="auto"/>
          <w:sz w:val="20"/>
          <w:szCs w:val="20"/>
          <w:lang w:val="en-US"/>
        </w:rPr>
        <w:t>s</w:t>
      </w:r>
      <w:bookmarkEnd w:id="47"/>
      <w:r w:rsidR="00FC1FCF" w:rsidRPr="00FE7BA7">
        <w:rPr>
          <w:rFonts w:ascii="Verdana" w:hAnsi="Verdana"/>
          <w:color w:val="auto"/>
          <w:sz w:val="20"/>
          <w:szCs w:val="20"/>
          <w:lang w:val="en-US"/>
        </w:rPr>
        <w:t xml:space="preserve"> </w:t>
      </w:r>
    </w:p>
    <w:p w14:paraId="631269AC" w14:textId="77777777" w:rsidR="00FC1FCF" w:rsidRPr="00FE7BA7" w:rsidRDefault="00FC1FCF" w:rsidP="00FC1FCF">
      <w:pPr>
        <w:pStyle w:val="ListParagraph"/>
        <w:ind w:left="1080"/>
        <w:jc w:val="both"/>
        <w:rPr>
          <w:rFonts w:ascii="Verdana" w:hAnsi="Verdana" w:cs="Arial"/>
          <w:sz w:val="20"/>
          <w:szCs w:val="20"/>
          <w:lang w:val="en-US"/>
        </w:rPr>
      </w:pPr>
    </w:p>
    <w:p w14:paraId="631269AD" w14:textId="6E3BB154" w:rsidR="00FC1FCF" w:rsidRPr="00FE7BA7" w:rsidRDefault="002B5CCD" w:rsidP="00FC1FCF">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00E91479" w:rsidRPr="00FE7BA7">
        <w:rPr>
          <w:rFonts w:ascii="Verdana" w:hAnsi="Verdana" w:cs="Arial"/>
          <w:sz w:val="20"/>
          <w:szCs w:val="20"/>
          <w:lang w:val="en-US"/>
        </w:rPr>
        <w:t xml:space="preserve">has indicated that, together, the three nature reserves cover around </w:t>
      </w:r>
      <w:r w:rsidR="00FC1FCF" w:rsidRPr="00FE7BA7">
        <w:rPr>
          <w:rFonts w:ascii="Verdana" w:hAnsi="Verdana"/>
          <w:sz w:val="20"/>
          <w:szCs w:val="20"/>
          <w:lang w:val="en-US"/>
        </w:rPr>
        <w:t>59</w:t>
      </w:r>
      <w:r w:rsidR="00CC7819" w:rsidRPr="00FE7BA7">
        <w:rPr>
          <w:rFonts w:ascii="Verdana" w:hAnsi="Verdana"/>
          <w:sz w:val="20"/>
          <w:szCs w:val="20"/>
          <w:lang w:val="en-US"/>
        </w:rPr>
        <w:t>,</w:t>
      </w:r>
      <w:r w:rsidR="00FC1FCF" w:rsidRPr="00FE7BA7">
        <w:rPr>
          <w:rFonts w:ascii="Verdana" w:hAnsi="Verdana"/>
          <w:sz w:val="20"/>
          <w:szCs w:val="20"/>
          <w:lang w:val="en-US"/>
        </w:rPr>
        <w:t xml:space="preserve">800 </w:t>
      </w:r>
      <w:r w:rsidR="00B07A66" w:rsidRPr="00FE7BA7">
        <w:rPr>
          <w:rFonts w:ascii="Verdana" w:hAnsi="Verdana"/>
          <w:sz w:val="20"/>
          <w:szCs w:val="20"/>
          <w:lang w:val="en-US"/>
        </w:rPr>
        <w:t>h</w:t>
      </w:r>
      <w:r w:rsidR="003A17DD">
        <w:rPr>
          <w:rFonts w:ascii="Verdana" w:hAnsi="Verdana"/>
          <w:sz w:val="20"/>
          <w:szCs w:val="20"/>
          <w:lang w:val="en-US"/>
        </w:rPr>
        <w:t>a</w:t>
      </w:r>
      <w:r w:rsidR="00FC1FCF" w:rsidRPr="00FE7BA7">
        <w:rPr>
          <w:rFonts w:ascii="Verdana" w:hAnsi="Verdana"/>
          <w:sz w:val="20"/>
          <w:szCs w:val="20"/>
          <w:lang w:val="en-US"/>
        </w:rPr>
        <w:t xml:space="preserve"> </w:t>
      </w:r>
      <w:r w:rsidR="00E91479" w:rsidRPr="00FE7BA7">
        <w:rPr>
          <w:rFonts w:ascii="Verdana" w:hAnsi="Verdana"/>
          <w:sz w:val="20"/>
          <w:szCs w:val="20"/>
          <w:lang w:val="en-US"/>
        </w:rPr>
        <w:t>of the</w:t>
      </w:r>
      <w:r w:rsidR="00FC1FCF" w:rsidRPr="00FE7BA7">
        <w:rPr>
          <w:rFonts w:ascii="Verdana" w:hAnsi="Verdana"/>
          <w:sz w:val="20"/>
          <w:szCs w:val="20"/>
          <w:lang w:val="en-US"/>
        </w:rPr>
        <w:t xml:space="preserve"> 133</w:t>
      </w:r>
      <w:r w:rsidR="00CC7819" w:rsidRPr="00FE7BA7">
        <w:rPr>
          <w:rFonts w:ascii="Verdana" w:hAnsi="Verdana"/>
          <w:sz w:val="20"/>
          <w:szCs w:val="20"/>
          <w:lang w:val="en-US"/>
        </w:rPr>
        <w:t>,</w:t>
      </w:r>
      <w:r w:rsidR="00FC1FCF" w:rsidRPr="00FE7BA7">
        <w:rPr>
          <w:rFonts w:ascii="Verdana" w:hAnsi="Verdana"/>
          <w:sz w:val="20"/>
          <w:szCs w:val="20"/>
          <w:lang w:val="en-US"/>
        </w:rPr>
        <w:t xml:space="preserve">945 </w:t>
      </w:r>
      <w:r w:rsidR="00B07A66" w:rsidRPr="00FE7BA7">
        <w:rPr>
          <w:rFonts w:ascii="Verdana" w:hAnsi="Verdana"/>
          <w:sz w:val="20"/>
          <w:szCs w:val="20"/>
          <w:lang w:val="en-US"/>
        </w:rPr>
        <w:t>h</w:t>
      </w:r>
      <w:r w:rsidR="003A17DD">
        <w:rPr>
          <w:rFonts w:ascii="Verdana" w:hAnsi="Verdana"/>
          <w:sz w:val="20"/>
          <w:szCs w:val="20"/>
          <w:lang w:val="en-US"/>
        </w:rPr>
        <w:t>a</w:t>
      </w:r>
      <w:r w:rsidR="00FC1FCF" w:rsidRPr="00FE7BA7">
        <w:rPr>
          <w:rFonts w:ascii="Verdana" w:hAnsi="Verdana"/>
          <w:sz w:val="20"/>
          <w:szCs w:val="20"/>
          <w:lang w:val="en-US"/>
        </w:rPr>
        <w:t xml:space="preserve"> </w:t>
      </w:r>
      <w:r w:rsidR="00E91479" w:rsidRPr="00FE7BA7">
        <w:rPr>
          <w:rFonts w:ascii="Verdana" w:hAnsi="Verdana"/>
          <w:sz w:val="20"/>
          <w:szCs w:val="20"/>
          <w:lang w:val="en-US"/>
        </w:rPr>
        <w:t xml:space="preserve">claimed in this case, </w:t>
      </w:r>
      <w:r w:rsidR="00EF53BB">
        <w:rPr>
          <w:rFonts w:ascii="Verdana" w:hAnsi="Verdana"/>
          <w:sz w:val="20"/>
          <w:szCs w:val="20"/>
          <w:lang w:val="en-US"/>
        </w:rPr>
        <w:t>and this</w:t>
      </w:r>
      <w:r w:rsidR="00E91479" w:rsidRPr="00FE7BA7">
        <w:rPr>
          <w:rFonts w:ascii="Verdana" w:hAnsi="Verdana"/>
          <w:sz w:val="20"/>
          <w:szCs w:val="20"/>
          <w:lang w:val="en-US"/>
        </w:rPr>
        <w:t xml:space="preserve"> represents </w:t>
      </w:r>
      <w:r w:rsidR="00BE4D11" w:rsidRPr="00FE7BA7">
        <w:rPr>
          <w:rFonts w:ascii="Verdana" w:hAnsi="Verdana"/>
          <w:sz w:val="20"/>
          <w:szCs w:val="20"/>
          <w:lang w:val="en-US"/>
        </w:rPr>
        <w:t>approximately</w:t>
      </w:r>
      <w:r w:rsidR="00FC1FCF" w:rsidRPr="00FE7BA7">
        <w:rPr>
          <w:rFonts w:ascii="Verdana" w:hAnsi="Verdana"/>
          <w:sz w:val="20"/>
          <w:szCs w:val="20"/>
          <w:lang w:val="en-US"/>
        </w:rPr>
        <w:t xml:space="preserve"> 45% </w:t>
      </w:r>
      <w:r w:rsidR="00511E56" w:rsidRPr="00FE7BA7">
        <w:rPr>
          <w:rFonts w:ascii="Verdana" w:hAnsi="Verdana"/>
          <w:sz w:val="20"/>
          <w:szCs w:val="20"/>
          <w:lang w:val="en-US"/>
        </w:rPr>
        <w:t xml:space="preserve">of the </w:t>
      </w:r>
      <w:r w:rsidR="00E91479" w:rsidRPr="00FE7BA7">
        <w:rPr>
          <w:rFonts w:ascii="Verdana" w:hAnsi="Verdana"/>
          <w:sz w:val="20"/>
          <w:szCs w:val="20"/>
          <w:lang w:val="en-US"/>
        </w:rPr>
        <w:t xml:space="preserve">total </w:t>
      </w:r>
      <w:r w:rsidR="00511E56" w:rsidRPr="00FE7BA7">
        <w:rPr>
          <w:rFonts w:ascii="Verdana" w:hAnsi="Verdana"/>
          <w:sz w:val="20"/>
          <w:szCs w:val="20"/>
          <w:lang w:val="en-US"/>
        </w:rPr>
        <w:t>territory</w:t>
      </w:r>
      <w:r w:rsidR="00FC1FCF" w:rsidRPr="00FE7BA7">
        <w:rPr>
          <w:rFonts w:ascii="Verdana" w:hAnsi="Verdana"/>
          <w:sz w:val="20"/>
          <w:szCs w:val="20"/>
          <w:lang w:val="en-US"/>
        </w:rPr>
        <w:t xml:space="preserve"> </w:t>
      </w:r>
      <w:r w:rsidR="00E91479" w:rsidRPr="00FE7BA7">
        <w:rPr>
          <w:rFonts w:ascii="Verdana" w:hAnsi="Verdana"/>
          <w:sz w:val="20"/>
          <w:szCs w:val="20"/>
          <w:lang w:val="en-US"/>
        </w:rPr>
        <w:t xml:space="preserve">claimed by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181972" w:rsidRPr="00FE7BA7">
        <w:rPr>
          <w:rFonts w:ascii="Verdana" w:hAnsi="Verdana"/>
          <w:sz w:val="20"/>
          <w:szCs w:val="20"/>
          <w:lang w:val="en-US"/>
        </w:rPr>
        <w:t xml:space="preserve"> </w:t>
      </w:r>
      <w:r w:rsidR="00FC1FCF" w:rsidRPr="00FE7BA7">
        <w:rPr>
          <w:rFonts w:ascii="Verdana" w:hAnsi="Verdana"/>
          <w:sz w:val="20"/>
          <w:szCs w:val="20"/>
          <w:lang w:val="en-US"/>
        </w:rPr>
        <w:t>(</w:t>
      </w:r>
      <w:r w:rsidR="00366D91" w:rsidRPr="00FE7BA7">
        <w:rPr>
          <w:rFonts w:ascii="Verdana" w:hAnsi="Verdana"/>
          <w:i/>
          <w:sz w:val="20"/>
          <w:szCs w:val="20"/>
          <w:lang w:val="en-US"/>
        </w:rPr>
        <w:t>supra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CC7819" w:rsidRPr="00FE7BA7">
        <w:rPr>
          <w:rFonts w:ascii="Verdana" w:hAnsi="Verdana"/>
          <w:sz w:val="20"/>
          <w:szCs w:val="20"/>
          <w:lang w:val="en-US"/>
        </w:rPr>
        <w:t xml:space="preserve"> 71</w:t>
      </w:r>
      <w:r w:rsidR="00FC1FCF" w:rsidRPr="00FE7BA7">
        <w:rPr>
          <w:rFonts w:ascii="Verdana" w:hAnsi="Verdana"/>
          <w:sz w:val="20"/>
          <w:szCs w:val="20"/>
          <w:lang w:val="en-US"/>
        </w:rPr>
        <w:t xml:space="preserve">). </w:t>
      </w:r>
    </w:p>
    <w:p w14:paraId="631269AE" w14:textId="77777777" w:rsidR="00FC1FCF" w:rsidRPr="00FE7BA7" w:rsidRDefault="00FC1FCF" w:rsidP="00FC1FCF">
      <w:pPr>
        <w:pStyle w:val="ListParagraph"/>
        <w:ind w:left="0"/>
        <w:jc w:val="both"/>
        <w:rPr>
          <w:rFonts w:ascii="Verdana" w:hAnsi="Verdana" w:cs="Arial"/>
          <w:sz w:val="20"/>
          <w:szCs w:val="20"/>
          <w:lang w:val="en-US"/>
        </w:rPr>
      </w:pPr>
    </w:p>
    <w:p w14:paraId="631269AF" w14:textId="77777777" w:rsidR="00A30243" w:rsidRPr="00FE7BA7" w:rsidRDefault="002B5CCD" w:rsidP="00E91479">
      <w:pPr>
        <w:pStyle w:val="ListParagraph"/>
        <w:numPr>
          <w:ilvl w:val="0"/>
          <w:numId w:val="2"/>
        </w:numPr>
        <w:ind w:left="0" w:hanging="11"/>
        <w:jc w:val="both"/>
        <w:rPr>
          <w:rFonts w:ascii="Verdana" w:hAnsi="Verdana" w:cs="Arial"/>
          <w:sz w:val="20"/>
          <w:szCs w:val="20"/>
          <w:lang w:val="en-US"/>
        </w:rPr>
      </w:pPr>
      <w:r w:rsidRPr="00FE7BA7">
        <w:rPr>
          <w:rFonts w:ascii="Verdana" w:hAnsi="Verdana"/>
          <w:sz w:val="20"/>
          <w:szCs w:val="20"/>
          <w:lang w:val="en-US"/>
        </w:rPr>
        <w:t>The Court</w:t>
      </w:r>
      <w:r w:rsidR="00A30243" w:rsidRPr="00FE7BA7">
        <w:rPr>
          <w:rFonts w:ascii="Verdana" w:hAnsi="Verdana"/>
          <w:sz w:val="20"/>
          <w:szCs w:val="20"/>
          <w:lang w:val="en-US"/>
        </w:rPr>
        <w:t xml:space="preserve"> ha</w:t>
      </w:r>
      <w:r w:rsidR="00E91479" w:rsidRPr="00FE7BA7">
        <w:rPr>
          <w:rFonts w:ascii="Verdana" w:hAnsi="Verdana"/>
          <w:sz w:val="20"/>
          <w:szCs w:val="20"/>
          <w:lang w:val="en-US"/>
        </w:rPr>
        <w:t xml:space="preserve">s established that the </w:t>
      </w:r>
      <w:r w:rsidR="00EF53BB">
        <w:rPr>
          <w:rFonts w:ascii="Verdana" w:hAnsi="Verdana"/>
          <w:sz w:val="20"/>
          <w:szCs w:val="20"/>
          <w:lang w:val="en-US"/>
        </w:rPr>
        <w:t>relationship with</w:t>
      </w:r>
      <w:r w:rsidR="00E91479" w:rsidRPr="00FE7BA7">
        <w:rPr>
          <w:rFonts w:ascii="Verdana" w:hAnsi="Verdana"/>
          <w:sz w:val="20"/>
          <w:szCs w:val="20"/>
          <w:lang w:val="en-US"/>
        </w:rPr>
        <w:t xml:space="preserve"> the </w:t>
      </w:r>
      <w:r w:rsidR="00EF53BB">
        <w:rPr>
          <w:rFonts w:ascii="Verdana" w:hAnsi="Verdana"/>
          <w:sz w:val="20"/>
          <w:szCs w:val="20"/>
          <w:lang w:val="en-US"/>
        </w:rPr>
        <w:t>land</w:t>
      </w:r>
      <w:r w:rsidR="00E91479" w:rsidRPr="00FE7BA7">
        <w:rPr>
          <w:rFonts w:ascii="Verdana" w:hAnsi="Verdana"/>
          <w:sz w:val="20"/>
          <w:szCs w:val="20"/>
          <w:lang w:val="en-US"/>
        </w:rPr>
        <w:t xml:space="preserve"> and the natural resources that </w:t>
      </w:r>
      <w:r w:rsidR="00967E6B" w:rsidRPr="00FE7BA7">
        <w:rPr>
          <w:rFonts w:ascii="Verdana" w:hAnsi="Verdana"/>
          <w:sz w:val="20"/>
          <w:szCs w:val="20"/>
          <w:lang w:val="en-US"/>
        </w:rPr>
        <w:t>the indigenous and tribal peoples</w:t>
      </w:r>
      <w:r w:rsidR="00E91479" w:rsidRPr="00FE7BA7">
        <w:rPr>
          <w:rFonts w:ascii="Verdana" w:hAnsi="Verdana"/>
          <w:sz w:val="20"/>
          <w:szCs w:val="20"/>
          <w:lang w:val="en-US"/>
        </w:rPr>
        <w:t xml:space="preserve"> have used traditionally, and which are necessary for their physical and cultural survival, as well as for the development and continuation of their world vision, must be protected under </w:t>
      </w:r>
      <w:r w:rsidRPr="00FE7BA7">
        <w:rPr>
          <w:rFonts w:ascii="Verdana" w:hAnsi="Verdana"/>
          <w:sz w:val="20"/>
          <w:szCs w:val="20"/>
          <w:lang w:val="en-US"/>
        </w:rPr>
        <w:t>Article</w:t>
      </w:r>
      <w:r w:rsidR="00A30243" w:rsidRPr="00FE7BA7">
        <w:rPr>
          <w:rFonts w:ascii="Verdana" w:hAnsi="Verdana"/>
          <w:sz w:val="20"/>
          <w:szCs w:val="20"/>
          <w:lang w:val="en-US"/>
        </w:rPr>
        <w:t xml:space="preserve"> 21</w:t>
      </w:r>
      <w:r w:rsidRPr="00FE7BA7">
        <w:rPr>
          <w:rFonts w:ascii="Verdana" w:hAnsi="Verdana"/>
          <w:sz w:val="20"/>
          <w:szCs w:val="20"/>
          <w:lang w:val="en-US"/>
        </w:rPr>
        <w:t xml:space="preserve"> of the Convention</w:t>
      </w:r>
      <w:r w:rsidR="00296523" w:rsidRPr="00FE7BA7">
        <w:rPr>
          <w:rFonts w:ascii="Verdana" w:hAnsi="Verdana"/>
          <w:sz w:val="20"/>
          <w:szCs w:val="20"/>
          <w:lang w:val="en-US"/>
        </w:rPr>
        <w:t xml:space="preserve">. </w:t>
      </w:r>
      <w:r w:rsidR="00E91479" w:rsidRPr="00FE7BA7">
        <w:rPr>
          <w:rFonts w:ascii="Verdana" w:hAnsi="Verdana"/>
          <w:sz w:val="20"/>
          <w:szCs w:val="20"/>
          <w:lang w:val="en-US"/>
        </w:rPr>
        <w:t xml:space="preserve">The purpose of this protection is to ensure that </w:t>
      </w:r>
      <w:r w:rsidR="00967E6B" w:rsidRPr="00FE7BA7">
        <w:rPr>
          <w:rFonts w:ascii="Verdana" w:hAnsi="Verdana"/>
          <w:sz w:val="20"/>
          <w:szCs w:val="20"/>
          <w:lang w:val="en-US"/>
        </w:rPr>
        <w:t>the indigenous and tribal peoples</w:t>
      </w:r>
      <w:r w:rsidR="00E91479" w:rsidRPr="00FE7BA7">
        <w:rPr>
          <w:rFonts w:ascii="Verdana" w:hAnsi="Verdana"/>
          <w:sz w:val="20"/>
          <w:szCs w:val="20"/>
          <w:lang w:val="en-US"/>
        </w:rPr>
        <w:t xml:space="preserve"> may continue </w:t>
      </w:r>
      <w:r w:rsidR="00EF53BB">
        <w:rPr>
          <w:rFonts w:ascii="Verdana" w:hAnsi="Verdana"/>
          <w:sz w:val="20"/>
          <w:szCs w:val="20"/>
          <w:lang w:val="en-US"/>
        </w:rPr>
        <w:t>to enjoy</w:t>
      </w:r>
      <w:r w:rsidR="00E91479" w:rsidRPr="00FE7BA7">
        <w:rPr>
          <w:rFonts w:ascii="Verdana" w:hAnsi="Verdana"/>
          <w:sz w:val="20"/>
          <w:szCs w:val="20"/>
          <w:lang w:val="en-US"/>
        </w:rPr>
        <w:t xml:space="preserve"> their traditional way of life and that their cultural identity, social structure, economic system, customs, beliefs and distinctive traditions are respected, guaranteed and protected by the States.</w:t>
      </w:r>
      <w:r w:rsidR="00A30243" w:rsidRPr="00FE7BA7">
        <w:rPr>
          <w:rStyle w:val="FootnoteReference"/>
          <w:szCs w:val="20"/>
          <w:lang w:val="en-US"/>
        </w:rPr>
        <w:footnoteReference w:id="210"/>
      </w:r>
      <w:r w:rsidR="00E91479" w:rsidRPr="00FE7BA7">
        <w:rPr>
          <w:rFonts w:ascii="Verdana" w:hAnsi="Verdana"/>
          <w:sz w:val="20"/>
          <w:szCs w:val="20"/>
          <w:lang w:val="en-US"/>
        </w:rPr>
        <w:t xml:space="preserve"> Hence, the indigenous peoples are entitled to the natural resources that they have traditionally used within their territory because, without them, their economic, social and cultural </w:t>
      </w:r>
      <w:proofErr w:type="gramStart"/>
      <w:r w:rsidR="00E91479" w:rsidRPr="00FE7BA7">
        <w:rPr>
          <w:rFonts w:ascii="Verdana" w:hAnsi="Verdana"/>
          <w:sz w:val="20"/>
          <w:szCs w:val="20"/>
          <w:lang w:val="en-US"/>
        </w:rPr>
        <w:t>survival are</w:t>
      </w:r>
      <w:proofErr w:type="gramEnd"/>
      <w:r w:rsidR="00E91479" w:rsidRPr="00FE7BA7">
        <w:rPr>
          <w:rFonts w:ascii="Verdana" w:hAnsi="Verdana"/>
          <w:sz w:val="20"/>
          <w:szCs w:val="20"/>
          <w:lang w:val="en-US"/>
        </w:rPr>
        <w:t xml:space="preserve"> at risk.</w:t>
      </w:r>
      <w:r w:rsidR="007A0FA6" w:rsidRPr="00FE7BA7">
        <w:rPr>
          <w:rStyle w:val="FootnoteReference"/>
          <w:rFonts w:eastAsiaTheme="minorHAnsi"/>
          <w:szCs w:val="20"/>
          <w:lang w:val="en-US"/>
        </w:rPr>
        <w:footnoteReference w:id="211"/>
      </w:r>
    </w:p>
    <w:p w14:paraId="631269B0" w14:textId="77777777" w:rsidR="00FC1FCF" w:rsidRPr="00FE7BA7" w:rsidRDefault="00FC1FCF" w:rsidP="00FC1FCF">
      <w:pPr>
        <w:jc w:val="both"/>
        <w:rPr>
          <w:rFonts w:ascii="Verdana" w:hAnsi="Verdana" w:cs="Arial"/>
          <w:sz w:val="20"/>
          <w:szCs w:val="20"/>
          <w:lang w:val="en-US"/>
        </w:rPr>
      </w:pPr>
    </w:p>
    <w:p w14:paraId="631269B1" w14:textId="77777777" w:rsidR="00FC1FCF" w:rsidRPr="00FE7BA7" w:rsidRDefault="005A5257" w:rsidP="005A5257">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In addition, the Court has examined, in light of its c</w:t>
      </w:r>
      <w:r w:rsidR="00EF53BB">
        <w:rPr>
          <w:rFonts w:ascii="Verdana" w:hAnsi="Verdana" w:cs="Arial"/>
          <w:sz w:val="20"/>
          <w:szCs w:val="20"/>
          <w:lang w:val="en-US"/>
        </w:rPr>
        <w:t xml:space="preserve">ase law, the right to claim </w:t>
      </w:r>
      <w:r w:rsidRPr="00FE7BA7">
        <w:rPr>
          <w:rFonts w:ascii="Verdana" w:hAnsi="Verdana" w:cs="Arial"/>
          <w:sz w:val="20"/>
          <w:szCs w:val="20"/>
          <w:lang w:val="en-US"/>
        </w:rPr>
        <w:t>collective lands that are in the hands of private individuals or subject to State interests. In this regard, it has indicated that the State must assess whether the restrictions in force in the traditional territory comply with the requirements of l</w:t>
      </w:r>
      <w:r w:rsidR="00EF53BB">
        <w:rPr>
          <w:rFonts w:ascii="Verdana" w:hAnsi="Verdana" w:cs="Arial"/>
          <w:sz w:val="20"/>
          <w:szCs w:val="20"/>
          <w:lang w:val="en-US"/>
        </w:rPr>
        <w:t>egality</w:t>
      </w:r>
      <w:r w:rsidRPr="00FE7BA7">
        <w:rPr>
          <w:rFonts w:ascii="Verdana" w:hAnsi="Verdana" w:cs="Arial"/>
          <w:sz w:val="20"/>
          <w:szCs w:val="20"/>
          <w:lang w:val="en-US"/>
        </w:rPr>
        <w:t>, necessity, proportionality and due purpose (</w:t>
      </w:r>
      <w:r w:rsidRPr="00FE7BA7">
        <w:rPr>
          <w:rFonts w:ascii="Verdana" w:hAnsi="Verdana" w:cs="Arial"/>
          <w:i/>
          <w:sz w:val="20"/>
          <w:szCs w:val="20"/>
          <w:lang w:val="en-US"/>
        </w:rPr>
        <w:t xml:space="preserve">supra, </w:t>
      </w:r>
      <w:r w:rsidRPr="00FE7BA7">
        <w:rPr>
          <w:rFonts w:ascii="Verdana" w:hAnsi="Verdana" w:cs="Arial"/>
          <w:sz w:val="20"/>
          <w:szCs w:val="20"/>
          <w:lang w:val="en-US"/>
        </w:rPr>
        <w:t xml:space="preserve">para. 155). Thus, for example, in the case of the </w:t>
      </w:r>
      <w:r w:rsidR="00FC1FCF" w:rsidRPr="00FE7BA7">
        <w:rPr>
          <w:rFonts w:ascii="Verdana" w:hAnsi="Verdana" w:cs="Arial"/>
          <w:i/>
          <w:sz w:val="20"/>
          <w:szCs w:val="20"/>
          <w:lang w:val="en-US"/>
        </w:rPr>
        <w:t>Xákmok Kásek</w:t>
      </w:r>
      <w:r w:rsidR="00FC1FCF" w:rsidRPr="00FE7BA7">
        <w:rPr>
          <w:rFonts w:ascii="Verdana" w:hAnsi="Verdana" w:cs="Arial"/>
          <w:sz w:val="20"/>
          <w:szCs w:val="20"/>
          <w:lang w:val="en-US"/>
        </w:rPr>
        <w:t xml:space="preserve">, </w:t>
      </w:r>
      <w:r w:rsidRPr="00FE7BA7">
        <w:rPr>
          <w:rFonts w:ascii="Verdana" w:hAnsi="Verdana" w:cs="Arial"/>
          <w:sz w:val="20"/>
          <w:szCs w:val="20"/>
          <w:lang w:val="en-US"/>
        </w:rPr>
        <w:t>the</w:t>
      </w:r>
      <w:r w:rsidR="00AB2117" w:rsidRPr="00FE7BA7">
        <w:rPr>
          <w:rFonts w:ascii="Verdana" w:hAnsi="Verdana" w:cs="Arial"/>
          <w:sz w:val="20"/>
          <w:szCs w:val="20"/>
          <w:lang w:val="en-US"/>
        </w:rPr>
        <w:t xml:space="preserve"> Court</w:t>
      </w:r>
      <w:r w:rsidR="00FC1FCF" w:rsidRPr="00FE7BA7">
        <w:rPr>
          <w:rFonts w:ascii="Verdana" w:hAnsi="Verdana" w:cs="Arial"/>
          <w:sz w:val="20"/>
          <w:szCs w:val="20"/>
          <w:lang w:val="en-US"/>
        </w:rPr>
        <w:t xml:space="preserve"> </w:t>
      </w:r>
      <w:r w:rsidRPr="00FE7BA7">
        <w:rPr>
          <w:rFonts w:ascii="Verdana" w:hAnsi="Verdana" w:cs="Arial"/>
          <w:sz w:val="20"/>
          <w:szCs w:val="20"/>
          <w:lang w:val="en-US"/>
        </w:rPr>
        <w:t>established that:</w:t>
      </w:r>
      <w:r w:rsidR="00FC1FCF" w:rsidRPr="00FE7BA7">
        <w:rPr>
          <w:rFonts w:ascii="Verdana" w:hAnsi="Verdana" w:cs="Arial"/>
          <w:sz w:val="20"/>
          <w:szCs w:val="20"/>
          <w:lang w:val="en-US"/>
        </w:rPr>
        <w:t xml:space="preserve"> “[…] </w:t>
      </w:r>
      <w:r w:rsidR="002B5CCD" w:rsidRPr="00FE7BA7">
        <w:rPr>
          <w:rFonts w:ascii="Verdana" w:hAnsi="Verdana" w:cs="Arial"/>
          <w:sz w:val="20"/>
          <w:szCs w:val="20"/>
          <w:lang w:val="en-US"/>
        </w:rPr>
        <w:t>the State</w:t>
      </w:r>
      <w:r w:rsidR="00FC1FCF" w:rsidRPr="00FE7BA7">
        <w:rPr>
          <w:rFonts w:ascii="Verdana" w:hAnsi="Verdana" w:cs="Arial"/>
          <w:sz w:val="20"/>
          <w:szCs w:val="20"/>
          <w:lang w:val="en-US"/>
        </w:rPr>
        <w:t xml:space="preserve"> </w:t>
      </w:r>
      <w:r w:rsidRPr="00FE7BA7">
        <w:rPr>
          <w:rFonts w:ascii="Verdana" w:hAnsi="Verdana" w:cs="Arial"/>
          <w:sz w:val="20"/>
          <w:szCs w:val="20"/>
          <w:lang w:val="en-US"/>
        </w:rPr>
        <w:t xml:space="preserve">must adopt the necessary measures to ensure that [its domestic law concerning a protected </w:t>
      </w:r>
      <w:r w:rsidR="00FE7BA7" w:rsidRPr="00FE7BA7">
        <w:rPr>
          <w:rFonts w:ascii="Verdana" w:hAnsi="Verdana" w:cs="Arial"/>
          <w:sz w:val="20"/>
          <w:szCs w:val="20"/>
          <w:lang w:val="en-US"/>
        </w:rPr>
        <w:t>area</w:t>
      </w:r>
      <w:r w:rsidRPr="00FE7BA7">
        <w:rPr>
          <w:rFonts w:ascii="Verdana" w:hAnsi="Verdana" w:cs="Arial"/>
          <w:sz w:val="20"/>
          <w:szCs w:val="20"/>
          <w:lang w:val="en-US"/>
        </w:rPr>
        <w:t>] does not represent an obstacle to the return of the traditional lands to the members of the Community.</w:t>
      </w:r>
      <w:r w:rsidR="00FC1FCF" w:rsidRPr="00FE7BA7">
        <w:rPr>
          <w:rFonts w:ascii="Verdana" w:hAnsi="Verdana" w:cs="Arial"/>
          <w:sz w:val="20"/>
          <w:szCs w:val="20"/>
          <w:lang w:val="en-US"/>
        </w:rPr>
        <w:t>”</w:t>
      </w:r>
      <w:r w:rsidR="00FC1FCF" w:rsidRPr="00FE7BA7">
        <w:rPr>
          <w:rStyle w:val="FootnoteReference"/>
          <w:szCs w:val="20"/>
          <w:lang w:val="en-US"/>
        </w:rPr>
        <w:footnoteReference w:id="212"/>
      </w:r>
      <w:r w:rsidRPr="00FE7BA7">
        <w:rPr>
          <w:rFonts w:ascii="Verdana" w:hAnsi="Verdana" w:cs="Arial"/>
          <w:sz w:val="20"/>
          <w:szCs w:val="20"/>
          <w:lang w:val="en-US"/>
        </w:rPr>
        <w:t xml:space="preserve"> It should be noted that, in that case, the protected area was </w:t>
      </w:r>
      <w:r w:rsidR="00EF53BB">
        <w:rPr>
          <w:rFonts w:ascii="Verdana" w:hAnsi="Verdana" w:cs="Arial"/>
          <w:sz w:val="20"/>
          <w:szCs w:val="20"/>
          <w:lang w:val="en-US"/>
        </w:rPr>
        <w:t>established</w:t>
      </w:r>
      <w:r w:rsidRPr="00FE7BA7">
        <w:rPr>
          <w:rFonts w:ascii="Verdana" w:hAnsi="Verdana" w:cs="Arial"/>
          <w:sz w:val="20"/>
          <w:szCs w:val="20"/>
          <w:lang w:val="en-US"/>
        </w:rPr>
        <w:t xml:space="preserve"> at a time when the Court had jurisdiction.</w:t>
      </w:r>
    </w:p>
    <w:p w14:paraId="631269B2" w14:textId="77777777" w:rsidR="00FC1FCF" w:rsidRPr="00FE7BA7" w:rsidRDefault="00FC1FCF" w:rsidP="00FC1FCF">
      <w:pPr>
        <w:jc w:val="both"/>
        <w:rPr>
          <w:rFonts w:ascii="Verdana" w:hAnsi="Verdana" w:cs="Arial"/>
          <w:sz w:val="20"/>
          <w:szCs w:val="20"/>
          <w:lang w:val="en-US"/>
        </w:rPr>
      </w:pPr>
    </w:p>
    <w:p w14:paraId="631269B3" w14:textId="77777777" w:rsidR="00FC1FCF" w:rsidRPr="00FE7BA7" w:rsidRDefault="00FC1FCF" w:rsidP="005A5257">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lastRenderedPageBreak/>
        <w:t>Re</w:t>
      </w:r>
      <w:r w:rsidR="005A5257" w:rsidRPr="00FE7BA7">
        <w:rPr>
          <w:rFonts w:ascii="Verdana" w:hAnsi="Verdana" w:cs="Arial"/>
          <w:sz w:val="20"/>
          <w:szCs w:val="20"/>
          <w:lang w:val="en-US"/>
        </w:rPr>
        <w:t>garding the alleged violation owing to the persistence of the nature reserves to date, the Court specifies that, owing to its lack of jurisdiction to examine their creation, it is prevented from examining aspects related to the process that led to the techn</w:t>
      </w:r>
      <w:r w:rsidR="00C4545C">
        <w:rPr>
          <w:rFonts w:ascii="Verdana" w:hAnsi="Verdana" w:cs="Arial"/>
          <w:sz w:val="20"/>
          <w:szCs w:val="20"/>
          <w:lang w:val="en-US"/>
        </w:rPr>
        <w:t>ical determination of the dimensions</w:t>
      </w:r>
      <w:r w:rsidR="005A5257" w:rsidRPr="00FE7BA7">
        <w:rPr>
          <w:rFonts w:ascii="Verdana" w:hAnsi="Verdana" w:cs="Arial"/>
          <w:sz w:val="20"/>
          <w:szCs w:val="20"/>
          <w:lang w:val="en-US"/>
        </w:rPr>
        <w:t xml:space="preserve">, limits, and areas established as nature reserves. Furthermore, the violations that have been verified owing to the failure to recognize the property </w:t>
      </w:r>
      <w:r w:rsidR="00635ACD" w:rsidRPr="00FE7BA7">
        <w:rPr>
          <w:rFonts w:ascii="Verdana" w:hAnsi="Verdana" w:cs="Arial"/>
          <w:sz w:val="20"/>
          <w:szCs w:val="20"/>
          <w:lang w:val="en-US"/>
        </w:rPr>
        <w:t xml:space="preserve">of the </w:t>
      </w:r>
      <w:r w:rsidR="004C7D14" w:rsidRPr="00FE7BA7">
        <w:rPr>
          <w:rFonts w:ascii="Verdana" w:hAnsi="Verdana" w:cs="Arial"/>
          <w:sz w:val="20"/>
          <w:szCs w:val="20"/>
          <w:lang w:val="en-US"/>
        </w:rPr>
        <w:t>Kaliña and Lokono peoples</w:t>
      </w:r>
      <w:r w:rsidRPr="00FE7BA7">
        <w:rPr>
          <w:rFonts w:ascii="Verdana" w:hAnsi="Verdana" w:cs="Arial"/>
          <w:sz w:val="20"/>
          <w:szCs w:val="20"/>
          <w:lang w:val="en-US"/>
        </w:rPr>
        <w:t>, as</w:t>
      </w:r>
      <w:r w:rsidR="005A5257" w:rsidRPr="00FE7BA7">
        <w:rPr>
          <w:rFonts w:ascii="Verdana" w:hAnsi="Verdana" w:cs="Arial"/>
          <w:sz w:val="20"/>
          <w:szCs w:val="20"/>
          <w:lang w:val="en-US"/>
        </w:rPr>
        <w:t xml:space="preserve"> well as the failure to delimit their territory, do not allow this Court to know the precise </w:t>
      </w:r>
      <w:r w:rsidR="00C4545C">
        <w:rPr>
          <w:rFonts w:ascii="Verdana" w:hAnsi="Verdana" w:cs="Arial"/>
          <w:sz w:val="20"/>
          <w:szCs w:val="20"/>
          <w:lang w:val="en-US"/>
        </w:rPr>
        <w:t>dimension</w:t>
      </w:r>
      <w:r w:rsidR="005A5257" w:rsidRPr="00FE7BA7">
        <w:rPr>
          <w:rFonts w:ascii="Verdana" w:hAnsi="Verdana" w:cs="Arial"/>
          <w:sz w:val="20"/>
          <w:szCs w:val="20"/>
          <w:lang w:val="en-US"/>
        </w:rPr>
        <w:t xml:space="preserve"> of their traditional territory that is within these reserves</w:t>
      </w:r>
      <w:r w:rsidR="00A30243" w:rsidRPr="00FE7BA7">
        <w:rPr>
          <w:rFonts w:ascii="Verdana" w:hAnsi="Verdana" w:cs="Arial"/>
          <w:sz w:val="20"/>
          <w:szCs w:val="20"/>
          <w:lang w:val="en-US"/>
        </w:rPr>
        <w:t xml:space="preserve">, </w:t>
      </w:r>
      <w:r w:rsidR="00C4545C">
        <w:rPr>
          <w:rFonts w:ascii="Verdana" w:hAnsi="Verdana" w:cs="Arial"/>
          <w:sz w:val="20"/>
          <w:szCs w:val="20"/>
          <w:lang w:val="en-US"/>
        </w:rPr>
        <w:t xml:space="preserve">and </w:t>
      </w:r>
      <w:r w:rsidR="005A5257" w:rsidRPr="00FE7BA7">
        <w:rPr>
          <w:rFonts w:ascii="Verdana" w:hAnsi="Verdana" w:cs="Arial"/>
          <w:sz w:val="20"/>
          <w:szCs w:val="20"/>
          <w:lang w:val="en-US"/>
        </w:rPr>
        <w:t xml:space="preserve">which has already resulted in the violation of the right to collective property </w:t>
      </w:r>
      <w:r w:rsidR="008A4ABB" w:rsidRPr="00FE7BA7">
        <w:rPr>
          <w:rFonts w:ascii="Verdana" w:hAnsi="Verdana" w:cs="Arial"/>
          <w:sz w:val="20"/>
          <w:szCs w:val="20"/>
          <w:lang w:val="en-US"/>
        </w:rPr>
        <w:t>(</w:t>
      </w:r>
      <w:r w:rsidR="008A4ABB" w:rsidRPr="00FE7BA7">
        <w:rPr>
          <w:rFonts w:ascii="Verdana" w:hAnsi="Verdana" w:cs="Arial"/>
          <w:i/>
          <w:sz w:val="20"/>
          <w:szCs w:val="20"/>
          <w:lang w:val="en-US"/>
        </w:rPr>
        <w:t>supra</w:t>
      </w:r>
      <w:r w:rsidR="008A4ABB" w:rsidRPr="00FE7BA7">
        <w:rPr>
          <w:rFonts w:ascii="Verdana" w:hAnsi="Verdana" w:cs="Arial"/>
          <w:sz w:val="20"/>
          <w:szCs w:val="20"/>
          <w:lang w:val="en-US"/>
        </w:rPr>
        <w:t xml:space="preserve"> </w:t>
      </w:r>
      <w:r w:rsidR="00810FAD" w:rsidRPr="00FE7BA7">
        <w:rPr>
          <w:rFonts w:ascii="Verdana" w:hAnsi="Verdana" w:cs="Arial"/>
          <w:sz w:val="20"/>
          <w:szCs w:val="20"/>
          <w:lang w:val="en-US"/>
        </w:rPr>
        <w:t>para.</w:t>
      </w:r>
      <w:r w:rsidR="008A4ABB" w:rsidRPr="00FE7BA7">
        <w:rPr>
          <w:rFonts w:ascii="Verdana" w:hAnsi="Verdana" w:cs="Arial"/>
          <w:sz w:val="20"/>
          <w:szCs w:val="20"/>
          <w:lang w:val="en-US"/>
        </w:rPr>
        <w:t xml:space="preserve"> 14</w:t>
      </w:r>
      <w:r w:rsidR="0019351F" w:rsidRPr="00FE7BA7">
        <w:rPr>
          <w:rFonts w:ascii="Verdana" w:hAnsi="Verdana" w:cs="Arial"/>
          <w:sz w:val="20"/>
          <w:szCs w:val="20"/>
          <w:lang w:val="en-US"/>
        </w:rPr>
        <w:t>2</w:t>
      </w:r>
      <w:r w:rsidR="008A4ABB" w:rsidRPr="00FE7BA7">
        <w:rPr>
          <w:rFonts w:ascii="Verdana" w:hAnsi="Verdana" w:cs="Arial"/>
          <w:sz w:val="20"/>
          <w:szCs w:val="20"/>
          <w:lang w:val="en-US"/>
        </w:rPr>
        <w:t>).</w:t>
      </w:r>
      <w:r w:rsidRPr="00FE7BA7">
        <w:rPr>
          <w:rFonts w:ascii="Verdana" w:hAnsi="Verdana" w:cs="Arial"/>
          <w:sz w:val="20"/>
          <w:szCs w:val="20"/>
          <w:lang w:val="en-US"/>
        </w:rPr>
        <w:t xml:space="preserve"> </w:t>
      </w:r>
      <w:r w:rsidR="005A5257" w:rsidRPr="00FE7BA7">
        <w:rPr>
          <w:rFonts w:ascii="Verdana" w:hAnsi="Verdana" w:cs="Arial"/>
          <w:sz w:val="20"/>
          <w:szCs w:val="20"/>
          <w:lang w:val="en-US"/>
        </w:rPr>
        <w:t xml:space="preserve">Consequently, the Court does not have any reliable evidence concerning the total </w:t>
      </w:r>
      <w:r w:rsidR="00C4545C">
        <w:rPr>
          <w:rFonts w:ascii="Verdana" w:hAnsi="Verdana" w:cs="Arial"/>
          <w:sz w:val="20"/>
          <w:szCs w:val="20"/>
          <w:lang w:val="en-US"/>
        </w:rPr>
        <w:t>area</w:t>
      </w:r>
      <w:r w:rsidR="005A5257" w:rsidRPr="00FE7BA7">
        <w:rPr>
          <w:rFonts w:ascii="Verdana" w:hAnsi="Verdana" w:cs="Arial"/>
          <w:sz w:val="20"/>
          <w:szCs w:val="20"/>
          <w:lang w:val="en-US"/>
        </w:rPr>
        <w:t xml:space="preserve"> of the nature reserves claimed, which could correspond t</w:t>
      </w:r>
      <w:r w:rsidR="00C4545C">
        <w:rPr>
          <w:rFonts w:ascii="Verdana" w:hAnsi="Verdana" w:cs="Arial"/>
          <w:sz w:val="20"/>
          <w:szCs w:val="20"/>
          <w:lang w:val="en-US"/>
        </w:rPr>
        <w:t>o the traditional territory</w:t>
      </w:r>
      <w:r w:rsidR="005A5257" w:rsidRPr="00FE7BA7">
        <w:rPr>
          <w:rFonts w:ascii="Verdana" w:hAnsi="Verdana" w:cs="Arial"/>
          <w:sz w:val="20"/>
          <w:szCs w:val="20"/>
          <w:lang w:val="en-US"/>
        </w:rPr>
        <w:t xml:space="preserve"> possessed, occupi</w:t>
      </w:r>
      <w:r w:rsidR="00C4545C">
        <w:rPr>
          <w:rFonts w:ascii="Verdana" w:hAnsi="Verdana" w:cs="Arial"/>
          <w:sz w:val="20"/>
          <w:szCs w:val="20"/>
          <w:lang w:val="en-US"/>
        </w:rPr>
        <w:t>ed and used; in particular by th</w:t>
      </w:r>
      <w:r w:rsidR="005A5257" w:rsidRPr="00FE7BA7">
        <w:rPr>
          <w:rFonts w:ascii="Verdana" w:hAnsi="Verdana" w:cs="Arial"/>
          <w:sz w:val="20"/>
          <w:szCs w:val="20"/>
          <w:lang w:val="en-US"/>
        </w:rPr>
        <w:t>e villages that adjoin the reserves, namely: Christaankondre and</w:t>
      </w:r>
      <w:r w:rsidR="00A30243" w:rsidRPr="00FE7BA7">
        <w:rPr>
          <w:rFonts w:ascii="Verdana" w:hAnsi="Verdana" w:cs="Arial"/>
          <w:sz w:val="20"/>
          <w:szCs w:val="20"/>
          <w:lang w:val="en-US"/>
        </w:rPr>
        <w:t xml:space="preserve"> Langamankondre, </w:t>
      </w:r>
      <w:r w:rsidR="005A5257" w:rsidRPr="00FE7BA7">
        <w:rPr>
          <w:rFonts w:ascii="Verdana" w:hAnsi="Verdana" w:cs="Arial"/>
          <w:sz w:val="20"/>
          <w:szCs w:val="20"/>
          <w:lang w:val="en-US"/>
        </w:rPr>
        <w:t xml:space="preserve">with a population of around 1,000 persons, </w:t>
      </w:r>
      <w:r w:rsidR="002B5CCD" w:rsidRPr="00FE7BA7">
        <w:rPr>
          <w:rFonts w:ascii="Verdana" w:hAnsi="Verdana" w:cs="Arial"/>
          <w:sz w:val="20"/>
          <w:szCs w:val="20"/>
          <w:lang w:val="en-US"/>
        </w:rPr>
        <w:t xml:space="preserve">and </w:t>
      </w:r>
      <w:r w:rsidR="00A30243" w:rsidRPr="00FE7BA7">
        <w:rPr>
          <w:rFonts w:ascii="Verdana" w:hAnsi="Verdana" w:cs="Arial"/>
          <w:sz w:val="20"/>
          <w:szCs w:val="20"/>
          <w:lang w:val="en-US"/>
        </w:rPr>
        <w:t xml:space="preserve">Alfonsdorp </w:t>
      </w:r>
      <w:r w:rsidR="005A5257" w:rsidRPr="00FE7BA7">
        <w:rPr>
          <w:rFonts w:ascii="Verdana" w:hAnsi="Verdana" w:cs="Arial"/>
          <w:sz w:val="20"/>
          <w:szCs w:val="20"/>
          <w:lang w:val="en-US"/>
        </w:rPr>
        <w:t>with around 300 person</w:t>
      </w:r>
      <w:r w:rsidR="00A30243" w:rsidRPr="00FE7BA7">
        <w:rPr>
          <w:rFonts w:ascii="Verdana" w:hAnsi="Verdana" w:cs="Arial"/>
          <w:sz w:val="20"/>
          <w:szCs w:val="20"/>
          <w:lang w:val="en-US"/>
        </w:rPr>
        <w:t xml:space="preserve">s. </w:t>
      </w:r>
    </w:p>
    <w:p w14:paraId="631269B4" w14:textId="77777777" w:rsidR="005A5257" w:rsidRPr="00FE7BA7" w:rsidRDefault="005A5257" w:rsidP="005A5257">
      <w:pPr>
        <w:pStyle w:val="ListParagraph"/>
        <w:ind w:left="0"/>
        <w:jc w:val="both"/>
        <w:rPr>
          <w:rFonts w:ascii="Verdana" w:hAnsi="Verdana" w:cs="Arial"/>
          <w:sz w:val="20"/>
          <w:szCs w:val="20"/>
          <w:lang w:val="en-US"/>
        </w:rPr>
      </w:pPr>
    </w:p>
    <w:p w14:paraId="631269B5" w14:textId="77777777" w:rsidR="00FC1FCF" w:rsidRPr="00FE7BA7" w:rsidRDefault="005A5257" w:rsidP="005A5257">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 xml:space="preserve">However, the Court has verified that, mainly in the </w:t>
      </w:r>
      <w:r w:rsidR="00FC1FCF" w:rsidRPr="00FE7BA7">
        <w:rPr>
          <w:rFonts w:ascii="Verdana" w:hAnsi="Verdana" w:cs="Arial"/>
          <w:sz w:val="20"/>
          <w:szCs w:val="20"/>
          <w:lang w:val="en-US"/>
        </w:rPr>
        <w:t>Galibi</w:t>
      </w:r>
      <w:r w:rsidR="002B5CCD" w:rsidRPr="00FE7BA7">
        <w:rPr>
          <w:rFonts w:ascii="Verdana" w:hAnsi="Verdana" w:cs="Arial"/>
          <w:sz w:val="20"/>
          <w:szCs w:val="20"/>
          <w:lang w:val="en-US"/>
        </w:rPr>
        <w:t xml:space="preserve"> and </w:t>
      </w:r>
      <w:r w:rsidR="00FC1FCF" w:rsidRPr="00FE7BA7">
        <w:rPr>
          <w:rFonts w:ascii="Verdana" w:hAnsi="Verdana" w:cs="Arial"/>
          <w:sz w:val="20"/>
          <w:szCs w:val="20"/>
          <w:lang w:val="en-US"/>
        </w:rPr>
        <w:t>Wane Kreek</w:t>
      </w:r>
      <w:r w:rsidRPr="00FE7BA7">
        <w:rPr>
          <w:rFonts w:ascii="Verdana" w:hAnsi="Verdana" w:cs="Arial"/>
          <w:sz w:val="20"/>
          <w:szCs w:val="20"/>
          <w:lang w:val="en-US"/>
        </w:rPr>
        <w:t xml:space="preserve"> nature reserves, there has been a continuous </w:t>
      </w:r>
      <w:r w:rsidR="00C4545C">
        <w:rPr>
          <w:rFonts w:ascii="Verdana" w:hAnsi="Verdana" w:cs="Arial"/>
          <w:sz w:val="20"/>
          <w:szCs w:val="20"/>
          <w:lang w:val="en-US"/>
        </w:rPr>
        <w:t>relationship</w:t>
      </w:r>
      <w:r w:rsidRPr="00FE7BA7">
        <w:rPr>
          <w:rFonts w:ascii="Verdana" w:hAnsi="Verdana" w:cs="Arial"/>
          <w:sz w:val="20"/>
          <w:szCs w:val="20"/>
          <w:lang w:val="en-US"/>
        </w:rPr>
        <w:t xml:space="preserve"> between </w:t>
      </w:r>
      <w:r w:rsidR="002B5CCD" w:rsidRPr="00FE7BA7">
        <w:rPr>
          <w:rFonts w:ascii="Verdana" w:hAnsi="Verdana" w:cs="Arial"/>
          <w:sz w:val="20"/>
          <w:szCs w:val="20"/>
          <w:lang w:val="en-US"/>
        </w:rPr>
        <w:t xml:space="preserve">the </w:t>
      </w:r>
      <w:r w:rsidR="004C7D14" w:rsidRPr="00FE7BA7">
        <w:rPr>
          <w:rFonts w:ascii="Verdana" w:hAnsi="Verdana" w:cs="Arial"/>
          <w:sz w:val="20"/>
          <w:szCs w:val="20"/>
          <w:lang w:val="en-US"/>
        </w:rPr>
        <w:t>Kaliña and Lokono peoples</w:t>
      </w:r>
      <w:r w:rsidR="00FC1FCF" w:rsidRPr="00FE7BA7">
        <w:rPr>
          <w:rFonts w:ascii="Verdana" w:hAnsi="Verdana" w:cs="Arial"/>
          <w:sz w:val="20"/>
          <w:szCs w:val="20"/>
          <w:lang w:val="en-US"/>
        </w:rPr>
        <w:t xml:space="preserve"> </w:t>
      </w:r>
      <w:r w:rsidRPr="00FE7BA7">
        <w:rPr>
          <w:rFonts w:ascii="Verdana" w:hAnsi="Verdana" w:cs="Arial"/>
          <w:sz w:val="20"/>
          <w:szCs w:val="20"/>
          <w:lang w:val="en-US"/>
        </w:rPr>
        <w:t xml:space="preserve">and certain </w:t>
      </w:r>
      <w:r w:rsidR="00FE7BA7" w:rsidRPr="00FE7BA7">
        <w:rPr>
          <w:rFonts w:ascii="Verdana" w:hAnsi="Verdana" w:cs="Arial"/>
          <w:sz w:val="20"/>
          <w:szCs w:val="20"/>
          <w:lang w:val="en-US"/>
        </w:rPr>
        <w:t>areas</w:t>
      </w:r>
      <w:r w:rsidRPr="00FE7BA7">
        <w:rPr>
          <w:rFonts w:ascii="Verdana" w:hAnsi="Verdana" w:cs="Arial"/>
          <w:sz w:val="20"/>
          <w:szCs w:val="20"/>
          <w:lang w:val="en-US"/>
        </w:rPr>
        <w:t xml:space="preserve"> that they use for their way of life; for example, hunting, fishing, gathering traditional medicinal plants, cultural centers, and sacred sites (</w:t>
      </w:r>
      <w:r w:rsidRPr="00FE7BA7">
        <w:rPr>
          <w:rFonts w:ascii="Verdana" w:hAnsi="Verdana" w:cs="Arial"/>
          <w:i/>
          <w:sz w:val="20"/>
          <w:szCs w:val="20"/>
          <w:lang w:val="en-US"/>
        </w:rPr>
        <w:t>supra</w:t>
      </w:r>
      <w:r w:rsidRPr="00FE7BA7">
        <w:rPr>
          <w:rFonts w:ascii="Verdana" w:hAnsi="Verdana" w:cs="Arial"/>
          <w:sz w:val="20"/>
          <w:szCs w:val="20"/>
          <w:lang w:val="en-US"/>
        </w:rPr>
        <w:t xml:space="preserve"> paras. 37 and 84). In particular, at least six sacred sites were indicated within </w:t>
      </w:r>
      <w:r w:rsidR="00511E56" w:rsidRPr="00FE7BA7">
        <w:rPr>
          <w:rFonts w:ascii="Verdana" w:hAnsi="Verdana" w:cs="Arial"/>
          <w:sz w:val="20"/>
          <w:szCs w:val="20"/>
          <w:lang w:val="en-US"/>
        </w:rPr>
        <w:t xml:space="preserve">the </w:t>
      </w:r>
      <w:r w:rsidR="00BE4D11" w:rsidRPr="00FE7BA7">
        <w:rPr>
          <w:rFonts w:ascii="Verdana" w:hAnsi="Verdana" w:cs="Arial"/>
          <w:sz w:val="20"/>
          <w:szCs w:val="20"/>
          <w:lang w:val="en-US"/>
        </w:rPr>
        <w:t>Galibi Nature Reserve</w:t>
      </w:r>
      <w:r w:rsidR="002B5CCD" w:rsidRPr="00FE7BA7">
        <w:rPr>
          <w:rFonts w:ascii="Verdana" w:hAnsi="Verdana" w:cs="Arial"/>
          <w:sz w:val="20"/>
          <w:szCs w:val="20"/>
          <w:lang w:val="en-US"/>
        </w:rPr>
        <w:t xml:space="preserve"> and </w:t>
      </w:r>
      <w:r w:rsidRPr="00FE7BA7">
        <w:rPr>
          <w:rFonts w:ascii="Verdana" w:hAnsi="Verdana" w:cs="Arial"/>
          <w:sz w:val="20"/>
          <w:szCs w:val="20"/>
          <w:lang w:val="en-US"/>
        </w:rPr>
        <w:t>three within</w:t>
      </w:r>
      <w:r w:rsidR="00511E56" w:rsidRPr="00FE7BA7">
        <w:rPr>
          <w:rFonts w:ascii="Verdana" w:hAnsi="Verdana" w:cs="Arial"/>
          <w:sz w:val="20"/>
          <w:szCs w:val="20"/>
          <w:lang w:val="en-US"/>
        </w:rPr>
        <w:t xml:space="preserve"> the Wane Kreek</w:t>
      </w:r>
      <w:r w:rsidR="00BE4D11" w:rsidRPr="00FE7BA7">
        <w:rPr>
          <w:rFonts w:ascii="Verdana" w:hAnsi="Verdana" w:cs="Arial"/>
          <w:sz w:val="20"/>
          <w:szCs w:val="20"/>
          <w:lang w:val="en-US"/>
        </w:rPr>
        <w:t xml:space="preserve"> Nature Reserve</w:t>
      </w:r>
      <w:r w:rsidR="00A30243" w:rsidRPr="00FE7BA7">
        <w:rPr>
          <w:rFonts w:ascii="Verdana" w:hAnsi="Verdana" w:cs="Arial"/>
          <w:sz w:val="20"/>
          <w:szCs w:val="20"/>
          <w:lang w:val="en-US"/>
        </w:rPr>
        <w:t xml:space="preserve"> (</w:t>
      </w:r>
      <w:r w:rsidR="00366D91" w:rsidRPr="00FE7BA7">
        <w:rPr>
          <w:rFonts w:ascii="Verdana" w:hAnsi="Verdana" w:cs="Arial"/>
          <w:i/>
          <w:sz w:val="20"/>
          <w:szCs w:val="20"/>
          <w:lang w:val="en-US"/>
        </w:rPr>
        <w:t>supra</w:t>
      </w:r>
      <w:r w:rsidR="00A30243" w:rsidRPr="00FE7BA7">
        <w:rPr>
          <w:rFonts w:ascii="Verdana" w:hAnsi="Verdana" w:cs="Arial"/>
          <w:sz w:val="20"/>
          <w:szCs w:val="20"/>
          <w:lang w:val="en-US"/>
        </w:rPr>
        <w:t xml:space="preserve"> </w:t>
      </w:r>
      <w:r w:rsidR="00810FAD" w:rsidRPr="00FE7BA7">
        <w:rPr>
          <w:rFonts w:ascii="Verdana" w:hAnsi="Verdana" w:cs="Arial"/>
          <w:sz w:val="20"/>
          <w:szCs w:val="20"/>
          <w:lang w:val="en-US"/>
        </w:rPr>
        <w:t>para.</w:t>
      </w:r>
      <w:r w:rsidR="00A30243" w:rsidRPr="00FE7BA7">
        <w:rPr>
          <w:rFonts w:ascii="Verdana" w:hAnsi="Verdana" w:cs="Arial"/>
          <w:sz w:val="20"/>
          <w:szCs w:val="20"/>
          <w:lang w:val="en-US"/>
        </w:rPr>
        <w:t xml:space="preserve"> 37). </w:t>
      </w:r>
      <w:r w:rsidR="002B5CCD"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Pr="00FE7BA7">
        <w:rPr>
          <w:rFonts w:ascii="Verdana" w:hAnsi="Verdana" w:cs="Arial"/>
          <w:sz w:val="20"/>
          <w:szCs w:val="20"/>
          <w:lang w:val="en-US"/>
        </w:rPr>
        <w:t xml:space="preserve">has no information related to the traditional use and </w:t>
      </w:r>
      <w:r w:rsidR="00C4545C">
        <w:rPr>
          <w:rFonts w:ascii="Verdana" w:hAnsi="Verdana" w:cs="Arial"/>
          <w:sz w:val="20"/>
          <w:szCs w:val="20"/>
          <w:lang w:val="en-US"/>
        </w:rPr>
        <w:t xml:space="preserve">relationship </w:t>
      </w:r>
      <w:r w:rsidRPr="00FE7BA7">
        <w:rPr>
          <w:rFonts w:ascii="Verdana" w:hAnsi="Verdana" w:cs="Arial"/>
          <w:sz w:val="20"/>
          <w:szCs w:val="20"/>
          <w:lang w:val="en-US"/>
        </w:rPr>
        <w:t xml:space="preserve">with the Wia </w:t>
      </w:r>
      <w:proofErr w:type="gramStart"/>
      <w:r w:rsidRPr="00FE7BA7">
        <w:rPr>
          <w:rFonts w:ascii="Verdana" w:hAnsi="Verdana" w:cs="Arial"/>
          <w:sz w:val="20"/>
          <w:szCs w:val="20"/>
          <w:lang w:val="en-US"/>
        </w:rPr>
        <w:t>Wia</w:t>
      </w:r>
      <w:proofErr w:type="gramEnd"/>
      <w:r w:rsidRPr="00FE7BA7">
        <w:rPr>
          <w:rFonts w:ascii="Verdana" w:hAnsi="Verdana" w:cs="Arial"/>
          <w:sz w:val="20"/>
          <w:szCs w:val="20"/>
          <w:lang w:val="en-US"/>
        </w:rPr>
        <w:t xml:space="preserve"> Nature Reserve;</w:t>
      </w:r>
      <w:r w:rsidR="0086680E">
        <w:rPr>
          <w:rFonts w:ascii="Verdana" w:hAnsi="Verdana" w:cs="Arial"/>
          <w:sz w:val="20"/>
          <w:szCs w:val="20"/>
          <w:lang w:val="en-US"/>
        </w:rPr>
        <w:t xml:space="preserve"> hence, it will not rule in that</w:t>
      </w:r>
      <w:r w:rsidRPr="00FE7BA7">
        <w:rPr>
          <w:rFonts w:ascii="Verdana" w:hAnsi="Verdana" w:cs="Arial"/>
          <w:sz w:val="20"/>
          <w:szCs w:val="20"/>
          <w:lang w:val="en-US"/>
        </w:rPr>
        <w:t xml:space="preserve"> regard.</w:t>
      </w:r>
    </w:p>
    <w:p w14:paraId="631269B6" w14:textId="77777777" w:rsidR="00FC1FCF" w:rsidRPr="00FE7BA7" w:rsidRDefault="00FC1FCF" w:rsidP="00FC1FCF">
      <w:pPr>
        <w:jc w:val="both"/>
        <w:rPr>
          <w:rFonts w:ascii="Verdana" w:hAnsi="Verdana" w:cs="Arial"/>
          <w:sz w:val="20"/>
          <w:szCs w:val="20"/>
          <w:lang w:val="en-US"/>
        </w:rPr>
      </w:pPr>
    </w:p>
    <w:p w14:paraId="631269B8" w14:textId="7929B9A9" w:rsidR="00FC1FCF" w:rsidRDefault="00782F4A" w:rsidP="00782F4A">
      <w:pPr>
        <w:pStyle w:val="ListParagraph"/>
        <w:numPr>
          <w:ilvl w:val="0"/>
          <w:numId w:val="2"/>
        </w:numPr>
        <w:ind w:left="0" w:hanging="11"/>
        <w:jc w:val="both"/>
        <w:rPr>
          <w:rFonts w:ascii="Verdana" w:hAnsi="Verdana" w:cs="Arial"/>
          <w:sz w:val="20"/>
          <w:szCs w:val="20"/>
          <w:lang w:val="en-US"/>
        </w:rPr>
      </w:pPr>
      <w:r w:rsidRPr="00782F4A">
        <w:rPr>
          <w:rFonts w:ascii="Verdana" w:hAnsi="Verdana" w:cs="Arial"/>
          <w:sz w:val="20"/>
          <w:szCs w:val="20"/>
          <w:lang w:val="en-US"/>
        </w:rPr>
        <w:t>Based on the above, in light of the Court’s case law, the Kaliña and Lokono peoples have the right to claim, under domestic law, the possible restitution of the parts of their traditional territory within the nature reserves that adjoin the territory that they currently possess and, in this regard, the State must assess the rights involved (</w:t>
      </w:r>
      <w:r w:rsidRPr="00782F4A">
        <w:rPr>
          <w:rFonts w:ascii="Verdana" w:hAnsi="Verdana" w:cs="Arial"/>
          <w:i/>
          <w:sz w:val="20"/>
          <w:szCs w:val="20"/>
          <w:lang w:val="en-US"/>
        </w:rPr>
        <w:t>supra</w:t>
      </w:r>
      <w:r w:rsidRPr="00782F4A">
        <w:rPr>
          <w:rFonts w:ascii="Verdana" w:hAnsi="Verdana" w:cs="Arial"/>
          <w:sz w:val="20"/>
          <w:szCs w:val="20"/>
          <w:lang w:val="en-US"/>
        </w:rPr>
        <w:t xml:space="preserve"> paras. 155 and 165). In this case, the State must weigh the collective rights of the Kaliña and Lokono peoples against the protection of the environment as part of the public interest. Consequently, it must determine this when implementing the delimitation, demarcation and titling of the corresponding traditional territories (</w:t>
      </w:r>
      <w:r w:rsidRPr="00782F4A">
        <w:rPr>
          <w:rFonts w:ascii="Verdana" w:hAnsi="Verdana" w:cs="Arial"/>
          <w:i/>
          <w:sz w:val="20"/>
          <w:szCs w:val="20"/>
          <w:lang w:val="en-US"/>
        </w:rPr>
        <w:t>supra</w:t>
      </w:r>
      <w:r w:rsidRPr="00782F4A">
        <w:rPr>
          <w:rFonts w:ascii="Verdana" w:hAnsi="Verdana" w:cs="Arial"/>
          <w:sz w:val="20"/>
          <w:szCs w:val="20"/>
          <w:lang w:val="en-US"/>
        </w:rPr>
        <w:t xml:space="preserve"> para. 139).</w:t>
      </w:r>
    </w:p>
    <w:p w14:paraId="51FF5517" w14:textId="77777777" w:rsidR="00782F4A" w:rsidRPr="00FE7BA7" w:rsidRDefault="00782F4A" w:rsidP="00782F4A">
      <w:pPr>
        <w:pStyle w:val="ListParagraph"/>
        <w:ind w:left="0"/>
        <w:jc w:val="both"/>
        <w:rPr>
          <w:rFonts w:ascii="Verdana" w:hAnsi="Verdana" w:cs="Arial"/>
          <w:sz w:val="20"/>
          <w:szCs w:val="20"/>
          <w:lang w:val="en-US"/>
        </w:rPr>
      </w:pPr>
    </w:p>
    <w:p w14:paraId="631269B9" w14:textId="77777777" w:rsidR="00FC1FCF" w:rsidRPr="00FE7BA7" w:rsidRDefault="006B6DDC" w:rsidP="00B17B8E">
      <w:pPr>
        <w:pStyle w:val="Heading4"/>
        <w:spacing w:before="0"/>
        <w:ind w:left="1440"/>
        <w:jc w:val="both"/>
        <w:rPr>
          <w:rFonts w:ascii="Verdana" w:hAnsi="Verdana"/>
          <w:color w:val="auto"/>
          <w:sz w:val="20"/>
          <w:szCs w:val="20"/>
          <w:lang w:val="en-US"/>
        </w:rPr>
      </w:pPr>
      <w:bookmarkStart w:id="48" w:name="_Toc441673213"/>
      <w:r w:rsidRPr="00FE7BA7">
        <w:rPr>
          <w:rFonts w:ascii="Verdana" w:hAnsi="Verdana"/>
          <w:color w:val="auto"/>
          <w:sz w:val="20"/>
          <w:szCs w:val="20"/>
          <w:lang w:val="en-US"/>
        </w:rPr>
        <w:t>B.</w:t>
      </w:r>
      <w:r w:rsidR="00830B9E" w:rsidRPr="00FE7BA7">
        <w:rPr>
          <w:rFonts w:ascii="Verdana" w:hAnsi="Verdana"/>
          <w:color w:val="auto"/>
          <w:sz w:val="20"/>
          <w:szCs w:val="20"/>
          <w:lang w:val="en-US"/>
        </w:rPr>
        <w:t>3</w:t>
      </w:r>
      <w:r w:rsidRPr="00FE7BA7">
        <w:rPr>
          <w:rFonts w:ascii="Verdana" w:hAnsi="Verdana"/>
          <w:color w:val="auto"/>
          <w:sz w:val="20"/>
          <w:szCs w:val="20"/>
          <w:lang w:val="en-US"/>
        </w:rPr>
        <w:t>.</w:t>
      </w:r>
      <w:r w:rsidR="00C51AA0" w:rsidRPr="00FE7BA7">
        <w:rPr>
          <w:rFonts w:ascii="Verdana" w:hAnsi="Verdana"/>
          <w:color w:val="auto"/>
          <w:sz w:val="20"/>
          <w:szCs w:val="20"/>
          <w:lang w:val="en-US"/>
        </w:rPr>
        <w:t>2</w:t>
      </w:r>
      <w:r w:rsidR="00FC1FCF" w:rsidRPr="00FE7BA7">
        <w:rPr>
          <w:rFonts w:ascii="Verdana" w:hAnsi="Verdana"/>
          <w:color w:val="auto"/>
          <w:sz w:val="20"/>
          <w:szCs w:val="20"/>
          <w:lang w:val="en-US"/>
        </w:rPr>
        <w:t xml:space="preserve"> </w:t>
      </w:r>
      <w:r w:rsidR="00CA291A" w:rsidRPr="00FE7BA7">
        <w:rPr>
          <w:rFonts w:ascii="Verdana" w:hAnsi="Verdana"/>
          <w:color w:val="auto"/>
          <w:sz w:val="20"/>
          <w:szCs w:val="20"/>
          <w:lang w:val="en-US"/>
        </w:rPr>
        <w:t>Alleged restrictions for the indigenous peoples in the nature reserves</w:t>
      </w:r>
      <w:bookmarkEnd w:id="48"/>
      <w:r w:rsidR="00FC1FCF" w:rsidRPr="00FE7BA7">
        <w:rPr>
          <w:rFonts w:ascii="Verdana" w:hAnsi="Verdana"/>
          <w:color w:val="auto"/>
          <w:sz w:val="20"/>
          <w:szCs w:val="20"/>
          <w:lang w:val="en-US"/>
        </w:rPr>
        <w:t xml:space="preserve"> </w:t>
      </w:r>
    </w:p>
    <w:p w14:paraId="631269BA" w14:textId="77777777" w:rsidR="00FC1FCF" w:rsidRPr="00FE7BA7" w:rsidRDefault="00FC1FCF" w:rsidP="00FC1FCF">
      <w:pPr>
        <w:jc w:val="both"/>
        <w:rPr>
          <w:rFonts w:ascii="Verdana" w:hAnsi="Verdana" w:cs="Arial"/>
          <w:sz w:val="20"/>
          <w:szCs w:val="20"/>
          <w:lang w:val="en-US"/>
        </w:rPr>
      </w:pPr>
    </w:p>
    <w:p w14:paraId="631269BB" w14:textId="77777777" w:rsidR="00FC1FCF" w:rsidRPr="00FE7BA7" w:rsidRDefault="00CA291A" w:rsidP="00FC1FCF">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First, the Court takes note of the</w:t>
      </w:r>
      <w:r w:rsidR="0084366F">
        <w:rPr>
          <w:rFonts w:ascii="Verdana" w:hAnsi="Verdana" w:cs="Arial"/>
          <w:sz w:val="20"/>
          <w:szCs w:val="20"/>
          <w:lang w:val="en-US"/>
        </w:rPr>
        <w:t xml:space="preserve"> Suriname State’s</w:t>
      </w:r>
      <w:r w:rsidRPr="00FE7BA7">
        <w:rPr>
          <w:rFonts w:ascii="Verdana" w:hAnsi="Verdana" w:cs="Arial"/>
          <w:sz w:val="20"/>
          <w:szCs w:val="20"/>
          <w:lang w:val="en-US"/>
        </w:rPr>
        <w:t xml:space="preserve"> commitment </w:t>
      </w:r>
      <w:r w:rsidR="0084366F">
        <w:rPr>
          <w:rFonts w:ascii="Verdana" w:hAnsi="Verdana" w:cs="Arial"/>
          <w:sz w:val="20"/>
          <w:szCs w:val="20"/>
          <w:lang w:val="en-US"/>
        </w:rPr>
        <w:t xml:space="preserve">to, </w:t>
      </w:r>
      <w:r w:rsidRPr="00FE7BA7">
        <w:rPr>
          <w:rFonts w:ascii="Verdana" w:hAnsi="Verdana" w:cs="Arial"/>
          <w:sz w:val="20"/>
          <w:szCs w:val="20"/>
          <w:lang w:val="en-US"/>
        </w:rPr>
        <w:t>and interest in</w:t>
      </w:r>
      <w:r w:rsidR="0084366F">
        <w:rPr>
          <w:rFonts w:ascii="Verdana" w:hAnsi="Verdana" w:cs="Arial"/>
          <w:sz w:val="20"/>
          <w:szCs w:val="20"/>
          <w:lang w:val="en-US"/>
        </w:rPr>
        <w:t>, environmental protection as revealed</w:t>
      </w:r>
      <w:r w:rsidRPr="00FE7BA7">
        <w:rPr>
          <w:rFonts w:ascii="Verdana" w:hAnsi="Verdana" w:cs="Arial"/>
          <w:sz w:val="20"/>
          <w:szCs w:val="20"/>
          <w:lang w:val="en-US"/>
        </w:rPr>
        <w:t xml:space="preserve"> by the creation of several nature reserves within its territory, and the measures</w:t>
      </w:r>
      <w:r w:rsidR="0084366F">
        <w:rPr>
          <w:rFonts w:ascii="Verdana" w:hAnsi="Verdana" w:cs="Arial"/>
          <w:sz w:val="20"/>
          <w:szCs w:val="20"/>
          <w:lang w:val="en-US"/>
        </w:rPr>
        <w:t xml:space="preserve"> taken</w:t>
      </w:r>
      <w:r w:rsidRPr="00FE7BA7">
        <w:rPr>
          <w:rFonts w:ascii="Verdana" w:hAnsi="Verdana" w:cs="Arial"/>
          <w:sz w:val="20"/>
          <w:szCs w:val="20"/>
          <w:lang w:val="en-US"/>
        </w:rPr>
        <w:t xml:space="preserve"> to maintain them. However, according to </w:t>
      </w:r>
      <w:r w:rsidR="00810FAD" w:rsidRPr="00FE7BA7">
        <w:rPr>
          <w:rFonts w:ascii="Verdana" w:hAnsi="Verdana" w:cs="Arial"/>
          <w:sz w:val="20"/>
          <w:szCs w:val="20"/>
          <w:lang w:val="en-US"/>
        </w:rPr>
        <w:t>the representatives</w:t>
      </w:r>
      <w:r w:rsidR="002B5CCD" w:rsidRPr="00FE7BA7">
        <w:rPr>
          <w:rFonts w:ascii="Verdana" w:hAnsi="Verdana" w:cs="Arial"/>
          <w:sz w:val="20"/>
          <w:szCs w:val="20"/>
          <w:lang w:val="en-US"/>
        </w:rPr>
        <w:t xml:space="preserve"> and the Commission</w:t>
      </w:r>
      <w:r w:rsidR="00FC1FCF" w:rsidRPr="00FE7BA7">
        <w:rPr>
          <w:rFonts w:ascii="Verdana" w:hAnsi="Verdana" w:cs="Arial"/>
          <w:sz w:val="20"/>
          <w:szCs w:val="20"/>
          <w:lang w:val="en-US"/>
        </w:rPr>
        <w:t xml:space="preserve">, </w:t>
      </w:r>
      <w:r w:rsidR="002B5CCD" w:rsidRPr="00FE7BA7">
        <w:rPr>
          <w:rFonts w:ascii="Verdana" w:hAnsi="Verdana" w:cs="Arial"/>
          <w:sz w:val="20"/>
          <w:szCs w:val="20"/>
          <w:lang w:val="en-US"/>
        </w:rPr>
        <w:t>the State</w:t>
      </w:r>
      <w:r w:rsidR="00FC1FCF" w:rsidRPr="00FE7BA7">
        <w:rPr>
          <w:rFonts w:ascii="Verdana" w:hAnsi="Verdana" w:cs="Arial"/>
          <w:sz w:val="20"/>
          <w:szCs w:val="20"/>
          <w:lang w:val="en-US"/>
        </w:rPr>
        <w:t xml:space="preserve"> ha</w:t>
      </w:r>
      <w:r w:rsidRPr="00FE7BA7">
        <w:rPr>
          <w:rFonts w:ascii="Verdana" w:hAnsi="Verdana" w:cs="Arial"/>
          <w:sz w:val="20"/>
          <w:szCs w:val="20"/>
          <w:lang w:val="en-US"/>
        </w:rPr>
        <w:t>s restricted the rights</w:t>
      </w:r>
      <w:r w:rsidR="00FC1FCF" w:rsidRPr="00FE7BA7">
        <w:rPr>
          <w:rFonts w:ascii="Verdana" w:hAnsi="Verdana" w:cs="Arial"/>
          <w:sz w:val="20"/>
          <w:szCs w:val="20"/>
          <w:lang w:val="en-US"/>
        </w:rPr>
        <w:t xml:space="preserve"> </w:t>
      </w:r>
      <w:r w:rsidR="00635ACD" w:rsidRPr="00FE7BA7">
        <w:rPr>
          <w:rFonts w:ascii="Verdana" w:hAnsi="Verdana" w:cs="Arial"/>
          <w:sz w:val="20"/>
          <w:szCs w:val="20"/>
          <w:lang w:val="en-US"/>
        </w:rPr>
        <w:t xml:space="preserve">of the </w:t>
      </w:r>
      <w:r w:rsidR="004C7D14" w:rsidRPr="00FE7BA7">
        <w:rPr>
          <w:rFonts w:ascii="Verdana" w:hAnsi="Verdana" w:cs="Arial"/>
          <w:sz w:val="20"/>
          <w:szCs w:val="20"/>
          <w:lang w:val="en-US"/>
        </w:rPr>
        <w:t>Kaliña and Lokono peoples</w:t>
      </w:r>
      <w:r w:rsidR="00FC1FCF" w:rsidRPr="00FE7BA7">
        <w:rPr>
          <w:rFonts w:ascii="Verdana" w:hAnsi="Verdana" w:cs="Arial"/>
          <w:sz w:val="20"/>
          <w:szCs w:val="20"/>
          <w:lang w:val="en-US"/>
        </w:rPr>
        <w:t xml:space="preserve"> </w:t>
      </w:r>
      <w:r w:rsidRPr="00FE7BA7">
        <w:rPr>
          <w:rFonts w:ascii="Verdana" w:hAnsi="Verdana" w:cs="Arial"/>
          <w:sz w:val="20"/>
          <w:szCs w:val="20"/>
          <w:lang w:val="en-US"/>
        </w:rPr>
        <w:t xml:space="preserve">within the reserves in order to protect the natural resources and </w:t>
      </w:r>
      <w:r w:rsidR="0084366F">
        <w:rPr>
          <w:rFonts w:ascii="Verdana" w:hAnsi="Verdana" w:cs="Arial"/>
          <w:sz w:val="20"/>
          <w:szCs w:val="20"/>
          <w:lang w:val="en-US"/>
        </w:rPr>
        <w:t>wildlife</w:t>
      </w:r>
      <w:r w:rsidRPr="00FE7BA7">
        <w:rPr>
          <w:rFonts w:ascii="Verdana" w:hAnsi="Verdana" w:cs="Arial"/>
          <w:sz w:val="20"/>
          <w:szCs w:val="20"/>
          <w:lang w:val="en-US"/>
        </w:rPr>
        <w:t xml:space="preserve"> within them</w:t>
      </w:r>
      <w:r w:rsidR="00FC1FCF" w:rsidRPr="00FE7BA7">
        <w:rPr>
          <w:rFonts w:ascii="Verdana" w:hAnsi="Verdana" w:cs="Arial"/>
          <w:sz w:val="20"/>
          <w:szCs w:val="20"/>
          <w:lang w:val="en-US"/>
        </w:rPr>
        <w:t>.</w:t>
      </w:r>
    </w:p>
    <w:p w14:paraId="631269BC" w14:textId="77777777" w:rsidR="00FC1FCF" w:rsidRPr="00FE7BA7" w:rsidRDefault="00FC1FCF" w:rsidP="00FC1FCF">
      <w:pPr>
        <w:jc w:val="both"/>
        <w:rPr>
          <w:rFonts w:ascii="Verdana" w:hAnsi="Verdana" w:cs="Arial"/>
          <w:sz w:val="20"/>
          <w:szCs w:val="20"/>
          <w:lang w:val="en-US"/>
        </w:rPr>
      </w:pPr>
    </w:p>
    <w:p w14:paraId="631269BD" w14:textId="77777777" w:rsidR="00FC1FCF" w:rsidRPr="00FE7BA7" w:rsidRDefault="00CA291A" w:rsidP="00FC1FCF">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 xml:space="preserve">In this regard, </w:t>
      </w:r>
      <w:r w:rsidR="0084366F">
        <w:rPr>
          <w:rFonts w:ascii="Verdana" w:hAnsi="Verdana" w:cs="Arial"/>
          <w:sz w:val="20"/>
          <w:szCs w:val="20"/>
          <w:lang w:val="en-US"/>
        </w:rPr>
        <w:t>given</w:t>
      </w:r>
      <w:r w:rsidRPr="00FE7BA7">
        <w:rPr>
          <w:rFonts w:ascii="Verdana" w:hAnsi="Verdana" w:cs="Arial"/>
          <w:sz w:val="20"/>
          <w:szCs w:val="20"/>
          <w:lang w:val="en-US"/>
        </w:rPr>
        <w:t xml:space="preserve"> the existence of the reserves, the Court will assess whether the alleged restrictions imposed on the indigenous peoples were proportionate, in light of the relevant </w:t>
      </w:r>
      <w:r w:rsidR="00FE7BA7" w:rsidRPr="00FE7BA7">
        <w:rPr>
          <w:rFonts w:ascii="Verdana" w:hAnsi="Verdana" w:cs="Arial"/>
          <w:sz w:val="20"/>
          <w:szCs w:val="20"/>
          <w:lang w:val="en-US"/>
        </w:rPr>
        <w:t>standards</w:t>
      </w:r>
      <w:r w:rsidRPr="00FE7BA7">
        <w:rPr>
          <w:rFonts w:ascii="Verdana" w:hAnsi="Verdana" w:cs="Arial"/>
          <w:sz w:val="20"/>
          <w:szCs w:val="20"/>
          <w:lang w:val="en-US"/>
        </w:rPr>
        <w:t>. To this end, it will analyze: (a) the compatibility of the right of the indigenous peoples with the protection of the environment, and (b) the restrictions imposed and their application to this case.</w:t>
      </w:r>
    </w:p>
    <w:p w14:paraId="631269BE" w14:textId="77777777" w:rsidR="00FC1FCF" w:rsidRPr="00FE7BA7" w:rsidRDefault="00FC1FCF" w:rsidP="00FC1FCF">
      <w:pPr>
        <w:jc w:val="both"/>
        <w:rPr>
          <w:rFonts w:ascii="Verdana" w:hAnsi="Verdana" w:cs="Arial"/>
          <w:i/>
          <w:sz w:val="20"/>
          <w:szCs w:val="20"/>
          <w:lang w:val="en-US"/>
        </w:rPr>
      </w:pPr>
    </w:p>
    <w:p w14:paraId="631269BF" w14:textId="77777777" w:rsidR="00FC1FCF" w:rsidRPr="00FE7BA7" w:rsidRDefault="0079049B" w:rsidP="00B17B8E">
      <w:pPr>
        <w:pStyle w:val="Heading5"/>
        <w:spacing w:before="0" w:line="240" w:lineRule="auto"/>
        <w:ind w:left="2160"/>
        <w:jc w:val="both"/>
        <w:rPr>
          <w:rFonts w:ascii="Verdana" w:hAnsi="Verdana"/>
          <w:b/>
          <w:i/>
          <w:color w:val="auto"/>
          <w:sz w:val="20"/>
          <w:szCs w:val="20"/>
        </w:rPr>
      </w:pPr>
      <w:bookmarkStart w:id="49" w:name="_Toc441673214"/>
      <w:r w:rsidRPr="00FE7BA7">
        <w:rPr>
          <w:rFonts w:ascii="Verdana" w:hAnsi="Verdana"/>
          <w:b/>
          <w:i/>
          <w:color w:val="auto"/>
          <w:sz w:val="20"/>
          <w:szCs w:val="20"/>
        </w:rPr>
        <w:t>B.</w:t>
      </w:r>
      <w:r w:rsidR="00830B9E" w:rsidRPr="00FE7BA7">
        <w:rPr>
          <w:rFonts w:ascii="Verdana" w:hAnsi="Verdana"/>
          <w:b/>
          <w:i/>
          <w:color w:val="auto"/>
          <w:sz w:val="20"/>
          <w:szCs w:val="20"/>
        </w:rPr>
        <w:t>3</w:t>
      </w:r>
      <w:r w:rsidRPr="00FE7BA7">
        <w:rPr>
          <w:rFonts w:ascii="Verdana" w:hAnsi="Verdana"/>
          <w:b/>
          <w:i/>
          <w:color w:val="auto"/>
          <w:sz w:val="20"/>
          <w:szCs w:val="20"/>
        </w:rPr>
        <w:t>.</w:t>
      </w:r>
      <w:r w:rsidR="00C51AA0" w:rsidRPr="00FE7BA7">
        <w:rPr>
          <w:rFonts w:ascii="Verdana" w:hAnsi="Verdana"/>
          <w:b/>
          <w:i/>
          <w:color w:val="auto"/>
          <w:sz w:val="20"/>
          <w:szCs w:val="20"/>
        </w:rPr>
        <w:t>2</w:t>
      </w:r>
      <w:r w:rsidRPr="00FE7BA7">
        <w:rPr>
          <w:rFonts w:ascii="Verdana" w:hAnsi="Verdana"/>
          <w:b/>
          <w:i/>
          <w:color w:val="auto"/>
          <w:sz w:val="20"/>
          <w:szCs w:val="20"/>
        </w:rPr>
        <w:t xml:space="preserve">.1 </w:t>
      </w:r>
      <w:r w:rsidR="00CA291A" w:rsidRPr="00FE7BA7">
        <w:rPr>
          <w:rFonts w:ascii="Verdana" w:hAnsi="Verdana"/>
          <w:b/>
          <w:i/>
          <w:color w:val="auto"/>
          <w:sz w:val="20"/>
          <w:szCs w:val="20"/>
        </w:rPr>
        <w:t>Compatibility of the rights of the indigenous peoples and the protection of the environment</w:t>
      </w:r>
      <w:bookmarkEnd w:id="49"/>
    </w:p>
    <w:p w14:paraId="631269C0" w14:textId="77777777" w:rsidR="00FC1FCF" w:rsidRPr="00FE7BA7" w:rsidRDefault="00FC1FCF" w:rsidP="00FC1FCF">
      <w:pPr>
        <w:pStyle w:val="ListParagraph"/>
        <w:ind w:left="1776"/>
        <w:jc w:val="both"/>
        <w:rPr>
          <w:rFonts w:ascii="Verdana" w:hAnsi="Verdana" w:cs="Arial"/>
          <w:b/>
          <w:i/>
          <w:sz w:val="20"/>
          <w:szCs w:val="20"/>
          <w:lang w:val="en-US"/>
        </w:rPr>
      </w:pPr>
      <w:r w:rsidRPr="00FE7BA7">
        <w:rPr>
          <w:rFonts w:ascii="Verdana" w:hAnsi="Verdana" w:cs="Arial"/>
          <w:b/>
          <w:i/>
          <w:sz w:val="20"/>
          <w:szCs w:val="20"/>
          <w:lang w:val="en-US"/>
        </w:rPr>
        <w:t xml:space="preserve"> </w:t>
      </w:r>
    </w:p>
    <w:p w14:paraId="631269C1" w14:textId="77777777" w:rsidR="00FC1FCF" w:rsidRPr="00FE7BA7" w:rsidRDefault="00A30243" w:rsidP="00FC1FCF">
      <w:pPr>
        <w:pStyle w:val="ListParagraph"/>
        <w:numPr>
          <w:ilvl w:val="0"/>
          <w:numId w:val="2"/>
        </w:numPr>
        <w:ind w:left="0" w:hanging="11"/>
        <w:jc w:val="both"/>
        <w:rPr>
          <w:rFonts w:ascii="Verdana" w:hAnsi="Verdana" w:cs="Arial"/>
          <w:sz w:val="20"/>
          <w:szCs w:val="20"/>
          <w:lang w:val="en-US"/>
        </w:rPr>
      </w:pPr>
      <w:r w:rsidRPr="004E3742">
        <w:rPr>
          <w:rFonts w:ascii="Verdana" w:hAnsi="Verdana" w:cs="Arial"/>
          <w:sz w:val="20"/>
          <w:szCs w:val="20"/>
          <w:lang w:val="en-US"/>
        </w:rPr>
        <w:t>Re</w:t>
      </w:r>
      <w:r w:rsidR="00CA291A" w:rsidRPr="004E3742">
        <w:rPr>
          <w:rFonts w:ascii="Verdana" w:hAnsi="Verdana" w:cs="Arial"/>
          <w:sz w:val="20"/>
          <w:szCs w:val="20"/>
          <w:lang w:val="en-US"/>
        </w:rPr>
        <w:t xml:space="preserve">garding environmental protection as a </w:t>
      </w:r>
      <w:r w:rsidR="0092147A" w:rsidRPr="004E3742">
        <w:rPr>
          <w:rFonts w:ascii="Verdana" w:hAnsi="Verdana" w:cs="Arial"/>
          <w:sz w:val="20"/>
          <w:szCs w:val="20"/>
          <w:lang w:val="en-US"/>
        </w:rPr>
        <w:t>justification for</w:t>
      </w:r>
      <w:r w:rsidR="00CA291A" w:rsidRPr="004E3742">
        <w:rPr>
          <w:rFonts w:ascii="Verdana" w:hAnsi="Verdana" w:cs="Arial"/>
          <w:sz w:val="20"/>
          <w:szCs w:val="20"/>
          <w:lang w:val="en-US"/>
        </w:rPr>
        <w:t xml:space="preserve"> </w:t>
      </w:r>
      <w:r w:rsidR="004E3742">
        <w:rPr>
          <w:rFonts w:ascii="Verdana" w:hAnsi="Verdana" w:cs="Arial"/>
          <w:sz w:val="20"/>
          <w:szCs w:val="20"/>
          <w:lang w:val="en-US"/>
        </w:rPr>
        <w:t>public</w:t>
      </w:r>
      <w:r w:rsidR="00CA291A" w:rsidRPr="004E3742">
        <w:rPr>
          <w:rFonts w:ascii="Verdana" w:hAnsi="Verdana" w:cs="Arial"/>
          <w:sz w:val="20"/>
          <w:szCs w:val="20"/>
          <w:lang w:val="en-US"/>
        </w:rPr>
        <w:t xml:space="preserve"> interest, in the </w:t>
      </w:r>
      <w:r w:rsidR="00FC1FCF" w:rsidRPr="004E3742">
        <w:rPr>
          <w:rFonts w:ascii="Verdana" w:hAnsi="Verdana" w:cs="Arial"/>
          <w:i/>
          <w:sz w:val="20"/>
          <w:szCs w:val="20"/>
          <w:lang w:val="en-US"/>
        </w:rPr>
        <w:t>Salvador</w:t>
      </w:r>
      <w:r w:rsidR="00FC1FCF" w:rsidRPr="00FE7BA7">
        <w:rPr>
          <w:rFonts w:ascii="Verdana" w:hAnsi="Verdana" w:cs="Arial"/>
          <w:i/>
          <w:sz w:val="20"/>
          <w:szCs w:val="20"/>
          <w:lang w:val="en-US"/>
        </w:rPr>
        <w:t xml:space="preserve"> Chiriboga</w:t>
      </w:r>
      <w:r w:rsidR="00FC1FCF" w:rsidRPr="00FE7BA7">
        <w:rPr>
          <w:rFonts w:ascii="Verdana" w:hAnsi="Verdana" w:cs="Arial"/>
          <w:sz w:val="20"/>
          <w:szCs w:val="20"/>
          <w:lang w:val="en-US"/>
        </w:rPr>
        <w:t xml:space="preserve"> </w:t>
      </w:r>
      <w:r w:rsidR="00CA291A" w:rsidRPr="00FE7BA7">
        <w:rPr>
          <w:rFonts w:ascii="Verdana" w:hAnsi="Verdana" w:cs="Arial"/>
          <w:sz w:val="20"/>
          <w:szCs w:val="20"/>
          <w:lang w:val="en-US"/>
        </w:rPr>
        <w:t xml:space="preserve">case, </w:t>
      </w:r>
      <w:r w:rsidR="002B5CCD" w:rsidRPr="00FE7BA7">
        <w:rPr>
          <w:rFonts w:ascii="Verdana" w:hAnsi="Verdana" w:cs="Arial"/>
          <w:sz w:val="20"/>
          <w:szCs w:val="20"/>
          <w:lang w:val="en-US"/>
        </w:rPr>
        <w:t>the Court</w:t>
      </w:r>
      <w:r w:rsidR="00FC1FCF" w:rsidRPr="00FE7BA7">
        <w:rPr>
          <w:rFonts w:ascii="Verdana" w:hAnsi="Verdana" w:cs="Arial"/>
          <w:sz w:val="20"/>
          <w:szCs w:val="20"/>
          <w:lang w:val="en-US"/>
        </w:rPr>
        <w:t xml:space="preserve"> establ</w:t>
      </w:r>
      <w:r w:rsidR="00CA291A" w:rsidRPr="00FE7BA7">
        <w:rPr>
          <w:rFonts w:ascii="Verdana" w:hAnsi="Verdana" w:cs="Arial"/>
          <w:sz w:val="20"/>
          <w:szCs w:val="20"/>
          <w:lang w:val="en-US"/>
        </w:rPr>
        <w:t>ished that</w:t>
      </w:r>
      <w:r w:rsidR="0092147A">
        <w:rPr>
          <w:rFonts w:ascii="Verdana" w:hAnsi="Verdana" w:cs="Arial"/>
          <w:sz w:val="20"/>
          <w:szCs w:val="20"/>
          <w:lang w:val="en-US"/>
        </w:rPr>
        <w:t xml:space="preserve">, </w:t>
      </w:r>
      <w:r w:rsidR="0092147A" w:rsidRPr="00FE7BA7">
        <w:rPr>
          <w:rFonts w:ascii="Verdana" w:hAnsi="Verdana" w:cs="Arial"/>
          <w:sz w:val="20"/>
          <w:szCs w:val="20"/>
          <w:lang w:val="en-US"/>
        </w:rPr>
        <w:t>in a democratic society</w:t>
      </w:r>
      <w:r w:rsidR="0092147A">
        <w:rPr>
          <w:rFonts w:ascii="Verdana" w:hAnsi="Verdana" w:cs="Arial"/>
          <w:sz w:val="20"/>
          <w:szCs w:val="20"/>
          <w:lang w:val="en-US"/>
        </w:rPr>
        <w:t>,</w:t>
      </w:r>
      <w:r w:rsidR="00CA291A" w:rsidRPr="00FE7BA7">
        <w:rPr>
          <w:rFonts w:ascii="Verdana" w:hAnsi="Verdana" w:cs="Arial"/>
          <w:sz w:val="20"/>
          <w:szCs w:val="20"/>
          <w:lang w:val="en-US"/>
        </w:rPr>
        <w:t xml:space="preserve"> the p</w:t>
      </w:r>
      <w:r w:rsidR="0092147A">
        <w:rPr>
          <w:rFonts w:ascii="Verdana" w:hAnsi="Verdana" w:cs="Arial"/>
          <w:sz w:val="20"/>
          <w:szCs w:val="20"/>
          <w:lang w:val="en-US"/>
        </w:rPr>
        <w:t xml:space="preserve">rotection of the </w:t>
      </w:r>
      <w:r w:rsidR="0092147A">
        <w:rPr>
          <w:rFonts w:ascii="Verdana" w:hAnsi="Verdana" w:cs="Arial"/>
          <w:sz w:val="20"/>
          <w:szCs w:val="20"/>
          <w:lang w:val="en-US"/>
        </w:rPr>
        <w:lastRenderedPageBreak/>
        <w:t>environment by the creation of</w:t>
      </w:r>
      <w:r w:rsidR="00CA291A" w:rsidRPr="00FE7BA7">
        <w:rPr>
          <w:rFonts w:ascii="Verdana" w:hAnsi="Verdana" w:cs="Arial"/>
          <w:sz w:val="20"/>
          <w:szCs w:val="20"/>
          <w:lang w:val="en-US"/>
        </w:rPr>
        <w:t xml:space="preserve"> a metropolitan park was a legitimate </w:t>
      </w:r>
      <w:r w:rsidR="0092147A">
        <w:rPr>
          <w:rFonts w:ascii="Verdana" w:hAnsi="Verdana" w:cs="Arial"/>
          <w:sz w:val="20"/>
          <w:szCs w:val="20"/>
          <w:lang w:val="en-US"/>
        </w:rPr>
        <w:t>reason to</w:t>
      </w:r>
      <w:r w:rsidR="00CA291A" w:rsidRPr="00FE7BA7">
        <w:rPr>
          <w:rFonts w:ascii="Verdana" w:hAnsi="Verdana" w:cs="Arial"/>
          <w:sz w:val="20"/>
          <w:szCs w:val="20"/>
          <w:lang w:val="en-US"/>
        </w:rPr>
        <w:t xml:space="preserve"> restrict the right to property established in </w:t>
      </w:r>
      <w:r w:rsidR="002B5CCD" w:rsidRPr="00FE7BA7">
        <w:rPr>
          <w:rFonts w:ascii="Verdana" w:hAnsi="Verdana" w:cs="Arial"/>
          <w:sz w:val="20"/>
          <w:szCs w:val="20"/>
          <w:lang w:val="en-US"/>
        </w:rPr>
        <w:t>Article</w:t>
      </w:r>
      <w:r w:rsidR="00FC1FCF" w:rsidRPr="00FE7BA7">
        <w:rPr>
          <w:rFonts w:ascii="Verdana" w:hAnsi="Verdana" w:cs="Arial"/>
          <w:sz w:val="20"/>
          <w:szCs w:val="20"/>
          <w:lang w:val="en-US"/>
        </w:rPr>
        <w:t xml:space="preserve"> 21</w:t>
      </w:r>
      <w:r w:rsidR="002B5CCD" w:rsidRPr="00FE7BA7">
        <w:rPr>
          <w:rFonts w:ascii="Verdana" w:hAnsi="Verdana" w:cs="Arial"/>
          <w:sz w:val="20"/>
          <w:szCs w:val="20"/>
          <w:lang w:val="en-US"/>
        </w:rPr>
        <w:t xml:space="preserve"> of the Convention</w:t>
      </w:r>
      <w:r w:rsidR="00CA291A" w:rsidRPr="00FE7BA7">
        <w:rPr>
          <w:rFonts w:ascii="Verdana" w:hAnsi="Verdana" w:cs="Arial"/>
          <w:sz w:val="20"/>
          <w:szCs w:val="20"/>
          <w:lang w:val="en-US"/>
        </w:rPr>
        <w:t>.</w:t>
      </w:r>
      <w:r w:rsidR="00FC1FCF" w:rsidRPr="00FE7BA7">
        <w:rPr>
          <w:rStyle w:val="FootnoteReference"/>
          <w:rFonts w:cs="Arial"/>
          <w:szCs w:val="20"/>
          <w:lang w:val="en-US"/>
        </w:rPr>
        <w:footnoteReference w:id="213"/>
      </w:r>
      <w:r w:rsidR="00FC1FCF" w:rsidRPr="00FE7BA7">
        <w:rPr>
          <w:rFonts w:ascii="Verdana" w:hAnsi="Verdana" w:cs="Arial"/>
          <w:sz w:val="20"/>
          <w:szCs w:val="20"/>
          <w:lang w:val="en-US"/>
        </w:rPr>
        <w:t xml:space="preserve"> </w:t>
      </w:r>
    </w:p>
    <w:p w14:paraId="631269C2" w14:textId="77777777" w:rsidR="00FC1FCF" w:rsidRPr="00FE7BA7" w:rsidRDefault="00FC1FCF" w:rsidP="00FC1FCF">
      <w:pPr>
        <w:jc w:val="both"/>
        <w:rPr>
          <w:rFonts w:ascii="Verdana" w:hAnsi="Verdana" w:cs="Arial"/>
          <w:sz w:val="20"/>
          <w:szCs w:val="20"/>
          <w:lang w:val="en-US"/>
        </w:rPr>
      </w:pPr>
    </w:p>
    <w:p w14:paraId="631269C3" w14:textId="0A84F844" w:rsidR="00FC1FCF" w:rsidRPr="00FE7BA7" w:rsidRDefault="00CA291A" w:rsidP="00FC1FCF">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 xml:space="preserve">In addition, the Court has emphasized the importance of the protection, </w:t>
      </w:r>
      <w:r w:rsidR="004E3742">
        <w:rPr>
          <w:rFonts w:ascii="Verdana" w:hAnsi="Verdana" w:cs="Arial"/>
          <w:sz w:val="20"/>
          <w:szCs w:val="20"/>
          <w:lang w:val="en-US"/>
        </w:rPr>
        <w:t>cons</w:t>
      </w:r>
      <w:r w:rsidRPr="00FE7BA7">
        <w:rPr>
          <w:rFonts w:ascii="Verdana" w:hAnsi="Verdana" w:cs="Arial"/>
          <w:sz w:val="20"/>
          <w:szCs w:val="20"/>
          <w:lang w:val="en-US"/>
        </w:rPr>
        <w:t xml:space="preserve">ervation and improvement of the environment contained in </w:t>
      </w:r>
      <w:r w:rsidR="002B5CCD" w:rsidRPr="00FE7BA7">
        <w:rPr>
          <w:rFonts w:ascii="Verdana" w:hAnsi="Verdana" w:cs="Arial"/>
          <w:sz w:val="20"/>
          <w:szCs w:val="20"/>
          <w:lang w:val="en-US"/>
        </w:rPr>
        <w:t>Article</w:t>
      </w:r>
      <w:r w:rsidR="00FC1FCF" w:rsidRPr="00FE7BA7">
        <w:rPr>
          <w:rFonts w:ascii="Verdana" w:hAnsi="Verdana" w:cs="Arial"/>
          <w:sz w:val="20"/>
          <w:szCs w:val="20"/>
          <w:lang w:val="en-US"/>
        </w:rPr>
        <w:t xml:space="preserve"> 11 </w:t>
      </w:r>
      <w:r w:rsidRPr="00FE7BA7">
        <w:rPr>
          <w:rFonts w:ascii="Verdana" w:hAnsi="Verdana" w:cs="Arial"/>
          <w:sz w:val="20"/>
          <w:szCs w:val="20"/>
          <w:lang w:val="en-US"/>
        </w:rPr>
        <w:t xml:space="preserve">of the Additional Protocol to </w:t>
      </w:r>
      <w:r w:rsidR="002B5CCD" w:rsidRPr="00FE7BA7">
        <w:rPr>
          <w:rFonts w:ascii="Verdana" w:hAnsi="Verdana" w:cs="Arial"/>
          <w:sz w:val="20"/>
          <w:szCs w:val="20"/>
          <w:lang w:val="en-US"/>
        </w:rPr>
        <w:t>the American Convention</w:t>
      </w:r>
      <w:r w:rsidR="00FC1FCF" w:rsidRPr="00FE7BA7">
        <w:rPr>
          <w:rFonts w:ascii="Verdana" w:hAnsi="Verdana" w:cs="Arial"/>
          <w:sz w:val="20"/>
          <w:szCs w:val="20"/>
          <w:lang w:val="en-US"/>
        </w:rPr>
        <w:t xml:space="preserve"> </w:t>
      </w:r>
      <w:r w:rsidR="00BD40EF" w:rsidRPr="00FE7BA7">
        <w:rPr>
          <w:rFonts w:ascii="Verdana" w:hAnsi="Verdana" w:cs="Arial"/>
          <w:sz w:val="20"/>
          <w:szCs w:val="20"/>
          <w:lang w:val="en-US"/>
        </w:rPr>
        <w:t>in the area of</w:t>
      </w:r>
      <w:r w:rsidRPr="00FE7BA7">
        <w:rPr>
          <w:rFonts w:ascii="Verdana" w:hAnsi="Verdana" w:cs="Arial"/>
          <w:sz w:val="20"/>
          <w:szCs w:val="20"/>
          <w:lang w:val="en-US"/>
        </w:rPr>
        <w:t xml:space="preserve"> Econo</w:t>
      </w:r>
      <w:r w:rsidR="00BD40EF" w:rsidRPr="00FE7BA7">
        <w:rPr>
          <w:rFonts w:ascii="Verdana" w:hAnsi="Verdana" w:cs="Arial"/>
          <w:sz w:val="20"/>
          <w:szCs w:val="20"/>
          <w:lang w:val="en-US"/>
        </w:rPr>
        <w:t>mic, Social and Cultural Rights</w:t>
      </w:r>
      <w:r w:rsidR="00FC1FCF" w:rsidRPr="00FE7BA7">
        <w:rPr>
          <w:rFonts w:ascii="Verdana" w:hAnsi="Verdana" w:cs="Arial"/>
          <w:sz w:val="20"/>
          <w:szCs w:val="20"/>
          <w:lang w:val="en-US"/>
        </w:rPr>
        <w:t xml:space="preserve"> </w:t>
      </w:r>
      <w:r w:rsidR="00280689" w:rsidRPr="00FE7BA7">
        <w:rPr>
          <w:rFonts w:ascii="Verdana" w:hAnsi="Verdana" w:cs="Arial"/>
          <w:sz w:val="20"/>
          <w:szCs w:val="20"/>
          <w:lang w:val="en-US"/>
        </w:rPr>
        <w:t>“</w:t>
      </w:r>
      <w:r w:rsidR="00FC1FCF" w:rsidRPr="00FE7BA7">
        <w:rPr>
          <w:rFonts w:ascii="Verdana" w:hAnsi="Verdana" w:cs="Arial"/>
          <w:sz w:val="20"/>
          <w:szCs w:val="20"/>
          <w:lang w:val="en-US"/>
        </w:rPr>
        <w:t>Pr</w:t>
      </w:r>
      <w:r w:rsidRPr="00FE7BA7">
        <w:rPr>
          <w:rFonts w:ascii="Verdana" w:hAnsi="Verdana" w:cs="Arial"/>
          <w:sz w:val="20"/>
          <w:szCs w:val="20"/>
          <w:lang w:val="en-US"/>
        </w:rPr>
        <w:t>otocol of</w:t>
      </w:r>
      <w:r w:rsidR="00FC1FCF" w:rsidRPr="00FE7BA7">
        <w:rPr>
          <w:rFonts w:ascii="Verdana" w:hAnsi="Verdana" w:cs="Arial"/>
          <w:sz w:val="20"/>
          <w:szCs w:val="20"/>
          <w:lang w:val="en-US"/>
        </w:rPr>
        <w:t xml:space="preserve"> San Salvador</w:t>
      </w:r>
      <w:r w:rsidRPr="00FE7BA7">
        <w:rPr>
          <w:rFonts w:ascii="Verdana" w:hAnsi="Verdana" w:cs="Arial"/>
          <w:sz w:val="20"/>
          <w:szCs w:val="20"/>
          <w:lang w:val="en-US"/>
        </w:rPr>
        <w:t>,</w:t>
      </w:r>
      <w:r w:rsidR="00280689" w:rsidRPr="00FE7BA7">
        <w:rPr>
          <w:rFonts w:ascii="Verdana" w:hAnsi="Verdana" w:cs="Arial"/>
          <w:sz w:val="20"/>
          <w:szCs w:val="20"/>
          <w:lang w:val="en-US"/>
        </w:rPr>
        <w:t>”</w:t>
      </w:r>
      <w:r w:rsidRPr="00FE7BA7">
        <w:rPr>
          <w:rStyle w:val="FootnoteReference"/>
          <w:rFonts w:cs="Arial"/>
          <w:szCs w:val="20"/>
          <w:lang w:val="en-US"/>
        </w:rPr>
        <w:footnoteReference w:id="214"/>
      </w:r>
      <w:r w:rsidRPr="00FE7BA7">
        <w:rPr>
          <w:rFonts w:ascii="Verdana" w:hAnsi="Verdana" w:cs="Arial"/>
          <w:sz w:val="20"/>
          <w:szCs w:val="20"/>
          <w:lang w:val="en-US"/>
        </w:rPr>
        <w:t xml:space="preserve"> as an essential human right related to the right to a </w:t>
      </w:r>
      <w:r w:rsidR="008C0D6F">
        <w:rPr>
          <w:rFonts w:ascii="Verdana" w:hAnsi="Verdana" w:cs="Arial"/>
          <w:sz w:val="20"/>
          <w:szCs w:val="20"/>
          <w:lang w:val="en-US"/>
        </w:rPr>
        <w:t>dignified</w:t>
      </w:r>
      <w:r w:rsidR="008C0D6F" w:rsidRPr="00FE7BA7">
        <w:rPr>
          <w:rFonts w:ascii="Verdana" w:hAnsi="Verdana" w:cs="Arial"/>
          <w:sz w:val="20"/>
          <w:szCs w:val="20"/>
          <w:lang w:val="en-US"/>
        </w:rPr>
        <w:t xml:space="preserve"> </w:t>
      </w:r>
      <w:r w:rsidRPr="00FE7BA7">
        <w:rPr>
          <w:rFonts w:ascii="Verdana" w:hAnsi="Verdana" w:cs="Arial"/>
          <w:sz w:val="20"/>
          <w:szCs w:val="20"/>
          <w:lang w:val="en-US"/>
        </w:rPr>
        <w:t xml:space="preserve">life derived from </w:t>
      </w:r>
      <w:r w:rsidR="00773D70" w:rsidRPr="00FE7BA7">
        <w:rPr>
          <w:rFonts w:ascii="Verdana" w:hAnsi="Verdana" w:cs="Arial"/>
          <w:sz w:val="20"/>
          <w:szCs w:val="20"/>
          <w:lang w:val="en-US"/>
        </w:rPr>
        <w:t>Article</w:t>
      </w:r>
      <w:r w:rsidR="00FC1FCF" w:rsidRPr="00FE7BA7">
        <w:rPr>
          <w:rFonts w:ascii="Verdana" w:hAnsi="Verdana" w:cs="Arial"/>
          <w:sz w:val="20"/>
          <w:szCs w:val="20"/>
          <w:lang w:val="en-US"/>
        </w:rPr>
        <w:t xml:space="preserve"> 4</w:t>
      </w:r>
      <w:r w:rsidR="002B5CCD" w:rsidRPr="00FE7BA7">
        <w:rPr>
          <w:rFonts w:ascii="Verdana" w:hAnsi="Verdana" w:cs="Arial"/>
          <w:sz w:val="20"/>
          <w:szCs w:val="20"/>
          <w:lang w:val="en-US"/>
        </w:rPr>
        <w:t xml:space="preserve"> of the Convention</w:t>
      </w:r>
      <w:r w:rsidR="00FC1FCF" w:rsidRPr="00FE7BA7">
        <w:rPr>
          <w:rFonts w:ascii="Verdana" w:hAnsi="Verdana" w:cs="Arial"/>
          <w:sz w:val="20"/>
          <w:szCs w:val="20"/>
          <w:lang w:val="en-US"/>
        </w:rPr>
        <w:t xml:space="preserve"> </w:t>
      </w:r>
      <w:r w:rsidRPr="00FE7BA7">
        <w:rPr>
          <w:rFonts w:ascii="Verdana" w:hAnsi="Verdana" w:cs="Arial"/>
          <w:sz w:val="20"/>
          <w:szCs w:val="20"/>
          <w:lang w:val="en-US"/>
        </w:rPr>
        <w:t>in light of the existing international</w:t>
      </w:r>
      <w:r w:rsidR="00FC1FCF" w:rsidRPr="00FE7BA7">
        <w:rPr>
          <w:rFonts w:ascii="Verdana" w:hAnsi="Verdana" w:cs="Arial"/>
          <w:sz w:val="20"/>
          <w:szCs w:val="20"/>
          <w:lang w:val="en-US"/>
        </w:rPr>
        <w:t xml:space="preserve"> </w:t>
      </w:r>
      <w:r w:rsidR="00FC1FCF" w:rsidRPr="00FE7BA7">
        <w:rPr>
          <w:rFonts w:ascii="Verdana" w:hAnsi="Verdana" w:cs="Arial"/>
          <w:i/>
          <w:sz w:val="20"/>
          <w:szCs w:val="20"/>
          <w:lang w:val="en-US"/>
        </w:rPr>
        <w:t xml:space="preserve">corpus </w:t>
      </w:r>
      <w:r w:rsidR="0084661F" w:rsidRPr="00FE7BA7">
        <w:rPr>
          <w:rFonts w:ascii="Verdana" w:hAnsi="Verdana" w:cs="Arial"/>
          <w:i/>
          <w:sz w:val="20"/>
          <w:szCs w:val="20"/>
          <w:lang w:val="en-US"/>
        </w:rPr>
        <w:t>i</w:t>
      </w:r>
      <w:r w:rsidR="00FC1FCF" w:rsidRPr="00FE7BA7">
        <w:rPr>
          <w:rFonts w:ascii="Verdana" w:hAnsi="Verdana" w:cs="Arial"/>
          <w:i/>
          <w:sz w:val="20"/>
          <w:szCs w:val="20"/>
          <w:lang w:val="en-US"/>
        </w:rPr>
        <w:t>uris</w:t>
      </w:r>
      <w:r w:rsidR="00FC1FCF" w:rsidRPr="00FE7BA7">
        <w:rPr>
          <w:rFonts w:ascii="Verdana" w:hAnsi="Verdana" w:cs="Arial"/>
          <w:sz w:val="20"/>
          <w:szCs w:val="20"/>
          <w:lang w:val="en-US"/>
        </w:rPr>
        <w:t xml:space="preserve"> </w:t>
      </w:r>
      <w:r w:rsidRPr="00FE7BA7">
        <w:rPr>
          <w:rFonts w:ascii="Verdana" w:hAnsi="Verdana" w:cs="Arial"/>
          <w:sz w:val="20"/>
          <w:szCs w:val="20"/>
          <w:lang w:val="en-US"/>
        </w:rPr>
        <w:t>on the special protection required by</w:t>
      </w:r>
      <w:r w:rsidR="00FC1FCF" w:rsidRPr="00FE7BA7">
        <w:rPr>
          <w:rFonts w:ascii="Verdana" w:hAnsi="Verdana" w:cs="Arial"/>
          <w:sz w:val="20"/>
          <w:szCs w:val="20"/>
          <w:lang w:val="en-US"/>
        </w:rPr>
        <w:t xml:space="preserve"> </w:t>
      </w:r>
      <w:r w:rsidR="00E91479" w:rsidRPr="00FE7BA7">
        <w:rPr>
          <w:rFonts w:ascii="Verdana" w:hAnsi="Verdana" w:cs="Arial"/>
          <w:sz w:val="20"/>
          <w:szCs w:val="20"/>
          <w:lang w:val="en-US"/>
        </w:rPr>
        <w:t>members of indigenous communities</w:t>
      </w:r>
      <w:r w:rsidR="00FC1FCF" w:rsidRPr="00FE7BA7">
        <w:rPr>
          <w:rFonts w:ascii="Verdana" w:hAnsi="Verdana" w:cs="Arial"/>
          <w:sz w:val="20"/>
          <w:szCs w:val="20"/>
          <w:lang w:val="en-US"/>
        </w:rPr>
        <w:t xml:space="preserve"> “</w:t>
      </w:r>
      <w:r w:rsidR="00BD40EF" w:rsidRPr="00FE7BA7">
        <w:rPr>
          <w:rFonts w:ascii="Verdana" w:hAnsi="Verdana" w:cs="Arial"/>
          <w:sz w:val="20"/>
          <w:szCs w:val="20"/>
          <w:lang w:val="en-US"/>
        </w:rPr>
        <w:t xml:space="preserve">in relation to the general obligation to ensure rights contained in </w:t>
      </w:r>
      <w:r w:rsidR="00773D70" w:rsidRPr="00FE7BA7">
        <w:rPr>
          <w:rFonts w:ascii="Verdana" w:hAnsi="Verdana" w:cs="Arial"/>
          <w:sz w:val="20"/>
          <w:szCs w:val="20"/>
          <w:lang w:val="en-US"/>
        </w:rPr>
        <w:t>Article 1(1)</w:t>
      </w:r>
      <w:r w:rsidR="0092147A">
        <w:rPr>
          <w:rFonts w:ascii="Verdana" w:hAnsi="Verdana" w:cs="Arial"/>
          <w:sz w:val="20"/>
          <w:szCs w:val="20"/>
          <w:lang w:val="en-US"/>
        </w:rPr>
        <w:t>,</w:t>
      </w:r>
      <w:r w:rsidR="002B5CCD" w:rsidRPr="00FE7BA7">
        <w:rPr>
          <w:rFonts w:ascii="Verdana" w:hAnsi="Verdana" w:cs="Arial"/>
          <w:sz w:val="20"/>
          <w:szCs w:val="20"/>
          <w:lang w:val="en-US"/>
        </w:rPr>
        <w:t xml:space="preserve"> and </w:t>
      </w:r>
      <w:r w:rsidR="00BD40EF" w:rsidRPr="00FE7BA7">
        <w:rPr>
          <w:rFonts w:ascii="Verdana" w:hAnsi="Verdana" w:cs="Arial"/>
          <w:sz w:val="20"/>
          <w:szCs w:val="20"/>
          <w:lang w:val="en-US"/>
        </w:rPr>
        <w:t xml:space="preserve">to the obligation </w:t>
      </w:r>
      <w:r w:rsidR="0092147A">
        <w:rPr>
          <w:rFonts w:ascii="Verdana" w:hAnsi="Verdana" w:cs="Arial"/>
          <w:sz w:val="20"/>
          <w:szCs w:val="20"/>
          <w:lang w:val="en-US"/>
        </w:rPr>
        <w:t xml:space="preserve">to achieve the full recognition of the rights progressively, </w:t>
      </w:r>
      <w:r w:rsidR="00BD40EF" w:rsidRPr="00FE7BA7">
        <w:rPr>
          <w:rFonts w:ascii="Verdana" w:hAnsi="Verdana" w:cs="Arial"/>
          <w:sz w:val="20"/>
          <w:szCs w:val="20"/>
          <w:lang w:val="en-US"/>
        </w:rPr>
        <w:t xml:space="preserve">contained in </w:t>
      </w:r>
      <w:r w:rsidR="002B5CCD" w:rsidRPr="00FE7BA7">
        <w:rPr>
          <w:rFonts w:ascii="Verdana" w:hAnsi="Verdana" w:cs="Arial"/>
          <w:sz w:val="20"/>
          <w:szCs w:val="20"/>
          <w:lang w:val="en-US"/>
        </w:rPr>
        <w:t>Article</w:t>
      </w:r>
      <w:r w:rsidR="00FC1FCF" w:rsidRPr="00FE7BA7">
        <w:rPr>
          <w:rFonts w:ascii="Verdana" w:hAnsi="Verdana" w:cs="Arial"/>
          <w:sz w:val="20"/>
          <w:szCs w:val="20"/>
          <w:lang w:val="en-US"/>
        </w:rPr>
        <w:t xml:space="preserve"> 26 </w:t>
      </w:r>
      <w:r w:rsidR="00BD40EF" w:rsidRPr="00FE7BA7">
        <w:rPr>
          <w:rFonts w:ascii="Verdana" w:hAnsi="Verdana" w:cs="Arial"/>
          <w:sz w:val="20"/>
          <w:szCs w:val="20"/>
          <w:lang w:val="en-US"/>
        </w:rPr>
        <w:t>thereof</w:t>
      </w:r>
      <w:r w:rsidRPr="00FE7BA7">
        <w:rPr>
          <w:rFonts w:ascii="Verdana" w:hAnsi="Verdana" w:cs="Arial"/>
          <w:sz w:val="20"/>
          <w:szCs w:val="20"/>
          <w:lang w:val="en-US"/>
        </w:rPr>
        <w:t>.</w:t>
      </w:r>
      <w:r w:rsidR="00FC1FCF" w:rsidRPr="00FE7BA7">
        <w:rPr>
          <w:rFonts w:ascii="Verdana" w:hAnsi="Verdana" w:cs="Arial"/>
          <w:sz w:val="20"/>
          <w:szCs w:val="20"/>
          <w:lang w:val="en-US"/>
        </w:rPr>
        <w:t>”</w:t>
      </w:r>
      <w:r w:rsidR="00FC1FCF" w:rsidRPr="00FE7BA7">
        <w:rPr>
          <w:rStyle w:val="FootnoteReference"/>
          <w:rFonts w:cs="Arial"/>
          <w:szCs w:val="20"/>
          <w:lang w:val="en-US"/>
        </w:rPr>
        <w:footnoteReference w:id="215"/>
      </w:r>
      <w:r w:rsidRPr="00FE7BA7">
        <w:rPr>
          <w:rFonts w:ascii="Verdana" w:hAnsi="Verdana" w:cs="Arial"/>
          <w:sz w:val="20"/>
          <w:szCs w:val="20"/>
          <w:lang w:val="en-US"/>
        </w:rPr>
        <w:t xml:space="preserve"> Nevertheless, as indicated in the </w:t>
      </w:r>
      <w:r w:rsidRPr="0092147A">
        <w:rPr>
          <w:rFonts w:ascii="Verdana" w:hAnsi="Verdana" w:cs="Arial"/>
          <w:i/>
          <w:sz w:val="20"/>
          <w:szCs w:val="20"/>
          <w:lang w:val="en-US"/>
        </w:rPr>
        <w:t>case of the</w:t>
      </w:r>
      <w:r w:rsidRPr="00FE7BA7">
        <w:rPr>
          <w:rFonts w:ascii="Verdana" w:hAnsi="Verdana" w:cs="Arial"/>
          <w:sz w:val="20"/>
          <w:szCs w:val="20"/>
          <w:lang w:val="en-US"/>
        </w:rPr>
        <w:t xml:space="preserve"> </w:t>
      </w:r>
      <w:r w:rsidR="00FC1FCF" w:rsidRPr="00FE7BA7">
        <w:rPr>
          <w:rFonts w:ascii="Verdana" w:hAnsi="Verdana" w:cs="Arial"/>
          <w:i/>
          <w:sz w:val="20"/>
          <w:szCs w:val="20"/>
          <w:lang w:val="en-US"/>
        </w:rPr>
        <w:t>Xákmok Kásek</w:t>
      </w:r>
      <w:r w:rsidRPr="00FE7BA7">
        <w:rPr>
          <w:rFonts w:ascii="Verdana" w:hAnsi="Verdana" w:cs="Arial"/>
          <w:i/>
          <w:sz w:val="20"/>
          <w:szCs w:val="20"/>
          <w:lang w:val="en-US"/>
        </w:rPr>
        <w:t xml:space="preserve"> Indigenous Community</w:t>
      </w:r>
      <w:r w:rsidR="00FC1FCF" w:rsidRPr="00FE7BA7">
        <w:rPr>
          <w:rFonts w:ascii="Verdana" w:hAnsi="Verdana" w:cs="Arial"/>
          <w:sz w:val="20"/>
          <w:szCs w:val="20"/>
          <w:lang w:val="en-US"/>
        </w:rPr>
        <w:t xml:space="preserve">, </w:t>
      </w:r>
      <w:r w:rsidR="002B5CCD"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004E3742">
        <w:rPr>
          <w:rFonts w:ascii="Verdana" w:hAnsi="Verdana" w:cs="Arial"/>
          <w:sz w:val="20"/>
          <w:szCs w:val="20"/>
          <w:lang w:val="en-US"/>
        </w:rPr>
        <w:t xml:space="preserve">has </w:t>
      </w:r>
      <w:r w:rsidRPr="00FE7BA7">
        <w:rPr>
          <w:rFonts w:ascii="Verdana" w:hAnsi="Verdana" w:cs="Arial"/>
          <w:sz w:val="20"/>
          <w:szCs w:val="20"/>
          <w:lang w:val="en-US"/>
        </w:rPr>
        <w:t>determined that</w:t>
      </w:r>
      <w:r w:rsidR="00FC1FCF" w:rsidRPr="00FE7BA7">
        <w:rPr>
          <w:rFonts w:ascii="Verdana" w:hAnsi="Verdana" w:cs="Arial"/>
          <w:sz w:val="20"/>
          <w:szCs w:val="20"/>
          <w:lang w:val="en-US"/>
        </w:rPr>
        <w:t xml:space="preserve"> “[…] </w:t>
      </w:r>
      <w:r w:rsidR="002B5CCD" w:rsidRPr="00FE7BA7">
        <w:rPr>
          <w:rFonts w:ascii="Verdana" w:hAnsi="Verdana" w:cs="Arial"/>
          <w:sz w:val="20"/>
          <w:szCs w:val="20"/>
          <w:lang w:val="en-US"/>
        </w:rPr>
        <w:t>the State</w:t>
      </w:r>
      <w:r w:rsidR="00FC1FCF" w:rsidRPr="00FE7BA7">
        <w:rPr>
          <w:rFonts w:ascii="Verdana" w:hAnsi="Verdana" w:cs="Arial"/>
          <w:sz w:val="20"/>
          <w:szCs w:val="20"/>
          <w:lang w:val="en-US"/>
        </w:rPr>
        <w:t xml:space="preserve"> </w:t>
      </w:r>
      <w:r w:rsidRPr="00FE7BA7">
        <w:rPr>
          <w:rFonts w:ascii="Verdana" w:hAnsi="Verdana" w:cs="Arial"/>
          <w:sz w:val="20"/>
          <w:szCs w:val="20"/>
          <w:lang w:val="en-US"/>
        </w:rPr>
        <w:t xml:space="preserve">must adopt the necessary measures to ensure that [its domestic laws </w:t>
      </w:r>
      <w:r w:rsidR="0092147A">
        <w:rPr>
          <w:rFonts w:ascii="Verdana" w:hAnsi="Verdana" w:cs="Arial"/>
          <w:sz w:val="20"/>
          <w:szCs w:val="20"/>
          <w:lang w:val="en-US"/>
        </w:rPr>
        <w:t>concerning</w:t>
      </w:r>
      <w:r w:rsidRPr="00FE7BA7">
        <w:rPr>
          <w:rFonts w:ascii="Verdana" w:hAnsi="Verdana" w:cs="Arial"/>
          <w:sz w:val="20"/>
          <w:szCs w:val="20"/>
          <w:lang w:val="en-US"/>
        </w:rPr>
        <w:t xml:space="preserve"> the protected area] </w:t>
      </w:r>
      <w:r w:rsidR="0092147A">
        <w:rPr>
          <w:rFonts w:ascii="Verdana" w:hAnsi="Verdana" w:cs="Arial"/>
          <w:sz w:val="20"/>
          <w:szCs w:val="20"/>
          <w:lang w:val="en-US"/>
        </w:rPr>
        <w:t>do not represent an obstacle to</w:t>
      </w:r>
      <w:r w:rsidR="004E3742">
        <w:rPr>
          <w:rFonts w:ascii="Verdana" w:hAnsi="Verdana" w:cs="Arial"/>
          <w:sz w:val="20"/>
          <w:szCs w:val="20"/>
          <w:lang w:val="en-US"/>
        </w:rPr>
        <w:t xml:space="preserve"> the return of</w:t>
      </w:r>
      <w:r w:rsidRPr="00FE7BA7">
        <w:rPr>
          <w:rFonts w:ascii="Verdana" w:hAnsi="Verdana" w:cs="Arial"/>
          <w:sz w:val="20"/>
          <w:szCs w:val="20"/>
          <w:lang w:val="en-US"/>
        </w:rPr>
        <w:t xml:space="preserve"> </w:t>
      </w:r>
      <w:r w:rsidR="00FD14B3" w:rsidRPr="00FE7BA7">
        <w:rPr>
          <w:rFonts w:ascii="Verdana" w:hAnsi="Verdana" w:cs="Arial"/>
          <w:sz w:val="20"/>
          <w:szCs w:val="20"/>
          <w:lang w:val="en-US"/>
        </w:rPr>
        <w:t>traditional lands</w:t>
      </w:r>
      <w:r w:rsidR="00FC1FCF" w:rsidRPr="00FE7BA7">
        <w:rPr>
          <w:rFonts w:ascii="Verdana" w:hAnsi="Verdana" w:cs="Arial"/>
          <w:sz w:val="20"/>
          <w:szCs w:val="20"/>
          <w:lang w:val="en-US"/>
        </w:rPr>
        <w:t xml:space="preserve"> </w:t>
      </w:r>
      <w:r w:rsidRPr="00FE7BA7">
        <w:rPr>
          <w:rFonts w:ascii="Verdana" w:hAnsi="Verdana" w:cs="Arial"/>
          <w:sz w:val="20"/>
          <w:szCs w:val="20"/>
          <w:lang w:val="en-US"/>
        </w:rPr>
        <w:t>to the members of the Community.</w:t>
      </w:r>
      <w:r w:rsidR="00FC1FCF" w:rsidRPr="00FE7BA7">
        <w:rPr>
          <w:rFonts w:ascii="Verdana" w:hAnsi="Verdana" w:cs="Arial"/>
          <w:sz w:val="20"/>
          <w:szCs w:val="20"/>
          <w:lang w:val="en-US"/>
        </w:rPr>
        <w:t>”</w:t>
      </w:r>
      <w:r w:rsidR="00FC1FCF" w:rsidRPr="00FE7BA7">
        <w:rPr>
          <w:rStyle w:val="FootnoteReference"/>
          <w:szCs w:val="20"/>
          <w:lang w:val="en-US"/>
        </w:rPr>
        <w:t xml:space="preserve"> </w:t>
      </w:r>
      <w:r w:rsidR="00FC1FCF" w:rsidRPr="00FE7BA7">
        <w:rPr>
          <w:rStyle w:val="FootnoteReference"/>
          <w:szCs w:val="20"/>
          <w:lang w:val="en-US"/>
        </w:rPr>
        <w:footnoteReference w:id="216"/>
      </w:r>
    </w:p>
    <w:p w14:paraId="631269C4" w14:textId="77777777" w:rsidR="00FC1FCF" w:rsidRPr="00FE7BA7" w:rsidRDefault="00FC1FCF" w:rsidP="00FC1FCF">
      <w:pPr>
        <w:jc w:val="both"/>
        <w:rPr>
          <w:rFonts w:ascii="Verdana" w:hAnsi="Verdana" w:cs="Arial"/>
          <w:sz w:val="20"/>
          <w:szCs w:val="20"/>
          <w:lang w:val="en-US"/>
        </w:rPr>
      </w:pPr>
    </w:p>
    <w:p w14:paraId="631269C5" w14:textId="4FB24BC0" w:rsidR="00FC1FCF" w:rsidRPr="00FE7BA7" w:rsidRDefault="002B5CCD" w:rsidP="002956E6">
      <w:pPr>
        <w:pStyle w:val="ListParagraph"/>
        <w:numPr>
          <w:ilvl w:val="0"/>
          <w:numId w:val="2"/>
        </w:numPr>
        <w:ind w:left="0" w:hanging="11"/>
        <w:jc w:val="both"/>
        <w:rPr>
          <w:rFonts w:ascii="Verdana" w:hAnsi="Verdana"/>
          <w:sz w:val="20"/>
          <w:szCs w:val="20"/>
          <w:lang w:val="en-US"/>
        </w:rPr>
      </w:pPr>
      <w:r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00BD40EF" w:rsidRPr="00FE7BA7">
        <w:rPr>
          <w:rFonts w:ascii="Verdana" w:hAnsi="Verdana" w:cs="Arial"/>
          <w:sz w:val="20"/>
          <w:szCs w:val="20"/>
          <w:lang w:val="en-US"/>
        </w:rPr>
        <w:t xml:space="preserve">considers it </w:t>
      </w:r>
      <w:r w:rsidR="00F8718A">
        <w:rPr>
          <w:rFonts w:ascii="Verdana" w:hAnsi="Verdana" w:cs="Arial"/>
          <w:sz w:val="20"/>
          <w:szCs w:val="20"/>
          <w:lang w:val="en-US"/>
        </w:rPr>
        <w:t>important</w:t>
      </w:r>
      <w:r w:rsidR="00F8718A" w:rsidRPr="00FE7BA7">
        <w:rPr>
          <w:rFonts w:ascii="Verdana" w:hAnsi="Verdana" w:cs="Arial"/>
          <w:sz w:val="20"/>
          <w:szCs w:val="20"/>
          <w:lang w:val="en-US"/>
        </w:rPr>
        <w:t xml:space="preserve"> </w:t>
      </w:r>
      <w:r w:rsidR="00BD40EF" w:rsidRPr="00FE7BA7">
        <w:rPr>
          <w:rFonts w:ascii="Verdana" w:hAnsi="Verdana" w:cs="Arial"/>
          <w:sz w:val="20"/>
          <w:szCs w:val="20"/>
          <w:lang w:val="en-US"/>
        </w:rPr>
        <w:t>to refer to the need to ensure the compa</w:t>
      </w:r>
      <w:r w:rsidR="0092147A">
        <w:rPr>
          <w:rFonts w:ascii="Verdana" w:hAnsi="Verdana" w:cs="Arial"/>
          <w:sz w:val="20"/>
          <w:szCs w:val="20"/>
          <w:lang w:val="en-US"/>
        </w:rPr>
        <w:t>tibility of the safeguard of</w:t>
      </w:r>
      <w:r w:rsidR="00BD40EF" w:rsidRPr="00FE7BA7">
        <w:rPr>
          <w:rFonts w:ascii="Verdana" w:hAnsi="Verdana" w:cs="Arial"/>
          <w:sz w:val="20"/>
          <w:szCs w:val="20"/>
          <w:lang w:val="en-US"/>
        </w:rPr>
        <w:t xml:space="preserve"> protected areas with the adequate use and enjoyment of the traditional territories of indigenous peoples. In this regard, the Court finds that a protected area consists not only of its biological dimension, but also </w:t>
      </w:r>
      <w:r w:rsidR="004E3742">
        <w:rPr>
          <w:rFonts w:ascii="Verdana" w:hAnsi="Verdana" w:cs="Arial"/>
          <w:sz w:val="20"/>
          <w:szCs w:val="20"/>
          <w:lang w:val="en-US"/>
        </w:rPr>
        <w:t>of its socio-cultural dimension</w:t>
      </w:r>
      <w:r w:rsidR="00BD40EF" w:rsidRPr="0092147A">
        <w:rPr>
          <w:rFonts w:ascii="Verdana" w:hAnsi="Verdana" w:cs="Arial"/>
          <w:sz w:val="20"/>
          <w:szCs w:val="20"/>
          <w:lang w:val="en-US"/>
        </w:rPr>
        <w:t xml:space="preserve"> and that, therefore, it requires an interdisciplinary, participatory approach.</w:t>
      </w:r>
      <w:r w:rsidR="00FC1FCF" w:rsidRPr="0092147A">
        <w:rPr>
          <w:rStyle w:val="FootnoteReference"/>
          <w:szCs w:val="20"/>
          <w:lang w:val="en-US"/>
        </w:rPr>
        <w:footnoteReference w:id="217"/>
      </w:r>
      <w:r w:rsidR="00BD40EF" w:rsidRPr="0092147A">
        <w:rPr>
          <w:rFonts w:ascii="Verdana" w:hAnsi="Verdana"/>
          <w:sz w:val="20"/>
          <w:szCs w:val="20"/>
          <w:lang w:val="en-US"/>
        </w:rPr>
        <w:t xml:space="preserve"> Thus</w:t>
      </w:r>
      <w:r w:rsidR="00BD40EF" w:rsidRPr="00FE7BA7">
        <w:rPr>
          <w:rFonts w:ascii="Verdana" w:hAnsi="Verdana"/>
          <w:sz w:val="20"/>
          <w:szCs w:val="20"/>
          <w:lang w:val="en-US"/>
        </w:rPr>
        <w:t>, in general, the indigenous peoples may play a</w:t>
      </w:r>
      <w:r w:rsidR="00F8718A">
        <w:rPr>
          <w:rFonts w:ascii="Verdana" w:hAnsi="Verdana"/>
          <w:sz w:val="20"/>
          <w:szCs w:val="20"/>
          <w:lang w:val="en-US"/>
        </w:rPr>
        <w:t>n</w:t>
      </w:r>
      <w:r w:rsidR="00BD40EF" w:rsidRPr="00FE7BA7">
        <w:rPr>
          <w:rFonts w:ascii="Verdana" w:hAnsi="Verdana"/>
          <w:sz w:val="20"/>
          <w:szCs w:val="20"/>
          <w:lang w:val="en-US"/>
        </w:rPr>
        <w:t xml:space="preserve"> </w:t>
      </w:r>
      <w:r w:rsidR="00F8718A">
        <w:rPr>
          <w:rFonts w:ascii="Verdana" w:hAnsi="Verdana"/>
          <w:sz w:val="20"/>
          <w:szCs w:val="20"/>
          <w:lang w:val="en-US"/>
        </w:rPr>
        <w:t>important</w:t>
      </w:r>
      <w:r w:rsidR="00BD40EF" w:rsidRPr="00FE7BA7">
        <w:rPr>
          <w:rFonts w:ascii="Verdana" w:hAnsi="Verdana"/>
          <w:sz w:val="20"/>
          <w:szCs w:val="20"/>
          <w:lang w:val="en-US"/>
        </w:rPr>
        <w:t xml:space="preserve"> role in nature conservation,</w:t>
      </w:r>
      <w:r w:rsidR="00FC1FCF" w:rsidRPr="00FE7BA7">
        <w:rPr>
          <w:rStyle w:val="FootnoteReference"/>
          <w:szCs w:val="20"/>
          <w:lang w:val="en-US"/>
        </w:rPr>
        <w:footnoteReference w:id="218"/>
      </w:r>
      <w:r w:rsidR="00BD40EF" w:rsidRPr="00FE7BA7">
        <w:rPr>
          <w:rFonts w:ascii="Verdana" w:hAnsi="Verdana"/>
          <w:sz w:val="20"/>
          <w:szCs w:val="20"/>
          <w:lang w:val="en-US"/>
        </w:rPr>
        <w:t xml:space="preserve"> since certain traditional uses entail sustainable practices and are considered essenti</w:t>
      </w:r>
      <w:r w:rsidR="0092147A">
        <w:rPr>
          <w:rFonts w:ascii="Verdana" w:hAnsi="Verdana"/>
          <w:sz w:val="20"/>
          <w:szCs w:val="20"/>
          <w:lang w:val="en-US"/>
        </w:rPr>
        <w:t xml:space="preserve">al for the effectiveness of </w:t>
      </w:r>
      <w:r w:rsidR="00BD40EF" w:rsidRPr="00FE7BA7">
        <w:rPr>
          <w:rFonts w:ascii="Verdana" w:hAnsi="Verdana"/>
          <w:sz w:val="20"/>
          <w:szCs w:val="20"/>
          <w:lang w:val="en-US"/>
        </w:rPr>
        <w:t>conservation strategies.</w:t>
      </w:r>
      <w:r w:rsidR="00FC1FCF" w:rsidRPr="00FE7BA7">
        <w:rPr>
          <w:rStyle w:val="FootnoteReference"/>
          <w:szCs w:val="20"/>
          <w:lang w:val="en-US"/>
        </w:rPr>
        <w:footnoteReference w:id="219"/>
      </w:r>
      <w:r w:rsidR="00BD40EF" w:rsidRPr="00FE7BA7">
        <w:rPr>
          <w:rFonts w:ascii="Verdana" w:hAnsi="Verdana"/>
          <w:sz w:val="20"/>
          <w:szCs w:val="20"/>
          <w:lang w:val="en-US"/>
        </w:rPr>
        <w:t xml:space="preserve"> Consequently, respect for the rights of the indigenous peoples may have a positive impact on environmental conservation. Hence, the rights</w:t>
      </w:r>
      <w:r w:rsidR="000849CD" w:rsidRPr="00FE7BA7">
        <w:rPr>
          <w:rFonts w:ascii="Verdana" w:hAnsi="Verdana"/>
          <w:sz w:val="20"/>
          <w:szCs w:val="20"/>
          <w:lang w:val="en-US"/>
        </w:rPr>
        <w:t xml:space="preserve"> </w:t>
      </w:r>
      <w:r w:rsidR="00BD40EF" w:rsidRPr="00FE7BA7">
        <w:rPr>
          <w:rFonts w:ascii="Verdana" w:hAnsi="Verdana"/>
          <w:sz w:val="20"/>
          <w:szCs w:val="20"/>
          <w:lang w:val="en-US"/>
        </w:rPr>
        <w:t>of the indigenous peoples</w:t>
      </w:r>
      <w:r w:rsidRPr="00FE7BA7">
        <w:rPr>
          <w:rFonts w:ascii="Verdana" w:hAnsi="Verdana"/>
          <w:sz w:val="20"/>
          <w:szCs w:val="20"/>
          <w:lang w:val="en-US"/>
        </w:rPr>
        <w:t xml:space="preserve"> and </w:t>
      </w:r>
      <w:r w:rsidR="00BD40EF" w:rsidRPr="00FE7BA7">
        <w:rPr>
          <w:rFonts w:ascii="Verdana" w:hAnsi="Verdana"/>
          <w:sz w:val="20"/>
          <w:szCs w:val="20"/>
          <w:lang w:val="en-US"/>
        </w:rPr>
        <w:t xml:space="preserve">international environmental laws should be understood as complementary, rather than </w:t>
      </w:r>
      <w:r w:rsidR="00BD40EF" w:rsidRPr="0092147A">
        <w:rPr>
          <w:rFonts w:ascii="Verdana" w:hAnsi="Verdana"/>
          <w:sz w:val="20"/>
          <w:szCs w:val="20"/>
          <w:lang w:val="en-US"/>
        </w:rPr>
        <w:t>exclusionary, rights.</w:t>
      </w:r>
      <w:r w:rsidR="00FC1FCF" w:rsidRPr="0092147A">
        <w:rPr>
          <w:rStyle w:val="FootnoteReference"/>
          <w:szCs w:val="20"/>
          <w:lang w:val="en-US"/>
        </w:rPr>
        <w:footnoteReference w:id="220"/>
      </w:r>
    </w:p>
    <w:p w14:paraId="631269C6" w14:textId="77777777" w:rsidR="00FC1FCF" w:rsidRPr="00FE7BA7" w:rsidRDefault="00FC1FCF" w:rsidP="002956E6">
      <w:pPr>
        <w:jc w:val="both"/>
        <w:rPr>
          <w:rFonts w:ascii="Verdana" w:hAnsi="Verdana" w:cs="Arial"/>
          <w:sz w:val="20"/>
          <w:szCs w:val="20"/>
          <w:lang w:val="en-US"/>
        </w:rPr>
      </w:pPr>
    </w:p>
    <w:p w14:paraId="631269C7" w14:textId="77777777" w:rsidR="00FC1FCF" w:rsidRPr="00FE7BA7" w:rsidRDefault="00FE7BA7" w:rsidP="002956E6">
      <w:pPr>
        <w:pStyle w:val="ListParagraph"/>
        <w:numPr>
          <w:ilvl w:val="0"/>
          <w:numId w:val="2"/>
        </w:numPr>
        <w:ind w:left="0" w:hanging="11"/>
        <w:jc w:val="both"/>
        <w:rPr>
          <w:rFonts w:ascii="Verdana" w:hAnsi="Verdana" w:cs="Arial"/>
          <w:sz w:val="20"/>
          <w:szCs w:val="20"/>
          <w:lang w:val="en-US"/>
        </w:rPr>
      </w:pPr>
      <w:r>
        <w:rPr>
          <w:rFonts w:ascii="Verdana" w:hAnsi="Verdana" w:cs="Arial"/>
          <w:sz w:val="20"/>
          <w:szCs w:val="20"/>
          <w:lang w:val="en-US"/>
        </w:rPr>
        <w:t xml:space="preserve">In this regard, </w:t>
      </w:r>
      <w:r w:rsidR="00BD40EF" w:rsidRPr="00FE7BA7">
        <w:rPr>
          <w:rFonts w:ascii="Verdana" w:hAnsi="Verdana" w:cs="Arial"/>
          <w:sz w:val="20"/>
          <w:szCs w:val="20"/>
          <w:lang w:val="en-US"/>
        </w:rPr>
        <w:t xml:space="preserve">in her expert </w:t>
      </w:r>
      <w:r w:rsidRPr="00FE7BA7">
        <w:rPr>
          <w:rFonts w:ascii="Verdana" w:hAnsi="Verdana" w:cs="Arial"/>
          <w:sz w:val="20"/>
          <w:szCs w:val="20"/>
          <w:lang w:val="en-US"/>
        </w:rPr>
        <w:t>opinion</w:t>
      </w:r>
      <w:r w:rsidR="00BD40EF" w:rsidRPr="00FE7BA7">
        <w:rPr>
          <w:rFonts w:ascii="Verdana" w:hAnsi="Verdana" w:cs="Arial"/>
          <w:sz w:val="20"/>
          <w:szCs w:val="20"/>
          <w:lang w:val="en-US"/>
        </w:rPr>
        <w:t>, the UN Special Rapporteur on the Rights of Indigenous Peoples</w:t>
      </w:r>
      <w:r w:rsidR="00FC1FCF" w:rsidRPr="00FE7BA7">
        <w:rPr>
          <w:rFonts w:ascii="Verdana" w:hAnsi="Verdana" w:cs="Arial"/>
          <w:sz w:val="20"/>
          <w:szCs w:val="20"/>
          <w:lang w:val="en-US"/>
        </w:rPr>
        <w:t xml:space="preserve">, Victoria Tauli-Corpuz, </w:t>
      </w:r>
      <w:r w:rsidR="00BD40EF" w:rsidRPr="00FE7BA7">
        <w:rPr>
          <w:rFonts w:ascii="Verdana" w:hAnsi="Verdana" w:cs="Arial"/>
          <w:sz w:val="20"/>
          <w:szCs w:val="20"/>
          <w:lang w:val="en-US"/>
        </w:rPr>
        <w:t>indicated to</w:t>
      </w:r>
      <w:r w:rsidR="00FC1FCF" w:rsidRPr="00FE7BA7">
        <w:rPr>
          <w:rFonts w:ascii="Verdana" w:hAnsi="Verdana" w:cs="Arial"/>
          <w:sz w:val="20"/>
          <w:szCs w:val="20"/>
          <w:lang w:val="en-US"/>
        </w:rPr>
        <w:t xml:space="preserve"> </w:t>
      </w:r>
      <w:r w:rsidR="002B5CCD"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00BD40EF" w:rsidRPr="00FE7BA7">
        <w:rPr>
          <w:rFonts w:ascii="Verdana" w:hAnsi="Verdana" w:cs="Arial"/>
          <w:sz w:val="20"/>
          <w:szCs w:val="20"/>
          <w:lang w:val="en-US"/>
        </w:rPr>
        <w:t>that</w:t>
      </w:r>
      <w:r w:rsidR="00FC1FCF" w:rsidRPr="00FE7BA7">
        <w:rPr>
          <w:rFonts w:ascii="Verdana" w:hAnsi="Verdana" w:cs="Arial"/>
          <w:sz w:val="20"/>
          <w:szCs w:val="20"/>
          <w:lang w:val="en-US"/>
        </w:rPr>
        <w:t xml:space="preserve">: </w:t>
      </w:r>
    </w:p>
    <w:p w14:paraId="631269C8" w14:textId="77777777" w:rsidR="00FC1FCF" w:rsidRPr="00FE7BA7" w:rsidRDefault="00FC1FCF" w:rsidP="002956E6">
      <w:pPr>
        <w:jc w:val="both"/>
        <w:rPr>
          <w:rFonts w:ascii="Verdana" w:hAnsi="Verdana" w:cs="Arial"/>
          <w:sz w:val="20"/>
          <w:szCs w:val="20"/>
          <w:lang w:val="en-US"/>
        </w:rPr>
      </w:pPr>
    </w:p>
    <w:p w14:paraId="631269C9" w14:textId="77777777" w:rsidR="00FC1FCF" w:rsidRPr="00FE7BA7" w:rsidRDefault="00FC1FCF" w:rsidP="00542991">
      <w:pPr>
        <w:ind w:left="567"/>
        <w:jc w:val="both"/>
        <w:rPr>
          <w:rFonts w:ascii="Verdana" w:hAnsi="Verdana" w:cs="Arial"/>
          <w:sz w:val="18"/>
          <w:szCs w:val="20"/>
          <w:lang w:val="en-US"/>
        </w:rPr>
      </w:pPr>
      <w:r w:rsidRPr="00FE7BA7">
        <w:rPr>
          <w:rFonts w:ascii="Verdana" w:hAnsi="Verdana" w:cs="Arial"/>
          <w:sz w:val="18"/>
          <w:szCs w:val="20"/>
          <w:lang w:val="en-US"/>
        </w:rPr>
        <w:t xml:space="preserve"> “</w:t>
      </w:r>
      <w:r w:rsidR="00542991" w:rsidRPr="00FE7BA7">
        <w:rPr>
          <w:rFonts w:ascii="Verdana" w:hAnsi="Verdana" w:cs="Arial"/>
          <w:sz w:val="18"/>
          <w:szCs w:val="20"/>
          <w:lang w:val="en-US"/>
        </w:rPr>
        <w:t>International environmental law and international human rights law should not be considered separate, but rather interrelated and complementary</w:t>
      </w:r>
      <w:r w:rsidR="0092147A">
        <w:rPr>
          <w:rFonts w:ascii="Verdana" w:hAnsi="Verdana" w:cs="Arial"/>
          <w:sz w:val="18"/>
          <w:szCs w:val="20"/>
          <w:lang w:val="en-US"/>
        </w:rPr>
        <w:t>,</w:t>
      </w:r>
      <w:r w:rsidR="00542991" w:rsidRPr="00FE7BA7">
        <w:rPr>
          <w:rFonts w:ascii="Verdana" w:hAnsi="Verdana" w:cs="Arial"/>
          <w:sz w:val="18"/>
          <w:szCs w:val="20"/>
          <w:lang w:val="en-US"/>
        </w:rPr>
        <w:t xml:space="preserve"> bodies of law. Indeed, the States Parties to the Convention on Biological Diversity</w:t>
      </w:r>
      <w:r w:rsidRPr="00FE7BA7">
        <w:rPr>
          <w:rFonts w:ascii="Verdana" w:hAnsi="Verdana" w:cs="Arial"/>
          <w:sz w:val="18"/>
          <w:szCs w:val="20"/>
          <w:lang w:val="en-US"/>
        </w:rPr>
        <w:t xml:space="preserve"> (CBD)</w:t>
      </w:r>
      <w:r w:rsidR="00542991" w:rsidRPr="00FE7BA7">
        <w:rPr>
          <w:rFonts w:ascii="Verdana" w:hAnsi="Verdana" w:cs="Arial"/>
          <w:sz w:val="18"/>
          <w:szCs w:val="20"/>
          <w:lang w:val="en-US"/>
        </w:rPr>
        <w:t xml:space="preserve"> have incorporated respect for the related international rights and obligations into their </w:t>
      </w:r>
      <w:r w:rsidR="00FE7BA7" w:rsidRPr="00FE7BA7">
        <w:rPr>
          <w:rFonts w:ascii="Verdana" w:hAnsi="Verdana" w:cs="Arial"/>
          <w:sz w:val="18"/>
          <w:szCs w:val="20"/>
          <w:lang w:val="en-US"/>
        </w:rPr>
        <w:t>decision</w:t>
      </w:r>
      <w:r w:rsidR="00542991" w:rsidRPr="00FE7BA7">
        <w:rPr>
          <w:rFonts w:ascii="Verdana" w:hAnsi="Verdana" w:cs="Arial"/>
          <w:sz w:val="18"/>
          <w:szCs w:val="20"/>
          <w:lang w:val="en-US"/>
        </w:rPr>
        <w:t xml:space="preserve"> on protected areas in relation to </w:t>
      </w:r>
      <w:r w:rsidR="00BD40EF" w:rsidRPr="00FE7BA7">
        <w:rPr>
          <w:rFonts w:ascii="Verdana" w:hAnsi="Verdana" w:cs="Arial"/>
          <w:sz w:val="18"/>
          <w:szCs w:val="20"/>
          <w:lang w:val="en-US"/>
        </w:rPr>
        <w:t>indigenous peoples</w:t>
      </w:r>
      <w:r w:rsidR="00542991" w:rsidRPr="00FE7BA7">
        <w:rPr>
          <w:rFonts w:ascii="Verdana" w:hAnsi="Verdana" w:cs="Arial"/>
          <w:sz w:val="18"/>
          <w:szCs w:val="20"/>
          <w:lang w:val="en-US"/>
        </w:rPr>
        <w:t>.</w:t>
      </w:r>
      <w:r w:rsidRPr="00FE7BA7">
        <w:rPr>
          <w:rFonts w:ascii="Verdana" w:hAnsi="Verdana" w:cs="Arial"/>
          <w:sz w:val="18"/>
          <w:szCs w:val="20"/>
          <w:lang w:val="en-US"/>
        </w:rPr>
        <w:t xml:space="preserve"> […] </w:t>
      </w:r>
      <w:r w:rsidR="00542991" w:rsidRPr="00FE7BA7">
        <w:rPr>
          <w:rFonts w:ascii="Verdana" w:hAnsi="Verdana" w:cs="Arial"/>
          <w:sz w:val="18"/>
          <w:szCs w:val="20"/>
          <w:lang w:val="en-US"/>
        </w:rPr>
        <w:t>The</w:t>
      </w:r>
      <w:r w:rsidRPr="00FE7BA7">
        <w:rPr>
          <w:rFonts w:ascii="Verdana" w:hAnsi="Verdana" w:cs="Arial"/>
          <w:sz w:val="18"/>
          <w:szCs w:val="20"/>
          <w:lang w:val="en-US"/>
        </w:rPr>
        <w:t xml:space="preserve"> CBD</w:t>
      </w:r>
      <w:r w:rsidR="0092147A">
        <w:rPr>
          <w:rFonts w:ascii="Verdana" w:hAnsi="Verdana" w:cs="Arial"/>
          <w:sz w:val="18"/>
          <w:szCs w:val="20"/>
          <w:lang w:val="en-US"/>
        </w:rPr>
        <w:t>,</w:t>
      </w:r>
      <w:r w:rsidR="002B5CCD" w:rsidRPr="00FE7BA7">
        <w:rPr>
          <w:rFonts w:ascii="Verdana" w:hAnsi="Verdana" w:cs="Arial"/>
          <w:sz w:val="18"/>
          <w:szCs w:val="20"/>
          <w:lang w:val="en-US"/>
        </w:rPr>
        <w:t xml:space="preserve"> and</w:t>
      </w:r>
      <w:r w:rsidR="00542991" w:rsidRPr="00FE7BA7">
        <w:rPr>
          <w:rFonts w:ascii="Verdana" w:hAnsi="Verdana" w:cs="Arial"/>
          <w:sz w:val="18"/>
          <w:szCs w:val="20"/>
          <w:lang w:val="en-US"/>
        </w:rPr>
        <w:t xml:space="preserve"> its authorized interpretation by the Conference of the Parties, defends fully the rights </w:t>
      </w:r>
      <w:r w:rsidR="00BD40EF" w:rsidRPr="00FE7BA7">
        <w:rPr>
          <w:rFonts w:ascii="Verdana" w:hAnsi="Verdana" w:cs="Arial"/>
          <w:sz w:val="18"/>
          <w:szCs w:val="20"/>
          <w:lang w:val="en-US"/>
        </w:rPr>
        <w:t>of the indigenous peoples</w:t>
      </w:r>
      <w:r w:rsidRPr="00FE7BA7">
        <w:rPr>
          <w:rFonts w:ascii="Verdana" w:hAnsi="Verdana" w:cs="Arial"/>
          <w:sz w:val="18"/>
          <w:szCs w:val="20"/>
          <w:lang w:val="en-US"/>
        </w:rPr>
        <w:t xml:space="preserve"> </w:t>
      </w:r>
      <w:r w:rsidR="00542991" w:rsidRPr="00FE7BA7">
        <w:rPr>
          <w:rFonts w:ascii="Verdana" w:hAnsi="Verdana" w:cs="Arial"/>
          <w:sz w:val="18"/>
          <w:szCs w:val="20"/>
          <w:lang w:val="en-US"/>
        </w:rPr>
        <w:t>in relation to the protected areas and requires that these are established and managed in full compliance with the State’s international obligation</w:t>
      </w:r>
      <w:r w:rsidR="0092147A">
        <w:rPr>
          <w:rFonts w:ascii="Verdana" w:hAnsi="Verdana" w:cs="Arial"/>
          <w:sz w:val="18"/>
          <w:szCs w:val="20"/>
          <w:lang w:val="en-US"/>
        </w:rPr>
        <w:t>s</w:t>
      </w:r>
      <w:r w:rsidR="00542991" w:rsidRPr="00FE7BA7">
        <w:rPr>
          <w:rFonts w:ascii="Verdana" w:hAnsi="Verdana" w:cs="Arial"/>
          <w:sz w:val="18"/>
          <w:szCs w:val="20"/>
          <w:lang w:val="en-US"/>
        </w:rPr>
        <w:t xml:space="preserve">. This permits the application of the whole range of the State’s human rights obligations as defined by </w:t>
      </w:r>
      <w:r w:rsidR="002B5CCD" w:rsidRPr="00FE7BA7">
        <w:rPr>
          <w:rFonts w:ascii="Verdana" w:hAnsi="Verdana" w:cs="Arial"/>
          <w:sz w:val="18"/>
          <w:szCs w:val="20"/>
          <w:lang w:val="en-US"/>
        </w:rPr>
        <w:t xml:space="preserve">the American Convention on Human Rights and </w:t>
      </w:r>
      <w:r w:rsidR="00542991" w:rsidRPr="00FE7BA7">
        <w:rPr>
          <w:rFonts w:ascii="Verdana" w:hAnsi="Verdana" w:cs="Arial"/>
          <w:sz w:val="18"/>
          <w:szCs w:val="20"/>
          <w:lang w:val="en-US"/>
        </w:rPr>
        <w:t xml:space="preserve">established in the UN Declaration. </w:t>
      </w:r>
      <w:r w:rsidR="0092147A">
        <w:rPr>
          <w:rFonts w:ascii="Verdana" w:hAnsi="Verdana" w:cs="Arial"/>
          <w:sz w:val="18"/>
          <w:szCs w:val="20"/>
          <w:lang w:val="en-US"/>
        </w:rPr>
        <w:t>It</w:t>
      </w:r>
      <w:r w:rsidR="00542991" w:rsidRPr="00FE7BA7">
        <w:rPr>
          <w:rFonts w:ascii="Verdana" w:hAnsi="Verdana" w:cs="Arial"/>
          <w:sz w:val="18"/>
          <w:szCs w:val="20"/>
          <w:lang w:val="en-US"/>
        </w:rPr>
        <w:t xml:space="preserve"> is</w:t>
      </w:r>
      <w:r w:rsidR="0092147A">
        <w:rPr>
          <w:rFonts w:ascii="Verdana" w:hAnsi="Verdana" w:cs="Arial"/>
          <w:sz w:val="18"/>
          <w:szCs w:val="20"/>
          <w:lang w:val="en-US"/>
        </w:rPr>
        <w:t xml:space="preserve"> also the consensus reflected in</w:t>
      </w:r>
      <w:r w:rsidR="00542991" w:rsidRPr="00FE7BA7">
        <w:rPr>
          <w:rFonts w:ascii="Verdana" w:hAnsi="Verdana" w:cs="Arial"/>
          <w:sz w:val="18"/>
          <w:szCs w:val="20"/>
          <w:lang w:val="en-US"/>
        </w:rPr>
        <w:t xml:space="preserve"> the </w:t>
      </w:r>
      <w:r w:rsidR="0092147A">
        <w:rPr>
          <w:rFonts w:ascii="Verdana" w:hAnsi="Verdana" w:cs="Arial"/>
          <w:sz w:val="18"/>
          <w:szCs w:val="20"/>
          <w:lang w:val="en-US"/>
        </w:rPr>
        <w:t>main</w:t>
      </w:r>
      <w:r w:rsidR="00542991" w:rsidRPr="00FE7BA7">
        <w:rPr>
          <w:rFonts w:ascii="Verdana" w:hAnsi="Verdana" w:cs="Arial"/>
          <w:sz w:val="18"/>
          <w:szCs w:val="20"/>
          <w:lang w:val="en-US"/>
        </w:rPr>
        <w:t xml:space="preserve"> international policy norms and best practice</w:t>
      </w:r>
      <w:r w:rsidRPr="00FE7BA7">
        <w:rPr>
          <w:rFonts w:ascii="Verdana" w:hAnsi="Verdana" w:cs="Arial"/>
          <w:sz w:val="18"/>
          <w:szCs w:val="20"/>
          <w:lang w:val="en-US"/>
        </w:rPr>
        <w:t xml:space="preserve">. […] </w:t>
      </w:r>
      <w:r w:rsidR="00542991" w:rsidRPr="00FE7BA7">
        <w:rPr>
          <w:rFonts w:ascii="Verdana" w:hAnsi="Verdana" w:cs="Arial"/>
          <w:sz w:val="18"/>
          <w:szCs w:val="20"/>
          <w:lang w:val="en-US"/>
        </w:rPr>
        <w:t>The [UN] Rapporteur has adhered to these same basic principles affirmed</w:t>
      </w:r>
      <w:r w:rsidR="0092147A">
        <w:rPr>
          <w:rFonts w:ascii="Verdana" w:hAnsi="Verdana" w:cs="Arial"/>
          <w:sz w:val="18"/>
          <w:szCs w:val="20"/>
          <w:lang w:val="en-US"/>
        </w:rPr>
        <w:t xml:space="preserve"> by</w:t>
      </w:r>
      <w:r w:rsidR="00542991" w:rsidRPr="00FE7BA7">
        <w:rPr>
          <w:rFonts w:ascii="Verdana" w:hAnsi="Verdana" w:cs="Arial"/>
          <w:sz w:val="18"/>
          <w:szCs w:val="20"/>
          <w:lang w:val="en-US"/>
        </w:rPr>
        <w:t xml:space="preserve"> </w:t>
      </w:r>
      <w:r w:rsidR="00D63518" w:rsidRPr="00FE7BA7">
        <w:rPr>
          <w:rFonts w:ascii="Verdana" w:hAnsi="Verdana" w:cs="Arial"/>
          <w:sz w:val="18"/>
          <w:szCs w:val="20"/>
          <w:lang w:val="en-US"/>
        </w:rPr>
        <w:t>the Human Rights Committee</w:t>
      </w:r>
      <w:r w:rsidR="002B5CCD" w:rsidRPr="00FE7BA7">
        <w:rPr>
          <w:rFonts w:ascii="Verdana" w:hAnsi="Verdana" w:cs="Arial"/>
          <w:sz w:val="18"/>
          <w:szCs w:val="20"/>
          <w:lang w:val="en-US"/>
        </w:rPr>
        <w:t xml:space="preserve"> and </w:t>
      </w:r>
      <w:r w:rsidR="00542991" w:rsidRPr="00FE7BA7">
        <w:rPr>
          <w:rFonts w:ascii="Verdana" w:hAnsi="Verdana" w:cs="Arial"/>
          <w:sz w:val="18"/>
          <w:szCs w:val="20"/>
          <w:lang w:val="en-US"/>
        </w:rPr>
        <w:t>the Committee for the Elimination of Racial Discrimination</w:t>
      </w:r>
      <w:r w:rsidRPr="00FE7BA7">
        <w:rPr>
          <w:rFonts w:ascii="Verdana" w:hAnsi="Verdana" w:cs="Arial"/>
          <w:sz w:val="18"/>
          <w:szCs w:val="20"/>
          <w:lang w:val="en-US"/>
        </w:rPr>
        <w:t>. […]</w:t>
      </w:r>
      <w:r w:rsidR="00542991" w:rsidRPr="00FE7BA7">
        <w:rPr>
          <w:rFonts w:ascii="Verdana" w:hAnsi="Verdana" w:cs="Arial"/>
          <w:sz w:val="18"/>
          <w:szCs w:val="20"/>
          <w:lang w:val="en-US"/>
        </w:rPr>
        <w:t>.”</w:t>
      </w:r>
      <w:r w:rsidRPr="00FE7BA7">
        <w:rPr>
          <w:rFonts w:ascii="Verdana" w:hAnsi="Verdana"/>
          <w:sz w:val="18"/>
          <w:szCs w:val="20"/>
          <w:vertAlign w:val="superscript"/>
          <w:lang w:val="en-US"/>
        </w:rPr>
        <w:footnoteReference w:id="221"/>
      </w:r>
    </w:p>
    <w:p w14:paraId="631269CA" w14:textId="77777777" w:rsidR="00FC1FCF" w:rsidRPr="00FE7BA7" w:rsidRDefault="00FC1FCF" w:rsidP="002956E6">
      <w:pPr>
        <w:jc w:val="both"/>
        <w:rPr>
          <w:rFonts w:ascii="Verdana" w:hAnsi="Verdana" w:cs="Arial"/>
          <w:sz w:val="20"/>
          <w:szCs w:val="20"/>
          <w:lang w:val="en-US"/>
        </w:rPr>
      </w:pPr>
    </w:p>
    <w:p w14:paraId="631269CB" w14:textId="77777777" w:rsidR="00FC1FCF" w:rsidRPr="00FE7BA7" w:rsidRDefault="00542991" w:rsidP="002956E6">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Meanwhile,</w:t>
      </w:r>
      <w:r w:rsidR="00FC1FCF" w:rsidRPr="00FE7BA7">
        <w:rPr>
          <w:rFonts w:ascii="Verdana" w:hAnsi="Verdana" w:cs="Arial"/>
          <w:sz w:val="20"/>
          <w:szCs w:val="20"/>
          <w:lang w:val="en-US"/>
        </w:rPr>
        <w:t xml:space="preserve"> </w:t>
      </w:r>
      <w:r w:rsidR="00BE4D11" w:rsidRPr="00FE7BA7">
        <w:rPr>
          <w:rFonts w:ascii="Verdana" w:hAnsi="Verdana" w:cs="Arial"/>
          <w:sz w:val="20"/>
          <w:szCs w:val="20"/>
          <w:lang w:val="en-US"/>
        </w:rPr>
        <w:t>expert witness</w:t>
      </w:r>
      <w:r w:rsidR="00FC1FCF" w:rsidRPr="00FE7BA7">
        <w:rPr>
          <w:rFonts w:ascii="Verdana" w:hAnsi="Verdana" w:cs="Arial"/>
          <w:sz w:val="20"/>
          <w:szCs w:val="20"/>
          <w:lang w:val="en-US"/>
        </w:rPr>
        <w:t xml:space="preserve"> Jeremie Gilbert </w:t>
      </w:r>
      <w:r w:rsidRPr="00FE7BA7">
        <w:rPr>
          <w:rFonts w:ascii="Verdana" w:hAnsi="Verdana" w:cs="Arial"/>
          <w:sz w:val="20"/>
          <w:szCs w:val="20"/>
          <w:lang w:val="en-US"/>
        </w:rPr>
        <w:t xml:space="preserve">testified before </w:t>
      </w:r>
      <w:r w:rsidR="002B5CCD"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Pr="00FE7BA7">
        <w:rPr>
          <w:rFonts w:ascii="Verdana" w:hAnsi="Verdana" w:cs="Arial"/>
          <w:sz w:val="20"/>
          <w:szCs w:val="20"/>
          <w:lang w:val="en-US"/>
        </w:rPr>
        <w:t xml:space="preserve">concerning the </w:t>
      </w:r>
      <w:r w:rsidR="00FE7BA7" w:rsidRPr="00FE7BA7">
        <w:rPr>
          <w:rFonts w:ascii="Verdana" w:hAnsi="Verdana" w:cs="Arial"/>
          <w:sz w:val="20"/>
          <w:szCs w:val="20"/>
          <w:lang w:val="en-US"/>
        </w:rPr>
        <w:t>mechanisms</w:t>
      </w:r>
      <w:r w:rsidRPr="00FE7BA7">
        <w:rPr>
          <w:rFonts w:ascii="Verdana" w:hAnsi="Verdana" w:cs="Arial"/>
          <w:sz w:val="20"/>
          <w:szCs w:val="20"/>
          <w:lang w:val="en-US"/>
        </w:rPr>
        <w:t xml:space="preserve"> for weighing the rights in play in this type of case, and indicated that:</w:t>
      </w:r>
    </w:p>
    <w:p w14:paraId="631269CC" w14:textId="77777777" w:rsidR="00FC1FCF" w:rsidRPr="00FE7BA7" w:rsidRDefault="00FC1FCF" w:rsidP="002956E6">
      <w:pPr>
        <w:jc w:val="both"/>
        <w:rPr>
          <w:rFonts w:ascii="Verdana" w:hAnsi="Verdana" w:cs="Arial"/>
          <w:sz w:val="20"/>
          <w:szCs w:val="20"/>
          <w:lang w:val="en-US"/>
        </w:rPr>
      </w:pPr>
    </w:p>
    <w:p w14:paraId="631269CD" w14:textId="77777777" w:rsidR="00FC1FCF" w:rsidRPr="00FE7BA7" w:rsidRDefault="00FC1FCF" w:rsidP="002956E6">
      <w:pPr>
        <w:ind w:left="567"/>
        <w:jc w:val="both"/>
        <w:rPr>
          <w:rFonts w:ascii="Verdana" w:hAnsi="Verdana" w:cs="Arial"/>
          <w:sz w:val="18"/>
          <w:szCs w:val="18"/>
          <w:lang w:val="en-US"/>
        </w:rPr>
      </w:pPr>
      <w:r w:rsidRPr="00FE7BA7">
        <w:rPr>
          <w:rFonts w:ascii="Verdana" w:hAnsi="Verdana" w:cs="Arial"/>
          <w:sz w:val="18"/>
          <w:szCs w:val="18"/>
          <w:lang w:val="en-US"/>
        </w:rPr>
        <w:t>[Re</w:t>
      </w:r>
      <w:r w:rsidR="006671AA" w:rsidRPr="00FE7BA7">
        <w:rPr>
          <w:rFonts w:ascii="Verdana" w:hAnsi="Verdana" w:cs="Arial"/>
          <w:sz w:val="18"/>
          <w:szCs w:val="18"/>
          <w:lang w:val="en-US"/>
        </w:rPr>
        <w:t xml:space="preserve">garding the criterion of necessity,] </w:t>
      </w:r>
      <w:r w:rsidR="00BD40EF" w:rsidRPr="00FE7BA7">
        <w:rPr>
          <w:rFonts w:ascii="Verdana" w:hAnsi="Verdana" w:cs="Arial"/>
          <w:sz w:val="18"/>
          <w:szCs w:val="18"/>
          <w:lang w:val="en-US"/>
        </w:rPr>
        <w:t>the indigenous peoples</w:t>
      </w:r>
      <w:r w:rsidRPr="00FE7BA7">
        <w:rPr>
          <w:rFonts w:ascii="Verdana" w:hAnsi="Verdana" w:cs="Arial"/>
          <w:sz w:val="18"/>
          <w:szCs w:val="18"/>
          <w:lang w:val="en-US"/>
        </w:rPr>
        <w:t xml:space="preserve"> </w:t>
      </w:r>
      <w:r w:rsidR="006671AA" w:rsidRPr="00FE7BA7">
        <w:rPr>
          <w:rFonts w:ascii="Verdana" w:hAnsi="Verdana" w:cs="Arial"/>
          <w:sz w:val="18"/>
          <w:szCs w:val="18"/>
          <w:lang w:val="en-US"/>
        </w:rPr>
        <w:t xml:space="preserve">are part of </w:t>
      </w:r>
      <w:r w:rsidR="0092147A">
        <w:rPr>
          <w:rFonts w:ascii="Verdana" w:hAnsi="Verdana" w:cs="Arial"/>
          <w:sz w:val="18"/>
          <w:szCs w:val="18"/>
          <w:lang w:val="en-US"/>
        </w:rPr>
        <w:t>the natural</w:t>
      </w:r>
      <w:r w:rsidR="006671AA" w:rsidRPr="00FE7BA7">
        <w:rPr>
          <w:rFonts w:ascii="Verdana" w:hAnsi="Verdana" w:cs="Arial"/>
          <w:sz w:val="18"/>
          <w:szCs w:val="18"/>
          <w:lang w:val="en-US"/>
        </w:rPr>
        <w:t xml:space="preserve"> protection; there is no need to expel </w:t>
      </w:r>
      <w:r w:rsidR="00BD40EF" w:rsidRPr="00FE7BA7">
        <w:rPr>
          <w:rFonts w:ascii="Verdana" w:hAnsi="Verdana" w:cs="Arial"/>
          <w:sz w:val="18"/>
          <w:szCs w:val="18"/>
          <w:lang w:val="en-US"/>
        </w:rPr>
        <w:t>the indigenous peoples</w:t>
      </w:r>
      <w:r w:rsidRPr="00FE7BA7">
        <w:rPr>
          <w:rFonts w:ascii="Verdana" w:hAnsi="Verdana" w:cs="Arial"/>
          <w:sz w:val="18"/>
          <w:szCs w:val="18"/>
          <w:lang w:val="en-US"/>
        </w:rPr>
        <w:t xml:space="preserve"> </w:t>
      </w:r>
      <w:r w:rsidR="006671AA" w:rsidRPr="00FE7BA7">
        <w:rPr>
          <w:rFonts w:ascii="Verdana" w:hAnsi="Verdana" w:cs="Arial"/>
          <w:sz w:val="18"/>
          <w:szCs w:val="18"/>
          <w:lang w:val="en-US"/>
        </w:rPr>
        <w:t xml:space="preserve">in the name of protecting nature. […] Regarding their legitimacy, the protection of nature is legitimate, but based on [what has been said,] </w:t>
      </w:r>
      <w:r w:rsidR="00BD40EF" w:rsidRPr="00FE7BA7">
        <w:rPr>
          <w:rFonts w:ascii="Verdana" w:hAnsi="Verdana" w:cs="Arial"/>
          <w:sz w:val="18"/>
          <w:szCs w:val="18"/>
          <w:lang w:val="en-US"/>
        </w:rPr>
        <w:t>the indigenous peoples</w:t>
      </w:r>
      <w:r w:rsidRPr="00FE7BA7">
        <w:rPr>
          <w:rFonts w:ascii="Verdana" w:hAnsi="Verdana" w:cs="Arial"/>
          <w:sz w:val="18"/>
          <w:szCs w:val="18"/>
          <w:lang w:val="en-US"/>
        </w:rPr>
        <w:t xml:space="preserve"> </w:t>
      </w:r>
      <w:r w:rsidR="006671AA" w:rsidRPr="00FE7BA7">
        <w:rPr>
          <w:rFonts w:ascii="Verdana" w:hAnsi="Verdana" w:cs="Arial"/>
          <w:sz w:val="18"/>
          <w:szCs w:val="18"/>
          <w:lang w:val="en-US"/>
        </w:rPr>
        <w:t xml:space="preserve">are part of the protection of nature, so </w:t>
      </w:r>
      <w:r w:rsidR="00FE7BA7" w:rsidRPr="00FE7BA7">
        <w:rPr>
          <w:rFonts w:ascii="Verdana" w:hAnsi="Verdana" w:cs="Arial"/>
          <w:sz w:val="18"/>
          <w:szCs w:val="18"/>
          <w:lang w:val="en-US"/>
        </w:rPr>
        <w:t>there</w:t>
      </w:r>
      <w:r w:rsidR="006671AA" w:rsidRPr="00FE7BA7">
        <w:rPr>
          <w:rFonts w:ascii="Verdana" w:hAnsi="Verdana" w:cs="Arial"/>
          <w:sz w:val="18"/>
          <w:szCs w:val="18"/>
          <w:lang w:val="en-US"/>
        </w:rPr>
        <w:t xml:space="preserve"> is no legitimate </w:t>
      </w:r>
      <w:r w:rsidR="0092147A">
        <w:rPr>
          <w:rFonts w:ascii="Verdana" w:hAnsi="Verdana" w:cs="Arial"/>
          <w:sz w:val="18"/>
          <w:szCs w:val="18"/>
          <w:lang w:val="en-US"/>
        </w:rPr>
        <w:t>reason</w:t>
      </w:r>
      <w:r w:rsidR="006671AA" w:rsidRPr="00FE7BA7">
        <w:rPr>
          <w:rFonts w:ascii="Verdana" w:hAnsi="Verdana" w:cs="Arial"/>
          <w:sz w:val="18"/>
          <w:szCs w:val="18"/>
          <w:lang w:val="en-US"/>
        </w:rPr>
        <w:t xml:space="preserve"> to eliminate these peoples who have been part of </w:t>
      </w:r>
      <w:r w:rsidR="0092147A">
        <w:rPr>
          <w:rFonts w:ascii="Verdana" w:hAnsi="Verdana" w:cs="Arial"/>
          <w:sz w:val="18"/>
          <w:szCs w:val="18"/>
          <w:lang w:val="en-US"/>
        </w:rPr>
        <w:t>such</w:t>
      </w:r>
      <w:r w:rsidR="006671AA" w:rsidRPr="00FE7BA7">
        <w:rPr>
          <w:rFonts w:ascii="Verdana" w:hAnsi="Verdana" w:cs="Arial"/>
          <w:sz w:val="18"/>
          <w:szCs w:val="18"/>
          <w:lang w:val="en-US"/>
        </w:rPr>
        <w:t xml:space="preserve"> resources. [Therefore], if we apply the law strictly, we can state that, in this situation, [States] are in error when they use public interest as justification.</w:t>
      </w:r>
      <w:r w:rsidRPr="00FE7BA7">
        <w:rPr>
          <w:rFonts w:ascii="Verdana" w:hAnsi="Verdana" w:cs="Arial"/>
          <w:sz w:val="18"/>
          <w:szCs w:val="18"/>
          <w:lang w:val="en-US"/>
        </w:rPr>
        <w:t>”</w:t>
      </w:r>
      <w:r w:rsidRPr="00FE7BA7">
        <w:rPr>
          <w:rStyle w:val="FootnoteReference"/>
          <w:rFonts w:cs="Arial"/>
          <w:sz w:val="18"/>
          <w:szCs w:val="18"/>
          <w:lang w:val="en-US"/>
        </w:rPr>
        <w:footnoteReference w:id="222"/>
      </w:r>
    </w:p>
    <w:p w14:paraId="631269CE" w14:textId="77777777" w:rsidR="002956E6" w:rsidRPr="00FE7BA7" w:rsidRDefault="002956E6" w:rsidP="002956E6">
      <w:pPr>
        <w:ind w:left="567"/>
        <w:jc w:val="both"/>
        <w:rPr>
          <w:sz w:val="18"/>
          <w:szCs w:val="18"/>
          <w:lang w:val="en-US"/>
        </w:rPr>
      </w:pPr>
    </w:p>
    <w:p w14:paraId="631269CF" w14:textId="77777777" w:rsidR="00FC1FCF" w:rsidRPr="00FE7BA7" w:rsidRDefault="006671AA" w:rsidP="002956E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addition, the Court takes note that the State has indicated its commitment to protect</w:t>
      </w:r>
      <w:r w:rsidR="0086680E">
        <w:rPr>
          <w:rFonts w:ascii="Verdana" w:hAnsi="Verdana"/>
          <w:sz w:val="20"/>
          <w:szCs w:val="20"/>
          <w:lang w:val="en-US"/>
        </w:rPr>
        <w:t>ing</w:t>
      </w:r>
      <w:r w:rsidRPr="00FE7BA7">
        <w:rPr>
          <w:rFonts w:ascii="Verdana" w:hAnsi="Verdana"/>
          <w:sz w:val="20"/>
          <w:szCs w:val="20"/>
          <w:lang w:val="en-US"/>
        </w:rPr>
        <w:t xml:space="preserve"> the environment and explicitly emphasized its “obligations arising from the UN Convention on Biological Diversity [1992],</w:t>
      </w:r>
      <w:r w:rsidR="00C06ECD" w:rsidRPr="00FE7BA7">
        <w:rPr>
          <w:rStyle w:val="FootnoteReference"/>
          <w:szCs w:val="20"/>
          <w:lang w:val="en-US"/>
        </w:rPr>
        <w:footnoteReference w:id="223"/>
      </w:r>
      <w:r w:rsidR="002B5CCD" w:rsidRPr="00FE7BA7">
        <w:rPr>
          <w:rFonts w:ascii="Verdana" w:hAnsi="Verdana"/>
          <w:sz w:val="20"/>
          <w:szCs w:val="20"/>
          <w:lang w:val="en-US"/>
        </w:rPr>
        <w:t xml:space="preserve"> and </w:t>
      </w:r>
      <w:r w:rsidRPr="00FE7BA7">
        <w:rPr>
          <w:rFonts w:ascii="Verdana" w:hAnsi="Verdana"/>
          <w:sz w:val="20"/>
          <w:szCs w:val="20"/>
          <w:lang w:val="en-US"/>
        </w:rPr>
        <w:t>the Ramsar Convention on Wetlands [</w:t>
      </w:r>
      <w:r w:rsidR="00FC1FCF" w:rsidRPr="00FE7BA7">
        <w:rPr>
          <w:rFonts w:ascii="Verdana" w:hAnsi="Verdana"/>
          <w:sz w:val="20"/>
          <w:szCs w:val="20"/>
          <w:lang w:val="en-US"/>
        </w:rPr>
        <w:t>1971</w:t>
      </w:r>
      <w:r w:rsidR="00147144" w:rsidRPr="00FE7BA7">
        <w:rPr>
          <w:rFonts w:ascii="Verdana" w:hAnsi="Verdana"/>
          <w:sz w:val="20"/>
          <w:szCs w:val="20"/>
          <w:lang w:val="en-US"/>
        </w:rPr>
        <w:t>]</w:t>
      </w:r>
      <w:r w:rsidRPr="00FE7BA7">
        <w:rPr>
          <w:rFonts w:ascii="Verdana" w:hAnsi="Verdana"/>
          <w:sz w:val="20"/>
          <w:szCs w:val="20"/>
          <w:lang w:val="en-US"/>
        </w:rPr>
        <w:t>.</w:t>
      </w:r>
      <w:r w:rsidR="007A0FA6" w:rsidRPr="00FE7BA7">
        <w:rPr>
          <w:rFonts w:ascii="Verdana" w:hAnsi="Verdana"/>
          <w:sz w:val="20"/>
          <w:szCs w:val="20"/>
          <w:lang w:val="en-US"/>
        </w:rPr>
        <w:t>”</w:t>
      </w:r>
      <w:r w:rsidR="00FF5C4F" w:rsidRPr="00FE7BA7">
        <w:rPr>
          <w:rStyle w:val="FootnoteReference"/>
          <w:szCs w:val="20"/>
          <w:lang w:val="en-US"/>
        </w:rPr>
        <w:footnoteReference w:id="224"/>
      </w:r>
      <w:r w:rsidR="00FC1FCF" w:rsidRPr="00FE7BA7">
        <w:rPr>
          <w:rFonts w:ascii="Verdana" w:hAnsi="Verdana"/>
          <w:sz w:val="20"/>
          <w:szCs w:val="20"/>
          <w:lang w:val="en-US"/>
        </w:rPr>
        <w:t xml:space="preserve"> A</w:t>
      </w:r>
      <w:r w:rsidRPr="00FE7BA7">
        <w:rPr>
          <w:rFonts w:ascii="Verdana" w:hAnsi="Verdana"/>
          <w:sz w:val="20"/>
          <w:szCs w:val="20"/>
          <w:lang w:val="en-US"/>
        </w:rPr>
        <w:t>lso, the preamble to the 1998 Nature Prot</w:t>
      </w:r>
      <w:r w:rsidR="004E3742">
        <w:rPr>
          <w:rFonts w:ascii="Verdana" w:hAnsi="Verdana"/>
          <w:sz w:val="20"/>
          <w:szCs w:val="20"/>
          <w:lang w:val="en-US"/>
        </w:rPr>
        <w:t>ection Order (that amended the o</w:t>
      </w:r>
      <w:r w:rsidRPr="00FE7BA7">
        <w:rPr>
          <w:rFonts w:ascii="Verdana" w:hAnsi="Verdana"/>
          <w:sz w:val="20"/>
          <w:szCs w:val="20"/>
          <w:lang w:val="en-US"/>
        </w:rPr>
        <w:t xml:space="preserve">rders creating the </w:t>
      </w:r>
      <w:r w:rsidR="00FC1FCF" w:rsidRPr="00FE7BA7">
        <w:rPr>
          <w:rFonts w:ascii="Verdana" w:hAnsi="Verdana"/>
          <w:sz w:val="20"/>
          <w:szCs w:val="20"/>
          <w:lang w:val="en-US"/>
        </w:rPr>
        <w:t>Wia Wia</w:t>
      </w:r>
      <w:r w:rsidR="002B5CCD" w:rsidRPr="00FE7BA7">
        <w:rPr>
          <w:rFonts w:ascii="Verdana" w:hAnsi="Verdana"/>
          <w:sz w:val="20"/>
          <w:szCs w:val="20"/>
          <w:lang w:val="en-US"/>
        </w:rPr>
        <w:t xml:space="preserve"> and </w:t>
      </w:r>
      <w:r w:rsidR="00FC1FCF" w:rsidRPr="00FE7BA7">
        <w:rPr>
          <w:rFonts w:ascii="Verdana" w:hAnsi="Verdana"/>
          <w:sz w:val="20"/>
          <w:szCs w:val="20"/>
          <w:lang w:val="en-US"/>
        </w:rPr>
        <w:t>Wane Kreek</w:t>
      </w:r>
      <w:r w:rsidRPr="00FE7BA7">
        <w:rPr>
          <w:rFonts w:ascii="Verdana" w:hAnsi="Verdana"/>
          <w:sz w:val="20"/>
          <w:szCs w:val="20"/>
          <w:lang w:val="en-US"/>
        </w:rPr>
        <w:t xml:space="preserve"> Nature Reserves</w:t>
      </w:r>
      <w:r w:rsidR="00FC1FCF" w:rsidRPr="00FE7BA7">
        <w:rPr>
          <w:rFonts w:ascii="Verdana" w:hAnsi="Verdana"/>
          <w:sz w:val="20"/>
          <w:szCs w:val="20"/>
          <w:lang w:val="en-US"/>
        </w:rPr>
        <w:t xml:space="preserve">) </w:t>
      </w:r>
      <w:r w:rsidR="0086680E">
        <w:rPr>
          <w:rFonts w:ascii="Verdana" w:hAnsi="Verdana"/>
          <w:sz w:val="20"/>
          <w:szCs w:val="20"/>
          <w:lang w:val="en-US"/>
        </w:rPr>
        <w:t>expressly mentioned</w:t>
      </w:r>
      <w:r w:rsidR="004E3742">
        <w:rPr>
          <w:rFonts w:ascii="Verdana" w:hAnsi="Verdana"/>
          <w:sz w:val="20"/>
          <w:szCs w:val="20"/>
          <w:lang w:val="en-US"/>
        </w:rPr>
        <w:t xml:space="preserve"> the State’s commitment</w:t>
      </w:r>
      <w:r w:rsidRPr="00FE7BA7">
        <w:rPr>
          <w:rFonts w:ascii="Verdana" w:hAnsi="Verdana"/>
          <w:sz w:val="20"/>
          <w:szCs w:val="20"/>
          <w:lang w:val="en-US"/>
        </w:rPr>
        <w:t xml:space="preserve"> to the </w:t>
      </w:r>
      <w:r w:rsidR="004E3742">
        <w:rPr>
          <w:rFonts w:ascii="Verdana" w:hAnsi="Verdana"/>
          <w:sz w:val="20"/>
          <w:szCs w:val="20"/>
          <w:lang w:val="en-US"/>
        </w:rPr>
        <w:t>conser</w:t>
      </w:r>
      <w:r w:rsidRPr="00FE7BA7">
        <w:rPr>
          <w:rFonts w:ascii="Verdana" w:hAnsi="Verdana"/>
          <w:sz w:val="20"/>
          <w:szCs w:val="20"/>
          <w:lang w:val="en-US"/>
        </w:rPr>
        <w:t>vation and sustainable development</w:t>
      </w:r>
      <w:r w:rsidR="004E3742">
        <w:rPr>
          <w:rFonts w:ascii="Verdana" w:hAnsi="Verdana"/>
          <w:sz w:val="20"/>
          <w:szCs w:val="20"/>
          <w:lang w:val="en-US"/>
        </w:rPr>
        <w:t xml:space="preserve"> of</w:t>
      </w:r>
      <w:r w:rsidRPr="00FE7BA7">
        <w:rPr>
          <w:rFonts w:ascii="Verdana" w:hAnsi="Verdana"/>
          <w:sz w:val="20"/>
          <w:szCs w:val="20"/>
          <w:lang w:val="en-US"/>
        </w:rPr>
        <w:t xml:space="preserve"> tropical forests, “as a result of Suriname’s accession to several international conventions, such as: </w:t>
      </w:r>
      <w:r w:rsidR="002B5CCD" w:rsidRPr="00FE7BA7">
        <w:rPr>
          <w:rFonts w:ascii="Verdana" w:hAnsi="Verdana"/>
          <w:sz w:val="20"/>
          <w:szCs w:val="20"/>
          <w:lang w:val="en-US"/>
        </w:rPr>
        <w:t xml:space="preserve">the </w:t>
      </w:r>
      <w:r w:rsidRPr="00FE7BA7">
        <w:rPr>
          <w:rFonts w:ascii="Verdana" w:hAnsi="Verdana"/>
          <w:sz w:val="20"/>
          <w:szCs w:val="20"/>
          <w:lang w:val="en-US"/>
        </w:rPr>
        <w:t>World Heritage Convention [1972],</w:t>
      </w:r>
      <w:r w:rsidR="00FC1FCF" w:rsidRPr="00FE7BA7">
        <w:rPr>
          <w:rStyle w:val="FootnoteReference"/>
          <w:szCs w:val="20"/>
          <w:lang w:val="en-US"/>
        </w:rPr>
        <w:footnoteReference w:id="225"/>
      </w:r>
      <w:r w:rsidR="00FC1FCF" w:rsidRPr="00FE7BA7">
        <w:rPr>
          <w:rFonts w:ascii="Verdana" w:hAnsi="Verdana"/>
          <w:sz w:val="20"/>
          <w:szCs w:val="20"/>
          <w:lang w:val="en-US"/>
        </w:rPr>
        <w:t xml:space="preserve"> </w:t>
      </w:r>
      <w:r w:rsidRPr="00FE7BA7">
        <w:rPr>
          <w:rFonts w:ascii="Verdana" w:hAnsi="Verdana"/>
          <w:sz w:val="20"/>
          <w:szCs w:val="20"/>
          <w:lang w:val="en-US"/>
        </w:rPr>
        <w:t>the</w:t>
      </w:r>
      <w:r w:rsidR="00FC1FCF" w:rsidRPr="00FE7BA7">
        <w:rPr>
          <w:rFonts w:ascii="Verdana" w:hAnsi="Verdana"/>
          <w:sz w:val="20"/>
          <w:szCs w:val="20"/>
          <w:lang w:val="en-US"/>
        </w:rPr>
        <w:t xml:space="preserve"> </w:t>
      </w:r>
      <w:r w:rsidR="00BD40EF" w:rsidRPr="00FE7BA7">
        <w:rPr>
          <w:rFonts w:ascii="Verdana" w:hAnsi="Verdana"/>
          <w:sz w:val="20"/>
          <w:szCs w:val="20"/>
          <w:lang w:val="en-US"/>
        </w:rPr>
        <w:t>Convention on Biological Diversity</w:t>
      </w:r>
      <w:r w:rsidRPr="00FE7BA7">
        <w:rPr>
          <w:rFonts w:ascii="Verdana" w:hAnsi="Verdana"/>
          <w:sz w:val="20"/>
          <w:szCs w:val="20"/>
          <w:lang w:val="en-US"/>
        </w:rPr>
        <w:t xml:space="preserve"> [1992], and the United Nations </w:t>
      </w:r>
      <w:r w:rsidRPr="00FE7BA7">
        <w:rPr>
          <w:rFonts w:ascii="Verdana" w:hAnsi="Verdana"/>
          <w:sz w:val="20"/>
          <w:szCs w:val="20"/>
          <w:lang w:val="en-US"/>
        </w:rPr>
        <w:lastRenderedPageBreak/>
        <w:t>Framework Convention on Climate Change [1998],</w:t>
      </w:r>
      <w:r w:rsidR="007A0FA6" w:rsidRPr="00FE7BA7">
        <w:rPr>
          <w:rFonts w:ascii="Verdana" w:hAnsi="Verdana"/>
          <w:sz w:val="20"/>
          <w:szCs w:val="20"/>
          <w:lang w:val="en-US"/>
        </w:rPr>
        <w:t>”</w:t>
      </w:r>
      <w:r w:rsidR="00FC1FCF" w:rsidRPr="00FE7BA7">
        <w:rPr>
          <w:rStyle w:val="FootnoteReference"/>
          <w:szCs w:val="20"/>
          <w:lang w:val="en-US"/>
        </w:rPr>
        <w:footnoteReference w:id="226"/>
      </w:r>
      <w:r w:rsidR="00FC1FCF" w:rsidRPr="00FE7BA7">
        <w:rPr>
          <w:rFonts w:ascii="Verdana" w:hAnsi="Verdana"/>
          <w:sz w:val="20"/>
          <w:szCs w:val="20"/>
          <w:lang w:val="en-US"/>
        </w:rPr>
        <w:t xml:space="preserve"> </w:t>
      </w:r>
      <w:r w:rsidRPr="00FE7BA7">
        <w:rPr>
          <w:rFonts w:ascii="Verdana" w:hAnsi="Verdana"/>
          <w:sz w:val="20"/>
          <w:szCs w:val="20"/>
          <w:lang w:val="en-US"/>
        </w:rPr>
        <w:t>among other instruments applicable to Suriname in the matter.</w:t>
      </w:r>
      <w:r w:rsidR="00993346" w:rsidRPr="00FE7BA7">
        <w:rPr>
          <w:rFonts w:ascii="Verdana" w:hAnsi="Verdana"/>
          <w:sz w:val="20"/>
          <w:szCs w:val="20"/>
          <w:lang w:val="en-US"/>
        </w:rPr>
        <w:t xml:space="preserve"> </w:t>
      </w:r>
    </w:p>
    <w:p w14:paraId="631269D0" w14:textId="77777777" w:rsidR="004958CF" w:rsidRPr="00FE7BA7" w:rsidRDefault="006671AA" w:rsidP="006671AA">
      <w:pPr>
        <w:pStyle w:val="ListParagraph"/>
        <w:tabs>
          <w:tab w:val="left" w:pos="8700"/>
        </w:tabs>
        <w:ind w:left="0"/>
        <w:jc w:val="both"/>
        <w:rPr>
          <w:rFonts w:ascii="Verdana" w:hAnsi="Verdana"/>
          <w:sz w:val="20"/>
          <w:szCs w:val="20"/>
          <w:lang w:val="en-US"/>
        </w:rPr>
      </w:pPr>
      <w:r w:rsidRPr="00FE7BA7">
        <w:rPr>
          <w:rFonts w:ascii="Verdana" w:hAnsi="Verdana"/>
          <w:sz w:val="20"/>
          <w:szCs w:val="20"/>
          <w:lang w:val="en-US"/>
        </w:rPr>
        <w:tab/>
      </w:r>
    </w:p>
    <w:p w14:paraId="631269D1" w14:textId="030ED928" w:rsidR="009D2A87" w:rsidRPr="004E3742" w:rsidRDefault="006671AA" w:rsidP="009D2A87">
      <w:pPr>
        <w:pStyle w:val="ListParagraph"/>
        <w:numPr>
          <w:ilvl w:val="0"/>
          <w:numId w:val="2"/>
        </w:numPr>
        <w:ind w:left="0" w:hanging="11"/>
        <w:jc w:val="both"/>
        <w:rPr>
          <w:rFonts w:ascii="Verdana" w:hAnsi="Verdana"/>
          <w:sz w:val="20"/>
          <w:szCs w:val="20"/>
          <w:lang w:val="en-US"/>
        </w:rPr>
      </w:pPr>
      <w:r w:rsidRPr="004E3742">
        <w:rPr>
          <w:rFonts w:ascii="Verdana" w:hAnsi="Verdana"/>
          <w:sz w:val="20"/>
          <w:szCs w:val="20"/>
          <w:lang w:val="en-US"/>
        </w:rPr>
        <w:t>In this regard</w:t>
      </w:r>
      <w:r w:rsidR="004958CF" w:rsidRPr="004E3742">
        <w:rPr>
          <w:rFonts w:ascii="Verdana" w:hAnsi="Verdana"/>
          <w:sz w:val="20"/>
          <w:szCs w:val="20"/>
          <w:lang w:val="en-US"/>
        </w:rPr>
        <w:t xml:space="preserve">, </w:t>
      </w:r>
      <w:r w:rsidRPr="004E3742">
        <w:rPr>
          <w:rFonts w:ascii="Verdana" w:hAnsi="Verdana"/>
          <w:sz w:val="20"/>
          <w:szCs w:val="20"/>
          <w:lang w:val="en-US"/>
        </w:rPr>
        <w:t>for example</w:t>
      </w:r>
      <w:r w:rsidR="004958CF" w:rsidRPr="004E3742">
        <w:rPr>
          <w:rFonts w:ascii="Verdana" w:hAnsi="Verdana"/>
          <w:sz w:val="20"/>
          <w:szCs w:val="20"/>
          <w:lang w:val="en-US"/>
        </w:rPr>
        <w:t xml:space="preserve">, </w:t>
      </w:r>
      <w:r w:rsidR="002B5CCD" w:rsidRPr="004E3742">
        <w:rPr>
          <w:rFonts w:ascii="Verdana" w:hAnsi="Verdana"/>
          <w:sz w:val="20"/>
          <w:szCs w:val="20"/>
          <w:lang w:val="en-US"/>
        </w:rPr>
        <w:t>Article</w:t>
      </w:r>
      <w:r w:rsidRPr="004E3742">
        <w:rPr>
          <w:rFonts w:ascii="Verdana" w:hAnsi="Verdana"/>
          <w:sz w:val="20"/>
          <w:szCs w:val="20"/>
          <w:lang w:val="en-US"/>
        </w:rPr>
        <w:t xml:space="preserve"> 8(</w:t>
      </w:r>
      <w:r w:rsidR="008274EC" w:rsidRPr="004E3742">
        <w:rPr>
          <w:rFonts w:ascii="Verdana" w:hAnsi="Verdana"/>
          <w:sz w:val="20"/>
          <w:szCs w:val="20"/>
          <w:lang w:val="en-US"/>
        </w:rPr>
        <w:t>j</w:t>
      </w:r>
      <w:r w:rsidR="00293AEF" w:rsidRPr="004E3742">
        <w:rPr>
          <w:rFonts w:ascii="Verdana" w:hAnsi="Verdana"/>
          <w:sz w:val="20"/>
          <w:szCs w:val="20"/>
          <w:lang w:val="en-US"/>
        </w:rPr>
        <w:t>)</w:t>
      </w:r>
      <w:r w:rsidRPr="004E3742">
        <w:rPr>
          <w:rFonts w:ascii="Verdana" w:hAnsi="Verdana"/>
          <w:sz w:val="20"/>
          <w:szCs w:val="20"/>
          <w:lang w:val="en-US"/>
        </w:rPr>
        <w:t xml:space="preserve"> of the </w:t>
      </w:r>
      <w:r w:rsidR="00511E56" w:rsidRPr="004E3742">
        <w:rPr>
          <w:rFonts w:ascii="Verdana" w:hAnsi="Verdana"/>
          <w:sz w:val="20"/>
          <w:szCs w:val="20"/>
          <w:lang w:val="en-US"/>
        </w:rPr>
        <w:t>Convention on Biological Diversity</w:t>
      </w:r>
      <w:r w:rsidR="008274EC" w:rsidRPr="004E3742">
        <w:rPr>
          <w:rFonts w:ascii="Verdana" w:hAnsi="Verdana"/>
          <w:sz w:val="20"/>
          <w:szCs w:val="20"/>
          <w:lang w:val="en-US"/>
        </w:rPr>
        <w:t xml:space="preserve"> </w:t>
      </w:r>
      <w:r w:rsidRPr="004E3742">
        <w:rPr>
          <w:rFonts w:ascii="Verdana" w:hAnsi="Verdana"/>
          <w:sz w:val="20"/>
          <w:szCs w:val="20"/>
          <w:lang w:val="en-US"/>
        </w:rPr>
        <w:t>indicat</w:t>
      </w:r>
      <w:r w:rsidR="009D2A87" w:rsidRPr="004E3742">
        <w:rPr>
          <w:rFonts w:ascii="Verdana" w:hAnsi="Verdana"/>
          <w:sz w:val="20"/>
          <w:szCs w:val="20"/>
          <w:lang w:val="en-US"/>
        </w:rPr>
        <w:t>e</w:t>
      </w:r>
      <w:r w:rsidRPr="004E3742">
        <w:rPr>
          <w:rFonts w:ascii="Verdana" w:hAnsi="Verdana"/>
          <w:sz w:val="20"/>
          <w:szCs w:val="20"/>
          <w:lang w:val="en-US"/>
        </w:rPr>
        <w:t xml:space="preserve">s that </w:t>
      </w:r>
      <w:r w:rsidR="009D2A87" w:rsidRPr="004E3742">
        <w:rPr>
          <w:rFonts w:ascii="Verdana" w:hAnsi="Verdana"/>
          <w:sz w:val="20"/>
          <w:szCs w:val="20"/>
          <w:lang w:val="en-US"/>
        </w:rPr>
        <w:t xml:space="preserve">each </w:t>
      </w:r>
      <w:r w:rsidRPr="004E3742">
        <w:rPr>
          <w:rFonts w:ascii="Verdana" w:hAnsi="Verdana"/>
          <w:sz w:val="20"/>
          <w:szCs w:val="20"/>
          <w:lang w:val="en-US"/>
        </w:rPr>
        <w:t>Sta</w:t>
      </w:r>
      <w:r w:rsidR="009D2A87" w:rsidRPr="004E3742">
        <w:rPr>
          <w:rFonts w:ascii="Verdana" w:hAnsi="Verdana"/>
          <w:sz w:val="20"/>
          <w:szCs w:val="20"/>
          <w:lang w:val="en-US"/>
        </w:rPr>
        <w:t xml:space="preserve">te shall “respect, preserve and maintain […] practices of indigenous and local communities embodying traditional lifestyles relevant for the conservation and sustainable use of biological diversity and promote their wider application with the approval and involvement of the holders of such knowledge, […] and practices and encourage the equitable sharing of the benefits arising from the utilization of such knowledge, innovations and practices.” Article 10(c) </w:t>
      </w:r>
      <w:r w:rsidR="008D146B">
        <w:rPr>
          <w:rFonts w:ascii="Verdana" w:hAnsi="Verdana"/>
          <w:sz w:val="20"/>
          <w:szCs w:val="20"/>
          <w:lang w:val="en-US"/>
        </w:rPr>
        <w:t>of the same Convention</w:t>
      </w:r>
      <w:r w:rsidR="009D2A87" w:rsidRPr="004E3742">
        <w:rPr>
          <w:rFonts w:ascii="Verdana" w:hAnsi="Verdana"/>
          <w:sz w:val="20"/>
          <w:szCs w:val="20"/>
          <w:lang w:val="en-US"/>
        </w:rPr>
        <w:t xml:space="preserve"> indicates that the State shall “[p]rotect and encourage customary use of biological resources in accordance with traditional cultural practices that are compatible with conservation or sustainable use requirements.”</w:t>
      </w:r>
    </w:p>
    <w:p w14:paraId="631269D2" w14:textId="77777777" w:rsidR="00DA4B96" w:rsidRPr="00FE7BA7" w:rsidRDefault="00DA4B96" w:rsidP="00FC1FCF">
      <w:pPr>
        <w:jc w:val="both"/>
        <w:rPr>
          <w:rFonts w:ascii="Verdana" w:hAnsi="Verdana"/>
          <w:sz w:val="20"/>
          <w:szCs w:val="20"/>
          <w:lang w:val="en-US"/>
        </w:rPr>
      </w:pPr>
    </w:p>
    <w:p w14:paraId="631269D3" w14:textId="77777777" w:rsidR="00DA4B96" w:rsidRPr="00FE7BA7" w:rsidRDefault="004E3742" w:rsidP="00DA4B96">
      <w:pPr>
        <w:pStyle w:val="ListParagraph"/>
        <w:numPr>
          <w:ilvl w:val="0"/>
          <w:numId w:val="2"/>
        </w:numPr>
        <w:ind w:left="0" w:hanging="11"/>
        <w:jc w:val="both"/>
        <w:rPr>
          <w:rFonts w:ascii="Verdana" w:hAnsi="Verdana"/>
          <w:sz w:val="20"/>
          <w:szCs w:val="20"/>
          <w:lang w:val="en-US"/>
        </w:rPr>
      </w:pPr>
      <w:r>
        <w:rPr>
          <w:rFonts w:ascii="Verdana" w:hAnsi="Verdana"/>
          <w:sz w:val="20"/>
          <w:lang w:val="en-US"/>
        </w:rPr>
        <w:t>Thus</w:t>
      </w:r>
      <w:r w:rsidR="00DA4B96" w:rsidRPr="00FE7BA7">
        <w:rPr>
          <w:rFonts w:ascii="Verdana" w:hAnsi="Verdana"/>
          <w:sz w:val="20"/>
          <w:lang w:val="en-US"/>
        </w:rPr>
        <w:t xml:space="preserve">, the Conference of the </w:t>
      </w:r>
      <w:r w:rsidR="00DA4B96" w:rsidRPr="004E3742">
        <w:rPr>
          <w:rFonts w:ascii="Verdana" w:hAnsi="Verdana"/>
          <w:sz w:val="20"/>
          <w:lang w:val="en-US"/>
        </w:rPr>
        <w:t>Parties to</w:t>
      </w:r>
      <w:r w:rsidR="006671AA" w:rsidRPr="004E3742">
        <w:rPr>
          <w:rFonts w:ascii="Verdana" w:hAnsi="Verdana"/>
          <w:sz w:val="20"/>
          <w:lang w:val="en-US"/>
        </w:rPr>
        <w:t xml:space="preserve"> the </w:t>
      </w:r>
      <w:r w:rsidR="00511E56" w:rsidRPr="004E3742">
        <w:rPr>
          <w:rFonts w:ascii="Verdana" w:hAnsi="Verdana"/>
          <w:sz w:val="20"/>
          <w:lang w:val="en-US"/>
        </w:rPr>
        <w:t>Convention on Biological Diversity</w:t>
      </w:r>
      <w:r w:rsidR="00A10AEC" w:rsidRPr="004E3742">
        <w:rPr>
          <w:rFonts w:ascii="Verdana" w:hAnsi="Verdana"/>
          <w:sz w:val="20"/>
          <w:lang w:val="en-US"/>
        </w:rPr>
        <w:t xml:space="preserve">, </w:t>
      </w:r>
      <w:r w:rsidR="00DA4B96" w:rsidRPr="004E3742">
        <w:rPr>
          <w:rFonts w:ascii="Verdana" w:hAnsi="Verdana"/>
          <w:sz w:val="20"/>
          <w:lang w:val="en-US"/>
        </w:rPr>
        <w:t xml:space="preserve">the governing body of the Convention, has established “the </w:t>
      </w:r>
      <w:r w:rsidR="00DA4B96" w:rsidRPr="004E3742">
        <w:rPr>
          <w:rFonts w:ascii="Verdana" w:hAnsi="Verdana"/>
          <w:sz w:val="20"/>
          <w:szCs w:val="20"/>
          <w:lang w:val="en-US"/>
        </w:rPr>
        <w:t>obligations of Parties towards indigenous and local communities in accordance with Article 8(j) and related provisions [for] the establishment, management and monitoring of protected areas [that] should take place with the full and effective participation of, and full respect for the rights of, indigenous and local communities consistent with national law and applicable international obligations.”</w:t>
      </w:r>
      <w:r w:rsidR="00DA4B96" w:rsidRPr="004E3742">
        <w:rPr>
          <w:rStyle w:val="FootnoteReference"/>
          <w:lang w:val="en-US"/>
        </w:rPr>
        <w:footnoteReference w:id="227"/>
      </w:r>
    </w:p>
    <w:p w14:paraId="631269D4" w14:textId="77777777" w:rsidR="004B66E1" w:rsidRPr="00FE7BA7" w:rsidRDefault="004B66E1" w:rsidP="00FC1FCF">
      <w:pPr>
        <w:jc w:val="both"/>
        <w:rPr>
          <w:rFonts w:ascii="Verdana" w:hAnsi="Verdana"/>
          <w:sz w:val="20"/>
          <w:szCs w:val="20"/>
          <w:lang w:val="en-US"/>
        </w:rPr>
      </w:pPr>
    </w:p>
    <w:p w14:paraId="631269D5" w14:textId="77777777" w:rsidR="00A10AEC" w:rsidRPr="00FE7BA7" w:rsidRDefault="00DA4B96" w:rsidP="00DA4B96">
      <w:pPr>
        <w:pStyle w:val="ListParagraph"/>
        <w:numPr>
          <w:ilvl w:val="0"/>
          <w:numId w:val="2"/>
        </w:numPr>
        <w:ind w:left="0" w:hanging="11"/>
        <w:jc w:val="both"/>
        <w:rPr>
          <w:rFonts w:ascii="Verdana" w:hAnsi="Verdana"/>
          <w:sz w:val="20"/>
          <w:lang w:val="en-US"/>
        </w:rPr>
      </w:pPr>
      <w:r w:rsidRPr="004E3742">
        <w:rPr>
          <w:rFonts w:ascii="Verdana" w:hAnsi="Verdana"/>
          <w:sz w:val="20"/>
          <w:lang w:val="en-US"/>
        </w:rPr>
        <w:t xml:space="preserve">Meanwhile, </w:t>
      </w:r>
      <w:r w:rsidRPr="004E3742">
        <w:rPr>
          <w:rFonts w:ascii="Verdana" w:hAnsi="Verdana"/>
          <w:sz w:val="20"/>
          <w:szCs w:val="20"/>
          <w:lang w:val="en-US"/>
        </w:rPr>
        <w:t>Principle 22 of the Rio Declaration on Environment and Development establishes that: “</w:t>
      </w:r>
      <w:r w:rsidRPr="004E3742">
        <w:rPr>
          <w:rFonts w:ascii="Verdana" w:hAnsi="Verdana"/>
          <w:sz w:val="20"/>
          <w:lang w:val="en-US"/>
        </w:rPr>
        <w:t>[i]</w:t>
      </w:r>
      <w:r w:rsidRPr="004E3742">
        <w:rPr>
          <w:rFonts w:ascii="Verdana" w:hAnsi="Verdana"/>
          <w:sz w:val="20"/>
          <w:szCs w:val="20"/>
          <w:lang w:val="en-US"/>
        </w:rPr>
        <w:t>ndigenous people and their communities […] have a vital role in environmental management and development because of their knowledge and traditional practices. States should recognize and duly support their identity, culture and interests and enable their effective participation in the achievement of sustainable development.</w:t>
      </w:r>
      <w:r w:rsidR="00611DEE" w:rsidRPr="004E3742">
        <w:rPr>
          <w:rFonts w:ascii="Verdana" w:hAnsi="Verdana"/>
          <w:sz w:val="20"/>
          <w:lang w:val="en-US"/>
        </w:rPr>
        <w:t>”</w:t>
      </w:r>
      <w:r w:rsidR="00611DEE" w:rsidRPr="004E3742">
        <w:rPr>
          <w:rStyle w:val="FootnoteReference"/>
          <w:lang w:val="en-US"/>
        </w:rPr>
        <w:footnoteReference w:id="228"/>
      </w:r>
    </w:p>
    <w:p w14:paraId="631269D6" w14:textId="77777777" w:rsidR="00993346" w:rsidRPr="00FE7BA7" w:rsidRDefault="00993346" w:rsidP="00FC1FCF">
      <w:pPr>
        <w:jc w:val="both"/>
        <w:rPr>
          <w:rFonts w:ascii="Verdana" w:hAnsi="Verdana"/>
          <w:sz w:val="20"/>
          <w:lang w:val="en-US"/>
        </w:rPr>
      </w:pPr>
    </w:p>
    <w:p w14:paraId="631269D7" w14:textId="77777777" w:rsidR="00993346" w:rsidRPr="004E3742" w:rsidRDefault="00DA4B96" w:rsidP="00DA4B96">
      <w:pPr>
        <w:pStyle w:val="ListParagraph"/>
        <w:numPr>
          <w:ilvl w:val="0"/>
          <w:numId w:val="2"/>
        </w:numPr>
        <w:ind w:left="0" w:hanging="11"/>
        <w:jc w:val="both"/>
        <w:rPr>
          <w:rFonts w:ascii="Verdana" w:hAnsi="Verdana"/>
          <w:sz w:val="20"/>
          <w:lang w:val="en-US"/>
        </w:rPr>
      </w:pPr>
      <w:r w:rsidRPr="004E3742">
        <w:rPr>
          <w:rFonts w:ascii="Verdana" w:hAnsi="Verdana"/>
          <w:sz w:val="20"/>
          <w:szCs w:val="20"/>
          <w:lang w:val="en-US"/>
        </w:rPr>
        <w:t>Furthermore</w:t>
      </w:r>
      <w:r w:rsidR="003F3419" w:rsidRPr="004E3742">
        <w:rPr>
          <w:rFonts w:ascii="Verdana" w:hAnsi="Verdana"/>
          <w:sz w:val="20"/>
          <w:szCs w:val="20"/>
          <w:lang w:val="en-US"/>
        </w:rPr>
        <w:t xml:space="preserve">, </w:t>
      </w:r>
      <w:r w:rsidR="002B5CCD" w:rsidRPr="004E3742">
        <w:rPr>
          <w:rFonts w:ascii="Verdana" w:hAnsi="Verdana"/>
          <w:sz w:val="20"/>
          <w:szCs w:val="20"/>
          <w:lang w:val="en-US"/>
        </w:rPr>
        <w:t>Article</w:t>
      </w:r>
      <w:r w:rsidR="00993346" w:rsidRPr="004E3742">
        <w:rPr>
          <w:rFonts w:ascii="Verdana" w:hAnsi="Verdana"/>
          <w:sz w:val="20"/>
          <w:szCs w:val="20"/>
          <w:lang w:val="en-US"/>
        </w:rPr>
        <w:t xml:space="preserve"> 29</w:t>
      </w:r>
      <w:r w:rsidRPr="004E3742">
        <w:rPr>
          <w:rFonts w:ascii="Verdana" w:hAnsi="Verdana"/>
          <w:sz w:val="20"/>
          <w:szCs w:val="20"/>
          <w:lang w:val="en-US"/>
        </w:rPr>
        <w:t xml:space="preserve"> of the United Nations Declaration on the Rights of Indigenous P</w:t>
      </w:r>
      <w:r w:rsidR="00BD40EF" w:rsidRPr="004E3742">
        <w:rPr>
          <w:rFonts w:ascii="Verdana" w:hAnsi="Verdana"/>
          <w:sz w:val="20"/>
          <w:szCs w:val="20"/>
          <w:lang w:val="en-US"/>
        </w:rPr>
        <w:t>eoples</w:t>
      </w:r>
      <w:r w:rsidR="006B297B" w:rsidRPr="004E3742">
        <w:rPr>
          <w:rFonts w:ascii="Verdana" w:hAnsi="Verdana"/>
          <w:sz w:val="20"/>
          <w:szCs w:val="20"/>
          <w:lang w:val="en-US"/>
        </w:rPr>
        <w:t xml:space="preserve"> </w:t>
      </w:r>
      <w:r w:rsidR="004E3742" w:rsidRPr="004E3742">
        <w:rPr>
          <w:rFonts w:ascii="Verdana" w:hAnsi="Verdana"/>
          <w:sz w:val="20"/>
          <w:szCs w:val="20"/>
          <w:lang w:val="en-US"/>
        </w:rPr>
        <w:t>stipulates that these peoples</w:t>
      </w:r>
      <w:r w:rsidRPr="004E3742">
        <w:rPr>
          <w:rFonts w:ascii="Verdana" w:hAnsi="Verdana"/>
          <w:sz w:val="20"/>
          <w:szCs w:val="20"/>
          <w:lang w:val="en-US"/>
        </w:rPr>
        <w:t xml:space="preserve"> “</w:t>
      </w:r>
      <w:r w:rsidRPr="004E3742">
        <w:rPr>
          <w:rFonts w:ascii="Verdana" w:eastAsia="Times New Roman" w:hAnsi="Verdana"/>
          <w:sz w:val="20"/>
          <w:szCs w:val="20"/>
          <w:lang w:val="en-US"/>
        </w:rPr>
        <w:t>have the right to the conservation and protection of the environment and the productive capacity of their lands or territories and resources. States shall establish and implement assistance programmes for indigenous peoples for such conservation and protection, without discrimination.”</w:t>
      </w:r>
      <w:r w:rsidRPr="004E3742">
        <w:rPr>
          <w:rFonts w:ascii="Verdana" w:hAnsi="Verdana"/>
          <w:sz w:val="20"/>
          <w:lang w:val="en-US"/>
        </w:rPr>
        <w:t xml:space="preserve"> </w:t>
      </w:r>
      <w:r w:rsidR="00C34C52" w:rsidRPr="004E3742">
        <w:rPr>
          <w:rFonts w:ascii="Verdana" w:hAnsi="Verdana"/>
          <w:sz w:val="20"/>
          <w:szCs w:val="20"/>
          <w:lang w:val="en-US"/>
        </w:rPr>
        <w:t>Article</w:t>
      </w:r>
      <w:r w:rsidRPr="004E3742">
        <w:rPr>
          <w:rFonts w:ascii="Verdana" w:hAnsi="Verdana"/>
          <w:sz w:val="20"/>
          <w:szCs w:val="20"/>
          <w:lang w:val="en-US"/>
        </w:rPr>
        <w:t xml:space="preserve"> 25 of the Declaration underscores “the right to maintain and strengthen their distinctive spiritual relationshi</w:t>
      </w:r>
      <w:r w:rsidR="004E3742" w:rsidRPr="004E3742">
        <w:rPr>
          <w:rFonts w:ascii="Verdana" w:hAnsi="Verdana"/>
          <w:sz w:val="20"/>
          <w:szCs w:val="20"/>
          <w:lang w:val="en-US"/>
        </w:rPr>
        <w:t>p with their traditionally-owned</w:t>
      </w:r>
      <w:r w:rsidRPr="004E3742">
        <w:rPr>
          <w:rFonts w:ascii="Verdana" w:hAnsi="Verdana"/>
          <w:sz w:val="20"/>
          <w:szCs w:val="20"/>
          <w:lang w:val="en-US"/>
        </w:rPr>
        <w:t xml:space="preserve"> or otherwise occupied and used lands […] and other resources and to uphold their responsibilities to future generations in this regard.” And Article 18 establishes “</w:t>
      </w:r>
      <w:r w:rsidRPr="004E3742">
        <w:rPr>
          <w:rFonts w:ascii="Verdana" w:eastAsia="Times New Roman" w:hAnsi="Verdana"/>
          <w:sz w:val="20"/>
          <w:szCs w:val="20"/>
          <w:lang w:val="en-US"/>
        </w:rPr>
        <w:t>the right to participate in decision-making in matters which would affect their rights, through representatives</w:t>
      </w:r>
      <w:r w:rsidR="00AC7188" w:rsidRPr="004E3742">
        <w:rPr>
          <w:rFonts w:ascii="Verdana" w:hAnsi="Verdana"/>
          <w:sz w:val="20"/>
          <w:lang w:val="en-US"/>
        </w:rPr>
        <w:t xml:space="preserve"> […]</w:t>
      </w:r>
      <w:r w:rsidRPr="004E3742">
        <w:rPr>
          <w:rFonts w:ascii="Verdana" w:hAnsi="Verdana"/>
          <w:sz w:val="20"/>
          <w:lang w:val="en-US"/>
        </w:rPr>
        <w:t>.</w:t>
      </w:r>
      <w:r w:rsidR="00AC7188" w:rsidRPr="004E3742">
        <w:rPr>
          <w:rFonts w:ascii="Verdana" w:hAnsi="Verdana"/>
          <w:sz w:val="20"/>
          <w:lang w:val="en-US"/>
        </w:rPr>
        <w:t>”</w:t>
      </w:r>
      <w:r w:rsidR="00AC7188" w:rsidRPr="004E3742">
        <w:rPr>
          <w:rStyle w:val="FootnoteReference"/>
          <w:szCs w:val="20"/>
          <w:lang w:val="en-US"/>
        </w:rPr>
        <w:footnoteReference w:id="229"/>
      </w:r>
    </w:p>
    <w:p w14:paraId="631269D8" w14:textId="77777777" w:rsidR="002F6B39" w:rsidRPr="00FE7BA7" w:rsidRDefault="002F6B39" w:rsidP="00FC1FCF">
      <w:pPr>
        <w:jc w:val="both"/>
        <w:rPr>
          <w:rFonts w:ascii="Verdana" w:hAnsi="Verdana"/>
          <w:b/>
          <w:sz w:val="20"/>
          <w:szCs w:val="20"/>
          <w:lang w:val="en-US"/>
        </w:rPr>
      </w:pPr>
    </w:p>
    <w:p w14:paraId="631269D9" w14:textId="79738E55" w:rsidR="00A30243" w:rsidRPr="00FE7BA7" w:rsidRDefault="00DA4B96" w:rsidP="00A519CD">
      <w:pPr>
        <w:pStyle w:val="ListParagraph"/>
        <w:numPr>
          <w:ilvl w:val="0"/>
          <w:numId w:val="2"/>
        </w:numPr>
        <w:ind w:left="0" w:hanging="11"/>
        <w:jc w:val="both"/>
        <w:rPr>
          <w:rFonts w:ascii="Verdana" w:eastAsiaTheme="minorHAnsi" w:hAnsi="Verdana"/>
          <w:sz w:val="20"/>
          <w:lang w:val="en-US"/>
        </w:rPr>
      </w:pPr>
      <w:r w:rsidRPr="00FE7BA7">
        <w:rPr>
          <w:rFonts w:ascii="Verdana" w:eastAsiaTheme="minorHAnsi" w:hAnsi="Verdana"/>
          <w:sz w:val="20"/>
          <w:szCs w:val="20"/>
          <w:lang w:val="en-US"/>
        </w:rPr>
        <w:t xml:space="preserve">Based on the above, the Court reiterates that, in principle, the protection of natural areas and the right </w:t>
      </w:r>
      <w:r w:rsidR="00511E56" w:rsidRPr="00FE7BA7">
        <w:rPr>
          <w:rFonts w:ascii="Verdana" w:hAnsi="Verdana"/>
          <w:sz w:val="20"/>
          <w:lang w:val="en-US"/>
        </w:rPr>
        <w:t xml:space="preserve">of the </w:t>
      </w:r>
      <w:r w:rsidR="00967E6B" w:rsidRPr="00FE7BA7">
        <w:rPr>
          <w:rFonts w:ascii="Verdana" w:hAnsi="Verdana"/>
          <w:sz w:val="20"/>
          <w:lang w:val="en-US"/>
        </w:rPr>
        <w:t xml:space="preserve">indigenous and tribal peoples </w:t>
      </w:r>
      <w:r w:rsidR="004E3742">
        <w:rPr>
          <w:rFonts w:ascii="Verdana" w:hAnsi="Verdana"/>
          <w:sz w:val="20"/>
          <w:lang w:val="en-US"/>
        </w:rPr>
        <w:t>to the protection of the natural</w:t>
      </w:r>
      <w:r w:rsidRPr="00FE7BA7">
        <w:rPr>
          <w:rFonts w:ascii="Verdana" w:hAnsi="Verdana"/>
          <w:sz w:val="20"/>
          <w:lang w:val="en-US"/>
        </w:rPr>
        <w:t xml:space="preserve"> resources in their territories are compatible, and </w:t>
      </w:r>
      <w:r w:rsidR="00CE66DA">
        <w:rPr>
          <w:rFonts w:ascii="Verdana" w:hAnsi="Verdana"/>
          <w:sz w:val="20"/>
          <w:lang w:val="en-US"/>
        </w:rPr>
        <w:t xml:space="preserve">it </w:t>
      </w:r>
      <w:r w:rsidRPr="00FE7BA7">
        <w:rPr>
          <w:rFonts w:ascii="Verdana" w:hAnsi="Verdana"/>
          <w:sz w:val="20"/>
          <w:lang w:val="en-US"/>
        </w:rPr>
        <w:t xml:space="preserve">emphasizes that, owing to their interrelationship with </w:t>
      </w:r>
      <w:r w:rsidRPr="00FE7BA7">
        <w:rPr>
          <w:rFonts w:ascii="Verdana" w:hAnsi="Verdana"/>
          <w:sz w:val="20"/>
          <w:lang w:val="en-US"/>
        </w:rPr>
        <w:lastRenderedPageBreak/>
        <w:t xml:space="preserve">nature and </w:t>
      </w:r>
      <w:r w:rsidR="004E3742">
        <w:rPr>
          <w:rFonts w:ascii="Verdana" w:hAnsi="Verdana"/>
          <w:sz w:val="20"/>
          <w:lang w:val="en-US"/>
        </w:rPr>
        <w:t>their ways</w:t>
      </w:r>
      <w:r w:rsidRPr="00FE7BA7">
        <w:rPr>
          <w:rFonts w:ascii="Verdana" w:hAnsi="Verdana"/>
          <w:sz w:val="20"/>
          <w:lang w:val="en-US"/>
        </w:rPr>
        <w:t xml:space="preserve"> of life,</w:t>
      </w:r>
      <w:r w:rsidR="00203A69" w:rsidRPr="00FE7BA7">
        <w:rPr>
          <w:rFonts w:ascii="Verdana" w:hAnsi="Verdana"/>
          <w:sz w:val="20"/>
          <w:lang w:val="en-US"/>
        </w:rPr>
        <w:t xml:space="preserve"> </w:t>
      </w:r>
      <w:r w:rsidR="00967E6B" w:rsidRPr="00FE7BA7">
        <w:rPr>
          <w:rFonts w:ascii="Verdana" w:hAnsi="Verdana"/>
          <w:sz w:val="20"/>
          <w:lang w:val="en-US"/>
        </w:rPr>
        <w:t xml:space="preserve">the </w:t>
      </w:r>
      <w:r w:rsidRPr="00FE7BA7">
        <w:rPr>
          <w:rFonts w:ascii="Verdana" w:hAnsi="Verdana"/>
          <w:sz w:val="20"/>
          <w:lang w:val="en-US"/>
        </w:rPr>
        <w:t xml:space="preserve">indigenous and tribal peoples can make </w:t>
      </w:r>
      <w:r w:rsidR="00F8718A">
        <w:rPr>
          <w:rFonts w:ascii="Verdana" w:hAnsi="Verdana"/>
          <w:sz w:val="20"/>
          <w:lang w:val="en-US"/>
        </w:rPr>
        <w:t>an important</w:t>
      </w:r>
      <w:r w:rsidRPr="00FE7BA7">
        <w:rPr>
          <w:rFonts w:ascii="Verdana" w:hAnsi="Verdana"/>
          <w:sz w:val="20"/>
          <w:lang w:val="en-US"/>
        </w:rPr>
        <w:t xml:space="preserve"> contribution to such conservation. Thus, the criteria</w:t>
      </w:r>
      <w:r w:rsidR="00D348E5" w:rsidRPr="00FE7BA7">
        <w:rPr>
          <w:rStyle w:val="FootnoteReference"/>
          <w:lang w:val="en-US"/>
        </w:rPr>
        <w:footnoteReference w:id="230"/>
      </w:r>
      <w:r w:rsidR="00203A69" w:rsidRPr="00FE7BA7">
        <w:rPr>
          <w:rFonts w:ascii="Verdana" w:hAnsi="Verdana"/>
          <w:sz w:val="20"/>
          <w:lang w:val="en-US"/>
        </w:rPr>
        <w:t xml:space="preserve"> </w:t>
      </w:r>
      <w:r w:rsidRPr="00FE7BA7">
        <w:rPr>
          <w:rFonts w:ascii="Verdana" w:hAnsi="Verdana"/>
          <w:sz w:val="20"/>
          <w:lang w:val="en-US"/>
        </w:rPr>
        <w:t xml:space="preserve">of </w:t>
      </w:r>
      <w:r w:rsidR="001C6EC9">
        <w:rPr>
          <w:rFonts w:ascii="Verdana" w:hAnsi="Verdana"/>
          <w:sz w:val="20"/>
          <w:lang w:val="en-US"/>
        </w:rPr>
        <w:t xml:space="preserve">a) </w:t>
      </w:r>
      <w:r w:rsidRPr="00FE7BA7">
        <w:rPr>
          <w:rFonts w:ascii="Verdana" w:hAnsi="Verdana"/>
          <w:sz w:val="20"/>
          <w:lang w:val="en-US"/>
        </w:rPr>
        <w:t>effective participation,</w:t>
      </w:r>
      <w:r w:rsidR="005F705A" w:rsidRPr="00FE7BA7">
        <w:rPr>
          <w:rStyle w:val="FootnoteReference"/>
          <w:lang w:val="en-US"/>
        </w:rPr>
        <w:footnoteReference w:id="231"/>
      </w:r>
      <w:r w:rsidRPr="00FE7BA7">
        <w:rPr>
          <w:rFonts w:ascii="Verdana" w:hAnsi="Verdana"/>
          <w:sz w:val="20"/>
          <w:lang w:val="en-US"/>
        </w:rPr>
        <w:t xml:space="preserve"> </w:t>
      </w:r>
      <w:r w:rsidR="001C6EC9">
        <w:rPr>
          <w:rFonts w:ascii="Verdana" w:hAnsi="Verdana"/>
          <w:sz w:val="20"/>
          <w:lang w:val="en-US"/>
        </w:rPr>
        <w:t xml:space="preserve">b) </w:t>
      </w:r>
      <w:r w:rsidRPr="00FE7BA7">
        <w:rPr>
          <w:rFonts w:ascii="Verdana" w:hAnsi="Verdana"/>
          <w:sz w:val="20"/>
          <w:lang w:val="en-US"/>
        </w:rPr>
        <w:t>access</w:t>
      </w:r>
      <w:r w:rsidR="002B5CCD" w:rsidRPr="00FE7BA7">
        <w:rPr>
          <w:rFonts w:ascii="Verdana" w:hAnsi="Verdana"/>
          <w:sz w:val="20"/>
          <w:lang w:val="en-US"/>
        </w:rPr>
        <w:t xml:space="preserve"> and </w:t>
      </w:r>
      <w:r w:rsidRPr="00FE7BA7">
        <w:rPr>
          <w:rFonts w:ascii="Verdana" w:hAnsi="Verdana"/>
          <w:sz w:val="20"/>
          <w:lang w:val="en-US"/>
        </w:rPr>
        <w:t>use of their traditional</w:t>
      </w:r>
      <w:r w:rsidR="00834F81" w:rsidRPr="00FE7BA7">
        <w:rPr>
          <w:rFonts w:ascii="Verdana" w:hAnsi="Verdana"/>
          <w:sz w:val="20"/>
          <w:lang w:val="en-US"/>
        </w:rPr>
        <w:t xml:space="preserve"> </w:t>
      </w:r>
      <w:r w:rsidR="00804BD4" w:rsidRPr="00FE7BA7">
        <w:rPr>
          <w:rFonts w:ascii="Verdana" w:hAnsi="Verdana"/>
          <w:sz w:val="20"/>
          <w:lang w:val="en-US"/>
        </w:rPr>
        <w:t>territories</w:t>
      </w:r>
      <w:r w:rsidRPr="00FE7BA7">
        <w:rPr>
          <w:rFonts w:ascii="Verdana" w:hAnsi="Verdana"/>
          <w:sz w:val="20"/>
          <w:lang w:val="en-US"/>
        </w:rPr>
        <w:t>,</w:t>
      </w:r>
      <w:r w:rsidR="00D348E5" w:rsidRPr="00FE7BA7">
        <w:rPr>
          <w:rStyle w:val="FootnoteReference"/>
          <w:lang w:val="en-US"/>
        </w:rPr>
        <w:footnoteReference w:id="232"/>
      </w:r>
      <w:r w:rsidR="002B5CCD" w:rsidRPr="00FE7BA7">
        <w:rPr>
          <w:rFonts w:ascii="Verdana" w:hAnsi="Verdana"/>
          <w:sz w:val="20"/>
          <w:lang w:val="en-US"/>
        </w:rPr>
        <w:t xml:space="preserve"> and </w:t>
      </w:r>
      <w:r w:rsidR="001C6EC9">
        <w:rPr>
          <w:rFonts w:ascii="Verdana" w:hAnsi="Verdana"/>
          <w:sz w:val="20"/>
          <w:lang w:val="en-US"/>
        </w:rPr>
        <w:t xml:space="preserve">c) </w:t>
      </w:r>
      <w:r w:rsidRPr="00FE7BA7">
        <w:rPr>
          <w:rFonts w:ascii="Verdana" w:hAnsi="Verdana"/>
          <w:sz w:val="20"/>
          <w:lang w:val="en-US"/>
        </w:rPr>
        <w:t>the possibility of receiving benefits from conservation</w:t>
      </w:r>
      <w:r w:rsidR="00D348E5" w:rsidRPr="00FE7BA7">
        <w:rPr>
          <w:rStyle w:val="FootnoteReference"/>
          <w:lang w:val="en-US"/>
        </w:rPr>
        <w:footnoteReference w:id="233"/>
      </w:r>
      <w:r w:rsidR="00203A69" w:rsidRPr="00FE7BA7">
        <w:rPr>
          <w:rFonts w:ascii="Verdana" w:hAnsi="Verdana"/>
          <w:sz w:val="20"/>
          <w:lang w:val="en-US"/>
        </w:rPr>
        <w:t xml:space="preserve"> </w:t>
      </w:r>
      <w:r w:rsidR="00EC7750" w:rsidRPr="00FE7BA7">
        <w:rPr>
          <w:rFonts w:ascii="Verdana" w:hAnsi="Verdana"/>
          <w:sz w:val="20"/>
          <w:szCs w:val="20"/>
          <w:lang w:val="en-US"/>
        </w:rPr>
        <w:t>—</w:t>
      </w:r>
      <w:r w:rsidRPr="00FE7BA7">
        <w:rPr>
          <w:rFonts w:ascii="Verdana" w:hAnsi="Verdana"/>
          <w:sz w:val="20"/>
          <w:szCs w:val="20"/>
          <w:lang w:val="en-US"/>
        </w:rPr>
        <w:t xml:space="preserve"> all of th</w:t>
      </w:r>
      <w:r w:rsidR="004E3742">
        <w:rPr>
          <w:rFonts w:ascii="Verdana" w:hAnsi="Verdana"/>
          <w:sz w:val="20"/>
          <w:szCs w:val="20"/>
          <w:lang w:val="en-US"/>
        </w:rPr>
        <w:t>e foregoing</w:t>
      </w:r>
      <w:r w:rsidRPr="00FE7BA7">
        <w:rPr>
          <w:rFonts w:ascii="Verdana" w:hAnsi="Verdana"/>
          <w:sz w:val="20"/>
          <w:szCs w:val="20"/>
          <w:lang w:val="en-US"/>
        </w:rPr>
        <w:t xml:space="preserve"> provided </w:t>
      </w:r>
      <w:r w:rsidR="00CE66DA">
        <w:rPr>
          <w:rFonts w:ascii="Verdana" w:hAnsi="Verdana"/>
          <w:sz w:val="20"/>
          <w:lang w:val="en-US"/>
        </w:rPr>
        <w:t>that they are</w:t>
      </w:r>
      <w:r w:rsidRPr="00FE7BA7">
        <w:rPr>
          <w:rFonts w:ascii="Verdana" w:hAnsi="Verdana"/>
          <w:sz w:val="20"/>
          <w:lang w:val="en-US"/>
        </w:rPr>
        <w:t xml:space="preserve"> compatible with protection and sustainable use </w:t>
      </w:r>
      <w:r w:rsidR="003C5693" w:rsidRPr="00FE7BA7">
        <w:rPr>
          <w:rFonts w:ascii="Verdana" w:hAnsi="Verdana"/>
          <w:sz w:val="20"/>
          <w:lang w:val="en-US"/>
        </w:rPr>
        <w:t>(</w:t>
      </w:r>
      <w:r w:rsidR="003C5693" w:rsidRPr="00FE7BA7">
        <w:rPr>
          <w:rFonts w:ascii="Verdana" w:hAnsi="Verdana"/>
          <w:i/>
          <w:sz w:val="20"/>
          <w:lang w:val="en-US"/>
        </w:rPr>
        <w:t>supra</w:t>
      </w:r>
      <w:r w:rsidR="003C5693" w:rsidRPr="00FE7BA7">
        <w:rPr>
          <w:rFonts w:ascii="Verdana" w:hAnsi="Verdana"/>
          <w:sz w:val="20"/>
          <w:lang w:val="en-US"/>
        </w:rPr>
        <w:t xml:space="preserve"> </w:t>
      </w:r>
      <w:r w:rsidR="00810FAD" w:rsidRPr="00FE7BA7">
        <w:rPr>
          <w:rFonts w:ascii="Verdana" w:hAnsi="Verdana"/>
          <w:sz w:val="20"/>
          <w:lang w:val="en-US"/>
        </w:rPr>
        <w:t>para.</w:t>
      </w:r>
      <w:r w:rsidR="003C5693" w:rsidRPr="00FE7BA7">
        <w:rPr>
          <w:rFonts w:ascii="Verdana" w:hAnsi="Verdana"/>
          <w:sz w:val="20"/>
          <w:lang w:val="en-US"/>
        </w:rPr>
        <w:t xml:space="preserve"> </w:t>
      </w:r>
      <w:r w:rsidR="00A519CD" w:rsidRPr="00FE7BA7">
        <w:rPr>
          <w:rFonts w:ascii="Verdana" w:hAnsi="Verdana"/>
          <w:sz w:val="20"/>
          <w:lang w:val="en-US"/>
        </w:rPr>
        <w:t>177</w:t>
      </w:r>
      <w:r w:rsidR="003C5693" w:rsidRPr="00FE7BA7">
        <w:rPr>
          <w:rFonts w:ascii="Verdana" w:hAnsi="Verdana"/>
          <w:sz w:val="20"/>
          <w:lang w:val="en-US"/>
        </w:rPr>
        <w:t>)</w:t>
      </w:r>
      <w:r w:rsidRPr="00FE7BA7">
        <w:rPr>
          <w:rFonts w:ascii="Verdana" w:hAnsi="Verdana"/>
          <w:sz w:val="20"/>
          <w:lang w:val="en-US"/>
        </w:rPr>
        <w:t xml:space="preserve"> – are essential elements to achieve this compatibility which should be evaluated by</w:t>
      </w:r>
      <w:r w:rsidR="009B59C8" w:rsidRPr="00FE7BA7">
        <w:rPr>
          <w:rFonts w:ascii="Verdana" w:hAnsi="Verdana"/>
          <w:sz w:val="20"/>
          <w:lang w:val="en-US"/>
        </w:rPr>
        <w:t xml:space="preserve"> </w:t>
      </w:r>
      <w:r w:rsidR="0086680E">
        <w:rPr>
          <w:rFonts w:ascii="Verdana" w:hAnsi="Verdana"/>
          <w:sz w:val="20"/>
          <w:lang w:val="en-US"/>
        </w:rPr>
        <w:t xml:space="preserve">the </w:t>
      </w:r>
      <w:r w:rsidR="002B5CCD" w:rsidRPr="00FE7BA7">
        <w:rPr>
          <w:rFonts w:ascii="Verdana" w:hAnsi="Verdana"/>
          <w:sz w:val="20"/>
          <w:szCs w:val="20"/>
          <w:lang w:val="en-US"/>
        </w:rPr>
        <w:t>State</w:t>
      </w:r>
      <w:r w:rsidR="00EC7750" w:rsidRPr="00FE7BA7">
        <w:rPr>
          <w:rFonts w:ascii="Verdana" w:hAnsi="Verdana"/>
          <w:sz w:val="20"/>
          <w:szCs w:val="20"/>
          <w:lang w:val="en-US"/>
        </w:rPr>
        <w:t xml:space="preserve">. </w:t>
      </w:r>
      <w:r w:rsidRPr="00FE7BA7">
        <w:rPr>
          <w:rFonts w:ascii="Verdana" w:hAnsi="Verdana"/>
          <w:sz w:val="20"/>
          <w:szCs w:val="20"/>
          <w:lang w:val="en-US"/>
        </w:rPr>
        <w:t xml:space="preserve">Consequently, the State must have adequate mechanisms to implement these criteria </w:t>
      </w:r>
      <w:r w:rsidR="00935EFF">
        <w:rPr>
          <w:rFonts w:ascii="Verdana" w:hAnsi="Verdana"/>
          <w:sz w:val="20"/>
          <w:szCs w:val="20"/>
          <w:lang w:val="en-US"/>
        </w:rPr>
        <w:t>as a means</w:t>
      </w:r>
      <w:r w:rsidRPr="00FE7BA7">
        <w:rPr>
          <w:rFonts w:ascii="Verdana" w:hAnsi="Verdana"/>
          <w:sz w:val="20"/>
          <w:szCs w:val="20"/>
          <w:lang w:val="en-US"/>
        </w:rPr>
        <w:t xml:space="preserve"> of </w:t>
      </w:r>
      <w:r w:rsidR="00935EFF">
        <w:rPr>
          <w:rFonts w:ascii="Verdana" w:hAnsi="Verdana"/>
          <w:sz w:val="20"/>
          <w:szCs w:val="20"/>
          <w:lang w:val="en-US"/>
        </w:rPr>
        <w:t>guaranteeing the right to a dignified</w:t>
      </w:r>
      <w:r w:rsidRPr="00FE7BA7">
        <w:rPr>
          <w:rFonts w:ascii="Verdana" w:eastAsiaTheme="minorHAnsi" w:hAnsi="Verdana"/>
          <w:sz w:val="20"/>
          <w:szCs w:val="20"/>
          <w:lang w:val="en-US"/>
        </w:rPr>
        <w:t xml:space="preserve"> life and </w:t>
      </w:r>
      <w:r w:rsidR="00935EFF">
        <w:rPr>
          <w:rFonts w:ascii="Verdana" w:eastAsiaTheme="minorHAnsi" w:hAnsi="Verdana"/>
          <w:sz w:val="20"/>
          <w:szCs w:val="20"/>
          <w:lang w:val="en-US"/>
        </w:rPr>
        <w:t>to</w:t>
      </w:r>
      <w:r w:rsidRPr="00FE7BA7">
        <w:rPr>
          <w:rFonts w:ascii="Verdana" w:eastAsiaTheme="minorHAnsi" w:hAnsi="Verdana"/>
          <w:sz w:val="20"/>
          <w:szCs w:val="20"/>
          <w:lang w:val="en-US"/>
        </w:rPr>
        <w:t xml:space="preserve"> cultural identity</w:t>
      </w:r>
      <w:r w:rsidRPr="00FE7BA7">
        <w:rPr>
          <w:rFonts w:ascii="Verdana" w:hAnsi="Verdana"/>
          <w:sz w:val="20"/>
          <w:szCs w:val="20"/>
          <w:lang w:val="en-US"/>
        </w:rPr>
        <w:t xml:space="preserve"> to </w:t>
      </w:r>
      <w:r w:rsidR="00511E56" w:rsidRPr="00FE7BA7">
        <w:rPr>
          <w:rFonts w:ascii="Verdana" w:eastAsiaTheme="minorHAnsi" w:hAnsi="Verdana"/>
          <w:sz w:val="20"/>
          <w:szCs w:val="20"/>
          <w:lang w:val="en-US"/>
        </w:rPr>
        <w:t xml:space="preserve">the </w:t>
      </w:r>
      <w:r w:rsidR="00967E6B" w:rsidRPr="00FE7BA7">
        <w:rPr>
          <w:rFonts w:ascii="Verdana" w:eastAsiaTheme="minorHAnsi" w:hAnsi="Verdana"/>
          <w:sz w:val="20"/>
          <w:szCs w:val="20"/>
          <w:lang w:val="en-US"/>
        </w:rPr>
        <w:t>indigenous and tribal peoples</w:t>
      </w:r>
      <w:r w:rsidRPr="00FE7BA7">
        <w:rPr>
          <w:rFonts w:ascii="Verdana" w:eastAsiaTheme="minorHAnsi" w:hAnsi="Verdana"/>
          <w:sz w:val="20"/>
          <w:szCs w:val="20"/>
          <w:lang w:val="en-US"/>
        </w:rPr>
        <w:t xml:space="preserve"> in relation to the protection of the natural </w:t>
      </w:r>
      <w:r w:rsidR="00FE7BA7" w:rsidRPr="00FE7BA7">
        <w:rPr>
          <w:rFonts w:ascii="Verdana" w:eastAsiaTheme="minorHAnsi" w:hAnsi="Verdana"/>
          <w:sz w:val="20"/>
          <w:szCs w:val="20"/>
          <w:lang w:val="en-US"/>
        </w:rPr>
        <w:t>resources</w:t>
      </w:r>
      <w:r w:rsidRPr="00FE7BA7">
        <w:rPr>
          <w:rFonts w:ascii="Verdana" w:eastAsiaTheme="minorHAnsi" w:hAnsi="Verdana"/>
          <w:sz w:val="20"/>
          <w:szCs w:val="20"/>
          <w:lang w:val="en-US"/>
        </w:rPr>
        <w:t xml:space="preserve"> that are in their traditional territories</w:t>
      </w:r>
      <w:r w:rsidR="00A30243" w:rsidRPr="00FE7BA7">
        <w:rPr>
          <w:rFonts w:ascii="Verdana" w:eastAsiaTheme="minorHAnsi" w:hAnsi="Verdana"/>
          <w:sz w:val="20"/>
          <w:lang w:val="en-US"/>
        </w:rPr>
        <w:t xml:space="preserve">. </w:t>
      </w:r>
      <w:r w:rsidR="004E3742">
        <w:rPr>
          <w:rFonts w:ascii="Verdana" w:eastAsiaTheme="minorHAnsi" w:hAnsi="Verdana"/>
          <w:sz w:val="20"/>
          <w:lang w:val="en-US"/>
        </w:rPr>
        <w:t>Thus, the Court will verify the</w:t>
      </w:r>
      <w:r w:rsidRPr="00FE7BA7">
        <w:rPr>
          <w:rFonts w:ascii="Verdana" w:eastAsiaTheme="minorHAnsi" w:hAnsi="Verdana"/>
          <w:sz w:val="20"/>
          <w:lang w:val="en-US"/>
        </w:rPr>
        <w:t xml:space="preserve"> </w:t>
      </w:r>
      <w:r w:rsidR="004E3742">
        <w:rPr>
          <w:rFonts w:ascii="Verdana" w:eastAsiaTheme="minorHAnsi" w:hAnsi="Verdana"/>
          <w:sz w:val="20"/>
          <w:lang w:val="en-US"/>
        </w:rPr>
        <w:t xml:space="preserve">existence of </w:t>
      </w:r>
      <w:r w:rsidR="004B6F74">
        <w:rPr>
          <w:rFonts w:ascii="Verdana" w:eastAsiaTheme="minorHAnsi" w:hAnsi="Verdana"/>
          <w:sz w:val="20"/>
          <w:lang w:val="en-US"/>
        </w:rPr>
        <w:t xml:space="preserve">all </w:t>
      </w:r>
      <w:r w:rsidR="004E3742">
        <w:rPr>
          <w:rFonts w:ascii="Verdana" w:eastAsiaTheme="minorHAnsi" w:hAnsi="Verdana"/>
          <w:sz w:val="20"/>
          <w:lang w:val="en-US"/>
        </w:rPr>
        <w:t>these elements</w:t>
      </w:r>
      <w:r w:rsidRPr="00FE7BA7">
        <w:rPr>
          <w:rFonts w:ascii="Verdana" w:eastAsiaTheme="minorHAnsi" w:hAnsi="Verdana"/>
          <w:sz w:val="20"/>
          <w:lang w:val="en-US"/>
        </w:rPr>
        <w:t xml:space="preserve"> in the following section.</w:t>
      </w:r>
    </w:p>
    <w:p w14:paraId="631269DA" w14:textId="77777777" w:rsidR="0049544C" w:rsidRPr="00FE7BA7" w:rsidRDefault="0049544C" w:rsidP="00366D91">
      <w:pPr>
        <w:pStyle w:val="ListParagraph"/>
        <w:ind w:left="0"/>
        <w:jc w:val="both"/>
        <w:rPr>
          <w:rFonts w:ascii="Verdana" w:hAnsi="Verdana"/>
          <w:sz w:val="18"/>
          <w:szCs w:val="20"/>
          <w:lang w:val="en-US"/>
        </w:rPr>
      </w:pPr>
    </w:p>
    <w:p w14:paraId="631269DB" w14:textId="77777777" w:rsidR="00FC1FCF" w:rsidRPr="00FE7BA7" w:rsidRDefault="0079049B" w:rsidP="00B17B8E">
      <w:pPr>
        <w:pStyle w:val="Heading5"/>
        <w:spacing w:before="0" w:line="240" w:lineRule="auto"/>
        <w:ind w:left="2160"/>
        <w:jc w:val="both"/>
        <w:rPr>
          <w:rFonts w:ascii="Verdana" w:hAnsi="Verdana"/>
          <w:b/>
          <w:i/>
          <w:color w:val="auto"/>
          <w:sz w:val="20"/>
          <w:szCs w:val="20"/>
        </w:rPr>
      </w:pPr>
      <w:bookmarkStart w:id="52" w:name="_Toc441673215"/>
      <w:r w:rsidRPr="00FE7BA7">
        <w:rPr>
          <w:rFonts w:ascii="Verdana" w:hAnsi="Verdana"/>
          <w:b/>
          <w:i/>
          <w:color w:val="auto"/>
          <w:sz w:val="20"/>
          <w:szCs w:val="20"/>
        </w:rPr>
        <w:t>B.</w:t>
      </w:r>
      <w:r w:rsidR="00830B9E" w:rsidRPr="00FE7BA7">
        <w:rPr>
          <w:rFonts w:ascii="Verdana" w:hAnsi="Verdana"/>
          <w:b/>
          <w:i/>
          <w:color w:val="auto"/>
          <w:sz w:val="20"/>
          <w:szCs w:val="20"/>
        </w:rPr>
        <w:t>3</w:t>
      </w:r>
      <w:r w:rsidRPr="00FE7BA7">
        <w:rPr>
          <w:rFonts w:ascii="Verdana" w:hAnsi="Verdana"/>
          <w:b/>
          <w:i/>
          <w:color w:val="auto"/>
          <w:sz w:val="20"/>
          <w:szCs w:val="20"/>
        </w:rPr>
        <w:t>.</w:t>
      </w:r>
      <w:r w:rsidR="00C51AA0" w:rsidRPr="00FE7BA7">
        <w:rPr>
          <w:rFonts w:ascii="Verdana" w:hAnsi="Verdana"/>
          <w:b/>
          <w:i/>
          <w:color w:val="auto"/>
          <w:sz w:val="20"/>
          <w:szCs w:val="20"/>
        </w:rPr>
        <w:t>2</w:t>
      </w:r>
      <w:r w:rsidRPr="00FE7BA7">
        <w:rPr>
          <w:rFonts w:ascii="Verdana" w:hAnsi="Verdana"/>
          <w:b/>
          <w:i/>
          <w:color w:val="auto"/>
          <w:sz w:val="20"/>
          <w:szCs w:val="20"/>
        </w:rPr>
        <w:t xml:space="preserve">.2 </w:t>
      </w:r>
      <w:r w:rsidR="00C13118" w:rsidRPr="00FE7BA7">
        <w:rPr>
          <w:rFonts w:ascii="Verdana" w:hAnsi="Verdana"/>
          <w:b/>
          <w:i/>
          <w:color w:val="auto"/>
          <w:sz w:val="20"/>
          <w:szCs w:val="20"/>
        </w:rPr>
        <w:t>The alleged impact in the Galibi and Wane Kreek Nature Reserves</w:t>
      </w:r>
      <w:bookmarkEnd w:id="52"/>
    </w:p>
    <w:p w14:paraId="631269DC" w14:textId="77777777" w:rsidR="00FC1FCF" w:rsidRPr="00FE7BA7" w:rsidRDefault="00FC1FCF" w:rsidP="00FC1FCF">
      <w:pPr>
        <w:jc w:val="both"/>
        <w:rPr>
          <w:rFonts w:ascii="Verdana" w:hAnsi="Verdana" w:cs="Arial"/>
          <w:sz w:val="20"/>
          <w:szCs w:val="20"/>
          <w:lang w:val="en-US"/>
        </w:rPr>
      </w:pPr>
    </w:p>
    <w:p w14:paraId="631269DD" w14:textId="77777777" w:rsidR="00FC1FCF" w:rsidRPr="00FE7BA7" w:rsidRDefault="002B5CCD" w:rsidP="00C13118">
      <w:pPr>
        <w:pStyle w:val="ListParagraph"/>
        <w:numPr>
          <w:ilvl w:val="0"/>
          <w:numId w:val="2"/>
        </w:numPr>
        <w:ind w:left="0" w:hanging="11"/>
        <w:jc w:val="both"/>
        <w:rPr>
          <w:rFonts w:ascii="Verdana" w:hAnsi="Verdana" w:cs="Arial"/>
          <w:sz w:val="20"/>
          <w:szCs w:val="20"/>
          <w:lang w:val="en-US"/>
        </w:rPr>
      </w:pPr>
      <w:r w:rsidRPr="00FE7BA7">
        <w:rPr>
          <w:rFonts w:ascii="Verdana" w:hAnsi="Verdana" w:cs="Arial"/>
          <w:sz w:val="20"/>
          <w:szCs w:val="20"/>
          <w:lang w:val="en-US"/>
        </w:rPr>
        <w:t>The Court</w:t>
      </w:r>
      <w:r w:rsidR="00FC1FCF" w:rsidRPr="00FE7BA7">
        <w:rPr>
          <w:rFonts w:ascii="Verdana" w:hAnsi="Verdana" w:cs="Arial"/>
          <w:sz w:val="20"/>
          <w:szCs w:val="20"/>
          <w:lang w:val="en-US"/>
        </w:rPr>
        <w:t xml:space="preserve"> </w:t>
      </w:r>
      <w:r w:rsidR="00C13118" w:rsidRPr="00FE7BA7">
        <w:rPr>
          <w:rFonts w:ascii="Verdana" w:hAnsi="Verdana" w:cs="Arial"/>
          <w:sz w:val="20"/>
          <w:szCs w:val="20"/>
          <w:lang w:val="en-US"/>
        </w:rPr>
        <w:t xml:space="preserve">takes note that the dispute subsists in relation to the following alleged impacts in the nature reserves: (1) the </w:t>
      </w:r>
      <w:r w:rsidR="004A6070" w:rsidRPr="00FE7BA7">
        <w:rPr>
          <w:rFonts w:ascii="Verdana" w:hAnsi="Verdana" w:cs="Arial"/>
          <w:sz w:val="20"/>
          <w:szCs w:val="20"/>
          <w:lang w:val="en-US"/>
        </w:rPr>
        <w:t>prohibition</w:t>
      </w:r>
      <w:r w:rsidR="00C13118" w:rsidRPr="00FE7BA7">
        <w:rPr>
          <w:rFonts w:ascii="Verdana" w:hAnsi="Verdana" w:cs="Arial"/>
          <w:sz w:val="20"/>
          <w:szCs w:val="20"/>
          <w:lang w:val="en-US"/>
        </w:rPr>
        <w:t xml:space="preserve"> </w:t>
      </w:r>
      <w:r w:rsidR="004A6070" w:rsidRPr="00FE7BA7">
        <w:rPr>
          <w:rFonts w:ascii="Verdana" w:hAnsi="Verdana" w:cs="Arial"/>
          <w:sz w:val="20"/>
          <w:szCs w:val="20"/>
          <w:lang w:val="en-US"/>
        </w:rPr>
        <w:t>by State authorities</w:t>
      </w:r>
      <w:r w:rsidR="00B23A8D" w:rsidRPr="00B23A8D">
        <w:rPr>
          <w:rFonts w:ascii="Verdana" w:hAnsi="Verdana" w:cs="Arial"/>
          <w:sz w:val="20"/>
          <w:szCs w:val="20"/>
          <w:lang w:val="en-US"/>
        </w:rPr>
        <w:t xml:space="preserve"> </w:t>
      </w:r>
      <w:r w:rsidR="00B23A8D" w:rsidRPr="00FE7BA7">
        <w:rPr>
          <w:rFonts w:ascii="Verdana" w:hAnsi="Verdana" w:cs="Arial"/>
          <w:sz w:val="20"/>
          <w:szCs w:val="20"/>
          <w:lang w:val="en-US"/>
        </w:rPr>
        <w:t>to access</w:t>
      </w:r>
      <w:r w:rsidR="00B23A8D">
        <w:rPr>
          <w:rFonts w:ascii="Verdana" w:hAnsi="Verdana" w:cs="Arial"/>
          <w:sz w:val="20"/>
          <w:szCs w:val="20"/>
          <w:lang w:val="en-US"/>
        </w:rPr>
        <w:t xml:space="preserve"> the</w:t>
      </w:r>
      <w:r w:rsidR="00B23A8D" w:rsidRPr="00FE7BA7">
        <w:rPr>
          <w:rFonts w:ascii="Verdana" w:hAnsi="Verdana" w:cs="Arial"/>
          <w:sz w:val="20"/>
          <w:szCs w:val="20"/>
          <w:lang w:val="en-US"/>
        </w:rPr>
        <w:t xml:space="preserve"> Galibi Nature Reserve</w:t>
      </w:r>
      <w:r w:rsidR="004A6070" w:rsidRPr="00FE7BA7">
        <w:rPr>
          <w:rFonts w:ascii="Verdana" w:hAnsi="Verdana" w:cs="Arial"/>
          <w:sz w:val="20"/>
          <w:szCs w:val="20"/>
          <w:lang w:val="en-US"/>
        </w:rPr>
        <w:t>;</w:t>
      </w:r>
      <w:r w:rsidR="00C13118" w:rsidRPr="00FE7BA7">
        <w:rPr>
          <w:rFonts w:ascii="Verdana" w:hAnsi="Verdana" w:cs="Arial"/>
          <w:sz w:val="20"/>
          <w:szCs w:val="20"/>
          <w:lang w:val="en-US"/>
        </w:rPr>
        <w:t xml:space="preserve"> (</w:t>
      </w:r>
      <w:r w:rsidR="00EC7750" w:rsidRPr="00FE7BA7">
        <w:rPr>
          <w:rFonts w:ascii="Verdana" w:hAnsi="Verdana" w:cs="Arial"/>
          <w:sz w:val="20"/>
          <w:szCs w:val="20"/>
          <w:lang w:val="en-US"/>
        </w:rPr>
        <w:t>2</w:t>
      </w:r>
      <w:r w:rsidR="00FC1FCF" w:rsidRPr="00FE7BA7">
        <w:rPr>
          <w:rFonts w:ascii="Verdana" w:hAnsi="Verdana" w:cs="Arial"/>
          <w:sz w:val="20"/>
          <w:szCs w:val="20"/>
          <w:lang w:val="en-US"/>
        </w:rPr>
        <w:t xml:space="preserve">) </w:t>
      </w:r>
      <w:r w:rsidR="00C13118" w:rsidRPr="00FE7BA7">
        <w:rPr>
          <w:rFonts w:ascii="Verdana" w:hAnsi="Verdana" w:cs="Arial"/>
          <w:sz w:val="20"/>
          <w:szCs w:val="20"/>
          <w:lang w:val="en-US"/>
        </w:rPr>
        <w:t>the prohibition to hunt and fish in the nature reserves derived from the 1954 Nature Protection Act</w:t>
      </w:r>
      <w:r w:rsidR="00A519CD" w:rsidRPr="00FE7BA7">
        <w:rPr>
          <w:rFonts w:ascii="Verdana" w:hAnsi="Verdana" w:cs="Arial"/>
          <w:sz w:val="20"/>
          <w:szCs w:val="20"/>
          <w:lang w:val="en-US"/>
        </w:rPr>
        <w:t xml:space="preserve"> </w:t>
      </w:r>
      <w:r w:rsidR="00FC1FCF" w:rsidRPr="00FE7BA7">
        <w:rPr>
          <w:rFonts w:ascii="Verdana" w:hAnsi="Verdana" w:cs="Arial"/>
          <w:sz w:val="20"/>
          <w:szCs w:val="20"/>
          <w:lang w:val="en-US"/>
        </w:rPr>
        <w:t>(</w:t>
      </w:r>
      <w:r w:rsidR="00366D91" w:rsidRPr="00FE7BA7">
        <w:rPr>
          <w:rFonts w:ascii="Verdana" w:hAnsi="Verdana" w:cs="Arial"/>
          <w:i/>
          <w:sz w:val="20"/>
          <w:szCs w:val="20"/>
          <w:lang w:val="en-US"/>
        </w:rPr>
        <w:t>supra</w:t>
      </w:r>
      <w:r w:rsidR="00FC1FCF" w:rsidRPr="00FE7BA7">
        <w:rPr>
          <w:rFonts w:ascii="Verdana" w:hAnsi="Verdana" w:cs="Arial"/>
          <w:sz w:val="20"/>
          <w:szCs w:val="20"/>
          <w:lang w:val="en-US"/>
        </w:rPr>
        <w:t xml:space="preserve"> </w:t>
      </w:r>
      <w:r w:rsidR="00810FAD" w:rsidRPr="00FE7BA7">
        <w:rPr>
          <w:rFonts w:ascii="Verdana" w:hAnsi="Verdana" w:cs="Arial"/>
          <w:sz w:val="20"/>
          <w:szCs w:val="20"/>
          <w:lang w:val="en-US"/>
        </w:rPr>
        <w:t>para.</w:t>
      </w:r>
      <w:r w:rsidR="00A519CD" w:rsidRPr="00FE7BA7">
        <w:rPr>
          <w:rFonts w:ascii="Verdana" w:hAnsi="Verdana" w:cs="Arial"/>
          <w:sz w:val="20"/>
          <w:szCs w:val="20"/>
          <w:lang w:val="en-US"/>
        </w:rPr>
        <w:t xml:space="preserve"> 7</w:t>
      </w:r>
      <w:r w:rsidR="00A967C8" w:rsidRPr="00FE7BA7">
        <w:rPr>
          <w:rFonts w:ascii="Verdana" w:hAnsi="Verdana" w:cs="Arial"/>
          <w:sz w:val="20"/>
          <w:szCs w:val="20"/>
          <w:lang w:val="en-US"/>
        </w:rPr>
        <w:t>3</w:t>
      </w:r>
      <w:r w:rsidR="00FC1FCF" w:rsidRPr="00FE7BA7">
        <w:rPr>
          <w:rFonts w:ascii="Verdana" w:hAnsi="Verdana" w:cs="Arial"/>
          <w:sz w:val="20"/>
          <w:szCs w:val="20"/>
          <w:lang w:val="en-US"/>
        </w:rPr>
        <w:t xml:space="preserve">); </w:t>
      </w:r>
      <w:r w:rsidR="00C13118" w:rsidRPr="00FE7BA7">
        <w:rPr>
          <w:rFonts w:ascii="Verdana" w:hAnsi="Verdana" w:cs="Arial"/>
          <w:sz w:val="20"/>
          <w:szCs w:val="20"/>
          <w:lang w:val="en-US"/>
        </w:rPr>
        <w:t>(</w:t>
      </w:r>
      <w:r w:rsidR="00EC7750" w:rsidRPr="00FE7BA7">
        <w:rPr>
          <w:rFonts w:ascii="Verdana" w:hAnsi="Verdana" w:cs="Arial"/>
          <w:sz w:val="20"/>
          <w:szCs w:val="20"/>
          <w:lang w:val="en-US"/>
        </w:rPr>
        <w:t>3</w:t>
      </w:r>
      <w:r w:rsidR="00FC1FCF" w:rsidRPr="00FE7BA7">
        <w:rPr>
          <w:rFonts w:ascii="Verdana" w:hAnsi="Verdana" w:cs="Arial"/>
          <w:sz w:val="20"/>
          <w:szCs w:val="20"/>
          <w:lang w:val="en-US"/>
        </w:rPr>
        <w:t xml:space="preserve">) </w:t>
      </w:r>
      <w:r w:rsidR="00C13118" w:rsidRPr="00FE7BA7">
        <w:rPr>
          <w:rFonts w:ascii="Verdana" w:hAnsi="Verdana" w:cs="Arial"/>
          <w:sz w:val="20"/>
          <w:szCs w:val="20"/>
          <w:lang w:val="en-US"/>
        </w:rPr>
        <w:t xml:space="preserve">the prohibition to access the area of the mining concession in </w:t>
      </w:r>
      <w:r w:rsidR="00BE4D11" w:rsidRPr="00FE7BA7">
        <w:rPr>
          <w:rFonts w:ascii="Verdana" w:hAnsi="Verdana"/>
          <w:sz w:val="20"/>
          <w:szCs w:val="20"/>
          <w:lang w:val="en-US"/>
        </w:rPr>
        <w:t xml:space="preserve">the </w:t>
      </w:r>
      <w:r w:rsidR="00511E56" w:rsidRPr="00FE7BA7">
        <w:rPr>
          <w:rFonts w:ascii="Verdana" w:hAnsi="Verdana"/>
          <w:sz w:val="20"/>
          <w:szCs w:val="20"/>
          <w:lang w:val="en-US"/>
        </w:rPr>
        <w:t>Wane Kreek</w:t>
      </w:r>
      <w:r w:rsidR="00BE4D11" w:rsidRPr="00FE7BA7">
        <w:rPr>
          <w:rFonts w:ascii="Verdana" w:hAnsi="Verdana"/>
          <w:sz w:val="20"/>
          <w:szCs w:val="20"/>
          <w:lang w:val="en-US"/>
        </w:rPr>
        <w:t xml:space="preserve"> Nature Reserve</w:t>
      </w:r>
      <w:r w:rsidR="00EC7750" w:rsidRPr="00FE7BA7">
        <w:rPr>
          <w:rFonts w:ascii="Verdana" w:hAnsi="Verdana"/>
          <w:sz w:val="20"/>
          <w:szCs w:val="20"/>
          <w:lang w:val="en-US"/>
        </w:rPr>
        <w:t>,</w:t>
      </w:r>
      <w:r w:rsidRPr="00FE7BA7">
        <w:rPr>
          <w:rFonts w:ascii="Verdana" w:hAnsi="Verdana"/>
          <w:sz w:val="20"/>
          <w:szCs w:val="20"/>
          <w:lang w:val="en-US"/>
        </w:rPr>
        <w:t xml:space="preserve"> and </w:t>
      </w:r>
      <w:r w:rsidR="00C13118" w:rsidRPr="00FE7BA7">
        <w:rPr>
          <w:rFonts w:ascii="Verdana" w:hAnsi="Verdana"/>
          <w:sz w:val="20"/>
          <w:szCs w:val="20"/>
          <w:lang w:val="en-US"/>
        </w:rPr>
        <w:t>(</w:t>
      </w:r>
      <w:r w:rsidR="00EC7750" w:rsidRPr="00FE7BA7">
        <w:rPr>
          <w:rFonts w:ascii="Verdana" w:hAnsi="Verdana"/>
          <w:sz w:val="20"/>
          <w:szCs w:val="20"/>
          <w:lang w:val="en-US"/>
        </w:rPr>
        <w:t>4</w:t>
      </w:r>
      <w:r w:rsidR="00FC1FCF" w:rsidRPr="00FE7BA7">
        <w:rPr>
          <w:rFonts w:ascii="Verdana" w:hAnsi="Verdana"/>
          <w:sz w:val="20"/>
          <w:szCs w:val="20"/>
          <w:lang w:val="en-US"/>
        </w:rPr>
        <w:t xml:space="preserve">) </w:t>
      </w:r>
      <w:r w:rsidR="00C13118" w:rsidRPr="00FE7BA7">
        <w:rPr>
          <w:rFonts w:ascii="Verdana" w:hAnsi="Verdana"/>
          <w:sz w:val="20"/>
          <w:szCs w:val="20"/>
          <w:lang w:val="en-US"/>
        </w:rPr>
        <w:t xml:space="preserve">the refusal to allow </w:t>
      </w:r>
      <w:r w:rsidR="00BD40EF" w:rsidRPr="00FE7BA7">
        <w:rPr>
          <w:rFonts w:ascii="Verdana" w:hAnsi="Verdana"/>
          <w:sz w:val="20"/>
          <w:szCs w:val="20"/>
          <w:lang w:val="en-US"/>
        </w:rPr>
        <w:t>the indigenous peoples</w:t>
      </w:r>
      <w:r w:rsidR="00C13118" w:rsidRPr="00FE7BA7">
        <w:rPr>
          <w:rFonts w:ascii="Verdana" w:hAnsi="Verdana"/>
          <w:sz w:val="20"/>
          <w:szCs w:val="20"/>
          <w:lang w:val="en-US"/>
        </w:rPr>
        <w:t xml:space="preserve"> to </w:t>
      </w:r>
      <w:r w:rsidR="0086680E">
        <w:rPr>
          <w:rFonts w:ascii="Verdana" w:hAnsi="Verdana"/>
          <w:sz w:val="20"/>
          <w:szCs w:val="20"/>
          <w:lang w:val="en-US"/>
        </w:rPr>
        <w:t>monitor</w:t>
      </w:r>
      <w:r w:rsidR="00C13118" w:rsidRPr="00FE7BA7">
        <w:rPr>
          <w:rFonts w:ascii="Verdana" w:hAnsi="Verdana"/>
          <w:sz w:val="20"/>
          <w:szCs w:val="20"/>
          <w:lang w:val="en-US"/>
        </w:rPr>
        <w:t xml:space="preserve"> and </w:t>
      </w:r>
      <w:r w:rsidR="00B23A8D">
        <w:rPr>
          <w:rFonts w:ascii="Verdana" w:hAnsi="Verdana"/>
          <w:sz w:val="20"/>
          <w:szCs w:val="20"/>
          <w:lang w:val="en-US"/>
        </w:rPr>
        <w:t xml:space="preserve">manage </w:t>
      </w:r>
      <w:r w:rsidR="00C13118" w:rsidRPr="00FE7BA7">
        <w:rPr>
          <w:rFonts w:ascii="Verdana" w:hAnsi="Verdana"/>
          <w:sz w:val="20"/>
          <w:szCs w:val="20"/>
          <w:lang w:val="en-US"/>
        </w:rPr>
        <w:t>the nature reserves</w:t>
      </w:r>
      <w:r w:rsidR="00EC7750" w:rsidRPr="00FE7BA7">
        <w:rPr>
          <w:rFonts w:ascii="Verdana" w:hAnsi="Verdana" w:cs="Arial"/>
          <w:sz w:val="20"/>
          <w:szCs w:val="20"/>
          <w:lang w:val="en-US"/>
        </w:rPr>
        <w:t xml:space="preserve">. </w:t>
      </w:r>
      <w:r w:rsidR="00C13118" w:rsidRPr="00FE7BA7">
        <w:rPr>
          <w:rFonts w:ascii="Verdana" w:hAnsi="Verdana" w:cs="Arial"/>
          <w:sz w:val="20"/>
          <w:szCs w:val="20"/>
          <w:lang w:val="en-US"/>
        </w:rPr>
        <w:t>The Court will rule in this regard in the next three sections.</w:t>
      </w:r>
    </w:p>
    <w:p w14:paraId="631269DE" w14:textId="77777777" w:rsidR="00FC1FCF" w:rsidRDefault="00FC1FCF" w:rsidP="00FC1FCF">
      <w:pPr>
        <w:jc w:val="both"/>
        <w:rPr>
          <w:rFonts w:ascii="Verdana" w:hAnsi="Verdana"/>
          <w:sz w:val="20"/>
          <w:lang w:val="en-US"/>
        </w:rPr>
      </w:pPr>
    </w:p>
    <w:p w14:paraId="78A0048D" w14:textId="77777777" w:rsidR="00E9570D" w:rsidRDefault="00E9570D" w:rsidP="00FC1FCF">
      <w:pPr>
        <w:jc w:val="both"/>
        <w:rPr>
          <w:rFonts w:ascii="Verdana" w:hAnsi="Verdana"/>
          <w:sz w:val="20"/>
          <w:lang w:val="en-US"/>
        </w:rPr>
      </w:pPr>
    </w:p>
    <w:p w14:paraId="2DDB8B3C" w14:textId="77777777" w:rsidR="00E9570D" w:rsidRDefault="00E9570D" w:rsidP="00FC1FCF">
      <w:pPr>
        <w:jc w:val="both"/>
        <w:rPr>
          <w:rFonts w:ascii="Verdana" w:hAnsi="Verdana"/>
          <w:sz w:val="20"/>
          <w:lang w:val="en-US"/>
        </w:rPr>
      </w:pPr>
    </w:p>
    <w:p w14:paraId="5A7959EE" w14:textId="77777777" w:rsidR="00E9570D" w:rsidRPr="00FE7BA7" w:rsidRDefault="00E9570D" w:rsidP="00FC1FCF">
      <w:pPr>
        <w:jc w:val="both"/>
        <w:rPr>
          <w:rFonts w:ascii="Verdana" w:hAnsi="Verdana"/>
          <w:sz w:val="20"/>
          <w:lang w:val="en-US"/>
        </w:rPr>
      </w:pPr>
    </w:p>
    <w:p w14:paraId="631269DF" w14:textId="77777777" w:rsidR="00FC1FCF" w:rsidRPr="00FE7BA7" w:rsidRDefault="00C13118" w:rsidP="00FC1FCF">
      <w:pPr>
        <w:pStyle w:val="ListParagraph"/>
        <w:numPr>
          <w:ilvl w:val="0"/>
          <w:numId w:val="22"/>
        </w:numPr>
        <w:jc w:val="both"/>
        <w:rPr>
          <w:rFonts w:ascii="Verdana" w:hAnsi="Verdana"/>
          <w:b/>
          <w:i/>
          <w:sz w:val="20"/>
          <w:szCs w:val="20"/>
          <w:lang w:val="en-US"/>
        </w:rPr>
      </w:pPr>
      <w:r w:rsidRPr="00FE7BA7">
        <w:rPr>
          <w:rFonts w:ascii="Verdana" w:hAnsi="Verdana"/>
          <w:b/>
          <w:i/>
          <w:sz w:val="20"/>
          <w:szCs w:val="20"/>
          <w:lang w:val="en-US"/>
        </w:rPr>
        <w:lastRenderedPageBreak/>
        <w:t>The impact in the</w:t>
      </w:r>
      <w:r w:rsidR="00BE4D11" w:rsidRPr="00FE7BA7">
        <w:rPr>
          <w:rFonts w:ascii="Verdana" w:hAnsi="Verdana"/>
          <w:b/>
          <w:i/>
          <w:sz w:val="20"/>
          <w:szCs w:val="20"/>
          <w:lang w:val="en-US"/>
        </w:rPr>
        <w:t xml:space="preserve"> Galibi Nature Reserve</w:t>
      </w:r>
      <w:r w:rsidR="00FC1FCF" w:rsidRPr="00FE7BA7">
        <w:rPr>
          <w:rFonts w:ascii="Verdana" w:hAnsi="Verdana"/>
          <w:b/>
          <w:i/>
          <w:sz w:val="20"/>
          <w:szCs w:val="20"/>
          <w:lang w:val="en-US"/>
        </w:rPr>
        <w:t xml:space="preserve"> </w:t>
      </w:r>
    </w:p>
    <w:p w14:paraId="631269E0" w14:textId="77777777" w:rsidR="00FC1FCF" w:rsidRPr="00FE7BA7" w:rsidRDefault="00FC1FCF" w:rsidP="00FC1FCF">
      <w:pPr>
        <w:pStyle w:val="ListParagraph"/>
        <w:ind w:left="1080"/>
        <w:jc w:val="both"/>
        <w:rPr>
          <w:rFonts w:ascii="Verdana" w:hAnsi="Verdana"/>
          <w:i/>
          <w:sz w:val="20"/>
          <w:szCs w:val="20"/>
          <w:lang w:val="en-US"/>
        </w:rPr>
      </w:pPr>
    </w:p>
    <w:p w14:paraId="631269E1" w14:textId="77777777" w:rsidR="00FC1FCF" w:rsidRPr="00743178" w:rsidRDefault="002B5CCD" w:rsidP="00C13118">
      <w:pPr>
        <w:pStyle w:val="ListParagraph"/>
        <w:numPr>
          <w:ilvl w:val="0"/>
          <w:numId w:val="2"/>
        </w:numPr>
        <w:ind w:left="0" w:hanging="11"/>
        <w:jc w:val="both"/>
        <w:rPr>
          <w:rFonts w:ascii="Verdana" w:hAnsi="Verdana" w:cs="Arial"/>
          <w:sz w:val="20"/>
          <w:szCs w:val="20"/>
          <w:lang w:val="en-US"/>
        </w:rPr>
      </w:pPr>
      <w:r w:rsidRPr="00FE7BA7">
        <w:rPr>
          <w:rFonts w:ascii="Verdana" w:hAnsi="Verdana"/>
          <w:sz w:val="20"/>
          <w:szCs w:val="20"/>
          <w:lang w:val="en-US"/>
        </w:rPr>
        <w:t>The Court</w:t>
      </w:r>
      <w:r w:rsidR="00FC1FCF" w:rsidRPr="00FE7BA7">
        <w:rPr>
          <w:rFonts w:ascii="Verdana" w:hAnsi="Verdana"/>
          <w:sz w:val="20"/>
          <w:szCs w:val="20"/>
          <w:lang w:val="en-US"/>
        </w:rPr>
        <w:t xml:space="preserve"> t</w:t>
      </w:r>
      <w:r w:rsidR="00C13118" w:rsidRPr="00FE7BA7">
        <w:rPr>
          <w:rFonts w:ascii="Verdana" w:hAnsi="Verdana"/>
          <w:sz w:val="20"/>
          <w:szCs w:val="20"/>
          <w:lang w:val="en-US"/>
        </w:rPr>
        <w:t xml:space="preserve">akes note that, according to statements made </w:t>
      </w:r>
      <w:r w:rsidR="00743178">
        <w:rPr>
          <w:rFonts w:ascii="Verdana" w:hAnsi="Verdana"/>
          <w:sz w:val="20"/>
          <w:szCs w:val="20"/>
          <w:lang w:val="en-US"/>
        </w:rPr>
        <w:t>when the delegation visited</w:t>
      </w:r>
      <w:r w:rsidR="00C13118" w:rsidRPr="00FE7BA7">
        <w:rPr>
          <w:rFonts w:ascii="Verdana" w:hAnsi="Verdana"/>
          <w:sz w:val="20"/>
          <w:szCs w:val="20"/>
          <w:lang w:val="en-US"/>
        </w:rPr>
        <w:t xml:space="preserve"> this reserve </w:t>
      </w:r>
      <w:r w:rsidR="003F3419" w:rsidRPr="00FE7BA7">
        <w:rPr>
          <w:rFonts w:ascii="Verdana" w:hAnsi="Verdana"/>
          <w:sz w:val="20"/>
          <w:lang w:val="en-US"/>
        </w:rPr>
        <w:t>(</w:t>
      </w:r>
      <w:r w:rsidR="003F3419" w:rsidRPr="00FE7BA7">
        <w:rPr>
          <w:rFonts w:ascii="Verdana" w:hAnsi="Verdana"/>
          <w:i/>
          <w:sz w:val="20"/>
          <w:lang w:val="en-US"/>
        </w:rPr>
        <w:t>supra</w:t>
      </w:r>
      <w:r w:rsidR="003F3419" w:rsidRPr="00FE7BA7">
        <w:rPr>
          <w:rFonts w:ascii="Verdana" w:hAnsi="Verdana"/>
          <w:sz w:val="20"/>
          <w:lang w:val="en-US"/>
        </w:rPr>
        <w:t xml:space="preserve"> </w:t>
      </w:r>
      <w:r w:rsidR="00810FAD" w:rsidRPr="00FE7BA7">
        <w:rPr>
          <w:rFonts w:ascii="Verdana" w:hAnsi="Verdana"/>
          <w:sz w:val="20"/>
          <w:lang w:val="en-US"/>
        </w:rPr>
        <w:t>para.</w:t>
      </w:r>
      <w:r w:rsidR="00A519CD" w:rsidRPr="00FE7BA7">
        <w:rPr>
          <w:rFonts w:ascii="Verdana" w:hAnsi="Verdana"/>
          <w:sz w:val="20"/>
          <w:lang w:val="en-US"/>
        </w:rPr>
        <w:t xml:space="preserve"> 14</w:t>
      </w:r>
      <w:r w:rsidR="003F3419" w:rsidRPr="00FE7BA7">
        <w:rPr>
          <w:rFonts w:ascii="Verdana" w:hAnsi="Verdana"/>
          <w:sz w:val="20"/>
          <w:lang w:val="en-US"/>
        </w:rPr>
        <w:t>)</w:t>
      </w:r>
      <w:r w:rsidR="00C364DA" w:rsidRPr="00FE7BA7">
        <w:rPr>
          <w:rFonts w:ascii="Verdana" w:hAnsi="Verdana"/>
          <w:sz w:val="20"/>
          <w:lang w:val="en-US"/>
        </w:rPr>
        <w:t>,</w:t>
      </w:r>
      <w:r w:rsidR="00FD14B3" w:rsidRPr="00FE7BA7">
        <w:rPr>
          <w:rFonts w:ascii="Verdana" w:hAnsi="Verdana"/>
          <w:sz w:val="20"/>
          <w:szCs w:val="20"/>
          <w:lang w:val="en-US"/>
        </w:rPr>
        <w:t xml:space="preserve"> during </w:t>
      </w:r>
      <w:r w:rsidR="00C13118" w:rsidRPr="00FE7BA7">
        <w:rPr>
          <w:rFonts w:ascii="Verdana" w:hAnsi="Verdana"/>
          <w:sz w:val="20"/>
          <w:szCs w:val="20"/>
          <w:lang w:val="en-US"/>
        </w:rPr>
        <w:t xml:space="preserve">the internal conflict, access to the Galibi Nature Reserve was prohibited owing to the increase in the theft of turtle eggs, and military </w:t>
      </w:r>
      <w:r w:rsidR="00743178">
        <w:rPr>
          <w:rFonts w:ascii="Verdana" w:hAnsi="Verdana"/>
          <w:sz w:val="20"/>
          <w:szCs w:val="20"/>
          <w:lang w:val="en-US"/>
        </w:rPr>
        <w:t>checkpoints</w:t>
      </w:r>
      <w:r w:rsidR="00C13118" w:rsidRPr="00FE7BA7">
        <w:rPr>
          <w:rFonts w:ascii="Verdana" w:hAnsi="Verdana"/>
          <w:sz w:val="20"/>
          <w:szCs w:val="20"/>
          <w:lang w:val="en-US"/>
        </w:rPr>
        <w:t xml:space="preserve"> were established at the access </w:t>
      </w:r>
      <w:r w:rsidR="00743178">
        <w:rPr>
          <w:rFonts w:ascii="Verdana" w:hAnsi="Verdana"/>
          <w:sz w:val="20"/>
          <w:szCs w:val="20"/>
          <w:lang w:val="en-US"/>
        </w:rPr>
        <w:t>sites</w:t>
      </w:r>
      <w:r w:rsidR="00C364DA" w:rsidRPr="00FE7BA7">
        <w:rPr>
          <w:rFonts w:ascii="Verdana" w:hAnsi="Verdana"/>
          <w:sz w:val="20"/>
          <w:lang w:val="en-US"/>
        </w:rPr>
        <w:t xml:space="preserve"> (</w:t>
      </w:r>
      <w:r w:rsidR="00C364DA" w:rsidRPr="00FE7BA7">
        <w:rPr>
          <w:rFonts w:ascii="Verdana" w:hAnsi="Verdana"/>
          <w:i/>
          <w:sz w:val="20"/>
          <w:lang w:val="en-US"/>
        </w:rPr>
        <w:t xml:space="preserve">supra </w:t>
      </w:r>
      <w:r w:rsidR="00810FAD" w:rsidRPr="00FE7BA7">
        <w:rPr>
          <w:rFonts w:ascii="Verdana" w:hAnsi="Verdana"/>
          <w:sz w:val="20"/>
          <w:lang w:val="en-US"/>
        </w:rPr>
        <w:t>para.</w:t>
      </w:r>
      <w:r w:rsidR="00A967C8" w:rsidRPr="00FE7BA7">
        <w:rPr>
          <w:rFonts w:ascii="Verdana" w:hAnsi="Verdana"/>
          <w:sz w:val="20"/>
          <w:lang w:val="en-US"/>
        </w:rPr>
        <w:t xml:space="preserve"> </w:t>
      </w:r>
      <w:r w:rsidR="00A519CD" w:rsidRPr="00FE7BA7">
        <w:rPr>
          <w:rFonts w:ascii="Verdana" w:hAnsi="Verdana"/>
          <w:sz w:val="20"/>
          <w:lang w:val="en-US"/>
        </w:rPr>
        <w:t>78</w:t>
      </w:r>
      <w:r w:rsidR="00C364DA" w:rsidRPr="00FE7BA7">
        <w:rPr>
          <w:rFonts w:ascii="Verdana" w:hAnsi="Verdana"/>
          <w:sz w:val="20"/>
          <w:lang w:val="en-US"/>
        </w:rPr>
        <w:t>)</w:t>
      </w:r>
      <w:r w:rsidR="00FC1FCF" w:rsidRPr="00FE7BA7">
        <w:rPr>
          <w:rFonts w:ascii="Verdana" w:hAnsi="Verdana"/>
          <w:sz w:val="20"/>
          <w:lang w:val="en-US"/>
        </w:rPr>
        <w:t>.</w:t>
      </w:r>
      <w:r w:rsidR="00FD14B3" w:rsidRPr="00FE7BA7">
        <w:rPr>
          <w:rFonts w:ascii="Verdana" w:hAnsi="Verdana"/>
          <w:sz w:val="20"/>
          <w:lang w:val="en-US"/>
        </w:rPr>
        <w:t xml:space="preserve"> </w:t>
      </w:r>
      <w:r w:rsidR="00C13118" w:rsidRPr="00FE7BA7">
        <w:rPr>
          <w:rFonts w:ascii="Verdana" w:hAnsi="Verdana"/>
          <w:sz w:val="20"/>
          <w:lang w:val="en-US"/>
        </w:rPr>
        <w:t>In</w:t>
      </w:r>
      <w:r w:rsidR="00C364DA" w:rsidRPr="00FE7BA7">
        <w:rPr>
          <w:rFonts w:ascii="Verdana" w:hAnsi="Verdana"/>
          <w:sz w:val="20"/>
          <w:lang w:val="en-US"/>
        </w:rPr>
        <w:t xml:space="preserve"> </w:t>
      </w:r>
      <w:r w:rsidR="004C0C97" w:rsidRPr="00FE7BA7">
        <w:rPr>
          <w:rFonts w:ascii="Verdana" w:hAnsi="Verdana"/>
          <w:sz w:val="20"/>
          <w:lang w:val="en-US"/>
        </w:rPr>
        <w:t>2005</w:t>
      </w:r>
      <w:r w:rsidR="00C13118" w:rsidRPr="00FE7BA7">
        <w:rPr>
          <w:rFonts w:ascii="Verdana" w:hAnsi="Verdana"/>
          <w:sz w:val="20"/>
          <w:lang w:val="en-US"/>
        </w:rPr>
        <w:t xml:space="preserve">, security checkpoints were also </w:t>
      </w:r>
      <w:r w:rsidR="00FE7BA7" w:rsidRPr="00FE7BA7">
        <w:rPr>
          <w:rFonts w:ascii="Verdana" w:hAnsi="Verdana"/>
          <w:sz w:val="20"/>
          <w:lang w:val="en-US"/>
        </w:rPr>
        <w:t>installed</w:t>
      </w:r>
      <w:r w:rsidR="00C13118" w:rsidRPr="00FE7BA7">
        <w:rPr>
          <w:rFonts w:ascii="Verdana" w:hAnsi="Verdana"/>
          <w:sz w:val="20"/>
          <w:lang w:val="en-US"/>
        </w:rPr>
        <w:t xml:space="preserve"> that limited access to the area and, in 2006, one of the guards fired a shot in the air. The Court has verified that, in 1998, the </w:t>
      </w:r>
      <w:r w:rsidR="00AE5F46" w:rsidRPr="00743178">
        <w:rPr>
          <w:rFonts w:ascii="Verdana" w:hAnsi="Verdana"/>
          <w:sz w:val="20"/>
          <w:lang w:val="en-US"/>
        </w:rPr>
        <w:t>Dialogue</w:t>
      </w:r>
      <w:r w:rsidR="00DC619A" w:rsidRPr="00743178">
        <w:rPr>
          <w:rFonts w:ascii="Verdana" w:hAnsi="Verdana"/>
          <w:sz w:val="20"/>
          <w:lang w:val="en-US"/>
        </w:rPr>
        <w:t xml:space="preserve"> Commission was established </w:t>
      </w:r>
      <w:r w:rsidR="00743178">
        <w:rPr>
          <w:rFonts w:ascii="Verdana" w:hAnsi="Verdana"/>
          <w:sz w:val="20"/>
          <w:lang w:val="en-US"/>
        </w:rPr>
        <w:t>and agreement was reached on</w:t>
      </w:r>
      <w:r w:rsidR="00DC619A" w:rsidRPr="00743178">
        <w:rPr>
          <w:rFonts w:ascii="Verdana" w:hAnsi="Verdana"/>
          <w:sz w:val="20"/>
          <w:lang w:val="en-US"/>
        </w:rPr>
        <w:t xml:space="preserve"> access to and use of the reserve, </w:t>
      </w:r>
      <w:r w:rsidR="00743178">
        <w:rPr>
          <w:rFonts w:ascii="Verdana" w:hAnsi="Verdana"/>
          <w:sz w:val="20"/>
          <w:lang w:val="en-US"/>
        </w:rPr>
        <w:t xml:space="preserve">restricting the extraction of turtle eggs to </w:t>
      </w:r>
      <w:r w:rsidR="00DC619A" w:rsidRPr="00743178">
        <w:rPr>
          <w:rFonts w:ascii="Verdana" w:hAnsi="Verdana"/>
          <w:sz w:val="20"/>
          <w:lang w:val="en-US"/>
        </w:rPr>
        <w:t xml:space="preserve">the personal consumption </w:t>
      </w:r>
      <w:r w:rsidR="00DA4B96" w:rsidRPr="00743178">
        <w:rPr>
          <w:rFonts w:ascii="Verdana" w:hAnsi="Verdana"/>
          <w:sz w:val="20"/>
          <w:szCs w:val="20"/>
          <w:lang w:val="en-US"/>
        </w:rPr>
        <w:t>of the members</w:t>
      </w:r>
      <w:r w:rsidR="00FC1FCF" w:rsidRPr="00743178">
        <w:rPr>
          <w:rFonts w:ascii="Verdana" w:hAnsi="Verdana"/>
          <w:sz w:val="20"/>
          <w:szCs w:val="20"/>
          <w:lang w:val="en-US"/>
        </w:rPr>
        <w:t xml:space="preserve"> </w:t>
      </w:r>
      <w:r w:rsidR="00BD40EF" w:rsidRPr="00743178">
        <w:rPr>
          <w:rFonts w:ascii="Verdana" w:hAnsi="Verdana"/>
          <w:sz w:val="20"/>
          <w:szCs w:val="20"/>
          <w:lang w:val="en-US"/>
        </w:rPr>
        <w:t>of the indigenous peoples</w:t>
      </w:r>
      <w:r w:rsidRPr="00743178">
        <w:rPr>
          <w:rFonts w:ascii="Verdana" w:hAnsi="Verdana"/>
          <w:sz w:val="20"/>
          <w:szCs w:val="20"/>
          <w:lang w:val="en-US"/>
        </w:rPr>
        <w:t xml:space="preserve"> and </w:t>
      </w:r>
      <w:r w:rsidR="00DC619A" w:rsidRPr="00743178">
        <w:rPr>
          <w:rFonts w:ascii="Verdana" w:hAnsi="Verdana"/>
          <w:sz w:val="20"/>
          <w:szCs w:val="20"/>
          <w:lang w:val="en-US"/>
        </w:rPr>
        <w:t>not for commercia</w:t>
      </w:r>
      <w:r w:rsidR="007B3D23">
        <w:rPr>
          <w:rFonts w:ascii="Verdana" w:hAnsi="Verdana"/>
          <w:sz w:val="20"/>
          <w:szCs w:val="20"/>
          <w:lang w:val="en-US"/>
        </w:rPr>
        <w:t>l purposes. In addition, ways for</w:t>
      </w:r>
      <w:r w:rsidR="00DC619A" w:rsidRPr="00743178">
        <w:rPr>
          <w:rFonts w:ascii="Verdana" w:hAnsi="Verdana"/>
          <w:sz w:val="20"/>
          <w:szCs w:val="20"/>
          <w:lang w:val="en-US"/>
        </w:rPr>
        <w:t xml:space="preserve"> participating in the monitoring of the reserve were established, as well as measures to share the benefits of the increased tourism </w:t>
      </w:r>
      <w:r w:rsidR="00FE7BA7" w:rsidRPr="00743178">
        <w:rPr>
          <w:rFonts w:ascii="Verdana" w:hAnsi="Verdana"/>
          <w:sz w:val="20"/>
          <w:szCs w:val="20"/>
          <w:lang w:val="en-US"/>
        </w:rPr>
        <w:t>activity</w:t>
      </w:r>
      <w:r w:rsidR="00743178">
        <w:rPr>
          <w:rFonts w:ascii="Verdana" w:hAnsi="Verdana"/>
          <w:sz w:val="20"/>
          <w:szCs w:val="20"/>
          <w:lang w:val="en-US"/>
        </w:rPr>
        <w:t xml:space="preserve"> in the area. These measures </w:t>
      </w:r>
      <w:r w:rsidR="00DC619A" w:rsidRPr="00743178">
        <w:rPr>
          <w:rFonts w:ascii="Verdana" w:hAnsi="Verdana"/>
          <w:sz w:val="20"/>
          <w:szCs w:val="20"/>
          <w:lang w:val="en-US"/>
        </w:rPr>
        <w:t>were verified during the visit. It was</w:t>
      </w:r>
      <w:r w:rsidR="00743178">
        <w:rPr>
          <w:rFonts w:ascii="Verdana" w:hAnsi="Verdana"/>
          <w:sz w:val="20"/>
          <w:szCs w:val="20"/>
          <w:lang w:val="en-US"/>
        </w:rPr>
        <w:t xml:space="preserve"> also noted that the</w:t>
      </w:r>
      <w:r w:rsidR="00DC619A" w:rsidRPr="00743178">
        <w:rPr>
          <w:rFonts w:ascii="Verdana" w:hAnsi="Verdana"/>
          <w:sz w:val="20"/>
          <w:szCs w:val="20"/>
          <w:lang w:val="en-US"/>
        </w:rPr>
        <w:t xml:space="preserve"> </w:t>
      </w:r>
      <w:r w:rsidR="00AE5F46" w:rsidRPr="00743178">
        <w:rPr>
          <w:rFonts w:ascii="Verdana" w:hAnsi="Verdana"/>
          <w:sz w:val="20"/>
          <w:szCs w:val="20"/>
          <w:lang w:val="en-US"/>
        </w:rPr>
        <w:t>Dialogue</w:t>
      </w:r>
      <w:r w:rsidR="00743178">
        <w:rPr>
          <w:rFonts w:ascii="Verdana" w:hAnsi="Verdana"/>
          <w:sz w:val="20"/>
          <w:szCs w:val="20"/>
          <w:lang w:val="en-US"/>
        </w:rPr>
        <w:t xml:space="preserve"> Commission is no longer</w:t>
      </w:r>
      <w:r w:rsidR="00DC619A" w:rsidRPr="00743178">
        <w:rPr>
          <w:rFonts w:ascii="Verdana" w:hAnsi="Verdana"/>
          <w:sz w:val="20"/>
          <w:szCs w:val="20"/>
          <w:lang w:val="en-US"/>
        </w:rPr>
        <w:t xml:space="preserve"> functioning. D</w:t>
      </w:r>
      <w:r w:rsidR="00FD14B3" w:rsidRPr="00743178">
        <w:rPr>
          <w:rFonts w:ascii="Verdana" w:hAnsi="Verdana"/>
          <w:sz w:val="20"/>
          <w:szCs w:val="20"/>
          <w:lang w:val="en-US"/>
        </w:rPr>
        <w:t xml:space="preserve">uring </w:t>
      </w:r>
      <w:r w:rsidR="00D16DA7" w:rsidRPr="00743178">
        <w:rPr>
          <w:rFonts w:ascii="Verdana" w:hAnsi="Verdana"/>
          <w:sz w:val="20"/>
          <w:lang w:val="en-US"/>
        </w:rPr>
        <w:t>the visit</w:t>
      </w:r>
      <w:r w:rsidR="00DC619A" w:rsidRPr="00743178">
        <w:rPr>
          <w:rFonts w:ascii="Verdana" w:hAnsi="Verdana"/>
          <w:sz w:val="20"/>
          <w:lang w:val="en-US"/>
        </w:rPr>
        <w:t xml:space="preserve"> to the area, all the parties indicated that,</w:t>
      </w:r>
      <w:r w:rsidR="00743178">
        <w:rPr>
          <w:rFonts w:ascii="Verdana" w:hAnsi="Verdana"/>
          <w:sz w:val="20"/>
          <w:lang w:val="en-US"/>
        </w:rPr>
        <w:t xml:space="preserve"> at the present time,</w:t>
      </w:r>
      <w:r w:rsidR="00DC619A" w:rsidRPr="00743178">
        <w:rPr>
          <w:rFonts w:ascii="Verdana" w:hAnsi="Verdana"/>
          <w:sz w:val="20"/>
          <w:lang w:val="en-US"/>
        </w:rPr>
        <w:t xml:space="preserve"> the neighboring communities</w:t>
      </w:r>
      <w:r w:rsidR="00743178">
        <w:rPr>
          <w:rFonts w:ascii="Verdana" w:hAnsi="Verdana"/>
          <w:sz w:val="20"/>
          <w:lang w:val="en-US"/>
        </w:rPr>
        <w:t xml:space="preserve"> continue to have access and participate in the benefits.</w:t>
      </w:r>
    </w:p>
    <w:p w14:paraId="631269E2" w14:textId="77777777" w:rsidR="00FC1FCF" w:rsidRPr="00FE7BA7" w:rsidRDefault="00FC1FCF" w:rsidP="00FC1FCF">
      <w:pPr>
        <w:jc w:val="both"/>
        <w:rPr>
          <w:rFonts w:ascii="Verdana" w:hAnsi="Verdana"/>
          <w:sz w:val="20"/>
          <w:szCs w:val="20"/>
          <w:lang w:val="en-US"/>
        </w:rPr>
      </w:pPr>
    </w:p>
    <w:p w14:paraId="631269E3" w14:textId="77777777" w:rsidR="00EC7750" w:rsidRPr="00290BA0" w:rsidRDefault="002B5CCD" w:rsidP="00DC619A">
      <w:pPr>
        <w:pStyle w:val="ListParagraph"/>
        <w:numPr>
          <w:ilvl w:val="0"/>
          <w:numId w:val="2"/>
        </w:numPr>
        <w:ind w:left="0" w:hanging="11"/>
        <w:jc w:val="both"/>
        <w:rPr>
          <w:rFonts w:ascii="Verdana" w:hAnsi="Verdana"/>
          <w:sz w:val="20"/>
          <w:szCs w:val="20"/>
          <w:lang w:val="en-US"/>
        </w:rPr>
      </w:pPr>
      <w:r w:rsidRPr="00FE7BA7">
        <w:rPr>
          <w:rFonts w:ascii="Verdana" w:hAnsi="Verdana"/>
          <w:sz w:val="20"/>
          <w:lang w:val="en-US"/>
        </w:rPr>
        <w:t>The Court</w:t>
      </w:r>
      <w:r w:rsidR="00FC1FCF" w:rsidRPr="00FE7BA7">
        <w:rPr>
          <w:rFonts w:ascii="Verdana" w:hAnsi="Verdana"/>
          <w:sz w:val="20"/>
          <w:lang w:val="en-US"/>
        </w:rPr>
        <w:t xml:space="preserve"> </w:t>
      </w:r>
      <w:r w:rsidR="00DC619A" w:rsidRPr="00FE7BA7">
        <w:rPr>
          <w:rFonts w:ascii="Verdana" w:hAnsi="Verdana"/>
          <w:sz w:val="20"/>
          <w:lang w:val="en-US"/>
        </w:rPr>
        <w:t>lacks evidence about the circumstances of time, manner and place in which the alleged restrictions occurred and, if applicable, the specific impact</w:t>
      </w:r>
      <w:r w:rsidR="00FE7BA7">
        <w:rPr>
          <w:rFonts w:ascii="Verdana" w:hAnsi="Verdana"/>
          <w:sz w:val="20"/>
          <w:lang w:val="en-US"/>
        </w:rPr>
        <w:t xml:space="preserve"> o</w:t>
      </w:r>
      <w:r w:rsidR="00DC619A" w:rsidRPr="00FE7BA7">
        <w:rPr>
          <w:rFonts w:ascii="Verdana" w:hAnsi="Verdana"/>
          <w:sz w:val="20"/>
          <w:lang w:val="en-US"/>
        </w:rPr>
        <w:t xml:space="preserve">n the neighboring communities, as well as the </w:t>
      </w:r>
      <w:r w:rsidR="00DC619A" w:rsidRPr="00290BA0">
        <w:rPr>
          <w:rFonts w:ascii="Verdana" w:hAnsi="Verdana"/>
          <w:sz w:val="20"/>
          <w:lang w:val="en-US"/>
        </w:rPr>
        <w:t xml:space="preserve">duration of such restrictions. Moreover, there is no evidence that any complaint was filed about these </w:t>
      </w:r>
      <w:r w:rsidR="00743178" w:rsidRPr="00290BA0">
        <w:rPr>
          <w:rFonts w:ascii="Verdana" w:hAnsi="Verdana"/>
          <w:sz w:val="20"/>
          <w:lang w:val="en-US"/>
        </w:rPr>
        <w:t>measures</w:t>
      </w:r>
      <w:r w:rsidR="00DC619A" w:rsidRPr="00290BA0">
        <w:rPr>
          <w:rFonts w:ascii="Verdana" w:hAnsi="Verdana"/>
          <w:sz w:val="20"/>
          <w:lang w:val="en-US"/>
        </w:rPr>
        <w:t xml:space="preserve"> in the domestic jurisdiction. Also, the Court understands that the 1998 </w:t>
      </w:r>
      <w:r w:rsidR="00AE5F46" w:rsidRPr="00290BA0">
        <w:rPr>
          <w:rFonts w:ascii="Verdana" w:hAnsi="Verdana"/>
          <w:sz w:val="20"/>
          <w:lang w:val="en-US"/>
        </w:rPr>
        <w:t>Dialogue</w:t>
      </w:r>
      <w:r w:rsidR="00DC619A" w:rsidRPr="00290BA0">
        <w:rPr>
          <w:rFonts w:ascii="Verdana" w:hAnsi="Verdana"/>
          <w:sz w:val="20"/>
          <w:lang w:val="en-US"/>
        </w:rPr>
        <w:t xml:space="preserve"> Commission established agreements with the indigenous population in the area. It is worth noting that, </w:t>
      </w:r>
      <w:r w:rsidR="00DC619A" w:rsidRPr="00290BA0">
        <w:rPr>
          <w:rFonts w:ascii="Verdana" w:hAnsi="Verdana"/>
          <w:sz w:val="20"/>
          <w:szCs w:val="20"/>
          <w:lang w:val="en-US"/>
        </w:rPr>
        <w:t>in 2007, when the case was lodge</w:t>
      </w:r>
      <w:r w:rsidR="00743178" w:rsidRPr="00290BA0">
        <w:rPr>
          <w:rFonts w:ascii="Verdana" w:hAnsi="Verdana"/>
          <w:sz w:val="20"/>
          <w:szCs w:val="20"/>
          <w:lang w:val="en-US"/>
        </w:rPr>
        <w:t>d</w:t>
      </w:r>
      <w:r w:rsidR="00DC619A" w:rsidRPr="00290BA0">
        <w:rPr>
          <w:rFonts w:ascii="Verdana" w:hAnsi="Verdana"/>
          <w:sz w:val="20"/>
          <w:szCs w:val="20"/>
          <w:lang w:val="en-US"/>
        </w:rPr>
        <w:t xml:space="preserve"> before </w:t>
      </w:r>
      <w:r w:rsidRPr="00290BA0">
        <w:rPr>
          <w:rFonts w:ascii="Verdana" w:hAnsi="Verdana"/>
          <w:sz w:val="20"/>
          <w:lang w:val="en-US"/>
        </w:rPr>
        <w:t>the Inter-American Commission</w:t>
      </w:r>
      <w:r w:rsidR="004C0C97" w:rsidRPr="00290BA0">
        <w:rPr>
          <w:rFonts w:ascii="Verdana" w:hAnsi="Verdana"/>
          <w:sz w:val="20"/>
          <w:lang w:val="en-US"/>
        </w:rPr>
        <w:t xml:space="preserve">, </w:t>
      </w:r>
      <w:r w:rsidR="00DC619A" w:rsidRPr="00290BA0">
        <w:rPr>
          <w:rFonts w:ascii="Verdana" w:hAnsi="Verdana"/>
          <w:sz w:val="20"/>
          <w:lang w:val="en-US"/>
        </w:rPr>
        <w:t>there was no evidence of any significant restriction in the area in question, so that, by then, the alleged impacts had already been resolved.</w:t>
      </w:r>
      <w:r w:rsidR="00CE01D8" w:rsidRPr="00290BA0">
        <w:rPr>
          <w:rFonts w:ascii="Verdana" w:hAnsi="Verdana"/>
          <w:sz w:val="20"/>
          <w:szCs w:val="20"/>
          <w:lang w:val="en-US"/>
        </w:rPr>
        <w:t xml:space="preserve"> </w:t>
      </w:r>
    </w:p>
    <w:p w14:paraId="631269E4" w14:textId="77777777" w:rsidR="00EC7750" w:rsidRPr="00290BA0" w:rsidRDefault="00EC7750" w:rsidP="00190AD3">
      <w:pPr>
        <w:pStyle w:val="ListParagraph"/>
        <w:rPr>
          <w:rFonts w:ascii="Verdana" w:hAnsi="Verdana"/>
          <w:strike/>
          <w:sz w:val="20"/>
          <w:szCs w:val="20"/>
          <w:lang w:val="en-US"/>
        </w:rPr>
      </w:pPr>
    </w:p>
    <w:p w14:paraId="631269E5" w14:textId="77777777" w:rsidR="00FC1FCF" w:rsidRPr="00290BA0" w:rsidRDefault="00C13118" w:rsidP="00FC1FCF">
      <w:pPr>
        <w:pStyle w:val="ListParagraph"/>
        <w:numPr>
          <w:ilvl w:val="0"/>
          <w:numId w:val="22"/>
        </w:numPr>
        <w:jc w:val="both"/>
        <w:rPr>
          <w:rFonts w:ascii="Verdana" w:hAnsi="Verdana" w:cs="Arial"/>
          <w:b/>
          <w:i/>
          <w:sz w:val="20"/>
          <w:szCs w:val="20"/>
          <w:lang w:val="en-US"/>
        </w:rPr>
      </w:pPr>
      <w:r w:rsidRPr="00290BA0">
        <w:rPr>
          <w:rFonts w:ascii="Verdana" w:hAnsi="Verdana" w:cs="Arial"/>
          <w:b/>
          <w:i/>
          <w:sz w:val="20"/>
          <w:szCs w:val="20"/>
          <w:lang w:val="en-US"/>
        </w:rPr>
        <w:t>The impact in the</w:t>
      </w:r>
      <w:r w:rsidR="00BE4D11" w:rsidRPr="00290BA0">
        <w:rPr>
          <w:rFonts w:ascii="Verdana" w:hAnsi="Verdana" w:cs="Arial"/>
          <w:b/>
          <w:i/>
          <w:sz w:val="20"/>
          <w:szCs w:val="20"/>
          <w:lang w:val="en-US"/>
        </w:rPr>
        <w:t xml:space="preserve"> </w:t>
      </w:r>
      <w:r w:rsidR="00511E56" w:rsidRPr="00290BA0">
        <w:rPr>
          <w:rFonts w:ascii="Verdana" w:hAnsi="Verdana" w:cs="Arial"/>
          <w:b/>
          <w:i/>
          <w:sz w:val="20"/>
          <w:szCs w:val="20"/>
          <w:lang w:val="en-US"/>
        </w:rPr>
        <w:t>Wane Kreek</w:t>
      </w:r>
      <w:r w:rsidR="00BE4D11" w:rsidRPr="00290BA0">
        <w:rPr>
          <w:rFonts w:ascii="Verdana" w:hAnsi="Verdana" w:cs="Arial"/>
          <w:b/>
          <w:i/>
          <w:sz w:val="20"/>
          <w:szCs w:val="20"/>
          <w:lang w:val="en-US"/>
        </w:rPr>
        <w:t xml:space="preserve"> Nature Reserve</w:t>
      </w:r>
    </w:p>
    <w:p w14:paraId="631269E6" w14:textId="77777777" w:rsidR="00FC1FCF" w:rsidRPr="00290BA0" w:rsidRDefault="00FC1FCF" w:rsidP="00FC1FCF">
      <w:pPr>
        <w:jc w:val="both"/>
        <w:rPr>
          <w:rFonts w:ascii="Verdana" w:hAnsi="Verdana" w:cs="Arial"/>
          <w:sz w:val="20"/>
          <w:szCs w:val="20"/>
          <w:lang w:val="en-US"/>
        </w:rPr>
      </w:pPr>
    </w:p>
    <w:p w14:paraId="631269E7" w14:textId="77777777" w:rsidR="00FC1FCF" w:rsidRPr="00290BA0" w:rsidRDefault="00DC619A" w:rsidP="00FC1FCF">
      <w:pPr>
        <w:pStyle w:val="ListParagraph"/>
        <w:numPr>
          <w:ilvl w:val="0"/>
          <w:numId w:val="2"/>
        </w:numPr>
        <w:ind w:left="0" w:hanging="11"/>
        <w:jc w:val="both"/>
        <w:rPr>
          <w:rFonts w:ascii="Verdana" w:hAnsi="Verdana"/>
          <w:sz w:val="20"/>
          <w:szCs w:val="20"/>
          <w:lang w:val="en-US"/>
        </w:rPr>
      </w:pPr>
      <w:r w:rsidRPr="00290BA0">
        <w:rPr>
          <w:rFonts w:ascii="Verdana" w:hAnsi="Verdana"/>
          <w:sz w:val="20"/>
          <w:szCs w:val="20"/>
          <w:lang w:val="en-US"/>
        </w:rPr>
        <w:t>Regarding</w:t>
      </w:r>
      <w:r w:rsidR="00511E56" w:rsidRPr="00290BA0">
        <w:rPr>
          <w:rFonts w:ascii="Verdana" w:hAnsi="Verdana"/>
          <w:sz w:val="20"/>
          <w:szCs w:val="20"/>
          <w:lang w:val="en-US"/>
        </w:rPr>
        <w:t xml:space="preserve"> the Wane Kreek</w:t>
      </w:r>
      <w:r w:rsidR="00BE4D11" w:rsidRPr="00290BA0">
        <w:rPr>
          <w:rFonts w:ascii="Verdana" w:hAnsi="Verdana"/>
          <w:sz w:val="20"/>
          <w:szCs w:val="20"/>
          <w:lang w:val="en-US"/>
        </w:rPr>
        <w:t xml:space="preserve"> Nature Reserve</w:t>
      </w:r>
      <w:r w:rsidR="00FC1FCF" w:rsidRPr="00290BA0">
        <w:rPr>
          <w:rFonts w:ascii="Verdana" w:hAnsi="Verdana"/>
          <w:sz w:val="20"/>
          <w:szCs w:val="20"/>
          <w:lang w:val="en-US"/>
        </w:rPr>
        <w:t xml:space="preserve">, </w:t>
      </w:r>
      <w:r w:rsidRPr="00290BA0">
        <w:rPr>
          <w:rFonts w:ascii="Verdana" w:hAnsi="Verdana"/>
          <w:sz w:val="20"/>
          <w:szCs w:val="20"/>
          <w:lang w:val="en-US"/>
        </w:rPr>
        <w:t>it was alleged that the indigenous peoples were not allowed to access their traditional sites in the area of the mining concession</w:t>
      </w:r>
      <w:r w:rsidR="00743178" w:rsidRPr="00290BA0">
        <w:rPr>
          <w:rFonts w:ascii="Verdana" w:hAnsi="Verdana"/>
          <w:sz w:val="20"/>
          <w:szCs w:val="20"/>
          <w:lang w:val="en-US"/>
        </w:rPr>
        <w:t>,</w:t>
      </w:r>
      <w:r w:rsidRPr="00290BA0">
        <w:rPr>
          <w:rFonts w:ascii="Verdana" w:hAnsi="Verdana"/>
          <w:sz w:val="20"/>
          <w:szCs w:val="20"/>
          <w:lang w:val="en-US"/>
        </w:rPr>
        <w:t xml:space="preserve"> and also that trees had been cut down during the mining operations, despite the provisions of the </w:t>
      </w:r>
      <w:r w:rsidR="005269B1" w:rsidRPr="00290BA0">
        <w:rPr>
          <w:rFonts w:ascii="Verdana" w:hAnsi="Verdana"/>
          <w:sz w:val="20"/>
          <w:szCs w:val="20"/>
          <w:lang w:val="en-US"/>
        </w:rPr>
        <w:t>1986 Nature Protection Order</w:t>
      </w:r>
      <w:r w:rsidR="00FC1FCF" w:rsidRPr="00290BA0">
        <w:rPr>
          <w:rFonts w:ascii="Verdana" w:hAnsi="Verdana"/>
          <w:sz w:val="20"/>
          <w:szCs w:val="20"/>
          <w:lang w:val="en-US"/>
        </w:rPr>
        <w:t xml:space="preserve"> (</w:t>
      </w:r>
      <w:r w:rsidR="00366D91" w:rsidRPr="00290BA0">
        <w:rPr>
          <w:rFonts w:ascii="Verdana" w:hAnsi="Verdana"/>
          <w:i/>
          <w:sz w:val="20"/>
          <w:szCs w:val="20"/>
          <w:lang w:val="en-US"/>
        </w:rPr>
        <w:t>supra</w:t>
      </w:r>
      <w:r w:rsidR="00FC1FCF" w:rsidRPr="00290BA0">
        <w:rPr>
          <w:rFonts w:ascii="Verdana" w:hAnsi="Verdana"/>
          <w:sz w:val="20"/>
          <w:szCs w:val="20"/>
          <w:lang w:val="en-US"/>
        </w:rPr>
        <w:t xml:space="preserve"> </w:t>
      </w:r>
      <w:r w:rsidR="00810FAD" w:rsidRPr="00290BA0">
        <w:rPr>
          <w:rFonts w:ascii="Verdana" w:hAnsi="Verdana"/>
          <w:sz w:val="20"/>
          <w:szCs w:val="20"/>
          <w:lang w:val="en-US"/>
        </w:rPr>
        <w:t>para.</w:t>
      </w:r>
      <w:r w:rsidR="001444BD" w:rsidRPr="00290BA0">
        <w:rPr>
          <w:rFonts w:ascii="Verdana" w:hAnsi="Verdana"/>
          <w:sz w:val="20"/>
          <w:szCs w:val="20"/>
          <w:lang w:val="en-US"/>
        </w:rPr>
        <w:t xml:space="preserve"> 83</w:t>
      </w:r>
      <w:r w:rsidR="00093AF9" w:rsidRPr="00290BA0">
        <w:rPr>
          <w:rFonts w:ascii="Verdana" w:hAnsi="Verdana"/>
          <w:sz w:val="20"/>
          <w:szCs w:val="20"/>
          <w:lang w:val="en-US"/>
        </w:rPr>
        <w:t>)</w:t>
      </w:r>
      <w:r w:rsidR="00FC1FCF" w:rsidRPr="00290BA0">
        <w:rPr>
          <w:rFonts w:ascii="Verdana" w:hAnsi="Verdana"/>
          <w:sz w:val="20"/>
          <w:szCs w:val="20"/>
          <w:lang w:val="en-US"/>
        </w:rPr>
        <w:t xml:space="preserve">. </w:t>
      </w:r>
    </w:p>
    <w:p w14:paraId="631269E8" w14:textId="77777777" w:rsidR="00FC1FCF" w:rsidRPr="00290BA0" w:rsidRDefault="00FC1FCF" w:rsidP="00FC1FCF">
      <w:pPr>
        <w:jc w:val="both"/>
        <w:rPr>
          <w:rFonts w:ascii="Verdana" w:hAnsi="Verdana"/>
          <w:sz w:val="20"/>
          <w:szCs w:val="20"/>
          <w:lang w:val="en-US"/>
        </w:rPr>
      </w:pPr>
    </w:p>
    <w:p w14:paraId="631269E9" w14:textId="77777777" w:rsidR="00FC1FCF" w:rsidRPr="00290BA0" w:rsidRDefault="004A6070" w:rsidP="004A6070">
      <w:pPr>
        <w:pStyle w:val="ListParagraph"/>
        <w:numPr>
          <w:ilvl w:val="0"/>
          <w:numId w:val="2"/>
        </w:numPr>
        <w:ind w:left="0" w:hanging="11"/>
        <w:jc w:val="both"/>
        <w:rPr>
          <w:rFonts w:ascii="Verdana" w:hAnsi="Verdana"/>
          <w:sz w:val="20"/>
          <w:szCs w:val="20"/>
          <w:lang w:val="en-US"/>
        </w:rPr>
      </w:pPr>
      <w:r w:rsidRPr="00290BA0">
        <w:rPr>
          <w:rFonts w:ascii="Verdana" w:hAnsi="Verdana"/>
          <w:sz w:val="20"/>
          <w:szCs w:val="20"/>
          <w:lang w:val="en-US"/>
        </w:rPr>
        <w:t>In this regard, the Court observes that article 4 of the 1986 Order creating this reserve established that the traditional rights of the tribal communities and villages located within the reserve would be respected. Also, its preamble established that thes</w:t>
      </w:r>
      <w:r w:rsidR="00743178" w:rsidRPr="00290BA0">
        <w:rPr>
          <w:rFonts w:ascii="Verdana" w:hAnsi="Verdana"/>
          <w:sz w:val="20"/>
          <w:szCs w:val="20"/>
          <w:lang w:val="en-US"/>
        </w:rPr>
        <w:t>e rights would be guaranteed as long as</w:t>
      </w:r>
      <w:r w:rsidRPr="00290BA0">
        <w:rPr>
          <w:rFonts w:ascii="Verdana" w:hAnsi="Verdana"/>
          <w:sz w:val="20"/>
          <w:szCs w:val="20"/>
          <w:lang w:val="en-US"/>
        </w:rPr>
        <w:t xml:space="preserve">: (i) </w:t>
      </w:r>
      <w:r w:rsidR="00743178" w:rsidRPr="00290BA0">
        <w:rPr>
          <w:rFonts w:ascii="Verdana" w:hAnsi="Verdana"/>
          <w:sz w:val="20"/>
          <w:szCs w:val="20"/>
          <w:lang w:val="en-US"/>
        </w:rPr>
        <w:t xml:space="preserve">the national objective of the proposed nature reserves was not prejudiced; </w:t>
      </w:r>
      <w:r w:rsidRPr="00290BA0">
        <w:rPr>
          <w:rFonts w:ascii="Verdana" w:hAnsi="Verdana"/>
          <w:sz w:val="20"/>
          <w:szCs w:val="20"/>
          <w:lang w:val="en-US"/>
        </w:rPr>
        <w:t xml:space="preserve">(ii) the traditional rights and interests </w:t>
      </w:r>
      <w:r w:rsidR="00743178" w:rsidRPr="00290BA0">
        <w:rPr>
          <w:rFonts w:ascii="Verdana" w:hAnsi="Verdana"/>
          <w:sz w:val="20"/>
          <w:szCs w:val="20"/>
          <w:lang w:val="en-US"/>
        </w:rPr>
        <w:t>remained</w:t>
      </w:r>
      <w:r w:rsidRPr="00290BA0">
        <w:rPr>
          <w:rFonts w:ascii="Verdana" w:hAnsi="Verdana"/>
          <w:sz w:val="20"/>
          <w:szCs w:val="20"/>
          <w:lang w:val="en-US"/>
        </w:rPr>
        <w:t xml:space="preserve"> valid, and (iii) </w:t>
      </w:r>
      <w:r w:rsidR="00743178" w:rsidRPr="00290BA0">
        <w:rPr>
          <w:rFonts w:ascii="Verdana" w:hAnsi="Verdana"/>
          <w:sz w:val="20"/>
          <w:szCs w:val="20"/>
          <w:lang w:val="en-US"/>
        </w:rPr>
        <w:t>it was part of the process of progressing towards a single Suriname citizenship.</w:t>
      </w:r>
    </w:p>
    <w:p w14:paraId="631269EA" w14:textId="77777777" w:rsidR="00FC1FCF" w:rsidRPr="00290BA0" w:rsidRDefault="00FC1FCF" w:rsidP="00FC1FCF">
      <w:pPr>
        <w:jc w:val="both"/>
        <w:rPr>
          <w:rFonts w:ascii="Verdana" w:hAnsi="Verdana"/>
          <w:sz w:val="20"/>
          <w:lang w:val="en-US"/>
        </w:rPr>
      </w:pPr>
    </w:p>
    <w:p w14:paraId="631269EB" w14:textId="77777777" w:rsidR="00FC1FCF" w:rsidRPr="00290BA0" w:rsidRDefault="004A6070" w:rsidP="00FC1FCF">
      <w:pPr>
        <w:pStyle w:val="ListParagraph"/>
        <w:numPr>
          <w:ilvl w:val="0"/>
          <w:numId w:val="2"/>
        </w:numPr>
        <w:ind w:left="0" w:hanging="11"/>
        <w:jc w:val="both"/>
        <w:rPr>
          <w:rFonts w:ascii="Verdana" w:hAnsi="Verdana"/>
          <w:sz w:val="20"/>
          <w:szCs w:val="20"/>
          <w:lang w:val="en-US"/>
        </w:rPr>
      </w:pPr>
      <w:r w:rsidRPr="00290BA0">
        <w:rPr>
          <w:rFonts w:ascii="Verdana" w:hAnsi="Verdana"/>
          <w:sz w:val="20"/>
          <w:szCs w:val="20"/>
          <w:lang w:val="en-US"/>
        </w:rPr>
        <w:t xml:space="preserve">In this regard, Captain </w:t>
      </w:r>
      <w:r w:rsidR="00FC1FCF" w:rsidRPr="00290BA0">
        <w:rPr>
          <w:rFonts w:ascii="Verdana" w:hAnsi="Verdana"/>
          <w:sz w:val="20"/>
          <w:szCs w:val="20"/>
          <w:lang w:val="en-US"/>
        </w:rPr>
        <w:t xml:space="preserve">Watamaleo </w:t>
      </w:r>
      <w:r w:rsidRPr="00290BA0">
        <w:rPr>
          <w:rFonts w:ascii="Verdana" w:hAnsi="Verdana"/>
          <w:sz w:val="20"/>
          <w:szCs w:val="20"/>
          <w:lang w:val="en-US"/>
        </w:rPr>
        <w:t>testified that</w:t>
      </w:r>
      <w:r w:rsidR="00FC1FCF" w:rsidRPr="00290BA0">
        <w:rPr>
          <w:rFonts w:ascii="Verdana" w:hAnsi="Verdana"/>
          <w:sz w:val="20"/>
          <w:szCs w:val="20"/>
          <w:lang w:val="en-US"/>
        </w:rPr>
        <w:t xml:space="preserve">: </w:t>
      </w:r>
    </w:p>
    <w:p w14:paraId="631269EC" w14:textId="77777777" w:rsidR="00FC1FCF" w:rsidRPr="00290BA0" w:rsidRDefault="00FC1FCF" w:rsidP="00FC1FCF">
      <w:pPr>
        <w:jc w:val="both"/>
        <w:rPr>
          <w:rFonts w:ascii="Verdana" w:hAnsi="Verdana"/>
          <w:sz w:val="20"/>
          <w:szCs w:val="20"/>
          <w:lang w:val="en-US"/>
        </w:rPr>
      </w:pPr>
    </w:p>
    <w:p w14:paraId="631269ED" w14:textId="77777777" w:rsidR="003966ED" w:rsidRPr="00290BA0" w:rsidRDefault="00EC7D68" w:rsidP="004A6070">
      <w:pPr>
        <w:ind w:left="284"/>
        <w:jc w:val="both"/>
        <w:rPr>
          <w:rFonts w:ascii="Verdana" w:hAnsi="Verdana" w:cs="Arial"/>
          <w:sz w:val="18"/>
          <w:szCs w:val="20"/>
          <w:lang w:val="en-US"/>
        </w:rPr>
      </w:pPr>
      <w:r w:rsidRPr="00290BA0">
        <w:rPr>
          <w:rFonts w:ascii="Verdana" w:hAnsi="Verdana" w:cs="Arial"/>
          <w:sz w:val="18"/>
          <w:szCs w:val="20"/>
          <w:lang w:val="en-US"/>
        </w:rPr>
        <w:t>“</w:t>
      </w:r>
      <w:r w:rsidR="004A6070" w:rsidRPr="00290BA0">
        <w:rPr>
          <w:rFonts w:ascii="Verdana" w:hAnsi="Verdana" w:cs="Arial"/>
          <w:sz w:val="18"/>
          <w:szCs w:val="20"/>
          <w:lang w:val="en-US"/>
        </w:rPr>
        <w:t xml:space="preserve">The mining company </w:t>
      </w:r>
      <w:r w:rsidR="00C2680C" w:rsidRPr="00290BA0">
        <w:rPr>
          <w:rFonts w:ascii="Verdana" w:hAnsi="Verdana" w:cs="Arial"/>
          <w:sz w:val="18"/>
          <w:szCs w:val="20"/>
          <w:lang w:val="en-US"/>
        </w:rPr>
        <w:t xml:space="preserve">[…] </w:t>
      </w:r>
      <w:r w:rsidR="004A6070" w:rsidRPr="00290BA0">
        <w:rPr>
          <w:rFonts w:ascii="Verdana" w:hAnsi="Verdana" w:cs="Arial"/>
          <w:sz w:val="18"/>
          <w:szCs w:val="20"/>
          <w:lang w:val="en-US"/>
        </w:rPr>
        <w:t xml:space="preserve">used to </w:t>
      </w:r>
      <w:r w:rsidR="00743178" w:rsidRPr="00290BA0">
        <w:rPr>
          <w:rFonts w:ascii="Verdana" w:hAnsi="Verdana" w:cs="Arial"/>
          <w:sz w:val="18"/>
          <w:szCs w:val="20"/>
          <w:lang w:val="en-US"/>
        </w:rPr>
        <w:t>stop people from the community from entering</w:t>
      </w:r>
      <w:r w:rsidR="004A6070" w:rsidRPr="00290BA0">
        <w:rPr>
          <w:rFonts w:ascii="Verdana" w:hAnsi="Verdana" w:cs="Arial"/>
          <w:sz w:val="18"/>
          <w:szCs w:val="20"/>
          <w:lang w:val="en-US"/>
        </w:rPr>
        <w:t xml:space="preserve"> the reserve. They put up </w:t>
      </w:r>
      <w:r w:rsidR="00743178" w:rsidRPr="00290BA0">
        <w:rPr>
          <w:rFonts w:ascii="Verdana" w:hAnsi="Verdana" w:cs="Arial"/>
          <w:sz w:val="18"/>
          <w:szCs w:val="20"/>
          <w:lang w:val="en-US"/>
        </w:rPr>
        <w:t>a big</w:t>
      </w:r>
      <w:r w:rsidR="004A6070" w:rsidRPr="00290BA0">
        <w:rPr>
          <w:rFonts w:ascii="Verdana" w:hAnsi="Verdana" w:cs="Arial"/>
          <w:sz w:val="18"/>
          <w:szCs w:val="20"/>
          <w:lang w:val="en-US"/>
        </w:rPr>
        <w:t xml:space="preserve"> sign that said: ‘no </w:t>
      </w:r>
      <w:r w:rsidR="00743178" w:rsidRPr="00290BA0">
        <w:rPr>
          <w:rFonts w:ascii="Verdana" w:hAnsi="Verdana" w:cs="Arial"/>
          <w:sz w:val="18"/>
          <w:szCs w:val="20"/>
          <w:lang w:val="en-US"/>
        </w:rPr>
        <w:t xml:space="preserve">hunting,’ ‘no fishing’ and ‘no plant </w:t>
      </w:r>
      <w:proofErr w:type="gramStart"/>
      <w:r w:rsidR="00743178" w:rsidRPr="00290BA0">
        <w:rPr>
          <w:rFonts w:ascii="Verdana" w:hAnsi="Verdana" w:cs="Arial"/>
          <w:sz w:val="18"/>
          <w:szCs w:val="20"/>
          <w:lang w:val="en-US"/>
        </w:rPr>
        <w:t>collecting</w:t>
      </w:r>
      <w:r w:rsidR="004A6070" w:rsidRPr="00290BA0">
        <w:rPr>
          <w:rFonts w:ascii="Verdana" w:hAnsi="Verdana" w:cs="Arial"/>
          <w:sz w:val="18"/>
          <w:szCs w:val="20"/>
          <w:lang w:val="en-US"/>
        </w:rPr>
        <w:t>’</w:t>
      </w:r>
      <w:proofErr w:type="gramEnd"/>
      <w:r w:rsidR="004A6070" w:rsidRPr="00290BA0">
        <w:rPr>
          <w:rFonts w:ascii="Verdana" w:hAnsi="Verdana" w:cs="Arial"/>
          <w:sz w:val="18"/>
          <w:szCs w:val="20"/>
          <w:lang w:val="en-US"/>
        </w:rPr>
        <w:t xml:space="preserve"> and they </w:t>
      </w:r>
      <w:r w:rsidR="00743178" w:rsidRPr="00290BA0">
        <w:rPr>
          <w:rFonts w:ascii="Verdana" w:hAnsi="Verdana" w:cs="Arial"/>
          <w:sz w:val="18"/>
          <w:szCs w:val="20"/>
          <w:lang w:val="en-US"/>
        </w:rPr>
        <w:t xml:space="preserve">would stop people from </w:t>
      </w:r>
      <w:r w:rsidR="00CA1EF6" w:rsidRPr="00290BA0">
        <w:rPr>
          <w:rFonts w:ascii="Verdana" w:hAnsi="Verdana" w:cs="Arial"/>
          <w:sz w:val="18"/>
          <w:szCs w:val="20"/>
          <w:lang w:val="en-US"/>
        </w:rPr>
        <w:t xml:space="preserve">our </w:t>
      </w:r>
      <w:r w:rsidR="00743178" w:rsidRPr="00290BA0">
        <w:rPr>
          <w:rFonts w:ascii="Verdana" w:hAnsi="Verdana" w:cs="Arial"/>
          <w:sz w:val="18"/>
          <w:szCs w:val="20"/>
          <w:lang w:val="en-US"/>
        </w:rPr>
        <w:t xml:space="preserve">communities going in there. </w:t>
      </w:r>
      <w:r w:rsidR="004A6070" w:rsidRPr="00290BA0">
        <w:rPr>
          <w:rFonts w:ascii="Verdana" w:hAnsi="Verdana" w:cs="Arial"/>
          <w:sz w:val="18"/>
          <w:szCs w:val="20"/>
          <w:lang w:val="en-US"/>
        </w:rPr>
        <w:t xml:space="preserve">At the same time, </w:t>
      </w:r>
      <w:r w:rsidR="00CA1EF6" w:rsidRPr="00290BA0">
        <w:rPr>
          <w:rFonts w:ascii="Verdana" w:hAnsi="Verdana" w:cs="Arial"/>
          <w:sz w:val="18"/>
          <w:szCs w:val="20"/>
          <w:lang w:val="en-US"/>
        </w:rPr>
        <w:t>we</w:t>
      </w:r>
      <w:r w:rsidR="004A6070" w:rsidRPr="00290BA0">
        <w:rPr>
          <w:rFonts w:ascii="Verdana" w:hAnsi="Verdana" w:cs="Arial"/>
          <w:sz w:val="18"/>
          <w:szCs w:val="20"/>
          <w:lang w:val="en-US"/>
        </w:rPr>
        <w:t xml:space="preserve"> </w:t>
      </w:r>
      <w:r w:rsidR="00743178" w:rsidRPr="00290BA0">
        <w:rPr>
          <w:rFonts w:ascii="Verdana" w:hAnsi="Verdana" w:cs="Arial"/>
          <w:sz w:val="18"/>
          <w:szCs w:val="20"/>
          <w:lang w:val="en-US"/>
        </w:rPr>
        <w:t>could see</w:t>
      </w:r>
      <w:r w:rsidR="004A6070" w:rsidRPr="00290BA0">
        <w:rPr>
          <w:rFonts w:ascii="Verdana" w:hAnsi="Verdana" w:cs="Arial"/>
          <w:sz w:val="18"/>
          <w:szCs w:val="20"/>
          <w:lang w:val="en-US"/>
        </w:rPr>
        <w:t xml:space="preserve"> company people</w:t>
      </w:r>
      <w:r w:rsidR="00743178" w:rsidRPr="00290BA0">
        <w:rPr>
          <w:rFonts w:ascii="Verdana" w:hAnsi="Verdana" w:cs="Arial"/>
          <w:sz w:val="18"/>
          <w:szCs w:val="20"/>
          <w:lang w:val="en-US"/>
        </w:rPr>
        <w:t xml:space="preserve"> and others that they let in there</w:t>
      </w:r>
      <w:r w:rsidR="004A6070" w:rsidRPr="00290BA0">
        <w:rPr>
          <w:rFonts w:ascii="Verdana" w:hAnsi="Verdana" w:cs="Arial"/>
          <w:sz w:val="18"/>
          <w:szCs w:val="20"/>
          <w:lang w:val="en-US"/>
        </w:rPr>
        <w:t xml:space="preserve"> hunt</w:t>
      </w:r>
      <w:r w:rsidR="00743178" w:rsidRPr="00290BA0">
        <w:rPr>
          <w:rFonts w:ascii="Verdana" w:hAnsi="Verdana" w:cs="Arial"/>
          <w:sz w:val="18"/>
          <w:szCs w:val="20"/>
          <w:lang w:val="en-US"/>
        </w:rPr>
        <w:t>ing</w:t>
      </w:r>
      <w:r w:rsidR="004A6070" w:rsidRPr="00290BA0">
        <w:rPr>
          <w:rFonts w:ascii="Verdana" w:hAnsi="Verdana" w:cs="Arial"/>
          <w:sz w:val="18"/>
          <w:szCs w:val="20"/>
          <w:lang w:val="en-US"/>
        </w:rPr>
        <w:t xml:space="preserve"> and fish</w:t>
      </w:r>
      <w:r w:rsidR="00743178" w:rsidRPr="00290BA0">
        <w:rPr>
          <w:rFonts w:ascii="Verdana" w:hAnsi="Verdana" w:cs="Arial"/>
          <w:sz w:val="18"/>
          <w:szCs w:val="20"/>
          <w:lang w:val="en-US"/>
        </w:rPr>
        <w:t>ing</w:t>
      </w:r>
      <w:r w:rsidR="004A6070" w:rsidRPr="00290BA0">
        <w:rPr>
          <w:rFonts w:ascii="Verdana" w:hAnsi="Verdana" w:cs="Arial"/>
          <w:sz w:val="18"/>
          <w:szCs w:val="20"/>
          <w:lang w:val="en-US"/>
        </w:rPr>
        <w:t xml:space="preserve">, even using poison to kill a large number of fish. </w:t>
      </w:r>
      <w:r w:rsidR="00CA1EF6" w:rsidRPr="00290BA0">
        <w:rPr>
          <w:rFonts w:ascii="Verdana" w:hAnsi="Verdana" w:cs="Arial"/>
          <w:sz w:val="18"/>
          <w:szCs w:val="20"/>
          <w:lang w:val="en-US"/>
        </w:rPr>
        <w:t xml:space="preserve">We </w:t>
      </w:r>
      <w:r w:rsidR="004A6070" w:rsidRPr="00290BA0">
        <w:rPr>
          <w:rFonts w:ascii="Verdana" w:hAnsi="Verdana" w:cs="Arial"/>
          <w:sz w:val="18"/>
          <w:szCs w:val="20"/>
          <w:lang w:val="en-US"/>
        </w:rPr>
        <w:t xml:space="preserve">know how to </w:t>
      </w:r>
      <w:r w:rsidR="00743178" w:rsidRPr="00290BA0">
        <w:rPr>
          <w:rFonts w:ascii="Verdana" w:hAnsi="Verdana" w:cs="Arial"/>
          <w:sz w:val="18"/>
          <w:szCs w:val="20"/>
          <w:lang w:val="en-US"/>
        </w:rPr>
        <w:t xml:space="preserve">go there </w:t>
      </w:r>
      <w:r w:rsidR="004A6070" w:rsidRPr="00290BA0">
        <w:rPr>
          <w:rFonts w:ascii="Verdana" w:hAnsi="Verdana" w:cs="Arial"/>
          <w:sz w:val="18"/>
          <w:szCs w:val="20"/>
          <w:lang w:val="en-US"/>
        </w:rPr>
        <w:t xml:space="preserve">without </w:t>
      </w:r>
      <w:r w:rsidR="00743178" w:rsidRPr="00290BA0">
        <w:rPr>
          <w:rFonts w:ascii="Verdana" w:hAnsi="Verdana" w:cs="Arial"/>
          <w:sz w:val="18"/>
          <w:szCs w:val="20"/>
          <w:lang w:val="en-US"/>
        </w:rPr>
        <w:t>them seeing us, but</w:t>
      </w:r>
      <w:r w:rsidR="004A6070" w:rsidRPr="00290BA0">
        <w:rPr>
          <w:rFonts w:ascii="Verdana" w:hAnsi="Verdana" w:cs="Arial"/>
          <w:sz w:val="18"/>
          <w:szCs w:val="20"/>
          <w:lang w:val="en-US"/>
        </w:rPr>
        <w:t xml:space="preserve"> it is very </w:t>
      </w:r>
      <w:r w:rsidR="00743178" w:rsidRPr="00290BA0">
        <w:rPr>
          <w:rFonts w:ascii="Verdana" w:hAnsi="Verdana" w:cs="Arial"/>
          <w:sz w:val="18"/>
          <w:szCs w:val="20"/>
          <w:lang w:val="en-US"/>
        </w:rPr>
        <w:t>hard</w:t>
      </w:r>
      <w:r w:rsidR="004A6070" w:rsidRPr="00290BA0">
        <w:rPr>
          <w:rFonts w:ascii="Verdana" w:hAnsi="Verdana" w:cs="Arial"/>
          <w:sz w:val="18"/>
          <w:szCs w:val="20"/>
          <w:lang w:val="en-US"/>
        </w:rPr>
        <w:t xml:space="preserve"> to find food </w:t>
      </w:r>
      <w:r w:rsidR="00743178" w:rsidRPr="00290BA0">
        <w:rPr>
          <w:rFonts w:ascii="Verdana" w:hAnsi="Verdana" w:cs="Arial"/>
          <w:sz w:val="18"/>
          <w:szCs w:val="20"/>
          <w:lang w:val="en-US"/>
        </w:rPr>
        <w:t>there anymore</w:t>
      </w:r>
      <w:r w:rsidR="004A6070" w:rsidRPr="00290BA0">
        <w:rPr>
          <w:rFonts w:ascii="Verdana" w:hAnsi="Verdana" w:cs="Arial"/>
          <w:sz w:val="18"/>
          <w:szCs w:val="20"/>
          <w:lang w:val="en-US"/>
        </w:rPr>
        <w:t>.”</w:t>
      </w:r>
    </w:p>
    <w:p w14:paraId="631269EE" w14:textId="77777777" w:rsidR="00FC1FCF" w:rsidRPr="00290BA0" w:rsidRDefault="00FC1FCF" w:rsidP="00FC1FCF">
      <w:pPr>
        <w:jc w:val="both"/>
        <w:rPr>
          <w:rFonts w:ascii="Verdana" w:hAnsi="Verdana"/>
          <w:sz w:val="20"/>
          <w:szCs w:val="20"/>
          <w:lang w:val="en-US"/>
        </w:rPr>
      </w:pPr>
    </w:p>
    <w:p w14:paraId="631269EF" w14:textId="77777777" w:rsidR="00FC1FCF" w:rsidRPr="00290BA0" w:rsidRDefault="004A6070" w:rsidP="00FC1FCF">
      <w:pPr>
        <w:pStyle w:val="ListParagraph"/>
        <w:numPr>
          <w:ilvl w:val="0"/>
          <w:numId w:val="2"/>
        </w:numPr>
        <w:ind w:left="0" w:hanging="11"/>
        <w:jc w:val="both"/>
        <w:rPr>
          <w:rFonts w:ascii="Verdana" w:hAnsi="Verdana" w:cs="Arial"/>
          <w:sz w:val="20"/>
          <w:szCs w:val="20"/>
          <w:lang w:val="en-US"/>
        </w:rPr>
      </w:pPr>
      <w:r w:rsidRPr="00290BA0">
        <w:rPr>
          <w:rFonts w:ascii="Verdana" w:hAnsi="Verdana"/>
          <w:sz w:val="20"/>
          <w:szCs w:val="20"/>
          <w:lang w:val="en-US"/>
        </w:rPr>
        <w:t>Meanwhile</w:t>
      </w:r>
      <w:r w:rsidR="00FC1FCF" w:rsidRPr="00290BA0">
        <w:rPr>
          <w:rFonts w:ascii="Verdana" w:hAnsi="Verdana"/>
          <w:sz w:val="20"/>
          <w:szCs w:val="20"/>
          <w:lang w:val="en-US"/>
        </w:rPr>
        <w:t>, Glen</w:t>
      </w:r>
      <w:r w:rsidR="00EC7D68" w:rsidRPr="00290BA0">
        <w:rPr>
          <w:rFonts w:ascii="Verdana" w:hAnsi="Verdana"/>
          <w:sz w:val="20"/>
          <w:szCs w:val="20"/>
          <w:lang w:val="en-US"/>
        </w:rPr>
        <w:t>n</w:t>
      </w:r>
      <w:r w:rsidR="00FC1FCF" w:rsidRPr="00290BA0">
        <w:rPr>
          <w:rFonts w:ascii="Verdana" w:hAnsi="Verdana"/>
          <w:sz w:val="20"/>
          <w:szCs w:val="20"/>
          <w:lang w:val="en-US"/>
        </w:rPr>
        <w:t xml:space="preserve"> Renaldo Kingswijk</w:t>
      </w:r>
      <w:r w:rsidRPr="00290BA0">
        <w:rPr>
          <w:rFonts w:ascii="Verdana" w:hAnsi="Verdana"/>
          <w:sz w:val="20"/>
          <w:szCs w:val="20"/>
          <w:lang w:val="en-US"/>
        </w:rPr>
        <w:t>,</w:t>
      </w:r>
      <w:r w:rsidR="00FC1FCF" w:rsidRPr="00290BA0">
        <w:rPr>
          <w:rStyle w:val="FootnoteReference"/>
          <w:szCs w:val="20"/>
          <w:lang w:val="en-US"/>
        </w:rPr>
        <w:footnoteReference w:id="234"/>
      </w:r>
      <w:r w:rsidRPr="00290BA0">
        <w:rPr>
          <w:rFonts w:ascii="Verdana" w:hAnsi="Verdana"/>
          <w:sz w:val="20"/>
          <w:szCs w:val="20"/>
          <w:lang w:val="en-US"/>
        </w:rPr>
        <w:t xml:space="preserve"> employee of </w:t>
      </w:r>
      <w:r w:rsidR="00FC1FCF" w:rsidRPr="00290BA0">
        <w:rPr>
          <w:rFonts w:ascii="Verdana" w:hAnsi="Verdana" w:cs="Arial"/>
          <w:sz w:val="20"/>
          <w:szCs w:val="20"/>
          <w:lang w:val="en-US"/>
        </w:rPr>
        <w:t>BHP</w:t>
      </w:r>
      <w:r w:rsidR="00C31AF8" w:rsidRPr="00290BA0">
        <w:rPr>
          <w:rFonts w:ascii="Verdana" w:hAnsi="Verdana" w:cs="Arial"/>
          <w:sz w:val="20"/>
          <w:szCs w:val="20"/>
          <w:lang w:val="en-US"/>
        </w:rPr>
        <w:t xml:space="preserve"> </w:t>
      </w:r>
      <w:r w:rsidR="00FC1FCF" w:rsidRPr="00290BA0">
        <w:rPr>
          <w:rFonts w:ascii="Verdana" w:hAnsi="Verdana" w:cs="Arial"/>
          <w:sz w:val="20"/>
          <w:szCs w:val="20"/>
          <w:lang w:val="en-US"/>
        </w:rPr>
        <w:t xml:space="preserve">Billiton-Suralco, </w:t>
      </w:r>
      <w:r w:rsidRPr="00290BA0">
        <w:rPr>
          <w:rFonts w:ascii="Verdana" w:hAnsi="Verdana" w:cs="Arial"/>
          <w:sz w:val="20"/>
          <w:szCs w:val="20"/>
          <w:lang w:val="en-US"/>
        </w:rPr>
        <w:t xml:space="preserve">testified that, based on company policy, several practices were adopted including: </w:t>
      </w:r>
    </w:p>
    <w:p w14:paraId="631269F0" w14:textId="77777777" w:rsidR="00FC1FCF" w:rsidRPr="00290BA0" w:rsidRDefault="00FC1FCF" w:rsidP="00FC1FCF">
      <w:pPr>
        <w:jc w:val="both"/>
        <w:rPr>
          <w:rFonts w:ascii="Verdana" w:hAnsi="Verdana" w:cs="Arial"/>
          <w:sz w:val="20"/>
          <w:szCs w:val="20"/>
          <w:lang w:val="en-US"/>
        </w:rPr>
      </w:pPr>
    </w:p>
    <w:p w14:paraId="631269F1" w14:textId="6BAD8DC0" w:rsidR="004A6070" w:rsidRPr="00290BA0" w:rsidRDefault="00EC7D68" w:rsidP="00FC1FCF">
      <w:pPr>
        <w:ind w:left="284"/>
        <w:jc w:val="both"/>
        <w:rPr>
          <w:rFonts w:ascii="Verdana" w:hAnsi="Verdana" w:cs="Arial"/>
          <w:sz w:val="18"/>
          <w:szCs w:val="20"/>
          <w:lang w:val="en-US"/>
        </w:rPr>
      </w:pPr>
      <w:r w:rsidRPr="00290BA0">
        <w:rPr>
          <w:rFonts w:ascii="Verdana" w:hAnsi="Verdana" w:cs="Arial"/>
          <w:sz w:val="18"/>
          <w:szCs w:val="20"/>
          <w:lang w:val="en-US"/>
        </w:rPr>
        <w:lastRenderedPageBreak/>
        <w:t>“</w:t>
      </w:r>
      <w:r w:rsidR="004A6070" w:rsidRPr="00290BA0">
        <w:rPr>
          <w:rFonts w:ascii="Verdana" w:hAnsi="Verdana" w:cs="Arial"/>
          <w:sz w:val="18"/>
          <w:szCs w:val="20"/>
          <w:lang w:val="en-US"/>
        </w:rPr>
        <w:t xml:space="preserve">For security reason: (i) no unauthorized person would have access to the mining areas (100 </w:t>
      </w:r>
      <w:r w:rsidR="008D146B" w:rsidRPr="00290BA0">
        <w:rPr>
          <w:rFonts w:ascii="Verdana" w:hAnsi="Verdana" w:cs="Arial"/>
          <w:sz w:val="18"/>
          <w:szCs w:val="20"/>
          <w:lang w:val="en-US"/>
        </w:rPr>
        <w:t>h</w:t>
      </w:r>
      <w:r w:rsidR="008D146B">
        <w:rPr>
          <w:rFonts w:ascii="Verdana" w:hAnsi="Verdana" w:cs="Arial"/>
          <w:sz w:val="18"/>
          <w:szCs w:val="20"/>
          <w:lang w:val="en-US"/>
        </w:rPr>
        <w:t>a</w:t>
      </w:r>
      <w:r w:rsidR="004A6070" w:rsidRPr="00290BA0">
        <w:rPr>
          <w:rFonts w:ascii="Verdana" w:hAnsi="Verdana" w:cs="Arial"/>
          <w:sz w:val="18"/>
          <w:szCs w:val="20"/>
          <w:lang w:val="en-US"/>
        </w:rPr>
        <w:t xml:space="preserve">); (ii) use of the highway as access for hunting and </w:t>
      </w:r>
      <w:r w:rsidR="00FE7BA7" w:rsidRPr="00290BA0">
        <w:rPr>
          <w:rFonts w:ascii="Verdana" w:hAnsi="Verdana" w:cs="Arial"/>
          <w:sz w:val="18"/>
          <w:szCs w:val="20"/>
          <w:lang w:val="en-US"/>
        </w:rPr>
        <w:t>fishing</w:t>
      </w:r>
      <w:r w:rsidR="004A6070" w:rsidRPr="00290BA0">
        <w:rPr>
          <w:rFonts w:ascii="Verdana" w:hAnsi="Verdana" w:cs="Arial"/>
          <w:sz w:val="18"/>
          <w:szCs w:val="20"/>
          <w:lang w:val="en-US"/>
        </w:rPr>
        <w:t xml:space="preserve"> the area of the concession was refused, and there was a sign at the entry; (iii) the indigenous peoples who traditionally came to the reserve could continue to do so in their traditional way, and (iv) the indigenous peoples were never charged for using the highway.” </w:t>
      </w:r>
    </w:p>
    <w:p w14:paraId="631269F2" w14:textId="77777777" w:rsidR="00FC1FCF" w:rsidRPr="00290BA0" w:rsidRDefault="00FC1FCF" w:rsidP="00FC1FCF">
      <w:pPr>
        <w:jc w:val="both"/>
        <w:rPr>
          <w:rFonts w:ascii="Verdana" w:hAnsi="Verdana"/>
          <w:sz w:val="20"/>
          <w:szCs w:val="20"/>
          <w:lang w:val="en-US"/>
        </w:rPr>
      </w:pPr>
    </w:p>
    <w:p w14:paraId="631269F3" w14:textId="7C23DDC2" w:rsidR="00EC7750" w:rsidRPr="00290BA0" w:rsidRDefault="004A6070" w:rsidP="004A6070">
      <w:pPr>
        <w:pStyle w:val="ListParagraph"/>
        <w:numPr>
          <w:ilvl w:val="0"/>
          <w:numId w:val="2"/>
        </w:numPr>
        <w:ind w:left="0" w:hanging="11"/>
        <w:jc w:val="both"/>
        <w:rPr>
          <w:rFonts w:ascii="Verdana" w:hAnsi="Verdana"/>
          <w:b/>
          <w:i/>
          <w:sz w:val="20"/>
          <w:szCs w:val="20"/>
          <w:lang w:val="en-US"/>
        </w:rPr>
      </w:pPr>
      <w:r w:rsidRPr="00290BA0">
        <w:rPr>
          <w:rFonts w:ascii="Verdana" w:hAnsi="Verdana"/>
          <w:sz w:val="20"/>
          <w:szCs w:val="20"/>
          <w:lang w:val="en-US"/>
        </w:rPr>
        <w:t>Based on the above, the Court find</w:t>
      </w:r>
      <w:r w:rsidR="004C0F36" w:rsidRPr="00290BA0">
        <w:rPr>
          <w:rFonts w:ascii="Verdana" w:hAnsi="Verdana"/>
          <w:sz w:val="20"/>
          <w:szCs w:val="20"/>
          <w:lang w:val="en-US"/>
        </w:rPr>
        <w:t>s that the possible restriction</w:t>
      </w:r>
      <w:r w:rsidRPr="00290BA0">
        <w:rPr>
          <w:rFonts w:ascii="Verdana" w:hAnsi="Verdana"/>
          <w:sz w:val="20"/>
          <w:szCs w:val="20"/>
          <w:lang w:val="en-US"/>
        </w:rPr>
        <w:t xml:space="preserve"> to access certain specific areas where mining exploitation</w:t>
      </w:r>
      <w:r w:rsidR="007B3D23">
        <w:rPr>
          <w:rFonts w:ascii="Verdana" w:hAnsi="Verdana"/>
          <w:sz w:val="20"/>
          <w:szCs w:val="20"/>
          <w:lang w:val="en-US"/>
        </w:rPr>
        <w:t xml:space="preserve"> operations</w:t>
      </w:r>
      <w:r w:rsidRPr="00290BA0">
        <w:rPr>
          <w:rFonts w:ascii="Verdana" w:hAnsi="Verdana"/>
          <w:sz w:val="20"/>
          <w:szCs w:val="20"/>
          <w:lang w:val="en-US"/>
        </w:rPr>
        <w:t xml:space="preserve"> were being carried on could have been reasonable, mainly for safety reasons. The Court also observes that, in addition to the 100 </w:t>
      </w:r>
      <w:r w:rsidR="008D146B" w:rsidRPr="00290BA0">
        <w:rPr>
          <w:rFonts w:ascii="Verdana" w:hAnsi="Verdana"/>
          <w:sz w:val="20"/>
          <w:szCs w:val="20"/>
          <w:lang w:val="en-US"/>
        </w:rPr>
        <w:t>h</w:t>
      </w:r>
      <w:r w:rsidR="008D146B">
        <w:rPr>
          <w:rFonts w:ascii="Verdana" w:hAnsi="Verdana"/>
          <w:sz w:val="20"/>
          <w:szCs w:val="20"/>
          <w:lang w:val="en-US"/>
        </w:rPr>
        <w:t>a</w:t>
      </w:r>
      <w:r w:rsidR="008D146B" w:rsidRPr="00290BA0">
        <w:rPr>
          <w:rFonts w:ascii="Verdana" w:hAnsi="Verdana"/>
          <w:sz w:val="20"/>
          <w:szCs w:val="20"/>
          <w:lang w:val="en-US"/>
        </w:rPr>
        <w:t xml:space="preserve"> </w:t>
      </w:r>
      <w:r w:rsidRPr="00290BA0">
        <w:rPr>
          <w:rFonts w:ascii="Verdana" w:hAnsi="Verdana"/>
          <w:sz w:val="20"/>
          <w:szCs w:val="20"/>
          <w:lang w:val="en-US"/>
        </w:rPr>
        <w:t xml:space="preserve">of exploitation, other adjoining areas were available to the nearby communities, particularly the Lokono community of </w:t>
      </w:r>
      <w:r w:rsidR="00965219">
        <w:rPr>
          <w:rFonts w:ascii="Verdana" w:hAnsi="Verdana"/>
          <w:sz w:val="20"/>
          <w:lang w:val="en-US"/>
        </w:rPr>
        <w:t>Alfonsdor</w:t>
      </w:r>
      <w:r w:rsidR="00CC5F6E" w:rsidRPr="00290BA0">
        <w:rPr>
          <w:rFonts w:ascii="Verdana" w:hAnsi="Verdana"/>
          <w:sz w:val="20"/>
          <w:lang w:val="en-US"/>
        </w:rPr>
        <w:t>p</w:t>
      </w:r>
      <w:r w:rsidRPr="00290BA0">
        <w:rPr>
          <w:rFonts w:ascii="Verdana" w:hAnsi="Verdana"/>
          <w:sz w:val="20"/>
          <w:lang w:val="en-US"/>
        </w:rPr>
        <w:t>; therefore, for the effects of this case, it does not find that there was a disproportionate restriction in this regard.</w:t>
      </w:r>
    </w:p>
    <w:p w14:paraId="631269F4" w14:textId="77777777" w:rsidR="00FC1FCF" w:rsidRPr="00FE7BA7" w:rsidRDefault="00FC1FCF" w:rsidP="00190AD3">
      <w:pPr>
        <w:pStyle w:val="ListParagraph"/>
        <w:ind w:left="0"/>
        <w:jc w:val="both"/>
        <w:rPr>
          <w:rFonts w:ascii="Verdana" w:hAnsi="Verdana"/>
          <w:b/>
          <w:i/>
          <w:sz w:val="20"/>
          <w:lang w:val="en-US"/>
        </w:rPr>
      </w:pPr>
    </w:p>
    <w:p w14:paraId="631269F5" w14:textId="77777777" w:rsidR="00FC1FCF" w:rsidRPr="00FE7BA7" w:rsidRDefault="007B3D23" w:rsidP="00FC1FCF">
      <w:pPr>
        <w:pStyle w:val="ListParagraph"/>
        <w:numPr>
          <w:ilvl w:val="0"/>
          <w:numId w:val="22"/>
        </w:numPr>
        <w:jc w:val="both"/>
        <w:rPr>
          <w:rFonts w:ascii="Verdana" w:hAnsi="Verdana"/>
          <w:b/>
          <w:i/>
          <w:sz w:val="20"/>
          <w:szCs w:val="20"/>
          <w:lang w:val="en-US"/>
        </w:rPr>
      </w:pPr>
      <w:r>
        <w:rPr>
          <w:rFonts w:ascii="Verdana" w:hAnsi="Verdana"/>
          <w:b/>
          <w:i/>
          <w:sz w:val="20"/>
          <w:szCs w:val="20"/>
          <w:lang w:val="en-US"/>
        </w:rPr>
        <w:t xml:space="preserve">Monitoring and management of the nature </w:t>
      </w:r>
      <w:r w:rsidR="004A6070" w:rsidRPr="00FE7BA7">
        <w:rPr>
          <w:rFonts w:ascii="Verdana" w:hAnsi="Verdana"/>
          <w:b/>
          <w:i/>
          <w:sz w:val="20"/>
          <w:szCs w:val="20"/>
          <w:lang w:val="en-US"/>
        </w:rPr>
        <w:t>reserves</w:t>
      </w:r>
      <w:r w:rsidR="00FC1FCF" w:rsidRPr="00FE7BA7">
        <w:rPr>
          <w:rFonts w:ascii="Verdana" w:hAnsi="Verdana"/>
          <w:b/>
          <w:i/>
          <w:sz w:val="20"/>
          <w:szCs w:val="20"/>
          <w:lang w:val="en-US"/>
        </w:rPr>
        <w:t xml:space="preserve"> </w:t>
      </w:r>
    </w:p>
    <w:p w14:paraId="631269F6" w14:textId="77777777" w:rsidR="00FC1FCF" w:rsidRPr="00FE7BA7" w:rsidRDefault="00FC1FCF" w:rsidP="00FC1FCF">
      <w:pPr>
        <w:jc w:val="both"/>
        <w:rPr>
          <w:rFonts w:ascii="Verdana" w:hAnsi="Verdana"/>
          <w:sz w:val="20"/>
          <w:szCs w:val="20"/>
          <w:lang w:val="en-US"/>
        </w:rPr>
      </w:pPr>
    </w:p>
    <w:p w14:paraId="631269F7" w14:textId="77777777" w:rsidR="00FC1FCF" w:rsidRPr="00FE7BA7" w:rsidRDefault="002B5CCD"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540D55" w:rsidRPr="00FE7BA7">
        <w:rPr>
          <w:rFonts w:ascii="Verdana" w:hAnsi="Verdana"/>
          <w:sz w:val="20"/>
          <w:szCs w:val="20"/>
          <w:lang w:val="en-US"/>
        </w:rPr>
        <w:t xml:space="preserve"> observes that</w:t>
      </w:r>
      <w:r w:rsidR="00FC1FCF" w:rsidRPr="00FE7BA7">
        <w:rPr>
          <w:rFonts w:ascii="Verdana" w:hAnsi="Verdana"/>
          <w:sz w:val="20"/>
          <w:szCs w:val="20"/>
          <w:lang w:val="en-US"/>
        </w:rPr>
        <w:t xml:space="preserve"> </w:t>
      </w:r>
      <w:r w:rsidRPr="00FE7BA7">
        <w:rPr>
          <w:rFonts w:ascii="Verdana" w:hAnsi="Verdana"/>
          <w:sz w:val="20"/>
          <w:szCs w:val="20"/>
          <w:lang w:val="en-US"/>
        </w:rPr>
        <w:t>the State</w:t>
      </w:r>
      <w:r w:rsidR="00FC1FCF" w:rsidRPr="00FE7BA7">
        <w:rPr>
          <w:rFonts w:ascii="Verdana" w:hAnsi="Verdana"/>
          <w:sz w:val="20"/>
          <w:szCs w:val="20"/>
          <w:lang w:val="en-US"/>
        </w:rPr>
        <w:t xml:space="preserve"> ha</w:t>
      </w:r>
      <w:r w:rsidR="00540D55" w:rsidRPr="00FE7BA7">
        <w:rPr>
          <w:rFonts w:ascii="Verdana" w:hAnsi="Verdana"/>
          <w:sz w:val="20"/>
          <w:szCs w:val="20"/>
          <w:lang w:val="en-US"/>
        </w:rPr>
        <w:t xml:space="preserve">s indicated that </w:t>
      </w:r>
      <w:r w:rsidR="00BD40EF" w:rsidRPr="00FE7BA7">
        <w:rPr>
          <w:rFonts w:ascii="Verdana" w:hAnsi="Verdana"/>
          <w:sz w:val="20"/>
          <w:szCs w:val="20"/>
          <w:lang w:val="en-US"/>
        </w:rPr>
        <w:t>the indigenous peoples</w:t>
      </w:r>
      <w:r w:rsidR="00FC1FCF" w:rsidRPr="00FE7BA7">
        <w:rPr>
          <w:rFonts w:ascii="Verdana" w:hAnsi="Verdana"/>
          <w:sz w:val="20"/>
          <w:szCs w:val="20"/>
          <w:lang w:val="en-US"/>
        </w:rPr>
        <w:t xml:space="preserve"> </w:t>
      </w:r>
      <w:r w:rsidR="004C0F36">
        <w:rPr>
          <w:rFonts w:ascii="Verdana" w:hAnsi="Verdana"/>
          <w:sz w:val="20"/>
          <w:szCs w:val="20"/>
          <w:lang w:val="en-US"/>
        </w:rPr>
        <w:t>would not be capable of</w:t>
      </w:r>
      <w:r w:rsidR="00540D55" w:rsidRPr="00FE7BA7">
        <w:rPr>
          <w:rFonts w:ascii="Verdana" w:hAnsi="Verdana"/>
          <w:sz w:val="20"/>
          <w:szCs w:val="20"/>
          <w:lang w:val="en-US"/>
        </w:rPr>
        <w:t xml:space="preserve"> managing the reserve on their </w:t>
      </w:r>
      <w:r w:rsidR="004C0F36">
        <w:rPr>
          <w:rFonts w:ascii="Verdana" w:hAnsi="Verdana"/>
          <w:sz w:val="20"/>
          <w:szCs w:val="20"/>
          <w:lang w:val="en-US"/>
        </w:rPr>
        <w:t>own, owing to lack of equipment</w:t>
      </w:r>
      <w:r w:rsidR="00540D55" w:rsidRPr="00FE7BA7">
        <w:rPr>
          <w:rFonts w:ascii="Verdana" w:hAnsi="Verdana"/>
          <w:sz w:val="20"/>
          <w:szCs w:val="20"/>
          <w:lang w:val="en-US"/>
        </w:rPr>
        <w:t xml:space="preserve"> and </w:t>
      </w:r>
      <w:r w:rsidR="004C0F36">
        <w:rPr>
          <w:rFonts w:ascii="Verdana" w:hAnsi="Verdana"/>
          <w:sz w:val="20"/>
          <w:szCs w:val="20"/>
          <w:lang w:val="en-US"/>
        </w:rPr>
        <w:t>management</w:t>
      </w:r>
      <w:r w:rsidR="00540D55" w:rsidRPr="00FE7BA7">
        <w:rPr>
          <w:rFonts w:ascii="Verdana" w:hAnsi="Verdana"/>
          <w:sz w:val="20"/>
          <w:szCs w:val="20"/>
          <w:lang w:val="en-US"/>
        </w:rPr>
        <w:t xml:space="preserve"> </w:t>
      </w:r>
      <w:r w:rsidR="007B3D23">
        <w:rPr>
          <w:rFonts w:ascii="Verdana" w:hAnsi="Verdana"/>
          <w:sz w:val="20"/>
          <w:szCs w:val="20"/>
          <w:lang w:val="en-US"/>
        </w:rPr>
        <w:t>systems</w:t>
      </w:r>
      <w:r w:rsidR="00540D55" w:rsidRPr="00FE7BA7">
        <w:rPr>
          <w:rFonts w:ascii="Verdana" w:hAnsi="Verdana"/>
          <w:sz w:val="20"/>
          <w:szCs w:val="20"/>
          <w:lang w:val="en-US"/>
        </w:rPr>
        <w:t>, among other reasons</w:t>
      </w:r>
      <w:r w:rsidR="00FC1FCF" w:rsidRPr="00FE7BA7">
        <w:rPr>
          <w:rStyle w:val="FootnoteReference"/>
          <w:szCs w:val="20"/>
          <w:lang w:val="en-US"/>
        </w:rPr>
        <w:footnoteReference w:id="235"/>
      </w:r>
      <w:r w:rsidR="00FC1FCF" w:rsidRPr="00FE7BA7">
        <w:rPr>
          <w:rFonts w:ascii="Verdana" w:hAnsi="Verdana"/>
          <w:sz w:val="20"/>
          <w:szCs w:val="20"/>
          <w:lang w:val="en-US"/>
        </w:rPr>
        <w:t xml:space="preserve"> (</w:t>
      </w:r>
      <w:r w:rsidR="00093AF9" w:rsidRPr="00FE7BA7">
        <w:rPr>
          <w:rFonts w:ascii="Verdana" w:hAnsi="Verdana"/>
          <w:i/>
          <w:sz w:val="20"/>
          <w:szCs w:val="20"/>
          <w:lang w:val="en-US"/>
        </w:rPr>
        <w:t>supra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8674BA" w:rsidRPr="00FE7BA7">
        <w:rPr>
          <w:rFonts w:ascii="Verdana" w:hAnsi="Verdana"/>
          <w:sz w:val="20"/>
          <w:szCs w:val="20"/>
          <w:lang w:val="en-US"/>
        </w:rPr>
        <w:t xml:space="preserve"> 120</w:t>
      </w:r>
      <w:r w:rsidR="00FC1FCF" w:rsidRPr="00FE7BA7">
        <w:rPr>
          <w:rFonts w:ascii="Verdana" w:hAnsi="Verdana"/>
          <w:sz w:val="20"/>
          <w:szCs w:val="20"/>
          <w:lang w:val="en-US"/>
        </w:rPr>
        <w:t>)</w:t>
      </w:r>
      <w:r w:rsidR="00540D55" w:rsidRPr="00FE7BA7">
        <w:rPr>
          <w:rFonts w:ascii="Verdana" w:hAnsi="Verdana"/>
          <w:sz w:val="20"/>
          <w:szCs w:val="20"/>
          <w:lang w:val="en-US"/>
        </w:rPr>
        <w:t>.</w:t>
      </w:r>
      <w:r w:rsidR="00FC1FCF" w:rsidRPr="00FE7BA7">
        <w:rPr>
          <w:rFonts w:ascii="Verdana" w:hAnsi="Verdana"/>
          <w:sz w:val="20"/>
          <w:szCs w:val="20"/>
          <w:lang w:val="en-US"/>
        </w:rPr>
        <w:t xml:space="preserve"> </w:t>
      </w:r>
      <w:r w:rsidR="00540D55" w:rsidRPr="00FE7BA7">
        <w:rPr>
          <w:rFonts w:ascii="Verdana" w:hAnsi="Verdana"/>
          <w:sz w:val="20"/>
          <w:szCs w:val="20"/>
          <w:lang w:val="en-US"/>
        </w:rPr>
        <w:t xml:space="preserve">Meanwhile, </w:t>
      </w:r>
      <w:r w:rsidR="00810FAD" w:rsidRPr="00FE7BA7">
        <w:rPr>
          <w:rFonts w:ascii="Verdana" w:hAnsi="Verdana"/>
          <w:sz w:val="20"/>
          <w:szCs w:val="20"/>
          <w:lang w:val="en-US"/>
        </w:rPr>
        <w:t>the representatives</w:t>
      </w:r>
      <w:r w:rsidRPr="00FE7BA7">
        <w:rPr>
          <w:rFonts w:ascii="Verdana" w:hAnsi="Verdana"/>
          <w:sz w:val="20"/>
          <w:szCs w:val="20"/>
          <w:lang w:val="en-US"/>
        </w:rPr>
        <w:t xml:space="preserve"> and the Commission</w:t>
      </w:r>
      <w:r w:rsidR="00FC1FCF" w:rsidRPr="00FE7BA7">
        <w:rPr>
          <w:rFonts w:ascii="Verdana" w:hAnsi="Verdana"/>
          <w:sz w:val="20"/>
          <w:szCs w:val="20"/>
          <w:lang w:val="en-US"/>
        </w:rPr>
        <w:t xml:space="preserve"> </w:t>
      </w:r>
      <w:r w:rsidR="00540D55" w:rsidRPr="00FE7BA7">
        <w:rPr>
          <w:rFonts w:ascii="Verdana" w:hAnsi="Verdana"/>
          <w:sz w:val="20"/>
          <w:szCs w:val="20"/>
          <w:lang w:val="en-US"/>
        </w:rPr>
        <w:t>stated that the protection of nature is compatible with their way of life and these territor</w:t>
      </w:r>
      <w:r w:rsidR="004C0F36">
        <w:rPr>
          <w:rFonts w:ascii="Verdana" w:hAnsi="Verdana"/>
          <w:sz w:val="20"/>
          <w:szCs w:val="20"/>
          <w:lang w:val="en-US"/>
        </w:rPr>
        <w:t>ies should be restored to them.</w:t>
      </w:r>
    </w:p>
    <w:p w14:paraId="631269F8" w14:textId="77777777" w:rsidR="00FC1FCF" w:rsidRPr="00FE7BA7" w:rsidRDefault="00FC1FCF" w:rsidP="00FC1FCF">
      <w:pPr>
        <w:jc w:val="both"/>
        <w:rPr>
          <w:rFonts w:ascii="Verdana" w:hAnsi="Verdana"/>
          <w:sz w:val="20"/>
          <w:szCs w:val="20"/>
          <w:lang w:val="en-US"/>
        </w:rPr>
      </w:pPr>
    </w:p>
    <w:p w14:paraId="631269F9" w14:textId="77777777" w:rsidR="00540D55" w:rsidRPr="00FE7BA7" w:rsidRDefault="00540D55" w:rsidP="00FC1FCF">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w:t>
      </w:r>
      <w:r w:rsidR="002B5CCD" w:rsidRPr="00FE7BA7">
        <w:rPr>
          <w:rFonts w:ascii="Verdana" w:hAnsi="Verdana"/>
          <w:sz w:val="20"/>
          <w:szCs w:val="20"/>
          <w:lang w:val="en-US"/>
        </w:rPr>
        <w:t>the Court</w:t>
      </w:r>
      <w:r w:rsidR="00FC1FCF" w:rsidRPr="00FE7BA7">
        <w:rPr>
          <w:rFonts w:ascii="Verdana" w:hAnsi="Verdana"/>
          <w:sz w:val="20"/>
          <w:szCs w:val="20"/>
          <w:lang w:val="en-US"/>
        </w:rPr>
        <w:t xml:space="preserve"> </w:t>
      </w:r>
      <w:r w:rsidRPr="00FE7BA7">
        <w:rPr>
          <w:rFonts w:ascii="Verdana" w:hAnsi="Verdana"/>
          <w:sz w:val="20"/>
          <w:szCs w:val="20"/>
          <w:lang w:val="en-US"/>
        </w:rPr>
        <w:t>finds that, in light of the pre</w:t>
      </w:r>
      <w:r w:rsidR="00AF5C3B">
        <w:rPr>
          <w:rFonts w:ascii="Verdana" w:hAnsi="Verdana"/>
          <w:sz w:val="20"/>
          <w:szCs w:val="20"/>
          <w:lang w:val="en-US"/>
        </w:rPr>
        <w:t>viously mentioned standards, the</w:t>
      </w:r>
      <w:r w:rsidRPr="00FE7BA7">
        <w:rPr>
          <w:rFonts w:ascii="Verdana" w:hAnsi="Verdana"/>
          <w:sz w:val="20"/>
          <w:szCs w:val="20"/>
          <w:lang w:val="en-US"/>
        </w:rPr>
        <w:t xml:space="preserve"> </w:t>
      </w:r>
      <w:r w:rsidR="007B3D23">
        <w:rPr>
          <w:rFonts w:ascii="Verdana" w:hAnsi="Verdana"/>
          <w:sz w:val="20"/>
          <w:szCs w:val="20"/>
          <w:lang w:val="en-US"/>
        </w:rPr>
        <w:t>monitoring</w:t>
      </w:r>
      <w:r w:rsidR="00AF5C3B">
        <w:rPr>
          <w:rFonts w:ascii="Verdana" w:hAnsi="Verdana"/>
          <w:sz w:val="20"/>
          <w:szCs w:val="20"/>
          <w:lang w:val="en-US"/>
        </w:rPr>
        <w:t>,</w:t>
      </w:r>
      <w:r w:rsidRPr="00FE7BA7">
        <w:rPr>
          <w:rFonts w:ascii="Verdana" w:hAnsi="Verdana"/>
          <w:sz w:val="20"/>
          <w:szCs w:val="20"/>
          <w:lang w:val="en-US"/>
        </w:rPr>
        <w:t xml:space="preserve"> access and participation in areas of a reserve by the indigenous and tribal peoples is compatible, but it is also reasonable </w:t>
      </w:r>
      <w:r w:rsidR="00AF5C3B">
        <w:rPr>
          <w:rFonts w:ascii="Verdana" w:hAnsi="Verdana"/>
          <w:sz w:val="20"/>
          <w:szCs w:val="20"/>
          <w:lang w:val="en-US"/>
        </w:rPr>
        <w:t>that the State retain the</w:t>
      </w:r>
      <w:r w:rsidRPr="00FE7BA7">
        <w:rPr>
          <w:rFonts w:ascii="Verdana" w:hAnsi="Verdana"/>
          <w:sz w:val="20"/>
          <w:szCs w:val="20"/>
          <w:lang w:val="en-US"/>
        </w:rPr>
        <w:t xml:space="preserve"> </w:t>
      </w:r>
      <w:r w:rsidR="007B3D23">
        <w:rPr>
          <w:rFonts w:ascii="Verdana" w:hAnsi="Verdana"/>
          <w:sz w:val="20"/>
          <w:szCs w:val="20"/>
          <w:lang w:val="en-US"/>
        </w:rPr>
        <w:t>supervision</w:t>
      </w:r>
      <w:r w:rsidRPr="00FE7BA7">
        <w:rPr>
          <w:rFonts w:ascii="Verdana" w:hAnsi="Verdana"/>
          <w:sz w:val="20"/>
          <w:szCs w:val="20"/>
          <w:lang w:val="en-US"/>
        </w:rPr>
        <w:t xml:space="preserve">, access and management of areas of general and strategic </w:t>
      </w:r>
      <w:r w:rsidR="00AF5C3B">
        <w:rPr>
          <w:rFonts w:ascii="Verdana" w:hAnsi="Verdana"/>
          <w:sz w:val="20"/>
          <w:szCs w:val="20"/>
          <w:lang w:val="en-US"/>
        </w:rPr>
        <w:t>interest</w:t>
      </w:r>
      <w:r w:rsidRPr="00FE7BA7">
        <w:rPr>
          <w:rFonts w:ascii="Verdana" w:hAnsi="Verdana"/>
          <w:sz w:val="20"/>
          <w:szCs w:val="20"/>
          <w:lang w:val="en-US"/>
        </w:rPr>
        <w:t>, and</w:t>
      </w:r>
      <w:r w:rsidR="00AF5C3B">
        <w:rPr>
          <w:rFonts w:ascii="Verdana" w:hAnsi="Verdana"/>
          <w:sz w:val="20"/>
          <w:szCs w:val="20"/>
          <w:lang w:val="en-US"/>
        </w:rPr>
        <w:t xml:space="preserve"> for safety reasons, that allow</w:t>
      </w:r>
      <w:r w:rsidRPr="00FE7BA7">
        <w:rPr>
          <w:rFonts w:ascii="Verdana" w:hAnsi="Verdana"/>
          <w:sz w:val="20"/>
          <w:szCs w:val="20"/>
          <w:lang w:val="en-US"/>
        </w:rPr>
        <w:t xml:space="preserve"> it to exer</w:t>
      </w:r>
      <w:r w:rsidR="00AF5C3B">
        <w:rPr>
          <w:rFonts w:ascii="Verdana" w:hAnsi="Verdana"/>
          <w:sz w:val="20"/>
          <w:szCs w:val="20"/>
          <w:lang w:val="en-US"/>
        </w:rPr>
        <w:t xml:space="preserve">cise its sovereignty, and/or </w:t>
      </w:r>
      <w:r w:rsidRPr="00FE7BA7">
        <w:rPr>
          <w:rFonts w:ascii="Verdana" w:hAnsi="Verdana"/>
          <w:sz w:val="20"/>
          <w:szCs w:val="20"/>
          <w:lang w:val="en-US"/>
        </w:rPr>
        <w:t>protect the borders of its territory.</w:t>
      </w:r>
    </w:p>
    <w:p w14:paraId="631269FA" w14:textId="77777777" w:rsidR="00FC1FCF" w:rsidRPr="00FE7BA7" w:rsidRDefault="00FC1FCF" w:rsidP="00FC1FCF">
      <w:pPr>
        <w:jc w:val="both"/>
        <w:rPr>
          <w:rFonts w:ascii="Verdana" w:hAnsi="Verdana"/>
          <w:sz w:val="20"/>
          <w:szCs w:val="20"/>
          <w:lang w:val="en-US"/>
        </w:rPr>
      </w:pPr>
    </w:p>
    <w:p w14:paraId="631269FB" w14:textId="77777777" w:rsidR="00CC5F6E" w:rsidRPr="00FE7BA7" w:rsidRDefault="00540D55" w:rsidP="00540D55">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Therefore, since, in this specific case, the Court has not ruled on the creation and persistence of the nature reserves </w:t>
      </w:r>
      <w:r w:rsidR="00FC1FCF" w:rsidRPr="00FE7BA7">
        <w:rPr>
          <w:rFonts w:ascii="Verdana" w:hAnsi="Verdana"/>
          <w:sz w:val="20"/>
          <w:szCs w:val="20"/>
          <w:lang w:val="en-US"/>
        </w:rPr>
        <w:t>(</w:t>
      </w:r>
      <w:r w:rsidR="00366D91" w:rsidRPr="00FE7BA7">
        <w:rPr>
          <w:rFonts w:ascii="Verdana" w:hAnsi="Verdana"/>
          <w:i/>
          <w:sz w:val="20"/>
          <w:szCs w:val="20"/>
          <w:lang w:val="en-US"/>
        </w:rPr>
        <w:t>supra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FC1FCF" w:rsidRPr="00FE7BA7">
        <w:rPr>
          <w:rFonts w:ascii="Verdana" w:hAnsi="Verdana"/>
          <w:sz w:val="20"/>
          <w:szCs w:val="20"/>
          <w:lang w:val="en-US"/>
        </w:rPr>
        <w:t xml:space="preserve"> </w:t>
      </w:r>
      <w:r w:rsidR="00AE6FEA" w:rsidRPr="00FE7BA7">
        <w:rPr>
          <w:rFonts w:ascii="Verdana" w:hAnsi="Verdana"/>
          <w:sz w:val="20"/>
          <w:szCs w:val="20"/>
          <w:lang w:val="en-US"/>
        </w:rPr>
        <w:t>1</w:t>
      </w:r>
      <w:r w:rsidR="009A6301" w:rsidRPr="00FE7BA7">
        <w:rPr>
          <w:rFonts w:ascii="Verdana" w:hAnsi="Verdana"/>
          <w:sz w:val="20"/>
          <w:szCs w:val="20"/>
          <w:lang w:val="en-US"/>
        </w:rPr>
        <w:t>62</w:t>
      </w:r>
      <w:r w:rsidR="00FC1FCF" w:rsidRPr="00FE7BA7">
        <w:rPr>
          <w:rFonts w:ascii="Verdana" w:hAnsi="Verdana"/>
          <w:sz w:val="20"/>
          <w:szCs w:val="20"/>
          <w:lang w:val="en-US"/>
        </w:rPr>
        <w:t xml:space="preserve">), </w:t>
      </w:r>
      <w:r w:rsidRPr="00FE7BA7">
        <w:rPr>
          <w:rFonts w:ascii="Verdana" w:hAnsi="Verdana"/>
          <w:sz w:val="20"/>
          <w:szCs w:val="20"/>
          <w:lang w:val="en-US"/>
        </w:rPr>
        <w:t xml:space="preserve">but rather, based on their existence, has analyzed the restrictions imposed, it finds that, for the effects of this case, </w:t>
      </w:r>
      <w:r w:rsidR="007B3D23">
        <w:rPr>
          <w:rFonts w:ascii="Verdana" w:hAnsi="Verdana"/>
          <w:sz w:val="20"/>
          <w:szCs w:val="20"/>
          <w:lang w:val="en-US"/>
        </w:rPr>
        <w:t xml:space="preserve">from the moment the State made its </w:t>
      </w:r>
      <w:r w:rsidR="00290BA0">
        <w:rPr>
          <w:rFonts w:ascii="Verdana" w:hAnsi="Verdana"/>
          <w:sz w:val="20"/>
          <w:szCs w:val="20"/>
          <w:lang w:val="en-US"/>
        </w:rPr>
        <w:t>domestic</w:t>
      </w:r>
      <w:r w:rsidRPr="00FE7BA7">
        <w:rPr>
          <w:rFonts w:ascii="Verdana" w:hAnsi="Verdana"/>
          <w:sz w:val="20"/>
          <w:szCs w:val="20"/>
          <w:lang w:val="en-US"/>
        </w:rPr>
        <w:t xml:space="preserve"> and international commitments (</w:t>
      </w:r>
      <w:r w:rsidRPr="00FE7BA7">
        <w:rPr>
          <w:rFonts w:ascii="Verdana" w:hAnsi="Verdana"/>
          <w:i/>
          <w:sz w:val="20"/>
          <w:szCs w:val="20"/>
          <w:lang w:val="en-US"/>
        </w:rPr>
        <w:t>supra</w:t>
      </w:r>
      <w:r w:rsidR="00290BA0">
        <w:rPr>
          <w:rFonts w:ascii="Verdana" w:hAnsi="Verdana"/>
          <w:sz w:val="20"/>
          <w:szCs w:val="20"/>
          <w:lang w:val="en-US"/>
        </w:rPr>
        <w:t xml:space="preserve"> para. 176), </w:t>
      </w:r>
      <w:r w:rsidR="007B3D23">
        <w:rPr>
          <w:rFonts w:ascii="Verdana" w:hAnsi="Verdana"/>
          <w:sz w:val="20"/>
          <w:szCs w:val="20"/>
          <w:lang w:val="en-US"/>
        </w:rPr>
        <w:t>it</w:t>
      </w:r>
      <w:r w:rsidR="007B3D23" w:rsidRPr="00FE7BA7">
        <w:rPr>
          <w:rFonts w:ascii="Verdana" w:hAnsi="Verdana"/>
          <w:sz w:val="20"/>
          <w:szCs w:val="20"/>
          <w:lang w:val="en-US"/>
        </w:rPr>
        <w:t xml:space="preserve"> should</w:t>
      </w:r>
      <w:r w:rsidR="007B3D23">
        <w:rPr>
          <w:rFonts w:ascii="Verdana" w:hAnsi="Verdana"/>
          <w:sz w:val="20"/>
          <w:szCs w:val="20"/>
          <w:lang w:val="en-US"/>
        </w:rPr>
        <w:t xml:space="preserve"> have</w:t>
      </w:r>
      <w:r w:rsidR="007B3D23" w:rsidRPr="00FE7BA7">
        <w:rPr>
          <w:rFonts w:ascii="Verdana" w:hAnsi="Verdana"/>
          <w:sz w:val="20"/>
          <w:szCs w:val="20"/>
          <w:lang w:val="en-US"/>
        </w:rPr>
        <w:t xml:space="preserve"> </w:t>
      </w:r>
      <w:r w:rsidR="007B3D23">
        <w:rPr>
          <w:rFonts w:ascii="Verdana" w:hAnsi="Verdana"/>
          <w:sz w:val="20"/>
          <w:szCs w:val="20"/>
          <w:lang w:val="en-US"/>
        </w:rPr>
        <w:t>endeavored</w:t>
      </w:r>
      <w:r w:rsidR="00290BA0">
        <w:rPr>
          <w:rFonts w:ascii="Verdana" w:hAnsi="Verdana"/>
          <w:sz w:val="20"/>
          <w:szCs w:val="20"/>
          <w:lang w:val="en-US"/>
        </w:rPr>
        <w:t xml:space="preserve"> to ensure</w:t>
      </w:r>
      <w:r w:rsidRPr="00FE7BA7">
        <w:rPr>
          <w:rFonts w:ascii="Verdana" w:hAnsi="Verdana"/>
          <w:sz w:val="20"/>
          <w:szCs w:val="20"/>
          <w:lang w:val="en-US"/>
        </w:rPr>
        <w:t xml:space="preserve"> compatibility between the protection of the environment and the collective rights of the indigenous peop</w:t>
      </w:r>
      <w:r w:rsidR="00290BA0">
        <w:rPr>
          <w:rFonts w:ascii="Verdana" w:hAnsi="Verdana"/>
          <w:sz w:val="20"/>
          <w:szCs w:val="20"/>
          <w:lang w:val="en-US"/>
        </w:rPr>
        <w:t>les, in order to: (a) ensure</w:t>
      </w:r>
      <w:r w:rsidRPr="00FE7BA7">
        <w:rPr>
          <w:rFonts w:ascii="Verdana" w:hAnsi="Verdana"/>
          <w:sz w:val="20"/>
          <w:szCs w:val="20"/>
          <w:lang w:val="en-US"/>
        </w:rPr>
        <w:t xml:space="preserve"> access to and use</w:t>
      </w:r>
      <w:r w:rsidR="00290BA0">
        <w:rPr>
          <w:rFonts w:ascii="Verdana" w:hAnsi="Verdana"/>
          <w:sz w:val="20"/>
          <w:szCs w:val="20"/>
          <w:lang w:val="en-US"/>
        </w:rPr>
        <w:t xml:space="preserve"> of their ancestral territories</w:t>
      </w:r>
      <w:r w:rsidRPr="00FE7BA7">
        <w:rPr>
          <w:rFonts w:ascii="Verdana" w:hAnsi="Verdana"/>
          <w:sz w:val="20"/>
          <w:szCs w:val="20"/>
          <w:lang w:val="en-US"/>
        </w:rPr>
        <w:t xml:space="preserve"> </w:t>
      </w:r>
      <w:r w:rsidR="00290BA0">
        <w:rPr>
          <w:rFonts w:ascii="Verdana" w:hAnsi="Verdana"/>
          <w:sz w:val="20"/>
          <w:szCs w:val="20"/>
          <w:lang w:val="en-US"/>
        </w:rPr>
        <w:t>for</w:t>
      </w:r>
      <w:r w:rsidRPr="00FE7BA7">
        <w:rPr>
          <w:rFonts w:ascii="Verdana" w:hAnsi="Verdana"/>
          <w:sz w:val="20"/>
          <w:szCs w:val="20"/>
          <w:lang w:val="en-US"/>
        </w:rPr>
        <w:t xml:space="preserve"> their traditional ways of life in the </w:t>
      </w:r>
      <w:r w:rsidR="00290BA0">
        <w:rPr>
          <w:rFonts w:ascii="Verdana" w:hAnsi="Verdana"/>
          <w:sz w:val="20"/>
          <w:szCs w:val="20"/>
          <w:lang w:val="en-US"/>
        </w:rPr>
        <w:t xml:space="preserve">nature </w:t>
      </w:r>
      <w:r w:rsidRPr="00FE7BA7">
        <w:rPr>
          <w:rFonts w:ascii="Verdana" w:hAnsi="Verdana"/>
          <w:sz w:val="20"/>
          <w:szCs w:val="20"/>
          <w:lang w:val="en-US"/>
        </w:rPr>
        <w:t xml:space="preserve">reserves, and (b) provide the means for them to participate effectively in the objectives of the reserves; mainly in their care and conservation, and (c) to participate in the benefits </w:t>
      </w:r>
      <w:r w:rsidR="00290BA0">
        <w:rPr>
          <w:rFonts w:ascii="Verdana" w:hAnsi="Verdana"/>
          <w:sz w:val="20"/>
          <w:szCs w:val="20"/>
          <w:lang w:val="en-US"/>
        </w:rPr>
        <w:t>derived</w:t>
      </w:r>
      <w:r w:rsidRPr="00FE7BA7">
        <w:rPr>
          <w:rFonts w:ascii="Verdana" w:hAnsi="Verdana"/>
          <w:sz w:val="20"/>
          <w:szCs w:val="20"/>
          <w:lang w:val="en-US"/>
        </w:rPr>
        <w:t xml:space="preserve"> from conservation</w:t>
      </w:r>
      <w:r w:rsidR="005014B5" w:rsidRPr="00FE7BA7">
        <w:rPr>
          <w:rFonts w:ascii="Verdana" w:hAnsi="Verdana"/>
          <w:sz w:val="20"/>
          <w:szCs w:val="20"/>
          <w:lang w:val="en-US"/>
        </w:rPr>
        <w:t xml:space="preserve"> (</w:t>
      </w:r>
      <w:r w:rsidR="005014B5" w:rsidRPr="00FE7BA7">
        <w:rPr>
          <w:rFonts w:ascii="Verdana" w:hAnsi="Verdana"/>
          <w:i/>
          <w:sz w:val="20"/>
          <w:szCs w:val="20"/>
          <w:lang w:val="en-US"/>
        </w:rPr>
        <w:t>supra</w:t>
      </w:r>
      <w:r w:rsidR="005014B5" w:rsidRPr="00FE7BA7">
        <w:rPr>
          <w:rFonts w:ascii="Verdana" w:hAnsi="Verdana"/>
          <w:sz w:val="20"/>
          <w:szCs w:val="20"/>
          <w:lang w:val="en-US"/>
        </w:rPr>
        <w:t xml:space="preserve"> </w:t>
      </w:r>
      <w:r w:rsidR="00810FAD" w:rsidRPr="00FE7BA7">
        <w:rPr>
          <w:rFonts w:ascii="Verdana" w:hAnsi="Verdana"/>
          <w:sz w:val="20"/>
          <w:szCs w:val="20"/>
          <w:lang w:val="en-US"/>
        </w:rPr>
        <w:t>para.</w:t>
      </w:r>
      <w:r w:rsidR="005014B5" w:rsidRPr="00FE7BA7">
        <w:rPr>
          <w:rFonts w:ascii="Verdana" w:hAnsi="Verdana"/>
          <w:sz w:val="20"/>
          <w:szCs w:val="20"/>
          <w:lang w:val="en-US"/>
        </w:rPr>
        <w:t xml:space="preserve"> </w:t>
      </w:r>
      <w:r w:rsidR="00AE6FEA" w:rsidRPr="00FE7BA7">
        <w:rPr>
          <w:rFonts w:ascii="Verdana" w:hAnsi="Verdana"/>
          <w:sz w:val="20"/>
          <w:szCs w:val="20"/>
          <w:lang w:val="en-US"/>
        </w:rPr>
        <w:t>181</w:t>
      </w:r>
      <w:r w:rsidR="005014B5" w:rsidRPr="00FE7BA7">
        <w:rPr>
          <w:rFonts w:ascii="Verdana" w:hAnsi="Verdana"/>
          <w:sz w:val="20"/>
          <w:szCs w:val="20"/>
          <w:lang w:val="en-US"/>
        </w:rPr>
        <w:t>)</w:t>
      </w:r>
      <w:r w:rsidR="0014568C" w:rsidRPr="00FE7BA7">
        <w:rPr>
          <w:rFonts w:ascii="Verdana" w:hAnsi="Verdana"/>
          <w:sz w:val="20"/>
          <w:szCs w:val="20"/>
          <w:lang w:val="en-US"/>
        </w:rPr>
        <w:t>.</w:t>
      </w:r>
    </w:p>
    <w:p w14:paraId="631269FC" w14:textId="77777777" w:rsidR="00FC1FCF" w:rsidRPr="00FE7BA7" w:rsidRDefault="00FC1FCF" w:rsidP="00366D91">
      <w:pPr>
        <w:pStyle w:val="ListParagraph"/>
        <w:ind w:left="0"/>
        <w:jc w:val="both"/>
        <w:rPr>
          <w:rFonts w:ascii="Verdana" w:hAnsi="Verdana"/>
          <w:sz w:val="20"/>
          <w:szCs w:val="20"/>
          <w:lang w:val="en-US"/>
        </w:rPr>
      </w:pPr>
    </w:p>
    <w:p w14:paraId="631269FD" w14:textId="6972EC4F" w:rsidR="00FC1FCF" w:rsidRPr="00FE7BA7" w:rsidRDefault="00540D55" w:rsidP="00FC1FCF">
      <w:pPr>
        <w:pStyle w:val="ListParagraph"/>
        <w:numPr>
          <w:ilvl w:val="0"/>
          <w:numId w:val="2"/>
        </w:numPr>
        <w:ind w:left="0" w:hanging="11"/>
        <w:jc w:val="both"/>
        <w:rPr>
          <w:rFonts w:ascii="Verdana" w:hAnsi="Verdana"/>
          <w:b/>
          <w:sz w:val="20"/>
          <w:lang w:val="en-US"/>
        </w:rPr>
      </w:pPr>
      <w:r w:rsidRPr="00FE7BA7">
        <w:rPr>
          <w:rFonts w:ascii="Verdana" w:hAnsi="Verdana"/>
          <w:sz w:val="20"/>
          <w:szCs w:val="20"/>
          <w:lang w:val="en-US"/>
        </w:rPr>
        <w:t xml:space="preserve">In this regard, the Court notes that, in the case </w:t>
      </w:r>
      <w:r w:rsidR="00511E56" w:rsidRPr="00FE7BA7">
        <w:rPr>
          <w:rFonts w:ascii="Verdana" w:hAnsi="Verdana"/>
          <w:sz w:val="20"/>
          <w:szCs w:val="20"/>
          <w:lang w:val="en-US"/>
        </w:rPr>
        <w:t xml:space="preserve">of the </w:t>
      </w:r>
      <w:r w:rsidR="00BE4D11" w:rsidRPr="00FE7BA7">
        <w:rPr>
          <w:rFonts w:ascii="Verdana" w:hAnsi="Verdana"/>
          <w:sz w:val="20"/>
          <w:szCs w:val="20"/>
          <w:lang w:val="en-US"/>
        </w:rPr>
        <w:t>Galibi Nature Reserve</w:t>
      </w:r>
      <w:r w:rsidR="00FC1FCF" w:rsidRPr="00FE7BA7">
        <w:rPr>
          <w:rFonts w:ascii="Verdana" w:hAnsi="Verdana"/>
          <w:sz w:val="20"/>
          <w:szCs w:val="20"/>
          <w:lang w:val="en-US"/>
        </w:rPr>
        <w:t xml:space="preserve">, </w:t>
      </w:r>
      <w:r w:rsidRPr="00FE7BA7">
        <w:rPr>
          <w:rFonts w:ascii="Verdana" w:hAnsi="Verdana"/>
          <w:sz w:val="20"/>
          <w:szCs w:val="20"/>
          <w:lang w:val="en-US"/>
        </w:rPr>
        <w:t xml:space="preserve">agreements exist that have permitted access to the reserve, the limited participation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AE6FEA" w:rsidRPr="00FE7BA7">
        <w:rPr>
          <w:rFonts w:ascii="Verdana" w:hAnsi="Verdana"/>
          <w:sz w:val="20"/>
          <w:szCs w:val="20"/>
          <w:lang w:val="en-US"/>
        </w:rPr>
        <w:t xml:space="preserve"> </w:t>
      </w:r>
      <w:r w:rsidRPr="00FE7BA7">
        <w:rPr>
          <w:rFonts w:ascii="Verdana" w:hAnsi="Verdana"/>
          <w:sz w:val="20"/>
          <w:szCs w:val="20"/>
          <w:lang w:val="en-US"/>
        </w:rPr>
        <w:t xml:space="preserve">in its conservation, and the authorization to receive certain benefits </w:t>
      </w:r>
      <w:r w:rsidR="00FC1FCF" w:rsidRPr="00FE7BA7">
        <w:rPr>
          <w:rFonts w:ascii="Verdana" w:hAnsi="Verdana"/>
          <w:sz w:val="20"/>
          <w:szCs w:val="20"/>
          <w:lang w:val="en-US"/>
        </w:rPr>
        <w:t>(</w:t>
      </w:r>
      <w:r w:rsidR="00366D91" w:rsidRPr="00FE7BA7">
        <w:rPr>
          <w:rFonts w:ascii="Verdana" w:hAnsi="Verdana"/>
          <w:i/>
          <w:sz w:val="20"/>
          <w:szCs w:val="20"/>
          <w:lang w:val="en-US"/>
        </w:rPr>
        <w:t>supra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AE6FEA" w:rsidRPr="00FE7BA7">
        <w:rPr>
          <w:rFonts w:ascii="Verdana" w:hAnsi="Verdana"/>
          <w:sz w:val="20"/>
          <w:szCs w:val="20"/>
          <w:lang w:val="en-US"/>
        </w:rPr>
        <w:t xml:space="preserve"> 79</w:t>
      </w:r>
      <w:r w:rsidR="00FC1FCF" w:rsidRPr="00FE7BA7">
        <w:rPr>
          <w:rFonts w:ascii="Verdana" w:hAnsi="Verdana"/>
          <w:sz w:val="20"/>
          <w:szCs w:val="20"/>
          <w:lang w:val="en-US"/>
        </w:rPr>
        <w:t xml:space="preserve">). </w:t>
      </w:r>
      <w:r w:rsidRPr="00FE7BA7">
        <w:rPr>
          <w:rFonts w:ascii="Verdana" w:hAnsi="Verdana"/>
          <w:sz w:val="20"/>
          <w:szCs w:val="20"/>
          <w:lang w:val="en-US"/>
        </w:rPr>
        <w:t>However, these agreements have not been formally recorde</w:t>
      </w:r>
      <w:r w:rsidR="00290BA0">
        <w:rPr>
          <w:rFonts w:ascii="Verdana" w:hAnsi="Verdana"/>
          <w:sz w:val="20"/>
          <w:szCs w:val="20"/>
          <w:lang w:val="en-US"/>
        </w:rPr>
        <w:t>d in order to guarantee the</w:t>
      </w:r>
      <w:r w:rsidRPr="00FE7BA7">
        <w:rPr>
          <w:rFonts w:ascii="Verdana" w:hAnsi="Verdana"/>
          <w:sz w:val="20"/>
          <w:szCs w:val="20"/>
          <w:lang w:val="en-US"/>
        </w:rPr>
        <w:t>m</w:t>
      </w:r>
      <w:r w:rsidR="00290BA0">
        <w:rPr>
          <w:rFonts w:ascii="Verdana" w:hAnsi="Verdana"/>
          <w:sz w:val="20"/>
          <w:szCs w:val="20"/>
          <w:lang w:val="en-US"/>
        </w:rPr>
        <w:t xml:space="preserve"> </w:t>
      </w:r>
      <w:r w:rsidRPr="00FE7BA7">
        <w:rPr>
          <w:rFonts w:ascii="Verdana" w:hAnsi="Verdana"/>
          <w:sz w:val="20"/>
          <w:szCs w:val="20"/>
          <w:lang w:val="en-US"/>
        </w:rPr>
        <w:lastRenderedPageBreak/>
        <w:t xml:space="preserve">over time and in </w:t>
      </w:r>
      <w:r w:rsidR="00290BA0">
        <w:rPr>
          <w:rFonts w:ascii="Verdana" w:hAnsi="Verdana"/>
          <w:sz w:val="20"/>
          <w:szCs w:val="20"/>
          <w:lang w:val="en-US"/>
        </w:rPr>
        <w:t>keeping</w:t>
      </w:r>
      <w:r w:rsidRPr="00FE7BA7">
        <w:rPr>
          <w:rFonts w:ascii="Verdana" w:hAnsi="Verdana"/>
          <w:sz w:val="20"/>
          <w:szCs w:val="20"/>
          <w:lang w:val="en-US"/>
        </w:rPr>
        <w:t xml:space="preserve"> with all the applicable criteria, </w:t>
      </w:r>
      <w:r w:rsidR="002B5CCD" w:rsidRPr="00FE7BA7">
        <w:rPr>
          <w:rFonts w:ascii="Verdana" w:hAnsi="Verdana"/>
          <w:sz w:val="20"/>
          <w:szCs w:val="20"/>
          <w:lang w:val="en-US"/>
        </w:rPr>
        <w:t xml:space="preserve">and </w:t>
      </w:r>
      <w:r w:rsidR="002B5CCD" w:rsidRPr="00FE7BA7">
        <w:rPr>
          <w:rFonts w:ascii="Verdana" w:hAnsi="Verdana"/>
          <w:sz w:val="20"/>
          <w:lang w:val="en-US"/>
        </w:rPr>
        <w:t xml:space="preserve">the </w:t>
      </w:r>
      <w:r w:rsidR="00AE5F46">
        <w:rPr>
          <w:rFonts w:ascii="Verdana" w:hAnsi="Verdana"/>
          <w:sz w:val="20"/>
          <w:lang w:val="en-US"/>
        </w:rPr>
        <w:t>Dialogue</w:t>
      </w:r>
      <w:r w:rsidRPr="00FE7BA7">
        <w:rPr>
          <w:rFonts w:ascii="Verdana" w:hAnsi="Verdana"/>
          <w:sz w:val="20"/>
          <w:lang w:val="en-US"/>
        </w:rPr>
        <w:t xml:space="preserve"> Commission</w:t>
      </w:r>
      <w:r w:rsidR="005014B5" w:rsidRPr="00FE7BA7">
        <w:rPr>
          <w:rFonts w:ascii="Verdana" w:hAnsi="Verdana"/>
          <w:sz w:val="20"/>
          <w:lang w:val="en-US"/>
        </w:rPr>
        <w:t xml:space="preserve"> </w:t>
      </w:r>
      <w:r w:rsidRPr="00FE7BA7">
        <w:rPr>
          <w:rFonts w:ascii="Verdana" w:hAnsi="Verdana"/>
          <w:sz w:val="20"/>
          <w:lang w:val="en-US"/>
        </w:rPr>
        <w:t xml:space="preserve">is </w:t>
      </w:r>
      <w:r w:rsidR="004A262D" w:rsidRPr="00FE7BA7">
        <w:rPr>
          <w:rFonts w:ascii="Verdana" w:hAnsi="Verdana"/>
          <w:sz w:val="20"/>
          <w:lang w:val="en-US"/>
        </w:rPr>
        <w:t>inactiv</w:t>
      </w:r>
      <w:r w:rsidRPr="00FE7BA7">
        <w:rPr>
          <w:rFonts w:ascii="Verdana" w:hAnsi="Verdana"/>
          <w:sz w:val="20"/>
          <w:lang w:val="en-US"/>
        </w:rPr>
        <w:t>e</w:t>
      </w:r>
      <w:r w:rsidR="004A262D" w:rsidRPr="00FE7BA7">
        <w:rPr>
          <w:rFonts w:ascii="Verdana" w:hAnsi="Verdana"/>
          <w:sz w:val="20"/>
          <w:lang w:val="en-US"/>
        </w:rPr>
        <w:t xml:space="preserve"> </w:t>
      </w:r>
      <w:r w:rsidR="004A262D" w:rsidRPr="00FE7BA7">
        <w:rPr>
          <w:rFonts w:ascii="Verdana" w:hAnsi="Verdana"/>
          <w:sz w:val="20"/>
          <w:szCs w:val="20"/>
          <w:lang w:val="en-US"/>
        </w:rPr>
        <w:t>(</w:t>
      </w:r>
      <w:r w:rsidR="004A262D" w:rsidRPr="00FE7BA7">
        <w:rPr>
          <w:rFonts w:ascii="Verdana" w:hAnsi="Verdana"/>
          <w:i/>
          <w:sz w:val="20"/>
          <w:szCs w:val="20"/>
          <w:lang w:val="en-US"/>
        </w:rPr>
        <w:t xml:space="preserve">supra </w:t>
      </w:r>
      <w:r w:rsidR="00810FAD" w:rsidRPr="00FE7BA7">
        <w:rPr>
          <w:rFonts w:ascii="Verdana" w:hAnsi="Verdana"/>
          <w:sz w:val="20"/>
          <w:szCs w:val="20"/>
          <w:lang w:val="en-US"/>
        </w:rPr>
        <w:t>para</w:t>
      </w:r>
      <w:r w:rsidR="001C6EC9">
        <w:rPr>
          <w:rFonts w:ascii="Verdana" w:hAnsi="Verdana"/>
          <w:sz w:val="20"/>
          <w:szCs w:val="20"/>
          <w:lang w:val="en-US"/>
        </w:rPr>
        <w:t>s</w:t>
      </w:r>
      <w:r w:rsidR="00810FAD" w:rsidRPr="00FE7BA7">
        <w:rPr>
          <w:rFonts w:ascii="Verdana" w:hAnsi="Verdana"/>
          <w:sz w:val="20"/>
          <w:szCs w:val="20"/>
          <w:lang w:val="en-US"/>
        </w:rPr>
        <w:t>.</w:t>
      </w:r>
      <w:r w:rsidR="004A262D" w:rsidRPr="00FE7BA7">
        <w:rPr>
          <w:rFonts w:ascii="Verdana" w:hAnsi="Verdana"/>
          <w:sz w:val="20"/>
          <w:szCs w:val="20"/>
          <w:lang w:val="en-US"/>
        </w:rPr>
        <w:t xml:space="preserve"> 79</w:t>
      </w:r>
      <w:r w:rsidR="001C6EC9">
        <w:rPr>
          <w:rFonts w:ascii="Verdana" w:hAnsi="Verdana"/>
          <w:sz w:val="20"/>
          <w:szCs w:val="20"/>
          <w:lang w:val="en-US"/>
        </w:rPr>
        <w:t xml:space="preserve"> and 183</w:t>
      </w:r>
      <w:r w:rsidR="004A262D" w:rsidRPr="00FE7BA7">
        <w:rPr>
          <w:rFonts w:ascii="Verdana" w:hAnsi="Verdana"/>
          <w:sz w:val="20"/>
          <w:szCs w:val="20"/>
          <w:lang w:val="en-US"/>
        </w:rPr>
        <w:t>).</w:t>
      </w:r>
      <w:r w:rsidR="005014B5" w:rsidRPr="00FE7BA7">
        <w:rPr>
          <w:rFonts w:ascii="Verdana" w:hAnsi="Verdana"/>
          <w:sz w:val="20"/>
          <w:lang w:val="en-US"/>
        </w:rPr>
        <w:t xml:space="preserve"> </w:t>
      </w:r>
      <w:r w:rsidRPr="00FE7BA7">
        <w:rPr>
          <w:rFonts w:ascii="Verdana" w:hAnsi="Verdana"/>
          <w:sz w:val="20"/>
          <w:lang w:val="en-US"/>
        </w:rPr>
        <w:t xml:space="preserve">In this regard, </w:t>
      </w:r>
      <w:r w:rsidR="00810FAD" w:rsidRPr="00FE7BA7">
        <w:rPr>
          <w:rFonts w:ascii="Verdana" w:hAnsi="Verdana"/>
          <w:sz w:val="20"/>
          <w:lang w:val="en-US"/>
        </w:rPr>
        <w:t>the representatives</w:t>
      </w:r>
      <w:r w:rsidR="00794A91" w:rsidRPr="00FE7BA7">
        <w:rPr>
          <w:rFonts w:ascii="Verdana" w:hAnsi="Verdana"/>
          <w:sz w:val="20"/>
          <w:lang w:val="en-US"/>
        </w:rPr>
        <w:t xml:space="preserve"> insist</w:t>
      </w:r>
      <w:r w:rsidRPr="00FE7BA7">
        <w:rPr>
          <w:rFonts w:ascii="Verdana" w:hAnsi="Verdana"/>
          <w:sz w:val="20"/>
          <w:lang w:val="en-US"/>
        </w:rPr>
        <w:t xml:space="preserve">ed that the law applicable to </w:t>
      </w:r>
      <w:r w:rsidR="00BE4D11" w:rsidRPr="00FE7BA7">
        <w:rPr>
          <w:rFonts w:ascii="Verdana" w:hAnsi="Verdana"/>
          <w:sz w:val="20"/>
          <w:lang w:val="en-US"/>
        </w:rPr>
        <w:t>the Galibi Nature Reserve</w:t>
      </w:r>
      <w:r w:rsidR="005014B5" w:rsidRPr="00FE7BA7">
        <w:rPr>
          <w:rFonts w:ascii="Verdana" w:hAnsi="Verdana"/>
          <w:sz w:val="20"/>
          <w:lang w:val="en-US"/>
        </w:rPr>
        <w:t xml:space="preserve"> </w:t>
      </w:r>
      <w:r w:rsidRPr="00FE7BA7">
        <w:rPr>
          <w:rFonts w:ascii="Verdana" w:hAnsi="Verdana"/>
          <w:sz w:val="20"/>
          <w:lang w:val="en-US"/>
        </w:rPr>
        <w:t>was the</w:t>
      </w:r>
      <w:r w:rsidR="005014B5" w:rsidRPr="00FE7BA7">
        <w:rPr>
          <w:rFonts w:ascii="Verdana" w:hAnsi="Verdana"/>
          <w:sz w:val="20"/>
          <w:lang w:val="en-US"/>
        </w:rPr>
        <w:t xml:space="preserve"> 1954</w:t>
      </w:r>
      <w:r w:rsidR="007B3D23">
        <w:rPr>
          <w:rFonts w:ascii="Verdana" w:hAnsi="Verdana"/>
          <w:sz w:val="20"/>
          <w:lang w:val="en-US"/>
        </w:rPr>
        <w:t xml:space="preserve"> Act, which expressly prohibited</w:t>
      </w:r>
      <w:r w:rsidRPr="00FE7BA7">
        <w:rPr>
          <w:rFonts w:ascii="Verdana" w:hAnsi="Verdana"/>
          <w:sz w:val="20"/>
          <w:lang w:val="en-US"/>
        </w:rPr>
        <w:t xml:space="preserve"> hunting and fishing within the reserve.</w:t>
      </w:r>
    </w:p>
    <w:p w14:paraId="631269FE" w14:textId="77777777" w:rsidR="00027F86" w:rsidRPr="00FE7BA7" w:rsidRDefault="00027F86" w:rsidP="002C323A">
      <w:pPr>
        <w:pStyle w:val="ListParagraph"/>
        <w:rPr>
          <w:rFonts w:ascii="Verdana" w:hAnsi="Verdana"/>
          <w:sz w:val="20"/>
          <w:lang w:val="en-US"/>
        </w:rPr>
      </w:pPr>
    </w:p>
    <w:p w14:paraId="631269FF" w14:textId="77777777" w:rsidR="00027F86" w:rsidRPr="00FE7BA7" w:rsidRDefault="00540D55" w:rsidP="00190AD3">
      <w:pPr>
        <w:pStyle w:val="ListParagraph"/>
        <w:numPr>
          <w:ilvl w:val="0"/>
          <w:numId w:val="2"/>
        </w:numPr>
        <w:ind w:left="0" w:hanging="11"/>
        <w:jc w:val="both"/>
        <w:rPr>
          <w:rFonts w:ascii="Verdana" w:hAnsi="Verdana"/>
          <w:sz w:val="20"/>
          <w:lang w:val="en-US"/>
        </w:rPr>
      </w:pPr>
      <w:r w:rsidRPr="00FE7BA7">
        <w:rPr>
          <w:rFonts w:ascii="Verdana" w:hAnsi="Verdana"/>
          <w:sz w:val="20"/>
          <w:lang w:val="en-US"/>
        </w:rPr>
        <w:t>The Court has verified that</w:t>
      </w:r>
      <w:r w:rsidR="00027F86" w:rsidRPr="00FE7BA7">
        <w:rPr>
          <w:rFonts w:ascii="Verdana" w:hAnsi="Verdana"/>
          <w:sz w:val="20"/>
          <w:lang w:val="en-US"/>
        </w:rPr>
        <w:t xml:space="preserve"> </w:t>
      </w:r>
      <w:r w:rsidR="00C13118" w:rsidRPr="00FE7BA7">
        <w:rPr>
          <w:rFonts w:ascii="Verdana" w:hAnsi="Verdana"/>
          <w:sz w:val="20"/>
          <w:lang w:val="en-US"/>
        </w:rPr>
        <w:t>the 1954 Nature Protection Act</w:t>
      </w:r>
      <w:r w:rsidR="00027F86" w:rsidRPr="00FE7BA7">
        <w:rPr>
          <w:rFonts w:ascii="Verdana" w:hAnsi="Verdana"/>
          <w:sz w:val="20"/>
          <w:lang w:val="en-US"/>
        </w:rPr>
        <w:t xml:space="preserve"> prohib</w:t>
      </w:r>
      <w:r w:rsidRPr="00FE7BA7">
        <w:rPr>
          <w:rFonts w:ascii="Verdana" w:hAnsi="Verdana"/>
          <w:sz w:val="20"/>
          <w:lang w:val="en-US"/>
        </w:rPr>
        <w:t>ited hunting and fishing in the reserves. However, the 1986 Order recognized the protection of</w:t>
      </w:r>
      <w:r w:rsidR="00027F86" w:rsidRPr="00FE7BA7">
        <w:rPr>
          <w:rFonts w:ascii="Verdana" w:hAnsi="Verdana"/>
          <w:sz w:val="20"/>
          <w:lang w:val="en-US"/>
        </w:rPr>
        <w:t xml:space="preserve"> </w:t>
      </w:r>
      <w:r w:rsidR="00967E6B" w:rsidRPr="00FE7BA7">
        <w:rPr>
          <w:rFonts w:ascii="Verdana" w:hAnsi="Verdana"/>
          <w:sz w:val="20"/>
          <w:lang w:val="en-US"/>
        </w:rPr>
        <w:t xml:space="preserve">the indigenous and tribal peoples </w:t>
      </w:r>
      <w:r w:rsidRPr="00FE7BA7">
        <w:rPr>
          <w:rFonts w:ascii="Verdana" w:hAnsi="Verdana"/>
          <w:sz w:val="20"/>
          <w:lang w:val="en-US"/>
        </w:rPr>
        <w:t xml:space="preserve">who live in certain nature reserves </w:t>
      </w:r>
      <w:r w:rsidR="00027F86" w:rsidRPr="00FE7BA7">
        <w:rPr>
          <w:rFonts w:ascii="Verdana" w:hAnsi="Verdana"/>
          <w:sz w:val="20"/>
          <w:lang w:val="en-US"/>
        </w:rPr>
        <w:t>(</w:t>
      </w:r>
      <w:r w:rsidR="00027F86" w:rsidRPr="00FE7BA7">
        <w:rPr>
          <w:rFonts w:ascii="Verdana" w:hAnsi="Verdana"/>
          <w:i/>
          <w:sz w:val="20"/>
          <w:lang w:val="en-US"/>
        </w:rPr>
        <w:t>supra</w:t>
      </w:r>
      <w:r w:rsidR="00027F86" w:rsidRPr="00FE7BA7">
        <w:rPr>
          <w:rFonts w:ascii="Verdana" w:hAnsi="Verdana"/>
          <w:sz w:val="20"/>
          <w:lang w:val="en-US"/>
        </w:rPr>
        <w:t xml:space="preserve"> </w:t>
      </w:r>
      <w:r w:rsidR="00810FAD" w:rsidRPr="00FE7BA7">
        <w:rPr>
          <w:rFonts w:ascii="Verdana" w:hAnsi="Verdana"/>
          <w:sz w:val="20"/>
          <w:lang w:val="en-US"/>
        </w:rPr>
        <w:t>para.</w:t>
      </w:r>
      <w:r w:rsidR="00881C94" w:rsidRPr="00FE7BA7">
        <w:rPr>
          <w:rFonts w:ascii="Verdana" w:hAnsi="Verdana"/>
          <w:sz w:val="20"/>
          <w:lang w:val="en-US"/>
        </w:rPr>
        <w:t xml:space="preserve"> 83) </w:t>
      </w:r>
      <w:r w:rsidRPr="00FE7BA7">
        <w:rPr>
          <w:rFonts w:ascii="Verdana" w:hAnsi="Verdana"/>
          <w:sz w:val="20"/>
          <w:lang w:val="en-US"/>
        </w:rPr>
        <w:t xml:space="preserve">without referring expressly to </w:t>
      </w:r>
      <w:r w:rsidR="00511E56" w:rsidRPr="00FE7BA7">
        <w:rPr>
          <w:rFonts w:ascii="Verdana" w:hAnsi="Verdana"/>
          <w:sz w:val="20"/>
          <w:lang w:val="en-US"/>
        </w:rPr>
        <w:t xml:space="preserve">the </w:t>
      </w:r>
      <w:r w:rsidR="00BE4D11" w:rsidRPr="00FE7BA7">
        <w:rPr>
          <w:rFonts w:ascii="Verdana" w:hAnsi="Verdana"/>
          <w:sz w:val="20"/>
          <w:lang w:val="en-US"/>
        </w:rPr>
        <w:t>Galibi Nature Reserve</w:t>
      </w:r>
      <w:r w:rsidR="00027F86" w:rsidRPr="00FE7BA7">
        <w:rPr>
          <w:rFonts w:ascii="Verdana" w:hAnsi="Verdana"/>
          <w:sz w:val="20"/>
          <w:lang w:val="en-US"/>
        </w:rPr>
        <w:t xml:space="preserve">. </w:t>
      </w:r>
      <w:r w:rsidRPr="00FE7BA7">
        <w:rPr>
          <w:rFonts w:ascii="Verdana" w:hAnsi="Verdana"/>
          <w:sz w:val="20"/>
          <w:lang w:val="en-US"/>
        </w:rPr>
        <w:t xml:space="preserve">Nevertheless, </w:t>
      </w:r>
      <w:r w:rsidR="002B5CCD" w:rsidRPr="00FE7BA7">
        <w:rPr>
          <w:rFonts w:ascii="Verdana" w:hAnsi="Verdana"/>
          <w:sz w:val="20"/>
          <w:lang w:val="en-US"/>
        </w:rPr>
        <w:t>the State</w:t>
      </w:r>
      <w:r w:rsidR="00027F86" w:rsidRPr="00FE7BA7">
        <w:rPr>
          <w:rFonts w:ascii="Verdana" w:hAnsi="Verdana"/>
          <w:sz w:val="20"/>
          <w:lang w:val="en-US"/>
        </w:rPr>
        <w:t xml:space="preserve"> </w:t>
      </w:r>
      <w:r w:rsidRPr="00FE7BA7">
        <w:rPr>
          <w:rFonts w:ascii="Verdana" w:hAnsi="Verdana"/>
          <w:sz w:val="20"/>
          <w:lang w:val="en-US"/>
        </w:rPr>
        <w:t>made a brief reference to the fact that, with the implementation of the 1986 Order, the same protection had been applied in gener</w:t>
      </w:r>
      <w:r w:rsidR="007B3D23">
        <w:rPr>
          <w:rFonts w:ascii="Verdana" w:hAnsi="Verdana"/>
          <w:sz w:val="20"/>
          <w:lang w:val="en-US"/>
        </w:rPr>
        <w:t>al for all the nature reserves. Nevertheless,</w:t>
      </w:r>
      <w:r w:rsidR="0068119F">
        <w:rPr>
          <w:rFonts w:ascii="Verdana" w:hAnsi="Verdana"/>
          <w:sz w:val="20"/>
          <w:lang w:val="en-US"/>
        </w:rPr>
        <w:t xml:space="preserve"> this </w:t>
      </w:r>
      <w:r w:rsidRPr="00FE7BA7">
        <w:rPr>
          <w:rFonts w:ascii="Verdana" w:hAnsi="Verdana"/>
          <w:sz w:val="20"/>
          <w:lang w:val="en-US"/>
        </w:rPr>
        <w:t>has not been substant</w:t>
      </w:r>
      <w:r w:rsidR="007B3D23">
        <w:rPr>
          <w:rFonts w:ascii="Verdana" w:hAnsi="Verdana"/>
          <w:sz w:val="20"/>
          <w:lang w:val="en-US"/>
        </w:rPr>
        <w:t>iated by any evidence before the</w:t>
      </w:r>
      <w:r w:rsidRPr="00FE7BA7">
        <w:rPr>
          <w:rFonts w:ascii="Verdana" w:hAnsi="Verdana"/>
          <w:sz w:val="20"/>
          <w:lang w:val="en-US"/>
        </w:rPr>
        <w:t xml:space="preserve"> Court or during</w:t>
      </w:r>
      <w:r w:rsidR="00027F86" w:rsidRPr="00FE7BA7">
        <w:rPr>
          <w:rFonts w:ascii="Verdana" w:hAnsi="Verdana"/>
          <w:sz w:val="20"/>
          <w:lang w:val="en-US"/>
        </w:rPr>
        <w:t xml:space="preserve"> </w:t>
      </w:r>
      <w:r w:rsidR="003F59F5" w:rsidRPr="00FE7BA7">
        <w:rPr>
          <w:rFonts w:ascii="Verdana" w:hAnsi="Verdana"/>
          <w:sz w:val="20"/>
          <w:lang w:val="en-US"/>
        </w:rPr>
        <w:t>the on-site procedure</w:t>
      </w:r>
      <w:r w:rsidR="00794A91" w:rsidRPr="00FE7BA7">
        <w:rPr>
          <w:rFonts w:ascii="Verdana" w:hAnsi="Verdana"/>
          <w:sz w:val="20"/>
          <w:lang w:val="en-US"/>
        </w:rPr>
        <w:t xml:space="preserve">. </w:t>
      </w:r>
      <w:r w:rsidRPr="00FE7BA7">
        <w:rPr>
          <w:rFonts w:ascii="Verdana" w:hAnsi="Verdana"/>
          <w:sz w:val="20"/>
          <w:lang w:val="en-US"/>
        </w:rPr>
        <w:t>This reveals a situation of lack of legal certainty as regards the rights recognized in the said reserve.</w:t>
      </w:r>
    </w:p>
    <w:p w14:paraId="63126A00" w14:textId="77777777" w:rsidR="00FC1FCF" w:rsidRPr="00FE7BA7" w:rsidRDefault="00FC1FCF" w:rsidP="00FC1FCF">
      <w:pPr>
        <w:jc w:val="both"/>
        <w:rPr>
          <w:rFonts w:ascii="Verdana" w:hAnsi="Verdana"/>
          <w:sz w:val="20"/>
          <w:szCs w:val="20"/>
          <w:lang w:val="en-US"/>
        </w:rPr>
      </w:pPr>
    </w:p>
    <w:p w14:paraId="63126A01" w14:textId="77777777" w:rsidR="00FC1FCF" w:rsidRPr="00FE7BA7" w:rsidRDefault="0068119F" w:rsidP="00FC1FCF">
      <w:pPr>
        <w:pStyle w:val="ListParagraph"/>
        <w:numPr>
          <w:ilvl w:val="0"/>
          <w:numId w:val="2"/>
        </w:numPr>
        <w:ind w:left="0" w:hanging="11"/>
        <w:jc w:val="both"/>
        <w:rPr>
          <w:rFonts w:ascii="Verdana" w:hAnsi="Verdana"/>
          <w:sz w:val="20"/>
          <w:lang w:val="en-US"/>
        </w:rPr>
      </w:pPr>
      <w:r>
        <w:rPr>
          <w:rFonts w:ascii="Verdana" w:hAnsi="Verdana"/>
          <w:sz w:val="20"/>
          <w:szCs w:val="20"/>
          <w:lang w:val="en-US"/>
        </w:rPr>
        <w:t>Also</w:t>
      </w:r>
      <w:r w:rsidR="00540D55" w:rsidRPr="00FE7BA7">
        <w:rPr>
          <w:rFonts w:ascii="Verdana" w:hAnsi="Verdana"/>
          <w:sz w:val="20"/>
          <w:szCs w:val="20"/>
          <w:lang w:val="en-US"/>
        </w:rPr>
        <w:t xml:space="preserve">, with regard to </w:t>
      </w:r>
      <w:r w:rsidR="00511E56" w:rsidRPr="00FE7BA7">
        <w:rPr>
          <w:rFonts w:ascii="Verdana" w:hAnsi="Verdana"/>
          <w:sz w:val="20"/>
          <w:szCs w:val="20"/>
          <w:lang w:val="en-US"/>
        </w:rPr>
        <w:t>the Wane Kreek</w:t>
      </w:r>
      <w:r w:rsidR="00BE4D11" w:rsidRPr="00FE7BA7">
        <w:rPr>
          <w:rFonts w:ascii="Verdana" w:hAnsi="Verdana"/>
          <w:sz w:val="20"/>
          <w:szCs w:val="20"/>
          <w:lang w:val="en-US"/>
        </w:rPr>
        <w:t xml:space="preserve"> Nature Reserve</w:t>
      </w:r>
      <w:r w:rsidR="00794A91" w:rsidRPr="00FE7BA7">
        <w:rPr>
          <w:rFonts w:ascii="Verdana" w:hAnsi="Verdana"/>
          <w:sz w:val="20"/>
          <w:szCs w:val="20"/>
          <w:lang w:val="en-US"/>
        </w:rPr>
        <w:t xml:space="preserve">, </w:t>
      </w:r>
      <w:r w:rsidR="002B5CCD" w:rsidRPr="00FE7BA7">
        <w:rPr>
          <w:rFonts w:ascii="Verdana" w:hAnsi="Verdana"/>
          <w:sz w:val="20"/>
          <w:szCs w:val="20"/>
          <w:lang w:val="en-US"/>
        </w:rPr>
        <w:t>the State</w:t>
      </w:r>
      <w:r w:rsidR="00FC1FCF" w:rsidRPr="00FE7BA7">
        <w:rPr>
          <w:rFonts w:ascii="Verdana" w:hAnsi="Verdana"/>
          <w:sz w:val="20"/>
          <w:szCs w:val="20"/>
          <w:lang w:val="en-US"/>
        </w:rPr>
        <w:t xml:space="preserve"> </w:t>
      </w:r>
      <w:r w:rsidR="007B3D23">
        <w:rPr>
          <w:rFonts w:ascii="Verdana" w:hAnsi="Verdana"/>
          <w:sz w:val="20"/>
          <w:szCs w:val="20"/>
          <w:lang w:val="en-US"/>
        </w:rPr>
        <w:t>has</w:t>
      </w:r>
      <w:r w:rsidR="00540D55" w:rsidRPr="00FE7BA7">
        <w:rPr>
          <w:rFonts w:ascii="Verdana" w:hAnsi="Verdana"/>
          <w:sz w:val="20"/>
          <w:szCs w:val="20"/>
          <w:lang w:val="en-US"/>
        </w:rPr>
        <w:t xml:space="preserve"> not prove</w:t>
      </w:r>
      <w:r w:rsidR="007B3D23">
        <w:rPr>
          <w:rFonts w:ascii="Verdana" w:hAnsi="Verdana"/>
          <w:sz w:val="20"/>
          <w:szCs w:val="20"/>
          <w:lang w:val="en-US"/>
        </w:rPr>
        <w:t>d that it has</w:t>
      </w:r>
      <w:r w:rsidR="00540D55" w:rsidRPr="00FE7BA7">
        <w:rPr>
          <w:rFonts w:ascii="Verdana" w:hAnsi="Verdana"/>
          <w:sz w:val="20"/>
          <w:szCs w:val="20"/>
          <w:lang w:val="en-US"/>
        </w:rPr>
        <w:t xml:space="preserve"> effective mechanisms for the participation of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FC1FCF" w:rsidRPr="00FE7BA7">
        <w:rPr>
          <w:rFonts w:ascii="Verdana" w:hAnsi="Verdana"/>
          <w:sz w:val="20"/>
          <w:szCs w:val="20"/>
          <w:lang w:val="en-US"/>
        </w:rPr>
        <w:t xml:space="preserve"> (</w:t>
      </w:r>
      <w:r w:rsidR="007829DF" w:rsidRPr="00FE7BA7">
        <w:rPr>
          <w:rFonts w:ascii="Verdana" w:hAnsi="Verdana"/>
          <w:i/>
          <w:sz w:val="20"/>
          <w:szCs w:val="20"/>
          <w:lang w:val="en-US"/>
        </w:rPr>
        <w:t>infra</w:t>
      </w:r>
      <w:r w:rsidR="00FC1FCF" w:rsidRPr="00FE7BA7">
        <w:rPr>
          <w:rFonts w:ascii="Verdana" w:hAnsi="Verdana"/>
          <w:sz w:val="20"/>
          <w:szCs w:val="20"/>
          <w:lang w:val="en-US"/>
        </w:rPr>
        <w:t xml:space="preserve"> </w:t>
      </w:r>
      <w:r w:rsidR="00810FAD" w:rsidRPr="00FE7BA7">
        <w:rPr>
          <w:rFonts w:ascii="Verdana" w:hAnsi="Verdana"/>
          <w:sz w:val="20"/>
          <w:szCs w:val="20"/>
          <w:lang w:val="en-US"/>
        </w:rPr>
        <w:t>para.</w:t>
      </w:r>
      <w:r w:rsidR="00881C94" w:rsidRPr="00FE7BA7">
        <w:rPr>
          <w:rFonts w:ascii="Verdana" w:hAnsi="Verdana"/>
          <w:sz w:val="20"/>
          <w:szCs w:val="20"/>
          <w:lang w:val="en-US"/>
        </w:rPr>
        <w:t xml:space="preserve"> 200</w:t>
      </w:r>
      <w:r w:rsidR="00FC1FCF" w:rsidRPr="00FE7BA7">
        <w:rPr>
          <w:rFonts w:ascii="Verdana" w:hAnsi="Verdana"/>
          <w:sz w:val="20"/>
          <w:szCs w:val="20"/>
          <w:lang w:val="en-US"/>
        </w:rPr>
        <w:t>)</w:t>
      </w:r>
      <w:r w:rsidR="00540D55" w:rsidRPr="00FE7BA7">
        <w:rPr>
          <w:rFonts w:ascii="Verdana" w:hAnsi="Verdana"/>
          <w:sz w:val="20"/>
          <w:szCs w:val="20"/>
          <w:lang w:val="en-US"/>
        </w:rPr>
        <w:t>; rather</w:t>
      </w:r>
      <w:r w:rsidR="007B3D23">
        <w:rPr>
          <w:rFonts w:ascii="Verdana" w:hAnsi="Verdana"/>
          <w:sz w:val="20"/>
          <w:szCs w:val="20"/>
          <w:lang w:val="en-US"/>
        </w:rPr>
        <w:t>,</w:t>
      </w:r>
      <w:r w:rsidR="00540D55" w:rsidRPr="00FE7BA7">
        <w:rPr>
          <w:rFonts w:ascii="Verdana" w:hAnsi="Verdana"/>
          <w:sz w:val="20"/>
          <w:szCs w:val="20"/>
          <w:lang w:val="en-US"/>
        </w:rPr>
        <w:t xml:space="preserve"> the State </w:t>
      </w:r>
      <w:r w:rsidR="007B3D23">
        <w:rPr>
          <w:rFonts w:ascii="Verdana" w:hAnsi="Verdana"/>
          <w:sz w:val="20"/>
          <w:szCs w:val="20"/>
          <w:lang w:val="en-US"/>
        </w:rPr>
        <w:t>created</w:t>
      </w:r>
      <w:r w:rsidR="00540D55" w:rsidRPr="00FE7BA7">
        <w:rPr>
          <w:rFonts w:ascii="Verdana" w:hAnsi="Verdana"/>
          <w:sz w:val="20"/>
          <w:szCs w:val="20"/>
          <w:lang w:val="en-US"/>
        </w:rPr>
        <w:t xml:space="preserve"> the reserve without the participation of the neighboring </w:t>
      </w:r>
      <w:r w:rsidR="001F6C57" w:rsidRPr="00FE7BA7">
        <w:rPr>
          <w:rFonts w:ascii="Verdana" w:hAnsi="Verdana"/>
          <w:sz w:val="20"/>
          <w:lang w:val="en-US"/>
        </w:rPr>
        <w:t>Kaliña</w:t>
      </w:r>
      <w:r w:rsidR="002B5CCD" w:rsidRPr="00FE7BA7">
        <w:rPr>
          <w:rFonts w:ascii="Verdana" w:hAnsi="Verdana"/>
          <w:sz w:val="20"/>
          <w:lang w:val="en-US"/>
        </w:rPr>
        <w:t xml:space="preserve"> and </w:t>
      </w:r>
      <w:r w:rsidR="001F6C57" w:rsidRPr="00FE7BA7">
        <w:rPr>
          <w:rFonts w:ascii="Verdana" w:hAnsi="Verdana"/>
          <w:sz w:val="20"/>
          <w:lang w:val="en-US"/>
        </w:rPr>
        <w:t>Lokono</w:t>
      </w:r>
      <w:r w:rsidR="00540D55" w:rsidRPr="00FE7BA7">
        <w:rPr>
          <w:rFonts w:ascii="Verdana" w:hAnsi="Verdana"/>
          <w:sz w:val="20"/>
          <w:lang w:val="en-US"/>
        </w:rPr>
        <w:t xml:space="preserve"> communities</w:t>
      </w:r>
      <w:r w:rsidR="001F6C57" w:rsidRPr="00FE7BA7">
        <w:rPr>
          <w:rFonts w:ascii="Verdana" w:hAnsi="Verdana"/>
          <w:sz w:val="20"/>
          <w:lang w:val="en-US"/>
        </w:rPr>
        <w:t xml:space="preserve">. </w:t>
      </w:r>
    </w:p>
    <w:p w14:paraId="63126A02" w14:textId="77777777" w:rsidR="00164F52" w:rsidRPr="00FE7BA7" w:rsidRDefault="00164F52" w:rsidP="00190AD3">
      <w:pPr>
        <w:pStyle w:val="ListParagraph"/>
        <w:rPr>
          <w:rFonts w:ascii="Verdana" w:hAnsi="Verdana"/>
          <w:sz w:val="20"/>
          <w:lang w:val="en-US"/>
        </w:rPr>
      </w:pPr>
    </w:p>
    <w:p w14:paraId="63126A03" w14:textId="77777777" w:rsidR="001F6C57" w:rsidRPr="0068119F" w:rsidRDefault="00540D55" w:rsidP="00190AD3">
      <w:pPr>
        <w:pStyle w:val="ListParagraph"/>
        <w:numPr>
          <w:ilvl w:val="0"/>
          <w:numId w:val="2"/>
        </w:numPr>
        <w:ind w:left="0" w:hanging="11"/>
        <w:jc w:val="both"/>
        <w:rPr>
          <w:rFonts w:ascii="Verdana" w:hAnsi="Verdana"/>
          <w:sz w:val="20"/>
          <w:lang w:val="en-US"/>
        </w:rPr>
      </w:pPr>
      <w:r w:rsidRPr="00FE7BA7">
        <w:rPr>
          <w:rFonts w:ascii="Verdana" w:hAnsi="Verdana"/>
          <w:sz w:val="20"/>
          <w:lang w:val="en-US"/>
        </w:rPr>
        <w:t xml:space="preserve">In this regard, the Court recalls that </w:t>
      </w:r>
      <w:r w:rsidR="002B5CCD" w:rsidRPr="00FE7BA7">
        <w:rPr>
          <w:rFonts w:ascii="Verdana" w:hAnsi="Verdana"/>
          <w:sz w:val="20"/>
          <w:lang w:val="en-US"/>
        </w:rPr>
        <w:t>Article</w:t>
      </w:r>
      <w:r w:rsidR="001F6C57" w:rsidRPr="00FE7BA7">
        <w:rPr>
          <w:rFonts w:ascii="Verdana" w:hAnsi="Verdana"/>
          <w:sz w:val="20"/>
          <w:lang w:val="en-US"/>
        </w:rPr>
        <w:t xml:space="preserve"> 23</w:t>
      </w:r>
      <w:r w:rsidR="002B5CCD" w:rsidRPr="00FE7BA7">
        <w:rPr>
          <w:rFonts w:ascii="Verdana" w:hAnsi="Verdana"/>
          <w:sz w:val="20"/>
          <w:lang w:val="en-US"/>
        </w:rPr>
        <w:t xml:space="preserve"> of the American Convention</w:t>
      </w:r>
      <w:r w:rsidR="001F6C57" w:rsidRPr="00FE7BA7">
        <w:rPr>
          <w:rFonts w:ascii="Verdana" w:hAnsi="Verdana"/>
          <w:sz w:val="20"/>
          <w:lang w:val="en-US"/>
        </w:rPr>
        <w:t xml:space="preserve"> </w:t>
      </w:r>
      <w:r w:rsidRPr="00FE7BA7">
        <w:rPr>
          <w:rFonts w:ascii="Verdana" w:hAnsi="Verdana"/>
          <w:sz w:val="20"/>
          <w:lang w:val="en-US"/>
        </w:rPr>
        <w:t xml:space="preserve">establishes that everyone must enjoy the rights and </w:t>
      </w:r>
      <w:r w:rsidRPr="00FE7BA7">
        <w:rPr>
          <w:rFonts w:ascii="Verdana" w:hAnsi="Verdana"/>
          <w:sz w:val="20"/>
          <w:szCs w:val="20"/>
          <w:lang w:val="en-US"/>
        </w:rPr>
        <w:t>opportunities “</w:t>
      </w:r>
      <w:r w:rsidRPr="00FE7BA7">
        <w:rPr>
          <w:rFonts w:ascii="Verdana" w:hAnsi="Verdana"/>
          <w:spacing w:val="-3"/>
          <w:sz w:val="20"/>
          <w:szCs w:val="20"/>
          <w:lang w:val="en-US"/>
        </w:rPr>
        <w:t xml:space="preserve">to take part in the conduct of public affairs </w:t>
      </w:r>
      <w:r w:rsidR="001F6C57" w:rsidRPr="00FE7BA7">
        <w:rPr>
          <w:rFonts w:ascii="Verdana" w:hAnsi="Verdana"/>
          <w:sz w:val="20"/>
          <w:szCs w:val="20"/>
          <w:lang w:val="en-US"/>
        </w:rPr>
        <w:t>[…]</w:t>
      </w:r>
      <w:r w:rsidRPr="00FE7BA7">
        <w:rPr>
          <w:rFonts w:ascii="Verdana" w:hAnsi="Verdana"/>
          <w:sz w:val="20"/>
          <w:szCs w:val="20"/>
          <w:lang w:val="en-US"/>
        </w:rPr>
        <w:t>.”</w:t>
      </w:r>
      <w:r w:rsidR="001F6C57" w:rsidRPr="00FE7BA7">
        <w:rPr>
          <w:rFonts w:ascii="Verdana" w:hAnsi="Verdana"/>
          <w:sz w:val="20"/>
          <w:szCs w:val="20"/>
          <w:lang w:val="en-US"/>
        </w:rPr>
        <w:t xml:space="preserve"> </w:t>
      </w:r>
      <w:r w:rsidRPr="00FE7BA7">
        <w:rPr>
          <w:rFonts w:ascii="Verdana" w:hAnsi="Verdana"/>
          <w:sz w:val="20"/>
          <w:szCs w:val="20"/>
          <w:lang w:val="en-US"/>
        </w:rPr>
        <w:t xml:space="preserve">In this sense, the participation of </w:t>
      </w:r>
      <w:r w:rsidRPr="0068119F">
        <w:rPr>
          <w:rFonts w:ascii="Verdana" w:hAnsi="Verdana"/>
          <w:sz w:val="20"/>
          <w:szCs w:val="20"/>
          <w:lang w:val="en-US"/>
        </w:rPr>
        <w:t>the indigenous communities in the conservation of the environment is not only a matter of public interest, but also part of the exercise of their right as indigenous peoples “to participate in decision-making in</w:t>
      </w:r>
      <w:r w:rsidR="00390F65" w:rsidRPr="0068119F">
        <w:rPr>
          <w:rFonts w:ascii="Verdana" w:hAnsi="Verdana"/>
          <w:sz w:val="20"/>
          <w:lang w:val="en-US"/>
        </w:rPr>
        <w:t xml:space="preserve"> </w:t>
      </w:r>
      <w:r w:rsidRPr="0068119F">
        <w:rPr>
          <w:rFonts w:ascii="Verdana" w:hAnsi="Verdana"/>
          <w:sz w:val="20"/>
          <w:lang w:val="en-US"/>
        </w:rPr>
        <w:t>matters which would affect their rights, […] in accordance with their own procedures and […] institutions”</w:t>
      </w:r>
      <w:r w:rsidR="00390F65" w:rsidRPr="0068119F">
        <w:rPr>
          <w:rStyle w:val="FootnoteReference"/>
          <w:lang w:val="en-US"/>
        </w:rPr>
        <w:footnoteReference w:id="236"/>
      </w:r>
      <w:r w:rsidR="00390F65" w:rsidRPr="0068119F">
        <w:rPr>
          <w:rFonts w:ascii="Verdana" w:hAnsi="Verdana"/>
          <w:sz w:val="20"/>
          <w:lang w:val="en-US"/>
        </w:rPr>
        <w:t xml:space="preserve"> (</w:t>
      </w:r>
      <w:r w:rsidR="00390F65" w:rsidRPr="0068119F">
        <w:rPr>
          <w:rFonts w:ascii="Verdana" w:hAnsi="Verdana"/>
          <w:i/>
          <w:sz w:val="20"/>
          <w:lang w:val="en-US"/>
        </w:rPr>
        <w:t xml:space="preserve">supra </w:t>
      </w:r>
      <w:r w:rsidR="008F798A" w:rsidRPr="0068119F">
        <w:rPr>
          <w:rFonts w:ascii="Verdana" w:hAnsi="Verdana"/>
          <w:sz w:val="20"/>
          <w:lang w:val="en-US"/>
        </w:rPr>
        <w:t>paras.</w:t>
      </w:r>
      <w:r w:rsidR="00390F65" w:rsidRPr="0068119F">
        <w:rPr>
          <w:rFonts w:ascii="Verdana" w:hAnsi="Verdana"/>
          <w:sz w:val="20"/>
          <w:lang w:val="en-US"/>
        </w:rPr>
        <w:t xml:space="preserve"> </w:t>
      </w:r>
      <w:r w:rsidR="004A262D" w:rsidRPr="0068119F">
        <w:rPr>
          <w:rFonts w:ascii="Verdana" w:hAnsi="Verdana"/>
          <w:sz w:val="20"/>
          <w:lang w:val="en-US"/>
        </w:rPr>
        <w:t>178</w:t>
      </w:r>
      <w:r w:rsidR="002B5CCD" w:rsidRPr="0068119F">
        <w:rPr>
          <w:rFonts w:ascii="Verdana" w:hAnsi="Verdana"/>
          <w:sz w:val="20"/>
          <w:lang w:val="en-US"/>
        </w:rPr>
        <w:t xml:space="preserve"> and </w:t>
      </w:r>
      <w:r w:rsidR="00881C94" w:rsidRPr="0068119F">
        <w:rPr>
          <w:rFonts w:ascii="Verdana" w:hAnsi="Verdana"/>
          <w:sz w:val="20"/>
          <w:lang w:val="en-US"/>
        </w:rPr>
        <w:t>180</w:t>
      </w:r>
      <w:r w:rsidR="00390F65" w:rsidRPr="0068119F">
        <w:rPr>
          <w:rFonts w:ascii="Verdana" w:hAnsi="Verdana"/>
          <w:sz w:val="20"/>
          <w:lang w:val="en-US"/>
        </w:rPr>
        <w:t>).</w:t>
      </w:r>
    </w:p>
    <w:p w14:paraId="63126A04" w14:textId="77777777" w:rsidR="001F6C57" w:rsidRPr="00FE7BA7" w:rsidRDefault="001F6C57" w:rsidP="00FC1FCF">
      <w:pPr>
        <w:jc w:val="both"/>
        <w:rPr>
          <w:rFonts w:ascii="Verdana" w:hAnsi="Verdana"/>
          <w:sz w:val="20"/>
          <w:szCs w:val="20"/>
          <w:lang w:val="en-US"/>
        </w:rPr>
      </w:pPr>
    </w:p>
    <w:p w14:paraId="63126A05" w14:textId="77777777" w:rsidR="0025095F" w:rsidRPr="00FE7BA7" w:rsidRDefault="003332DE" w:rsidP="003332DE">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Based on the above, the Court finds that, for the </w:t>
      </w:r>
      <w:r w:rsidR="00FE7BA7" w:rsidRPr="00FE7BA7">
        <w:rPr>
          <w:rFonts w:ascii="Verdana" w:hAnsi="Verdana"/>
          <w:sz w:val="20"/>
          <w:szCs w:val="20"/>
          <w:lang w:val="en-US"/>
        </w:rPr>
        <w:t>effects</w:t>
      </w:r>
      <w:r w:rsidRPr="00FE7BA7">
        <w:rPr>
          <w:rFonts w:ascii="Verdana" w:hAnsi="Verdana"/>
          <w:sz w:val="20"/>
          <w:szCs w:val="20"/>
          <w:lang w:val="en-US"/>
        </w:rPr>
        <w:t xml:space="preserve"> of this case, no violation has been constituted by the lack of exclusive management and </w:t>
      </w:r>
      <w:r w:rsidR="007B3D23">
        <w:rPr>
          <w:rFonts w:ascii="Verdana" w:hAnsi="Verdana"/>
          <w:sz w:val="20"/>
          <w:szCs w:val="20"/>
          <w:lang w:val="en-US"/>
        </w:rPr>
        <w:t>monitoring</w:t>
      </w:r>
      <w:r w:rsidR="00290BA0">
        <w:rPr>
          <w:rFonts w:ascii="Verdana" w:hAnsi="Verdana"/>
          <w:sz w:val="20"/>
          <w:szCs w:val="20"/>
          <w:lang w:val="en-US"/>
        </w:rPr>
        <w:t xml:space="preserve"> </w:t>
      </w:r>
      <w:r w:rsidRPr="00FE7BA7">
        <w:rPr>
          <w:rFonts w:ascii="Verdana" w:hAnsi="Verdana"/>
          <w:sz w:val="20"/>
          <w:szCs w:val="20"/>
          <w:lang w:val="en-US"/>
        </w:rPr>
        <w:t>of the nature reserve</w:t>
      </w:r>
      <w:r w:rsidR="007B3D23">
        <w:rPr>
          <w:rFonts w:ascii="Verdana" w:hAnsi="Verdana"/>
          <w:sz w:val="20"/>
          <w:szCs w:val="20"/>
          <w:lang w:val="en-US"/>
        </w:rPr>
        <w:t>s</w:t>
      </w:r>
      <w:r w:rsidRPr="00FE7BA7">
        <w:rPr>
          <w:rFonts w:ascii="Verdana" w:hAnsi="Verdana"/>
          <w:sz w:val="20"/>
          <w:szCs w:val="20"/>
          <w:lang w:val="en-US"/>
        </w:rPr>
        <w:t xml:space="preserve"> by </w:t>
      </w:r>
      <w:r w:rsidR="00BD40EF" w:rsidRPr="00FE7BA7">
        <w:rPr>
          <w:rFonts w:ascii="Verdana" w:hAnsi="Verdana"/>
          <w:sz w:val="20"/>
          <w:szCs w:val="20"/>
          <w:lang w:val="en-US"/>
        </w:rPr>
        <w:t>the indigenous peoples</w:t>
      </w:r>
      <w:r w:rsidR="00FC1FCF" w:rsidRPr="00FE7BA7">
        <w:rPr>
          <w:rFonts w:ascii="Verdana" w:hAnsi="Verdana"/>
          <w:sz w:val="20"/>
          <w:szCs w:val="20"/>
          <w:lang w:val="en-US"/>
        </w:rPr>
        <w:t xml:space="preserve">. </w:t>
      </w:r>
      <w:r w:rsidRPr="00FE7BA7">
        <w:rPr>
          <w:rFonts w:ascii="Verdana" w:hAnsi="Verdana"/>
          <w:sz w:val="20"/>
          <w:szCs w:val="20"/>
          <w:lang w:val="en-US"/>
        </w:rPr>
        <w:t>However, the absence of exp</w:t>
      </w:r>
      <w:r w:rsidR="0068119F">
        <w:rPr>
          <w:rFonts w:ascii="Verdana" w:hAnsi="Verdana"/>
          <w:sz w:val="20"/>
          <w:szCs w:val="20"/>
          <w:lang w:val="en-US"/>
        </w:rPr>
        <w:t>licit</w:t>
      </w:r>
      <w:r w:rsidRPr="00FE7BA7">
        <w:rPr>
          <w:rFonts w:ascii="Verdana" w:hAnsi="Verdana"/>
          <w:sz w:val="20"/>
          <w:szCs w:val="20"/>
          <w:lang w:val="en-US"/>
        </w:rPr>
        <w:t xml:space="preserve"> mechanisms that guarantee the access, use and effective participation </w:t>
      </w:r>
      <w:r w:rsidR="00635ACD" w:rsidRPr="00FE7BA7">
        <w:rPr>
          <w:rFonts w:ascii="Verdana" w:hAnsi="Verdana"/>
          <w:sz w:val="20"/>
          <w:lang w:val="en-US"/>
        </w:rPr>
        <w:t>of the Kaliña and Lokono indigenous peoples</w:t>
      </w:r>
      <w:r w:rsidR="00124B30" w:rsidRPr="00FE7BA7">
        <w:rPr>
          <w:rFonts w:ascii="Verdana" w:hAnsi="Verdana"/>
          <w:sz w:val="20"/>
          <w:lang w:val="en-US"/>
        </w:rPr>
        <w:t xml:space="preserve"> </w:t>
      </w:r>
      <w:r w:rsidRPr="00FE7BA7">
        <w:rPr>
          <w:rFonts w:ascii="Verdana" w:hAnsi="Verdana"/>
          <w:sz w:val="20"/>
          <w:lang w:val="en-US"/>
        </w:rPr>
        <w:t>in the conservation of the sai</w:t>
      </w:r>
      <w:r w:rsidR="0068119F">
        <w:rPr>
          <w:rFonts w:ascii="Verdana" w:hAnsi="Verdana"/>
          <w:sz w:val="20"/>
          <w:lang w:val="en-US"/>
        </w:rPr>
        <w:t>d nature reserves and the benefits these reserves</w:t>
      </w:r>
      <w:r w:rsidRPr="00FE7BA7">
        <w:rPr>
          <w:rFonts w:ascii="Verdana" w:hAnsi="Verdana"/>
          <w:sz w:val="20"/>
          <w:lang w:val="en-US"/>
        </w:rPr>
        <w:t xml:space="preserve"> yield constitutes a violation of the obligation to adopt the necessary </w:t>
      </w:r>
      <w:r w:rsidR="00FE7BA7" w:rsidRPr="00FE7BA7">
        <w:rPr>
          <w:rFonts w:ascii="Verdana" w:hAnsi="Verdana"/>
          <w:sz w:val="20"/>
          <w:lang w:val="en-US"/>
        </w:rPr>
        <w:t>provisions</w:t>
      </w:r>
      <w:r w:rsidRPr="00FE7BA7">
        <w:rPr>
          <w:rFonts w:ascii="Verdana" w:hAnsi="Verdana"/>
          <w:sz w:val="20"/>
          <w:lang w:val="en-US"/>
        </w:rPr>
        <w:t xml:space="preserve"> </w:t>
      </w:r>
      <w:r w:rsidR="0068119F">
        <w:rPr>
          <w:rFonts w:ascii="Verdana" w:hAnsi="Verdana"/>
          <w:sz w:val="20"/>
          <w:lang w:val="en-US"/>
        </w:rPr>
        <w:t>to make such measures effective</w:t>
      </w:r>
      <w:r w:rsidRPr="00FE7BA7">
        <w:rPr>
          <w:rFonts w:ascii="Verdana" w:hAnsi="Verdana"/>
          <w:sz w:val="20"/>
          <w:lang w:val="en-US"/>
        </w:rPr>
        <w:t xml:space="preserve"> in order to ensure the rights to collective property, to cultural identity, and to political rights</w:t>
      </w:r>
      <w:r w:rsidR="00F32493" w:rsidRPr="00FE7BA7">
        <w:rPr>
          <w:rFonts w:ascii="Verdana" w:hAnsi="Verdana"/>
          <w:sz w:val="20"/>
          <w:lang w:val="en-US"/>
        </w:rPr>
        <w:t xml:space="preserve">, </w:t>
      </w:r>
      <w:r w:rsidR="00773D70" w:rsidRPr="00FE7BA7">
        <w:rPr>
          <w:rFonts w:ascii="Verdana" w:hAnsi="Verdana"/>
          <w:sz w:val="20"/>
          <w:szCs w:val="20"/>
          <w:lang w:val="en-US"/>
        </w:rPr>
        <w:t>to the detriment of the</w:t>
      </w:r>
      <w:r w:rsidR="00635ACD" w:rsidRPr="00FE7BA7">
        <w:rPr>
          <w:rFonts w:ascii="Verdana" w:hAnsi="Verdana"/>
          <w:sz w:val="20"/>
          <w:szCs w:val="20"/>
          <w:lang w:val="en-US"/>
        </w:rPr>
        <w:t xml:space="preserve"> </w:t>
      </w:r>
      <w:r w:rsidR="004C7D14" w:rsidRPr="00FE7BA7">
        <w:rPr>
          <w:rFonts w:ascii="Verdana" w:hAnsi="Verdana"/>
          <w:sz w:val="20"/>
          <w:szCs w:val="20"/>
          <w:lang w:val="en-US"/>
        </w:rPr>
        <w:t>Kaliña and Lokono peoples</w:t>
      </w:r>
      <w:r w:rsidR="00FC1FCF" w:rsidRPr="00FE7BA7">
        <w:rPr>
          <w:rFonts w:ascii="Verdana" w:hAnsi="Verdana"/>
          <w:sz w:val="20"/>
          <w:szCs w:val="20"/>
          <w:lang w:val="en-US"/>
        </w:rPr>
        <w:t xml:space="preserve">. </w:t>
      </w:r>
    </w:p>
    <w:p w14:paraId="63126A06" w14:textId="77777777" w:rsidR="0025095F" w:rsidRPr="00FE7BA7" w:rsidRDefault="0025095F" w:rsidP="002C323A">
      <w:pPr>
        <w:pStyle w:val="ListParagraph"/>
        <w:ind w:left="0"/>
        <w:jc w:val="both"/>
        <w:rPr>
          <w:rFonts w:ascii="Verdana" w:hAnsi="Verdana"/>
          <w:sz w:val="20"/>
          <w:szCs w:val="20"/>
          <w:lang w:val="en-US"/>
        </w:rPr>
      </w:pPr>
    </w:p>
    <w:p w14:paraId="63126A07" w14:textId="77777777" w:rsidR="00656AB9" w:rsidRPr="00FE7BA7" w:rsidRDefault="003332DE" w:rsidP="00656AB9">
      <w:pPr>
        <w:pStyle w:val="ListParagraph"/>
        <w:numPr>
          <w:ilvl w:val="0"/>
          <w:numId w:val="22"/>
        </w:numPr>
        <w:jc w:val="both"/>
        <w:rPr>
          <w:rFonts w:ascii="Verdana" w:eastAsiaTheme="minorEastAsia" w:hAnsi="Verdana" w:cs="Arial"/>
          <w:b/>
          <w:i/>
          <w:sz w:val="20"/>
          <w:szCs w:val="20"/>
          <w:lang w:val="en-US"/>
        </w:rPr>
      </w:pPr>
      <w:r w:rsidRPr="00FE7BA7">
        <w:rPr>
          <w:rFonts w:ascii="Verdana" w:eastAsiaTheme="minorEastAsia" w:hAnsi="Verdana" w:cs="Arial"/>
          <w:b/>
          <w:i/>
          <w:sz w:val="20"/>
          <w:szCs w:val="20"/>
          <w:lang w:val="en-US"/>
        </w:rPr>
        <w:t>Conclusio</w:t>
      </w:r>
      <w:r w:rsidR="00656AB9" w:rsidRPr="00FE7BA7">
        <w:rPr>
          <w:rFonts w:ascii="Verdana" w:eastAsiaTheme="minorEastAsia" w:hAnsi="Verdana" w:cs="Arial"/>
          <w:b/>
          <w:i/>
          <w:sz w:val="20"/>
          <w:szCs w:val="20"/>
          <w:lang w:val="en-US"/>
        </w:rPr>
        <w:t xml:space="preserve">n </w:t>
      </w:r>
      <w:r w:rsidRPr="00FE7BA7">
        <w:rPr>
          <w:rFonts w:ascii="Verdana" w:eastAsiaTheme="minorEastAsia" w:hAnsi="Verdana" w:cs="Arial"/>
          <w:b/>
          <w:i/>
          <w:sz w:val="20"/>
          <w:szCs w:val="20"/>
          <w:lang w:val="en-US"/>
        </w:rPr>
        <w:t>on the restrictions in the nature reserves</w:t>
      </w:r>
    </w:p>
    <w:p w14:paraId="63126A08" w14:textId="77777777" w:rsidR="00656AB9" w:rsidRPr="00FE7BA7" w:rsidRDefault="00656AB9" w:rsidP="00656AB9">
      <w:pPr>
        <w:pStyle w:val="ListParagraph"/>
        <w:ind w:left="1080"/>
        <w:jc w:val="both"/>
        <w:rPr>
          <w:rFonts w:ascii="Verdana" w:hAnsi="Verdana" w:cs="Arial"/>
          <w:sz w:val="20"/>
          <w:szCs w:val="20"/>
          <w:lang w:val="en-US"/>
        </w:rPr>
      </w:pPr>
    </w:p>
    <w:p w14:paraId="63126A09" w14:textId="795724DB" w:rsidR="00656AB9" w:rsidRPr="00FE7BA7" w:rsidRDefault="0068119F" w:rsidP="003332DE">
      <w:pPr>
        <w:pStyle w:val="ListParagraph"/>
        <w:numPr>
          <w:ilvl w:val="0"/>
          <w:numId w:val="2"/>
        </w:numPr>
        <w:ind w:left="0" w:hanging="11"/>
        <w:jc w:val="both"/>
        <w:rPr>
          <w:rFonts w:ascii="Verdana" w:hAnsi="Verdana"/>
          <w:sz w:val="20"/>
          <w:lang w:val="en-US"/>
        </w:rPr>
      </w:pPr>
      <w:r>
        <w:rPr>
          <w:rFonts w:ascii="Verdana" w:hAnsi="Verdana" w:cs="Arial"/>
          <w:sz w:val="20"/>
          <w:szCs w:val="20"/>
          <w:lang w:val="en-US"/>
        </w:rPr>
        <w:t>In sum</w:t>
      </w:r>
      <w:r w:rsidR="003332DE" w:rsidRPr="00FE7BA7">
        <w:rPr>
          <w:rFonts w:ascii="Verdana" w:hAnsi="Verdana" w:cs="Arial"/>
          <w:sz w:val="20"/>
          <w:szCs w:val="20"/>
          <w:lang w:val="en-US"/>
        </w:rPr>
        <w:t>, the Court finds that the State has violated the victims’ rights to collective property, cultural identity and participation in public matters, mainly by preventing their effective participation</w:t>
      </w:r>
      <w:r w:rsidR="007B3D23">
        <w:rPr>
          <w:rFonts w:ascii="Verdana" w:hAnsi="Verdana" w:cs="Arial"/>
          <w:sz w:val="20"/>
          <w:szCs w:val="20"/>
          <w:lang w:val="en-US"/>
        </w:rPr>
        <w:t>,</w:t>
      </w:r>
      <w:r w:rsidR="003332DE" w:rsidRPr="00FE7BA7">
        <w:rPr>
          <w:rFonts w:ascii="Verdana" w:hAnsi="Verdana" w:cs="Arial"/>
          <w:sz w:val="20"/>
          <w:szCs w:val="20"/>
          <w:lang w:val="en-US"/>
        </w:rPr>
        <w:t xml:space="preserve"> and the access to part of their </w:t>
      </w:r>
      <w:r w:rsidR="003332DE" w:rsidRPr="00FE7BA7">
        <w:rPr>
          <w:rFonts w:ascii="Verdana" w:hAnsi="Verdana"/>
          <w:sz w:val="20"/>
          <w:lang w:val="en-US"/>
        </w:rPr>
        <w:t>traditional territory and natural resources</w:t>
      </w:r>
      <w:r w:rsidR="007B3D23">
        <w:rPr>
          <w:rFonts w:ascii="Verdana" w:hAnsi="Verdana"/>
          <w:sz w:val="20"/>
          <w:lang w:val="en-US"/>
        </w:rPr>
        <w:t>,</w:t>
      </w:r>
      <w:r w:rsidR="003332DE" w:rsidRPr="00FE7BA7">
        <w:rPr>
          <w:rFonts w:ascii="Verdana" w:hAnsi="Verdana"/>
          <w:sz w:val="20"/>
          <w:lang w:val="en-US"/>
        </w:rPr>
        <w:t xml:space="preserve"> in the Galibi and Wane Kreek nature reserves, as well as by failing to guarantee, effectively, the </w:t>
      </w:r>
      <w:r w:rsidR="00FD14B3" w:rsidRPr="00FE7BA7">
        <w:rPr>
          <w:rFonts w:ascii="Verdana" w:hAnsi="Verdana"/>
          <w:sz w:val="20"/>
          <w:lang w:val="en-US"/>
        </w:rPr>
        <w:t>traditional territory</w:t>
      </w:r>
      <w:r w:rsidR="00656AB9" w:rsidRPr="00FE7BA7">
        <w:rPr>
          <w:rFonts w:ascii="Verdana" w:hAnsi="Verdana"/>
          <w:sz w:val="20"/>
          <w:lang w:val="en-US"/>
        </w:rPr>
        <w:t xml:space="preserve"> </w:t>
      </w:r>
      <w:r w:rsidR="003332DE" w:rsidRPr="00FE7BA7">
        <w:rPr>
          <w:rFonts w:ascii="Verdana" w:hAnsi="Verdana"/>
          <w:sz w:val="20"/>
          <w:lang w:val="en-US"/>
        </w:rPr>
        <w:t xml:space="preserve">of the communities </w:t>
      </w:r>
      <w:r>
        <w:rPr>
          <w:rFonts w:ascii="Verdana" w:hAnsi="Verdana"/>
          <w:sz w:val="20"/>
          <w:lang w:val="en-US"/>
        </w:rPr>
        <w:t xml:space="preserve">that has been </w:t>
      </w:r>
      <w:r w:rsidR="003332DE" w:rsidRPr="00FE7BA7">
        <w:rPr>
          <w:rFonts w:ascii="Verdana" w:hAnsi="Verdana"/>
          <w:sz w:val="20"/>
          <w:lang w:val="en-US"/>
        </w:rPr>
        <w:t>affected by the</w:t>
      </w:r>
      <w:r w:rsidR="007B3D23">
        <w:rPr>
          <w:rFonts w:ascii="Verdana" w:hAnsi="Verdana"/>
          <w:sz w:val="20"/>
          <w:lang w:val="en-US"/>
        </w:rPr>
        <w:t xml:space="preserve"> environmental </w:t>
      </w:r>
      <w:r w:rsidR="003332DE" w:rsidRPr="00FE7BA7">
        <w:rPr>
          <w:rFonts w:ascii="Verdana" w:hAnsi="Verdana"/>
          <w:sz w:val="20"/>
          <w:lang w:val="en-US"/>
        </w:rPr>
        <w:t>degradation within the</w:t>
      </w:r>
      <w:r w:rsidR="00511E56" w:rsidRPr="00FE7BA7">
        <w:rPr>
          <w:rFonts w:ascii="Verdana" w:hAnsi="Verdana"/>
          <w:sz w:val="20"/>
          <w:lang w:val="en-US"/>
        </w:rPr>
        <w:t xml:space="preserve"> Wane Kreek</w:t>
      </w:r>
      <w:r w:rsidR="00BE4D11" w:rsidRPr="00FE7BA7">
        <w:rPr>
          <w:rFonts w:ascii="Verdana" w:hAnsi="Verdana"/>
          <w:sz w:val="20"/>
          <w:lang w:val="en-US"/>
        </w:rPr>
        <w:t xml:space="preserve"> Nature Reserve</w:t>
      </w:r>
      <w:r w:rsidR="001C6EC9">
        <w:rPr>
          <w:rFonts w:ascii="Verdana" w:hAnsi="Verdana"/>
          <w:sz w:val="20"/>
          <w:lang w:val="en-US"/>
        </w:rPr>
        <w:t xml:space="preserve"> (</w:t>
      </w:r>
      <w:r w:rsidR="001C6EC9" w:rsidRPr="006C4E70">
        <w:rPr>
          <w:rFonts w:ascii="Verdana" w:hAnsi="Verdana"/>
          <w:i/>
          <w:sz w:val="20"/>
          <w:lang w:val="en-US"/>
        </w:rPr>
        <w:t>infra</w:t>
      </w:r>
      <w:r w:rsidR="001C6EC9">
        <w:rPr>
          <w:rFonts w:ascii="Verdana" w:hAnsi="Verdana"/>
          <w:sz w:val="20"/>
          <w:lang w:val="en-US"/>
        </w:rPr>
        <w:t xml:space="preserve"> paras. 217 to 222)</w:t>
      </w:r>
      <w:r w:rsidR="00656AB9" w:rsidRPr="00FE7BA7">
        <w:rPr>
          <w:rFonts w:ascii="Verdana" w:hAnsi="Verdana"/>
          <w:sz w:val="20"/>
          <w:lang w:val="en-US"/>
        </w:rPr>
        <w:t xml:space="preserve">, </w:t>
      </w:r>
      <w:r w:rsidR="003332DE" w:rsidRPr="00FE7BA7">
        <w:rPr>
          <w:rFonts w:ascii="Verdana" w:hAnsi="Verdana"/>
          <w:sz w:val="20"/>
          <w:lang w:val="en-US"/>
        </w:rPr>
        <w:t xml:space="preserve">which constitutes </w:t>
      </w:r>
      <w:r>
        <w:rPr>
          <w:rFonts w:ascii="Verdana" w:hAnsi="Verdana"/>
          <w:sz w:val="20"/>
          <w:lang w:val="en-US"/>
        </w:rPr>
        <w:t>a</w:t>
      </w:r>
      <w:r w:rsidR="00511E56" w:rsidRPr="00FE7BA7">
        <w:rPr>
          <w:rFonts w:ascii="Verdana" w:hAnsi="Verdana"/>
          <w:sz w:val="20"/>
          <w:lang w:val="en-US"/>
        </w:rPr>
        <w:t xml:space="preserve"> violation</w:t>
      </w:r>
      <w:r w:rsidR="00656AB9" w:rsidRPr="00FE7BA7">
        <w:rPr>
          <w:rFonts w:ascii="Verdana" w:hAnsi="Verdana"/>
          <w:sz w:val="20"/>
          <w:lang w:val="en-US"/>
        </w:rPr>
        <w:t xml:space="preserve"> </w:t>
      </w:r>
      <w:r w:rsidR="003332DE" w:rsidRPr="00FE7BA7">
        <w:rPr>
          <w:rFonts w:ascii="Verdana" w:hAnsi="Verdana" w:cs="Arial"/>
          <w:sz w:val="20"/>
          <w:szCs w:val="20"/>
          <w:lang w:val="en-US"/>
        </w:rPr>
        <w:t>of</w:t>
      </w:r>
      <w:r w:rsidR="00656AB9" w:rsidRPr="00FE7BA7">
        <w:rPr>
          <w:rFonts w:ascii="Verdana" w:hAnsi="Verdana"/>
          <w:sz w:val="20"/>
          <w:lang w:val="en-US"/>
        </w:rPr>
        <w:t xml:space="preserve"> </w:t>
      </w:r>
      <w:r w:rsidR="00C34C52" w:rsidRPr="00FE7BA7">
        <w:rPr>
          <w:rFonts w:ascii="Verdana" w:hAnsi="Verdana"/>
          <w:sz w:val="20"/>
          <w:lang w:val="en-US"/>
        </w:rPr>
        <w:t>Article</w:t>
      </w:r>
      <w:r w:rsidR="003332DE" w:rsidRPr="00FE7BA7">
        <w:rPr>
          <w:rFonts w:ascii="Verdana" w:hAnsi="Verdana"/>
          <w:sz w:val="20"/>
          <w:lang w:val="en-US"/>
        </w:rPr>
        <w:t>s</w:t>
      </w:r>
      <w:r w:rsidR="00656AB9" w:rsidRPr="00FE7BA7">
        <w:rPr>
          <w:rFonts w:ascii="Verdana" w:hAnsi="Verdana"/>
          <w:sz w:val="20"/>
          <w:lang w:val="en-US"/>
        </w:rPr>
        <w:t xml:space="preserve"> 21,</w:t>
      </w:r>
      <w:r w:rsidR="00656AB9" w:rsidRPr="00FE7BA7">
        <w:rPr>
          <w:rFonts w:ascii="Verdana" w:hAnsi="Verdana" w:cs="Arial"/>
          <w:sz w:val="20"/>
          <w:szCs w:val="20"/>
          <w:lang w:val="en-US"/>
        </w:rPr>
        <w:t xml:space="preserve"> 2</w:t>
      </w:r>
      <w:r w:rsidR="002B5CCD" w:rsidRPr="00FE7BA7">
        <w:rPr>
          <w:rFonts w:ascii="Verdana" w:hAnsi="Verdana" w:cs="Arial"/>
          <w:sz w:val="20"/>
          <w:szCs w:val="20"/>
          <w:lang w:val="en-US"/>
        </w:rPr>
        <w:t xml:space="preserve"> and </w:t>
      </w:r>
      <w:r w:rsidR="00656AB9" w:rsidRPr="00FE7BA7">
        <w:rPr>
          <w:rFonts w:ascii="Verdana" w:hAnsi="Verdana" w:cs="Arial"/>
          <w:sz w:val="20"/>
          <w:szCs w:val="20"/>
          <w:lang w:val="en-US"/>
        </w:rPr>
        <w:t>23</w:t>
      </w:r>
      <w:r w:rsidR="002B5CCD" w:rsidRPr="00FE7BA7">
        <w:rPr>
          <w:rFonts w:ascii="Verdana" w:hAnsi="Verdana" w:cs="Arial"/>
          <w:sz w:val="20"/>
          <w:szCs w:val="20"/>
          <w:lang w:val="en-US"/>
        </w:rPr>
        <w:t xml:space="preserve"> of the American Convention</w:t>
      </w:r>
      <w:r w:rsidR="00656AB9" w:rsidRPr="00FE7BA7">
        <w:rPr>
          <w:rFonts w:ascii="Verdana" w:hAnsi="Verdana" w:cs="Arial"/>
          <w:sz w:val="20"/>
          <w:szCs w:val="20"/>
          <w:lang w:val="en-US"/>
        </w:rPr>
        <w:t xml:space="preserve">, </w:t>
      </w:r>
      <w:r w:rsidR="00773D70" w:rsidRPr="00FE7BA7">
        <w:rPr>
          <w:rFonts w:ascii="Verdana" w:hAnsi="Verdana" w:cs="Arial"/>
          <w:sz w:val="20"/>
          <w:szCs w:val="20"/>
          <w:lang w:val="en-US"/>
        </w:rPr>
        <w:t>in relation to Article 1(1)</w:t>
      </w:r>
      <w:r w:rsidR="00656AB9" w:rsidRPr="00FE7BA7">
        <w:rPr>
          <w:rFonts w:ascii="Verdana" w:hAnsi="Verdana" w:cs="Arial"/>
          <w:sz w:val="20"/>
          <w:szCs w:val="20"/>
          <w:lang w:val="en-US"/>
        </w:rPr>
        <w:t xml:space="preserve"> </w:t>
      </w:r>
      <w:r w:rsidR="003332DE" w:rsidRPr="00FE7BA7">
        <w:rPr>
          <w:rFonts w:ascii="Verdana" w:hAnsi="Verdana"/>
          <w:sz w:val="20"/>
          <w:lang w:val="en-US"/>
        </w:rPr>
        <w:t>thereof</w:t>
      </w:r>
      <w:r w:rsidR="00656AB9" w:rsidRPr="00FE7BA7">
        <w:rPr>
          <w:rFonts w:ascii="Verdana" w:hAnsi="Verdana"/>
          <w:sz w:val="20"/>
          <w:lang w:val="en-US"/>
        </w:rPr>
        <w:t xml:space="preserve">, </w:t>
      </w:r>
      <w:r w:rsidR="003332DE" w:rsidRPr="00FE7BA7">
        <w:rPr>
          <w:rFonts w:ascii="Verdana" w:hAnsi="Verdana"/>
          <w:sz w:val="20"/>
          <w:lang w:val="en-US"/>
        </w:rPr>
        <w:t>to the detriment of</w:t>
      </w:r>
      <w:r w:rsidR="00656AB9" w:rsidRPr="00FE7BA7">
        <w:rPr>
          <w:rFonts w:ascii="Verdana" w:hAnsi="Verdana"/>
          <w:sz w:val="20"/>
          <w:lang w:val="en-US"/>
        </w:rPr>
        <w:t xml:space="preserve"> </w:t>
      </w:r>
      <w:r w:rsidR="002B5CCD" w:rsidRPr="00FE7BA7">
        <w:rPr>
          <w:rFonts w:ascii="Verdana" w:hAnsi="Verdana"/>
          <w:sz w:val="20"/>
          <w:lang w:val="en-US"/>
        </w:rPr>
        <w:t xml:space="preserve">the </w:t>
      </w:r>
      <w:r w:rsidR="004C7D14" w:rsidRPr="00FE7BA7">
        <w:rPr>
          <w:rFonts w:ascii="Verdana" w:hAnsi="Verdana"/>
          <w:sz w:val="20"/>
          <w:lang w:val="en-US"/>
        </w:rPr>
        <w:t>Kaliña and Lokono peoples</w:t>
      </w:r>
      <w:r w:rsidR="002B5CCD" w:rsidRPr="00FE7BA7">
        <w:rPr>
          <w:rFonts w:ascii="Verdana" w:hAnsi="Verdana"/>
          <w:sz w:val="20"/>
          <w:lang w:val="en-US"/>
        </w:rPr>
        <w:t xml:space="preserve"> and </w:t>
      </w:r>
      <w:r w:rsidR="003332DE" w:rsidRPr="00FE7BA7">
        <w:rPr>
          <w:rFonts w:ascii="Verdana" w:hAnsi="Verdana"/>
          <w:sz w:val="20"/>
          <w:lang w:val="en-US"/>
        </w:rPr>
        <w:t xml:space="preserve">their members. </w:t>
      </w:r>
    </w:p>
    <w:p w14:paraId="63126A0A" w14:textId="77777777" w:rsidR="006E360C" w:rsidRDefault="006E360C" w:rsidP="002C323A">
      <w:pPr>
        <w:pStyle w:val="ListParagraph"/>
        <w:ind w:left="0"/>
        <w:jc w:val="both"/>
        <w:rPr>
          <w:rFonts w:ascii="Verdana" w:hAnsi="Verdana" w:cs="Arial"/>
          <w:sz w:val="20"/>
          <w:szCs w:val="20"/>
          <w:lang w:val="en-US"/>
        </w:rPr>
      </w:pPr>
    </w:p>
    <w:p w14:paraId="1B692183" w14:textId="77777777" w:rsidR="00406515" w:rsidRDefault="00406515" w:rsidP="002C323A">
      <w:pPr>
        <w:pStyle w:val="ListParagraph"/>
        <w:ind w:left="0"/>
        <w:jc w:val="both"/>
        <w:rPr>
          <w:rFonts w:ascii="Verdana" w:hAnsi="Verdana" w:cs="Arial"/>
          <w:sz w:val="20"/>
          <w:szCs w:val="20"/>
          <w:lang w:val="en-US"/>
        </w:rPr>
      </w:pPr>
    </w:p>
    <w:p w14:paraId="2B37543D" w14:textId="77777777" w:rsidR="00406515" w:rsidRPr="00FE7BA7" w:rsidRDefault="00406515" w:rsidP="002C323A">
      <w:pPr>
        <w:pStyle w:val="ListParagraph"/>
        <w:ind w:left="0"/>
        <w:jc w:val="both"/>
        <w:rPr>
          <w:rFonts w:ascii="Verdana" w:hAnsi="Verdana" w:cs="Arial"/>
          <w:sz w:val="20"/>
          <w:szCs w:val="20"/>
          <w:lang w:val="en-US"/>
        </w:rPr>
      </w:pPr>
    </w:p>
    <w:p w14:paraId="63126A0B" w14:textId="77777777" w:rsidR="004F1899" w:rsidRPr="00FE7BA7" w:rsidRDefault="0028313B" w:rsidP="004F1899">
      <w:pPr>
        <w:pStyle w:val="Heading3"/>
        <w:spacing w:before="0"/>
        <w:ind w:left="360"/>
        <w:jc w:val="both"/>
        <w:rPr>
          <w:rFonts w:ascii="Verdana" w:hAnsi="Verdana"/>
          <w:i/>
          <w:strike/>
          <w:color w:val="auto"/>
          <w:sz w:val="20"/>
          <w:szCs w:val="20"/>
          <w:lang w:val="en-US"/>
        </w:rPr>
      </w:pPr>
      <w:bookmarkStart w:id="53" w:name="_Toc441673216"/>
      <w:r w:rsidRPr="00FE7BA7">
        <w:rPr>
          <w:rFonts w:ascii="Verdana" w:hAnsi="Verdana"/>
          <w:i/>
          <w:color w:val="auto"/>
          <w:sz w:val="20"/>
          <w:szCs w:val="20"/>
          <w:lang w:val="en-US"/>
        </w:rPr>
        <w:lastRenderedPageBreak/>
        <w:t>B.</w:t>
      </w:r>
      <w:r w:rsidR="00830B9E" w:rsidRPr="00FE7BA7">
        <w:rPr>
          <w:rFonts w:ascii="Verdana" w:hAnsi="Verdana"/>
          <w:i/>
          <w:color w:val="auto"/>
          <w:sz w:val="20"/>
          <w:szCs w:val="20"/>
          <w:lang w:val="en-US"/>
        </w:rPr>
        <w:t>4</w:t>
      </w:r>
      <w:r w:rsidR="00FC1FCF" w:rsidRPr="00FE7BA7">
        <w:rPr>
          <w:rFonts w:ascii="Verdana" w:hAnsi="Verdana"/>
          <w:i/>
          <w:color w:val="auto"/>
          <w:sz w:val="20"/>
          <w:szCs w:val="20"/>
          <w:lang w:val="en-US"/>
        </w:rPr>
        <w:t xml:space="preserve"> </w:t>
      </w:r>
      <w:r w:rsidR="00BB5853" w:rsidRPr="00FE7BA7">
        <w:rPr>
          <w:rFonts w:ascii="Verdana" w:hAnsi="Verdana"/>
          <w:i/>
          <w:color w:val="auto"/>
          <w:sz w:val="20"/>
          <w:szCs w:val="20"/>
          <w:lang w:val="en-US"/>
        </w:rPr>
        <w:t xml:space="preserve">The </w:t>
      </w:r>
      <w:r w:rsidR="0068119F">
        <w:rPr>
          <w:rFonts w:ascii="Verdana" w:hAnsi="Verdana"/>
          <w:i/>
          <w:color w:val="auto"/>
          <w:sz w:val="20"/>
          <w:szCs w:val="20"/>
          <w:lang w:val="en-US"/>
        </w:rPr>
        <w:t xml:space="preserve">right </w:t>
      </w:r>
      <w:r w:rsidR="0068119F" w:rsidRPr="0068119F">
        <w:rPr>
          <w:rFonts w:ascii="Verdana" w:hAnsi="Verdana"/>
          <w:i/>
          <w:color w:val="auto"/>
          <w:sz w:val="20"/>
          <w:szCs w:val="20"/>
          <w:lang w:val="en-US"/>
        </w:rPr>
        <w:t>to</w:t>
      </w:r>
      <w:r w:rsidR="00BB5853" w:rsidRPr="0068119F">
        <w:rPr>
          <w:rFonts w:ascii="Verdana" w:hAnsi="Verdana"/>
          <w:i/>
          <w:color w:val="auto"/>
          <w:sz w:val="20"/>
          <w:szCs w:val="20"/>
          <w:lang w:val="en-US"/>
        </w:rPr>
        <w:t xml:space="preserve"> collective property in</w:t>
      </w:r>
      <w:r w:rsidR="00BB5853" w:rsidRPr="00FE7BA7">
        <w:rPr>
          <w:rFonts w:ascii="Verdana" w:hAnsi="Verdana"/>
          <w:i/>
          <w:color w:val="auto"/>
          <w:sz w:val="20"/>
          <w:szCs w:val="20"/>
          <w:lang w:val="en-US"/>
        </w:rPr>
        <w:t xml:space="preserve"> relation to the mining concession within the</w:t>
      </w:r>
      <w:r w:rsidR="00056EB1" w:rsidRPr="00FE7BA7">
        <w:rPr>
          <w:rFonts w:ascii="Verdana" w:hAnsi="Verdana"/>
          <w:i/>
          <w:color w:val="auto"/>
          <w:sz w:val="20"/>
          <w:szCs w:val="20"/>
          <w:lang w:val="en-US"/>
        </w:rPr>
        <w:t xml:space="preserve"> </w:t>
      </w:r>
      <w:r w:rsidR="00BE4D11" w:rsidRPr="00FE7BA7">
        <w:rPr>
          <w:rFonts w:ascii="Verdana" w:hAnsi="Verdana" w:cs="Arial"/>
          <w:i/>
          <w:color w:val="auto"/>
          <w:sz w:val="20"/>
          <w:szCs w:val="20"/>
          <w:lang w:val="en-US"/>
        </w:rPr>
        <w:t>Wane Kreek Nature Reserve</w:t>
      </w:r>
      <w:bookmarkEnd w:id="53"/>
    </w:p>
    <w:p w14:paraId="63126A0C" w14:textId="77777777" w:rsidR="004F1899" w:rsidRPr="00FE7BA7" w:rsidRDefault="004F1899" w:rsidP="004F1899">
      <w:pPr>
        <w:rPr>
          <w:lang w:val="en-US"/>
        </w:rPr>
      </w:pPr>
    </w:p>
    <w:p w14:paraId="63126A0D" w14:textId="77777777" w:rsidR="004F1899" w:rsidRPr="00FE7BA7" w:rsidRDefault="003332DE" w:rsidP="004F1899">
      <w:pPr>
        <w:pStyle w:val="ListParagraph"/>
        <w:numPr>
          <w:ilvl w:val="0"/>
          <w:numId w:val="2"/>
        </w:numPr>
        <w:ind w:left="0" w:firstLine="0"/>
        <w:jc w:val="both"/>
        <w:rPr>
          <w:rFonts w:ascii="Verdana" w:hAnsi="Verdana"/>
          <w:sz w:val="20"/>
          <w:lang w:val="en-US"/>
        </w:rPr>
      </w:pPr>
      <w:r w:rsidRPr="00FE7BA7">
        <w:rPr>
          <w:rFonts w:ascii="Verdana" w:hAnsi="Verdana"/>
          <w:sz w:val="20"/>
          <w:lang w:val="en-US"/>
        </w:rPr>
        <w:t xml:space="preserve">In this section, the Court will examine the alleged failure to comply with the safeguards </w:t>
      </w:r>
      <w:r w:rsidR="0068119F">
        <w:rPr>
          <w:rFonts w:ascii="Verdana" w:hAnsi="Verdana"/>
          <w:sz w:val="20"/>
          <w:lang w:val="en-US"/>
        </w:rPr>
        <w:t>of</w:t>
      </w:r>
      <w:r w:rsidRPr="00FE7BA7">
        <w:rPr>
          <w:rFonts w:ascii="Verdana" w:hAnsi="Verdana"/>
          <w:sz w:val="20"/>
          <w:lang w:val="en-US"/>
        </w:rPr>
        <w:t xml:space="preserve"> the right to collective property in relation to bauxite exploitation in </w:t>
      </w:r>
      <w:r w:rsidR="00BE4D11" w:rsidRPr="00FE7BA7">
        <w:rPr>
          <w:rFonts w:ascii="Verdana" w:hAnsi="Verdana"/>
          <w:sz w:val="20"/>
          <w:lang w:val="en-US"/>
        </w:rPr>
        <w:t xml:space="preserve">the </w:t>
      </w:r>
      <w:r w:rsidR="00511E56" w:rsidRPr="00FE7BA7">
        <w:rPr>
          <w:rFonts w:ascii="Verdana" w:hAnsi="Verdana"/>
          <w:sz w:val="20"/>
          <w:lang w:val="en-US"/>
        </w:rPr>
        <w:t>Wane Kreek</w:t>
      </w:r>
      <w:r w:rsidR="00BE4D11" w:rsidRPr="00FE7BA7">
        <w:rPr>
          <w:rFonts w:ascii="Verdana" w:hAnsi="Verdana"/>
          <w:sz w:val="20"/>
          <w:lang w:val="en-US"/>
        </w:rPr>
        <w:t xml:space="preserve"> Nature Reserve</w:t>
      </w:r>
      <w:r w:rsidR="004F1899" w:rsidRPr="00FE7BA7">
        <w:rPr>
          <w:rFonts w:ascii="Verdana" w:hAnsi="Verdana"/>
          <w:sz w:val="20"/>
          <w:lang w:val="en-US"/>
        </w:rPr>
        <w:t>.</w:t>
      </w:r>
    </w:p>
    <w:p w14:paraId="63126A0E" w14:textId="77777777" w:rsidR="004F1899" w:rsidRPr="00FE7BA7" w:rsidRDefault="004F1899" w:rsidP="004F1899">
      <w:pPr>
        <w:pStyle w:val="ListParagraph"/>
        <w:jc w:val="both"/>
        <w:rPr>
          <w:rFonts w:ascii="Verdana" w:hAnsi="Verdana"/>
          <w:sz w:val="20"/>
          <w:lang w:val="en-US"/>
        </w:rPr>
      </w:pPr>
    </w:p>
    <w:p w14:paraId="63126A0F" w14:textId="06FF5889" w:rsidR="004F1899" w:rsidRPr="00FE7BA7" w:rsidRDefault="00897EEB" w:rsidP="004F1899">
      <w:pPr>
        <w:pStyle w:val="ListParagraph"/>
        <w:numPr>
          <w:ilvl w:val="0"/>
          <w:numId w:val="2"/>
        </w:numPr>
        <w:ind w:left="0" w:firstLine="0"/>
        <w:jc w:val="both"/>
        <w:rPr>
          <w:rFonts w:ascii="Verdana" w:eastAsia="Times New Roman" w:hAnsi="Verdana"/>
          <w:bCs/>
          <w:color w:val="000000"/>
          <w:sz w:val="20"/>
          <w:szCs w:val="20"/>
          <w:lang w:val="en-US" w:eastAsia="es-CR"/>
        </w:rPr>
      </w:pPr>
      <w:r w:rsidRPr="00FE7BA7">
        <w:rPr>
          <w:rFonts w:ascii="Verdana" w:hAnsi="Verdana"/>
          <w:sz w:val="20"/>
          <w:lang w:val="en-US"/>
        </w:rPr>
        <w:t>As previously noted</w:t>
      </w:r>
      <w:r w:rsidR="00382FE1" w:rsidRPr="00FE7BA7">
        <w:rPr>
          <w:rFonts w:ascii="Verdana" w:hAnsi="Verdana"/>
          <w:sz w:val="20"/>
          <w:lang w:val="en-US"/>
        </w:rPr>
        <w:t>,</w:t>
      </w:r>
      <w:r w:rsidR="00BB5853" w:rsidRPr="00FE7BA7">
        <w:rPr>
          <w:rFonts w:ascii="Verdana" w:hAnsi="Verdana"/>
          <w:sz w:val="20"/>
          <w:lang w:val="en-US"/>
        </w:rPr>
        <w:t xml:space="preserve"> i</w:t>
      </w:r>
      <w:r w:rsidR="004F1899" w:rsidRPr="00FE7BA7">
        <w:rPr>
          <w:rFonts w:ascii="Verdana" w:hAnsi="Verdana"/>
          <w:sz w:val="20"/>
          <w:lang w:val="en-US"/>
        </w:rPr>
        <w:t>n 1958</w:t>
      </w:r>
      <w:r w:rsidR="00BB5853" w:rsidRPr="00FE7BA7">
        <w:rPr>
          <w:rFonts w:ascii="Verdana" w:hAnsi="Verdana"/>
          <w:sz w:val="20"/>
          <w:lang w:val="en-US"/>
        </w:rPr>
        <w:t>,</w:t>
      </w:r>
      <w:r w:rsidR="004F1899" w:rsidRPr="00FE7BA7">
        <w:rPr>
          <w:rFonts w:ascii="Verdana" w:hAnsi="Verdana"/>
          <w:sz w:val="20"/>
          <w:szCs w:val="20"/>
          <w:lang w:val="en-US"/>
        </w:rPr>
        <w:t xml:space="preserve"> </w:t>
      </w:r>
      <w:r w:rsidR="002B5CCD" w:rsidRPr="00FE7BA7">
        <w:rPr>
          <w:rFonts w:ascii="Verdana" w:hAnsi="Verdana"/>
          <w:sz w:val="20"/>
          <w:szCs w:val="20"/>
          <w:lang w:val="en-US"/>
        </w:rPr>
        <w:t xml:space="preserve">Suriname </w:t>
      </w:r>
      <w:r w:rsidR="00BB5853" w:rsidRPr="00FE7BA7">
        <w:rPr>
          <w:rFonts w:ascii="Verdana" w:hAnsi="Verdana"/>
          <w:sz w:val="20"/>
          <w:szCs w:val="20"/>
          <w:lang w:val="en-US"/>
        </w:rPr>
        <w:t xml:space="preserve">granted Suralco a mining concession until 2033, for the extraction of bauxite in the eastern part of the country. In 1997, the company started up its </w:t>
      </w:r>
      <w:r w:rsidR="00195471">
        <w:rPr>
          <w:rFonts w:ascii="Verdana" w:hAnsi="Verdana"/>
          <w:sz w:val="20"/>
          <w:szCs w:val="20"/>
          <w:lang w:val="en-US"/>
        </w:rPr>
        <w:t xml:space="preserve">operations </w:t>
      </w:r>
      <w:r w:rsidR="00BB5853" w:rsidRPr="00FE7BA7">
        <w:rPr>
          <w:rFonts w:ascii="Verdana" w:hAnsi="Verdana"/>
          <w:sz w:val="20"/>
          <w:szCs w:val="20"/>
          <w:lang w:val="en-US"/>
        </w:rPr>
        <w:t xml:space="preserve">to extract bauxite from deposits in an area of </w:t>
      </w:r>
      <w:r w:rsidRPr="00FE7BA7">
        <w:rPr>
          <w:rFonts w:ascii="Verdana" w:hAnsi="Verdana"/>
          <w:sz w:val="20"/>
          <w:szCs w:val="20"/>
          <w:lang w:val="en-US"/>
        </w:rPr>
        <w:t>approximately</w:t>
      </w:r>
      <w:r w:rsidR="00BB5853" w:rsidRPr="00FE7BA7">
        <w:rPr>
          <w:rFonts w:ascii="Verdana" w:hAnsi="Verdana"/>
          <w:sz w:val="20"/>
          <w:szCs w:val="20"/>
          <w:lang w:val="en-US"/>
        </w:rPr>
        <w:t xml:space="preserve"> </w:t>
      </w:r>
      <w:r w:rsidR="00195471">
        <w:rPr>
          <w:rFonts w:ascii="Verdana" w:hAnsi="Verdana"/>
          <w:sz w:val="20"/>
          <w:lang w:val="en-US"/>
        </w:rPr>
        <w:t>100 to</w:t>
      </w:r>
      <w:r w:rsidR="00BB5853" w:rsidRPr="00FE7BA7">
        <w:rPr>
          <w:rFonts w:ascii="Verdana" w:hAnsi="Verdana"/>
          <w:sz w:val="20"/>
          <w:lang w:val="en-US"/>
        </w:rPr>
        <w:t xml:space="preserve"> 144 h</w:t>
      </w:r>
      <w:r w:rsidR="003A17DD">
        <w:rPr>
          <w:rFonts w:ascii="Verdana" w:hAnsi="Verdana"/>
          <w:sz w:val="20"/>
          <w:lang w:val="en-US"/>
        </w:rPr>
        <w:t>a</w:t>
      </w:r>
      <w:r w:rsidRPr="00FE7BA7">
        <w:rPr>
          <w:rFonts w:ascii="Verdana" w:hAnsi="Verdana"/>
          <w:sz w:val="20"/>
          <w:lang w:val="en-US"/>
        </w:rPr>
        <w:t>,</w:t>
      </w:r>
      <w:r w:rsidR="004F1899" w:rsidRPr="00FE7BA7">
        <w:rPr>
          <w:rFonts w:ascii="Verdana" w:hAnsi="Verdana"/>
          <w:sz w:val="20"/>
          <w:lang w:val="en-US"/>
        </w:rPr>
        <w:t xml:space="preserve"> </w:t>
      </w:r>
      <w:r w:rsidR="00BB5853" w:rsidRPr="00FE7BA7">
        <w:rPr>
          <w:rFonts w:ascii="Verdana" w:hAnsi="Verdana"/>
          <w:sz w:val="20"/>
          <w:lang w:val="en-US"/>
        </w:rPr>
        <w:t>within</w:t>
      </w:r>
      <w:r w:rsidR="004F1899" w:rsidRPr="00FE7BA7">
        <w:rPr>
          <w:rFonts w:ascii="Verdana" w:hAnsi="Verdana"/>
          <w:sz w:val="20"/>
          <w:lang w:val="en-US"/>
        </w:rPr>
        <w:t xml:space="preserve"> </w:t>
      </w:r>
      <w:r w:rsidR="00BE4D11" w:rsidRPr="00FE7BA7">
        <w:rPr>
          <w:rFonts w:ascii="Verdana" w:hAnsi="Verdana"/>
          <w:sz w:val="20"/>
          <w:lang w:val="en-US"/>
        </w:rPr>
        <w:t xml:space="preserve">the </w:t>
      </w:r>
      <w:r w:rsidR="00511E56" w:rsidRPr="00FE7BA7">
        <w:rPr>
          <w:rFonts w:ascii="Verdana" w:hAnsi="Verdana"/>
          <w:sz w:val="20"/>
          <w:lang w:val="en-US"/>
        </w:rPr>
        <w:t>Wane Kreek</w:t>
      </w:r>
      <w:r w:rsidR="00BE4D11" w:rsidRPr="00FE7BA7">
        <w:rPr>
          <w:rFonts w:ascii="Verdana" w:hAnsi="Verdana"/>
          <w:sz w:val="20"/>
          <w:lang w:val="en-US"/>
        </w:rPr>
        <w:t xml:space="preserve"> Nature Reserve</w:t>
      </w:r>
      <w:r w:rsidR="004F1899" w:rsidRPr="00FE7BA7">
        <w:rPr>
          <w:rFonts w:ascii="Verdana" w:hAnsi="Verdana"/>
          <w:sz w:val="20"/>
          <w:lang w:val="en-US"/>
        </w:rPr>
        <w:t xml:space="preserve">, </w:t>
      </w:r>
      <w:r w:rsidR="00BB5853" w:rsidRPr="00FE7BA7">
        <w:rPr>
          <w:rFonts w:ascii="Verdana" w:hAnsi="Verdana"/>
          <w:sz w:val="20"/>
          <w:lang w:val="en-US"/>
        </w:rPr>
        <w:t>known as</w:t>
      </w:r>
      <w:r w:rsidR="004F1899" w:rsidRPr="00FE7BA7">
        <w:rPr>
          <w:rFonts w:ascii="Verdana" w:hAnsi="Verdana"/>
          <w:sz w:val="20"/>
          <w:lang w:val="en-US"/>
        </w:rPr>
        <w:t xml:space="preserve"> Wane Kreek </w:t>
      </w:r>
      <w:r w:rsidR="00945095" w:rsidRPr="00FE7BA7">
        <w:rPr>
          <w:rFonts w:ascii="Verdana" w:hAnsi="Verdana"/>
          <w:sz w:val="20"/>
          <w:lang w:val="en-US"/>
        </w:rPr>
        <w:t>1</w:t>
      </w:r>
      <w:r w:rsidR="002B5CCD" w:rsidRPr="00FE7BA7">
        <w:rPr>
          <w:rFonts w:ascii="Verdana" w:hAnsi="Verdana"/>
          <w:sz w:val="20"/>
          <w:lang w:val="en-US"/>
        </w:rPr>
        <w:t xml:space="preserve"> and </w:t>
      </w:r>
      <w:r w:rsidR="00945095" w:rsidRPr="00FE7BA7">
        <w:rPr>
          <w:rFonts w:ascii="Verdana" w:hAnsi="Verdana"/>
          <w:sz w:val="20"/>
          <w:lang w:val="en-US"/>
        </w:rPr>
        <w:t>2</w:t>
      </w:r>
      <w:r w:rsidR="004F1899" w:rsidRPr="00FE7BA7">
        <w:rPr>
          <w:rFonts w:ascii="Verdana" w:hAnsi="Verdana"/>
          <w:sz w:val="20"/>
          <w:lang w:val="en-US"/>
        </w:rPr>
        <w:t xml:space="preserve"> (</w:t>
      </w:r>
      <w:r w:rsidR="004F1899" w:rsidRPr="00FE7BA7">
        <w:rPr>
          <w:rFonts w:ascii="Verdana" w:hAnsi="Verdana"/>
          <w:i/>
          <w:sz w:val="20"/>
          <w:lang w:val="en-US"/>
        </w:rPr>
        <w:t>supra</w:t>
      </w:r>
      <w:r w:rsidR="004F1899" w:rsidRPr="00FE7BA7">
        <w:rPr>
          <w:rFonts w:ascii="Verdana" w:hAnsi="Verdana"/>
          <w:sz w:val="20"/>
          <w:lang w:val="en-US"/>
        </w:rPr>
        <w:t xml:space="preserve"> </w:t>
      </w:r>
      <w:r w:rsidR="00810FAD" w:rsidRPr="00FE7BA7">
        <w:rPr>
          <w:rFonts w:ascii="Verdana" w:hAnsi="Verdana"/>
          <w:sz w:val="20"/>
          <w:lang w:val="en-US"/>
        </w:rPr>
        <w:t>para.</w:t>
      </w:r>
      <w:r w:rsidR="004F1899" w:rsidRPr="00FE7BA7">
        <w:rPr>
          <w:rFonts w:ascii="Verdana" w:hAnsi="Verdana"/>
          <w:sz w:val="20"/>
          <w:lang w:val="en-US"/>
        </w:rPr>
        <w:t xml:space="preserve"> </w:t>
      </w:r>
      <w:r w:rsidR="00AF2C1C" w:rsidRPr="00FE7BA7">
        <w:rPr>
          <w:rFonts w:ascii="Verdana" w:hAnsi="Verdana"/>
          <w:sz w:val="20"/>
          <w:lang w:val="en-US"/>
        </w:rPr>
        <w:t>88</w:t>
      </w:r>
      <w:r w:rsidR="002B5CCD" w:rsidRPr="00FE7BA7">
        <w:rPr>
          <w:rFonts w:ascii="Verdana" w:hAnsi="Verdana"/>
          <w:sz w:val="20"/>
          <w:lang w:val="en-US"/>
        </w:rPr>
        <w:t xml:space="preserve"> and </w:t>
      </w:r>
      <w:r w:rsidR="00AF2C1C" w:rsidRPr="00FE7BA7">
        <w:rPr>
          <w:rFonts w:ascii="Verdana" w:hAnsi="Verdana"/>
          <w:sz w:val="20"/>
          <w:lang w:val="en-US"/>
        </w:rPr>
        <w:t>90</w:t>
      </w:r>
      <w:r w:rsidR="004F1899" w:rsidRPr="00FE7BA7">
        <w:rPr>
          <w:rFonts w:ascii="Verdana" w:hAnsi="Verdana"/>
          <w:sz w:val="20"/>
          <w:lang w:val="en-US"/>
        </w:rPr>
        <w:t xml:space="preserve">). </w:t>
      </w:r>
      <w:r w:rsidR="00195471">
        <w:rPr>
          <w:rFonts w:ascii="Verdana" w:hAnsi="Verdana"/>
          <w:sz w:val="20"/>
          <w:lang w:val="en-US"/>
        </w:rPr>
        <w:t>P</w:t>
      </w:r>
      <w:r w:rsidR="00BB5853" w:rsidRPr="00FE7BA7">
        <w:rPr>
          <w:rFonts w:ascii="Verdana" w:hAnsi="Verdana"/>
          <w:sz w:val="20"/>
          <w:lang w:val="en-US"/>
        </w:rPr>
        <w:t>reparatory work</w:t>
      </w:r>
      <w:r w:rsidRPr="00FE7BA7">
        <w:rPr>
          <w:rFonts w:ascii="Verdana" w:hAnsi="Verdana"/>
          <w:sz w:val="20"/>
          <w:lang w:val="en-US"/>
        </w:rPr>
        <w:t xml:space="preserve">, </w:t>
      </w:r>
      <w:r w:rsidR="00BB5853" w:rsidRPr="00FE7BA7">
        <w:rPr>
          <w:rFonts w:ascii="Verdana" w:hAnsi="Verdana"/>
          <w:sz w:val="20"/>
          <w:lang w:val="en-US"/>
        </w:rPr>
        <w:t>such as the construction of a highway to reach the mine and transport the mineral</w:t>
      </w:r>
      <w:r w:rsidR="00195471">
        <w:rPr>
          <w:rFonts w:ascii="Verdana" w:hAnsi="Verdana"/>
          <w:sz w:val="20"/>
          <w:lang w:val="en-US"/>
        </w:rPr>
        <w:t>, was initiated in the mid-1990s</w:t>
      </w:r>
      <w:r w:rsidR="00BB5853" w:rsidRPr="00FE7BA7">
        <w:rPr>
          <w:rFonts w:ascii="Verdana" w:hAnsi="Verdana"/>
          <w:sz w:val="20"/>
          <w:lang w:val="en-US"/>
        </w:rPr>
        <w:t xml:space="preserve"> </w:t>
      </w:r>
      <w:r w:rsidR="004F1899" w:rsidRPr="00FE7BA7">
        <w:rPr>
          <w:rFonts w:ascii="Verdana" w:hAnsi="Verdana"/>
          <w:sz w:val="20"/>
          <w:szCs w:val="20"/>
          <w:lang w:val="en-US"/>
        </w:rPr>
        <w:t>(</w:t>
      </w:r>
      <w:r w:rsidR="004F1899" w:rsidRPr="00FE7BA7">
        <w:rPr>
          <w:rFonts w:ascii="Verdana" w:hAnsi="Verdana"/>
          <w:i/>
          <w:sz w:val="20"/>
          <w:szCs w:val="20"/>
          <w:lang w:val="en-US"/>
        </w:rPr>
        <w:t>supra</w:t>
      </w:r>
      <w:r w:rsidR="00BB5853" w:rsidRPr="00FE7BA7">
        <w:rPr>
          <w:rFonts w:ascii="Verdana" w:hAnsi="Verdana"/>
          <w:sz w:val="20"/>
          <w:szCs w:val="20"/>
          <w:lang w:val="en-US"/>
        </w:rPr>
        <w:t xml:space="preserve"> para.</w:t>
      </w:r>
      <w:r w:rsidR="004F1899" w:rsidRPr="00FE7BA7">
        <w:rPr>
          <w:rFonts w:ascii="Verdana" w:hAnsi="Verdana"/>
          <w:sz w:val="20"/>
          <w:szCs w:val="20"/>
          <w:lang w:val="en-US"/>
        </w:rPr>
        <w:t xml:space="preserve"> </w:t>
      </w:r>
      <w:r w:rsidR="00382FE1" w:rsidRPr="00FE7BA7">
        <w:rPr>
          <w:rFonts w:ascii="Verdana" w:hAnsi="Verdana"/>
          <w:sz w:val="20"/>
          <w:szCs w:val="20"/>
          <w:lang w:val="en-US"/>
        </w:rPr>
        <w:t>89</w:t>
      </w:r>
      <w:r w:rsidR="004F1899" w:rsidRPr="00FE7BA7">
        <w:rPr>
          <w:rFonts w:ascii="Verdana" w:hAnsi="Verdana"/>
          <w:sz w:val="20"/>
          <w:szCs w:val="20"/>
          <w:lang w:val="en-US"/>
        </w:rPr>
        <w:t xml:space="preserve">). </w:t>
      </w:r>
      <w:r w:rsidR="00BB5853" w:rsidRPr="00FE7BA7">
        <w:rPr>
          <w:rFonts w:ascii="Verdana" w:hAnsi="Verdana"/>
          <w:sz w:val="20"/>
          <w:szCs w:val="20"/>
          <w:lang w:val="en-US"/>
        </w:rPr>
        <w:t xml:space="preserve">There is no dispute about the fact that the Kaliña and Lokono peoples played no part in any of these activities and that the corresponding environmental impact assessment was not made </w:t>
      </w:r>
      <w:r w:rsidR="004F1899" w:rsidRPr="00FE7BA7">
        <w:rPr>
          <w:rFonts w:ascii="Verdana" w:hAnsi="Verdana"/>
          <w:sz w:val="20"/>
          <w:szCs w:val="20"/>
          <w:lang w:val="en-US"/>
        </w:rPr>
        <w:t>(</w:t>
      </w:r>
      <w:r w:rsidR="00696746" w:rsidRPr="00FE7BA7">
        <w:rPr>
          <w:rFonts w:ascii="Verdana" w:hAnsi="Verdana"/>
          <w:i/>
          <w:sz w:val="20"/>
          <w:szCs w:val="20"/>
          <w:lang w:val="en-US"/>
        </w:rPr>
        <w:t>infra</w:t>
      </w:r>
      <w:r w:rsidR="004F1899" w:rsidRPr="00FE7BA7">
        <w:rPr>
          <w:rFonts w:ascii="Verdana" w:hAnsi="Verdana"/>
          <w:sz w:val="20"/>
          <w:szCs w:val="20"/>
          <w:lang w:val="en-US"/>
        </w:rPr>
        <w:t xml:space="preserve"> </w:t>
      </w:r>
      <w:r w:rsidR="00810FAD" w:rsidRPr="00FE7BA7">
        <w:rPr>
          <w:rFonts w:ascii="Verdana" w:hAnsi="Verdana"/>
          <w:sz w:val="20"/>
          <w:szCs w:val="20"/>
          <w:lang w:val="en-US"/>
        </w:rPr>
        <w:t>para.</w:t>
      </w:r>
      <w:r w:rsidR="004F1899" w:rsidRPr="00FE7BA7">
        <w:rPr>
          <w:rFonts w:ascii="Verdana" w:hAnsi="Verdana"/>
          <w:sz w:val="20"/>
          <w:szCs w:val="20"/>
          <w:lang w:val="en-US"/>
        </w:rPr>
        <w:t xml:space="preserve"> </w:t>
      </w:r>
      <w:r w:rsidR="00696746" w:rsidRPr="00FE7BA7">
        <w:rPr>
          <w:rFonts w:ascii="Verdana" w:hAnsi="Verdana"/>
          <w:sz w:val="20"/>
          <w:szCs w:val="20"/>
          <w:lang w:val="en-US"/>
        </w:rPr>
        <w:t>213</w:t>
      </w:r>
      <w:r w:rsidR="004F1899" w:rsidRPr="00FE7BA7">
        <w:rPr>
          <w:rFonts w:ascii="Verdana" w:hAnsi="Verdana"/>
          <w:sz w:val="20"/>
          <w:szCs w:val="20"/>
          <w:lang w:val="en-US"/>
        </w:rPr>
        <w:t xml:space="preserve">). </w:t>
      </w:r>
      <w:r w:rsidRPr="00FE7BA7">
        <w:rPr>
          <w:rFonts w:ascii="Verdana" w:hAnsi="Verdana"/>
          <w:sz w:val="20"/>
          <w:szCs w:val="20"/>
          <w:lang w:val="en-US"/>
        </w:rPr>
        <w:t>However</w:t>
      </w:r>
      <w:r w:rsidR="00BB5853" w:rsidRPr="00FE7BA7">
        <w:rPr>
          <w:rFonts w:ascii="Verdana" w:hAnsi="Verdana"/>
          <w:sz w:val="20"/>
          <w:szCs w:val="20"/>
          <w:lang w:val="en-US"/>
        </w:rPr>
        <w:t xml:space="preserve">, the Court does not have competence in relation to the award of the mining concession in </w:t>
      </w:r>
      <w:r w:rsidR="004F1899" w:rsidRPr="00FE7BA7">
        <w:rPr>
          <w:rFonts w:ascii="Verdana" w:hAnsi="Verdana"/>
          <w:sz w:val="20"/>
          <w:szCs w:val="20"/>
          <w:lang w:val="en-US"/>
        </w:rPr>
        <w:t xml:space="preserve">1958. </w:t>
      </w:r>
      <w:r w:rsidRPr="00FE7BA7">
        <w:rPr>
          <w:rFonts w:ascii="Verdana" w:hAnsi="Verdana"/>
          <w:sz w:val="20"/>
          <w:szCs w:val="20"/>
          <w:lang w:val="en-US"/>
        </w:rPr>
        <w:t>Nevertheless</w:t>
      </w:r>
      <w:r w:rsidR="00BB5853" w:rsidRPr="00FE7BA7">
        <w:rPr>
          <w:rFonts w:ascii="Verdana" w:hAnsi="Verdana"/>
          <w:sz w:val="20"/>
          <w:szCs w:val="20"/>
          <w:lang w:val="en-US"/>
        </w:rPr>
        <w:t>, the C</w:t>
      </w:r>
      <w:r w:rsidR="00195471">
        <w:rPr>
          <w:rFonts w:ascii="Verdana" w:hAnsi="Verdana"/>
          <w:sz w:val="20"/>
          <w:szCs w:val="20"/>
          <w:lang w:val="en-US"/>
        </w:rPr>
        <w:t>ourt is competent to examine</w:t>
      </w:r>
      <w:r w:rsidR="00BB5853" w:rsidRPr="00FE7BA7">
        <w:rPr>
          <w:rFonts w:ascii="Verdana" w:hAnsi="Verdana"/>
          <w:sz w:val="20"/>
          <w:szCs w:val="20"/>
          <w:lang w:val="en-US"/>
        </w:rPr>
        <w:t xml:space="preserve"> </w:t>
      </w:r>
      <w:r w:rsidR="00195471">
        <w:rPr>
          <w:rFonts w:ascii="Verdana" w:hAnsi="Verdana"/>
          <w:sz w:val="20"/>
          <w:szCs w:val="20"/>
          <w:lang w:val="en-US"/>
        </w:rPr>
        <w:t>measures</w:t>
      </w:r>
      <w:r w:rsidR="00BB5853" w:rsidRPr="00FE7BA7">
        <w:rPr>
          <w:rFonts w:ascii="Verdana" w:hAnsi="Verdana"/>
          <w:sz w:val="20"/>
          <w:szCs w:val="20"/>
          <w:lang w:val="en-US"/>
        </w:rPr>
        <w:t xml:space="preserve"> taken following the entry into force of its jurisdiction; in </w:t>
      </w:r>
      <w:r w:rsidR="004F1899" w:rsidRPr="00FE7BA7">
        <w:rPr>
          <w:rFonts w:ascii="Verdana" w:eastAsia="Times New Roman" w:hAnsi="Verdana"/>
          <w:color w:val="000000"/>
          <w:sz w:val="20"/>
          <w:lang w:val="en-US" w:eastAsia="es-CR"/>
        </w:rPr>
        <w:t xml:space="preserve">particular, </w:t>
      </w:r>
      <w:r w:rsidR="00BB5853" w:rsidRPr="00FE7BA7">
        <w:rPr>
          <w:rFonts w:ascii="Verdana" w:eastAsia="Times New Roman" w:hAnsi="Verdana"/>
          <w:color w:val="000000"/>
          <w:sz w:val="20"/>
          <w:lang w:val="en-US" w:eastAsia="es-CR"/>
        </w:rPr>
        <w:t xml:space="preserve">the extraction </w:t>
      </w:r>
      <w:r w:rsidR="00195471">
        <w:rPr>
          <w:rFonts w:ascii="Verdana" w:eastAsia="Times New Roman" w:hAnsi="Verdana"/>
          <w:color w:val="000000"/>
          <w:sz w:val="20"/>
          <w:lang w:val="en-US" w:eastAsia="es-CR"/>
        </w:rPr>
        <w:t>operations</w:t>
      </w:r>
      <w:r w:rsidR="00BB5853" w:rsidRPr="00FE7BA7">
        <w:rPr>
          <w:rFonts w:ascii="Verdana" w:eastAsia="Times New Roman" w:hAnsi="Verdana"/>
          <w:color w:val="000000"/>
          <w:sz w:val="20"/>
          <w:lang w:val="en-US" w:eastAsia="es-CR"/>
        </w:rPr>
        <w:t xml:space="preserve"> carried out as of </w:t>
      </w:r>
      <w:r w:rsidR="004F1899" w:rsidRPr="00FE7BA7">
        <w:rPr>
          <w:rFonts w:ascii="Verdana" w:eastAsia="Times New Roman" w:hAnsi="Verdana"/>
          <w:color w:val="000000"/>
          <w:sz w:val="20"/>
          <w:lang w:val="en-US" w:eastAsia="es-CR"/>
        </w:rPr>
        <w:t>1997</w:t>
      </w:r>
      <w:r w:rsidR="00BB5853" w:rsidRPr="00FE7BA7">
        <w:rPr>
          <w:rFonts w:ascii="Verdana" w:eastAsia="Times New Roman" w:hAnsi="Verdana"/>
          <w:color w:val="000000"/>
          <w:sz w:val="20"/>
          <w:lang w:val="en-US" w:eastAsia="es-CR"/>
        </w:rPr>
        <w:t>.</w:t>
      </w:r>
      <w:r w:rsidR="004F1899" w:rsidRPr="00FE7BA7">
        <w:rPr>
          <w:rStyle w:val="FootnoteReference"/>
          <w:rFonts w:eastAsia="Times New Roman"/>
          <w:bCs/>
          <w:color w:val="000000"/>
          <w:szCs w:val="20"/>
          <w:lang w:val="en-US" w:eastAsia="es-CR"/>
        </w:rPr>
        <w:footnoteReference w:id="237"/>
      </w:r>
    </w:p>
    <w:p w14:paraId="63126A10" w14:textId="77777777" w:rsidR="004F1899" w:rsidRPr="00FE7BA7" w:rsidRDefault="004F1899" w:rsidP="004F1899">
      <w:pPr>
        <w:pStyle w:val="ListParagraph"/>
        <w:rPr>
          <w:rFonts w:ascii="Verdana" w:eastAsia="Times New Roman" w:hAnsi="Verdana"/>
          <w:bCs/>
          <w:color w:val="000000"/>
          <w:sz w:val="20"/>
          <w:szCs w:val="20"/>
          <w:lang w:val="en-US" w:eastAsia="es-CR"/>
        </w:rPr>
      </w:pPr>
    </w:p>
    <w:p w14:paraId="63126A11" w14:textId="77777777" w:rsidR="004F1899" w:rsidRPr="00FE7BA7" w:rsidRDefault="00897EEB" w:rsidP="00897EEB">
      <w:pPr>
        <w:pStyle w:val="ListParagraph"/>
        <w:numPr>
          <w:ilvl w:val="0"/>
          <w:numId w:val="2"/>
        </w:numPr>
        <w:ind w:left="0" w:hanging="11"/>
        <w:jc w:val="both"/>
        <w:rPr>
          <w:lang w:val="en-US"/>
        </w:rPr>
      </w:pPr>
      <w:r w:rsidRPr="009841CA">
        <w:rPr>
          <w:rFonts w:ascii="Verdana" w:hAnsi="Verdana"/>
          <w:sz w:val="20"/>
          <w:szCs w:val="20"/>
          <w:lang w:val="en-US"/>
        </w:rPr>
        <w:t xml:space="preserve">In this regard, the Court has already established in the </w:t>
      </w:r>
      <w:r w:rsidR="00D63518" w:rsidRPr="009841CA">
        <w:rPr>
          <w:rFonts w:ascii="Verdana" w:hAnsi="Verdana"/>
          <w:i/>
          <w:sz w:val="20"/>
          <w:lang w:val="en-US"/>
        </w:rPr>
        <w:t>case of the Saramaka People</w:t>
      </w:r>
      <w:r w:rsidR="004F1899" w:rsidRPr="009841CA">
        <w:rPr>
          <w:rFonts w:ascii="Verdana" w:hAnsi="Verdana"/>
          <w:i/>
          <w:sz w:val="20"/>
          <w:lang w:val="en-US"/>
        </w:rPr>
        <w:t xml:space="preserve"> </w:t>
      </w:r>
      <w:r w:rsidR="002B5CCD" w:rsidRPr="009841CA">
        <w:rPr>
          <w:rFonts w:ascii="Verdana" w:hAnsi="Verdana"/>
          <w:i/>
          <w:sz w:val="20"/>
          <w:lang w:val="en-US"/>
        </w:rPr>
        <w:t>v.</w:t>
      </w:r>
      <w:r w:rsidR="004F1899" w:rsidRPr="00FE7BA7">
        <w:rPr>
          <w:rFonts w:ascii="Verdana" w:hAnsi="Verdana"/>
          <w:i/>
          <w:sz w:val="20"/>
          <w:lang w:val="en-US"/>
        </w:rPr>
        <w:t xml:space="preserve"> </w:t>
      </w:r>
      <w:r w:rsidR="002B5CCD" w:rsidRPr="00FE7BA7">
        <w:rPr>
          <w:rFonts w:ascii="Verdana" w:hAnsi="Verdana"/>
          <w:i/>
          <w:sz w:val="20"/>
          <w:lang w:val="en-US"/>
        </w:rPr>
        <w:t xml:space="preserve">Suriname </w:t>
      </w:r>
      <w:r w:rsidRPr="00FE7BA7">
        <w:rPr>
          <w:rFonts w:ascii="Verdana" w:hAnsi="Verdana"/>
          <w:sz w:val="20"/>
          <w:lang w:val="en-US"/>
        </w:rPr>
        <w:t>that, under</w:t>
      </w:r>
      <w:r w:rsidR="004F1899" w:rsidRPr="00FE7BA7">
        <w:rPr>
          <w:rFonts w:ascii="Verdana" w:hAnsi="Verdana"/>
          <w:sz w:val="20"/>
          <w:lang w:val="en-US"/>
        </w:rPr>
        <w:t xml:space="preserve"> </w:t>
      </w:r>
      <w:r w:rsidR="00773D70" w:rsidRPr="00FE7BA7">
        <w:rPr>
          <w:rFonts w:ascii="Verdana" w:hAnsi="Verdana"/>
          <w:sz w:val="20"/>
          <w:lang w:val="en-US"/>
        </w:rPr>
        <w:t>Article 1(1)</w:t>
      </w:r>
      <w:r w:rsidR="002B5CCD" w:rsidRPr="00FE7BA7">
        <w:rPr>
          <w:rFonts w:ascii="Verdana" w:hAnsi="Verdana"/>
          <w:sz w:val="20"/>
          <w:lang w:val="en-US"/>
        </w:rPr>
        <w:t xml:space="preserve"> of the Convention</w:t>
      </w:r>
      <w:r w:rsidR="004F1899" w:rsidRPr="00FE7BA7">
        <w:rPr>
          <w:rFonts w:ascii="Verdana" w:hAnsi="Verdana"/>
          <w:sz w:val="20"/>
          <w:lang w:val="en-US"/>
        </w:rPr>
        <w:t xml:space="preserve">, </w:t>
      </w:r>
      <w:r w:rsidRPr="00FE7BA7">
        <w:rPr>
          <w:rFonts w:ascii="Verdana" w:hAnsi="Verdana"/>
          <w:sz w:val="20"/>
          <w:lang w:val="en-US"/>
        </w:rPr>
        <w:t>in order to ensure that the restrictions imposed on the right to property</w:t>
      </w:r>
      <w:r w:rsidR="00511E56" w:rsidRPr="00FE7BA7">
        <w:rPr>
          <w:rFonts w:ascii="Verdana" w:hAnsi="Verdana"/>
          <w:sz w:val="20"/>
          <w:lang w:val="en-US"/>
        </w:rPr>
        <w:t xml:space="preserve"> of the </w:t>
      </w:r>
      <w:r w:rsidRPr="00FE7BA7">
        <w:rPr>
          <w:rFonts w:ascii="Verdana" w:hAnsi="Verdana"/>
          <w:sz w:val="20"/>
          <w:lang w:val="en-US"/>
        </w:rPr>
        <w:t xml:space="preserve">indigenous and tribal peoples owing to the issue of concessions within their territory do not entail a denial of their </w:t>
      </w:r>
      <w:r w:rsidR="00965219" w:rsidRPr="00FE7BA7">
        <w:rPr>
          <w:rFonts w:ascii="Verdana" w:hAnsi="Verdana"/>
          <w:sz w:val="20"/>
          <w:lang w:val="en-US"/>
        </w:rPr>
        <w:t>su</w:t>
      </w:r>
      <w:r w:rsidR="00965219">
        <w:rPr>
          <w:rFonts w:ascii="Verdana" w:hAnsi="Verdana"/>
          <w:sz w:val="20"/>
          <w:lang w:val="en-US"/>
        </w:rPr>
        <w:t>rvival</w:t>
      </w:r>
      <w:r w:rsidRPr="00FE7BA7">
        <w:rPr>
          <w:rFonts w:ascii="Verdana" w:hAnsi="Verdana"/>
          <w:sz w:val="20"/>
          <w:lang w:val="en-US"/>
        </w:rPr>
        <w:t>, the State must comply with the following three guar</w:t>
      </w:r>
      <w:r w:rsidR="000D23A0" w:rsidRPr="00FE7BA7">
        <w:rPr>
          <w:rFonts w:ascii="Verdana" w:hAnsi="Verdana"/>
          <w:sz w:val="20"/>
          <w:lang w:val="en-US"/>
        </w:rPr>
        <w:t>a</w:t>
      </w:r>
      <w:r w:rsidRPr="00FE7BA7">
        <w:rPr>
          <w:rFonts w:ascii="Verdana" w:hAnsi="Verdana"/>
          <w:sz w:val="20"/>
          <w:lang w:val="en-US"/>
        </w:rPr>
        <w:t xml:space="preserve">ntees: </w:t>
      </w:r>
      <w:r w:rsidR="004F1899" w:rsidRPr="00FE7BA7">
        <w:rPr>
          <w:rFonts w:ascii="Verdana" w:hAnsi="Verdana"/>
          <w:sz w:val="20"/>
          <w:lang w:val="en-US"/>
        </w:rPr>
        <w:t>“</w:t>
      </w:r>
      <w:r w:rsidRPr="00FE7BA7">
        <w:rPr>
          <w:rFonts w:ascii="Verdana" w:hAnsi="Verdana"/>
          <w:sz w:val="20"/>
          <w:lang w:val="en-US"/>
        </w:rPr>
        <w:t>first, it must ensure the effective participation</w:t>
      </w:r>
      <w:r w:rsidR="004F1899" w:rsidRPr="00FE7BA7">
        <w:rPr>
          <w:rStyle w:val="FootnoteReference"/>
          <w:lang w:val="en-US"/>
        </w:rPr>
        <w:footnoteReference w:id="238"/>
      </w:r>
      <w:r w:rsidR="004F1899" w:rsidRPr="00FE7BA7">
        <w:rPr>
          <w:rFonts w:ascii="Verdana" w:hAnsi="Verdana"/>
          <w:sz w:val="20"/>
          <w:lang w:val="en-US"/>
        </w:rPr>
        <w:t xml:space="preserve"> </w:t>
      </w:r>
      <w:r w:rsidRPr="00FE7BA7">
        <w:rPr>
          <w:rFonts w:ascii="Verdana" w:hAnsi="Verdana"/>
          <w:sz w:val="20"/>
          <w:lang w:val="en-US"/>
        </w:rPr>
        <w:t>of the members of the</w:t>
      </w:r>
      <w:r w:rsidR="004F1899" w:rsidRPr="00FE7BA7">
        <w:rPr>
          <w:rFonts w:ascii="Verdana" w:hAnsi="Verdana"/>
          <w:sz w:val="20"/>
          <w:lang w:val="en-US"/>
        </w:rPr>
        <w:t xml:space="preserve"> [</w:t>
      </w:r>
      <w:r w:rsidRPr="00FE7BA7">
        <w:rPr>
          <w:rFonts w:ascii="Verdana" w:hAnsi="Verdana"/>
          <w:sz w:val="20"/>
          <w:lang w:val="en-US"/>
        </w:rPr>
        <w:t>indigenous and tribal peoples</w:t>
      </w:r>
      <w:r w:rsidR="004F1899" w:rsidRPr="00FE7BA7">
        <w:rPr>
          <w:rFonts w:ascii="Verdana" w:hAnsi="Verdana"/>
          <w:sz w:val="20"/>
          <w:lang w:val="en-US"/>
        </w:rPr>
        <w:t xml:space="preserve">], </w:t>
      </w:r>
      <w:r w:rsidRPr="00FE7BA7">
        <w:rPr>
          <w:rFonts w:ascii="Verdana" w:hAnsi="Verdana"/>
          <w:sz w:val="20"/>
          <w:lang w:val="en-US"/>
        </w:rPr>
        <w:t xml:space="preserve">in accordance with their </w:t>
      </w:r>
      <w:r w:rsidR="000D23A0" w:rsidRPr="00FE7BA7">
        <w:rPr>
          <w:rFonts w:ascii="Verdana" w:hAnsi="Verdana"/>
          <w:sz w:val="20"/>
          <w:lang w:val="en-US"/>
        </w:rPr>
        <w:t>c</w:t>
      </w:r>
      <w:r w:rsidRPr="00FE7BA7">
        <w:rPr>
          <w:rFonts w:ascii="Verdana" w:hAnsi="Verdana"/>
          <w:sz w:val="20"/>
          <w:lang w:val="en-US"/>
        </w:rPr>
        <w:t xml:space="preserve">ustoms and traditions, with regard to any development, investment, </w:t>
      </w:r>
      <w:r w:rsidR="00FE7BA7" w:rsidRPr="00FE7BA7">
        <w:rPr>
          <w:rFonts w:ascii="Verdana" w:hAnsi="Verdana"/>
          <w:sz w:val="20"/>
          <w:lang w:val="en-US"/>
        </w:rPr>
        <w:t>exploration</w:t>
      </w:r>
      <w:r w:rsidRPr="00FE7BA7">
        <w:rPr>
          <w:rFonts w:ascii="Verdana" w:hAnsi="Verdana"/>
          <w:sz w:val="20"/>
          <w:lang w:val="en-US"/>
        </w:rPr>
        <w:t xml:space="preserve"> or extraction plans </w:t>
      </w:r>
      <w:r w:rsidR="004F1899" w:rsidRPr="00FE7BA7">
        <w:rPr>
          <w:rFonts w:ascii="Verdana" w:hAnsi="Verdana"/>
          <w:sz w:val="20"/>
          <w:lang w:val="en-US"/>
        </w:rPr>
        <w:t>(</w:t>
      </w:r>
      <w:r w:rsidR="002B5CCD" w:rsidRPr="00FE7BA7">
        <w:rPr>
          <w:rFonts w:ascii="Verdana" w:hAnsi="Verdana"/>
          <w:sz w:val="20"/>
          <w:lang w:val="en-US"/>
        </w:rPr>
        <w:t>hereinafter</w:t>
      </w:r>
      <w:r w:rsidR="004F1899" w:rsidRPr="00FE7BA7">
        <w:rPr>
          <w:rFonts w:ascii="Verdana" w:hAnsi="Verdana"/>
          <w:sz w:val="20"/>
          <w:lang w:val="en-US"/>
        </w:rPr>
        <w:t xml:space="preserve"> “</w:t>
      </w:r>
      <w:r w:rsidRPr="00FE7BA7">
        <w:rPr>
          <w:rFonts w:ascii="Verdana" w:hAnsi="Verdana"/>
          <w:sz w:val="20"/>
          <w:lang w:val="en-US"/>
        </w:rPr>
        <w:t>development or investment plan</w:t>
      </w:r>
      <w:r w:rsidR="004F1899" w:rsidRPr="00FE7BA7">
        <w:rPr>
          <w:rFonts w:ascii="Verdana" w:hAnsi="Verdana"/>
          <w:sz w:val="20"/>
          <w:lang w:val="en-US"/>
        </w:rPr>
        <w:t xml:space="preserve">”) </w:t>
      </w:r>
      <w:r w:rsidR="00195471">
        <w:rPr>
          <w:rFonts w:ascii="Verdana" w:hAnsi="Verdana"/>
          <w:sz w:val="20"/>
          <w:lang w:val="en-US"/>
        </w:rPr>
        <w:t xml:space="preserve">implemented </w:t>
      </w:r>
      <w:r w:rsidRPr="00FE7BA7">
        <w:rPr>
          <w:rFonts w:ascii="Verdana" w:hAnsi="Verdana"/>
          <w:sz w:val="20"/>
          <w:lang w:val="en-US"/>
        </w:rPr>
        <w:t xml:space="preserve">within [their territory]. Second, the State must ensure that </w:t>
      </w:r>
      <w:r w:rsidR="00DA4B96" w:rsidRPr="00FE7BA7">
        <w:rPr>
          <w:rFonts w:ascii="Verdana" w:hAnsi="Verdana"/>
          <w:sz w:val="20"/>
          <w:lang w:val="en-US"/>
        </w:rPr>
        <w:t>the members</w:t>
      </w:r>
      <w:r w:rsidR="004F1899" w:rsidRPr="00FE7BA7">
        <w:rPr>
          <w:rFonts w:ascii="Verdana" w:hAnsi="Verdana"/>
          <w:sz w:val="20"/>
          <w:lang w:val="en-US"/>
        </w:rPr>
        <w:t xml:space="preserve"> </w:t>
      </w:r>
      <w:r w:rsidRPr="00FE7BA7">
        <w:rPr>
          <w:rFonts w:ascii="Verdana" w:hAnsi="Verdana"/>
          <w:sz w:val="20"/>
          <w:lang w:val="en-US"/>
        </w:rPr>
        <w:t xml:space="preserve">of the [indigenous and tribal peoples] receive a reasonable benefit from the plan implemented within their territory. Third, the State must ensure that no concession will be </w:t>
      </w:r>
      <w:r w:rsidR="00195471">
        <w:rPr>
          <w:rFonts w:ascii="Verdana" w:hAnsi="Verdana"/>
          <w:sz w:val="20"/>
          <w:lang w:val="en-US"/>
        </w:rPr>
        <w:t>granted</w:t>
      </w:r>
      <w:r w:rsidRPr="00FE7BA7">
        <w:rPr>
          <w:rFonts w:ascii="Verdana" w:hAnsi="Verdana"/>
          <w:sz w:val="20"/>
          <w:lang w:val="en-US"/>
        </w:rPr>
        <w:t xml:space="preserve"> within their territory un</w:t>
      </w:r>
      <w:r w:rsidR="009841CA">
        <w:rPr>
          <w:rFonts w:ascii="Verdana" w:hAnsi="Verdana"/>
          <w:sz w:val="20"/>
          <w:lang w:val="en-US"/>
        </w:rPr>
        <w:t>til independent and technically-</w:t>
      </w:r>
      <w:r w:rsidRPr="00FE7BA7">
        <w:rPr>
          <w:rFonts w:ascii="Verdana" w:hAnsi="Verdana"/>
          <w:sz w:val="20"/>
          <w:lang w:val="en-US"/>
        </w:rPr>
        <w:t>qualified entities, under the State’s supervision, have conducted a prior social and environmental impact assessment. These safeguards are intended to preserve, protect and ensure the special relationship that the members of the [indigenous and tribal peoples] have with their territory, which, in turn, ensures their survival [as an indigenous people].</w:t>
      </w:r>
      <w:r w:rsidR="004F1899" w:rsidRPr="00FE7BA7">
        <w:rPr>
          <w:rFonts w:ascii="Verdana" w:hAnsi="Verdana"/>
          <w:sz w:val="20"/>
          <w:lang w:val="en-US"/>
        </w:rPr>
        <w:t>”</w:t>
      </w:r>
      <w:r w:rsidR="004F1899" w:rsidRPr="00FE7BA7">
        <w:rPr>
          <w:rStyle w:val="FootnoteReference"/>
          <w:lang w:val="en-US"/>
        </w:rPr>
        <w:footnoteReference w:id="239"/>
      </w:r>
      <w:r w:rsidRPr="00FE7BA7">
        <w:rPr>
          <w:rFonts w:ascii="Verdana" w:hAnsi="Verdana"/>
          <w:sz w:val="20"/>
          <w:lang w:val="en-US"/>
        </w:rPr>
        <w:t xml:space="preserve"> In the instant case, the Court will analyze the State’s alleged failure to </w:t>
      </w:r>
      <w:r w:rsidR="00FE7BA7" w:rsidRPr="00FE7BA7">
        <w:rPr>
          <w:rFonts w:ascii="Verdana" w:hAnsi="Verdana"/>
          <w:sz w:val="20"/>
          <w:lang w:val="en-US"/>
        </w:rPr>
        <w:t>comply</w:t>
      </w:r>
      <w:r w:rsidRPr="00FE7BA7">
        <w:rPr>
          <w:rFonts w:ascii="Verdana" w:hAnsi="Verdana"/>
          <w:sz w:val="20"/>
          <w:lang w:val="en-US"/>
        </w:rPr>
        <w:t xml:space="preserve"> with these safeguards in relation to the start-up of bauxite extraction </w:t>
      </w:r>
      <w:r w:rsidR="00195471">
        <w:rPr>
          <w:rFonts w:ascii="Verdana" w:hAnsi="Verdana"/>
          <w:sz w:val="20"/>
          <w:lang w:val="en-US"/>
        </w:rPr>
        <w:t>operations</w:t>
      </w:r>
      <w:r w:rsidRPr="00FE7BA7">
        <w:rPr>
          <w:rFonts w:ascii="Verdana" w:hAnsi="Verdana"/>
          <w:sz w:val="20"/>
          <w:lang w:val="en-US"/>
        </w:rPr>
        <w:t xml:space="preserve"> in </w:t>
      </w:r>
      <w:r w:rsidR="004F1899" w:rsidRPr="00FE7BA7">
        <w:rPr>
          <w:rFonts w:ascii="Verdana" w:hAnsi="Verdana"/>
          <w:sz w:val="20"/>
          <w:szCs w:val="20"/>
          <w:lang w:val="en-US"/>
        </w:rPr>
        <w:t>1997.</w:t>
      </w:r>
    </w:p>
    <w:p w14:paraId="63126A12" w14:textId="77777777" w:rsidR="004F1899" w:rsidRPr="00FE7BA7" w:rsidRDefault="004F1899" w:rsidP="00190AD3">
      <w:pPr>
        <w:rPr>
          <w:szCs w:val="20"/>
          <w:lang w:val="en-US"/>
        </w:rPr>
      </w:pPr>
    </w:p>
    <w:p w14:paraId="63126A13" w14:textId="77777777" w:rsidR="00897EEB" w:rsidRPr="00FE7BA7" w:rsidRDefault="00897EEB" w:rsidP="00897EEB">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lastRenderedPageBreak/>
        <w:t xml:space="preserve">Furthermore, the Court reiterates that </w:t>
      </w:r>
      <w:r w:rsidR="002B5CCD" w:rsidRPr="00FE7BA7">
        <w:rPr>
          <w:rFonts w:ascii="Verdana" w:hAnsi="Verdana"/>
          <w:sz w:val="20"/>
          <w:szCs w:val="20"/>
          <w:lang w:val="en-US"/>
        </w:rPr>
        <w:t>Article</w:t>
      </w:r>
      <w:r w:rsidR="004F1899" w:rsidRPr="00FE7BA7">
        <w:rPr>
          <w:rFonts w:ascii="Verdana" w:hAnsi="Verdana"/>
          <w:sz w:val="20"/>
          <w:szCs w:val="20"/>
          <w:lang w:val="en-US"/>
        </w:rPr>
        <w:t xml:space="preserve"> 23</w:t>
      </w:r>
      <w:r w:rsidR="002B5CCD" w:rsidRPr="00FE7BA7">
        <w:rPr>
          <w:rFonts w:ascii="Verdana" w:hAnsi="Verdana"/>
          <w:sz w:val="20"/>
          <w:szCs w:val="20"/>
          <w:lang w:val="en-US"/>
        </w:rPr>
        <w:t xml:space="preserve"> of the American Convention</w:t>
      </w:r>
      <w:r w:rsidR="004F1899" w:rsidRPr="00FE7BA7">
        <w:rPr>
          <w:rFonts w:ascii="Verdana" w:hAnsi="Verdana"/>
          <w:sz w:val="20"/>
          <w:szCs w:val="20"/>
          <w:lang w:val="en-US"/>
        </w:rPr>
        <w:t xml:space="preserve"> </w:t>
      </w:r>
      <w:r w:rsidRPr="00FE7BA7">
        <w:rPr>
          <w:rFonts w:ascii="Verdana" w:hAnsi="Verdana"/>
          <w:sz w:val="20"/>
          <w:szCs w:val="20"/>
          <w:lang w:val="en-US"/>
        </w:rPr>
        <w:t xml:space="preserve">establishes that: </w:t>
      </w:r>
      <w:r w:rsidRPr="00FE7BA7">
        <w:rPr>
          <w:rFonts w:ascii="Verdana" w:hAnsi="Verdana"/>
          <w:spacing w:val="-3"/>
          <w:sz w:val="20"/>
          <w:szCs w:val="20"/>
          <w:lang w:val="en-US"/>
        </w:rPr>
        <w:t>“[e]very citizen shall enjoy the following rights and opportunities: (a) to take part in the conduct of public affairs</w:t>
      </w:r>
      <w:r w:rsidR="004F1899" w:rsidRPr="00FE7BA7">
        <w:rPr>
          <w:rFonts w:ascii="Verdana" w:hAnsi="Verdana"/>
          <w:sz w:val="20"/>
          <w:szCs w:val="20"/>
          <w:lang w:val="en-US"/>
        </w:rPr>
        <w:t xml:space="preserve"> […]</w:t>
      </w:r>
      <w:r w:rsidRPr="00FE7BA7">
        <w:rPr>
          <w:rFonts w:ascii="Verdana" w:hAnsi="Verdana"/>
          <w:sz w:val="20"/>
          <w:szCs w:val="20"/>
          <w:lang w:val="en-US"/>
        </w:rPr>
        <w:t>.”</w:t>
      </w:r>
      <w:r w:rsidR="004F1899" w:rsidRPr="00FE7BA7">
        <w:rPr>
          <w:rFonts w:ascii="Verdana" w:hAnsi="Verdana"/>
          <w:sz w:val="20"/>
          <w:szCs w:val="20"/>
          <w:lang w:val="en-US"/>
        </w:rPr>
        <w:t xml:space="preserve"> </w:t>
      </w:r>
      <w:r w:rsidRPr="00FE7BA7">
        <w:rPr>
          <w:rFonts w:ascii="Verdana" w:hAnsi="Verdana"/>
          <w:sz w:val="20"/>
          <w:szCs w:val="20"/>
          <w:lang w:val="en-US"/>
        </w:rPr>
        <w:t>Similarly</w:t>
      </w:r>
      <w:r w:rsidR="004F1899" w:rsidRPr="00FE7BA7">
        <w:rPr>
          <w:rFonts w:ascii="Verdana" w:hAnsi="Verdana"/>
          <w:sz w:val="20"/>
          <w:szCs w:val="20"/>
          <w:lang w:val="en-US"/>
        </w:rPr>
        <w:t xml:space="preserve">, </w:t>
      </w:r>
      <w:r w:rsidR="002B5CCD" w:rsidRPr="00FE7BA7">
        <w:rPr>
          <w:rFonts w:ascii="Verdana" w:hAnsi="Verdana"/>
          <w:sz w:val="20"/>
          <w:szCs w:val="20"/>
          <w:lang w:val="en-US"/>
        </w:rPr>
        <w:t>Article</w:t>
      </w:r>
      <w:r w:rsidR="004F1899" w:rsidRPr="00FE7BA7">
        <w:rPr>
          <w:rFonts w:ascii="Verdana" w:hAnsi="Verdana"/>
          <w:sz w:val="20"/>
          <w:szCs w:val="20"/>
          <w:lang w:val="en-US"/>
        </w:rPr>
        <w:t xml:space="preserve"> 18</w:t>
      </w:r>
      <w:r w:rsidR="00DA4B96" w:rsidRPr="00FE7BA7">
        <w:rPr>
          <w:rFonts w:ascii="Verdana" w:hAnsi="Verdana"/>
          <w:sz w:val="20"/>
          <w:szCs w:val="20"/>
          <w:lang w:val="en-US"/>
        </w:rPr>
        <w:t xml:space="preserve"> of the United Nations Declaration on the Rights of</w:t>
      </w:r>
      <w:r w:rsidRPr="00FE7BA7">
        <w:rPr>
          <w:rFonts w:ascii="Verdana" w:hAnsi="Verdana"/>
          <w:sz w:val="20"/>
          <w:szCs w:val="20"/>
          <w:lang w:val="en-US"/>
        </w:rPr>
        <w:t xml:space="preserve"> Indigenous P</w:t>
      </w:r>
      <w:r w:rsidR="00BD40EF" w:rsidRPr="00FE7BA7">
        <w:rPr>
          <w:rFonts w:ascii="Verdana" w:hAnsi="Verdana"/>
          <w:sz w:val="20"/>
          <w:szCs w:val="20"/>
          <w:lang w:val="en-US"/>
        </w:rPr>
        <w:t>eoples</w:t>
      </w:r>
      <w:r w:rsidR="00E908CE" w:rsidRPr="00FE7BA7">
        <w:rPr>
          <w:rFonts w:ascii="Verdana" w:hAnsi="Verdana"/>
          <w:sz w:val="20"/>
          <w:szCs w:val="20"/>
          <w:lang w:val="en-US"/>
        </w:rPr>
        <w:t xml:space="preserve"> </w:t>
      </w:r>
      <w:r w:rsidRPr="00FE7BA7">
        <w:rPr>
          <w:rFonts w:ascii="Verdana" w:hAnsi="Verdana"/>
          <w:sz w:val="20"/>
          <w:szCs w:val="20"/>
          <w:lang w:val="en-US"/>
        </w:rPr>
        <w:t>establishes that “[i]</w:t>
      </w:r>
      <w:r w:rsidRPr="00FE7BA7">
        <w:rPr>
          <w:rFonts w:ascii="Verdana" w:eastAsia="Times New Roman" w:hAnsi="Verdana"/>
          <w:sz w:val="20"/>
          <w:szCs w:val="20"/>
          <w:lang w:val="en-US"/>
        </w:rPr>
        <w:t>ndigenous peoples have the right to participate in decision-making in matters which would affect their rights, through representatives […],” and the pertinent part of Article 32 stipulates that “States shall consult and cooperate in good faith […] prior to the approval of any project affecting their lands or territories and other resources, particularly in connection with the […] utilization or exploitation of mineral […] resources.</w:t>
      </w:r>
      <w:r w:rsidRPr="00FE7BA7">
        <w:rPr>
          <w:rFonts w:ascii="Verdana" w:hAnsi="Verdana"/>
          <w:sz w:val="20"/>
          <w:szCs w:val="20"/>
          <w:lang w:val="en-US"/>
        </w:rPr>
        <w:t>”</w:t>
      </w:r>
      <w:r w:rsidRPr="00FE7BA7">
        <w:rPr>
          <w:rStyle w:val="FootnoteReference"/>
          <w:szCs w:val="20"/>
          <w:lang w:val="en-US"/>
        </w:rPr>
        <w:footnoteReference w:id="240"/>
      </w:r>
    </w:p>
    <w:p w14:paraId="63126A14" w14:textId="77777777" w:rsidR="004F1899" w:rsidRPr="00FE7BA7" w:rsidRDefault="004F1899" w:rsidP="004F1899">
      <w:pPr>
        <w:pStyle w:val="ListParagraph"/>
        <w:jc w:val="both"/>
        <w:rPr>
          <w:rFonts w:ascii="Verdana" w:hAnsi="Verdana"/>
          <w:sz w:val="20"/>
          <w:szCs w:val="20"/>
          <w:lang w:val="en-US"/>
        </w:rPr>
      </w:pPr>
    </w:p>
    <w:p w14:paraId="63126A15" w14:textId="77777777" w:rsidR="004F1899" w:rsidRPr="00FE7BA7" w:rsidRDefault="00897EEB" w:rsidP="004F189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Consequently, in order to ensure the use and enjoyment of the right to indigenous collective property recognized in </w:t>
      </w:r>
      <w:r w:rsidR="00773D70" w:rsidRPr="00FE7BA7">
        <w:rPr>
          <w:rFonts w:ascii="Verdana" w:hAnsi="Verdana"/>
          <w:sz w:val="20"/>
          <w:szCs w:val="20"/>
          <w:lang w:val="en-US"/>
        </w:rPr>
        <w:t>Articles 1(1)</w:t>
      </w:r>
      <w:r w:rsidR="002B5CCD" w:rsidRPr="00FE7BA7">
        <w:rPr>
          <w:rFonts w:ascii="Verdana" w:hAnsi="Verdana"/>
          <w:sz w:val="20"/>
          <w:szCs w:val="20"/>
          <w:lang w:val="en-US"/>
        </w:rPr>
        <w:t xml:space="preserve"> and </w:t>
      </w:r>
      <w:r w:rsidR="004F1899" w:rsidRPr="00FE7BA7">
        <w:rPr>
          <w:rFonts w:ascii="Verdana" w:hAnsi="Verdana"/>
          <w:sz w:val="20"/>
          <w:szCs w:val="20"/>
          <w:lang w:val="en-US"/>
        </w:rPr>
        <w:t>21</w:t>
      </w:r>
      <w:r w:rsidR="002B5CCD" w:rsidRPr="00FE7BA7">
        <w:rPr>
          <w:rFonts w:ascii="Verdana" w:hAnsi="Verdana"/>
          <w:sz w:val="20"/>
          <w:szCs w:val="20"/>
          <w:lang w:val="en-US"/>
        </w:rPr>
        <w:t xml:space="preserve"> of the Convention</w:t>
      </w:r>
      <w:r w:rsidR="004F1899" w:rsidRPr="00FE7BA7">
        <w:rPr>
          <w:rFonts w:ascii="Verdana" w:hAnsi="Verdana"/>
          <w:sz w:val="20"/>
          <w:szCs w:val="20"/>
          <w:lang w:val="en-US"/>
        </w:rPr>
        <w:t xml:space="preserve">, </w:t>
      </w:r>
      <w:r w:rsidRPr="00FE7BA7">
        <w:rPr>
          <w:rFonts w:ascii="Verdana" w:hAnsi="Verdana"/>
          <w:sz w:val="20"/>
          <w:szCs w:val="20"/>
          <w:lang w:val="en-US"/>
        </w:rPr>
        <w:t>in relation to the utilization or exploitation of natural resources in their</w:t>
      </w:r>
      <w:r w:rsidR="004F1899" w:rsidRPr="00FE7BA7">
        <w:rPr>
          <w:rFonts w:ascii="Verdana" w:hAnsi="Verdana"/>
          <w:sz w:val="20"/>
          <w:szCs w:val="20"/>
          <w:lang w:val="en-US"/>
        </w:rPr>
        <w:t xml:space="preserve"> </w:t>
      </w:r>
      <w:r w:rsidR="00FD14B3" w:rsidRPr="00FE7BA7">
        <w:rPr>
          <w:rFonts w:ascii="Verdana" w:hAnsi="Verdana"/>
          <w:sz w:val="20"/>
          <w:szCs w:val="20"/>
          <w:lang w:val="en-US"/>
        </w:rPr>
        <w:t>traditional territory</w:t>
      </w:r>
      <w:r w:rsidR="004F1899" w:rsidRPr="00FE7BA7">
        <w:rPr>
          <w:rFonts w:ascii="Verdana" w:hAnsi="Verdana"/>
          <w:sz w:val="20"/>
          <w:szCs w:val="20"/>
          <w:lang w:val="en-US"/>
        </w:rPr>
        <w:t xml:space="preserve">, </w:t>
      </w:r>
      <w:r w:rsidR="002B5CCD" w:rsidRPr="00FE7BA7">
        <w:rPr>
          <w:rFonts w:ascii="Verdana" w:hAnsi="Verdana"/>
          <w:sz w:val="20"/>
          <w:szCs w:val="20"/>
          <w:lang w:val="en-US"/>
        </w:rPr>
        <w:t>the State</w:t>
      </w:r>
      <w:r w:rsidR="004F1899" w:rsidRPr="00FE7BA7">
        <w:rPr>
          <w:rFonts w:ascii="Verdana" w:hAnsi="Verdana"/>
          <w:sz w:val="20"/>
          <w:szCs w:val="20"/>
          <w:lang w:val="en-US"/>
        </w:rPr>
        <w:t xml:space="preserve"> </w:t>
      </w:r>
      <w:r w:rsidRPr="00FE7BA7">
        <w:rPr>
          <w:rFonts w:ascii="Verdana" w:hAnsi="Verdana"/>
          <w:sz w:val="20"/>
          <w:szCs w:val="20"/>
          <w:lang w:val="en-US"/>
        </w:rPr>
        <w:t>must, for the effects of this case,</w:t>
      </w:r>
      <w:r w:rsidR="000D23A0" w:rsidRPr="00FE7BA7">
        <w:rPr>
          <w:rFonts w:ascii="Verdana" w:hAnsi="Verdana"/>
          <w:sz w:val="20"/>
          <w:szCs w:val="20"/>
          <w:lang w:val="en-US"/>
        </w:rPr>
        <w:t xml:space="preserve"> put in place mechanisms for the effective participation </w:t>
      </w:r>
      <w:r w:rsidR="00BD40EF" w:rsidRPr="00FE7BA7">
        <w:rPr>
          <w:rFonts w:ascii="Verdana" w:hAnsi="Verdana"/>
          <w:sz w:val="20"/>
          <w:szCs w:val="20"/>
          <w:lang w:val="en-US"/>
        </w:rPr>
        <w:t>of the indigenous peoples</w:t>
      </w:r>
      <w:r w:rsidR="00195471">
        <w:rPr>
          <w:rFonts w:ascii="Verdana" w:hAnsi="Verdana"/>
          <w:sz w:val="20"/>
          <w:szCs w:val="20"/>
          <w:lang w:val="en-US"/>
        </w:rPr>
        <w:t xml:space="preserve"> using </w:t>
      </w:r>
      <w:r w:rsidR="000D23A0" w:rsidRPr="00FE7BA7">
        <w:rPr>
          <w:rFonts w:ascii="Verdana" w:hAnsi="Verdana"/>
          <w:sz w:val="20"/>
          <w:szCs w:val="20"/>
          <w:lang w:val="en-US"/>
        </w:rPr>
        <w:t xml:space="preserve">procedures that are culturally adapted to the decision-making of such peoples. This is not only a matter of public interest, but also forms part of the exercise of their right to take part in any decision-making on matters that affect their interests, in accordance with their own procedures and institutions, </w:t>
      </w:r>
      <w:r w:rsidR="00773D70" w:rsidRPr="00FE7BA7">
        <w:rPr>
          <w:rFonts w:ascii="Verdana" w:hAnsi="Verdana"/>
          <w:sz w:val="20"/>
          <w:szCs w:val="20"/>
          <w:lang w:val="en-US"/>
        </w:rPr>
        <w:t>in relation to Article</w:t>
      </w:r>
      <w:r w:rsidR="004F1899" w:rsidRPr="00FE7BA7">
        <w:rPr>
          <w:rFonts w:ascii="Verdana" w:hAnsi="Verdana"/>
          <w:sz w:val="20"/>
          <w:szCs w:val="20"/>
          <w:lang w:val="en-US"/>
        </w:rPr>
        <w:t xml:space="preserve"> 23</w:t>
      </w:r>
      <w:r w:rsidR="002B5CCD" w:rsidRPr="00FE7BA7">
        <w:rPr>
          <w:rFonts w:ascii="Verdana" w:hAnsi="Verdana"/>
          <w:sz w:val="20"/>
          <w:szCs w:val="20"/>
          <w:lang w:val="en-US"/>
        </w:rPr>
        <w:t xml:space="preserve"> of the American Convention</w:t>
      </w:r>
      <w:r w:rsidR="004F1899" w:rsidRPr="00FE7BA7">
        <w:rPr>
          <w:rFonts w:ascii="Verdana" w:hAnsi="Verdana"/>
          <w:sz w:val="20"/>
          <w:szCs w:val="20"/>
          <w:lang w:val="en-US"/>
        </w:rPr>
        <w:t xml:space="preserve"> (</w:t>
      </w:r>
      <w:r w:rsidR="004F1899" w:rsidRPr="00FE7BA7">
        <w:rPr>
          <w:rFonts w:ascii="Verdana" w:hAnsi="Verdana"/>
          <w:i/>
          <w:sz w:val="20"/>
          <w:szCs w:val="20"/>
          <w:lang w:val="en-US"/>
        </w:rPr>
        <w:t xml:space="preserve">supra </w:t>
      </w:r>
      <w:r w:rsidR="00810FAD" w:rsidRPr="00FE7BA7">
        <w:rPr>
          <w:rFonts w:ascii="Verdana" w:hAnsi="Verdana"/>
          <w:sz w:val="20"/>
          <w:szCs w:val="20"/>
          <w:lang w:val="en-US"/>
        </w:rPr>
        <w:t>para.</w:t>
      </w:r>
      <w:r w:rsidR="004F1899" w:rsidRPr="00FE7BA7">
        <w:rPr>
          <w:rFonts w:ascii="Verdana" w:hAnsi="Verdana"/>
          <w:sz w:val="20"/>
          <w:szCs w:val="20"/>
          <w:lang w:val="en-US"/>
        </w:rPr>
        <w:t xml:space="preserve"> </w:t>
      </w:r>
      <w:r w:rsidR="00F13D39" w:rsidRPr="00FE7BA7">
        <w:rPr>
          <w:rFonts w:ascii="Verdana" w:hAnsi="Verdana"/>
          <w:sz w:val="20"/>
          <w:szCs w:val="20"/>
          <w:lang w:val="en-US"/>
        </w:rPr>
        <w:t>196</w:t>
      </w:r>
      <w:r w:rsidR="004F1899" w:rsidRPr="00FE7BA7">
        <w:rPr>
          <w:rFonts w:ascii="Verdana" w:hAnsi="Verdana"/>
          <w:sz w:val="20"/>
          <w:szCs w:val="20"/>
          <w:lang w:val="en-US"/>
        </w:rPr>
        <w:t>)</w:t>
      </w:r>
      <w:r w:rsidR="000D23A0" w:rsidRPr="00FE7BA7">
        <w:rPr>
          <w:rFonts w:ascii="Verdana" w:hAnsi="Verdana"/>
          <w:sz w:val="20"/>
          <w:szCs w:val="20"/>
          <w:lang w:val="en-US"/>
        </w:rPr>
        <w:t>.</w:t>
      </w:r>
      <w:r w:rsidR="004F1899" w:rsidRPr="00FE7BA7">
        <w:rPr>
          <w:rStyle w:val="FootnoteReference"/>
          <w:szCs w:val="20"/>
          <w:lang w:val="en-US"/>
        </w:rPr>
        <w:footnoteReference w:id="241"/>
      </w:r>
    </w:p>
    <w:p w14:paraId="63126A16" w14:textId="77777777" w:rsidR="004F1899" w:rsidRPr="00FE7BA7" w:rsidRDefault="004F1899" w:rsidP="004F1899">
      <w:pPr>
        <w:pStyle w:val="ListParagraph"/>
        <w:ind w:left="0"/>
        <w:jc w:val="both"/>
        <w:rPr>
          <w:lang w:val="en-US"/>
        </w:rPr>
      </w:pPr>
    </w:p>
    <w:p w14:paraId="63126A17" w14:textId="77777777" w:rsidR="004F1899" w:rsidRPr="00FE7BA7" w:rsidRDefault="000D23A0" w:rsidP="004F1899">
      <w:pPr>
        <w:pStyle w:val="ListParagraph"/>
        <w:numPr>
          <w:ilvl w:val="0"/>
          <w:numId w:val="37"/>
        </w:numPr>
        <w:shd w:val="clear" w:color="auto" w:fill="FFFFFF"/>
        <w:jc w:val="both"/>
        <w:textAlignment w:val="top"/>
        <w:rPr>
          <w:rFonts w:ascii="Verdana" w:hAnsi="Verdana"/>
          <w:b/>
          <w:i/>
          <w:sz w:val="20"/>
          <w:lang w:val="en-US" w:eastAsia="es-ES"/>
        </w:rPr>
      </w:pPr>
      <w:r w:rsidRPr="00FE7BA7">
        <w:rPr>
          <w:rFonts w:ascii="Verdana" w:hAnsi="Verdana"/>
          <w:b/>
          <w:i/>
          <w:sz w:val="20"/>
          <w:lang w:val="en-US" w:eastAsia="es-ES"/>
        </w:rPr>
        <w:t>Effective participation by means of a</w:t>
      </w:r>
      <w:r w:rsidR="00E673A9" w:rsidRPr="00FE7BA7">
        <w:rPr>
          <w:rFonts w:ascii="Verdana" w:hAnsi="Verdana"/>
          <w:b/>
          <w:i/>
          <w:sz w:val="20"/>
          <w:lang w:val="en-US" w:eastAsia="es-ES"/>
        </w:rPr>
        <w:t xml:space="preserve"> </w:t>
      </w:r>
      <w:r w:rsidR="00BE4D11" w:rsidRPr="00FE7BA7">
        <w:rPr>
          <w:rFonts w:ascii="Verdana" w:hAnsi="Verdana"/>
          <w:b/>
          <w:i/>
          <w:sz w:val="20"/>
          <w:lang w:val="en-US" w:eastAsia="es-ES"/>
        </w:rPr>
        <w:t>consultation process</w:t>
      </w:r>
    </w:p>
    <w:p w14:paraId="63126A18" w14:textId="77777777" w:rsidR="00AE60CD" w:rsidRPr="00FE7BA7" w:rsidRDefault="00AE60CD" w:rsidP="00190AD3">
      <w:pPr>
        <w:pStyle w:val="ListParagraph"/>
        <w:shd w:val="clear" w:color="auto" w:fill="FFFFFF"/>
        <w:ind w:left="2160"/>
        <w:jc w:val="both"/>
        <w:textAlignment w:val="top"/>
        <w:rPr>
          <w:rFonts w:ascii="Verdana" w:hAnsi="Verdana"/>
          <w:b/>
          <w:i/>
          <w:sz w:val="20"/>
          <w:lang w:val="en-US" w:eastAsia="es-ES"/>
        </w:rPr>
      </w:pPr>
    </w:p>
    <w:p w14:paraId="63126A19" w14:textId="0CF43965" w:rsidR="004F1899" w:rsidRPr="00FE7BA7" w:rsidRDefault="000D23A0" w:rsidP="004F1899">
      <w:pPr>
        <w:pStyle w:val="ListParagraph"/>
        <w:numPr>
          <w:ilvl w:val="0"/>
          <w:numId w:val="2"/>
        </w:numPr>
        <w:ind w:left="0" w:hanging="11"/>
        <w:jc w:val="both"/>
        <w:rPr>
          <w:rFonts w:ascii="Verdana" w:hAnsi="Verdana"/>
          <w:sz w:val="20"/>
          <w:lang w:val="en-US"/>
        </w:rPr>
      </w:pPr>
      <w:r w:rsidRPr="00FE7BA7">
        <w:rPr>
          <w:rFonts w:ascii="Verdana" w:hAnsi="Verdana"/>
          <w:sz w:val="20"/>
          <w:lang w:val="en-US"/>
        </w:rPr>
        <w:t>In this case, in its answering brief, the St</w:t>
      </w:r>
      <w:r w:rsidR="00195471">
        <w:rPr>
          <w:rFonts w:ascii="Verdana" w:hAnsi="Verdana"/>
          <w:sz w:val="20"/>
          <w:lang w:val="en-US"/>
        </w:rPr>
        <w:t>ate “recogniz</w:t>
      </w:r>
      <w:r w:rsidRPr="00FE7BA7">
        <w:rPr>
          <w:rFonts w:ascii="Verdana" w:hAnsi="Verdana"/>
          <w:sz w:val="20"/>
          <w:lang w:val="en-US"/>
        </w:rPr>
        <w:t>e</w:t>
      </w:r>
      <w:r w:rsidR="00195471">
        <w:rPr>
          <w:rFonts w:ascii="Verdana" w:hAnsi="Verdana"/>
          <w:sz w:val="20"/>
          <w:lang w:val="en-US"/>
        </w:rPr>
        <w:t>[</w:t>
      </w:r>
      <w:r w:rsidRPr="00FE7BA7">
        <w:rPr>
          <w:rFonts w:ascii="Verdana" w:hAnsi="Verdana"/>
          <w:sz w:val="20"/>
          <w:lang w:val="en-US"/>
        </w:rPr>
        <w:t xml:space="preserve">d] that consultation is an important instrument to ensure </w:t>
      </w:r>
      <w:r w:rsidR="00195471">
        <w:rPr>
          <w:rFonts w:ascii="Verdana" w:hAnsi="Verdana"/>
          <w:sz w:val="20"/>
          <w:lang w:val="en-US"/>
        </w:rPr>
        <w:t>broad</w:t>
      </w:r>
      <w:r w:rsidRPr="00FE7BA7">
        <w:rPr>
          <w:rFonts w:ascii="Verdana" w:hAnsi="Verdana"/>
          <w:sz w:val="20"/>
          <w:lang w:val="en-US"/>
        </w:rPr>
        <w:t xml:space="preserve"> support </w:t>
      </w:r>
      <w:r w:rsidR="00195471">
        <w:rPr>
          <w:rFonts w:ascii="Verdana" w:hAnsi="Verdana"/>
          <w:sz w:val="20"/>
          <w:lang w:val="en-US"/>
        </w:rPr>
        <w:t xml:space="preserve">and to have </w:t>
      </w:r>
      <w:r w:rsidR="009841CA">
        <w:rPr>
          <w:rFonts w:ascii="Verdana" w:hAnsi="Verdana"/>
          <w:sz w:val="20"/>
          <w:lang w:val="en-US"/>
        </w:rPr>
        <w:t xml:space="preserve">the </w:t>
      </w:r>
      <w:r w:rsidR="00195471">
        <w:rPr>
          <w:rFonts w:ascii="Verdana" w:hAnsi="Verdana"/>
          <w:sz w:val="20"/>
          <w:lang w:val="en-US"/>
        </w:rPr>
        <w:t>people</w:t>
      </w:r>
      <w:r w:rsidR="009841CA">
        <w:rPr>
          <w:rFonts w:ascii="Verdana" w:hAnsi="Verdana"/>
          <w:sz w:val="20"/>
          <w:lang w:val="en-US"/>
        </w:rPr>
        <w:t>s</w:t>
      </w:r>
      <w:r w:rsidR="00195471">
        <w:rPr>
          <w:rFonts w:ascii="Verdana" w:hAnsi="Verdana"/>
          <w:sz w:val="20"/>
          <w:lang w:val="en-US"/>
        </w:rPr>
        <w:t xml:space="preserve"> take ownership of </w:t>
      </w:r>
      <w:r w:rsidRPr="00FE7BA7">
        <w:rPr>
          <w:rFonts w:ascii="Verdana" w:hAnsi="Verdana"/>
          <w:sz w:val="20"/>
          <w:lang w:val="en-US"/>
        </w:rPr>
        <w:t xml:space="preserve">development processes,” and advised that, currently, Suriname is </w:t>
      </w:r>
      <w:r w:rsidR="00195471">
        <w:rPr>
          <w:rFonts w:ascii="Verdana" w:hAnsi="Verdana"/>
          <w:sz w:val="20"/>
          <w:lang w:val="en-US"/>
        </w:rPr>
        <w:t xml:space="preserve">committed to developing </w:t>
      </w:r>
      <w:r w:rsidRPr="00FE7BA7">
        <w:rPr>
          <w:rFonts w:ascii="Verdana" w:hAnsi="Verdana"/>
          <w:sz w:val="20"/>
          <w:lang w:val="en-US"/>
        </w:rPr>
        <w:t xml:space="preserve">a protocol that reflects the principle of the free, prior and informed consent of the peoples </w:t>
      </w:r>
      <w:r w:rsidR="004F1899" w:rsidRPr="00FE7BA7">
        <w:rPr>
          <w:rFonts w:ascii="Verdana" w:hAnsi="Verdana"/>
          <w:sz w:val="20"/>
          <w:lang w:val="en-US"/>
        </w:rPr>
        <w:t>(</w:t>
      </w:r>
      <w:r w:rsidR="004F1899" w:rsidRPr="00FE7BA7">
        <w:rPr>
          <w:rFonts w:ascii="Verdana" w:hAnsi="Verdana"/>
          <w:i/>
          <w:sz w:val="20"/>
          <w:lang w:val="en-US"/>
        </w:rPr>
        <w:t xml:space="preserve">infra </w:t>
      </w:r>
      <w:r w:rsidR="00810FAD" w:rsidRPr="00FE7BA7">
        <w:rPr>
          <w:rFonts w:ascii="Verdana" w:hAnsi="Verdana"/>
          <w:sz w:val="20"/>
          <w:lang w:val="en-US"/>
        </w:rPr>
        <w:t>para.</w:t>
      </w:r>
      <w:r w:rsidR="004F1899" w:rsidRPr="00FE7BA7">
        <w:rPr>
          <w:rFonts w:ascii="Verdana" w:hAnsi="Verdana"/>
          <w:sz w:val="20"/>
          <w:lang w:val="en-US"/>
        </w:rPr>
        <w:t xml:space="preserve"> </w:t>
      </w:r>
      <w:r w:rsidR="00F13D39" w:rsidRPr="00FE7BA7">
        <w:rPr>
          <w:rFonts w:ascii="Verdana" w:hAnsi="Verdana"/>
          <w:sz w:val="20"/>
          <w:lang w:val="en-US"/>
        </w:rPr>
        <w:t>210</w:t>
      </w:r>
      <w:r w:rsidR="004F1899" w:rsidRPr="00FE7BA7">
        <w:rPr>
          <w:rFonts w:ascii="Verdana" w:hAnsi="Verdana"/>
          <w:sz w:val="20"/>
          <w:lang w:val="en-US"/>
        </w:rPr>
        <w:t xml:space="preserve">). </w:t>
      </w:r>
      <w:r w:rsidRPr="00FE7BA7">
        <w:rPr>
          <w:rFonts w:ascii="Verdana" w:hAnsi="Verdana"/>
          <w:sz w:val="20"/>
          <w:lang w:val="en-US"/>
        </w:rPr>
        <w:t xml:space="preserve">Furthermore, in its </w:t>
      </w:r>
      <w:r w:rsidR="00D16DA7" w:rsidRPr="00FE7BA7">
        <w:rPr>
          <w:rFonts w:ascii="Verdana" w:hAnsi="Verdana"/>
          <w:sz w:val="20"/>
          <w:lang w:val="en-US"/>
        </w:rPr>
        <w:t>final written arguments</w:t>
      </w:r>
      <w:r w:rsidR="004F1899" w:rsidRPr="00FE7BA7">
        <w:rPr>
          <w:rFonts w:ascii="Verdana" w:hAnsi="Verdana"/>
          <w:sz w:val="20"/>
          <w:lang w:val="en-US"/>
        </w:rPr>
        <w:t xml:space="preserve">, </w:t>
      </w:r>
      <w:r w:rsidR="002B5CCD" w:rsidRPr="00FE7BA7">
        <w:rPr>
          <w:rFonts w:ascii="Verdana" w:hAnsi="Verdana"/>
          <w:sz w:val="20"/>
          <w:lang w:val="en-US"/>
        </w:rPr>
        <w:t>the State</w:t>
      </w:r>
      <w:r w:rsidR="004F1899" w:rsidRPr="00FE7BA7">
        <w:rPr>
          <w:rFonts w:ascii="Verdana" w:hAnsi="Verdana"/>
          <w:sz w:val="20"/>
          <w:lang w:val="en-US"/>
        </w:rPr>
        <w:t xml:space="preserve"> </w:t>
      </w:r>
      <w:r w:rsidRPr="00FE7BA7">
        <w:rPr>
          <w:rFonts w:ascii="Verdana" w:hAnsi="Verdana"/>
          <w:sz w:val="20"/>
          <w:lang w:val="en-US"/>
        </w:rPr>
        <w:t xml:space="preserve">indicated that the “principle of free, prior and informed consent [was] an international requirement that States should </w:t>
      </w:r>
      <w:r w:rsidR="00195471">
        <w:rPr>
          <w:rFonts w:ascii="Verdana" w:hAnsi="Verdana"/>
          <w:sz w:val="20"/>
          <w:lang w:val="en-US"/>
        </w:rPr>
        <w:t>adhere to when consulting</w:t>
      </w:r>
      <w:r w:rsidR="00967E6B" w:rsidRPr="00FE7BA7">
        <w:rPr>
          <w:rFonts w:ascii="Verdana" w:hAnsi="Verdana"/>
          <w:sz w:val="20"/>
          <w:lang w:val="en-US"/>
        </w:rPr>
        <w:t xml:space="preserve"> </w:t>
      </w:r>
      <w:r w:rsidR="00195471">
        <w:rPr>
          <w:rFonts w:ascii="Verdana" w:hAnsi="Verdana"/>
          <w:sz w:val="20"/>
          <w:lang w:val="en-US"/>
        </w:rPr>
        <w:t>indigenous and tribal people</w:t>
      </w:r>
      <w:r w:rsidR="004F1899" w:rsidRPr="00FE7BA7">
        <w:rPr>
          <w:rFonts w:ascii="Verdana" w:hAnsi="Verdana"/>
          <w:sz w:val="20"/>
          <w:lang w:val="en-US"/>
        </w:rPr>
        <w:t xml:space="preserve">. </w:t>
      </w:r>
      <w:r w:rsidRPr="00FE7BA7">
        <w:rPr>
          <w:rFonts w:ascii="Verdana" w:hAnsi="Verdana"/>
          <w:sz w:val="20"/>
          <w:lang w:val="en-US"/>
        </w:rPr>
        <w:t xml:space="preserve">This mean[t] that States </w:t>
      </w:r>
      <w:r w:rsidR="00195471">
        <w:rPr>
          <w:rFonts w:ascii="Verdana" w:hAnsi="Verdana"/>
          <w:sz w:val="20"/>
          <w:lang w:val="en-US"/>
        </w:rPr>
        <w:t>must meet the minimum</w:t>
      </w:r>
      <w:r w:rsidRPr="00FE7BA7">
        <w:rPr>
          <w:rFonts w:ascii="Verdana" w:hAnsi="Verdana"/>
          <w:sz w:val="20"/>
          <w:lang w:val="en-US"/>
        </w:rPr>
        <w:t xml:space="preserve"> requirements: </w:t>
      </w:r>
      <w:r w:rsidR="00195471">
        <w:rPr>
          <w:rFonts w:ascii="Verdana" w:hAnsi="Verdana"/>
          <w:sz w:val="20"/>
          <w:lang w:val="en-US"/>
        </w:rPr>
        <w:t>adhere to the meeting culture of the communities; giving</w:t>
      </w:r>
      <w:r w:rsidRPr="00FE7BA7">
        <w:rPr>
          <w:rFonts w:ascii="Verdana" w:hAnsi="Verdana"/>
          <w:sz w:val="20"/>
          <w:lang w:val="en-US"/>
        </w:rPr>
        <w:t xml:space="preserve"> them the opportunity to be represented by persons or organizations </w:t>
      </w:r>
      <w:r w:rsidR="00195471">
        <w:rPr>
          <w:rFonts w:ascii="Verdana" w:hAnsi="Verdana"/>
          <w:sz w:val="20"/>
          <w:lang w:val="en-US"/>
        </w:rPr>
        <w:t xml:space="preserve">of their own choice; inform them in advance on the [respective] topic </w:t>
      </w:r>
      <w:r w:rsidRPr="00FE7BA7">
        <w:rPr>
          <w:rFonts w:ascii="Verdana" w:hAnsi="Verdana"/>
          <w:sz w:val="20"/>
          <w:lang w:val="en-US"/>
        </w:rPr>
        <w:t>in a</w:t>
      </w:r>
      <w:r w:rsidR="00195471">
        <w:rPr>
          <w:rFonts w:ascii="Verdana" w:hAnsi="Verdana"/>
          <w:sz w:val="20"/>
          <w:lang w:val="en-US"/>
        </w:rPr>
        <w:t>n understandable</w:t>
      </w:r>
      <w:r w:rsidRPr="00FE7BA7">
        <w:rPr>
          <w:rFonts w:ascii="Verdana" w:hAnsi="Verdana"/>
          <w:sz w:val="20"/>
          <w:lang w:val="en-US"/>
        </w:rPr>
        <w:t xml:space="preserve"> language. In </w:t>
      </w:r>
      <w:r w:rsidR="00195471">
        <w:rPr>
          <w:rFonts w:ascii="Verdana" w:hAnsi="Verdana"/>
          <w:sz w:val="20"/>
          <w:lang w:val="en-US"/>
        </w:rPr>
        <w:t xml:space="preserve">principle, it </w:t>
      </w:r>
      <w:proofErr w:type="gramStart"/>
      <w:r w:rsidRPr="00FE7BA7">
        <w:rPr>
          <w:rFonts w:ascii="Verdana" w:hAnsi="Verdana"/>
          <w:sz w:val="20"/>
          <w:lang w:val="en-US"/>
        </w:rPr>
        <w:t>mean[</w:t>
      </w:r>
      <w:proofErr w:type="gramEnd"/>
      <w:r w:rsidRPr="00FE7BA7">
        <w:rPr>
          <w:rFonts w:ascii="Verdana" w:hAnsi="Verdana"/>
          <w:sz w:val="20"/>
          <w:lang w:val="en-US"/>
        </w:rPr>
        <w:t xml:space="preserve">t] that there </w:t>
      </w:r>
      <w:r w:rsidR="00195471">
        <w:rPr>
          <w:rFonts w:ascii="Verdana" w:hAnsi="Verdana"/>
          <w:sz w:val="20"/>
          <w:lang w:val="en-US"/>
        </w:rPr>
        <w:t xml:space="preserve">must be </w:t>
      </w:r>
      <w:r w:rsidRPr="00FE7BA7">
        <w:rPr>
          <w:rFonts w:ascii="Verdana" w:hAnsi="Verdana"/>
          <w:sz w:val="20"/>
          <w:lang w:val="en-US"/>
        </w:rPr>
        <w:t>a clear</w:t>
      </w:r>
      <w:r w:rsidR="00195471">
        <w:rPr>
          <w:rFonts w:ascii="Verdana" w:hAnsi="Verdana"/>
          <w:sz w:val="20"/>
          <w:lang w:val="en-US"/>
        </w:rPr>
        <w:t xml:space="preserve"> and prior agreed consultation</w:t>
      </w:r>
      <w:r w:rsidRPr="00FE7BA7">
        <w:rPr>
          <w:rFonts w:ascii="Verdana" w:hAnsi="Verdana"/>
          <w:sz w:val="20"/>
          <w:lang w:val="en-US"/>
        </w:rPr>
        <w:t xml:space="preserve"> structure with the communities. </w:t>
      </w:r>
      <w:r w:rsidR="002B5CCD" w:rsidRPr="00FE7BA7">
        <w:rPr>
          <w:rFonts w:ascii="Verdana" w:hAnsi="Verdana"/>
          <w:sz w:val="20"/>
          <w:lang w:val="en-US"/>
        </w:rPr>
        <w:t>The State</w:t>
      </w:r>
      <w:r w:rsidRPr="00FE7BA7">
        <w:rPr>
          <w:rFonts w:ascii="Verdana" w:hAnsi="Verdana"/>
          <w:sz w:val="20"/>
          <w:lang w:val="en-US"/>
        </w:rPr>
        <w:t xml:space="preserve"> of</w:t>
      </w:r>
      <w:r w:rsidR="004F1899" w:rsidRPr="00FE7BA7">
        <w:rPr>
          <w:rFonts w:ascii="Verdana" w:hAnsi="Verdana"/>
          <w:sz w:val="20"/>
          <w:lang w:val="en-US"/>
        </w:rPr>
        <w:t xml:space="preserve"> </w:t>
      </w:r>
      <w:r w:rsidR="002B5CCD" w:rsidRPr="00FE7BA7">
        <w:rPr>
          <w:rFonts w:ascii="Verdana" w:hAnsi="Verdana"/>
          <w:sz w:val="20"/>
          <w:lang w:val="en-US"/>
        </w:rPr>
        <w:t xml:space="preserve">Suriname </w:t>
      </w:r>
      <w:r w:rsidR="00195471">
        <w:rPr>
          <w:rFonts w:ascii="Verdana" w:hAnsi="Verdana"/>
          <w:sz w:val="20"/>
          <w:lang w:val="en-US"/>
        </w:rPr>
        <w:t>declared</w:t>
      </w:r>
      <w:r w:rsidRPr="00FE7BA7">
        <w:rPr>
          <w:rFonts w:ascii="Verdana" w:hAnsi="Verdana"/>
          <w:sz w:val="20"/>
          <w:lang w:val="en-US"/>
        </w:rPr>
        <w:t xml:space="preserve"> </w:t>
      </w:r>
      <w:r w:rsidR="00195471">
        <w:rPr>
          <w:rFonts w:ascii="Verdana" w:hAnsi="Verdana"/>
          <w:sz w:val="20"/>
          <w:lang w:val="en-US"/>
        </w:rPr>
        <w:t>[</w:t>
      </w:r>
      <w:r w:rsidRPr="00FE7BA7">
        <w:rPr>
          <w:rFonts w:ascii="Verdana" w:hAnsi="Verdana"/>
          <w:sz w:val="20"/>
          <w:lang w:val="en-US"/>
        </w:rPr>
        <w:t>that it was</w:t>
      </w:r>
      <w:r w:rsidR="00195471">
        <w:rPr>
          <w:rFonts w:ascii="Verdana" w:hAnsi="Verdana"/>
          <w:sz w:val="20"/>
          <w:lang w:val="en-US"/>
        </w:rPr>
        <w:t>] already</w:t>
      </w:r>
      <w:r w:rsidRPr="00FE7BA7">
        <w:rPr>
          <w:rFonts w:ascii="Verdana" w:hAnsi="Verdana"/>
          <w:sz w:val="20"/>
          <w:lang w:val="en-US"/>
        </w:rPr>
        <w:t xml:space="preserve"> applying this principle </w:t>
      </w:r>
      <w:r w:rsidR="00F13D39" w:rsidRPr="00FE7BA7">
        <w:rPr>
          <w:rFonts w:ascii="Verdana" w:hAnsi="Verdana"/>
          <w:sz w:val="20"/>
          <w:lang w:val="en-US"/>
        </w:rPr>
        <w:t>[…]</w:t>
      </w:r>
      <w:r w:rsidR="004F1899" w:rsidRPr="00FE7BA7">
        <w:rPr>
          <w:rFonts w:ascii="Verdana" w:hAnsi="Verdana"/>
          <w:sz w:val="20"/>
          <w:lang w:val="en-US"/>
        </w:rPr>
        <w:t>.</w:t>
      </w:r>
      <w:r w:rsidR="00E673A9" w:rsidRPr="00FE7BA7">
        <w:rPr>
          <w:rFonts w:ascii="Verdana" w:hAnsi="Verdana"/>
          <w:sz w:val="20"/>
          <w:lang w:val="en-US"/>
        </w:rPr>
        <w:t xml:space="preserve"> </w:t>
      </w:r>
      <w:r w:rsidR="00195471">
        <w:rPr>
          <w:rFonts w:ascii="Verdana" w:hAnsi="Verdana"/>
          <w:sz w:val="20"/>
          <w:lang w:val="en-US"/>
        </w:rPr>
        <w:t>D</w:t>
      </w:r>
      <w:r w:rsidRPr="00FE7BA7">
        <w:rPr>
          <w:rFonts w:ascii="Verdana" w:hAnsi="Verdana"/>
          <w:sz w:val="20"/>
          <w:lang w:val="en-US"/>
        </w:rPr>
        <w:t>evelop</w:t>
      </w:r>
      <w:r w:rsidR="00195471">
        <w:rPr>
          <w:rFonts w:ascii="Verdana" w:hAnsi="Verdana"/>
          <w:sz w:val="20"/>
          <w:lang w:val="en-US"/>
        </w:rPr>
        <w:t>ing</w:t>
      </w:r>
      <w:r w:rsidRPr="00FE7BA7">
        <w:rPr>
          <w:rFonts w:ascii="Verdana" w:hAnsi="Verdana"/>
          <w:sz w:val="20"/>
          <w:lang w:val="en-US"/>
        </w:rPr>
        <w:t xml:space="preserve"> regulations </w:t>
      </w:r>
      <w:r w:rsidR="00195471">
        <w:rPr>
          <w:rFonts w:ascii="Verdana" w:hAnsi="Verdana"/>
          <w:sz w:val="20"/>
          <w:lang w:val="en-US"/>
        </w:rPr>
        <w:t>on [</w:t>
      </w:r>
      <w:r w:rsidRPr="00FE7BA7">
        <w:rPr>
          <w:rFonts w:ascii="Verdana" w:hAnsi="Verdana"/>
          <w:sz w:val="20"/>
          <w:lang w:val="en-US"/>
        </w:rPr>
        <w:t>prior, free and informed consent</w:t>
      </w:r>
      <w:r w:rsidR="00195471">
        <w:rPr>
          <w:rFonts w:ascii="Verdana" w:hAnsi="Verdana"/>
          <w:sz w:val="20"/>
          <w:lang w:val="en-US"/>
        </w:rPr>
        <w:t>]</w:t>
      </w:r>
      <w:r w:rsidRPr="00FE7BA7">
        <w:rPr>
          <w:rFonts w:ascii="Verdana" w:hAnsi="Verdana"/>
          <w:sz w:val="20"/>
          <w:lang w:val="en-US"/>
        </w:rPr>
        <w:t xml:space="preserve"> would </w:t>
      </w:r>
      <w:r w:rsidR="00195471">
        <w:rPr>
          <w:rFonts w:ascii="Verdana" w:hAnsi="Verdana"/>
          <w:sz w:val="20"/>
          <w:lang w:val="en-US"/>
        </w:rPr>
        <w:t xml:space="preserve">mean improving and formalizing what occurs </w:t>
      </w:r>
      <w:r w:rsidRPr="00FE7BA7">
        <w:rPr>
          <w:rFonts w:ascii="Verdana" w:hAnsi="Verdana"/>
          <w:sz w:val="20"/>
          <w:lang w:val="en-US"/>
        </w:rPr>
        <w:t>in</w:t>
      </w:r>
      <w:r w:rsidR="00195471">
        <w:rPr>
          <w:rFonts w:ascii="Verdana" w:hAnsi="Verdana"/>
          <w:sz w:val="20"/>
          <w:lang w:val="en-US"/>
        </w:rPr>
        <w:t xml:space="preserve"> </w:t>
      </w:r>
      <w:r w:rsidRPr="00FE7BA7">
        <w:rPr>
          <w:rFonts w:ascii="Verdana" w:hAnsi="Verdana"/>
          <w:sz w:val="20"/>
          <w:lang w:val="en-US"/>
        </w:rPr>
        <w:t>practice.”</w:t>
      </w:r>
    </w:p>
    <w:p w14:paraId="63126A1A" w14:textId="77777777" w:rsidR="004F1899" w:rsidRPr="00FE7BA7" w:rsidRDefault="004F1899" w:rsidP="004F1899">
      <w:pPr>
        <w:pStyle w:val="ListParagraph"/>
        <w:ind w:left="0"/>
        <w:jc w:val="both"/>
        <w:rPr>
          <w:rFonts w:ascii="Verdana" w:hAnsi="Verdana"/>
          <w:sz w:val="20"/>
          <w:lang w:val="en-US"/>
        </w:rPr>
      </w:pPr>
    </w:p>
    <w:p w14:paraId="63126A1B" w14:textId="77777777" w:rsidR="004F1899" w:rsidRPr="00FE7BA7" w:rsidRDefault="000D23A0" w:rsidP="004F1899">
      <w:pPr>
        <w:pStyle w:val="ListParagraph"/>
        <w:numPr>
          <w:ilvl w:val="0"/>
          <w:numId w:val="2"/>
        </w:numPr>
        <w:ind w:left="0" w:hanging="11"/>
        <w:jc w:val="both"/>
        <w:rPr>
          <w:rFonts w:ascii="Verdana" w:hAnsi="Verdana"/>
          <w:sz w:val="20"/>
          <w:lang w:val="en-US"/>
        </w:rPr>
      </w:pPr>
      <w:r w:rsidRPr="00FE7BA7">
        <w:rPr>
          <w:rFonts w:ascii="Verdana" w:hAnsi="Verdana"/>
          <w:sz w:val="20"/>
          <w:lang w:val="en-US"/>
        </w:rPr>
        <w:t xml:space="preserve">Nevertheless, </w:t>
      </w:r>
      <w:r w:rsidR="002B5CCD" w:rsidRPr="00FE7BA7">
        <w:rPr>
          <w:rFonts w:ascii="Verdana" w:hAnsi="Verdana"/>
          <w:sz w:val="20"/>
          <w:lang w:val="en-US"/>
        </w:rPr>
        <w:t xml:space="preserve">Suriname </w:t>
      </w:r>
      <w:r w:rsidRPr="00FE7BA7">
        <w:rPr>
          <w:rFonts w:ascii="Verdana" w:hAnsi="Verdana"/>
          <w:sz w:val="20"/>
          <w:lang w:val="en-US"/>
        </w:rPr>
        <w:t xml:space="preserve">has argued that, for the effects of this </w:t>
      </w:r>
      <w:r w:rsidR="00FE7BA7">
        <w:rPr>
          <w:rFonts w:ascii="Verdana" w:hAnsi="Verdana"/>
          <w:sz w:val="20"/>
          <w:lang w:val="en-US"/>
        </w:rPr>
        <w:t>c</w:t>
      </w:r>
      <w:r w:rsidRPr="00FE7BA7">
        <w:rPr>
          <w:rFonts w:ascii="Verdana" w:hAnsi="Verdana"/>
          <w:sz w:val="20"/>
          <w:lang w:val="en-US"/>
        </w:rPr>
        <w:t xml:space="preserve">ase, there were no indigenous peoples living within or near the area of the mining concession, because the distance </w:t>
      </w:r>
      <w:r w:rsidR="00195471">
        <w:rPr>
          <w:rFonts w:ascii="Verdana" w:hAnsi="Verdana"/>
          <w:sz w:val="20"/>
          <w:lang w:val="en-US"/>
        </w:rPr>
        <w:t>between</w:t>
      </w:r>
      <w:r w:rsidRPr="00FE7BA7">
        <w:rPr>
          <w:rFonts w:ascii="Verdana" w:hAnsi="Verdana"/>
          <w:sz w:val="20"/>
          <w:lang w:val="en-US"/>
        </w:rPr>
        <w:t xml:space="preserve"> that area and the nearest indigenous village, </w:t>
      </w:r>
      <w:r w:rsidR="004F1899" w:rsidRPr="00FE7BA7">
        <w:rPr>
          <w:rFonts w:ascii="Verdana" w:hAnsi="Verdana"/>
          <w:sz w:val="20"/>
          <w:lang w:val="en-US"/>
        </w:rPr>
        <w:t xml:space="preserve">Alfonsdorp, </w:t>
      </w:r>
      <w:r w:rsidRPr="00FE7BA7">
        <w:rPr>
          <w:rFonts w:ascii="Verdana" w:hAnsi="Verdana"/>
          <w:sz w:val="20"/>
          <w:lang w:val="en-US"/>
        </w:rPr>
        <w:t>was</w:t>
      </w:r>
      <w:r w:rsidR="004F1899" w:rsidRPr="00FE7BA7">
        <w:rPr>
          <w:rFonts w:ascii="Verdana" w:hAnsi="Verdana"/>
          <w:sz w:val="20"/>
          <w:lang w:val="en-US"/>
        </w:rPr>
        <w:t xml:space="preserve"> </w:t>
      </w:r>
      <w:r w:rsidR="00195471">
        <w:rPr>
          <w:rFonts w:ascii="Verdana" w:hAnsi="Verdana"/>
          <w:sz w:val="20"/>
          <w:lang w:val="en-US"/>
        </w:rPr>
        <w:t>about</w:t>
      </w:r>
      <w:r w:rsidRPr="00FE7BA7">
        <w:rPr>
          <w:rFonts w:ascii="Verdana" w:hAnsi="Verdana"/>
          <w:sz w:val="20"/>
          <w:lang w:val="en-US"/>
        </w:rPr>
        <w:t xml:space="preserve"> </w:t>
      </w:r>
      <w:r w:rsidR="004F1899" w:rsidRPr="00FE7BA7">
        <w:rPr>
          <w:rFonts w:ascii="Verdana" w:hAnsi="Verdana"/>
          <w:sz w:val="20"/>
          <w:lang w:val="en-US"/>
        </w:rPr>
        <w:t xml:space="preserve">6.3 </w:t>
      </w:r>
      <w:r w:rsidR="00243E73" w:rsidRPr="00FE7BA7">
        <w:rPr>
          <w:rFonts w:ascii="Verdana" w:hAnsi="Verdana"/>
          <w:sz w:val="20"/>
          <w:lang w:val="en-US"/>
        </w:rPr>
        <w:t>km</w:t>
      </w:r>
      <w:r w:rsidR="004F1899" w:rsidRPr="00FE7BA7">
        <w:rPr>
          <w:rFonts w:ascii="Verdana" w:hAnsi="Verdana"/>
          <w:sz w:val="20"/>
          <w:lang w:val="en-US"/>
        </w:rPr>
        <w:t xml:space="preserve">. </w:t>
      </w:r>
      <w:r w:rsidRPr="00FE7BA7">
        <w:rPr>
          <w:rFonts w:ascii="Verdana" w:hAnsi="Verdana"/>
          <w:sz w:val="20"/>
          <w:lang w:val="en-US"/>
        </w:rPr>
        <w:t xml:space="preserve">Thus, the State indicated that the mining </w:t>
      </w:r>
      <w:r w:rsidR="00195471">
        <w:rPr>
          <w:rFonts w:ascii="Verdana" w:hAnsi="Verdana"/>
          <w:sz w:val="20"/>
          <w:lang w:val="en-US"/>
        </w:rPr>
        <w:t>operations</w:t>
      </w:r>
      <w:r w:rsidRPr="00FE7BA7">
        <w:rPr>
          <w:rFonts w:ascii="Verdana" w:hAnsi="Verdana"/>
          <w:sz w:val="20"/>
          <w:lang w:val="en-US"/>
        </w:rPr>
        <w:t xml:space="preserve"> had no substantial </w:t>
      </w:r>
      <w:r w:rsidR="00195471">
        <w:rPr>
          <w:rFonts w:ascii="Verdana" w:hAnsi="Verdana"/>
          <w:sz w:val="20"/>
          <w:lang w:val="en-US"/>
        </w:rPr>
        <w:t>effect</w:t>
      </w:r>
      <w:r w:rsidRPr="00FE7BA7">
        <w:rPr>
          <w:rFonts w:ascii="Verdana" w:hAnsi="Verdana"/>
          <w:sz w:val="20"/>
          <w:lang w:val="en-US"/>
        </w:rPr>
        <w:t xml:space="preserve"> on the</w:t>
      </w:r>
      <w:r w:rsidR="00195471">
        <w:rPr>
          <w:rFonts w:ascii="Verdana" w:hAnsi="Verdana"/>
          <w:sz w:val="20"/>
          <w:lang w:val="en-US"/>
        </w:rPr>
        <w:t xml:space="preserve"> exercise of the rights and</w:t>
      </w:r>
      <w:r w:rsidRPr="00FE7BA7">
        <w:rPr>
          <w:rFonts w:ascii="Verdana" w:hAnsi="Verdana"/>
          <w:sz w:val="20"/>
          <w:lang w:val="en-US"/>
        </w:rPr>
        <w:t xml:space="preserve"> traditional activities of the community, and therefor</w:t>
      </w:r>
      <w:r w:rsidR="00195471">
        <w:rPr>
          <w:rFonts w:ascii="Verdana" w:hAnsi="Verdana"/>
          <w:sz w:val="20"/>
          <w:lang w:val="en-US"/>
        </w:rPr>
        <w:t>e consultation was unnecessary.</w:t>
      </w:r>
    </w:p>
    <w:p w14:paraId="63126A1C" w14:textId="77777777" w:rsidR="004F1899" w:rsidRPr="00FE7BA7" w:rsidRDefault="004F1899" w:rsidP="004F1899">
      <w:pPr>
        <w:rPr>
          <w:rFonts w:ascii="Verdana" w:hAnsi="Verdana"/>
          <w:sz w:val="20"/>
          <w:lang w:val="en-US"/>
        </w:rPr>
      </w:pPr>
    </w:p>
    <w:p w14:paraId="63126A1D" w14:textId="77777777" w:rsidR="004F1899" w:rsidRPr="00FE7BA7" w:rsidRDefault="000D23A0" w:rsidP="004F1899">
      <w:pPr>
        <w:pStyle w:val="ListParagraph"/>
        <w:numPr>
          <w:ilvl w:val="0"/>
          <w:numId w:val="2"/>
        </w:numPr>
        <w:ind w:left="0" w:hanging="11"/>
        <w:jc w:val="both"/>
        <w:rPr>
          <w:rFonts w:ascii="Verdana" w:hAnsi="Verdana"/>
          <w:sz w:val="20"/>
          <w:lang w:val="en-US"/>
        </w:rPr>
      </w:pPr>
      <w:r w:rsidRPr="00FE7BA7">
        <w:rPr>
          <w:rFonts w:ascii="Verdana" w:hAnsi="Verdana"/>
          <w:sz w:val="20"/>
          <w:lang w:val="en-US"/>
        </w:rPr>
        <w:t xml:space="preserve">In this regard, the Court has already established that the State must ensure the effective participation “with regard to any development, investment, </w:t>
      </w:r>
      <w:proofErr w:type="gramStart"/>
      <w:r w:rsidRPr="00FE7BA7">
        <w:rPr>
          <w:rFonts w:ascii="Verdana" w:hAnsi="Verdana"/>
          <w:sz w:val="20"/>
          <w:lang w:val="en-US"/>
        </w:rPr>
        <w:t>exploration</w:t>
      </w:r>
      <w:proofErr w:type="gramEnd"/>
      <w:r w:rsidRPr="00FE7BA7">
        <w:rPr>
          <w:rFonts w:ascii="Verdana" w:hAnsi="Verdana"/>
          <w:sz w:val="20"/>
          <w:lang w:val="en-US"/>
        </w:rPr>
        <w:t xml:space="preserve"> or extraction plan.</w:t>
      </w:r>
      <w:r w:rsidR="004F1899" w:rsidRPr="00FE7BA7">
        <w:rPr>
          <w:rFonts w:ascii="Verdana" w:hAnsi="Verdana"/>
          <w:sz w:val="20"/>
          <w:lang w:val="en-US"/>
        </w:rPr>
        <w:t>”</w:t>
      </w:r>
      <w:r w:rsidR="004F1899" w:rsidRPr="00FE7BA7">
        <w:rPr>
          <w:rStyle w:val="FootnoteReference"/>
          <w:lang w:val="en-US"/>
        </w:rPr>
        <w:footnoteReference w:id="242"/>
      </w:r>
      <w:r w:rsidR="004F1899" w:rsidRPr="00FE7BA7">
        <w:rPr>
          <w:rFonts w:ascii="Verdana" w:hAnsi="Verdana"/>
          <w:sz w:val="20"/>
          <w:lang w:val="en-US"/>
        </w:rPr>
        <w:t xml:space="preserve"> </w:t>
      </w:r>
      <w:r w:rsidRPr="00FE7BA7">
        <w:rPr>
          <w:rFonts w:ascii="Verdana" w:hAnsi="Verdana"/>
          <w:sz w:val="20"/>
          <w:lang w:val="en-US"/>
        </w:rPr>
        <w:t>I</w:t>
      </w:r>
      <w:r w:rsidR="004F1899" w:rsidRPr="00FE7BA7">
        <w:rPr>
          <w:rFonts w:ascii="Verdana" w:hAnsi="Verdana"/>
          <w:sz w:val="20"/>
          <w:lang w:val="en-US"/>
        </w:rPr>
        <w:t xml:space="preserve">n </w:t>
      </w:r>
      <w:r w:rsidR="004F1899" w:rsidRPr="00FE7BA7">
        <w:rPr>
          <w:rFonts w:ascii="Verdana" w:hAnsi="Verdana"/>
          <w:sz w:val="20"/>
          <w:lang w:val="en-US"/>
        </w:rPr>
        <w:lastRenderedPageBreak/>
        <w:t>particular</w:t>
      </w:r>
      <w:r w:rsidRPr="00FE7BA7">
        <w:rPr>
          <w:rFonts w:ascii="Verdana" w:hAnsi="Verdana"/>
          <w:sz w:val="20"/>
          <w:lang w:val="en-US"/>
        </w:rPr>
        <w:t>,</w:t>
      </w:r>
      <w:r w:rsidR="004F1899" w:rsidRPr="00FE7BA7">
        <w:rPr>
          <w:rFonts w:ascii="Verdana" w:hAnsi="Verdana"/>
          <w:sz w:val="20"/>
          <w:szCs w:val="20"/>
          <w:lang w:val="en-US"/>
        </w:rPr>
        <w:t xml:space="preserve"> </w:t>
      </w:r>
      <w:r w:rsidR="002B5CCD" w:rsidRPr="00FE7BA7">
        <w:rPr>
          <w:rFonts w:ascii="Verdana" w:hAnsi="Verdana"/>
          <w:sz w:val="20"/>
          <w:szCs w:val="20"/>
          <w:lang w:val="en-US"/>
        </w:rPr>
        <w:t>the Court</w:t>
      </w:r>
      <w:r w:rsidR="004F1899" w:rsidRPr="00FE7BA7">
        <w:rPr>
          <w:rFonts w:ascii="Verdana" w:hAnsi="Verdana"/>
          <w:sz w:val="20"/>
          <w:szCs w:val="20"/>
          <w:lang w:val="en-US"/>
        </w:rPr>
        <w:t xml:space="preserve"> </w:t>
      </w:r>
      <w:r w:rsidRPr="00FE7BA7">
        <w:rPr>
          <w:rFonts w:ascii="Verdana" w:hAnsi="Verdana"/>
          <w:sz w:val="20"/>
          <w:szCs w:val="20"/>
          <w:lang w:val="en-US"/>
        </w:rPr>
        <w:t xml:space="preserve">referred to development and investment plans as “any activity that may affect the integrity of the </w:t>
      </w:r>
      <w:r w:rsidR="00804BD4" w:rsidRPr="00FE7BA7">
        <w:rPr>
          <w:rFonts w:ascii="Verdana" w:hAnsi="Verdana"/>
          <w:sz w:val="20"/>
          <w:szCs w:val="20"/>
          <w:lang w:val="en-US"/>
        </w:rPr>
        <w:t>lands</w:t>
      </w:r>
      <w:r w:rsidR="002B5CCD" w:rsidRPr="00FE7BA7">
        <w:rPr>
          <w:rFonts w:ascii="Verdana" w:hAnsi="Verdana"/>
          <w:sz w:val="20"/>
          <w:szCs w:val="20"/>
          <w:lang w:val="en-US"/>
        </w:rPr>
        <w:t xml:space="preserve"> and </w:t>
      </w:r>
      <w:r w:rsidRPr="00FE7BA7">
        <w:rPr>
          <w:rFonts w:ascii="Verdana" w:hAnsi="Verdana"/>
          <w:sz w:val="20"/>
          <w:szCs w:val="20"/>
          <w:lang w:val="en-US"/>
        </w:rPr>
        <w:t>natural resources […]; i</w:t>
      </w:r>
      <w:r w:rsidR="004F1899" w:rsidRPr="00FE7BA7">
        <w:rPr>
          <w:rFonts w:ascii="Verdana" w:hAnsi="Verdana"/>
          <w:sz w:val="20"/>
          <w:szCs w:val="20"/>
          <w:lang w:val="en-US"/>
        </w:rPr>
        <w:t xml:space="preserve">n particular, </w:t>
      </w:r>
      <w:r w:rsidRPr="00FE7BA7">
        <w:rPr>
          <w:rFonts w:ascii="Verdana" w:hAnsi="Verdana"/>
          <w:sz w:val="20"/>
          <w:szCs w:val="20"/>
          <w:lang w:val="en-US"/>
        </w:rPr>
        <w:t>any proposal related to logging o</w:t>
      </w:r>
      <w:r w:rsidR="009841CA">
        <w:rPr>
          <w:rFonts w:ascii="Verdana" w:hAnsi="Verdana"/>
          <w:sz w:val="20"/>
          <w:szCs w:val="20"/>
          <w:lang w:val="en-US"/>
        </w:rPr>
        <w:t>r</w:t>
      </w:r>
      <w:r w:rsidRPr="00FE7BA7">
        <w:rPr>
          <w:rFonts w:ascii="Verdana" w:hAnsi="Verdana"/>
          <w:sz w:val="20"/>
          <w:szCs w:val="20"/>
          <w:lang w:val="en-US"/>
        </w:rPr>
        <w:t xml:space="preserve"> mining concessions.</w:t>
      </w:r>
      <w:r w:rsidR="004F1899" w:rsidRPr="00FE7BA7">
        <w:rPr>
          <w:rFonts w:ascii="Verdana" w:hAnsi="Verdana"/>
          <w:sz w:val="20"/>
          <w:szCs w:val="20"/>
          <w:lang w:val="en-US"/>
        </w:rPr>
        <w:t>”</w:t>
      </w:r>
      <w:r w:rsidR="004F1899" w:rsidRPr="00FE7BA7">
        <w:rPr>
          <w:rStyle w:val="FootnoteReference"/>
          <w:szCs w:val="20"/>
          <w:lang w:val="en-US"/>
        </w:rPr>
        <w:footnoteReference w:id="243"/>
      </w:r>
    </w:p>
    <w:p w14:paraId="63126A1E" w14:textId="77777777" w:rsidR="00AE60CD" w:rsidRPr="00FE7BA7" w:rsidRDefault="00AE60CD" w:rsidP="00190AD3">
      <w:pPr>
        <w:pStyle w:val="ListParagraph"/>
        <w:ind w:left="0"/>
        <w:jc w:val="both"/>
        <w:rPr>
          <w:rFonts w:ascii="Verdana" w:hAnsi="Verdana"/>
          <w:sz w:val="20"/>
          <w:lang w:val="en-US"/>
        </w:rPr>
      </w:pPr>
    </w:p>
    <w:p w14:paraId="63126A1F" w14:textId="61283BC7" w:rsidR="004F1899" w:rsidRPr="00FE7BA7" w:rsidRDefault="000D23A0" w:rsidP="000D23A0">
      <w:pPr>
        <w:pStyle w:val="ListParagraph"/>
        <w:numPr>
          <w:ilvl w:val="0"/>
          <w:numId w:val="2"/>
        </w:numPr>
        <w:ind w:left="0" w:hanging="11"/>
        <w:jc w:val="both"/>
        <w:rPr>
          <w:rFonts w:ascii="Verdana" w:hAnsi="Verdana"/>
          <w:sz w:val="20"/>
          <w:lang w:val="en-US"/>
        </w:rPr>
      </w:pPr>
      <w:r w:rsidRPr="00FE7BA7">
        <w:rPr>
          <w:rFonts w:ascii="Verdana" w:hAnsi="Verdana"/>
          <w:sz w:val="20"/>
          <w:lang w:val="en-US"/>
        </w:rPr>
        <w:t>In this regard, the Court considers that the State</w:t>
      </w:r>
      <w:r w:rsidR="00195471">
        <w:rPr>
          <w:rFonts w:ascii="Verdana" w:hAnsi="Verdana"/>
          <w:sz w:val="20"/>
          <w:lang w:val="en-US"/>
        </w:rPr>
        <w:t>’s duty</w:t>
      </w:r>
      <w:r w:rsidRPr="00FE7BA7">
        <w:rPr>
          <w:rFonts w:ascii="Verdana" w:hAnsi="Verdana"/>
          <w:sz w:val="20"/>
          <w:lang w:val="en-US"/>
        </w:rPr>
        <w:t xml:space="preserve"> in relation to this guarantee must be complied with prior to the execution of </w:t>
      </w:r>
      <w:r w:rsidR="009841CA">
        <w:rPr>
          <w:rFonts w:ascii="Verdana" w:hAnsi="Verdana"/>
          <w:sz w:val="20"/>
          <w:lang w:val="en-US"/>
        </w:rPr>
        <w:t>activities</w:t>
      </w:r>
      <w:r w:rsidRPr="00FE7BA7">
        <w:rPr>
          <w:rFonts w:ascii="Verdana" w:hAnsi="Verdana"/>
          <w:sz w:val="20"/>
          <w:lang w:val="en-US"/>
        </w:rPr>
        <w:t xml:space="preserve"> that may have </w:t>
      </w:r>
      <w:r w:rsidR="00CE66DA">
        <w:rPr>
          <w:rFonts w:ascii="Verdana" w:hAnsi="Verdana"/>
          <w:sz w:val="20"/>
          <w:lang w:val="en-US"/>
        </w:rPr>
        <w:t>a</w:t>
      </w:r>
      <w:r w:rsidR="008C0D6F">
        <w:rPr>
          <w:rFonts w:ascii="Verdana" w:hAnsi="Verdana"/>
          <w:sz w:val="20"/>
          <w:lang w:val="en-US"/>
        </w:rPr>
        <w:t xml:space="preserve"> significant</w:t>
      </w:r>
      <w:r w:rsidRPr="00FE7BA7">
        <w:rPr>
          <w:rFonts w:ascii="Verdana" w:hAnsi="Verdana"/>
          <w:sz w:val="20"/>
          <w:lang w:val="en-US"/>
        </w:rPr>
        <w:t xml:space="preserve"> </w:t>
      </w:r>
      <w:r w:rsidR="00195471">
        <w:rPr>
          <w:rFonts w:ascii="Verdana" w:hAnsi="Verdana"/>
          <w:sz w:val="20"/>
          <w:lang w:val="en-US"/>
        </w:rPr>
        <w:t>impact</w:t>
      </w:r>
      <w:r w:rsidRPr="00FE7BA7">
        <w:rPr>
          <w:rFonts w:ascii="Verdana" w:hAnsi="Verdana"/>
          <w:sz w:val="20"/>
          <w:lang w:val="en-US"/>
        </w:rPr>
        <w:t xml:space="preserve"> on the interests of the indigenous and tribal peoples, such as the exploration, and the exploitation or extraction stages. In this case, although the mining concession was granted in 1958, the bauxite extraction </w:t>
      </w:r>
      <w:r w:rsidR="00195471">
        <w:rPr>
          <w:rFonts w:ascii="Verdana" w:hAnsi="Verdana"/>
          <w:sz w:val="20"/>
          <w:lang w:val="en-US"/>
        </w:rPr>
        <w:t>operations</w:t>
      </w:r>
      <w:r w:rsidRPr="00FE7BA7">
        <w:rPr>
          <w:rFonts w:ascii="Verdana" w:hAnsi="Verdana"/>
          <w:sz w:val="20"/>
          <w:lang w:val="en-US"/>
        </w:rPr>
        <w:t xml:space="preserve"> began in 1997 – that is, </w:t>
      </w:r>
      <w:r w:rsidR="001C6EC9">
        <w:rPr>
          <w:rFonts w:ascii="Verdana" w:hAnsi="Verdana"/>
          <w:sz w:val="20"/>
          <w:lang w:val="en-US"/>
        </w:rPr>
        <w:t xml:space="preserve">almost </w:t>
      </w:r>
      <w:r w:rsidRPr="00FE7BA7">
        <w:rPr>
          <w:rFonts w:ascii="Verdana" w:hAnsi="Verdana"/>
          <w:sz w:val="20"/>
          <w:lang w:val="en-US"/>
        </w:rPr>
        <w:t>40 years later – at which time, the</w:t>
      </w:r>
      <w:r w:rsidR="00195471">
        <w:rPr>
          <w:rFonts w:ascii="Verdana" w:hAnsi="Verdana"/>
          <w:sz w:val="20"/>
          <w:lang w:val="en-US"/>
        </w:rPr>
        <w:t xml:space="preserve"> company had determined the</w:t>
      </w:r>
      <w:r w:rsidRPr="00FE7BA7">
        <w:rPr>
          <w:rFonts w:ascii="Verdana" w:hAnsi="Verdana"/>
          <w:sz w:val="20"/>
          <w:lang w:val="en-US"/>
        </w:rPr>
        <w:t xml:space="preserve"> precise place where the extraction</w:t>
      </w:r>
      <w:r w:rsidR="009841CA">
        <w:rPr>
          <w:rFonts w:ascii="Verdana" w:hAnsi="Verdana"/>
          <w:sz w:val="20"/>
          <w:lang w:val="en-US"/>
        </w:rPr>
        <w:t xml:space="preserve"> operations</w:t>
      </w:r>
      <w:r w:rsidRPr="00FE7BA7">
        <w:rPr>
          <w:rFonts w:ascii="Verdana" w:hAnsi="Verdana"/>
          <w:sz w:val="20"/>
          <w:lang w:val="en-US"/>
        </w:rPr>
        <w:t xml:space="preserve"> </w:t>
      </w:r>
      <w:r w:rsidRPr="00195471">
        <w:rPr>
          <w:rFonts w:ascii="Verdana" w:hAnsi="Verdana"/>
          <w:sz w:val="20"/>
          <w:lang w:val="en-US"/>
        </w:rPr>
        <w:t>would be implemented in relation</w:t>
      </w:r>
      <w:r w:rsidRPr="00FE7BA7">
        <w:rPr>
          <w:rFonts w:ascii="Verdana" w:hAnsi="Verdana"/>
          <w:sz w:val="20"/>
          <w:lang w:val="en-US"/>
        </w:rPr>
        <w:t xml:space="preserve"> to the rest of the territory that had previously been explored. The guarantee of effective participation should have been put in practice </w:t>
      </w:r>
      <w:r w:rsidR="009841CA">
        <w:rPr>
          <w:rFonts w:ascii="Verdana" w:hAnsi="Verdana"/>
          <w:sz w:val="20"/>
          <w:lang w:val="en-US"/>
        </w:rPr>
        <w:t>before</w:t>
      </w:r>
      <w:r w:rsidRPr="00FE7BA7">
        <w:rPr>
          <w:rFonts w:ascii="Verdana" w:hAnsi="Verdana"/>
          <w:sz w:val="20"/>
          <w:lang w:val="en-US"/>
        </w:rPr>
        <w:t xml:space="preserve"> the start of the mining extraction or exploitation </w:t>
      </w:r>
      <w:r w:rsidR="00195471">
        <w:rPr>
          <w:rFonts w:ascii="Verdana" w:hAnsi="Verdana"/>
          <w:sz w:val="20"/>
          <w:lang w:val="en-US"/>
        </w:rPr>
        <w:t>operations</w:t>
      </w:r>
      <w:r w:rsidRPr="00FE7BA7">
        <w:rPr>
          <w:rFonts w:ascii="Verdana" w:hAnsi="Verdana"/>
          <w:sz w:val="20"/>
          <w:lang w:val="en-US"/>
        </w:rPr>
        <w:t xml:space="preserve">, which did not happen in this case. In particular, with regard to the Kaliña and Lokono peoples who were nearby and had a direct </w:t>
      </w:r>
      <w:r w:rsidR="00195471">
        <w:rPr>
          <w:rFonts w:ascii="Verdana" w:hAnsi="Verdana"/>
          <w:sz w:val="20"/>
          <w:lang w:val="en-US"/>
        </w:rPr>
        <w:t>relationship with</w:t>
      </w:r>
      <w:r w:rsidRPr="00FE7BA7">
        <w:rPr>
          <w:rFonts w:ascii="Verdana" w:hAnsi="Verdana"/>
          <w:sz w:val="20"/>
          <w:lang w:val="en-US"/>
        </w:rPr>
        <w:t xml:space="preserve"> the area, </w:t>
      </w:r>
      <w:r w:rsidRPr="00195471">
        <w:rPr>
          <w:rFonts w:ascii="Verdana" w:hAnsi="Verdana"/>
          <w:sz w:val="20"/>
          <w:lang w:val="en-US"/>
        </w:rPr>
        <w:t>and who</w:t>
      </w:r>
      <w:r w:rsidR="00133AC7">
        <w:rPr>
          <w:rFonts w:ascii="Verdana" w:hAnsi="Verdana"/>
          <w:sz w:val="20"/>
          <w:lang w:val="en-US"/>
        </w:rPr>
        <w:t>se</w:t>
      </w:r>
      <w:r w:rsidRPr="00FE7BA7">
        <w:rPr>
          <w:rFonts w:ascii="Verdana" w:hAnsi="Verdana"/>
          <w:sz w:val="20"/>
          <w:lang w:val="en-US"/>
        </w:rPr>
        <w:t xml:space="preserve"> traditional </w:t>
      </w:r>
      <w:r w:rsidR="00FD14B3" w:rsidRPr="00FE7BA7">
        <w:rPr>
          <w:rFonts w:ascii="Verdana" w:hAnsi="Verdana"/>
          <w:sz w:val="20"/>
          <w:lang w:val="en-US"/>
        </w:rPr>
        <w:t>territory</w:t>
      </w:r>
      <w:r w:rsidR="00133AC7">
        <w:rPr>
          <w:rFonts w:ascii="Verdana" w:hAnsi="Verdana"/>
          <w:sz w:val="20"/>
          <w:lang w:val="en-US"/>
        </w:rPr>
        <w:t xml:space="preserve"> was adversely affected</w:t>
      </w:r>
      <w:r w:rsidR="004F1899" w:rsidRPr="00FE7BA7">
        <w:rPr>
          <w:rFonts w:ascii="Verdana" w:hAnsi="Verdana"/>
          <w:sz w:val="20"/>
          <w:lang w:val="en-US"/>
        </w:rPr>
        <w:t xml:space="preserve"> (</w:t>
      </w:r>
      <w:r w:rsidR="008A4ABB" w:rsidRPr="00FE7BA7">
        <w:rPr>
          <w:rFonts w:ascii="Verdana" w:hAnsi="Verdana"/>
          <w:i/>
          <w:sz w:val="20"/>
          <w:lang w:val="en-US"/>
        </w:rPr>
        <w:t>supra</w:t>
      </w:r>
      <w:r w:rsidR="00243E73" w:rsidRPr="00FE7BA7">
        <w:rPr>
          <w:rFonts w:ascii="Verdana" w:hAnsi="Verdana"/>
          <w:sz w:val="20"/>
          <w:lang w:val="en-US"/>
        </w:rPr>
        <w:t xml:space="preserve"> </w:t>
      </w:r>
      <w:r w:rsidR="00810FAD" w:rsidRPr="00FE7BA7">
        <w:rPr>
          <w:rFonts w:ascii="Verdana" w:hAnsi="Verdana"/>
          <w:sz w:val="20"/>
          <w:lang w:val="en-US"/>
        </w:rPr>
        <w:t>para.</w:t>
      </w:r>
      <w:r w:rsidR="00572597" w:rsidRPr="00FE7BA7">
        <w:rPr>
          <w:rFonts w:ascii="Verdana" w:hAnsi="Verdana"/>
          <w:sz w:val="20"/>
          <w:lang w:val="en-US"/>
        </w:rPr>
        <w:t xml:space="preserve"> </w:t>
      </w:r>
      <w:r w:rsidR="00243E73" w:rsidRPr="00FE7BA7">
        <w:rPr>
          <w:rFonts w:ascii="Verdana" w:hAnsi="Verdana"/>
          <w:sz w:val="20"/>
          <w:lang w:val="en-US"/>
        </w:rPr>
        <w:t>92</w:t>
      </w:r>
      <w:r w:rsidR="00572597" w:rsidRPr="00FE7BA7">
        <w:rPr>
          <w:rFonts w:ascii="Verdana" w:hAnsi="Verdana"/>
          <w:sz w:val="20"/>
          <w:lang w:val="en-US"/>
        </w:rPr>
        <w:t>)</w:t>
      </w:r>
      <w:r w:rsidR="00133AC7">
        <w:rPr>
          <w:rFonts w:ascii="Verdana" w:hAnsi="Verdana"/>
          <w:sz w:val="20"/>
          <w:lang w:val="en-US"/>
        </w:rPr>
        <w:t>.</w:t>
      </w:r>
    </w:p>
    <w:p w14:paraId="63126A20" w14:textId="77777777" w:rsidR="004F1899" w:rsidRPr="00FE7BA7" w:rsidRDefault="004F1899" w:rsidP="004F1899">
      <w:pPr>
        <w:rPr>
          <w:lang w:val="en-US"/>
        </w:rPr>
      </w:pPr>
    </w:p>
    <w:p w14:paraId="63126A21" w14:textId="77777777" w:rsidR="00E82F5C" w:rsidRPr="00FE7BA7" w:rsidRDefault="000D23A0" w:rsidP="009E77BD">
      <w:pPr>
        <w:numPr>
          <w:ilvl w:val="0"/>
          <w:numId w:val="2"/>
        </w:numPr>
        <w:ind w:left="0" w:hanging="11"/>
        <w:contextualSpacing/>
        <w:jc w:val="both"/>
        <w:rPr>
          <w:rFonts w:ascii="Verdana" w:hAnsi="Verdana"/>
          <w:sz w:val="20"/>
          <w:lang w:val="en-US"/>
        </w:rPr>
      </w:pPr>
      <w:r w:rsidRPr="00FE7BA7">
        <w:rPr>
          <w:rFonts w:ascii="Verdana" w:hAnsi="Verdana"/>
          <w:sz w:val="20"/>
          <w:lang w:val="en-US"/>
        </w:rPr>
        <w:t xml:space="preserve">However, the information that the parties have provided to the Court does not reveal the existence of any domestic mechanism, law or measure that </w:t>
      </w:r>
      <w:r w:rsidR="00133AC7">
        <w:rPr>
          <w:rFonts w:ascii="Verdana" w:hAnsi="Verdana"/>
          <w:sz w:val="20"/>
          <w:lang w:val="en-US"/>
        </w:rPr>
        <w:t>would guarantee</w:t>
      </w:r>
      <w:r w:rsidRPr="00FE7BA7">
        <w:rPr>
          <w:rFonts w:ascii="Verdana" w:hAnsi="Verdana"/>
          <w:sz w:val="20"/>
          <w:lang w:val="en-US"/>
        </w:rPr>
        <w:t xml:space="preserve"> the effective participation </w:t>
      </w:r>
      <w:r w:rsidR="00511E56" w:rsidRPr="00FE7BA7">
        <w:rPr>
          <w:rFonts w:ascii="Verdana" w:hAnsi="Verdana"/>
          <w:sz w:val="20"/>
          <w:lang w:val="en-US"/>
        </w:rPr>
        <w:t xml:space="preserve">of the </w:t>
      </w:r>
      <w:r w:rsidR="00967E6B" w:rsidRPr="00FE7BA7">
        <w:rPr>
          <w:rFonts w:ascii="Verdana" w:hAnsi="Verdana"/>
          <w:sz w:val="20"/>
          <w:lang w:val="en-US"/>
        </w:rPr>
        <w:t>indigenous and tribal peoples</w:t>
      </w:r>
      <w:r w:rsidRPr="00FE7BA7">
        <w:rPr>
          <w:rFonts w:ascii="Verdana" w:hAnsi="Verdana"/>
          <w:sz w:val="20"/>
          <w:lang w:val="en-US"/>
        </w:rPr>
        <w:t>, even though</w:t>
      </w:r>
      <w:r w:rsidR="00967E6B" w:rsidRPr="00FE7BA7">
        <w:rPr>
          <w:rFonts w:ascii="Verdana" w:hAnsi="Verdana"/>
          <w:sz w:val="20"/>
          <w:lang w:val="en-US"/>
        </w:rPr>
        <w:t xml:space="preserve"> </w:t>
      </w:r>
      <w:r w:rsidR="002B5CCD" w:rsidRPr="00FE7BA7">
        <w:rPr>
          <w:rFonts w:ascii="Verdana" w:hAnsi="Verdana"/>
          <w:sz w:val="20"/>
          <w:lang w:val="en-US"/>
        </w:rPr>
        <w:t>the State</w:t>
      </w:r>
      <w:r w:rsidR="00E82F5C" w:rsidRPr="00FE7BA7">
        <w:rPr>
          <w:rFonts w:ascii="Verdana" w:hAnsi="Verdana"/>
          <w:sz w:val="20"/>
          <w:lang w:val="en-US"/>
        </w:rPr>
        <w:t xml:space="preserve"> </w:t>
      </w:r>
      <w:r w:rsidR="00133AC7">
        <w:rPr>
          <w:rFonts w:ascii="Verdana" w:hAnsi="Verdana"/>
          <w:sz w:val="20"/>
          <w:lang w:val="en-US"/>
        </w:rPr>
        <w:t>has indicated certain measures</w:t>
      </w:r>
      <w:r w:rsidRPr="00FE7BA7">
        <w:rPr>
          <w:rFonts w:ascii="Verdana" w:hAnsi="Verdana"/>
          <w:sz w:val="20"/>
          <w:lang w:val="en-US"/>
        </w:rPr>
        <w:t xml:space="preserve"> it was allegedly taking at the present time to ensure this right </w:t>
      </w:r>
      <w:r w:rsidR="00E82F5C" w:rsidRPr="00FE7BA7">
        <w:rPr>
          <w:rFonts w:ascii="Verdana" w:hAnsi="Verdana"/>
          <w:sz w:val="20"/>
          <w:lang w:val="en-US"/>
        </w:rPr>
        <w:t>(</w:t>
      </w:r>
      <w:r w:rsidR="007829DF" w:rsidRPr="00FE7BA7">
        <w:rPr>
          <w:rFonts w:ascii="Verdana" w:hAnsi="Verdana"/>
          <w:i/>
          <w:sz w:val="20"/>
          <w:lang w:val="en-US"/>
        </w:rPr>
        <w:t>infra</w:t>
      </w:r>
      <w:r w:rsidR="00E82F5C" w:rsidRPr="00FE7BA7">
        <w:rPr>
          <w:rFonts w:ascii="Verdana" w:hAnsi="Verdana"/>
          <w:i/>
          <w:sz w:val="20"/>
          <w:lang w:val="en-US"/>
        </w:rPr>
        <w:t xml:space="preserve"> </w:t>
      </w:r>
      <w:r w:rsidR="00810FAD" w:rsidRPr="00FE7BA7">
        <w:rPr>
          <w:rFonts w:ascii="Verdana" w:hAnsi="Verdana"/>
          <w:sz w:val="20"/>
          <w:lang w:val="en-US"/>
        </w:rPr>
        <w:t>para.</w:t>
      </w:r>
      <w:r w:rsidR="00EA517B" w:rsidRPr="00FE7BA7">
        <w:rPr>
          <w:rFonts w:ascii="Verdana" w:hAnsi="Verdana"/>
          <w:sz w:val="20"/>
          <w:lang w:val="en-US"/>
        </w:rPr>
        <w:t xml:space="preserve"> </w:t>
      </w:r>
      <w:r w:rsidR="00572597" w:rsidRPr="00FE7BA7">
        <w:rPr>
          <w:rFonts w:ascii="Verdana" w:hAnsi="Verdana"/>
          <w:sz w:val="20"/>
          <w:lang w:val="en-US"/>
        </w:rPr>
        <w:t>210</w:t>
      </w:r>
      <w:r w:rsidR="00E82F5C" w:rsidRPr="00FE7BA7">
        <w:rPr>
          <w:rFonts w:ascii="Verdana" w:hAnsi="Verdana"/>
          <w:sz w:val="20"/>
          <w:lang w:val="en-US"/>
        </w:rPr>
        <w:t>).</w:t>
      </w:r>
    </w:p>
    <w:p w14:paraId="63126A22" w14:textId="77777777" w:rsidR="00E0088F" w:rsidRPr="00FE7BA7" w:rsidRDefault="00E0088F" w:rsidP="009E77BD">
      <w:pPr>
        <w:contextualSpacing/>
        <w:jc w:val="both"/>
        <w:rPr>
          <w:rFonts w:ascii="Verdana" w:hAnsi="Verdana"/>
          <w:sz w:val="20"/>
          <w:lang w:val="en-US"/>
        </w:rPr>
      </w:pPr>
    </w:p>
    <w:p w14:paraId="63126A23" w14:textId="77777777" w:rsidR="00E55C09" w:rsidRPr="00FE7BA7" w:rsidRDefault="000D23A0" w:rsidP="000D23A0">
      <w:pPr>
        <w:numPr>
          <w:ilvl w:val="0"/>
          <w:numId w:val="2"/>
        </w:numPr>
        <w:ind w:left="0" w:hanging="11"/>
        <w:contextualSpacing/>
        <w:jc w:val="both"/>
        <w:rPr>
          <w:rFonts w:ascii="Verdana" w:hAnsi="Verdana"/>
          <w:sz w:val="20"/>
          <w:szCs w:val="20"/>
          <w:lang w:val="en-US"/>
        </w:rPr>
      </w:pPr>
      <w:r w:rsidRPr="00FE7BA7">
        <w:rPr>
          <w:rFonts w:ascii="Verdana" w:hAnsi="Verdana"/>
          <w:sz w:val="20"/>
          <w:lang w:val="en-US"/>
        </w:rPr>
        <w:t xml:space="preserve">In this regard, </w:t>
      </w:r>
      <w:r w:rsidR="002B5CCD" w:rsidRPr="00FE7BA7">
        <w:rPr>
          <w:rFonts w:ascii="Verdana" w:hAnsi="Verdana"/>
          <w:sz w:val="20"/>
          <w:lang w:val="en-US"/>
        </w:rPr>
        <w:t>the State</w:t>
      </w:r>
      <w:r w:rsidR="00E55C09" w:rsidRPr="00FE7BA7">
        <w:rPr>
          <w:rFonts w:ascii="Verdana" w:hAnsi="Verdana"/>
          <w:sz w:val="20"/>
          <w:lang w:val="en-US"/>
        </w:rPr>
        <w:t xml:space="preserve"> a</w:t>
      </w:r>
      <w:r w:rsidR="009841CA">
        <w:rPr>
          <w:rFonts w:ascii="Verdana" w:hAnsi="Verdana"/>
          <w:sz w:val="20"/>
          <w:lang w:val="en-US"/>
        </w:rPr>
        <w:t>rgued that, under Suriname law</w:t>
      </w:r>
      <w:r w:rsidRPr="00FE7BA7">
        <w:rPr>
          <w:rFonts w:ascii="Verdana" w:hAnsi="Verdana"/>
          <w:sz w:val="20"/>
          <w:lang w:val="en-US"/>
        </w:rPr>
        <w:t xml:space="preserve">, the rights and interests of the indigenous peoples and the Maroons were taken into </w:t>
      </w:r>
      <w:r w:rsidRPr="00133AC7">
        <w:rPr>
          <w:rFonts w:ascii="Verdana" w:hAnsi="Verdana"/>
          <w:sz w:val="20"/>
          <w:lang w:val="en-US"/>
        </w:rPr>
        <w:t>cons</w:t>
      </w:r>
      <w:r w:rsidR="009841CA">
        <w:rPr>
          <w:rFonts w:ascii="Verdana" w:hAnsi="Verdana"/>
          <w:sz w:val="20"/>
          <w:lang w:val="en-US"/>
        </w:rPr>
        <w:t>ideration when the State decided</w:t>
      </w:r>
      <w:r w:rsidRPr="00133AC7">
        <w:rPr>
          <w:rFonts w:ascii="Verdana" w:hAnsi="Verdana"/>
          <w:sz w:val="20"/>
          <w:lang w:val="en-US"/>
        </w:rPr>
        <w:t xml:space="preserve"> to award a concession, and referred to a</w:t>
      </w:r>
      <w:r w:rsidR="00C34C52" w:rsidRPr="00133AC7">
        <w:rPr>
          <w:rFonts w:ascii="Verdana" w:hAnsi="Verdana"/>
          <w:sz w:val="20"/>
          <w:lang w:val="en-US"/>
        </w:rPr>
        <w:t>rticle</w:t>
      </w:r>
      <w:r w:rsidR="00E55C09" w:rsidRPr="00133AC7">
        <w:rPr>
          <w:rFonts w:ascii="Verdana" w:hAnsi="Verdana"/>
          <w:sz w:val="20"/>
          <w:lang w:val="en-US"/>
        </w:rPr>
        <w:t xml:space="preserve"> 41 </w:t>
      </w:r>
      <w:r w:rsidRPr="00133AC7">
        <w:rPr>
          <w:rFonts w:ascii="Verdana" w:hAnsi="Verdana"/>
          <w:sz w:val="20"/>
          <w:lang w:val="en-US"/>
        </w:rPr>
        <w:t xml:space="preserve">of the </w:t>
      </w:r>
      <w:r w:rsidRPr="00133AC7">
        <w:rPr>
          <w:rFonts w:ascii="Verdana" w:hAnsi="Verdana"/>
          <w:sz w:val="20"/>
          <w:szCs w:val="20"/>
          <w:lang w:val="en-US"/>
        </w:rPr>
        <w:t>Forest Management Act</w:t>
      </w:r>
      <w:r w:rsidR="00E55C09" w:rsidRPr="00133AC7">
        <w:rPr>
          <w:rStyle w:val="FootnoteReference"/>
          <w:lang w:val="en-US"/>
        </w:rPr>
        <w:footnoteReference w:id="244"/>
      </w:r>
      <w:r w:rsidR="0090550F" w:rsidRPr="00133AC7">
        <w:rPr>
          <w:rFonts w:ascii="Verdana" w:hAnsi="Verdana"/>
          <w:sz w:val="20"/>
          <w:lang w:val="en-US"/>
        </w:rPr>
        <w:t xml:space="preserve"> </w:t>
      </w:r>
      <w:r w:rsidR="002B5CCD" w:rsidRPr="00133AC7">
        <w:rPr>
          <w:rFonts w:ascii="Verdana" w:hAnsi="Verdana"/>
          <w:sz w:val="20"/>
          <w:szCs w:val="20"/>
          <w:lang w:val="en-US"/>
        </w:rPr>
        <w:t xml:space="preserve">and </w:t>
      </w:r>
      <w:r w:rsidRPr="00133AC7">
        <w:rPr>
          <w:rFonts w:ascii="Verdana" w:hAnsi="Verdana"/>
          <w:sz w:val="20"/>
          <w:lang w:val="en-US"/>
        </w:rPr>
        <w:t>to a</w:t>
      </w:r>
      <w:r w:rsidR="00C34C52" w:rsidRPr="00133AC7">
        <w:rPr>
          <w:rFonts w:ascii="Verdana" w:hAnsi="Verdana"/>
          <w:sz w:val="20"/>
          <w:lang w:val="en-US"/>
        </w:rPr>
        <w:t>rticle</w:t>
      </w:r>
      <w:r w:rsidRPr="00FE7BA7">
        <w:rPr>
          <w:rFonts w:ascii="Verdana" w:hAnsi="Verdana"/>
          <w:sz w:val="20"/>
          <w:lang w:val="en-US"/>
        </w:rPr>
        <w:t xml:space="preserve"> 25(</w:t>
      </w:r>
      <w:r w:rsidR="00E55C09" w:rsidRPr="00FE7BA7">
        <w:rPr>
          <w:rFonts w:ascii="Verdana" w:hAnsi="Verdana"/>
          <w:sz w:val="20"/>
          <w:lang w:val="en-US"/>
        </w:rPr>
        <w:t>1</w:t>
      </w:r>
      <w:r w:rsidRPr="00FE7BA7">
        <w:rPr>
          <w:rFonts w:ascii="Verdana" w:hAnsi="Verdana"/>
          <w:sz w:val="20"/>
          <w:lang w:val="en-US"/>
        </w:rPr>
        <w:t>)</w:t>
      </w:r>
      <w:r w:rsidR="00E55C09" w:rsidRPr="00FE7BA7">
        <w:rPr>
          <w:rFonts w:ascii="Verdana" w:hAnsi="Verdana"/>
          <w:sz w:val="20"/>
          <w:lang w:val="en-US"/>
        </w:rPr>
        <w:t xml:space="preserve"> </w:t>
      </w:r>
      <w:r w:rsidRPr="00FE7BA7">
        <w:rPr>
          <w:rFonts w:ascii="Verdana" w:hAnsi="Verdana"/>
          <w:sz w:val="20"/>
          <w:lang w:val="en-US"/>
        </w:rPr>
        <w:t xml:space="preserve">of the Mining </w:t>
      </w:r>
      <w:r w:rsidRPr="00133AC7">
        <w:rPr>
          <w:rFonts w:ascii="Verdana" w:hAnsi="Verdana"/>
          <w:sz w:val="20"/>
          <w:lang w:val="en-US"/>
        </w:rPr>
        <w:t>Decree.</w:t>
      </w:r>
      <w:r w:rsidR="00E55C09" w:rsidRPr="00133AC7">
        <w:rPr>
          <w:rStyle w:val="FootnoteReference"/>
          <w:rFonts w:eastAsia="MS Gothic"/>
          <w:lang w:val="en-US"/>
        </w:rPr>
        <w:footnoteReference w:id="245"/>
      </w:r>
      <w:r w:rsidR="0090550F" w:rsidRPr="00133AC7">
        <w:rPr>
          <w:rFonts w:ascii="Verdana" w:hAnsi="Verdana"/>
          <w:sz w:val="20"/>
          <w:lang w:val="en-US"/>
        </w:rPr>
        <w:t xml:space="preserve"> </w:t>
      </w:r>
      <w:r w:rsidRPr="00133AC7">
        <w:rPr>
          <w:rFonts w:ascii="Verdana" w:hAnsi="Verdana"/>
          <w:sz w:val="20"/>
          <w:szCs w:val="20"/>
          <w:lang w:val="en-US"/>
        </w:rPr>
        <w:t>The former established that “The customary law rights of the inhabitants of the interior living in tribal communities in their villages and settlements as well as their agricultural plots, will be respected as much as possible</w:t>
      </w:r>
      <w:r w:rsidR="00E55C09" w:rsidRPr="00133AC7">
        <w:rPr>
          <w:rFonts w:ascii="Verdana" w:hAnsi="Verdana"/>
          <w:sz w:val="20"/>
          <w:lang w:val="en-US"/>
        </w:rPr>
        <w:t>”</w:t>
      </w:r>
      <w:r w:rsidRPr="00133AC7">
        <w:rPr>
          <w:rFonts w:ascii="Verdana" w:hAnsi="Verdana"/>
          <w:sz w:val="20"/>
          <w:lang w:val="en-US"/>
        </w:rPr>
        <w:t>;</w:t>
      </w:r>
      <w:r w:rsidR="00E55C09" w:rsidRPr="00133AC7">
        <w:rPr>
          <w:rFonts w:ascii="Verdana" w:hAnsi="Verdana"/>
          <w:sz w:val="20"/>
          <w:lang w:val="en-US"/>
        </w:rPr>
        <w:t xml:space="preserve"> </w:t>
      </w:r>
      <w:r w:rsidR="002B5CCD" w:rsidRPr="00133AC7">
        <w:rPr>
          <w:rFonts w:ascii="Verdana" w:hAnsi="Verdana"/>
          <w:sz w:val="20"/>
          <w:lang w:val="en-US"/>
        </w:rPr>
        <w:t xml:space="preserve">and </w:t>
      </w:r>
      <w:r w:rsidRPr="00133AC7">
        <w:rPr>
          <w:rFonts w:ascii="Verdana" w:hAnsi="Verdana"/>
          <w:sz w:val="20"/>
          <w:lang w:val="en-US"/>
        </w:rPr>
        <w:t>the latter indicated that “the appli</w:t>
      </w:r>
      <w:r w:rsidRPr="00133AC7">
        <w:rPr>
          <w:rFonts w:ascii="Verdana" w:hAnsi="Verdana"/>
          <w:sz w:val="20"/>
          <w:szCs w:val="20"/>
          <w:lang w:val="en-US"/>
        </w:rPr>
        <w:t>cation for exploration rights should</w:t>
      </w:r>
      <w:r w:rsidR="00133AC7" w:rsidRPr="00133AC7">
        <w:rPr>
          <w:rFonts w:ascii="Verdana" w:hAnsi="Verdana"/>
          <w:sz w:val="20"/>
          <w:szCs w:val="20"/>
          <w:lang w:val="en-US"/>
        </w:rPr>
        <w:t xml:space="preserve"> take </w:t>
      </w:r>
      <w:r w:rsidR="00133AC7" w:rsidRPr="000A0278">
        <w:rPr>
          <w:rFonts w:ascii="Verdana" w:hAnsi="Verdana"/>
          <w:sz w:val="20"/>
          <w:szCs w:val="20"/>
          <w:lang w:val="en-US"/>
        </w:rPr>
        <w:t xml:space="preserve">place </w:t>
      </w:r>
      <w:r w:rsidR="00133AC7" w:rsidRPr="00DA3A98">
        <w:rPr>
          <w:rFonts w:ascii="Verdana" w:hAnsi="Verdana"/>
          <w:sz w:val="20"/>
          <w:szCs w:val="20"/>
          <w:lang w:val="en-US"/>
        </w:rPr>
        <w:t>in conformity with a</w:t>
      </w:r>
      <w:r w:rsidRPr="00DA3A98">
        <w:rPr>
          <w:rFonts w:ascii="Verdana" w:hAnsi="Verdana"/>
          <w:sz w:val="20"/>
          <w:szCs w:val="20"/>
          <w:lang w:val="en-US"/>
        </w:rPr>
        <w:t>rticle 10 and give:</w:t>
      </w:r>
      <w:r w:rsidRPr="000A0278">
        <w:rPr>
          <w:rFonts w:ascii="Verdana" w:hAnsi="Verdana"/>
          <w:sz w:val="20"/>
          <w:szCs w:val="20"/>
          <w:lang w:val="en-US"/>
        </w:rPr>
        <w:t xml:space="preserve"> […]</w:t>
      </w:r>
      <w:r w:rsidRPr="00133AC7">
        <w:rPr>
          <w:rFonts w:ascii="Verdana" w:hAnsi="Verdana"/>
          <w:sz w:val="20"/>
          <w:szCs w:val="20"/>
          <w:lang w:val="en-US"/>
        </w:rPr>
        <w:t xml:space="preserve"> b. a report on the villages existing in the terrain and in the vicinity of the requested terrain and on the residents, according to tribe.” However, the Court finds that although the domestic norms recognized the “interests” of the rights</w:t>
      </w:r>
      <w:r w:rsidRPr="00FE7BA7">
        <w:rPr>
          <w:rFonts w:ascii="Verdana" w:hAnsi="Verdana"/>
          <w:sz w:val="20"/>
          <w:szCs w:val="20"/>
          <w:lang w:val="en-US"/>
        </w:rPr>
        <w:t xml:space="preserve"> </w:t>
      </w:r>
      <w:r w:rsidR="00511E56" w:rsidRPr="00FE7BA7">
        <w:rPr>
          <w:rFonts w:ascii="Verdana" w:hAnsi="Verdana"/>
          <w:sz w:val="20"/>
          <w:lang w:val="en-US"/>
        </w:rPr>
        <w:t xml:space="preserve">of the </w:t>
      </w:r>
      <w:r w:rsidR="00967E6B" w:rsidRPr="00FE7BA7">
        <w:rPr>
          <w:rFonts w:ascii="Verdana" w:hAnsi="Verdana"/>
          <w:sz w:val="20"/>
          <w:lang w:val="en-US"/>
        </w:rPr>
        <w:t xml:space="preserve">indigenous and tribal peoples </w:t>
      </w:r>
      <w:r w:rsidRPr="00FE7BA7">
        <w:rPr>
          <w:rFonts w:ascii="Verdana" w:hAnsi="Verdana"/>
          <w:sz w:val="20"/>
          <w:lang w:val="en-US"/>
        </w:rPr>
        <w:t>when gra</w:t>
      </w:r>
      <w:r w:rsidR="009841CA">
        <w:rPr>
          <w:rFonts w:ascii="Verdana" w:hAnsi="Verdana"/>
          <w:sz w:val="20"/>
          <w:lang w:val="en-US"/>
        </w:rPr>
        <w:t>n</w:t>
      </w:r>
      <w:r w:rsidRPr="00FE7BA7">
        <w:rPr>
          <w:rFonts w:ascii="Verdana" w:hAnsi="Verdana"/>
          <w:sz w:val="20"/>
          <w:lang w:val="en-US"/>
        </w:rPr>
        <w:t>ting logging and mining concessions, this did not include the right to effective participation.</w:t>
      </w:r>
      <w:r w:rsidR="000463AB" w:rsidRPr="00FE7BA7">
        <w:rPr>
          <w:rStyle w:val="FootnoteReference"/>
          <w:lang w:val="en-US"/>
        </w:rPr>
        <w:footnoteReference w:id="246"/>
      </w:r>
    </w:p>
    <w:p w14:paraId="63126A24" w14:textId="77777777" w:rsidR="007462B5" w:rsidRPr="00FE7BA7" w:rsidRDefault="007462B5" w:rsidP="00366D91">
      <w:pPr>
        <w:pStyle w:val="ListParagraph"/>
        <w:ind w:left="0"/>
        <w:jc w:val="both"/>
        <w:rPr>
          <w:rFonts w:ascii="Verdana" w:hAnsi="Verdana"/>
          <w:sz w:val="20"/>
          <w:lang w:val="en-US"/>
        </w:rPr>
      </w:pPr>
    </w:p>
    <w:p w14:paraId="63126A25" w14:textId="77777777" w:rsidR="004F1899" w:rsidRPr="00FE7BA7" w:rsidRDefault="009841CA" w:rsidP="000D23A0">
      <w:pPr>
        <w:numPr>
          <w:ilvl w:val="0"/>
          <w:numId w:val="2"/>
        </w:numPr>
        <w:ind w:left="0" w:hanging="11"/>
        <w:contextualSpacing/>
        <w:jc w:val="both"/>
        <w:rPr>
          <w:rFonts w:ascii="Verdana" w:hAnsi="Verdana"/>
          <w:sz w:val="20"/>
          <w:szCs w:val="20"/>
          <w:lang w:val="en-US"/>
        </w:rPr>
      </w:pPr>
      <w:r>
        <w:rPr>
          <w:rFonts w:ascii="Verdana" w:hAnsi="Verdana"/>
          <w:sz w:val="20"/>
          <w:szCs w:val="20"/>
          <w:lang w:val="en-US"/>
        </w:rPr>
        <w:lastRenderedPageBreak/>
        <w:t>In addition</w:t>
      </w:r>
      <w:r w:rsidR="000D23A0" w:rsidRPr="00FE7BA7">
        <w:rPr>
          <w:rFonts w:ascii="Verdana" w:hAnsi="Verdana"/>
          <w:sz w:val="20"/>
          <w:szCs w:val="20"/>
          <w:lang w:val="en-US"/>
        </w:rPr>
        <w:t xml:space="preserve">, as mentioned, the State has expressed its willingness to continue working to ensure the prior, free and informed consultation </w:t>
      </w:r>
      <w:r w:rsidR="00511E56" w:rsidRPr="00FE7BA7">
        <w:rPr>
          <w:rFonts w:ascii="Verdana" w:hAnsi="Verdana"/>
          <w:sz w:val="20"/>
          <w:szCs w:val="20"/>
          <w:lang w:val="en-US"/>
        </w:rPr>
        <w:t xml:space="preserve">of the </w:t>
      </w:r>
      <w:r w:rsidR="00967E6B" w:rsidRPr="00FE7BA7">
        <w:rPr>
          <w:rFonts w:ascii="Verdana" w:hAnsi="Verdana"/>
          <w:sz w:val="20"/>
          <w:szCs w:val="20"/>
          <w:lang w:val="en-US"/>
        </w:rPr>
        <w:t xml:space="preserve">indigenous and </w:t>
      </w:r>
      <w:r w:rsidR="00F32607" w:rsidRPr="00FE7BA7">
        <w:rPr>
          <w:rFonts w:ascii="Verdana" w:hAnsi="Verdana"/>
          <w:sz w:val="20"/>
          <w:szCs w:val="20"/>
          <w:lang w:val="en-US"/>
        </w:rPr>
        <w:t>tribal peoples</w:t>
      </w:r>
      <w:r w:rsidR="004F1899" w:rsidRPr="00FE7BA7">
        <w:rPr>
          <w:rFonts w:ascii="Verdana" w:hAnsi="Verdana"/>
          <w:sz w:val="20"/>
          <w:szCs w:val="20"/>
          <w:lang w:val="en-US"/>
        </w:rPr>
        <w:t>, (</w:t>
      </w:r>
      <w:r w:rsidR="004F1899" w:rsidRPr="00FE7BA7">
        <w:rPr>
          <w:rFonts w:ascii="Verdana" w:hAnsi="Verdana"/>
          <w:i/>
          <w:sz w:val="20"/>
          <w:szCs w:val="20"/>
          <w:lang w:val="en-US"/>
        </w:rPr>
        <w:t>supra</w:t>
      </w:r>
      <w:r w:rsidR="004F1899" w:rsidRPr="00FE7BA7">
        <w:rPr>
          <w:rFonts w:ascii="Verdana" w:hAnsi="Verdana"/>
          <w:sz w:val="20"/>
          <w:szCs w:val="20"/>
          <w:lang w:val="en-US"/>
        </w:rPr>
        <w:t xml:space="preserve"> </w:t>
      </w:r>
      <w:r w:rsidR="00810FAD" w:rsidRPr="00FE7BA7">
        <w:rPr>
          <w:rFonts w:ascii="Verdana" w:hAnsi="Verdana"/>
          <w:sz w:val="20"/>
          <w:szCs w:val="20"/>
          <w:lang w:val="en-US"/>
        </w:rPr>
        <w:t>para.</w:t>
      </w:r>
      <w:r w:rsidR="004F1899" w:rsidRPr="00FE7BA7">
        <w:rPr>
          <w:rFonts w:ascii="Verdana" w:hAnsi="Verdana"/>
          <w:sz w:val="20"/>
          <w:szCs w:val="20"/>
          <w:lang w:val="en-US"/>
        </w:rPr>
        <w:t xml:space="preserve"> </w:t>
      </w:r>
      <w:r w:rsidR="00E72187" w:rsidRPr="00FE7BA7">
        <w:rPr>
          <w:rFonts w:ascii="Verdana" w:hAnsi="Verdana"/>
          <w:sz w:val="20"/>
          <w:szCs w:val="20"/>
          <w:lang w:val="en-US"/>
        </w:rPr>
        <w:t>204</w:t>
      </w:r>
      <w:r w:rsidR="004F1899" w:rsidRPr="00FE7BA7">
        <w:rPr>
          <w:rFonts w:ascii="Verdana" w:hAnsi="Verdana"/>
          <w:sz w:val="20"/>
          <w:szCs w:val="20"/>
          <w:lang w:val="en-US"/>
        </w:rPr>
        <w:t>)</w:t>
      </w:r>
      <w:r w:rsidR="000D23A0" w:rsidRPr="00FE7BA7">
        <w:rPr>
          <w:rFonts w:ascii="Verdana" w:hAnsi="Verdana"/>
          <w:sz w:val="20"/>
          <w:szCs w:val="20"/>
          <w:lang w:val="en-US"/>
        </w:rPr>
        <w:t>.</w:t>
      </w:r>
      <w:r w:rsidR="004F1899" w:rsidRPr="00FE7BA7">
        <w:rPr>
          <w:rFonts w:ascii="Verdana" w:hAnsi="Verdana"/>
          <w:sz w:val="20"/>
          <w:szCs w:val="20"/>
          <w:lang w:val="en-US"/>
        </w:rPr>
        <w:t xml:space="preserve"> </w:t>
      </w:r>
      <w:r w:rsidR="000D23A0" w:rsidRPr="00FE7BA7">
        <w:rPr>
          <w:rFonts w:ascii="Verdana" w:hAnsi="Verdana"/>
          <w:sz w:val="20"/>
          <w:szCs w:val="20"/>
          <w:lang w:val="en-US"/>
        </w:rPr>
        <w:t>To achieve this, the State indicated that, currently, it was prepared a</w:t>
      </w:r>
      <w:r w:rsidR="00133AC7">
        <w:rPr>
          <w:rFonts w:ascii="Verdana" w:hAnsi="Verdana"/>
          <w:sz w:val="20"/>
          <w:szCs w:val="20"/>
          <w:lang w:val="en-US"/>
        </w:rPr>
        <w:t xml:space="preserve"> protocol on free, prior and informed </w:t>
      </w:r>
      <w:proofErr w:type="gramStart"/>
      <w:r w:rsidR="00133AC7">
        <w:rPr>
          <w:rFonts w:ascii="Verdana" w:hAnsi="Verdana"/>
          <w:sz w:val="20"/>
          <w:szCs w:val="20"/>
          <w:lang w:val="en-US"/>
        </w:rPr>
        <w:t>cons</w:t>
      </w:r>
      <w:r w:rsidR="00133AC7" w:rsidRPr="00133AC7">
        <w:rPr>
          <w:rFonts w:ascii="Verdana" w:hAnsi="Verdana"/>
          <w:sz w:val="20"/>
          <w:szCs w:val="20"/>
          <w:lang w:val="en-US"/>
        </w:rPr>
        <w:t>ent</w:t>
      </w:r>
      <w:r w:rsidR="004F1899" w:rsidRPr="00133AC7">
        <w:rPr>
          <w:rFonts w:ascii="Verdana" w:hAnsi="Verdana"/>
          <w:sz w:val="20"/>
          <w:szCs w:val="20"/>
          <w:lang w:val="en-US"/>
        </w:rPr>
        <w:t>,</w:t>
      </w:r>
      <w:proofErr w:type="gramEnd"/>
      <w:r w:rsidR="002B5CCD" w:rsidRPr="00133AC7">
        <w:rPr>
          <w:rFonts w:ascii="Verdana" w:hAnsi="Verdana"/>
          <w:sz w:val="20"/>
          <w:szCs w:val="20"/>
          <w:lang w:val="en-US"/>
        </w:rPr>
        <w:t xml:space="preserve"> and </w:t>
      </w:r>
      <w:r w:rsidR="000D23A0" w:rsidRPr="00133AC7">
        <w:rPr>
          <w:rFonts w:ascii="Verdana" w:hAnsi="Verdana"/>
          <w:sz w:val="20"/>
          <w:szCs w:val="20"/>
          <w:lang w:val="en-US"/>
        </w:rPr>
        <w:t xml:space="preserve">that it had established </w:t>
      </w:r>
      <w:r w:rsidR="00FE7BA7" w:rsidRPr="00133AC7">
        <w:rPr>
          <w:rFonts w:ascii="Verdana" w:hAnsi="Verdana"/>
          <w:sz w:val="20"/>
          <w:szCs w:val="20"/>
          <w:lang w:val="en-US"/>
        </w:rPr>
        <w:t>the</w:t>
      </w:r>
      <w:r w:rsidR="004F1899" w:rsidRPr="00133AC7">
        <w:rPr>
          <w:rFonts w:ascii="Verdana" w:hAnsi="Verdana"/>
          <w:sz w:val="20"/>
          <w:szCs w:val="20"/>
          <w:lang w:val="en-US"/>
        </w:rPr>
        <w:t xml:space="preserve"> </w:t>
      </w:r>
      <w:r w:rsidR="008A4ABB" w:rsidRPr="00133AC7">
        <w:rPr>
          <w:rFonts w:ascii="Verdana" w:hAnsi="Verdana"/>
          <w:sz w:val="20"/>
          <w:lang w:val="en-US"/>
        </w:rPr>
        <w:t>Commission</w:t>
      </w:r>
      <w:r w:rsidR="00133AC7" w:rsidRPr="00133AC7">
        <w:rPr>
          <w:rFonts w:ascii="Verdana" w:hAnsi="Verdana"/>
          <w:sz w:val="20"/>
          <w:lang w:val="en-US"/>
        </w:rPr>
        <w:t xml:space="preserve"> </w:t>
      </w:r>
      <w:r w:rsidR="00133AC7">
        <w:rPr>
          <w:rFonts w:ascii="Verdana" w:hAnsi="Verdana"/>
          <w:sz w:val="20"/>
          <w:lang w:val="en-US"/>
        </w:rPr>
        <w:t>on</w:t>
      </w:r>
      <w:r w:rsidR="00133AC7" w:rsidRPr="00133AC7">
        <w:rPr>
          <w:rFonts w:ascii="Verdana" w:hAnsi="Verdana"/>
          <w:sz w:val="20"/>
          <w:lang w:val="en-US"/>
        </w:rPr>
        <w:t xml:space="preserve"> the</w:t>
      </w:r>
      <w:r w:rsidR="008A4ABB" w:rsidRPr="00133AC7">
        <w:rPr>
          <w:rFonts w:ascii="Verdana" w:hAnsi="Verdana"/>
          <w:sz w:val="20"/>
          <w:lang w:val="en-US"/>
        </w:rPr>
        <w:t xml:space="preserve"> </w:t>
      </w:r>
      <w:r w:rsidR="006B297B" w:rsidRPr="00133AC7">
        <w:rPr>
          <w:rFonts w:ascii="Verdana" w:hAnsi="Verdana"/>
          <w:sz w:val="20"/>
          <w:szCs w:val="20"/>
          <w:lang w:val="en-US"/>
        </w:rPr>
        <w:t>L</w:t>
      </w:r>
      <w:r w:rsidR="008A4ABB" w:rsidRPr="00133AC7">
        <w:rPr>
          <w:rFonts w:ascii="Verdana" w:hAnsi="Verdana"/>
          <w:sz w:val="20"/>
          <w:lang w:val="en-US"/>
        </w:rPr>
        <w:t>aw on Traditional Authorities</w:t>
      </w:r>
      <w:r w:rsidR="00133AC7">
        <w:rPr>
          <w:rFonts w:ascii="Verdana" w:hAnsi="Verdana"/>
          <w:sz w:val="20"/>
          <w:lang w:val="en-US"/>
        </w:rPr>
        <w:t>.</w:t>
      </w:r>
      <w:r w:rsidR="004F1899" w:rsidRPr="00FE7BA7">
        <w:rPr>
          <w:rFonts w:ascii="Verdana" w:hAnsi="Verdana"/>
          <w:sz w:val="20"/>
          <w:szCs w:val="20"/>
          <w:lang w:val="en-US"/>
        </w:rPr>
        <w:t xml:space="preserve"> </w:t>
      </w:r>
      <w:r w:rsidR="00133AC7">
        <w:rPr>
          <w:rFonts w:ascii="Verdana" w:hAnsi="Verdana"/>
          <w:sz w:val="20"/>
          <w:szCs w:val="20"/>
          <w:lang w:val="en-US"/>
        </w:rPr>
        <w:t>T</w:t>
      </w:r>
      <w:r w:rsidR="000D23A0" w:rsidRPr="00FE7BA7">
        <w:rPr>
          <w:rFonts w:ascii="Verdana" w:hAnsi="Verdana"/>
          <w:sz w:val="20"/>
          <w:szCs w:val="20"/>
          <w:lang w:val="en-US"/>
        </w:rPr>
        <w:t xml:space="preserve">he purpose of </w:t>
      </w:r>
      <w:r w:rsidR="00133AC7">
        <w:rPr>
          <w:rFonts w:ascii="Verdana" w:hAnsi="Verdana"/>
          <w:sz w:val="20"/>
          <w:szCs w:val="20"/>
          <w:lang w:val="en-US"/>
        </w:rPr>
        <w:t>this law was</w:t>
      </w:r>
      <w:r w:rsidR="000D23A0" w:rsidRPr="00FE7BA7">
        <w:rPr>
          <w:rFonts w:ascii="Verdana" w:hAnsi="Verdana"/>
          <w:sz w:val="20"/>
          <w:szCs w:val="20"/>
          <w:lang w:val="en-US"/>
        </w:rPr>
        <w:t xml:space="preserve"> to recognize the traditional authorities as legitimate representatives of the indigenous peoples, particularly in situations in which the indigen</w:t>
      </w:r>
      <w:r w:rsidR="00133AC7">
        <w:rPr>
          <w:rFonts w:ascii="Verdana" w:hAnsi="Verdana"/>
          <w:sz w:val="20"/>
          <w:szCs w:val="20"/>
          <w:lang w:val="en-US"/>
        </w:rPr>
        <w:t xml:space="preserve">ous peoples must be consulted. </w:t>
      </w:r>
      <w:r w:rsidR="000D23A0" w:rsidRPr="00FE7BA7">
        <w:rPr>
          <w:rFonts w:ascii="Verdana" w:hAnsi="Verdana"/>
          <w:sz w:val="20"/>
          <w:szCs w:val="20"/>
          <w:lang w:val="en-US"/>
        </w:rPr>
        <w:t>In this regard, although the Court considers that the State’s undertaking to create a consultation protocol is positive, this has not yet been adopted, and the case f</w:t>
      </w:r>
      <w:r w:rsidR="00133AC7">
        <w:rPr>
          <w:rFonts w:ascii="Verdana" w:hAnsi="Verdana"/>
          <w:sz w:val="20"/>
          <w:szCs w:val="20"/>
          <w:lang w:val="en-US"/>
        </w:rPr>
        <w:t>ile does not reveal whether the</w:t>
      </w:r>
      <w:r w:rsidR="000D23A0" w:rsidRPr="00FE7BA7">
        <w:rPr>
          <w:rFonts w:ascii="Verdana" w:hAnsi="Verdana"/>
          <w:sz w:val="20"/>
          <w:szCs w:val="20"/>
          <w:lang w:val="en-US"/>
        </w:rPr>
        <w:t xml:space="preserve"> protocol would take into account the relevant standards established by this Court in order to truly ensure the effective participation </w:t>
      </w:r>
      <w:r w:rsidR="00511E56" w:rsidRPr="00FE7BA7">
        <w:rPr>
          <w:rFonts w:ascii="Verdana" w:hAnsi="Verdana"/>
          <w:sz w:val="20"/>
          <w:szCs w:val="20"/>
          <w:lang w:val="en-US"/>
        </w:rPr>
        <w:t xml:space="preserve">of the </w:t>
      </w:r>
      <w:r w:rsidR="00967E6B" w:rsidRPr="00FE7BA7">
        <w:rPr>
          <w:rFonts w:ascii="Verdana" w:hAnsi="Verdana"/>
          <w:sz w:val="20"/>
          <w:szCs w:val="20"/>
          <w:lang w:val="en-US"/>
        </w:rPr>
        <w:t>indigenous and tribal peoples</w:t>
      </w:r>
      <w:r w:rsidR="004F1899" w:rsidRPr="00FE7BA7">
        <w:rPr>
          <w:rFonts w:ascii="Verdana" w:hAnsi="Verdana"/>
          <w:sz w:val="20"/>
          <w:szCs w:val="20"/>
          <w:lang w:val="en-US"/>
        </w:rPr>
        <w:t>.</w:t>
      </w:r>
    </w:p>
    <w:p w14:paraId="63126A26" w14:textId="77777777" w:rsidR="004F1899" w:rsidRPr="00FE7BA7" w:rsidRDefault="004F1899" w:rsidP="004F1899">
      <w:pPr>
        <w:jc w:val="both"/>
        <w:rPr>
          <w:lang w:val="en-US"/>
        </w:rPr>
      </w:pPr>
    </w:p>
    <w:p w14:paraId="63126A27" w14:textId="77777777" w:rsidR="004F1899" w:rsidRPr="00FE7BA7" w:rsidRDefault="009015EB" w:rsidP="004F1899">
      <w:pPr>
        <w:pStyle w:val="ListParagraph"/>
        <w:numPr>
          <w:ilvl w:val="0"/>
          <w:numId w:val="2"/>
        </w:numPr>
        <w:ind w:left="0" w:hanging="11"/>
        <w:jc w:val="both"/>
        <w:rPr>
          <w:rFonts w:ascii="Verdana" w:eastAsiaTheme="minorEastAsia" w:hAnsi="Verdana" w:cstheme="minorBidi"/>
          <w:sz w:val="20"/>
          <w:szCs w:val="20"/>
          <w:lang w:val="en-US"/>
        </w:rPr>
      </w:pPr>
      <w:r w:rsidRPr="00FE7BA7">
        <w:rPr>
          <w:rFonts w:ascii="Verdana" w:hAnsi="Verdana"/>
          <w:sz w:val="20"/>
          <w:szCs w:val="20"/>
          <w:lang w:val="en-US"/>
        </w:rPr>
        <w:t xml:space="preserve">In addition, the Court considers that the effective participation </w:t>
      </w:r>
      <w:r w:rsidR="00635ACD" w:rsidRPr="00FE7BA7">
        <w:rPr>
          <w:rFonts w:ascii="Verdana" w:eastAsia="Times New Roman" w:hAnsi="Verdana"/>
          <w:color w:val="000000"/>
          <w:sz w:val="20"/>
          <w:szCs w:val="20"/>
          <w:lang w:val="en-US" w:eastAsia="es-CR"/>
        </w:rPr>
        <w:t xml:space="preserve">of the </w:t>
      </w:r>
      <w:r w:rsidR="004C7D14" w:rsidRPr="00FE7BA7">
        <w:rPr>
          <w:rFonts w:ascii="Verdana" w:eastAsia="Times New Roman" w:hAnsi="Verdana"/>
          <w:color w:val="000000"/>
          <w:sz w:val="20"/>
          <w:szCs w:val="20"/>
          <w:lang w:val="en-US" w:eastAsia="es-CR"/>
        </w:rPr>
        <w:t>Kaliña and Lokono peoples</w:t>
      </w:r>
      <w:r w:rsidR="004F1899" w:rsidRPr="00FE7BA7">
        <w:rPr>
          <w:rFonts w:ascii="Verdana" w:eastAsia="Times New Roman" w:hAnsi="Verdana"/>
          <w:color w:val="000000"/>
          <w:sz w:val="20"/>
          <w:szCs w:val="20"/>
          <w:lang w:val="en-US" w:eastAsia="es-CR"/>
        </w:rPr>
        <w:t xml:space="preserve"> </w:t>
      </w:r>
      <w:r w:rsidRPr="00FE7BA7">
        <w:rPr>
          <w:rFonts w:ascii="Verdana" w:eastAsia="Times New Roman" w:hAnsi="Verdana"/>
          <w:color w:val="000000"/>
          <w:sz w:val="20"/>
          <w:szCs w:val="20"/>
          <w:lang w:val="en-US" w:eastAsia="es-CR"/>
        </w:rPr>
        <w:t>should also be ensured by the State in relation to any</w:t>
      </w:r>
      <w:r w:rsidR="004F1899" w:rsidRPr="00FE7BA7">
        <w:rPr>
          <w:rFonts w:ascii="Verdana" w:eastAsia="Times New Roman" w:hAnsi="Verdana"/>
          <w:color w:val="000000"/>
          <w:sz w:val="20"/>
          <w:szCs w:val="20"/>
          <w:lang w:val="en-US" w:eastAsia="es-CR"/>
        </w:rPr>
        <w:t xml:space="preserve"> </w:t>
      </w:r>
      <w:r w:rsidR="00897EEB" w:rsidRPr="00FE7BA7">
        <w:rPr>
          <w:rFonts w:ascii="Verdana" w:eastAsia="Times New Roman" w:hAnsi="Verdana"/>
          <w:color w:val="000000"/>
          <w:sz w:val="20"/>
          <w:szCs w:val="20"/>
          <w:lang w:val="en-US" w:eastAsia="es-CR"/>
        </w:rPr>
        <w:t>development or investment plan</w:t>
      </w:r>
      <w:r w:rsidR="004F1899" w:rsidRPr="00FE7BA7">
        <w:rPr>
          <w:rFonts w:ascii="Verdana" w:eastAsia="Times New Roman" w:hAnsi="Verdana"/>
          <w:color w:val="000000"/>
          <w:sz w:val="20"/>
          <w:szCs w:val="20"/>
          <w:lang w:val="en-US" w:eastAsia="es-CR"/>
        </w:rPr>
        <w:t>, as</w:t>
      </w:r>
      <w:r w:rsidRPr="00FE7BA7">
        <w:rPr>
          <w:rFonts w:ascii="Verdana" w:eastAsia="Times New Roman" w:hAnsi="Verdana"/>
          <w:color w:val="000000"/>
          <w:sz w:val="20"/>
          <w:szCs w:val="20"/>
          <w:lang w:val="en-US" w:eastAsia="es-CR"/>
        </w:rPr>
        <w:t xml:space="preserve"> well as any new exploration or exploitation </w:t>
      </w:r>
      <w:r w:rsidR="00133AC7">
        <w:rPr>
          <w:rFonts w:ascii="Verdana" w:eastAsia="Times New Roman" w:hAnsi="Verdana"/>
          <w:color w:val="000000"/>
          <w:sz w:val="20"/>
          <w:szCs w:val="20"/>
          <w:lang w:val="en-US" w:eastAsia="es-CR"/>
        </w:rPr>
        <w:t>operations</w:t>
      </w:r>
      <w:r w:rsidRPr="00FE7BA7">
        <w:rPr>
          <w:rFonts w:ascii="Verdana" w:eastAsia="Times New Roman" w:hAnsi="Verdana"/>
          <w:color w:val="000000"/>
          <w:sz w:val="20"/>
          <w:szCs w:val="20"/>
          <w:lang w:val="en-US" w:eastAsia="es-CR"/>
        </w:rPr>
        <w:t xml:space="preserve"> that may be started up in the future in the </w:t>
      </w:r>
      <w:r w:rsidR="00DA4B96" w:rsidRPr="00FE7BA7">
        <w:rPr>
          <w:rFonts w:ascii="Verdana" w:eastAsia="Times New Roman" w:hAnsi="Verdana"/>
          <w:color w:val="000000"/>
          <w:sz w:val="20"/>
          <w:szCs w:val="20"/>
          <w:lang w:val="en-US" w:eastAsia="es-CR"/>
        </w:rPr>
        <w:t>traditional territories</w:t>
      </w:r>
      <w:r w:rsidR="004F1899" w:rsidRPr="00FE7BA7">
        <w:rPr>
          <w:rFonts w:ascii="Verdana" w:eastAsia="Times New Roman" w:hAnsi="Verdana"/>
          <w:color w:val="000000"/>
          <w:sz w:val="20"/>
          <w:szCs w:val="20"/>
          <w:lang w:val="en-US" w:eastAsia="es-CR"/>
        </w:rPr>
        <w:t xml:space="preserve"> </w:t>
      </w:r>
      <w:r w:rsidRPr="00FE7BA7">
        <w:rPr>
          <w:rFonts w:ascii="Verdana" w:eastAsia="Times New Roman" w:hAnsi="Verdana"/>
          <w:color w:val="000000"/>
          <w:sz w:val="20"/>
          <w:szCs w:val="20"/>
          <w:lang w:val="en-US" w:eastAsia="es-CR"/>
        </w:rPr>
        <w:t>of these peoples;</w:t>
      </w:r>
      <w:r w:rsidR="004F1899" w:rsidRPr="00FE7BA7">
        <w:rPr>
          <w:rStyle w:val="FootnoteReference"/>
          <w:rFonts w:eastAsia="Times New Roman"/>
          <w:color w:val="000000"/>
          <w:szCs w:val="20"/>
          <w:lang w:val="en-US" w:eastAsia="es-CR"/>
        </w:rPr>
        <w:footnoteReference w:id="247"/>
      </w:r>
      <w:r w:rsidRPr="00FE7BA7">
        <w:rPr>
          <w:rFonts w:ascii="Verdana" w:eastAsia="Times New Roman" w:hAnsi="Verdana"/>
          <w:color w:val="000000"/>
          <w:sz w:val="20"/>
          <w:szCs w:val="20"/>
          <w:lang w:val="en-US" w:eastAsia="es-CR"/>
        </w:rPr>
        <w:t xml:space="preserve"> i</w:t>
      </w:r>
      <w:r w:rsidR="004F1899" w:rsidRPr="00FE7BA7">
        <w:rPr>
          <w:rFonts w:ascii="Verdana" w:eastAsia="Times New Roman" w:hAnsi="Verdana"/>
          <w:color w:val="000000"/>
          <w:sz w:val="20"/>
          <w:szCs w:val="20"/>
          <w:lang w:val="en-US" w:eastAsia="es-CR"/>
        </w:rPr>
        <w:t xml:space="preserve">n particular, </w:t>
      </w:r>
      <w:r w:rsidRPr="00FE7BA7">
        <w:rPr>
          <w:rFonts w:ascii="Verdana" w:eastAsia="Times New Roman" w:hAnsi="Verdana"/>
          <w:color w:val="000000"/>
          <w:sz w:val="20"/>
          <w:szCs w:val="20"/>
          <w:lang w:val="en-US" w:eastAsia="es-CR"/>
        </w:rPr>
        <w:t xml:space="preserve">within the </w:t>
      </w:r>
      <w:r w:rsidR="004F1899" w:rsidRPr="00FE7BA7">
        <w:rPr>
          <w:rFonts w:ascii="Verdana" w:eastAsia="Times New Roman" w:hAnsi="Verdana"/>
          <w:color w:val="000000"/>
          <w:sz w:val="20"/>
          <w:szCs w:val="20"/>
          <w:lang w:val="en-US" w:eastAsia="es-CR"/>
        </w:rPr>
        <w:t>Wane Kreek</w:t>
      </w:r>
      <w:r w:rsidRPr="00FE7BA7">
        <w:rPr>
          <w:rFonts w:ascii="Verdana" w:eastAsia="Times New Roman" w:hAnsi="Verdana"/>
          <w:color w:val="000000"/>
          <w:sz w:val="20"/>
          <w:szCs w:val="20"/>
          <w:lang w:val="en-US" w:eastAsia="es-CR"/>
        </w:rPr>
        <w:t xml:space="preserve"> Nature Reserve</w:t>
      </w:r>
      <w:r w:rsidR="004F1899" w:rsidRPr="00FE7BA7">
        <w:rPr>
          <w:rFonts w:ascii="Verdana" w:eastAsia="Times New Roman" w:hAnsi="Verdana"/>
          <w:color w:val="000000"/>
          <w:sz w:val="20"/>
          <w:szCs w:val="20"/>
          <w:lang w:val="en-US" w:eastAsia="es-CR"/>
        </w:rPr>
        <w:t xml:space="preserve"> (</w:t>
      </w:r>
      <w:r w:rsidR="004F1899" w:rsidRPr="00FE7BA7">
        <w:rPr>
          <w:rFonts w:ascii="Verdana" w:eastAsia="Times New Roman" w:hAnsi="Verdana"/>
          <w:i/>
          <w:color w:val="000000"/>
          <w:sz w:val="20"/>
          <w:szCs w:val="20"/>
          <w:lang w:val="en-US" w:eastAsia="es-CR"/>
        </w:rPr>
        <w:t>supra</w:t>
      </w:r>
      <w:r w:rsidR="004F1899" w:rsidRPr="00FE7BA7">
        <w:rPr>
          <w:rFonts w:ascii="Verdana" w:eastAsia="Times New Roman" w:hAnsi="Verdana"/>
          <w:color w:val="000000"/>
          <w:sz w:val="20"/>
          <w:szCs w:val="20"/>
          <w:lang w:val="en-US" w:eastAsia="es-CR"/>
        </w:rPr>
        <w:t xml:space="preserve"> </w:t>
      </w:r>
      <w:r w:rsidR="00810FAD" w:rsidRPr="00FE7BA7">
        <w:rPr>
          <w:rFonts w:ascii="Verdana" w:eastAsia="Times New Roman" w:hAnsi="Verdana"/>
          <w:color w:val="000000"/>
          <w:sz w:val="20"/>
          <w:szCs w:val="20"/>
          <w:lang w:val="en-US" w:eastAsia="es-CR"/>
        </w:rPr>
        <w:t>para.</w:t>
      </w:r>
      <w:r w:rsidR="00E72187" w:rsidRPr="00FE7BA7">
        <w:rPr>
          <w:rFonts w:ascii="Verdana" w:eastAsia="Times New Roman" w:hAnsi="Verdana"/>
          <w:color w:val="000000"/>
          <w:sz w:val="20"/>
          <w:szCs w:val="20"/>
          <w:lang w:val="en-US" w:eastAsia="es-CR"/>
        </w:rPr>
        <w:t xml:space="preserve"> 206</w:t>
      </w:r>
      <w:r w:rsidR="004F1899" w:rsidRPr="00FE7BA7">
        <w:rPr>
          <w:rFonts w:ascii="Verdana" w:eastAsia="Times New Roman" w:hAnsi="Verdana"/>
          <w:color w:val="000000"/>
          <w:sz w:val="20"/>
          <w:szCs w:val="20"/>
          <w:lang w:val="en-US" w:eastAsia="es-CR"/>
        </w:rPr>
        <w:t xml:space="preserve">). </w:t>
      </w:r>
    </w:p>
    <w:p w14:paraId="63126A28" w14:textId="77777777" w:rsidR="004F1899" w:rsidRPr="00FE7BA7" w:rsidRDefault="004F1899" w:rsidP="004F1899">
      <w:pPr>
        <w:pStyle w:val="ListParagraph"/>
        <w:jc w:val="both"/>
        <w:rPr>
          <w:rFonts w:ascii="Verdana" w:eastAsiaTheme="minorEastAsia" w:hAnsi="Verdana" w:cstheme="minorBidi"/>
          <w:sz w:val="20"/>
          <w:szCs w:val="20"/>
          <w:lang w:val="en-US"/>
        </w:rPr>
      </w:pPr>
    </w:p>
    <w:p w14:paraId="63126A29" w14:textId="77777777" w:rsidR="004F1899" w:rsidRPr="00FE7BA7" w:rsidRDefault="004F1899" w:rsidP="004F189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 </w:t>
      </w:r>
      <w:r w:rsidR="009015EB" w:rsidRPr="00FE7BA7">
        <w:rPr>
          <w:rFonts w:ascii="Verdana" w:hAnsi="Verdana"/>
          <w:sz w:val="20"/>
          <w:szCs w:val="20"/>
          <w:lang w:val="en-US"/>
        </w:rPr>
        <w:t xml:space="preserve">In </w:t>
      </w:r>
      <w:r w:rsidR="00937062" w:rsidRPr="00FE7BA7">
        <w:rPr>
          <w:rFonts w:ascii="Verdana" w:hAnsi="Verdana"/>
          <w:sz w:val="20"/>
          <w:szCs w:val="20"/>
          <w:lang w:val="en-US"/>
        </w:rPr>
        <w:t>conclusion</w:t>
      </w:r>
      <w:r w:rsidR="009015EB" w:rsidRPr="00FE7BA7">
        <w:rPr>
          <w:rFonts w:ascii="Verdana" w:hAnsi="Verdana"/>
          <w:sz w:val="20"/>
          <w:szCs w:val="20"/>
          <w:lang w:val="en-US"/>
        </w:rPr>
        <w:t xml:space="preserve">, from the body of evidence, the Court has verified that the State failed to ensure the effective participation, by means of a </w:t>
      </w:r>
      <w:r w:rsidR="00BE4D11" w:rsidRPr="00FE7BA7">
        <w:rPr>
          <w:rFonts w:ascii="Verdana" w:eastAsia="Times New Roman" w:hAnsi="Verdana"/>
          <w:color w:val="000000"/>
          <w:sz w:val="20"/>
          <w:szCs w:val="20"/>
          <w:lang w:val="en-US" w:eastAsia="es-CR"/>
        </w:rPr>
        <w:t>consultation process</w:t>
      </w:r>
      <w:r w:rsidR="009015EB" w:rsidRPr="00FE7BA7">
        <w:rPr>
          <w:rFonts w:ascii="Verdana" w:eastAsia="Times New Roman" w:hAnsi="Verdana"/>
          <w:color w:val="000000"/>
          <w:sz w:val="20"/>
          <w:szCs w:val="20"/>
          <w:lang w:val="en-US" w:eastAsia="es-CR"/>
        </w:rPr>
        <w:t>, of</w:t>
      </w:r>
      <w:r w:rsidR="00557E59" w:rsidRPr="00FE7BA7">
        <w:rPr>
          <w:rFonts w:ascii="Verdana" w:eastAsia="Times New Roman" w:hAnsi="Verdana"/>
          <w:color w:val="000000"/>
          <w:sz w:val="20"/>
          <w:szCs w:val="20"/>
          <w:lang w:val="en-US" w:eastAsia="es-CR"/>
        </w:rPr>
        <w:t xml:space="preserve"> </w:t>
      </w:r>
      <w:r w:rsidR="002B5CCD" w:rsidRPr="00FE7BA7">
        <w:rPr>
          <w:rFonts w:ascii="Verdana" w:eastAsia="Times New Roman" w:hAnsi="Verdana"/>
          <w:color w:val="000000"/>
          <w:sz w:val="20"/>
          <w:szCs w:val="20"/>
          <w:lang w:val="en-US" w:eastAsia="es-CR"/>
        </w:rPr>
        <w:t xml:space="preserve">the </w:t>
      </w:r>
      <w:r w:rsidR="004C7D14" w:rsidRPr="00FE7BA7">
        <w:rPr>
          <w:rFonts w:ascii="Verdana" w:eastAsia="Times New Roman" w:hAnsi="Verdana"/>
          <w:color w:val="000000"/>
          <w:sz w:val="20"/>
          <w:szCs w:val="20"/>
          <w:lang w:val="en-US" w:eastAsia="es-CR"/>
        </w:rPr>
        <w:t>Kaliña and Lokono peoples</w:t>
      </w:r>
      <w:r w:rsidRPr="00FE7BA7">
        <w:rPr>
          <w:rFonts w:ascii="Verdana" w:eastAsia="Times New Roman" w:hAnsi="Verdana"/>
          <w:color w:val="000000"/>
          <w:sz w:val="20"/>
          <w:szCs w:val="20"/>
          <w:lang w:val="en-US" w:eastAsia="es-CR"/>
        </w:rPr>
        <w:t xml:space="preserve"> </w:t>
      </w:r>
      <w:r w:rsidR="009015EB" w:rsidRPr="00FE7BA7">
        <w:rPr>
          <w:rFonts w:ascii="Verdana" w:eastAsia="Times New Roman" w:hAnsi="Verdana"/>
          <w:color w:val="000000"/>
          <w:sz w:val="20"/>
          <w:szCs w:val="20"/>
          <w:lang w:val="en-US" w:eastAsia="es-CR"/>
        </w:rPr>
        <w:t xml:space="preserve">before undertaking or authorizing the </w:t>
      </w:r>
      <w:r w:rsidR="00FE7BA7" w:rsidRPr="00FE7BA7">
        <w:rPr>
          <w:rFonts w:ascii="Verdana" w:eastAsia="Times New Roman" w:hAnsi="Verdana"/>
          <w:color w:val="000000"/>
          <w:sz w:val="20"/>
          <w:szCs w:val="20"/>
          <w:lang w:val="en-US" w:eastAsia="es-CR"/>
        </w:rPr>
        <w:t>exploitation</w:t>
      </w:r>
      <w:r w:rsidR="009015EB" w:rsidRPr="00FE7BA7">
        <w:rPr>
          <w:rFonts w:ascii="Verdana" w:eastAsia="Times New Roman" w:hAnsi="Verdana"/>
          <w:color w:val="000000"/>
          <w:sz w:val="20"/>
          <w:szCs w:val="20"/>
          <w:lang w:val="en-US" w:eastAsia="es-CR"/>
        </w:rPr>
        <w:t xml:space="preserve"> of the bauxite mine within their </w:t>
      </w:r>
      <w:r w:rsidR="00FD14B3" w:rsidRPr="00FE7BA7">
        <w:rPr>
          <w:rFonts w:ascii="Verdana" w:eastAsia="Times New Roman" w:hAnsi="Verdana"/>
          <w:color w:val="000000"/>
          <w:sz w:val="20"/>
          <w:szCs w:val="20"/>
          <w:lang w:val="en-US" w:eastAsia="es-CR"/>
        </w:rPr>
        <w:t>traditional territory</w:t>
      </w:r>
      <w:r w:rsidRPr="00FE7BA7">
        <w:rPr>
          <w:rFonts w:ascii="Verdana" w:eastAsia="Times New Roman" w:hAnsi="Verdana"/>
          <w:color w:val="000000"/>
          <w:sz w:val="20"/>
          <w:lang w:val="en-US" w:eastAsia="es-CR"/>
        </w:rPr>
        <w:t>.</w:t>
      </w:r>
    </w:p>
    <w:p w14:paraId="63126A2A" w14:textId="77777777" w:rsidR="006E360C" w:rsidRPr="00FE7BA7" w:rsidRDefault="006E360C" w:rsidP="002E4580">
      <w:pPr>
        <w:shd w:val="clear" w:color="auto" w:fill="FFFFFF"/>
        <w:jc w:val="both"/>
        <w:textAlignment w:val="top"/>
        <w:rPr>
          <w:rFonts w:ascii="Verdana" w:eastAsia="Times New Roman" w:hAnsi="Verdana"/>
          <w:color w:val="000000"/>
          <w:sz w:val="20"/>
          <w:szCs w:val="20"/>
          <w:lang w:val="en-US" w:eastAsia="es-CR"/>
        </w:rPr>
      </w:pPr>
    </w:p>
    <w:p w14:paraId="63126A2B" w14:textId="77777777" w:rsidR="007A74B3" w:rsidRPr="00FE7BA7" w:rsidRDefault="007A74B3" w:rsidP="00261627">
      <w:pPr>
        <w:shd w:val="clear" w:color="auto" w:fill="FFFFFF"/>
        <w:ind w:left="720" w:firstLine="720"/>
        <w:jc w:val="both"/>
        <w:textAlignment w:val="top"/>
        <w:rPr>
          <w:rFonts w:ascii="Verdana" w:eastAsia="Times New Roman" w:hAnsi="Verdana"/>
          <w:b/>
          <w:i/>
          <w:color w:val="000000"/>
          <w:sz w:val="20"/>
          <w:lang w:val="en-US" w:eastAsia="es-CR"/>
        </w:rPr>
      </w:pPr>
      <w:r w:rsidRPr="00FE7BA7">
        <w:rPr>
          <w:rFonts w:ascii="Verdana" w:hAnsi="Verdana"/>
          <w:b/>
          <w:i/>
          <w:sz w:val="20"/>
          <w:lang w:val="en-US" w:eastAsia="es-ES"/>
        </w:rPr>
        <w:t xml:space="preserve">ii) </w:t>
      </w:r>
      <w:r w:rsidR="009015EB" w:rsidRPr="00FE7BA7">
        <w:rPr>
          <w:rFonts w:ascii="Verdana" w:eastAsia="Times New Roman" w:hAnsi="Verdana"/>
          <w:b/>
          <w:i/>
          <w:color w:val="000000"/>
          <w:sz w:val="20"/>
          <w:lang w:val="en-US" w:eastAsia="es-CR"/>
        </w:rPr>
        <w:t xml:space="preserve">Prior social and environmental impact assessment </w:t>
      </w:r>
    </w:p>
    <w:p w14:paraId="63126A2C" w14:textId="77777777" w:rsidR="007A74B3" w:rsidRPr="00FE7BA7" w:rsidRDefault="007A74B3" w:rsidP="007A74B3">
      <w:pPr>
        <w:shd w:val="clear" w:color="auto" w:fill="FFFFFF"/>
        <w:jc w:val="both"/>
        <w:textAlignment w:val="top"/>
        <w:rPr>
          <w:rFonts w:ascii="Verdana" w:eastAsia="Times New Roman" w:hAnsi="Verdana"/>
          <w:color w:val="000000"/>
          <w:sz w:val="20"/>
          <w:lang w:val="en-US" w:eastAsia="es-CR"/>
        </w:rPr>
      </w:pPr>
    </w:p>
    <w:p w14:paraId="63126A2D" w14:textId="77777777" w:rsidR="004F1899" w:rsidRPr="00FE7BA7" w:rsidRDefault="002B5CCD" w:rsidP="004F1899">
      <w:pPr>
        <w:pStyle w:val="ListParagraph"/>
        <w:numPr>
          <w:ilvl w:val="0"/>
          <w:numId w:val="2"/>
        </w:numPr>
        <w:ind w:left="0" w:hanging="11"/>
        <w:jc w:val="both"/>
        <w:rPr>
          <w:rFonts w:ascii="Verdana" w:hAnsi="Verdana"/>
          <w:sz w:val="20"/>
          <w:lang w:val="en-US"/>
        </w:rPr>
      </w:pPr>
      <w:r w:rsidRPr="00FE7BA7">
        <w:rPr>
          <w:rFonts w:ascii="Verdana" w:hAnsi="Verdana"/>
          <w:sz w:val="20"/>
          <w:lang w:val="en-US"/>
        </w:rPr>
        <w:t>The Court</w:t>
      </w:r>
      <w:r w:rsidR="004F1899" w:rsidRPr="00FE7BA7">
        <w:rPr>
          <w:rFonts w:ascii="Verdana" w:hAnsi="Verdana"/>
          <w:sz w:val="20"/>
          <w:lang w:val="en-US"/>
        </w:rPr>
        <w:t xml:space="preserve"> </w:t>
      </w:r>
      <w:r w:rsidR="009015EB" w:rsidRPr="00FE7BA7">
        <w:rPr>
          <w:rFonts w:ascii="Verdana" w:hAnsi="Verdana"/>
          <w:sz w:val="20"/>
          <w:lang w:val="en-US"/>
        </w:rPr>
        <w:t xml:space="preserve">has verified that, in 2005, a private consultant hired by </w:t>
      </w:r>
      <w:r w:rsidR="004F1899" w:rsidRPr="00FE7BA7">
        <w:rPr>
          <w:rFonts w:ascii="Verdana" w:hAnsi="Verdana"/>
          <w:sz w:val="20"/>
          <w:lang w:val="en-US"/>
        </w:rPr>
        <w:t xml:space="preserve">BHP Billiton </w:t>
      </w:r>
      <w:r w:rsidR="00FE7BA7">
        <w:rPr>
          <w:rFonts w:ascii="Verdana" w:hAnsi="Verdana"/>
          <w:sz w:val="20"/>
          <w:lang w:val="en-US"/>
        </w:rPr>
        <w:t>prepare</w:t>
      </w:r>
      <w:r w:rsidR="00086269" w:rsidRPr="00FE7BA7">
        <w:rPr>
          <w:rFonts w:ascii="Verdana" w:hAnsi="Verdana"/>
          <w:sz w:val="20"/>
          <w:lang w:val="en-US"/>
        </w:rPr>
        <w:t>d</w:t>
      </w:r>
      <w:r w:rsidR="00FE7BA7">
        <w:rPr>
          <w:rFonts w:ascii="Verdana" w:hAnsi="Verdana"/>
          <w:sz w:val="20"/>
          <w:lang w:val="en-US"/>
        </w:rPr>
        <w:t xml:space="preserve"> </w:t>
      </w:r>
      <w:r w:rsidR="00086269" w:rsidRPr="00FE7BA7">
        <w:rPr>
          <w:rFonts w:ascii="Verdana" w:hAnsi="Verdana"/>
          <w:sz w:val="20"/>
          <w:lang w:val="en-US"/>
        </w:rPr>
        <w:t xml:space="preserve">an environmental sensitivity </w:t>
      </w:r>
      <w:r w:rsidR="000C03DF">
        <w:rPr>
          <w:rFonts w:ascii="Verdana" w:hAnsi="Verdana"/>
          <w:sz w:val="20"/>
          <w:lang w:val="en-US"/>
        </w:rPr>
        <w:t>analysis</w:t>
      </w:r>
      <w:r w:rsidR="00086269" w:rsidRPr="00FE7BA7">
        <w:rPr>
          <w:rFonts w:ascii="Verdana" w:hAnsi="Verdana"/>
          <w:sz w:val="20"/>
          <w:lang w:val="en-US"/>
        </w:rPr>
        <w:t xml:space="preserve">, which concluded that the </w:t>
      </w:r>
      <w:r w:rsidR="004F1899" w:rsidRPr="00FE7BA7">
        <w:rPr>
          <w:rFonts w:ascii="Verdana" w:hAnsi="Verdana"/>
          <w:sz w:val="20"/>
          <w:lang w:val="en-US"/>
        </w:rPr>
        <w:t xml:space="preserve">Wane </w:t>
      </w:r>
      <w:r w:rsidR="00A10C80" w:rsidRPr="00FE7BA7">
        <w:rPr>
          <w:rFonts w:ascii="Verdana" w:hAnsi="Verdana"/>
          <w:sz w:val="20"/>
          <w:lang w:val="en-US"/>
        </w:rPr>
        <w:t>1</w:t>
      </w:r>
      <w:r w:rsidRPr="00FE7BA7">
        <w:rPr>
          <w:rFonts w:ascii="Verdana" w:hAnsi="Verdana"/>
          <w:sz w:val="20"/>
          <w:lang w:val="en-US"/>
        </w:rPr>
        <w:t xml:space="preserve"> and </w:t>
      </w:r>
      <w:r w:rsidR="004F1899" w:rsidRPr="00FE7BA7">
        <w:rPr>
          <w:rFonts w:ascii="Verdana" w:hAnsi="Verdana"/>
          <w:sz w:val="20"/>
          <w:lang w:val="en-US"/>
        </w:rPr>
        <w:t xml:space="preserve">Wane </w:t>
      </w:r>
      <w:r w:rsidR="00A10C80" w:rsidRPr="00FE7BA7">
        <w:rPr>
          <w:rFonts w:ascii="Verdana" w:hAnsi="Verdana"/>
          <w:sz w:val="20"/>
          <w:lang w:val="en-US"/>
        </w:rPr>
        <w:t>2</w:t>
      </w:r>
      <w:r w:rsidR="004F1899" w:rsidRPr="00FE7BA7">
        <w:rPr>
          <w:rFonts w:ascii="Verdana" w:hAnsi="Verdana"/>
          <w:sz w:val="20"/>
          <w:lang w:val="en-US"/>
        </w:rPr>
        <w:t xml:space="preserve"> </w:t>
      </w:r>
      <w:r w:rsidR="00086269" w:rsidRPr="00FE7BA7">
        <w:rPr>
          <w:rFonts w:ascii="Verdana" w:hAnsi="Verdana"/>
          <w:sz w:val="20"/>
          <w:lang w:val="en-US"/>
        </w:rPr>
        <w:t>sections had suffered considerable environmental damage a</w:t>
      </w:r>
      <w:r w:rsidR="009841CA">
        <w:rPr>
          <w:rFonts w:ascii="Verdana" w:hAnsi="Verdana"/>
          <w:sz w:val="20"/>
          <w:lang w:val="en-US"/>
        </w:rPr>
        <w:t>s a</w:t>
      </w:r>
      <w:r w:rsidR="00086269" w:rsidRPr="00FE7BA7">
        <w:rPr>
          <w:rFonts w:ascii="Verdana" w:hAnsi="Verdana"/>
          <w:sz w:val="20"/>
          <w:lang w:val="en-US"/>
        </w:rPr>
        <w:t xml:space="preserve"> result of the mining activities. However, Suriname argued that its laws did not require the preparation of environmental impact assessments. The State also indicated that the area affected by the mining activities was being r</w:t>
      </w:r>
      <w:r w:rsidR="00B97268" w:rsidRPr="00FE7BA7">
        <w:rPr>
          <w:rFonts w:ascii="Verdana" w:hAnsi="Verdana"/>
          <w:sz w:val="20"/>
          <w:lang w:val="en-US"/>
        </w:rPr>
        <w:t xml:space="preserve">ehabilitated, but </w:t>
      </w:r>
      <w:r w:rsidR="00810FAD" w:rsidRPr="00FE7BA7">
        <w:rPr>
          <w:rFonts w:ascii="Verdana" w:hAnsi="Verdana"/>
          <w:sz w:val="20"/>
          <w:lang w:val="en-US"/>
        </w:rPr>
        <w:t>the representatives</w:t>
      </w:r>
      <w:r w:rsidR="00B97268" w:rsidRPr="00FE7BA7">
        <w:rPr>
          <w:rFonts w:ascii="Verdana" w:hAnsi="Verdana"/>
          <w:sz w:val="20"/>
          <w:lang w:val="en-US"/>
        </w:rPr>
        <w:t xml:space="preserve"> have contested this</w:t>
      </w:r>
      <w:r w:rsidR="004F1899" w:rsidRPr="00FE7BA7">
        <w:rPr>
          <w:rFonts w:ascii="Verdana" w:hAnsi="Verdana"/>
          <w:sz w:val="20"/>
          <w:lang w:val="en-US"/>
        </w:rPr>
        <w:t xml:space="preserve">. </w:t>
      </w:r>
    </w:p>
    <w:p w14:paraId="63126A2E" w14:textId="77777777" w:rsidR="00EA517B" w:rsidRPr="00FE7BA7" w:rsidRDefault="00EA517B" w:rsidP="00CF360B">
      <w:pPr>
        <w:pStyle w:val="ListParagraph"/>
        <w:ind w:left="0"/>
        <w:jc w:val="both"/>
        <w:rPr>
          <w:rFonts w:ascii="Verdana" w:hAnsi="Verdana"/>
          <w:sz w:val="20"/>
          <w:lang w:val="en-US"/>
        </w:rPr>
      </w:pPr>
    </w:p>
    <w:p w14:paraId="63126A2F" w14:textId="77777777" w:rsidR="004F1899" w:rsidRPr="00FE7BA7" w:rsidRDefault="00086269" w:rsidP="004F189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this regard,</w:t>
      </w:r>
      <w:r w:rsidR="004F1899" w:rsidRPr="00FE7BA7">
        <w:rPr>
          <w:rFonts w:ascii="Verdana" w:hAnsi="Verdana"/>
          <w:sz w:val="20"/>
          <w:szCs w:val="20"/>
          <w:lang w:val="en-US"/>
        </w:rPr>
        <w:t xml:space="preserve"> </w:t>
      </w:r>
      <w:r w:rsidR="002B5CCD" w:rsidRPr="00FE7BA7">
        <w:rPr>
          <w:rFonts w:ascii="Verdana" w:hAnsi="Verdana"/>
          <w:sz w:val="20"/>
          <w:szCs w:val="20"/>
          <w:lang w:val="en-US"/>
        </w:rPr>
        <w:t>the Court</w:t>
      </w:r>
      <w:r w:rsidR="004F1899" w:rsidRPr="00FE7BA7">
        <w:rPr>
          <w:rFonts w:ascii="Verdana" w:hAnsi="Verdana"/>
          <w:sz w:val="20"/>
          <w:szCs w:val="20"/>
          <w:lang w:val="en-US"/>
        </w:rPr>
        <w:t xml:space="preserve"> ha</w:t>
      </w:r>
      <w:r w:rsidRPr="00FE7BA7">
        <w:rPr>
          <w:rFonts w:ascii="Verdana" w:hAnsi="Verdana"/>
          <w:sz w:val="20"/>
          <w:szCs w:val="20"/>
          <w:lang w:val="en-US"/>
        </w:rPr>
        <w:t xml:space="preserve">s established that the State must guarantee that no </w:t>
      </w:r>
      <w:r w:rsidR="00FE7BA7" w:rsidRPr="00FE7BA7">
        <w:rPr>
          <w:rFonts w:ascii="Verdana" w:hAnsi="Verdana"/>
          <w:sz w:val="20"/>
          <w:szCs w:val="20"/>
          <w:lang w:val="en-US"/>
        </w:rPr>
        <w:t>concession</w:t>
      </w:r>
      <w:r w:rsidRPr="00FE7BA7">
        <w:rPr>
          <w:rFonts w:ascii="Verdana" w:hAnsi="Verdana"/>
          <w:sz w:val="20"/>
          <w:szCs w:val="20"/>
          <w:lang w:val="en-US"/>
        </w:rPr>
        <w:t xml:space="preserve"> will be granted within </w:t>
      </w:r>
      <w:r w:rsidR="00511E56" w:rsidRPr="00FE7BA7">
        <w:rPr>
          <w:rFonts w:ascii="Verdana" w:hAnsi="Verdana"/>
          <w:sz w:val="20"/>
          <w:szCs w:val="20"/>
          <w:lang w:val="en-US"/>
        </w:rPr>
        <w:t>the territory</w:t>
      </w:r>
      <w:r w:rsidR="004F1899" w:rsidRPr="00FE7BA7">
        <w:rPr>
          <w:rFonts w:ascii="Verdana" w:hAnsi="Verdana"/>
          <w:sz w:val="20"/>
          <w:szCs w:val="20"/>
          <w:lang w:val="en-US"/>
        </w:rPr>
        <w:t xml:space="preserve"> </w:t>
      </w:r>
      <w:r w:rsidRPr="00FE7BA7">
        <w:rPr>
          <w:rFonts w:ascii="Verdana" w:hAnsi="Verdana"/>
          <w:sz w:val="20"/>
          <w:szCs w:val="20"/>
          <w:lang w:val="en-US"/>
        </w:rPr>
        <w:t>of an indigenous community unless and until indepe</w:t>
      </w:r>
      <w:r w:rsidR="00133AC7">
        <w:rPr>
          <w:rFonts w:ascii="Verdana" w:hAnsi="Verdana"/>
          <w:sz w:val="20"/>
          <w:szCs w:val="20"/>
          <w:lang w:val="en-US"/>
        </w:rPr>
        <w:t>ndent and technically-</w:t>
      </w:r>
      <w:r w:rsidRPr="00FE7BA7">
        <w:rPr>
          <w:rFonts w:ascii="Verdana" w:hAnsi="Verdana"/>
          <w:sz w:val="20"/>
          <w:szCs w:val="20"/>
          <w:lang w:val="en-US"/>
        </w:rPr>
        <w:t>qualified entities, under the State’s supervision, have made a prior assessment of the social and environmental impact.</w:t>
      </w:r>
      <w:r w:rsidR="004F1899" w:rsidRPr="00FE7BA7">
        <w:rPr>
          <w:rStyle w:val="FootnoteReference"/>
          <w:szCs w:val="20"/>
          <w:lang w:val="en-US"/>
        </w:rPr>
        <w:footnoteReference w:id="248"/>
      </w:r>
      <w:r w:rsidRPr="00FE7BA7">
        <w:rPr>
          <w:rFonts w:ascii="Verdana" w:hAnsi="Verdana"/>
          <w:sz w:val="20"/>
          <w:szCs w:val="20"/>
          <w:lang w:val="en-US"/>
        </w:rPr>
        <w:t xml:space="preserve"> The Court has also determined that environmental impact assessments “help to evaluate the possible damage or impact that a development or investment project may have on the property and community in question. The </w:t>
      </w:r>
      <w:r w:rsidRPr="00FE7BA7">
        <w:rPr>
          <w:rFonts w:ascii="Verdana" w:hAnsi="Verdana"/>
          <w:sz w:val="20"/>
          <w:szCs w:val="20"/>
          <w:lang w:val="en-US"/>
        </w:rPr>
        <w:lastRenderedPageBreak/>
        <w:t xml:space="preserve">purpose of [such studies] is not [merely] to </w:t>
      </w:r>
      <w:r w:rsidR="00FE7BA7" w:rsidRPr="00FE7BA7">
        <w:rPr>
          <w:rFonts w:ascii="Verdana" w:hAnsi="Verdana"/>
          <w:sz w:val="20"/>
          <w:szCs w:val="20"/>
          <w:lang w:val="en-US"/>
        </w:rPr>
        <w:t>have</w:t>
      </w:r>
      <w:r w:rsidRPr="00FE7BA7">
        <w:rPr>
          <w:rFonts w:ascii="Verdana" w:hAnsi="Verdana"/>
          <w:sz w:val="20"/>
          <w:szCs w:val="20"/>
          <w:lang w:val="en-US"/>
        </w:rPr>
        <w:t xml:space="preserve"> an objective measurement of the possible impact on land and persons, but also […] to ensure that the members of the people</w:t>
      </w:r>
      <w:r w:rsidR="009841CA">
        <w:rPr>
          <w:rFonts w:ascii="Verdana" w:hAnsi="Verdana"/>
          <w:sz w:val="20"/>
          <w:szCs w:val="20"/>
          <w:lang w:val="en-US"/>
        </w:rPr>
        <w:t>s</w:t>
      </w:r>
      <w:r w:rsidRPr="00FE7BA7">
        <w:rPr>
          <w:rFonts w:ascii="Verdana" w:hAnsi="Verdana"/>
          <w:sz w:val="20"/>
          <w:szCs w:val="20"/>
          <w:lang w:val="en-US"/>
        </w:rPr>
        <w:t xml:space="preserve"> […] are aware of possible risks, including environmental and health risks,”</w:t>
      </w:r>
      <w:r w:rsidR="004F1899" w:rsidRPr="00FE7BA7">
        <w:rPr>
          <w:rFonts w:ascii="Verdana" w:hAnsi="Verdana"/>
          <w:sz w:val="20"/>
          <w:szCs w:val="20"/>
          <w:lang w:val="en-US"/>
        </w:rPr>
        <w:t xml:space="preserve"> </w:t>
      </w:r>
      <w:r w:rsidRPr="00FE7BA7">
        <w:rPr>
          <w:rFonts w:ascii="Verdana" w:hAnsi="Verdana"/>
          <w:sz w:val="20"/>
          <w:szCs w:val="20"/>
          <w:lang w:val="en-US"/>
        </w:rPr>
        <w:t xml:space="preserve">so that they can weigh up whether to accept the proposed </w:t>
      </w:r>
      <w:r w:rsidR="00897EEB" w:rsidRPr="00FE7BA7">
        <w:rPr>
          <w:rFonts w:ascii="Verdana" w:hAnsi="Verdana"/>
          <w:sz w:val="20"/>
          <w:szCs w:val="20"/>
          <w:lang w:val="en-US"/>
        </w:rPr>
        <w:t>development or investment plan</w:t>
      </w:r>
      <w:r w:rsidR="004F1899" w:rsidRPr="00FE7BA7">
        <w:rPr>
          <w:rFonts w:ascii="Verdana" w:hAnsi="Verdana"/>
          <w:sz w:val="20"/>
          <w:szCs w:val="20"/>
          <w:lang w:val="en-US"/>
        </w:rPr>
        <w:t>, “</w:t>
      </w:r>
      <w:r w:rsidRPr="00FE7BA7">
        <w:rPr>
          <w:rFonts w:ascii="Verdana" w:hAnsi="Verdana"/>
          <w:sz w:val="20"/>
          <w:szCs w:val="20"/>
          <w:lang w:val="en-US"/>
        </w:rPr>
        <w:t>voluntarily and with full knowledge.</w:t>
      </w:r>
      <w:r w:rsidR="004F1899" w:rsidRPr="00FE7BA7">
        <w:rPr>
          <w:rFonts w:ascii="Verdana" w:hAnsi="Verdana"/>
          <w:sz w:val="20"/>
          <w:szCs w:val="20"/>
          <w:lang w:val="en-US"/>
        </w:rPr>
        <w:t>”</w:t>
      </w:r>
      <w:r w:rsidR="004F1899" w:rsidRPr="00FE7BA7">
        <w:rPr>
          <w:rStyle w:val="FootnoteReference"/>
          <w:szCs w:val="20"/>
          <w:lang w:val="en-US"/>
        </w:rPr>
        <w:footnoteReference w:id="249"/>
      </w:r>
      <w:r w:rsidRPr="00FE7BA7">
        <w:rPr>
          <w:rFonts w:ascii="Verdana" w:hAnsi="Verdana"/>
          <w:sz w:val="20"/>
          <w:szCs w:val="20"/>
          <w:lang w:val="en-US"/>
        </w:rPr>
        <w:t xml:space="preserve"> The permitted level of impact cannot </w:t>
      </w:r>
      <w:r w:rsidR="00133AC7">
        <w:rPr>
          <w:rFonts w:ascii="Verdana" w:hAnsi="Verdana"/>
          <w:sz w:val="20"/>
          <w:szCs w:val="20"/>
          <w:lang w:val="en-US"/>
        </w:rPr>
        <w:t>negate</w:t>
      </w:r>
      <w:r w:rsidRPr="00FE7BA7">
        <w:rPr>
          <w:rFonts w:ascii="Verdana" w:hAnsi="Verdana"/>
          <w:sz w:val="20"/>
          <w:szCs w:val="20"/>
          <w:lang w:val="en-US"/>
        </w:rPr>
        <w:t xml:space="preserve"> the very survival </w:t>
      </w:r>
      <w:r w:rsidR="00DA4B96" w:rsidRPr="00FE7BA7">
        <w:rPr>
          <w:rFonts w:ascii="Verdana" w:hAnsi="Verdana"/>
          <w:sz w:val="20"/>
          <w:szCs w:val="20"/>
          <w:lang w:val="en-US"/>
        </w:rPr>
        <w:t>of the members</w:t>
      </w:r>
      <w:r w:rsidR="00511E56" w:rsidRPr="00FE7BA7">
        <w:rPr>
          <w:rFonts w:ascii="Verdana" w:hAnsi="Verdana"/>
          <w:sz w:val="20"/>
          <w:szCs w:val="20"/>
          <w:lang w:val="en-US"/>
        </w:rPr>
        <w:t xml:space="preserve"> of the </w:t>
      </w:r>
      <w:r w:rsidR="00967E6B" w:rsidRPr="00FE7BA7">
        <w:rPr>
          <w:rFonts w:ascii="Verdana" w:hAnsi="Verdana"/>
          <w:sz w:val="20"/>
          <w:szCs w:val="20"/>
          <w:lang w:val="en-US"/>
        </w:rPr>
        <w:t>indigenous and tribal peoples</w:t>
      </w:r>
      <w:r w:rsidRPr="00FE7BA7">
        <w:rPr>
          <w:rFonts w:ascii="Verdana" w:hAnsi="Verdana"/>
          <w:sz w:val="20"/>
          <w:szCs w:val="20"/>
          <w:lang w:val="en-US"/>
        </w:rPr>
        <w:t>.</w:t>
      </w:r>
      <w:r w:rsidR="004F1899" w:rsidRPr="00FE7BA7">
        <w:rPr>
          <w:rStyle w:val="FootnoteReference"/>
          <w:szCs w:val="20"/>
          <w:lang w:val="en-US"/>
        </w:rPr>
        <w:footnoteReference w:id="250"/>
      </w:r>
    </w:p>
    <w:p w14:paraId="63126A30" w14:textId="77777777" w:rsidR="004F1899" w:rsidRPr="00FE7BA7" w:rsidRDefault="004F1899" w:rsidP="004F1899">
      <w:pPr>
        <w:pStyle w:val="ListParagraph"/>
        <w:ind w:left="0"/>
        <w:jc w:val="both"/>
        <w:rPr>
          <w:rFonts w:ascii="Verdana" w:hAnsi="Verdana"/>
          <w:sz w:val="20"/>
          <w:szCs w:val="20"/>
          <w:lang w:val="en-US"/>
        </w:rPr>
      </w:pPr>
    </w:p>
    <w:p w14:paraId="63126A31" w14:textId="51F4A55D" w:rsidR="00B97268" w:rsidRPr="00FE7BA7" w:rsidRDefault="00B97268" w:rsidP="004F1899">
      <w:pPr>
        <w:pStyle w:val="ListParagraph"/>
        <w:numPr>
          <w:ilvl w:val="0"/>
          <w:numId w:val="2"/>
        </w:numPr>
        <w:ind w:left="0" w:hanging="11"/>
        <w:jc w:val="both"/>
        <w:rPr>
          <w:rFonts w:ascii="Verdana" w:hAnsi="Verdana"/>
          <w:sz w:val="20"/>
          <w:lang w:val="en-US"/>
        </w:rPr>
      </w:pPr>
      <w:r w:rsidRPr="00FE7BA7">
        <w:rPr>
          <w:rFonts w:ascii="Verdana" w:hAnsi="Verdana"/>
          <w:sz w:val="20"/>
          <w:szCs w:val="20"/>
          <w:lang w:val="en-US"/>
        </w:rPr>
        <w:t xml:space="preserve">In addition, the Court has established that environmental impact assessments must </w:t>
      </w:r>
      <w:r w:rsidR="00FE7BA7" w:rsidRPr="00FE7BA7">
        <w:rPr>
          <w:rFonts w:ascii="Verdana" w:hAnsi="Verdana"/>
          <w:sz w:val="20"/>
          <w:szCs w:val="20"/>
          <w:lang w:val="en-US"/>
        </w:rPr>
        <w:t>respect</w:t>
      </w:r>
      <w:r w:rsidRPr="00FE7BA7">
        <w:rPr>
          <w:rFonts w:ascii="Verdana" w:hAnsi="Verdana"/>
          <w:sz w:val="20"/>
          <w:szCs w:val="20"/>
          <w:lang w:val="en-US"/>
        </w:rPr>
        <w:t xml:space="preserve"> the traditions and culture </w:t>
      </w:r>
      <w:r w:rsidR="00BD40EF" w:rsidRPr="00FE7BA7">
        <w:rPr>
          <w:rFonts w:ascii="Verdana" w:hAnsi="Verdana"/>
          <w:sz w:val="20"/>
          <w:szCs w:val="20"/>
          <w:lang w:val="en-US"/>
        </w:rPr>
        <w:t>of the indigenous peoples</w:t>
      </w:r>
      <w:r w:rsidR="002B5CCD" w:rsidRPr="00FE7BA7">
        <w:rPr>
          <w:rFonts w:ascii="Verdana" w:hAnsi="Verdana"/>
          <w:sz w:val="20"/>
          <w:szCs w:val="20"/>
          <w:lang w:val="en-US"/>
        </w:rPr>
        <w:t xml:space="preserve"> and </w:t>
      </w:r>
      <w:r w:rsidRPr="00FE7BA7">
        <w:rPr>
          <w:rFonts w:ascii="Verdana" w:hAnsi="Verdana"/>
          <w:sz w:val="20"/>
          <w:szCs w:val="20"/>
          <w:lang w:val="en-US"/>
        </w:rPr>
        <w:t>that one of the purposes of requiring such assessments is to ensure the right of the indigenous people to be informed of all proposed projects on their territory.</w:t>
      </w:r>
      <w:r w:rsidR="004F1899" w:rsidRPr="00FE7BA7">
        <w:rPr>
          <w:rStyle w:val="FootnoteReference"/>
          <w:szCs w:val="20"/>
          <w:lang w:val="en-US"/>
        </w:rPr>
        <w:footnoteReference w:id="251"/>
      </w:r>
      <w:r w:rsidRPr="00FE7BA7">
        <w:rPr>
          <w:rFonts w:ascii="Verdana" w:hAnsi="Verdana"/>
          <w:sz w:val="20"/>
          <w:szCs w:val="20"/>
          <w:lang w:val="en-US"/>
        </w:rPr>
        <w:t xml:space="preserve"> Therefore, the State’s obligation to supervise such assessments </w:t>
      </w:r>
      <w:r w:rsidR="009841CA">
        <w:rPr>
          <w:rFonts w:ascii="Verdana" w:hAnsi="Verdana"/>
          <w:sz w:val="20"/>
          <w:szCs w:val="20"/>
          <w:lang w:val="en-US"/>
        </w:rPr>
        <w:t>interrelates</w:t>
      </w:r>
      <w:r w:rsidRPr="00FE7BA7">
        <w:rPr>
          <w:rFonts w:ascii="Verdana" w:hAnsi="Verdana"/>
          <w:sz w:val="20"/>
          <w:szCs w:val="20"/>
          <w:lang w:val="en-US"/>
        </w:rPr>
        <w:t xml:space="preserve"> with its duty to ensure the effective participation of the indigenous people.</w:t>
      </w:r>
      <w:r w:rsidR="004F1899" w:rsidRPr="00FE7BA7">
        <w:rPr>
          <w:rStyle w:val="FootnoteReference"/>
          <w:szCs w:val="20"/>
          <w:lang w:val="en-US"/>
        </w:rPr>
        <w:footnoteReference w:id="252"/>
      </w:r>
      <w:r w:rsidRPr="00FE7BA7">
        <w:rPr>
          <w:rFonts w:ascii="Verdana" w:hAnsi="Verdana"/>
          <w:sz w:val="20"/>
          <w:szCs w:val="20"/>
          <w:lang w:val="en-US"/>
        </w:rPr>
        <w:t xml:space="preserve"> In this regard, the Court reiterates that</w:t>
      </w:r>
      <w:r w:rsidR="00133AC7">
        <w:rPr>
          <w:rFonts w:ascii="Verdana" w:hAnsi="Verdana"/>
          <w:sz w:val="20"/>
          <w:szCs w:val="20"/>
          <w:lang w:val="en-US"/>
        </w:rPr>
        <w:t xml:space="preserve"> in this specific case,</w:t>
      </w:r>
      <w:r w:rsidRPr="00FE7BA7">
        <w:rPr>
          <w:rFonts w:ascii="Verdana" w:hAnsi="Verdana"/>
          <w:sz w:val="20"/>
          <w:szCs w:val="20"/>
          <w:lang w:val="en-US"/>
        </w:rPr>
        <w:t xml:space="preserve"> the safeguard concerning effective participation in the </w:t>
      </w:r>
      <w:r w:rsidR="00133AC7">
        <w:rPr>
          <w:rFonts w:ascii="Verdana" w:hAnsi="Verdana"/>
          <w:sz w:val="20"/>
          <w:szCs w:val="20"/>
          <w:lang w:val="en-US"/>
        </w:rPr>
        <w:t>environmental impact assessment</w:t>
      </w:r>
      <w:r w:rsidRPr="00FE7BA7">
        <w:rPr>
          <w:rFonts w:ascii="Verdana" w:hAnsi="Verdana"/>
          <w:sz w:val="20"/>
          <w:szCs w:val="20"/>
          <w:lang w:val="en-US"/>
        </w:rPr>
        <w:t xml:space="preserve"> </w:t>
      </w:r>
      <w:r w:rsidR="00935EFF">
        <w:rPr>
          <w:rFonts w:ascii="Verdana" w:hAnsi="Verdana"/>
          <w:sz w:val="20"/>
          <w:szCs w:val="20"/>
          <w:lang w:val="en-US"/>
        </w:rPr>
        <w:t>becomes important</w:t>
      </w:r>
      <w:r w:rsidRPr="00FE7BA7">
        <w:rPr>
          <w:rFonts w:ascii="Verdana" w:hAnsi="Verdana"/>
          <w:sz w:val="20"/>
          <w:szCs w:val="20"/>
          <w:lang w:val="en-US"/>
        </w:rPr>
        <w:t xml:space="preserve"> prior to the start-up of exploitation </w:t>
      </w:r>
      <w:r w:rsidR="00133AC7">
        <w:rPr>
          <w:rFonts w:ascii="Verdana" w:hAnsi="Verdana"/>
          <w:sz w:val="20"/>
          <w:szCs w:val="20"/>
          <w:lang w:val="en-US"/>
        </w:rPr>
        <w:t>operations</w:t>
      </w:r>
      <w:r w:rsidRPr="00FE7BA7">
        <w:rPr>
          <w:rFonts w:ascii="Verdana" w:hAnsi="Verdana"/>
          <w:sz w:val="20"/>
          <w:szCs w:val="20"/>
          <w:lang w:val="en-US"/>
        </w:rPr>
        <w:t xml:space="preserve">, because that is when </w:t>
      </w:r>
      <w:r w:rsidR="009841CA">
        <w:rPr>
          <w:rFonts w:ascii="Verdana" w:hAnsi="Verdana"/>
          <w:sz w:val="20"/>
          <w:szCs w:val="20"/>
          <w:lang w:val="en-US"/>
        </w:rPr>
        <w:t>the</w:t>
      </w:r>
      <w:r w:rsidR="00133AC7">
        <w:rPr>
          <w:rFonts w:ascii="Verdana" w:hAnsi="Verdana"/>
          <w:sz w:val="20"/>
          <w:szCs w:val="20"/>
          <w:lang w:val="en-US"/>
        </w:rPr>
        <w:t xml:space="preserve"> </w:t>
      </w:r>
      <w:r w:rsidRPr="00FE7BA7">
        <w:rPr>
          <w:rFonts w:ascii="Verdana" w:hAnsi="Verdana"/>
          <w:sz w:val="20"/>
          <w:szCs w:val="20"/>
          <w:lang w:val="en-US"/>
        </w:rPr>
        <w:t xml:space="preserve">specific area of the whole concession </w:t>
      </w:r>
      <w:r w:rsidR="009841CA">
        <w:rPr>
          <w:rFonts w:ascii="Verdana" w:hAnsi="Verdana"/>
          <w:sz w:val="20"/>
          <w:szCs w:val="20"/>
          <w:lang w:val="en-US"/>
        </w:rPr>
        <w:t xml:space="preserve">in which </w:t>
      </w:r>
      <w:r w:rsidRPr="00FE7BA7">
        <w:rPr>
          <w:rFonts w:ascii="Verdana" w:hAnsi="Verdana"/>
          <w:sz w:val="20"/>
          <w:szCs w:val="20"/>
          <w:lang w:val="en-US"/>
        </w:rPr>
        <w:t xml:space="preserve">the extraction </w:t>
      </w:r>
      <w:r w:rsidR="00133AC7">
        <w:rPr>
          <w:rFonts w:ascii="Verdana" w:hAnsi="Verdana"/>
          <w:sz w:val="20"/>
          <w:szCs w:val="20"/>
          <w:lang w:val="en-US"/>
        </w:rPr>
        <w:t>operations</w:t>
      </w:r>
      <w:r w:rsidRPr="00FE7BA7">
        <w:rPr>
          <w:rFonts w:ascii="Verdana" w:hAnsi="Verdana"/>
          <w:sz w:val="20"/>
          <w:szCs w:val="20"/>
          <w:lang w:val="en-US"/>
        </w:rPr>
        <w:t xml:space="preserve"> will be </w:t>
      </w:r>
      <w:r w:rsidR="00133AC7">
        <w:rPr>
          <w:rFonts w:ascii="Verdana" w:hAnsi="Verdana"/>
          <w:sz w:val="20"/>
          <w:szCs w:val="20"/>
          <w:lang w:val="en-US"/>
        </w:rPr>
        <w:t>execute</w:t>
      </w:r>
      <w:r w:rsidRPr="00FE7BA7">
        <w:rPr>
          <w:rFonts w:ascii="Verdana" w:hAnsi="Verdana"/>
          <w:sz w:val="20"/>
          <w:szCs w:val="20"/>
          <w:lang w:val="en-US"/>
        </w:rPr>
        <w:t>d</w:t>
      </w:r>
      <w:r w:rsidR="009841CA">
        <w:rPr>
          <w:rFonts w:ascii="Verdana" w:hAnsi="Verdana"/>
          <w:sz w:val="20"/>
          <w:szCs w:val="20"/>
          <w:lang w:val="en-US"/>
        </w:rPr>
        <w:t xml:space="preserve"> is determined</w:t>
      </w:r>
      <w:r w:rsidRPr="00FE7BA7">
        <w:rPr>
          <w:rFonts w:ascii="Verdana" w:hAnsi="Verdana"/>
          <w:sz w:val="20"/>
          <w:szCs w:val="20"/>
          <w:lang w:val="en-US"/>
        </w:rPr>
        <w:t>.</w:t>
      </w:r>
    </w:p>
    <w:p w14:paraId="63126A32" w14:textId="77777777" w:rsidR="004F1899" w:rsidRPr="00FE7BA7" w:rsidRDefault="004F1899" w:rsidP="004F1899">
      <w:pPr>
        <w:pStyle w:val="ListParagraph"/>
        <w:ind w:left="0"/>
        <w:jc w:val="both"/>
        <w:rPr>
          <w:rFonts w:ascii="Verdana" w:hAnsi="Verdana"/>
          <w:sz w:val="20"/>
          <w:szCs w:val="20"/>
          <w:lang w:val="en-US"/>
        </w:rPr>
      </w:pPr>
    </w:p>
    <w:p w14:paraId="63126A33" w14:textId="77777777" w:rsidR="004F1899" w:rsidRPr="00FE7BA7" w:rsidRDefault="00B97268" w:rsidP="004F189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In this case, the Court has verified that</w:t>
      </w:r>
      <w:r w:rsidR="00445104">
        <w:rPr>
          <w:rFonts w:ascii="Verdana" w:hAnsi="Verdana"/>
          <w:sz w:val="20"/>
          <w:szCs w:val="20"/>
          <w:lang w:val="en-US"/>
        </w:rPr>
        <w:t>: (a)</w:t>
      </w:r>
      <w:r w:rsidRPr="00FE7BA7">
        <w:rPr>
          <w:rFonts w:ascii="Verdana" w:hAnsi="Verdana"/>
          <w:sz w:val="20"/>
          <w:szCs w:val="20"/>
          <w:lang w:val="en-US"/>
        </w:rPr>
        <w:t xml:space="preserve"> the social and </w:t>
      </w:r>
      <w:r w:rsidR="00445104">
        <w:rPr>
          <w:rFonts w:ascii="Verdana" w:hAnsi="Verdana"/>
          <w:sz w:val="20"/>
          <w:szCs w:val="20"/>
          <w:lang w:val="en-US"/>
        </w:rPr>
        <w:t xml:space="preserve">environmental impact assessment </w:t>
      </w:r>
      <w:r w:rsidRPr="00FE7BA7">
        <w:rPr>
          <w:rFonts w:ascii="Verdana" w:hAnsi="Verdana"/>
          <w:sz w:val="20"/>
          <w:szCs w:val="20"/>
          <w:lang w:val="en-US"/>
        </w:rPr>
        <w:t xml:space="preserve">was not made before the </w:t>
      </w:r>
      <w:r w:rsidR="00FE7BA7" w:rsidRPr="00FE7BA7">
        <w:rPr>
          <w:rFonts w:ascii="Verdana" w:hAnsi="Verdana"/>
          <w:sz w:val="20"/>
          <w:szCs w:val="20"/>
          <w:lang w:val="en-US"/>
        </w:rPr>
        <w:t>startup</w:t>
      </w:r>
      <w:r w:rsidRPr="00FE7BA7">
        <w:rPr>
          <w:rFonts w:ascii="Verdana" w:hAnsi="Verdana"/>
          <w:sz w:val="20"/>
          <w:szCs w:val="20"/>
          <w:lang w:val="en-US"/>
        </w:rPr>
        <w:t xml:space="preserve"> of the extraction activities in </w:t>
      </w:r>
      <w:r w:rsidR="004F1899" w:rsidRPr="00FE7BA7">
        <w:rPr>
          <w:rFonts w:ascii="Verdana" w:hAnsi="Verdana"/>
          <w:sz w:val="20"/>
          <w:szCs w:val="20"/>
          <w:lang w:val="en-US"/>
        </w:rPr>
        <w:t xml:space="preserve">1997; </w:t>
      </w:r>
      <w:r w:rsidRPr="00FE7BA7">
        <w:rPr>
          <w:rFonts w:ascii="Verdana" w:hAnsi="Verdana"/>
          <w:sz w:val="20"/>
          <w:szCs w:val="20"/>
          <w:lang w:val="en-US"/>
        </w:rPr>
        <w:t>(</w:t>
      </w:r>
      <w:r w:rsidR="004F1899" w:rsidRPr="00FE7BA7">
        <w:rPr>
          <w:rFonts w:ascii="Verdana" w:hAnsi="Verdana"/>
          <w:sz w:val="20"/>
          <w:szCs w:val="20"/>
          <w:lang w:val="en-US"/>
        </w:rPr>
        <w:t xml:space="preserve">b) </w:t>
      </w:r>
      <w:r w:rsidRPr="00FE7BA7">
        <w:rPr>
          <w:rFonts w:ascii="Verdana" w:hAnsi="Verdana"/>
          <w:sz w:val="20"/>
          <w:szCs w:val="20"/>
          <w:lang w:val="en-US"/>
        </w:rPr>
        <w:t xml:space="preserve">domestic law did not require such an assessment </w:t>
      </w:r>
      <w:r w:rsidR="004F1899" w:rsidRPr="00FE7BA7">
        <w:rPr>
          <w:rFonts w:ascii="Verdana" w:hAnsi="Verdana"/>
          <w:sz w:val="20"/>
          <w:szCs w:val="20"/>
          <w:lang w:val="en-US"/>
        </w:rPr>
        <w:t>(</w:t>
      </w:r>
      <w:r w:rsidR="004F1899" w:rsidRPr="00FE7BA7">
        <w:rPr>
          <w:rFonts w:ascii="Verdana" w:hAnsi="Verdana"/>
          <w:i/>
          <w:sz w:val="20"/>
          <w:szCs w:val="20"/>
          <w:lang w:val="en-US"/>
        </w:rPr>
        <w:t>supra</w:t>
      </w:r>
      <w:r w:rsidR="004F1899" w:rsidRPr="00FE7BA7">
        <w:rPr>
          <w:rFonts w:ascii="Verdana" w:hAnsi="Verdana"/>
          <w:sz w:val="20"/>
          <w:szCs w:val="20"/>
          <w:lang w:val="en-US"/>
        </w:rPr>
        <w:t xml:space="preserve"> </w:t>
      </w:r>
      <w:r w:rsidR="00810FAD" w:rsidRPr="00FE7BA7">
        <w:rPr>
          <w:rFonts w:ascii="Verdana" w:hAnsi="Verdana"/>
          <w:sz w:val="20"/>
          <w:szCs w:val="20"/>
          <w:lang w:val="en-US"/>
        </w:rPr>
        <w:t>para.</w:t>
      </w:r>
      <w:r w:rsidR="004F1899" w:rsidRPr="00FE7BA7">
        <w:rPr>
          <w:rFonts w:ascii="Verdana" w:hAnsi="Verdana"/>
          <w:sz w:val="20"/>
          <w:szCs w:val="20"/>
          <w:lang w:val="en-US"/>
        </w:rPr>
        <w:t xml:space="preserve"> </w:t>
      </w:r>
      <w:r w:rsidR="00C544F3" w:rsidRPr="00FE7BA7">
        <w:rPr>
          <w:rFonts w:ascii="Verdana" w:hAnsi="Verdana"/>
          <w:sz w:val="20"/>
          <w:szCs w:val="20"/>
          <w:lang w:val="en-US"/>
        </w:rPr>
        <w:t>213</w:t>
      </w:r>
      <w:r w:rsidR="004F1899" w:rsidRPr="00FE7BA7">
        <w:rPr>
          <w:rFonts w:ascii="Verdana" w:hAnsi="Verdana"/>
          <w:sz w:val="20"/>
          <w:szCs w:val="20"/>
          <w:lang w:val="en-US"/>
        </w:rPr>
        <w:t xml:space="preserve">); </w:t>
      </w:r>
      <w:r w:rsidRPr="00FE7BA7">
        <w:rPr>
          <w:rFonts w:ascii="Verdana" w:hAnsi="Verdana"/>
          <w:sz w:val="20"/>
          <w:szCs w:val="20"/>
          <w:lang w:val="en-US"/>
        </w:rPr>
        <w:t>(</w:t>
      </w:r>
      <w:r w:rsidR="004F1899" w:rsidRPr="00FE7BA7">
        <w:rPr>
          <w:rFonts w:ascii="Verdana" w:hAnsi="Verdana"/>
          <w:sz w:val="20"/>
          <w:szCs w:val="20"/>
          <w:lang w:val="en-US"/>
        </w:rPr>
        <w:t xml:space="preserve">c) </w:t>
      </w:r>
      <w:r w:rsidRPr="00FE7BA7">
        <w:rPr>
          <w:rFonts w:ascii="Verdana" w:hAnsi="Verdana"/>
          <w:sz w:val="20"/>
          <w:szCs w:val="20"/>
          <w:lang w:val="en-US"/>
        </w:rPr>
        <w:t xml:space="preserve">the first assessment was made in 2005, eight years after the </w:t>
      </w:r>
      <w:r w:rsidR="00FE7BA7" w:rsidRPr="00FE7BA7">
        <w:rPr>
          <w:rFonts w:ascii="Verdana" w:hAnsi="Verdana"/>
          <w:sz w:val="20"/>
          <w:szCs w:val="20"/>
          <w:lang w:val="en-US"/>
        </w:rPr>
        <w:t>startup</w:t>
      </w:r>
      <w:r w:rsidRPr="00FE7BA7">
        <w:rPr>
          <w:rFonts w:ascii="Verdana" w:hAnsi="Verdana"/>
          <w:sz w:val="20"/>
          <w:szCs w:val="20"/>
          <w:lang w:val="en-US"/>
        </w:rPr>
        <w:t xml:space="preserve"> of exploitation</w:t>
      </w:r>
      <w:r w:rsidR="00445104">
        <w:rPr>
          <w:rFonts w:ascii="Verdana" w:hAnsi="Verdana"/>
          <w:sz w:val="20"/>
          <w:szCs w:val="20"/>
          <w:lang w:val="en-US"/>
        </w:rPr>
        <w:t>,</w:t>
      </w:r>
      <w:r w:rsidRPr="00FE7BA7">
        <w:rPr>
          <w:rFonts w:ascii="Verdana" w:hAnsi="Verdana"/>
          <w:sz w:val="20"/>
          <w:szCs w:val="20"/>
          <w:lang w:val="en-US"/>
        </w:rPr>
        <w:t xml:space="preserve"> and </w:t>
      </w:r>
      <w:r w:rsidR="00635A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did not participate in it be</w:t>
      </w:r>
      <w:r w:rsidR="00445104">
        <w:rPr>
          <w:rFonts w:ascii="Verdana" w:hAnsi="Verdana"/>
          <w:sz w:val="20"/>
          <w:szCs w:val="20"/>
          <w:lang w:val="en-US"/>
        </w:rPr>
        <w:t>fore it was accepted, and (d) the assessment</w:t>
      </w:r>
      <w:r w:rsidR="009841CA">
        <w:rPr>
          <w:rFonts w:ascii="Verdana" w:hAnsi="Verdana"/>
          <w:sz w:val="20"/>
          <w:szCs w:val="20"/>
          <w:lang w:val="en-US"/>
        </w:rPr>
        <w:t xml:space="preserve"> was carried out by</w:t>
      </w:r>
      <w:r w:rsidRPr="00FE7BA7">
        <w:rPr>
          <w:rFonts w:ascii="Verdana" w:hAnsi="Verdana"/>
          <w:sz w:val="20"/>
          <w:szCs w:val="20"/>
          <w:lang w:val="en-US"/>
        </w:rPr>
        <w:t xml:space="preserve"> a private entity, subcontracted by the mining company, </w:t>
      </w:r>
      <w:r w:rsidR="00445104">
        <w:rPr>
          <w:rFonts w:ascii="Verdana" w:hAnsi="Verdana"/>
          <w:sz w:val="20"/>
          <w:szCs w:val="20"/>
          <w:lang w:val="en-US"/>
        </w:rPr>
        <w:t>and there is</w:t>
      </w:r>
      <w:r w:rsidRPr="00FE7BA7">
        <w:rPr>
          <w:rFonts w:ascii="Verdana" w:hAnsi="Verdana"/>
          <w:sz w:val="20"/>
          <w:szCs w:val="20"/>
          <w:lang w:val="en-US"/>
        </w:rPr>
        <w:t xml:space="preserve"> no evidence that it was subject to subsequent supervision or monitoring by State </w:t>
      </w:r>
      <w:r w:rsidR="00445104">
        <w:rPr>
          <w:rFonts w:ascii="Verdana" w:hAnsi="Verdana"/>
          <w:sz w:val="20"/>
          <w:szCs w:val="20"/>
          <w:lang w:val="en-US"/>
        </w:rPr>
        <w:t>agencies</w:t>
      </w:r>
      <w:r w:rsidRPr="00FE7BA7">
        <w:rPr>
          <w:rFonts w:ascii="Verdana" w:hAnsi="Verdana"/>
          <w:sz w:val="20"/>
          <w:szCs w:val="20"/>
          <w:lang w:val="en-US"/>
        </w:rPr>
        <w:t>. Consequently, the environmental impact assessment was not prepared in keeping with the provisions of the Court’s case law, or with the relevant international standards.</w:t>
      </w:r>
      <w:r w:rsidR="00011ED0" w:rsidRPr="00FE7BA7">
        <w:rPr>
          <w:rStyle w:val="FootnoteReference"/>
          <w:szCs w:val="20"/>
          <w:lang w:val="en-US"/>
        </w:rPr>
        <w:footnoteReference w:id="253"/>
      </w:r>
    </w:p>
    <w:p w14:paraId="63126A34" w14:textId="77777777" w:rsidR="004F1899" w:rsidRPr="00FE7BA7" w:rsidRDefault="004F1899" w:rsidP="004F1899">
      <w:pPr>
        <w:pStyle w:val="ListParagraph"/>
        <w:ind w:left="0"/>
        <w:jc w:val="both"/>
        <w:rPr>
          <w:rFonts w:ascii="Verdana" w:hAnsi="Verdana"/>
          <w:sz w:val="20"/>
          <w:szCs w:val="20"/>
          <w:lang w:val="en-US"/>
        </w:rPr>
      </w:pPr>
    </w:p>
    <w:p w14:paraId="63126A35" w14:textId="074E4D46" w:rsidR="004F1899" w:rsidRPr="00FE7BA7" w:rsidRDefault="002B5CCD" w:rsidP="00CD5A23">
      <w:pPr>
        <w:pStyle w:val="ListParagraph"/>
        <w:numPr>
          <w:ilvl w:val="0"/>
          <w:numId w:val="2"/>
        </w:numPr>
        <w:ind w:left="0" w:hanging="11"/>
        <w:jc w:val="both"/>
        <w:rPr>
          <w:rFonts w:ascii="Verdana" w:hAnsi="Verdana"/>
          <w:sz w:val="20"/>
          <w:lang w:val="en-US"/>
        </w:rPr>
      </w:pPr>
      <w:r w:rsidRPr="00D30EC1">
        <w:rPr>
          <w:rFonts w:ascii="Verdana" w:hAnsi="Verdana"/>
          <w:sz w:val="20"/>
          <w:szCs w:val="20"/>
          <w:lang w:val="en-US"/>
        </w:rPr>
        <w:t>The Court</w:t>
      </w:r>
      <w:r w:rsidR="004F1899" w:rsidRPr="00D30EC1">
        <w:rPr>
          <w:rFonts w:ascii="Verdana" w:hAnsi="Verdana"/>
          <w:sz w:val="20"/>
          <w:szCs w:val="20"/>
          <w:lang w:val="en-US"/>
        </w:rPr>
        <w:t xml:space="preserve"> t</w:t>
      </w:r>
      <w:r w:rsidR="00CD5A23" w:rsidRPr="00D30EC1">
        <w:rPr>
          <w:rFonts w:ascii="Verdana" w:hAnsi="Verdana"/>
          <w:sz w:val="20"/>
          <w:szCs w:val="20"/>
          <w:lang w:val="en-US"/>
        </w:rPr>
        <w:t>akes note that</w:t>
      </w:r>
      <w:r w:rsidR="00CD5A23" w:rsidRPr="00FE7BA7">
        <w:rPr>
          <w:rFonts w:ascii="Verdana" w:hAnsi="Verdana"/>
          <w:sz w:val="20"/>
          <w:szCs w:val="20"/>
          <w:lang w:val="en-US"/>
        </w:rPr>
        <w:t xml:space="preserve"> the </w:t>
      </w:r>
      <w:r w:rsidR="004F1899" w:rsidRPr="00FE7BA7">
        <w:rPr>
          <w:rFonts w:ascii="Verdana" w:hAnsi="Verdana"/>
          <w:sz w:val="20"/>
          <w:szCs w:val="20"/>
          <w:lang w:val="en-US"/>
        </w:rPr>
        <w:t>Wane Kreek</w:t>
      </w:r>
      <w:r w:rsidR="00CD5A23" w:rsidRPr="00FE7BA7">
        <w:rPr>
          <w:rFonts w:ascii="Verdana" w:hAnsi="Verdana"/>
          <w:sz w:val="20"/>
          <w:szCs w:val="20"/>
          <w:lang w:val="en-US"/>
        </w:rPr>
        <w:t xml:space="preserve"> Nature Reserve</w:t>
      </w:r>
      <w:r w:rsidR="004F1899" w:rsidRPr="00FE7BA7">
        <w:rPr>
          <w:rFonts w:ascii="Verdana" w:hAnsi="Verdana"/>
          <w:sz w:val="20"/>
          <w:szCs w:val="20"/>
          <w:lang w:val="en-US"/>
        </w:rPr>
        <w:t xml:space="preserve"> </w:t>
      </w:r>
      <w:r w:rsidR="00CD5A23" w:rsidRPr="00FE7BA7">
        <w:rPr>
          <w:rFonts w:ascii="Verdana" w:hAnsi="Verdana"/>
          <w:sz w:val="20"/>
          <w:szCs w:val="20"/>
          <w:lang w:val="en-US"/>
        </w:rPr>
        <w:t xml:space="preserve">was established in order to protect and </w:t>
      </w:r>
      <w:r w:rsidR="00FE7BA7" w:rsidRPr="00FE7BA7">
        <w:rPr>
          <w:rFonts w:ascii="Verdana" w:hAnsi="Verdana"/>
          <w:sz w:val="20"/>
          <w:szCs w:val="20"/>
          <w:lang w:val="en-US"/>
        </w:rPr>
        <w:t>conserve</w:t>
      </w:r>
      <w:r w:rsidR="00CD5A23" w:rsidRPr="00FE7BA7">
        <w:rPr>
          <w:rFonts w:ascii="Verdana" w:hAnsi="Verdana"/>
          <w:sz w:val="20"/>
          <w:szCs w:val="20"/>
          <w:lang w:val="en-US"/>
        </w:rPr>
        <w:t xml:space="preserve"> nine unique ecosystems </w:t>
      </w:r>
      <w:r w:rsidR="004F1899" w:rsidRPr="00FE7BA7">
        <w:rPr>
          <w:rFonts w:ascii="Verdana" w:hAnsi="Verdana"/>
          <w:sz w:val="20"/>
          <w:szCs w:val="20"/>
          <w:lang w:val="en-US"/>
        </w:rPr>
        <w:t>(</w:t>
      </w:r>
      <w:r w:rsidR="004F1899" w:rsidRPr="00FE7BA7">
        <w:rPr>
          <w:rFonts w:ascii="Verdana" w:hAnsi="Verdana"/>
          <w:i/>
          <w:sz w:val="20"/>
          <w:szCs w:val="20"/>
          <w:lang w:val="en-US"/>
        </w:rPr>
        <w:t>supra</w:t>
      </w:r>
      <w:r w:rsidR="004F1899" w:rsidRPr="00FE7BA7">
        <w:rPr>
          <w:rFonts w:ascii="Verdana" w:hAnsi="Verdana"/>
          <w:sz w:val="20"/>
          <w:szCs w:val="20"/>
          <w:lang w:val="en-US"/>
        </w:rPr>
        <w:t xml:space="preserve"> </w:t>
      </w:r>
      <w:r w:rsidR="00810FAD" w:rsidRPr="00FE7BA7">
        <w:rPr>
          <w:rFonts w:ascii="Verdana" w:hAnsi="Verdana"/>
          <w:sz w:val="20"/>
          <w:szCs w:val="20"/>
          <w:lang w:val="en-US"/>
        </w:rPr>
        <w:t>para.</w:t>
      </w:r>
      <w:r w:rsidR="004F1899" w:rsidRPr="00FE7BA7">
        <w:rPr>
          <w:rFonts w:ascii="Verdana" w:hAnsi="Verdana"/>
          <w:sz w:val="20"/>
          <w:szCs w:val="20"/>
          <w:lang w:val="en-US"/>
        </w:rPr>
        <w:t xml:space="preserve"> </w:t>
      </w:r>
      <w:r w:rsidR="00011ED0" w:rsidRPr="00FE7BA7">
        <w:rPr>
          <w:rFonts w:ascii="Verdana" w:hAnsi="Verdana"/>
          <w:sz w:val="20"/>
          <w:szCs w:val="20"/>
          <w:lang w:val="en-US"/>
        </w:rPr>
        <w:t>81</w:t>
      </w:r>
      <w:r w:rsidR="004F1899" w:rsidRPr="00FE7BA7">
        <w:rPr>
          <w:rFonts w:ascii="Verdana" w:hAnsi="Verdana"/>
          <w:sz w:val="20"/>
          <w:szCs w:val="20"/>
          <w:lang w:val="en-US"/>
        </w:rPr>
        <w:t xml:space="preserve">) </w:t>
      </w:r>
      <w:r w:rsidR="00CD5A23" w:rsidRPr="00FE7BA7">
        <w:rPr>
          <w:rFonts w:ascii="Verdana" w:hAnsi="Verdana"/>
          <w:sz w:val="20"/>
          <w:szCs w:val="20"/>
          <w:lang w:val="en-US"/>
        </w:rPr>
        <w:t xml:space="preserve">in part </w:t>
      </w:r>
      <w:r w:rsidR="00511E56" w:rsidRPr="00FE7BA7">
        <w:rPr>
          <w:rFonts w:ascii="Verdana" w:hAnsi="Verdana"/>
          <w:sz w:val="20"/>
          <w:szCs w:val="20"/>
          <w:lang w:val="en-US"/>
        </w:rPr>
        <w:t>of the territory</w:t>
      </w:r>
      <w:r w:rsidR="004F1899" w:rsidRPr="00FE7BA7">
        <w:rPr>
          <w:rFonts w:ascii="Verdana" w:hAnsi="Verdana"/>
          <w:sz w:val="20"/>
          <w:szCs w:val="20"/>
          <w:lang w:val="en-US"/>
        </w:rPr>
        <w:t xml:space="preserve"> </w:t>
      </w:r>
      <w:r w:rsidR="00CD5A23" w:rsidRPr="00FE7BA7">
        <w:rPr>
          <w:rFonts w:ascii="Verdana" w:hAnsi="Verdana"/>
          <w:sz w:val="20"/>
          <w:szCs w:val="20"/>
          <w:lang w:val="en-US"/>
        </w:rPr>
        <w:t xml:space="preserve">claimed as traditional by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4F1899" w:rsidRPr="00FE7BA7">
        <w:rPr>
          <w:rFonts w:ascii="Verdana" w:hAnsi="Verdana"/>
          <w:sz w:val="20"/>
          <w:szCs w:val="20"/>
          <w:lang w:val="en-US"/>
        </w:rPr>
        <w:t xml:space="preserve">. </w:t>
      </w:r>
      <w:r w:rsidR="00CD5A23" w:rsidRPr="00FE7BA7">
        <w:rPr>
          <w:rFonts w:ascii="Verdana" w:hAnsi="Verdana"/>
          <w:sz w:val="20"/>
          <w:szCs w:val="20"/>
          <w:lang w:val="en-US"/>
        </w:rPr>
        <w:t xml:space="preserve">However, the Court </w:t>
      </w:r>
      <w:r w:rsidR="00D30EC1">
        <w:rPr>
          <w:rFonts w:ascii="Verdana" w:hAnsi="Verdana"/>
          <w:sz w:val="20"/>
          <w:szCs w:val="20"/>
          <w:lang w:val="en-US"/>
        </w:rPr>
        <w:t>observes</w:t>
      </w:r>
      <w:r w:rsidR="00CD5A23" w:rsidRPr="00FE7BA7">
        <w:rPr>
          <w:rFonts w:ascii="Verdana" w:hAnsi="Verdana"/>
          <w:sz w:val="20"/>
          <w:szCs w:val="20"/>
          <w:lang w:val="en-US"/>
        </w:rPr>
        <w:t xml:space="preserve"> that, to the contrary, the extraction of bauxite in </w:t>
      </w:r>
      <w:r w:rsidR="004F1899" w:rsidRPr="00FE7BA7">
        <w:rPr>
          <w:rFonts w:ascii="Verdana" w:hAnsi="Verdana"/>
          <w:sz w:val="20"/>
          <w:szCs w:val="20"/>
          <w:lang w:val="en-US"/>
        </w:rPr>
        <w:t xml:space="preserve">Wane Kreek </w:t>
      </w:r>
      <w:r w:rsidR="00945095" w:rsidRPr="00FE7BA7">
        <w:rPr>
          <w:rFonts w:ascii="Verdana" w:hAnsi="Verdana"/>
          <w:sz w:val="20"/>
          <w:szCs w:val="20"/>
          <w:lang w:val="en-US"/>
        </w:rPr>
        <w:t>1</w:t>
      </w:r>
      <w:r w:rsidRPr="00FE7BA7">
        <w:rPr>
          <w:rFonts w:ascii="Verdana" w:hAnsi="Verdana"/>
          <w:sz w:val="20"/>
          <w:szCs w:val="20"/>
          <w:lang w:val="en-US"/>
        </w:rPr>
        <w:t xml:space="preserve"> and </w:t>
      </w:r>
      <w:r w:rsidR="00945095" w:rsidRPr="00FE7BA7">
        <w:rPr>
          <w:rFonts w:ascii="Verdana" w:hAnsi="Verdana"/>
          <w:sz w:val="20"/>
          <w:szCs w:val="20"/>
          <w:lang w:val="en-US"/>
        </w:rPr>
        <w:t>2</w:t>
      </w:r>
      <w:r w:rsidR="004F1899" w:rsidRPr="00FE7BA7">
        <w:rPr>
          <w:rFonts w:ascii="Verdana" w:hAnsi="Verdana"/>
          <w:sz w:val="20"/>
          <w:szCs w:val="20"/>
          <w:lang w:val="en-US"/>
        </w:rPr>
        <w:t xml:space="preserve"> </w:t>
      </w:r>
      <w:r w:rsidR="00CD5A23" w:rsidRPr="00FE7BA7">
        <w:rPr>
          <w:rFonts w:ascii="Verdana" w:hAnsi="Verdana"/>
          <w:sz w:val="20"/>
          <w:szCs w:val="20"/>
          <w:lang w:val="en-US"/>
        </w:rPr>
        <w:t>resulted in serious damage to the environment and to the natural resources necessary for the su</w:t>
      </w:r>
      <w:r w:rsidR="00D30EC1">
        <w:rPr>
          <w:rFonts w:ascii="Verdana" w:hAnsi="Verdana"/>
          <w:sz w:val="20"/>
          <w:szCs w:val="20"/>
          <w:lang w:val="en-US"/>
        </w:rPr>
        <w:t>rvival</w:t>
      </w:r>
      <w:r w:rsidR="00CD5A23" w:rsidRPr="00FE7BA7">
        <w:rPr>
          <w:rFonts w:ascii="Verdana" w:hAnsi="Verdana"/>
          <w:sz w:val="20"/>
          <w:szCs w:val="20"/>
          <w:lang w:val="en-US"/>
        </w:rPr>
        <w:t xml:space="preserve"> and development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 xml:space="preserve">Kaliña and </w:t>
      </w:r>
      <w:r w:rsidR="004C7D14" w:rsidRPr="00FE7BA7">
        <w:rPr>
          <w:rFonts w:ascii="Verdana" w:hAnsi="Verdana"/>
          <w:sz w:val="20"/>
          <w:szCs w:val="20"/>
          <w:lang w:val="en-US"/>
        </w:rPr>
        <w:lastRenderedPageBreak/>
        <w:t>Lokono peoples</w:t>
      </w:r>
      <w:r w:rsidR="004F1899" w:rsidRPr="00FE7BA7">
        <w:rPr>
          <w:rFonts w:ascii="Verdana" w:hAnsi="Verdana"/>
          <w:sz w:val="20"/>
          <w:szCs w:val="20"/>
          <w:lang w:val="en-US"/>
        </w:rPr>
        <w:t xml:space="preserve"> (</w:t>
      </w:r>
      <w:r w:rsidR="004F1899" w:rsidRPr="00FE7BA7">
        <w:rPr>
          <w:rFonts w:ascii="Verdana" w:hAnsi="Verdana"/>
          <w:i/>
          <w:sz w:val="20"/>
          <w:szCs w:val="20"/>
          <w:lang w:val="en-US"/>
        </w:rPr>
        <w:t>supra</w:t>
      </w:r>
      <w:r w:rsidR="004F1899" w:rsidRPr="00FE7BA7">
        <w:rPr>
          <w:rFonts w:ascii="Verdana" w:hAnsi="Verdana"/>
          <w:sz w:val="20"/>
          <w:szCs w:val="20"/>
          <w:lang w:val="en-US"/>
        </w:rPr>
        <w:t xml:space="preserve"> </w:t>
      </w:r>
      <w:r w:rsidR="008F798A" w:rsidRPr="00FE7BA7">
        <w:rPr>
          <w:rFonts w:ascii="Verdana" w:hAnsi="Verdana"/>
          <w:sz w:val="20"/>
          <w:szCs w:val="20"/>
          <w:lang w:val="en-US"/>
        </w:rPr>
        <w:t>paras.</w:t>
      </w:r>
      <w:r w:rsidR="004F1899" w:rsidRPr="00FE7BA7">
        <w:rPr>
          <w:rFonts w:ascii="Verdana" w:hAnsi="Verdana"/>
          <w:sz w:val="20"/>
          <w:szCs w:val="20"/>
          <w:lang w:val="en-US"/>
        </w:rPr>
        <w:t xml:space="preserve"> </w:t>
      </w:r>
      <w:r w:rsidR="00EA517B" w:rsidRPr="00FE7BA7">
        <w:rPr>
          <w:rFonts w:ascii="Verdana" w:hAnsi="Verdana"/>
          <w:sz w:val="20"/>
          <w:szCs w:val="20"/>
          <w:lang w:val="en-US"/>
        </w:rPr>
        <w:t>91</w:t>
      </w:r>
      <w:r w:rsidRPr="00FE7BA7">
        <w:rPr>
          <w:rFonts w:ascii="Verdana" w:hAnsi="Verdana"/>
          <w:sz w:val="20"/>
          <w:szCs w:val="20"/>
          <w:lang w:val="en-US"/>
        </w:rPr>
        <w:t xml:space="preserve"> and </w:t>
      </w:r>
      <w:r w:rsidR="00011ED0" w:rsidRPr="00FE7BA7">
        <w:rPr>
          <w:rFonts w:ascii="Verdana" w:hAnsi="Verdana"/>
          <w:sz w:val="20"/>
          <w:szCs w:val="20"/>
          <w:lang w:val="en-US"/>
        </w:rPr>
        <w:t>92</w:t>
      </w:r>
      <w:r w:rsidR="004F1899" w:rsidRPr="00FE7BA7">
        <w:rPr>
          <w:rFonts w:ascii="Verdana" w:hAnsi="Verdana"/>
          <w:sz w:val="20"/>
          <w:szCs w:val="20"/>
          <w:lang w:val="en-US"/>
        </w:rPr>
        <w:t xml:space="preserve">). </w:t>
      </w:r>
      <w:r w:rsidR="00CD5A23" w:rsidRPr="00FE7BA7">
        <w:rPr>
          <w:rFonts w:ascii="Verdana" w:hAnsi="Verdana"/>
          <w:sz w:val="20"/>
          <w:szCs w:val="20"/>
          <w:lang w:val="en-US"/>
        </w:rPr>
        <w:t>In this regard, according to various testimonies</w:t>
      </w:r>
      <w:r w:rsidR="004F1899" w:rsidRPr="00FE7BA7">
        <w:rPr>
          <w:rStyle w:val="FootnoteReference"/>
          <w:szCs w:val="20"/>
          <w:lang w:val="en-US"/>
        </w:rPr>
        <w:footnoteReference w:id="254"/>
      </w:r>
      <w:r w:rsidR="004F1899" w:rsidRPr="00FE7BA7">
        <w:rPr>
          <w:rFonts w:ascii="Verdana" w:hAnsi="Verdana"/>
          <w:sz w:val="20"/>
          <w:szCs w:val="20"/>
          <w:lang w:val="en-US"/>
        </w:rPr>
        <w:t xml:space="preserve">, </w:t>
      </w:r>
      <w:r w:rsidR="00CD5A23" w:rsidRPr="00FE7BA7">
        <w:rPr>
          <w:rFonts w:ascii="Verdana" w:hAnsi="Verdana"/>
          <w:sz w:val="20"/>
          <w:szCs w:val="20"/>
          <w:lang w:val="en-US"/>
        </w:rPr>
        <w:t xml:space="preserve">extraction </w:t>
      </w:r>
      <w:r w:rsidR="00445104">
        <w:rPr>
          <w:rFonts w:ascii="Verdana" w:hAnsi="Verdana"/>
          <w:sz w:val="20"/>
          <w:szCs w:val="20"/>
          <w:lang w:val="en-US"/>
        </w:rPr>
        <w:t>operation</w:t>
      </w:r>
      <w:r w:rsidR="00D30EC1">
        <w:rPr>
          <w:rFonts w:ascii="Verdana" w:hAnsi="Verdana"/>
          <w:sz w:val="20"/>
          <w:szCs w:val="20"/>
          <w:lang w:val="en-US"/>
        </w:rPr>
        <w:t>s</w:t>
      </w:r>
      <w:r w:rsidR="00445104">
        <w:rPr>
          <w:rFonts w:ascii="Verdana" w:hAnsi="Verdana"/>
          <w:sz w:val="20"/>
          <w:szCs w:val="20"/>
          <w:lang w:val="en-US"/>
        </w:rPr>
        <w:t xml:space="preserve"> </w:t>
      </w:r>
      <w:r w:rsidR="00CD5A23" w:rsidRPr="00FE7BA7">
        <w:rPr>
          <w:rFonts w:ascii="Verdana" w:hAnsi="Verdana"/>
          <w:sz w:val="20"/>
          <w:szCs w:val="20"/>
          <w:lang w:val="en-US"/>
        </w:rPr>
        <w:t xml:space="preserve">had a widespread impact on this area, because the noise of the construction work and the </w:t>
      </w:r>
      <w:r w:rsidR="00445104">
        <w:rPr>
          <w:rFonts w:ascii="Verdana" w:hAnsi="Verdana"/>
          <w:sz w:val="20"/>
          <w:szCs w:val="20"/>
          <w:lang w:val="en-US"/>
        </w:rPr>
        <w:t>frequent</w:t>
      </w:r>
      <w:r w:rsidR="00CD5A23" w:rsidRPr="00FE7BA7">
        <w:rPr>
          <w:rFonts w:ascii="Verdana" w:hAnsi="Verdana"/>
          <w:sz w:val="20"/>
          <w:szCs w:val="20"/>
          <w:lang w:val="en-US"/>
        </w:rPr>
        <w:t xml:space="preserve"> dynamite </w:t>
      </w:r>
      <w:r w:rsidR="00445104">
        <w:rPr>
          <w:rFonts w:ascii="Verdana" w:hAnsi="Verdana"/>
          <w:sz w:val="20"/>
          <w:szCs w:val="20"/>
          <w:lang w:val="en-US"/>
        </w:rPr>
        <w:t xml:space="preserve">explosions </w:t>
      </w:r>
      <w:r w:rsidR="00CD5A23" w:rsidRPr="00FE7BA7">
        <w:rPr>
          <w:rFonts w:ascii="Verdana" w:hAnsi="Verdana"/>
          <w:sz w:val="20"/>
          <w:szCs w:val="20"/>
          <w:lang w:val="en-US"/>
        </w:rPr>
        <w:t xml:space="preserve">caused the animals and birds to </w:t>
      </w:r>
      <w:r w:rsidR="000C03DF">
        <w:rPr>
          <w:rFonts w:ascii="Verdana" w:hAnsi="Verdana"/>
          <w:sz w:val="20"/>
          <w:szCs w:val="20"/>
          <w:lang w:val="en-US"/>
        </w:rPr>
        <w:t>leave the area</w:t>
      </w:r>
      <w:r w:rsidR="00CD5A23" w:rsidRPr="00FE7BA7">
        <w:rPr>
          <w:rFonts w:ascii="Verdana" w:hAnsi="Verdana"/>
          <w:sz w:val="20"/>
          <w:szCs w:val="20"/>
          <w:lang w:val="en-US"/>
        </w:rPr>
        <w:t xml:space="preserve">; the streams were contaminated, thus harming the fishing; the cutting down of trees and the noise of the </w:t>
      </w:r>
      <w:r w:rsidR="00445104">
        <w:rPr>
          <w:rFonts w:ascii="Verdana" w:hAnsi="Verdana"/>
          <w:sz w:val="20"/>
          <w:szCs w:val="20"/>
          <w:lang w:val="en-US"/>
        </w:rPr>
        <w:t xml:space="preserve">operations </w:t>
      </w:r>
      <w:r w:rsidR="00CD5A23" w:rsidRPr="00FE7BA7">
        <w:rPr>
          <w:rFonts w:ascii="Verdana" w:hAnsi="Verdana"/>
          <w:sz w:val="20"/>
          <w:szCs w:val="20"/>
          <w:lang w:val="en-US"/>
        </w:rPr>
        <w:t xml:space="preserve">drove away different </w:t>
      </w:r>
      <w:r w:rsidR="00445104">
        <w:rPr>
          <w:rFonts w:ascii="Verdana" w:hAnsi="Verdana"/>
          <w:sz w:val="20"/>
          <w:szCs w:val="20"/>
          <w:lang w:val="en-US"/>
        </w:rPr>
        <w:t>types of wildlife</w:t>
      </w:r>
      <w:r w:rsidR="00CD5A23" w:rsidRPr="00FE7BA7">
        <w:rPr>
          <w:rFonts w:ascii="Verdana" w:hAnsi="Verdana"/>
          <w:sz w:val="20"/>
          <w:szCs w:val="20"/>
          <w:lang w:val="en-US"/>
        </w:rPr>
        <w:t>, thereby affecting the hunting,</w:t>
      </w:r>
      <w:r w:rsidR="00CD5A23" w:rsidRPr="00FE7BA7">
        <w:rPr>
          <w:rStyle w:val="FootnoteReference"/>
          <w:szCs w:val="20"/>
          <w:lang w:val="en-US"/>
        </w:rPr>
        <w:footnoteReference w:id="255"/>
      </w:r>
      <w:r w:rsidR="00CD5A23" w:rsidRPr="00FE7BA7">
        <w:rPr>
          <w:rFonts w:ascii="Verdana" w:hAnsi="Verdana"/>
          <w:sz w:val="20"/>
          <w:szCs w:val="20"/>
          <w:lang w:val="en-US"/>
        </w:rPr>
        <w:t xml:space="preserve"> and the soil was affected so that many of the traditional plants stopped growing. In addition, other adverse effects resulted from the construction of the highway to transport the bauxite.</w:t>
      </w:r>
      <w:r w:rsidR="004F1899" w:rsidRPr="00FE7BA7">
        <w:rPr>
          <w:rStyle w:val="FootnoteReference"/>
          <w:lang w:val="en-US"/>
        </w:rPr>
        <w:footnoteReference w:id="256"/>
      </w:r>
    </w:p>
    <w:p w14:paraId="63126A36" w14:textId="77777777" w:rsidR="007A74B3" w:rsidRPr="00FE7BA7" w:rsidRDefault="007A74B3" w:rsidP="004F1899">
      <w:pPr>
        <w:pStyle w:val="ListParagraph"/>
        <w:ind w:left="0"/>
        <w:jc w:val="both"/>
        <w:rPr>
          <w:rFonts w:ascii="Verdana" w:hAnsi="Verdana"/>
          <w:sz w:val="20"/>
          <w:highlight w:val="yellow"/>
          <w:lang w:val="en-US"/>
        </w:rPr>
      </w:pPr>
    </w:p>
    <w:p w14:paraId="63126A37" w14:textId="77777777" w:rsidR="007A74B3" w:rsidRPr="00FE7BA7" w:rsidRDefault="00CD5A23" w:rsidP="00CD5A23">
      <w:pPr>
        <w:pStyle w:val="ListParagraph"/>
        <w:numPr>
          <w:ilvl w:val="0"/>
          <w:numId w:val="2"/>
        </w:numPr>
        <w:ind w:left="0" w:hanging="11"/>
        <w:jc w:val="both"/>
        <w:rPr>
          <w:rFonts w:ascii="Verdana" w:hAnsi="Verdana"/>
          <w:lang w:val="en-US"/>
        </w:rPr>
      </w:pPr>
      <w:r w:rsidRPr="00FE7BA7">
        <w:rPr>
          <w:rFonts w:ascii="Verdana" w:hAnsi="Verdana"/>
          <w:sz w:val="20"/>
          <w:lang w:val="en-US"/>
        </w:rPr>
        <w:t>These negative impacts on the environment and the indigenous natural resources were</w:t>
      </w:r>
      <w:r w:rsidR="00D30EC1">
        <w:rPr>
          <w:rFonts w:ascii="Verdana" w:hAnsi="Verdana"/>
          <w:sz w:val="20"/>
          <w:lang w:val="en-US"/>
        </w:rPr>
        <w:t xml:space="preserve"> also acknowledged in the 2005 E</w:t>
      </w:r>
      <w:r w:rsidRPr="00FE7BA7">
        <w:rPr>
          <w:rFonts w:ascii="Verdana" w:hAnsi="Verdana"/>
          <w:sz w:val="20"/>
          <w:lang w:val="en-US"/>
        </w:rPr>
        <w:t xml:space="preserve">nvironmental </w:t>
      </w:r>
      <w:r w:rsidR="00D30EC1">
        <w:rPr>
          <w:rFonts w:ascii="Verdana" w:hAnsi="Verdana"/>
          <w:sz w:val="20"/>
          <w:lang w:val="en-US"/>
        </w:rPr>
        <w:t>Sensitivity A</w:t>
      </w:r>
      <w:r w:rsidR="000C03DF">
        <w:rPr>
          <w:rFonts w:ascii="Verdana" w:hAnsi="Verdana"/>
          <w:sz w:val="20"/>
          <w:lang w:val="en-US"/>
        </w:rPr>
        <w:t>nalysis</w:t>
      </w:r>
      <w:r w:rsidRPr="00FE7BA7">
        <w:rPr>
          <w:rFonts w:ascii="Verdana" w:hAnsi="Verdana"/>
          <w:sz w:val="20"/>
          <w:lang w:val="en-US"/>
        </w:rPr>
        <w:t xml:space="preserve"> prepared for </w:t>
      </w:r>
      <w:r w:rsidR="007A74B3" w:rsidRPr="00FE7BA7">
        <w:rPr>
          <w:rFonts w:ascii="Verdana" w:hAnsi="Verdana"/>
          <w:sz w:val="20"/>
          <w:lang w:val="en-US"/>
        </w:rPr>
        <w:t xml:space="preserve">NV BHP Billiton Maatschappij </w:t>
      </w:r>
      <w:proofErr w:type="gramStart"/>
      <w:r w:rsidR="004C7D14" w:rsidRPr="00FE7BA7">
        <w:rPr>
          <w:rFonts w:ascii="Verdana" w:hAnsi="Verdana"/>
          <w:sz w:val="20"/>
          <w:lang w:val="en-US"/>
        </w:rPr>
        <w:t>Suriname,</w:t>
      </w:r>
      <w:proofErr w:type="gramEnd"/>
      <w:r w:rsidR="007A74B3" w:rsidRPr="00FE7BA7">
        <w:rPr>
          <w:rFonts w:ascii="Verdana" w:hAnsi="Verdana"/>
          <w:sz w:val="20"/>
          <w:lang w:val="en-US"/>
        </w:rPr>
        <w:t xml:space="preserve"> </w:t>
      </w:r>
      <w:r w:rsidRPr="00FE7BA7">
        <w:rPr>
          <w:rFonts w:ascii="Verdana" w:hAnsi="Verdana"/>
          <w:sz w:val="20"/>
          <w:lang w:val="en-US"/>
        </w:rPr>
        <w:t xml:space="preserve">because it concluded that the </w:t>
      </w:r>
      <w:r w:rsidR="007A74B3" w:rsidRPr="00FE7BA7">
        <w:rPr>
          <w:rFonts w:ascii="Verdana" w:hAnsi="Verdana"/>
          <w:sz w:val="20"/>
          <w:lang w:val="en-US"/>
        </w:rPr>
        <w:t>Wane 1</w:t>
      </w:r>
      <w:r w:rsidR="002B5CCD" w:rsidRPr="00FE7BA7">
        <w:rPr>
          <w:rFonts w:ascii="Verdana" w:hAnsi="Verdana"/>
          <w:sz w:val="20"/>
          <w:lang w:val="en-US"/>
        </w:rPr>
        <w:t xml:space="preserve"> and </w:t>
      </w:r>
      <w:r w:rsidR="007A74B3" w:rsidRPr="00FE7BA7">
        <w:rPr>
          <w:rFonts w:ascii="Verdana" w:hAnsi="Verdana"/>
          <w:sz w:val="20"/>
          <w:lang w:val="en-US"/>
        </w:rPr>
        <w:t xml:space="preserve">Wane 2 </w:t>
      </w:r>
      <w:r w:rsidRPr="00FE7BA7">
        <w:rPr>
          <w:rFonts w:ascii="Verdana" w:hAnsi="Verdana"/>
          <w:sz w:val="20"/>
          <w:lang w:val="en-US"/>
        </w:rPr>
        <w:t xml:space="preserve">sections had suffered considerable environmental damage as a result of the open-cast mining of bauxite. Moreover, the recommendations made by the assessment included: (i) that the companies </w:t>
      </w:r>
      <w:r w:rsidR="000C03DF">
        <w:rPr>
          <w:rFonts w:ascii="Verdana" w:hAnsi="Verdana"/>
          <w:sz w:val="20"/>
          <w:lang w:val="en-US"/>
        </w:rPr>
        <w:t>commit to not mining</w:t>
      </w:r>
      <w:r w:rsidRPr="00FE7BA7">
        <w:rPr>
          <w:rFonts w:ascii="Verdana" w:hAnsi="Verdana"/>
          <w:sz w:val="20"/>
          <w:lang w:val="en-US"/>
        </w:rPr>
        <w:t xml:space="preserve"> Wane 3 and Wane 4 </w:t>
      </w:r>
      <w:r w:rsidR="000C03DF">
        <w:rPr>
          <w:rFonts w:ascii="Verdana" w:hAnsi="Verdana"/>
          <w:sz w:val="20"/>
          <w:lang w:val="en-US"/>
        </w:rPr>
        <w:t>and</w:t>
      </w:r>
      <w:r w:rsidRPr="00FE7BA7">
        <w:rPr>
          <w:rFonts w:ascii="Verdana" w:hAnsi="Verdana"/>
          <w:sz w:val="20"/>
          <w:lang w:val="en-US"/>
        </w:rPr>
        <w:t xml:space="preserve"> avoid </w:t>
      </w:r>
      <w:r w:rsidR="000C03DF">
        <w:rPr>
          <w:rFonts w:ascii="Verdana" w:hAnsi="Verdana"/>
          <w:sz w:val="20"/>
          <w:lang w:val="en-US"/>
        </w:rPr>
        <w:t>further</w:t>
      </w:r>
      <w:r w:rsidRPr="00FE7BA7">
        <w:rPr>
          <w:rFonts w:ascii="Verdana" w:hAnsi="Verdana"/>
          <w:sz w:val="20"/>
          <w:lang w:val="en-US"/>
        </w:rPr>
        <w:t xml:space="preserve"> environmental degradation; (ii) that the exploration and extraction activities be ended as soon as possible; (iii) that the damaged areas be re</w:t>
      </w:r>
      <w:r w:rsidR="000C03DF">
        <w:rPr>
          <w:rFonts w:ascii="Verdana" w:hAnsi="Verdana"/>
          <w:sz w:val="20"/>
          <w:lang w:val="en-US"/>
        </w:rPr>
        <w:t>habilitated</w:t>
      </w:r>
      <w:r w:rsidRPr="00FE7BA7">
        <w:rPr>
          <w:rFonts w:ascii="Verdana" w:hAnsi="Verdana"/>
          <w:sz w:val="20"/>
          <w:lang w:val="en-US"/>
        </w:rPr>
        <w:t>, and (iv) that the companies withdraw from</w:t>
      </w:r>
      <w:r w:rsidRPr="00FE7BA7">
        <w:rPr>
          <w:rFonts w:ascii="Verdana" w:hAnsi="Verdana"/>
          <w:lang w:val="en-US"/>
        </w:rPr>
        <w:t xml:space="preserve"> </w:t>
      </w:r>
      <w:r w:rsidR="00511E56" w:rsidRPr="00FE7BA7">
        <w:rPr>
          <w:rFonts w:ascii="Verdana" w:hAnsi="Verdana"/>
          <w:sz w:val="20"/>
          <w:lang w:val="en-US"/>
        </w:rPr>
        <w:t>the Wane Kreek</w:t>
      </w:r>
      <w:r w:rsidR="00BE4D11" w:rsidRPr="00FE7BA7">
        <w:rPr>
          <w:rFonts w:ascii="Verdana" w:hAnsi="Verdana"/>
          <w:sz w:val="20"/>
          <w:lang w:val="en-US"/>
        </w:rPr>
        <w:t xml:space="preserve"> Nature Reserve</w:t>
      </w:r>
      <w:r w:rsidR="007A74B3" w:rsidRPr="00FE7BA7">
        <w:rPr>
          <w:rStyle w:val="FootnoteReference"/>
          <w:lang w:val="en-US"/>
        </w:rPr>
        <w:footnoteReference w:id="257"/>
      </w:r>
      <w:r w:rsidR="007A74B3" w:rsidRPr="00FE7BA7">
        <w:rPr>
          <w:rFonts w:ascii="Verdana" w:hAnsi="Verdana"/>
          <w:sz w:val="20"/>
          <w:lang w:val="en-US"/>
        </w:rPr>
        <w:t xml:space="preserve"> (</w:t>
      </w:r>
      <w:r w:rsidR="00366D91" w:rsidRPr="00FE7BA7">
        <w:rPr>
          <w:rFonts w:ascii="Verdana" w:hAnsi="Verdana"/>
          <w:i/>
          <w:sz w:val="20"/>
          <w:lang w:val="en-US"/>
        </w:rPr>
        <w:t>supra</w:t>
      </w:r>
      <w:r w:rsidR="007A74B3" w:rsidRPr="00FE7BA7">
        <w:rPr>
          <w:rFonts w:ascii="Verdana" w:hAnsi="Verdana"/>
          <w:sz w:val="20"/>
          <w:lang w:val="en-US"/>
        </w:rPr>
        <w:t xml:space="preserve"> </w:t>
      </w:r>
      <w:r w:rsidR="00810FAD" w:rsidRPr="00FE7BA7">
        <w:rPr>
          <w:rFonts w:ascii="Verdana" w:hAnsi="Verdana"/>
          <w:sz w:val="20"/>
          <w:lang w:val="en-US"/>
        </w:rPr>
        <w:t>para.</w:t>
      </w:r>
      <w:r w:rsidR="003D6C28" w:rsidRPr="00FE7BA7">
        <w:rPr>
          <w:rFonts w:ascii="Verdana" w:hAnsi="Verdana"/>
          <w:sz w:val="20"/>
          <w:lang w:val="en-US"/>
        </w:rPr>
        <w:t xml:space="preserve"> </w:t>
      </w:r>
      <w:r w:rsidR="00945095" w:rsidRPr="00FE7BA7">
        <w:rPr>
          <w:rFonts w:ascii="Verdana" w:hAnsi="Verdana"/>
          <w:sz w:val="20"/>
          <w:lang w:val="en-US"/>
        </w:rPr>
        <w:t>91</w:t>
      </w:r>
      <w:r w:rsidR="007A74B3" w:rsidRPr="00FE7BA7">
        <w:rPr>
          <w:rFonts w:ascii="Verdana" w:hAnsi="Verdana"/>
          <w:sz w:val="20"/>
          <w:lang w:val="en-US"/>
        </w:rPr>
        <w:t>).</w:t>
      </w:r>
    </w:p>
    <w:p w14:paraId="63126A38" w14:textId="77777777" w:rsidR="007A74B3" w:rsidRPr="00FE7BA7" w:rsidRDefault="007A74B3" w:rsidP="004F1899">
      <w:pPr>
        <w:pStyle w:val="ListParagraph"/>
        <w:rPr>
          <w:rFonts w:ascii="Verdana" w:hAnsi="Verdana"/>
          <w:highlight w:val="cyan"/>
          <w:lang w:val="en-US"/>
        </w:rPr>
      </w:pPr>
    </w:p>
    <w:p w14:paraId="63126A39" w14:textId="77777777" w:rsidR="004F1899" w:rsidRPr="00FE7BA7" w:rsidRDefault="00CD5A23" w:rsidP="004F1899">
      <w:pPr>
        <w:pStyle w:val="ListParagraph"/>
        <w:numPr>
          <w:ilvl w:val="0"/>
          <w:numId w:val="2"/>
        </w:numPr>
        <w:ind w:left="0" w:hanging="11"/>
        <w:jc w:val="both"/>
        <w:rPr>
          <w:rFonts w:ascii="Verdana" w:hAnsi="Verdana"/>
          <w:lang w:val="en-US"/>
        </w:rPr>
      </w:pPr>
      <w:r w:rsidRPr="00FE7BA7">
        <w:rPr>
          <w:rFonts w:ascii="Verdana" w:hAnsi="Verdana"/>
          <w:sz w:val="20"/>
          <w:lang w:val="en-US"/>
        </w:rPr>
        <w:t xml:space="preserve">In this regard, the mining companies have put in place certain policies for the rehabilitation of the area. According to evidence provided by the State following </w:t>
      </w:r>
      <w:r w:rsidR="008F798A" w:rsidRPr="00FE7BA7">
        <w:rPr>
          <w:rFonts w:ascii="Verdana" w:hAnsi="Verdana"/>
          <w:sz w:val="20"/>
          <w:lang w:val="en-US"/>
        </w:rPr>
        <w:t xml:space="preserve">the </w:t>
      </w:r>
      <w:r w:rsidR="00D16DA7" w:rsidRPr="00FE7BA7">
        <w:rPr>
          <w:rFonts w:ascii="Verdana" w:hAnsi="Verdana"/>
          <w:sz w:val="20"/>
          <w:lang w:val="en-US"/>
        </w:rPr>
        <w:t>visit</w:t>
      </w:r>
      <w:r w:rsidRPr="00FE7BA7">
        <w:rPr>
          <w:rFonts w:ascii="Verdana" w:hAnsi="Verdana"/>
          <w:sz w:val="20"/>
          <w:lang w:val="en-US"/>
        </w:rPr>
        <w:t>,</w:t>
      </w:r>
      <w:r w:rsidR="004F1899" w:rsidRPr="00FE7BA7">
        <w:rPr>
          <w:rFonts w:ascii="Verdana" w:hAnsi="Verdana"/>
          <w:sz w:val="20"/>
          <w:vertAlign w:val="superscript"/>
          <w:lang w:val="en-US"/>
        </w:rPr>
        <w:footnoteReference w:id="258"/>
      </w:r>
      <w:r w:rsidRPr="00FE7BA7">
        <w:rPr>
          <w:rFonts w:ascii="Verdana" w:hAnsi="Verdana"/>
          <w:sz w:val="20"/>
          <w:lang w:val="en-US"/>
        </w:rPr>
        <w:t xml:space="preserve"> </w:t>
      </w:r>
      <w:r w:rsidR="004F1899" w:rsidRPr="00FE7BA7">
        <w:rPr>
          <w:rFonts w:ascii="Verdana" w:hAnsi="Verdana"/>
          <w:sz w:val="20"/>
          <w:lang w:val="en-US"/>
        </w:rPr>
        <w:t xml:space="preserve">Wane </w:t>
      </w:r>
      <w:r w:rsidR="00A10C80" w:rsidRPr="00FE7BA7">
        <w:rPr>
          <w:rFonts w:ascii="Verdana" w:hAnsi="Verdana"/>
          <w:sz w:val="20"/>
          <w:lang w:val="en-US"/>
        </w:rPr>
        <w:t>1</w:t>
      </w:r>
      <w:r w:rsidR="002B5CCD" w:rsidRPr="00FE7BA7">
        <w:rPr>
          <w:rFonts w:ascii="Verdana" w:hAnsi="Verdana"/>
          <w:sz w:val="20"/>
          <w:lang w:val="en-US"/>
        </w:rPr>
        <w:t xml:space="preserve"> and </w:t>
      </w:r>
      <w:r w:rsidR="00A10C80" w:rsidRPr="00FE7BA7">
        <w:rPr>
          <w:rFonts w:ascii="Verdana" w:hAnsi="Verdana"/>
          <w:sz w:val="20"/>
          <w:lang w:val="en-US"/>
        </w:rPr>
        <w:t>2</w:t>
      </w:r>
      <w:r w:rsidR="004F1899" w:rsidRPr="00FE7BA7">
        <w:rPr>
          <w:rFonts w:ascii="Verdana" w:hAnsi="Verdana"/>
          <w:sz w:val="20"/>
          <w:lang w:val="en-US"/>
        </w:rPr>
        <w:t xml:space="preserve"> </w:t>
      </w:r>
      <w:r w:rsidRPr="00FE7BA7">
        <w:rPr>
          <w:rFonts w:ascii="Verdana" w:hAnsi="Verdana"/>
          <w:sz w:val="20"/>
          <w:lang w:val="en-US"/>
        </w:rPr>
        <w:t xml:space="preserve">would be rehabilitated by August 2015 </w:t>
      </w:r>
      <w:r w:rsidR="004F1899" w:rsidRPr="00FE7BA7">
        <w:rPr>
          <w:rFonts w:ascii="Verdana" w:hAnsi="Verdana"/>
          <w:sz w:val="20"/>
          <w:lang w:val="en-US"/>
        </w:rPr>
        <w:t>(</w:t>
      </w:r>
      <w:r w:rsidR="008A4ABB" w:rsidRPr="00FE7BA7">
        <w:rPr>
          <w:rFonts w:ascii="Verdana" w:hAnsi="Verdana"/>
          <w:i/>
          <w:sz w:val="20"/>
          <w:lang w:val="en-US"/>
        </w:rPr>
        <w:t>supra</w:t>
      </w:r>
      <w:r w:rsidR="004F1899" w:rsidRPr="00FE7BA7">
        <w:rPr>
          <w:rFonts w:ascii="Verdana" w:hAnsi="Verdana"/>
          <w:sz w:val="20"/>
          <w:lang w:val="en-US"/>
        </w:rPr>
        <w:t xml:space="preserve"> </w:t>
      </w:r>
      <w:r w:rsidR="00810FAD" w:rsidRPr="00FE7BA7">
        <w:rPr>
          <w:rFonts w:ascii="Verdana" w:hAnsi="Verdana"/>
          <w:sz w:val="20"/>
          <w:lang w:val="en-US"/>
        </w:rPr>
        <w:t>para.</w:t>
      </w:r>
      <w:r w:rsidR="004F1899" w:rsidRPr="00FE7BA7">
        <w:rPr>
          <w:rFonts w:ascii="Verdana" w:hAnsi="Verdana"/>
          <w:sz w:val="20"/>
          <w:lang w:val="en-US"/>
        </w:rPr>
        <w:t xml:space="preserve"> </w:t>
      </w:r>
      <w:r w:rsidR="00BF1750" w:rsidRPr="00FE7BA7">
        <w:rPr>
          <w:rFonts w:ascii="Verdana" w:hAnsi="Verdana"/>
          <w:sz w:val="20"/>
          <w:lang w:val="en-US"/>
        </w:rPr>
        <w:t>9</w:t>
      </w:r>
      <w:r w:rsidR="003D6C28" w:rsidRPr="00FE7BA7">
        <w:rPr>
          <w:rFonts w:ascii="Verdana" w:hAnsi="Verdana"/>
          <w:sz w:val="20"/>
          <w:lang w:val="en-US"/>
        </w:rPr>
        <w:t>3</w:t>
      </w:r>
      <w:r w:rsidR="004F1899" w:rsidRPr="00FE7BA7">
        <w:rPr>
          <w:rFonts w:ascii="Verdana" w:hAnsi="Verdana"/>
          <w:sz w:val="20"/>
          <w:lang w:val="en-US"/>
        </w:rPr>
        <w:t>)</w:t>
      </w:r>
      <w:r w:rsidRPr="00FE7BA7">
        <w:rPr>
          <w:rFonts w:ascii="Verdana" w:hAnsi="Verdana"/>
          <w:sz w:val="20"/>
          <w:lang w:val="en-US"/>
        </w:rPr>
        <w:t>,</w:t>
      </w:r>
      <w:r w:rsidR="002B5CCD" w:rsidRPr="00FE7BA7">
        <w:rPr>
          <w:rFonts w:ascii="Verdana" w:hAnsi="Verdana"/>
          <w:sz w:val="20"/>
          <w:lang w:val="en-US"/>
        </w:rPr>
        <w:t xml:space="preserve"> and </w:t>
      </w:r>
      <w:r w:rsidRPr="00FE7BA7">
        <w:rPr>
          <w:rFonts w:ascii="Verdana" w:hAnsi="Verdana"/>
          <w:sz w:val="20"/>
          <w:lang w:val="en-US"/>
        </w:rPr>
        <w:t xml:space="preserve">the estimated growth of what has been planted would be </w:t>
      </w:r>
      <w:r w:rsidR="004F1899" w:rsidRPr="00FE7BA7">
        <w:rPr>
          <w:rFonts w:ascii="Verdana" w:hAnsi="Verdana"/>
          <w:sz w:val="20"/>
          <w:lang w:val="en-US"/>
        </w:rPr>
        <w:t xml:space="preserve">70-80%, </w:t>
      </w:r>
      <w:r w:rsidRPr="00FE7BA7">
        <w:rPr>
          <w:rFonts w:ascii="Verdana" w:hAnsi="Verdana"/>
          <w:sz w:val="20"/>
          <w:lang w:val="en-US"/>
        </w:rPr>
        <w:t>although in other areas there could be a lower rate of growth.</w:t>
      </w:r>
      <w:r w:rsidR="004F1899" w:rsidRPr="00FE7BA7">
        <w:rPr>
          <w:rFonts w:ascii="Verdana" w:hAnsi="Verdana"/>
          <w:sz w:val="20"/>
          <w:vertAlign w:val="superscript"/>
          <w:lang w:val="en-US"/>
        </w:rPr>
        <w:footnoteReference w:id="259"/>
      </w:r>
      <w:r w:rsidRPr="00FE7BA7">
        <w:rPr>
          <w:rFonts w:ascii="Verdana" w:hAnsi="Verdana"/>
          <w:sz w:val="20"/>
          <w:lang w:val="en-US"/>
        </w:rPr>
        <w:t xml:space="preserve"> However, </w:t>
      </w:r>
      <w:r w:rsidR="00810FAD" w:rsidRPr="00FE7BA7">
        <w:rPr>
          <w:rFonts w:ascii="Verdana" w:hAnsi="Verdana"/>
          <w:sz w:val="20"/>
          <w:lang w:val="en-US"/>
        </w:rPr>
        <w:t>the representatives</w:t>
      </w:r>
      <w:r w:rsidR="004F1899" w:rsidRPr="00FE7BA7">
        <w:rPr>
          <w:rFonts w:ascii="Verdana" w:hAnsi="Verdana"/>
          <w:sz w:val="20"/>
          <w:lang w:val="en-US"/>
        </w:rPr>
        <w:t xml:space="preserve"> </w:t>
      </w:r>
      <w:r w:rsidRPr="00FE7BA7">
        <w:rPr>
          <w:rFonts w:ascii="Verdana" w:hAnsi="Verdana"/>
          <w:sz w:val="20"/>
          <w:lang w:val="en-US"/>
        </w:rPr>
        <w:t>stressed that this contradicted the photo</w:t>
      </w:r>
      <w:r w:rsidR="000C03DF">
        <w:rPr>
          <w:rFonts w:ascii="Verdana" w:hAnsi="Verdana"/>
          <w:sz w:val="20"/>
          <w:lang w:val="en-US"/>
        </w:rPr>
        <w:t xml:space="preserve">graphs </w:t>
      </w:r>
      <w:r w:rsidRPr="00FE7BA7">
        <w:rPr>
          <w:rFonts w:ascii="Verdana" w:hAnsi="Verdana"/>
          <w:sz w:val="20"/>
          <w:lang w:val="en-US"/>
        </w:rPr>
        <w:t>show</w:t>
      </w:r>
      <w:r w:rsidR="00D30EC1">
        <w:rPr>
          <w:rFonts w:ascii="Verdana" w:hAnsi="Verdana"/>
          <w:sz w:val="20"/>
          <w:lang w:val="en-US"/>
        </w:rPr>
        <w:t>ing</w:t>
      </w:r>
      <w:r w:rsidRPr="00FE7BA7">
        <w:rPr>
          <w:rFonts w:ascii="Verdana" w:hAnsi="Verdana"/>
          <w:sz w:val="20"/>
          <w:lang w:val="en-US"/>
        </w:rPr>
        <w:t xml:space="preserve"> the devastated area</w:t>
      </w:r>
      <w:r w:rsidR="00D30EC1" w:rsidRPr="00D30EC1">
        <w:rPr>
          <w:rFonts w:ascii="Verdana" w:hAnsi="Verdana"/>
          <w:sz w:val="20"/>
          <w:lang w:val="en-US"/>
        </w:rPr>
        <w:t xml:space="preserve"> </w:t>
      </w:r>
      <w:r w:rsidR="00D30EC1">
        <w:rPr>
          <w:rFonts w:ascii="Verdana" w:hAnsi="Verdana"/>
          <w:sz w:val="20"/>
          <w:lang w:val="en-US"/>
        </w:rPr>
        <w:t xml:space="preserve">provided as evidence, and </w:t>
      </w:r>
      <w:r w:rsidR="000C03DF">
        <w:rPr>
          <w:rFonts w:ascii="Verdana" w:hAnsi="Verdana"/>
          <w:sz w:val="20"/>
          <w:lang w:val="en-US"/>
        </w:rPr>
        <w:t>the</w:t>
      </w:r>
      <w:r w:rsidRPr="00FE7BA7">
        <w:rPr>
          <w:rFonts w:ascii="Verdana" w:hAnsi="Verdana"/>
          <w:sz w:val="20"/>
          <w:lang w:val="en-US"/>
        </w:rPr>
        <w:t xml:space="preserve"> testimony of the victims </w:t>
      </w:r>
      <w:r w:rsidR="004F1899" w:rsidRPr="00FE7BA7">
        <w:rPr>
          <w:rFonts w:ascii="Verdana" w:hAnsi="Verdana"/>
          <w:sz w:val="20"/>
          <w:lang w:val="en-US"/>
        </w:rPr>
        <w:t>(</w:t>
      </w:r>
      <w:r w:rsidR="008A4ABB" w:rsidRPr="00FE7BA7">
        <w:rPr>
          <w:rFonts w:ascii="Verdana" w:hAnsi="Verdana"/>
          <w:i/>
          <w:sz w:val="20"/>
          <w:lang w:val="en-US"/>
        </w:rPr>
        <w:t>supra</w:t>
      </w:r>
      <w:r w:rsidR="004F1899" w:rsidRPr="00FE7BA7">
        <w:rPr>
          <w:rFonts w:ascii="Verdana" w:hAnsi="Verdana"/>
          <w:sz w:val="20"/>
          <w:lang w:val="en-US"/>
        </w:rPr>
        <w:t xml:space="preserve"> </w:t>
      </w:r>
      <w:r w:rsidR="00810FAD" w:rsidRPr="00FE7BA7">
        <w:rPr>
          <w:rFonts w:ascii="Verdana" w:hAnsi="Verdana"/>
          <w:sz w:val="20"/>
          <w:lang w:val="en-US"/>
        </w:rPr>
        <w:t>para.</w:t>
      </w:r>
      <w:r w:rsidR="004F1899" w:rsidRPr="00FE7BA7">
        <w:rPr>
          <w:rFonts w:ascii="Verdana" w:hAnsi="Verdana"/>
          <w:sz w:val="20"/>
          <w:lang w:val="en-US"/>
        </w:rPr>
        <w:t xml:space="preserve"> </w:t>
      </w:r>
      <w:r w:rsidR="00BF1750" w:rsidRPr="00FE7BA7">
        <w:rPr>
          <w:rFonts w:ascii="Verdana" w:hAnsi="Verdana"/>
          <w:sz w:val="20"/>
          <w:lang w:val="en-US"/>
        </w:rPr>
        <w:t>92</w:t>
      </w:r>
      <w:r w:rsidR="004F1899" w:rsidRPr="00FE7BA7">
        <w:rPr>
          <w:rFonts w:ascii="Verdana" w:hAnsi="Verdana"/>
          <w:sz w:val="20"/>
          <w:lang w:val="en-US"/>
        </w:rPr>
        <w:t xml:space="preserve">). </w:t>
      </w:r>
      <w:r w:rsidRPr="00FE7BA7">
        <w:rPr>
          <w:rFonts w:ascii="Verdana" w:hAnsi="Verdana"/>
          <w:sz w:val="20"/>
          <w:lang w:val="en-US"/>
        </w:rPr>
        <w:t xml:space="preserve">Consequently, </w:t>
      </w:r>
      <w:r w:rsidR="00810FAD" w:rsidRPr="00FE7BA7">
        <w:rPr>
          <w:rFonts w:ascii="Verdana" w:hAnsi="Verdana"/>
          <w:sz w:val="20"/>
          <w:lang w:val="en-US"/>
        </w:rPr>
        <w:t>the representatives</w:t>
      </w:r>
      <w:r w:rsidR="004F1899" w:rsidRPr="00FE7BA7">
        <w:rPr>
          <w:rFonts w:ascii="Verdana" w:hAnsi="Verdana"/>
          <w:sz w:val="20"/>
          <w:lang w:val="en-US"/>
        </w:rPr>
        <w:t xml:space="preserve"> </w:t>
      </w:r>
      <w:r w:rsidRPr="00FE7BA7">
        <w:rPr>
          <w:rFonts w:ascii="Verdana" w:hAnsi="Verdana"/>
          <w:sz w:val="20"/>
          <w:lang w:val="en-US"/>
        </w:rPr>
        <w:t>indicated that there is no certainty that the rehabilitation measures will be successful because, for example, the trees that have been planted have no</w:t>
      </w:r>
      <w:r w:rsidR="00D30EC1">
        <w:rPr>
          <w:rFonts w:ascii="Verdana" w:hAnsi="Verdana"/>
          <w:sz w:val="20"/>
          <w:lang w:val="en-US"/>
        </w:rPr>
        <w:t>t attained the size anticipated</w:t>
      </w:r>
      <w:r w:rsidRPr="00FE7BA7">
        <w:rPr>
          <w:rFonts w:ascii="Verdana" w:hAnsi="Verdana"/>
          <w:sz w:val="20"/>
          <w:lang w:val="en-US"/>
        </w:rPr>
        <w:t xml:space="preserve"> and</w:t>
      </w:r>
      <w:r w:rsidR="00D30EC1">
        <w:rPr>
          <w:rFonts w:ascii="Verdana" w:hAnsi="Verdana"/>
          <w:sz w:val="20"/>
          <w:lang w:val="en-US"/>
        </w:rPr>
        <w:t>, therefore,</w:t>
      </w:r>
      <w:r w:rsidRPr="00FE7BA7">
        <w:rPr>
          <w:rFonts w:ascii="Verdana" w:hAnsi="Verdana"/>
          <w:sz w:val="20"/>
          <w:lang w:val="en-US"/>
        </w:rPr>
        <w:t xml:space="preserve"> it is expected that the rehabilitation of all the territory affected will take a long time.</w:t>
      </w:r>
      <w:r w:rsidR="004F1899" w:rsidRPr="00FE7BA7">
        <w:rPr>
          <w:rFonts w:ascii="Verdana" w:hAnsi="Verdana"/>
          <w:sz w:val="20"/>
          <w:vertAlign w:val="superscript"/>
          <w:lang w:val="en-US"/>
        </w:rPr>
        <w:footnoteReference w:id="260"/>
      </w:r>
    </w:p>
    <w:p w14:paraId="63126A3A" w14:textId="77777777" w:rsidR="004F1899" w:rsidRPr="00FE7BA7" w:rsidRDefault="004F1899" w:rsidP="004F1899">
      <w:pPr>
        <w:pStyle w:val="ListParagraph"/>
        <w:ind w:left="0"/>
        <w:jc w:val="both"/>
        <w:rPr>
          <w:rFonts w:ascii="Verdana" w:hAnsi="Verdana"/>
          <w:lang w:val="en-US"/>
        </w:rPr>
      </w:pPr>
    </w:p>
    <w:p w14:paraId="63126A3B" w14:textId="77777777" w:rsidR="004F1899" w:rsidRPr="008421E7" w:rsidRDefault="00D30EC1" w:rsidP="004F1899">
      <w:pPr>
        <w:pStyle w:val="ListParagraph"/>
        <w:numPr>
          <w:ilvl w:val="0"/>
          <w:numId w:val="2"/>
        </w:numPr>
        <w:ind w:left="0" w:hanging="11"/>
        <w:jc w:val="both"/>
        <w:rPr>
          <w:rFonts w:ascii="Verdana" w:hAnsi="Verdana"/>
          <w:b/>
          <w:lang w:val="en-US"/>
        </w:rPr>
      </w:pPr>
      <w:r>
        <w:rPr>
          <w:rFonts w:ascii="Verdana" w:hAnsi="Verdana"/>
          <w:sz w:val="20"/>
          <w:szCs w:val="20"/>
          <w:lang w:val="en-US"/>
        </w:rPr>
        <w:t>D</w:t>
      </w:r>
      <w:r w:rsidR="00CD5A23" w:rsidRPr="00FE7BA7">
        <w:rPr>
          <w:rFonts w:ascii="Verdana" w:hAnsi="Verdana"/>
          <w:sz w:val="20"/>
          <w:szCs w:val="20"/>
          <w:lang w:val="en-US"/>
        </w:rPr>
        <w:t xml:space="preserve">uring its on-site procedure, the Court verified that the area had </w:t>
      </w:r>
      <w:r w:rsidR="008421E7">
        <w:rPr>
          <w:rFonts w:ascii="Verdana" w:hAnsi="Verdana"/>
          <w:sz w:val="20"/>
          <w:szCs w:val="20"/>
          <w:lang w:val="en-US"/>
        </w:rPr>
        <w:t>clearly</w:t>
      </w:r>
      <w:r w:rsidR="00CD5A23" w:rsidRPr="00FE7BA7">
        <w:rPr>
          <w:rFonts w:ascii="Verdana" w:hAnsi="Verdana"/>
          <w:sz w:val="20"/>
          <w:szCs w:val="20"/>
          <w:lang w:val="en-US"/>
        </w:rPr>
        <w:t xml:space="preserve"> been damaged and the landscape </w:t>
      </w:r>
      <w:r w:rsidR="00CD5A23" w:rsidRPr="008421E7">
        <w:rPr>
          <w:rFonts w:ascii="Verdana" w:hAnsi="Verdana"/>
          <w:sz w:val="20"/>
          <w:szCs w:val="20"/>
          <w:lang w:val="en-US"/>
        </w:rPr>
        <w:t xml:space="preserve">altered radically </w:t>
      </w:r>
      <w:r w:rsidR="004F1899" w:rsidRPr="008421E7">
        <w:rPr>
          <w:rFonts w:ascii="Verdana" w:hAnsi="Verdana"/>
          <w:sz w:val="20"/>
          <w:lang w:val="en-US"/>
        </w:rPr>
        <w:t>(</w:t>
      </w:r>
      <w:r w:rsidR="004F1899" w:rsidRPr="008421E7">
        <w:rPr>
          <w:rFonts w:ascii="Verdana" w:hAnsi="Verdana"/>
          <w:i/>
          <w:sz w:val="20"/>
          <w:lang w:val="en-US"/>
        </w:rPr>
        <w:t>supra</w:t>
      </w:r>
      <w:r w:rsidR="004F1899" w:rsidRPr="008421E7">
        <w:rPr>
          <w:rFonts w:ascii="Verdana" w:hAnsi="Verdana"/>
          <w:sz w:val="20"/>
          <w:lang w:val="en-US"/>
        </w:rPr>
        <w:t xml:space="preserve"> </w:t>
      </w:r>
      <w:r w:rsidR="00810FAD" w:rsidRPr="008421E7">
        <w:rPr>
          <w:rFonts w:ascii="Verdana" w:hAnsi="Verdana"/>
          <w:sz w:val="20"/>
          <w:lang w:val="en-US"/>
        </w:rPr>
        <w:t>para.</w:t>
      </w:r>
      <w:r w:rsidR="004F1899" w:rsidRPr="008421E7">
        <w:rPr>
          <w:rFonts w:ascii="Verdana" w:hAnsi="Verdana"/>
          <w:sz w:val="20"/>
          <w:lang w:val="en-US"/>
        </w:rPr>
        <w:t xml:space="preserve"> </w:t>
      </w:r>
      <w:r w:rsidR="003D6C28" w:rsidRPr="008421E7">
        <w:rPr>
          <w:rFonts w:ascii="Verdana" w:hAnsi="Verdana"/>
          <w:sz w:val="20"/>
          <w:lang w:val="en-US"/>
        </w:rPr>
        <w:t>93</w:t>
      </w:r>
      <w:r w:rsidR="00CD5A23" w:rsidRPr="008421E7">
        <w:rPr>
          <w:rFonts w:ascii="Verdana" w:hAnsi="Verdana"/>
          <w:sz w:val="20"/>
          <w:lang w:val="en-US"/>
        </w:rPr>
        <w:t xml:space="preserve">). Hence, it finds that, to date, the actions taken have not met the objectives established for the satisfactory </w:t>
      </w:r>
      <w:r w:rsidR="00511E56" w:rsidRPr="008421E7">
        <w:rPr>
          <w:rFonts w:ascii="Verdana" w:hAnsi="Verdana"/>
          <w:sz w:val="20"/>
          <w:lang w:val="en-US"/>
        </w:rPr>
        <w:t>rehabilitation</w:t>
      </w:r>
      <w:r w:rsidR="004F1899" w:rsidRPr="008421E7">
        <w:rPr>
          <w:rFonts w:ascii="Verdana" w:hAnsi="Verdana"/>
          <w:sz w:val="20"/>
          <w:lang w:val="en-US"/>
        </w:rPr>
        <w:t xml:space="preserve"> </w:t>
      </w:r>
      <w:r w:rsidR="00511E56" w:rsidRPr="008421E7">
        <w:rPr>
          <w:rFonts w:ascii="Verdana" w:hAnsi="Verdana"/>
          <w:sz w:val="20"/>
          <w:lang w:val="en-US"/>
        </w:rPr>
        <w:t>of the territory</w:t>
      </w:r>
      <w:r w:rsidR="004F1899" w:rsidRPr="008421E7">
        <w:rPr>
          <w:rFonts w:ascii="Verdana" w:hAnsi="Verdana"/>
          <w:sz w:val="20"/>
          <w:lang w:val="en-US"/>
        </w:rPr>
        <w:t xml:space="preserve"> </w:t>
      </w:r>
      <w:r w:rsidR="00CD5A23" w:rsidRPr="008421E7">
        <w:rPr>
          <w:rFonts w:ascii="Verdana" w:hAnsi="Verdana"/>
          <w:sz w:val="20"/>
          <w:lang w:val="en-US"/>
        </w:rPr>
        <w:t>in question, especially co</w:t>
      </w:r>
      <w:r w:rsidR="008421E7" w:rsidRPr="008421E7">
        <w:rPr>
          <w:rFonts w:ascii="Verdana" w:hAnsi="Verdana"/>
          <w:sz w:val="20"/>
          <w:lang w:val="en-US"/>
        </w:rPr>
        <w:t xml:space="preserve">nsidering that </w:t>
      </w:r>
      <w:r>
        <w:rPr>
          <w:rFonts w:ascii="Verdana" w:hAnsi="Verdana"/>
          <w:sz w:val="20"/>
          <w:lang w:val="en-US"/>
        </w:rPr>
        <w:t>it</w:t>
      </w:r>
      <w:r w:rsidR="008421E7" w:rsidRPr="008421E7">
        <w:rPr>
          <w:rFonts w:ascii="Verdana" w:hAnsi="Verdana"/>
          <w:sz w:val="20"/>
          <w:lang w:val="en-US"/>
        </w:rPr>
        <w:t xml:space="preserve"> is a </w:t>
      </w:r>
      <w:r w:rsidR="00CD5A23" w:rsidRPr="008421E7">
        <w:rPr>
          <w:rFonts w:ascii="Verdana" w:hAnsi="Verdana"/>
          <w:sz w:val="20"/>
          <w:lang w:val="en-US"/>
        </w:rPr>
        <w:t>nature reserve</w:t>
      </w:r>
      <w:r w:rsidR="008421E7" w:rsidRPr="008421E7">
        <w:rPr>
          <w:rFonts w:ascii="Verdana" w:hAnsi="Verdana"/>
          <w:sz w:val="20"/>
          <w:lang w:val="en-US"/>
        </w:rPr>
        <w:t xml:space="preserve"> and a protected area</w:t>
      </w:r>
      <w:r w:rsidR="004F1899" w:rsidRPr="008421E7">
        <w:rPr>
          <w:rFonts w:ascii="Verdana" w:hAnsi="Verdana"/>
          <w:sz w:val="20"/>
          <w:lang w:val="en-US"/>
        </w:rPr>
        <w:t>.</w:t>
      </w:r>
    </w:p>
    <w:p w14:paraId="63126A3C" w14:textId="77777777" w:rsidR="004F1899" w:rsidRPr="008421E7" w:rsidRDefault="004F1899" w:rsidP="004F1899">
      <w:pPr>
        <w:pStyle w:val="ListParagraph"/>
        <w:rPr>
          <w:rFonts w:ascii="Verdana" w:hAnsi="Verdana"/>
          <w:b/>
          <w:sz w:val="20"/>
          <w:szCs w:val="20"/>
          <w:lang w:val="en-US"/>
        </w:rPr>
      </w:pPr>
    </w:p>
    <w:p w14:paraId="63126A3D" w14:textId="77777777" w:rsidR="00890830" w:rsidRPr="008421E7" w:rsidRDefault="004F1899" w:rsidP="00890830">
      <w:pPr>
        <w:pStyle w:val="ListParagraph"/>
        <w:numPr>
          <w:ilvl w:val="0"/>
          <w:numId w:val="2"/>
        </w:numPr>
        <w:ind w:left="0" w:hanging="11"/>
        <w:jc w:val="both"/>
        <w:rPr>
          <w:rFonts w:ascii="Verdana" w:hAnsi="Verdana"/>
          <w:sz w:val="20"/>
          <w:lang w:val="en-US"/>
        </w:rPr>
      </w:pPr>
      <w:r w:rsidRPr="008421E7">
        <w:rPr>
          <w:rFonts w:ascii="Verdana" w:hAnsi="Verdana"/>
          <w:b/>
          <w:sz w:val="20"/>
          <w:szCs w:val="20"/>
          <w:lang w:val="en-US"/>
        </w:rPr>
        <w:t xml:space="preserve"> </w:t>
      </w:r>
      <w:r w:rsidR="00890830" w:rsidRPr="008421E7">
        <w:rPr>
          <w:rFonts w:ascii="Verdana" w:hAnsi="Verdana"/>
          <w:sz w:val="20"/>
          <w:lang w:val="en-US"/>
        </w:rPr>
        <w:t xml:space="preserve">In this regard, </w:t>
      </w:r>
      <w:r w:rsidR="002B5CCD" w:rsidRPr="008421E7">
        <w:rPr>
          <w:rFonts w:ascii="Verdana" w:hAnsi="Verdana"/>
          <w:sz w:val="20"/>
          <w:lang w:val="en-US"/>
        </w:rPr>
        <w:t>the State</w:t>
      </w:r>
      <w:r w:rsidRPr="008421E7">
        <w:rPr>
          <w:rFonts w:ascii="Verdana" w:hAnsi="Verdana"/>
          <w:sz w:val="20"/>
          <w:lang w:val="en-US"/>
        </w:rPr>
        <w:t xml:space="preserve"> </w:t>
      </w:r>
      <w:r w:rsidR="00D30EC1">
        <w:rPr>
          <w:rFonts w:ascii="Verdana" w:hAnsi="Verdana"/>
          <w:sz w:val="20"/>
          <w:lang w:val="en-US"/>
        </w:rPr>
        <w:t xml:space="preserve">has the obligation to protect </w:t>
      </w:r>
      <w:r w:rsidR="00890830" w:rsidRPr="008421E7">
        <w:rPr>
          <w:rFonts w:ascii="Verdana" w:hAnsi="Verdana"/>
          <w:sz w:val="20"/>
          <w:lang w:val="en-US"/>
        </w:rPr>
        <w:t xml:space="preserve">the areas of </w:t>
      </w:r>
      <w:r w:rsidR="00D30EC1">
        <w:rPr>
          <w:rFonts w:ascii="Verdana" w:hAnsi="Verdana"/>
          <w:sz w:val="20"/>
          <w:lang w:val="en-US"/>
        </w:rPr>
        <w:t xml:space="preserve">both </w:t>
      </w:r>
      <w:r w:rsidR="00890830" w:rsidRPr="008421E7">
        <w:rPr>
          <w:rFonts w:ascii="Verdana" w:hAnsi="Verdana"/>
          <w:sz w:val="20"/>
          <w:lang w:val="en-US"/>
        </w:rPr>
        <w:t xml:space="preserve">the nature reserve and the </w:t>
      </w:r>
      <w:r w:rsidR="00DA4B96" w:rsidRPr="008421E7">
        <w:rPr>
          <w:rFonts w:ascii="Verdana" w:hAnsi="Verdana"/>
          <w:sz w:val="20"/>
          <w:lang w:val="en-US"/>
        </w:rPr>
        <w:t>traditional territories</w:t>
      </w:r>
      <w:r w:rsidRPr="008421E7">
        <w:rPr>
          <w:rFonts w:ascii="Verdana" w:hAnsi="Verdana"/>
          <w:sz w:val="20"/>
          <w:lang w:val="en-US"/>
        </w:rPr>
        <w:t xml:space="preserve"> </w:t>
      </w:r>
      <w:r w:rsidR="00890830" w:rsidRPr="008421E7">
        <w:rPr>
          <w:rFonts w:ascii="Verdana" w:hAnsi="Verdana"/>
          <w:sz w:val="20"/>
          <w:lang w:val="en-US"/>
        </w:rPr>
        <w:t xml:space="preserve">in order to prevent damage to the indigenous </w:t>
      </w:r>
      <w:r w:rsidR="008421E7" w:rsidRPr="008421E7">
        <w:rPr>
          <w:rFonts w:ascii="Verdana" w:hAnsi="Verdana"/>
          <w:sz w:val="20"/>
          <w:lang w:val="en-US"/>
        </w:rPr>
        <w:t>lands, even</w:t>
      </w:r>
      <w:r w:rsidR="00890830" w:rsidRPr="008421E7">
        <w:rPr>
          <w:rFonts w:ascii="Verdana" w:hAnsi="Verdana"/>
          <w:sz w:val="20"/>
          <w:lang w:val="en-US"/>
        </w:rPr>
        <w:t xml:space="preserve"> </w:t>
      </w:r>
      <w:r w:rsidR="00890830" w:rsidRPr="008421E7">
        <w:rPr>
          <w:rFonts w:ascii="Verdana" w:hAnsi="Verdana"/>
          <w:sz w:val="20"/>
          <w:lang w:val="en-US"/>
        </w:rPr>
        <w:lastRenderedPageBreak/>
        <w:t>damage caused by third parties, with appropriate supervision and monitoring mechanisms</w:t>
      </w:r>
      <w:r w:rsidRPr="008421E7">
        <w:rPr>
          <w:rStyle w:val="FootnoteReference"/>
          <w:lang w:val="en-US"/>
        </w:rPr>
        <w:footnoteReference w:id="261"/>
      </w:r>
      <w:r w:rsidRPr="008421E7">
        <w:rPr>
          <w:rFonts w:ascii="Verdana" w:hAnsi="Verdana"/>
          <w:sz w:val="20"/>
          <w:lang w:val="en-US"/>
        </w:rPr>
        <w:t xml:space="preserve"> </w:t>
      </w:r>
      <w:r w:rsidR="00890830" w:rsidRPr="008421E7">
        <w:rPr>
          <w:rFonts w:ascii="Verdana" w:hAnsi="Verdana"/>
          <w:sz w:val="20"/>
          <w:lang w:val="en-US"/>
        </w:rPr>
        <w:t xml:space="preserve">that guarantee human rights; in particular by supervising and monitoring environmental impact assessments. The Court also notes that </w:t>
      </w:r>
      <w:r w:rsidR="002B5CCD" w:rsidRPr="008421E7">
        <w:rPr>
          <w:rFonts w:ascii="Verdana" w:hAnsi="Verdana"/>
          <w:sz w:val="20"/>
          <w:lang w:val="en-US"/>
        </w:rPr>
        <w:t>Article</w:t>
      </w:r>
      <w:r w:rsidRPr="008421E7">
        <w:rPr>
          <w:rFonts w:ascii="Verdana" w:hAnsi="Verdana"/>
          <w:sz w:val="20"/>
          <w:lang w:val="en-US"/>
        </w:rPr>
        <w:t xml:space="preserve"> 32</w:t>
      </w:r>
      <w:r w:rsidR="00DA4B96" w:rsidRPr="008421E7">
        <w:rPr>
          <w:rFonts w:ascii="Verdana" w:hAnsi="Verdana"/>
          <w:sz w:val="20"/>
          <w:lang w:val="en-US"/>
        </w:rPr>
        <w:t xml:space="preserve"> of the United Nations Declaration on the Rights of</w:t>
      </w:r>
      <w:r w:rsidR="00890830" w:rsidRPr="008421E7">
        <w:rPr>
          <w:rFonts w:ascii="Verdana" w:hAnsi="Verdana"/>
          <w:sz w:val="20"/>
          <w:lang w:val="en-US"/>
        </w:rPr>
        <w:t xml:space="preserve"> Indigenous P</w:t>
      </w:r>
      <w:r w:rsidR="00BD40EF" w:rsidRPr="008421E7">
        <w:rPr>
          <w:rFonts w:ascii="Verdana" w:hAnsi="Verdana"/>
          <w:sz w:val="20"/>
          <w:lang w:val="en-US"/>
        </w:rPr>
        <w:t>eoples</w:t>
      </w:r>
      <w:r w:rsidRPr="008421E7">
        <w:rPr>
          <w:rFonts w:ascii="Verdana" w:hAnsi="Verdana"/>
          <w:sz w:val="20"/>
          <w:lang w:val="en-US"/>
        </w:rPr>
        <w:t xml:space="preserve"> </w:t>
      </w:r>
      <w:r w:rsidR="00890830" w:rsidRPr="008421E7">
        <w:rPr>
          <w:rFonts w:ascii="Verdana" w:hAnsi="Verdana"/>
          <w:sz w:val="20"/>
          <w:lang w:val="en-US"/>
        </w:rPr>
        <w:t>stipulates that</w:t>
      </w:r>
      <w:r w:rsidRPr="008421E7">
        <w:rPr>
          <w:rFonts w:ascii="Verdana" w:hAnsi="Verdana"/>
          <w:sz w:val="20"/>
          <w:lang w:val="en-US"/>
        </w:rPr>
        <w:t xml:space="preserve"> “</w:t>
      </w:r>
      <w:r w:rsidR="00890830" w:rsidRPr="008421E7">
        <w:rPr>
          <w:rFonts w:ascii="Verdana" w:eastAsia="Times New Roman" w:hAnsi="Verdana"/>
          <w:sz w:val="20"/>
          <w:szCs w:val="20"/>
          <w:lang w:val="en-US"/>
        </w:rPr>
        <w:t>States shall provide effective mechanisms for just and fair redress for any such activities, and appropriate measures shall be taken to mitigate adverse environmental, […] impact.”</w:t>
      </w:r>
    </w:p>
    <w:p w14:paraId="63126A3E" w14:textId="77777777" w:rsidR="004F1899" w:rsidRPr="008421E7" w:rsidRDefault="004F1899" w:rsidP="004F1899">
      <w:pPr>
        <w:pStyle w:val="ListParagraph"/>
        <w:ind w:left="0"/>
        <w:jc w:val="both"/>
        <w:rPr>
          <w:rFonts w:ascii="Verdana" w:hAnsi="Verdana"/>
          <w:sz w:val="20"/>
          <w:lang w:val="en-US"/>
        </w:rPr>
      </w:pPr>
    </w:p>
    <w:p w14:paraId="63126A3F" w14:textId="77777777" w:rsidR="004F1899" w:rsidRPr="00FE7BA7" w:rsidRDefault="00890830" w:rsidP="00890830">
      <w:pPr>
        <w:pStyle w:val="ListParagraph"/>
        <w:numPr>
          <w:ilvl w:val="0"/>
          <w:numId w:val="2"/>
        </w:numPr>
        <w:ind w:left="0" w:hanging="11"/>
        <w:jc w:val="both"/>
        <w:rPr>
          <w:rFonts w:ascii="Verdana" w:hAnsi="Verdana"/>
          <w:sz w:val="20"/>
          <w:lang w:val="en-US"/>
        </w:rPr>
      </w:pPr>
      <w:r w:rsidRPr="008421E7">
        <w:rPr>
          <w:rFonts w:ascii="Verdana" w:hAnsi="Verdana"/>
          <w:sz w:val="20"/>
          <w:lang w:val="en-US"/>
        </w:rPr>
        <w:t>Thus, the adverse impacts in the above</w:t>
      </w:r>
      <w:r w:rsidRPr="00FE7BA7">
        <w:rPr>
          <w:rFonts w:ascii="Verdana" w:hAnsi="Verdana"/>
          <w:sz w:val="20"/>
          <w:lang w:val="en-US"/>
        </w:rPr>
        <w:t>-mentioned area directly affected the natural resources of the Kaliña and Lokono peoples within an area that they have traditionally used. In addition, not only were such i</w:t>
      </w:r>
      <w:r w:rsidR="00D30EC1">
        <w:rPr>
          <w:rFonts w:ascii="Verdana" w:hAnsi="Verdana"/>
          <w:sz w:val="20"/>
          <w:lang w:val="en-US"/>
        </w:rPr>
        <w:t>mpacts not avoided by preventive</w:t>
      </w:r>
      <w:r w:rsidRPr="00FE7BA7">
        <w:rPr>
          <w:rFonts w:ascii="Verdana" w:hAnsi="Verdana"/>
          <w:sz w:val="20"/>
          <w:lang w:val="en-US"/>
        </w:rPr>
        <w:t xml:space="preserve"> mechanisms or appropriate measures to mitigate the damage </w:t>
      </w:r>
      <w:r w:rsidR="00F67547">
        <w:rPr>
          <w:rFonts w:ascii="Verdana" w:hAnsi="Verdana"/>
          <w:sz w:val="20"/>
          <w:lang w:val="en-US"/>
        </w:rPr>
        <w:t xml:space="preserve">occasioned </w:t>
      </w:r>
      <w:r w:rsidRPr="00FE7BA7">
        <w:rPr>
          <w:rFonts w:ascii="Verdana" w:hAnsi="Verdana"/>
          <w:sz w:val="20"/>
          <w:lang w:val="en-US"/>
        </w:rPr>
        <w:t xml:space="preserve">by the State, such as the supervision of an environmental impact assessment, but the negative effects have continued over time, thus affecting the </w:t>
      </w:r>
      <w:r w:rsidR="00FD14B3" w:rsidRPr="00FE7BA7">
        <w:rPr>
          <w:rFonts w:ascii="Verdana" w:hAnsi="Verdana"/>
          <w:sz w:val="20"/>
          <w:lang w:val="en-US"/>
        </w:rPr>
        <w:t>traditional territory</w:t>
      </w:r>
      <w:r w:rsidR="002B5CCD" w:rsidRPr="00FE7BA7">
        <w:rPr>
          <w:rFonts w:ascii="Verdana" w:hAnsi="Verdana"/>
          <w:sz w:val="20"/>
          <w:lang w:val="en-US"/>
        </w:rPr>
        <w:t xml:space="preserve"> and</w:t>
      </w:r>
      <w:r w:rsidRPr="00FE7BA7">
        <w:rPr>
          <w:rFonts w:ascii="Verdana" w:hAnsi="Verdana"/>
          <w:sz w:val="20"/>
          <w:lang w:val="en-US"/>
        </w:rPr>
        <w:t xml:space="preserve"> the means of survival of </w:t>
      </w:r>
      <w:r w:rsidR="00DA4B96" w:rsidRPr="00FE7BA7">
        <w:rPr>
          <w:rFonts w:ascii="Verdana" w:hAnsi="Verdana"/>
          <w:sz w:val="20"/>
          <w:lang w:val="en-US"/>
        </w:rPr>
        <w:t>the members</w:t>
      </w:r>
      <w:r w:rsidR="004F1899" w:rsidRPr="00FE7BA7">
        <w:rPr>
          <w:rFonts w:ascii="Verdana" w:hAnsi="Verdana"/>
          <w:sz w:val="20"/>
          <w:lang w:val="en-US"/>
        </w:rPr>
        <w:t xml:space="preserve"> </w:t>
      </w:r>
      <w:r w:rsidRPr="00FE7BA7">
        <w:rPr>
          <w:rFonts w:ascii="Verdana" w:hAnsi="Verdana"/>
          <w:sz w:val="20"/>
          <w:lang w:val="en-US"/>
        </w:rPr>
        <w:t xml:space="preserve">of these peoples. </w:t>
      </w:r>
      <w:r w:rsidR="00F67547">
        <w:rPr>
          <w:rFonts w:ascii="Verdana" w:hAnsi="Verdana"/>
          <w:sz w:val="20"/>
          <w:lang w:val="en-US"/>
        </w:rPr>
        <w:t xml:space="preserve">Furthermore, the </w:t>
      </w:r>
      <w:r w:rsidRPr="00FE7BA7">
        <w:rPr>
          <w:rFonts w:ascii="Verdana" w:hAnsi="Verdana"/>
          <w:sz w:val="20"/>
          <w:lang w:val="en-US"/>
        </w:rPr>
        <w:t>Court recalls that the State is also responsible fo</w:t>
      </w:r>
      <w:r w:rsidR="00F67547">
        <w:rPr>
          <w:rFonts w:ascii="Verdana" w:hAnsi="Verdana"/>
          <w:sz w:val="20"/>
          <w:lang w:val="en-US"/>
        </w:rPr>
        <w:t>r supervising and monitoring</w:t>
      </w:r>
      <w:r w:rsidRPr="00FE7BA7">
        <w:rPr>
          <w:rFonts w:ascii="Verdana" w:hAnsi="Verdana"/>
          <w:sz w:val="20"/>
          <w:lang w:val="en-US"/>
        </w:rPr>
        <w:t xml:space="preserve"> actions </w:t>
      </w:r>
      <w:r w:rsidR="00F67547">
        <w:rPr>
          <w:rFonts w:ascii="Verdana" w:hAnsi="Verdana"/>
          <w:sz w:val="20"/>
          <w:lang w:val="en-US"/>
        </w:rPr>
        <w:t xml:space="preserve">taken on the affected territory </w:t>
      </w:r>
      <w:r w:rsidR="00D30EC1">
        <w:rPr>
          <w:rFonts w:ascii="Verdana" w:hAnsi="Verdana"/>
          <w:sz w:val="20"/>
          <w:lang w:val="en-US"/>
        </w:rPr>
        <w:t xml:space="preserve">in order </w:t>
      </w:r>
      <w:r w:rsidRPr="00FE7BA7">
        <w:rPr>
          <w:rFonts w:ascii="Verdana" w:hAnsi="Verdana"/>
          <w:sz w:val="20"/>
          <w:lang w:val="en-US"/>
        </w:rPr>
        <w:t xml:space="preserve">to achieve its prompt </w:t>
      </w:r>
      <w:r w:rsidR="00511E56" w:rsidRPr="00FE7BA7">
        <w:rPr>
          <w:rFonts w:ascii="Verdana" w:hAnsi="Verdana"/>
          <w:sz w:val="20"/>
          <w:lang w:val="en-US"/>
        </w:rPr>
        <w:t>rehabilitation</w:t>
      </w:r>
      <w:r w:rsidR="00F67547">
        <w:rPr>
          <w:rFonts w:ascii="Verdana" w:hAnsi="Verdana"/>
          <w:sz w:val="20"/>
          <w:lang w:val="en-US"/>
        </w:rPr>
        <w:t xml:space="preserve"> so as</w:t>
      </w:r>
      <w:r w:rsidR="004F1899" w:rsidRPr="00FE7BA7">
        <w:rPr>
          <w:rFonts w:ascii="Verdana" w:hAnsi="Verdana"/>
          <w:sz w:val="20"/>
          <w:lang w:val="en-US"/>
        </w:rPr>
        <w:t xml:space="preserve"> </w:t>
      </w:r>
      <w:r w:rsidRPr="00FE7BA7">
        <w:rPr>
          <w:rFonts w:ascii="Verdana" w:hAnsi="Verdana"/>
          <w:sz w:val="20"/>
          <w:lang w:val="en-US"/>
        </w:rPr>
        <w:t>to ensure</w:t>
      </w:r>
      <w:r w:rsidR="00F67547">
        <w:rPr>
          <w:rFonts w:ascii="Verdana" w:hAnsi="Verdana"/>
          <w:sz w:val="20"/>
          <w:lang w:val="en-US"/>
        </w:rPr>
        <w:t xml:space="preserve"> the</w:t>
      </w:r>
      <w:r w:rsidRPr="00FE7BA7">
        <w:rPr>
          <w:rFonts w:ascii="Verdana" w:hAnsi="Verdana"/>
          <w:sz w:val="20"/>
          <w:lang w:val="en-US"/>
        </w:rPr>
        <w:t xml:space="preserve"> full use and enjoyment of the rights of the peoples.</w:t>
      </w:r>
      <w:r w:rsidR="004F1899" w:rsidRPr="00FE7BA7">
        <w:rPr>
          <w:rFonts w:ascii="Verdana" w:hAnsi="Verdana"/>
          <w:sz w:val="20"/>
          <w:lang w:val="en-US"/>
        </w:rPr>
        <w:t xml:space="preserve"> </w:t>
      </w:r>
    </w:p>
    <w:p w14:paraId="63126A40" w14:textId="77777777" w:rsidR="004F1899" w:rsidRPr="00FE7BA7" w:rsidRDefault="004F1899" w:rsidP="004F1899">
      <w:pPr>
        <w:jc w:val="both"/>
        <w:rPr>
          <w:rFonts w:ascii="Verdana" w:hAnsi="Verdana"/>
          <w:sz w:val="20"/>
          <w:szCs w:val="20"/>
          <w:lang w:val="en-US"/>
        </w:rPr>
      </w:pPr>
    </w:p>
    <w:p w14:paraId="63126A41" w14:textId="64963DDA" w:rsidR="004F1899" w:rsidRPr="00FE7BA7" w:rsidRDefault="00C31B7D" w:rsidP="004F1899">
      <w:pPr>
        <w:pStyle w:val="ListParagraph"/>
        <w:numPr>
          <w:ilvl w:val="0"/>
          <w:numId w:val="2"/>
        </w:numPr>
        <w:ind w:left="0" w:hanging="11"/>
        <w:jc w:val="both"/>
        <w:rPr>
          <w:rFonts w:ascii="Verdana" w:hAnsi="Verdana"/>
          <w:sz w:val="20"/>
          <w:szCs w:val="20"/>
          <w:lang w:val="en-US"/>
        </w:rPr>
      </w:pPr>
      <w:r w:rsidRPr="00EB2327">
        <w:rPr>
          <w:rFonts w:ascii="Verdana" w:hAnsi="Verdana"/>
          <w:sz w:val="20"/>
          <w:szCs w:val="20"/>
          <w:lang w:val="en-US"/>
        </w:rPr>
        <w:t>The</w:t>
      </w:r>
      <w:r w:rsidR="00890830" w:rsidRPr="00EB2327">
        <w:rPr>
          <w:rFonts w:ascii="Verdana" w:hAnsi="Verdana"/>
          <w:sz w:val="20"/>
          <w:szCs w:val="20"/>
          <w:lang w:val="en-US"/>
        </w:rPr>
        <w:t xml:space="preserve"> Court </w:t>
      </w:r>
      <w:r w:rsidRPr="00EB2327">
        <w:rPr>
          <w:rFonts w:ascii="Verdana" w:hAnsi="Verdana"/>
          <w:sz w:val="20"/>
          <w:szCs w:val="20"/>
          <w:lang w:val="en-US"/>
        </w:rPr>
        <w:t xml:space="preserve">notes </w:t>
      </w:r>
      <w:r w:rsidR="00890830" w:rsidRPr="00EB2327">
        <w:rPr>
          <w:rFonts w:ascii="Verdana" w:hAnsi="Verdana"/>
          <w:sz w:val="20"/>
          <w:szCs w:val="20"/>
          <w:lang w:val="en-US"/>
        </w:rPr>
        <w:t>that the</w:t>
      </w:r>
      <w:r w:rsidR="00890830" w:rsidRPr="00FE7BA7">
        <w:rPr>
          <w:rFonts w:ascii="Verdana" w:hAnsi="Verdana"/>
          <w:sz w:val="20"/>
          <w:szCs w:val="20"/>
          <w:lang w:val="en-US"/>
        </w:rPr>
        <w:t xml:space="preserve"> mining </w:t>
      </w:r>
      <w:r w:rsidR="008D146B">
        <w:rPr>
          <w:rFonts w:ascii="Verdana" w:hAnsi="Verdana"/>
          <w:sz w:val="20"/>
          <w:szCs w:val="20"/>
          <w:lang w:val="en-US"/>
        </w:rPr>
        <w:t>activities</w:t>
      </w:r>
      <w:r w:rsidR="008D146B" w:rsidRPr="00FE7BA7">
        <w:rPr>
          <w:rFonts w:ascii="Verdana" w:hAnsi="Verdana"/>
          <w:sz w:val="20"/>
          <w:szCs w:val="20"/>
          <w:lang w:val="en-US"/>
        </w:rPr>
        <w:t xml:space="preserve"> </w:t>
      </w:r>
      <w:r w:rsidR="00890830" w:rsidRPr="00FE7BA7">
        <w:rPr>
          <w:rFonts w:ascii="Verdana" w:hAnsi="Verdana"/>
          <w:sz w:val="20"/>
          <w:szCs w:val="20"/>
          <w:lang w:val="en-US"/>
        </w:rPr>
        <w:t xml:space="preserve">that resulted in the adverse impact on the environment and, consequently, on the rights </w:t>
      </w:r>
      <w:r w:rsidR="00BD40EF" w:rsidRPr="00FE7BA7">
        <w:rPr>
          <w:rFonts w:ascii="Verdana" w:hAnsi="Verdana"/>
          <w:sz w:val="20"/>
          <w:szCs w:val="20"/>
          <w:lang w:val="en-US"/>
        </w:rPr>
        <w:t>of the indigenous peoples</w:t>
      </w:r>
      <w:r w:rsidR="004F1899" w:rsidRPr="00FE7BA7">
        <w:rPr>
          <w:rFonts w:ascii="Verdana" w:hAnsi="Verdana"/>
          <w:sz w:val="20"/>
          <w:szCs w:val="20"/>
          <w:lang w:val="en-US"/>
        </w:rPr>
        <w:t xml:space="preserve">, </w:t>
      </w:r>
      <w:r w:rsidR="00890830" w:rsidRPr="00FE7BA7">
        <w:rPr>
          <w:rFonts w:ascii="Verdana" w:hAnsi="Verdana"/>
          <w:sz w:val="20"/>
          <w:szCs w:val="20"/>
          <w:lang w:val="en-US"/>
        </w:rPr>
        <w:t>were carried out by private agents; first by Suralco alone</w:t>
      </w:r>
      <w:r w:rsidR="00F67547">
        <w:rPr>
          <w:rFonts w:ascii="Verdana" w:hAnsi="Verdana"/>
          <w:sz w:val="20"/>
          <w:szCs w:val="20"/>
          <w:lang w:val="en-US"/>
        </w:rPr>
        <w:t>,</w:t>
      </w:r>
      <w:r w:rsidR="00890830" w:rsidRPr="00FE7BA7">
        <w:rPr>
          <w:rFonts w:ascii="Verdana" w:hAnsi="Verdana"/>
          <w:sz w:val="20"/>
          <w:szCs w:val="20"/>
          <w:lang w:val="en-US"/>
        </w:rPr>
        <w:t xml:space="preserve"> and then by the joint venture, </w:t>
      </w:r>
      <w:r w:rsidR="004F1899" w:rsidRPr="00FE7BA7">
        <w:rPr>
          <w:rFonts w:ascii="Verdana" w:hAnsi="Verdana"/>
          <w:sz w:val="20"/>
          <w:szCs w:val="20"/>
          <w:lang w:val="en-US"/>
        </w:rPr>
        <w:t xml:space="preserve">BHP Billiton-Suralco. </w:t>
      </w:r>
    </w:p>
    <w:p w14:paraId="63126A42" w14:textId="77777777" w:rsidR="007A74B3" w:rsidRPr="00FE7BA7" w:rsidRDefault="007A74B3" w:rsidP="007A74B3">
      <w:pPr>
        <w:pStyle w:val="ListParagraph"/>
        <w:spacing w:after="200" w:line="276" w:lineRule="auto"/>
        <w:rPr>
          <w:rFonts w:ascii="Verdana" w:hAnsi="Verdana"/>
          <w:sz w:val="20"/>
          <w:lang w:val="en-US"/>
        </w:rPr>
      </w:pPr>
    </w:p>
    <w:p w14:paraId="63126A43" w14:textId="3178D3F3" w:rsidR="00221AD1" w:rsidRPr="00FE7BA7" w:rsidRDefault="00C31B7D" w:rsidP="00C31B7D">
      <w:pPr>
        <w:pStyle w:val="ListParagraph"/>
        <w:numPr>
          <w:ilvl w:val="0"/>
          <w:numId w:val="2"/>
        </w:numPr>
        <w:ind w:left="11" w:hanging="11"/>
        <w:jc w:val="both"/>
        <w:rPr>
          <w:rFonts w:ascii="Verdana" w:hAnsi="Verdana"/>
          <w:sz w:val="20"/>
          <w:lang w:val="en-US"/>
        </w:rPr>
      </w:pPr>
      <w:r w:rsidRPr="00FE7BA7">
        <w:rPr>
          <w:rFonts w:ascii="Verdana" w:hAnsi="Verdana"/>
          <w:sz w:val="20"/>
          <w:lang w:val="en-US"/>
        </w:rPr>
        <w:t xml:space="preserve">In this regard, </w:t>
      </w:r>
      <w:r w:rsidR="002B5CCD" w:rsidRPr="00FE7BA7">
        <w:rPr>
          <w:rFonts w:ascii="Verdana" w:hAnsi="Verdana"/>
          <w:sz w:val="20"/>
          <w:lang w:val="en-US"/>
        </w:rPr>
        <w:t>the Court</w:t>
      </w:r>
      <w:r w:rsidR="007A74B3" w:rsidRPr="00FE7BA7">
        <w:rPr>
          <w:rFonts w:ascii="Verdana" w:hAnsi="Verdana"/>
          <w:sz w:val="20"/>
          <w:lang w:val="en-US"/>
        </w:rPr>
        <w:t xml:space="preserve"> t</w:t>
      </w:r>
      <w:r w:rsidRPr="00FE7BA7">
        <w:rPr>
          <w:rFonts w:ascii="Verdana" w:hAnsi="Verdana"/>
          <w:sz w:val="20"/>
          <w:lang w:val="en-US"/>
        </w:rPr>
        <w:t>akes note of the “Guiding Principles on Business and Human Rights,</w:t>
      </w:r>
      <w:r w:rsidR="007A74B3" w:rsidRPr="00FE7BA7">
        <w:rPr>
          <w:rFonts w:ascii="Verdana" w:hAnsi="Verdana"/>
          <w:sz w:val="20"/>
          <w:lang w:val="en-US"/>
        </w:rPr>
        <w:t>”</w:t>
      </w:r>
      <w:r w:rsidR="007A74B3" w:rsidRPr="00FE7BA7">
        <w:rPr>
          <w:rStyle w:val="FootnoteReference"/>
          <w:lang w:val="en-US"/>
        </w:rPr>
        <w:footnoteReference w:id="262"/>
      </w:r>
      <w:r w:rsidRPr="00FE7BA7">
        <w:rPr>
          <w:rFonts w:ascii="Verdana" w:hAnsi="Verdana"/>
          <w:sz w:val="20"/>
          <w:lang w:val="en-US"/>
        </w:rPr>
        <w:t xml:space="preserve"> endorsed by the Human Rights Council of the United Nations, which establish that businesses must respect and protect human rights, as well as prevent, mitigate, and accept responsibility for the adverse human rights impacts directly linked to their activities.</w:t>
      </w:r>
      <w:r w:rsidR="007A74B3" w:rsidRPr="00FE7BA7">
        <w:rPr>
          <w:rStyle w:val="FootnoteReference"/>
          <w:lang w:val="en-US"/>
        </w:rPr>
        <w:footnoteReference w:id="263"/>
      </w:r>
      <w:r w:rsidRPr="00FE7BA7">
        <w:rPr>
          <w:rFonts w:ascii="Verdana" w:hAnsi="Verdana"/>
          <w:sz w:val="20"/>
          <w:lang w:val="en-US"/>
        </w:rPr>
        <w:t xml:space="preserve"> Hence, as reiterated by these principles, “States must protect against human rights abuse within their territory and/or jurisdiction by third parties, including business </w:t>
      </w:r>
      <w:r w:rsidR="00FE7BA7" w:rsidRPr="00FE7BA7">
        <w:rPr>
          <w:rFonts w:ascii="Verdana" w:hAnsi="Verdana"/>
          <w:sz w:val="20"/>
          <w:lang w:val="en-US"/>
        </w:rPr>
        <w:t>enterprises. This</w:t>
      </w:r>
      <w:r w:rsidRPr="00FE7BA7">
        <w:rPr>
          <w:rFonts w:ascii="Verdana" w:hAnsi="Verdana"/>
          <w:sz w:val="20"/>
          <w:lang w:val="en-US"/>
        </w:rPr>
        <w:t xml:space="preserve"> requires taking appropriate steps to prevent, investigate, punish and redress such abuse through effective policies, legislation, regulations and adjudication.”</w:t>
      </w:r>
      <w:r w:rsidR="005D596D" w:rsidRPr="00FE7BA7">
        <w:rPr>
          <w:rStyle w:val="FootnoteReference"/>
          <w:lang w:val="en-US"/>
        </w:rPr>
        <w:footnoteReference w:id="264"/>
      </w:r>
    </w:p>
    <w:p w14:paraId="63126A44" w14:textId="77777777" w:rsidR="00C31B7D" w:rsidRPr="00FE7BA7" w:rsidRDefault="00C31B7D" w:rsidP="00C31B7D">
      <w:pPr>
        <w:pStyle w:val="ListParagraph"/>
        <w:rPr>
          <w:rFonts w:ascii="Verdana" w:hAnsi="Verdana"/>
          <w:sz w:val="20"/>
          <w:lang w:val="en-US"/>
        </w:rPr>
      </w:pPr>
    </w:p>
    <w:p w14:paraId="63126A45" w14:textId="77777777" w:rsidR="004F1899" w:rsidRPr="00FE7BA7" w:rsidRDefault="00C31B7D" w:rsidP="00C31B7D">
      <w:pPr>
        <w:pStyle w:val="ListParagraph"/>
        <w:numPr>
          <w:ilvl w:val="0"/>
          <w:numId w:val="2"/>
        </w:numPr>
        <w:ind w:left="11" w:hanging="11"/>
        <w:jc w:val="both"/>
        <w:rPr>
          <w:rFonts w:ascii="Verdana" w:hAnsi="Verdana"/>
          <w:sz w:val="20"/>
          <w:lang w:val="en-US"/>
        </w:rPr>
      </w:pPr>
      <w:r w:rsidRPr="00FE7BA7">
        <w:rPr>
          <w:rFonts w:ascii="Verdana" w:hAnsi="Verdana"/>
          <w:sz w:val="20"/>
          <w:lang w:val="en-US"/>
        </w:rPr>
        <w:t xml:space="preserve">Thus, </w:t>
      </w:r>
      <w:r w:rsidRPr="00FE7BA7">
        <w:rPr>
          <w:rFonts w:ascii="Verdana" w:eastAsia="Times New Roman" w:hAnsi="Verdana" w:cs="Arial"/>
          <w:sz w:val="20"/>
          <w:szCs w:val="20"/>
          <w:lang w:val="en-US"/>
        </w:rPr>
        <w:t>the Special Representative of the Secretary-General of the United Nations on the issue of human rights and transnational corporations and other business enterprises has indicated that businesses</w:t>
      </w:r>
      <w:r w:rsidRPr="00FE7BA7">
        <w:rPr>
          <w:rFonts w:ascii="Verdana" w:hAnsi="Verdana"/>
          <w:sz w:val="20"/>
          <w:lang w:val="en-US"/>
        </w:rPr>
        <w:t xml:space="preserve"> m</w:t>
      </w:r>
      <w:r w:rsidRPr="00FE7BA7">
        <w:rPr>
          <w:rFonts w:ascii="Verdana" w:hAnsi="Verdana"/>
          <w:sz w:val="20"/>
          <w:szCs w:val="20"/>
          <w:lang w:val="en-US"/>
        </w:rPr>
        <w:t xml:space="preserve">ust respect the human rights of members of specific groups or </w:t>
      </w:r>
      <w:r w:rsidRPr="00FE7BA7">
        <w:rPr>
          <w:rFonts w:ascii="Verdana" w:hAnsi="Verdana"/>
          <w:sz w:val="20"/>
          <w:szCs w:val="20"/>
          <w:lang w:val="en-US"/>
        </w:rPr>
        <w:lastRenderedPageBreak/>
        <w:t>populations</w:t>
      </w:r>
      <w:r w:rsidR="004F1899" w:rsidRPr="00FE7BA7">
        <w:rPr>
          <w:rFonts w:ascii="Verdana" w:hAnsi="Verdana"/>
          <w:sz w:val="20"/>
          <w:szCs w:val="20"/>
          <w:lang w:val="en-US"/>
        </w:rPr>
        <w:t xml:space="preserve">, </w:t>
      </w:r>
      <w:r w:rsidRPr="00FE7BA7">
        <w:rPr>
          <w:rFonts w:ascii="Verdana" w:hAnsi="Verdana"/>
          <w:sz w:val="20"/>
          <w:szCs w:val="20"/>
          <w:lang w:val="en-US"/>
        </w:rPr>
        <w:t>including</w:t>
      </w:r>
      <w:r w:rsidR="00967E6B" w:rsidRPr="00FE7BA7">
        <w:rPr>
          <w:rFonts w:ascii="Verdana" w:hAnsi="Verdana"/>
          <w:sz w:val="20"/>
          <w:szCs w:val="20"/>
          <w:lang w:val="en-US"/>
        </w:rPr>
        <w:t xml:space="preserve"> </w:t>
      </w:r>
      <w:r w:rsidRPr="00FE7BA7">
        <w:rPr>
          <w:rFonts w:ascii="Verdana" w:hAnsi="Verdana"/>
          <w:sz w:val="20"/>
          <w:szCs w:val="20"/>
          <w:lang w:val="en-US"/>
        </w:rPr>
        <w:t>indigenous and tribal peoples</w:t>
      </w:r>
      <w:r w:rsidR="004F1899" w:rsidRPr="00FE7BA7">
        <w:rPr>
          <w:rFonts w:ascii="Verdana" w:hAnsi="Verdana"/>
          <w:sz w:val="20"/>
          <w:szCs w:val="20"/>
          <w:lang w:val="en-US"/>
        </w:rPr>
        <w:t>,</w:t>
      </w:r>
      <w:r w:rsidR="002B5CCD" w:rsidRPr="00FE7BA7">
        <w:rPr>
          <w:rFonts w:ascii="Verdana" w:hAnsi="Verdana"/>
          <w:sz w:val="20"/>
          <w:szCs w:val="20"/>
          <w:lang w:val="en-US"/>
        </w:rPr>
        <w:t xml:space="preserve"> and </w:t>
      </w:r>
      <w:r w:rsidR="00DC4DB8" w:rsidRPr="00FE7BA7">
        <w:rPr>
          <w:rFonts w:ascii="Verdana" w:hAnsi="Verdana"/>
          <w:sz w:val="20"/>
          <w:szCs w:val="20"/>
          <w:lang w:val="en-US"/>
        </w:rPr>
        <w:t>pay</w:t>
      </w:r>
      <w:r w:rsidRPr="00FE7BA7">
        <w:rPr>
          <w:rFonts w:ascii="Verdana" w:hAnsi="Verdana"/>
          <w:sz w:val="20"/>
          <w:szCs w:val="20"/>
          <w:lang w:val="en-US"/>
        </w:rPr>
        <w:t xml:space="preserve"> special attention when</w:t>
      </w:r>
      <w:r w:rsidR="00DC4DB8" w:rsidRPr="00FE7BA7">
        <w:rPr>
          <w:rFonts w:ascii="Verdana" w:hAnsi="Verdana"/>
          <w:sz w:val="20"/>
          <w:szCs w:val="20"/>
          <w:lang w:val="en-US"/>
        </w:rPr>
        <w:t xml:space="preserve"> such </w:t>
      </w:r>
      <w:r w:rsidRPr="00FE7BA7">
        <w:rPr>
          <w:rFonts w:ascii="Verdana" w:hAnsi="Verdana"/>
          <w:sz w:val="20"/>
          <w:szCs w:val="20"/>
          <w:lang w:val="en-US"/>
        </w:rPr>
        <w:t>rights are violated.</w:t>
      </w:r>
      <w:r w:rsidR="004F1899" w:rsidRPr="00FE7BA7">
        <w:rPr>
          <w:rStyle w:val="FootnoteReference"/>
          <w:szCs w:val="20"/>
          <w:lang w:val="en-US"/>
        </w:rPr>
        <w:footnoteReference w:id="265"/>
      </w:r>
      <w:r w:rsidR="004F1899" w:rsidRPr="00FE7BA7">
        <w:rPr>
          <w:rFonts w:ascii="Verdana" w:hAnsi="Verdana"/>
          <w:sz w:val="20"/>
          <w:szCs w:val="20"/>
          <w:lang w:val="en-US"/>
        </w:rPr>
        <w:t xml:space="preserve"> </w:t>
      </w:r>
    </w:p>
    <w:p w14:paraId="63126A47" w14:textId="77777777" w:rsidR="007A74B3" w:rsidRPr="00FE7BA7" w:rsidRDefault="00DC4DB8" w:rsidP="007A74B3">
      <w:pPr>
        <w:pStyle w:val="ListParagraph"/>
        <w:numPr>
          <w:ilvl w:val="0"/>
          <w:numId w:val="2"/>
        </w:numPr>
        <w:ind w:left="0" w:hanging="11"/>
        <w:jc w:val="both"/>
        <w:rPr>
          <w:rFonts w:ascii="Verdana" w:hAnsi="Verdana"/>
          <w:sz w:val="20"/>
          <w:lang w:val="en-US"/>
        </w:rPr>
      </w:pPr>
      <w:r w:rsidRPr="00FE7BA7">
        <w:rPr>
          <w:rFonts w:ascii="Verdana" w:hAnsi="Verdana"/>
          <w:sz w:val="20"/>
          <w:lang w:val="en-US"/>
        </w:rPr>
        <w:t>Based on the above, the Court finds that, because the State did not ensure that an independent social and</w:t>
      </w:r>
      <w:r w:rsidR="007A74B3" w:rsidRPr="00FE7BA7">
        <w:rPr>
          <w:rFonts w:ascii="Verdana" w:hAnsi="Verdana"/>
          <w:sz w:val="20"/>
          <w:lang w:val="en-US"/>
        </w:rPr>
        <w:t xml:space="preserve"> </w:t>
      </w:r>
      <w:r w:rsidR="00890830" w:rsidRPr="00FE7BA7">
        <w:rPr>
          <w:rFonts w:ascii="Verdana" w:hAnsi="Verdana"/>
          <w:sz w:val="20"/>
          <w:lang w:val="en-US"/>
        </w:rPr>
        <w:t>environmental impact assessment</w:t>
      </w:r>
      <w:r w:rsidRPr="00FE7BA7">
        <w:rPr>
          <w:rFonts w:ascii="Verdana" w:hAnsi="Verdana"/>
          <w:sz w:val="20"/>
          <w:lang w:val="en-US"/>
        </w:rPr>
        <w:t xml:space="preserve"> was made prior to the start-up of bauxite </w:t>
      </w:r>
      <w:r w:rsidR="00F67547">
        <w:rPr>
          <w:rFonts w:ascii="Verdana" w:hAnsi="Verdana"/>
          <w:sz w:val="20"/>
          <w:lang w:val="en-US"/>
        </w:rPr>
        <w:t>mining</w:t>
      </w:r>
      <w:r w:rsidRPr="00FE7BA7">
        <w:rPr>
          <w:rFonts w:ascii="Verdana" w:hAnsi="Verdana"/>
          <w:sz w:val="20"/>
          <w:lang w:val="en-US"/>
        </w:rPr>
        <w:t xml:space="preserve">, and </w:t>
      </w:r>
      <w:r w:rsidR="00F67547">
        <w:rPr>
          <w:rFonts w:ascii="Verdana" w:hAnsi="Verdana"/>
          <w:sz w:val="20"/>
          <w:lang w:val="en-US"/>
        </w:rPr>
        <w:t>did not</w:t>
      </w:r>
      <w:r w:rsidRPr="00FE7BA7">
        <w:rPr>
          <w:rFonts w:ascii="Verdana" w:hAnsi="Verdana"/>
          <w:sz w:val="20"/>
          <w:lang w:val="en-US"/>
        </w:rPr>
        <w:t xml:space="preserve"> supervise the assessment that was made subsequently, it failed to comply with this safeguard; in particular, considering that the activities would be carried out in a protected nature reserve and within the </w:t>
      </w:r>
      <w:r w:rsidR="00DA4B96" w:rsidRPr="00FE7BA7">
        <w:rPr>
          <w:rFonts w:ascii="Verdana" w:hAnsi="Verdana"/>
          <w:sz w:val="20"/>
          <w:lang w:val="en-US"/>
        </w:rPr>
        <w:t>traditional territories</w:t>
      </w:r>
      <w:r w:rsidR="004F1899" w:rsidRPr="00FE7BA7">
        <w:rPr>
          <w:rFonts w:ascii="Verdana" w:hAnsi="Verdana"/>
          <w:sz w:val="20"/>
          <w:lang w:val="en-US"/>
        </w:rPr>
        <w:t xml:space="preserve"> </w:t>
      </w:r>
      <w:r w:rsidRPr="00FE7BA7">
        <w:rPr>
          <w:rFonts w:ascii="Verdana" w:hAnsi="Verdana"/>
          <w:sz w:val="20"/>
          <w:lang w:val="en-US"/>
        </w:rPr>
        <w:t>of several peoples</w:t>
      </w:r>
      <w:r w:rsidR="004F1899" w:rsidRPr="00FE7BA7">
        <w:rPr>
          <w:rFonts w:ascii="Verdana" w:hAnsi="Verdana"/>
          <w:sz w:val="20"/>
          <w:lang w:val="en-US"/>
        </w:rPr>
        <w:t>.</w:t>
      </w:r>
      <w:r w:rsidR="003966ED" w:rsidRPr="00FE7BA7">
        <w:rPr>
          <w:rFonts w:ascii="Verdana" w:hAnsi="Verdana"/>
          <w:sz w:val="20"/>
          <w:lang w:val="en-US"/>
        </w:rPr>
        <w:t xml:space="preserve"> </w:t>
      </w:r>
    </w:p>
    <w:p w14:paraId="63126A48" w14:textId="77777777" w:rsidR="007A74B3" w:rsidRPr="00FE7BA7" w:rsidRDefault="007A74B3" w:rsidP="007A74B3">
      <w:pPr>
        <w:jc w:val="both"/>
        <w:rPr>
          <w:rFonts w:ascii="Verdana" w:hAnsi="Verdana"/>
          <w:sz w:val="20"/>
          <w:lang w:val="en-US"/>
        </w:rPr>
      </w:pPr>
    </w:p>
    <w:p w14:paraId="63126A49" w14:textId="77777777" w:rsidR="007A74B3" w:rsidRPr="00FE7BA7" w:rsidRDefault="007A74B3" w:rsidP="00261627">
      <w:pPr>
        <w:shd w:val="clear" w:color="auto" w:fill="FFFFFF"/>
        <w:ind w:left="720" w:firstLine="720"/>
        <w:jc w:val="both"/>
        <w:textAlignment w:val="top"/>
        <w:rPr>
          <w:rFonts w:ascii="Verdana" w:eastAsia="Times New Roman" w:hAnsi="Verdana"/>
          <w:b/>
          <w:color w:val="000000"/>
          <w:sz w:val="20"/>
          <w:lang w:val="en-US" w:eastAsia="es-CR"/>
        </w:rPr>
      </w:pPr>
      <w:r w:rsidRPr="00FE7BA7">
        <w:rPr>
          <w:rFonts w:ascii="Verdana" w:hAnsi="Verdana"/>
          <w:b/>
          <w:i/>
          <w:sz w:val="20"/>
          <w:lang w:val="en-US" w:eastAsia="es-ES"/>
        </w:rPr>
        <w:t>ii</w:t>
      </w:r>
      <w:r w:rsidR="00F62FEB" w:rsidRPr="00FE7BA7">
        <w:rPr>
          <w:rFonts w:ascii="Verdana" w:hAnsi="Verdana"/>
          <w:b/>
          <w:i/>
          <w:sz w:val="20"/>
          <w:lang w:val="en-US" w:eastAsia="es-ES"/>
        </w:rPr>
        <w:t>i</w:t>
      </w:r>
      <w:r w:rsidRPr="00FE7BA7">
        <w:rPr>
          <w:rFonts w:ascii="Verdana" w:hAnsi="Verdana"/>
          <w:b/>
          <w:i/>
          <w:sz w:val="20"/>
          <w:lang w:val="en-US" w:eastAsia="es-ES"/>
        </w:rPr>
        <w:t xml:space="preserve">) </w:t>
      </w:r>
      <w:r w:rsidR="00DC4DB8" w:rsidRPr="00FE7BA7">
        <w:rPr>
          <w:rFonts w:ascii="Verdana" w:eastAsia="Times New Roman" w:hAnsi="Verdana"/>
          <w:b/>
          <w:i/>
          <w:color w:val="000000"/>
          <w:sz w:val="20"/>
          <w:lang w:val="en-US" w:eastAsia="es-CR"/>
        </w:rPr>
        <w:t>Shared benefits</w:t>
      </w:r>
    </w:p>
    <w:p w14:paraId="63126A4A" w14:textId="77777777" w:rsidR="007A74B3" w:rsidRPr="00FE7BA7" w:rsidRDefault="007A74B3" w:rsidP="007A74B3">
      <w:pPr>
        <w:shd w:val="clear" w:color="auto" w:fill="FFFFFF"/>
        <w:jc w:val="both"/>
        <w:textAlignment w:val="top"/>
        <w:rPr>
          <w:rFonts w:ascii="Verdana" w:eastAsia="Times New Roman" w:hAnsi="Verdana"/>
          <w:color w:val="000000"/>
          <w:sz w:val="20"/>
          <w:lang w:val="en-US" w:eastAsia="es-CR"/>
        </w:rPr>
      </w:pPr>
    </w:p>
    <w:p w14:paraId="63126A4B" w14:textId="77777777" w:rsidR="007A74B3" w:rsidRPr="00FE7BA7" w:rsidRDefault="00DC4DB8" w:rsidP="007A74B3">
      <w:pPr>
        <w:pStyle w:val="ListParagraph"/>
        <w:numPr>
          <w:ilvl w:val="0"/>
          <w:numId w:val="2"/>
        </w:numPr>
        <w:ind w:left="0" w:hanging="11"/>
        <w:jc w:val="both"/>
        <w:rPr>
          <w:rFonts w:ascii="Verdana" w:eastAsiaTheme="minorEastAsia" w:hAnsi="Verdana"/>
          <w:sz w:val="20"/>
          <w:lang w:val="en-US"/>
        </w:rPr>
      </w:pPr>
      <w:r w:rsidRPr="00152430">
        <w:rPr>
          <w:rFonts w:ascii="Verdana" w:eastAsia="Times New Roman" w:hAnsi="Verdana"/>
          <w:color w:val="000000"/>
          <w:sz w:val="20"/>
          <w:lang w:val="en-US" w:eastAsia="es-CR"/>
        </w:rPr>
        <w:t xml:space="preserve">When considering development plans within the </w:t>
      </w:r>
      <w:r w:rsidR="00804BD4" w:rsidRPr="00152430">
        <w:rPr>
          <w:rFonts w:ascii="Verdana" w:eastAsia="Times New Roman" w:hAnsi="Verdana"/>
          <w:color w:val="000000"/>
          <w:sz w:val="20"/>
          <w:lang w:val="en-US" w:eastAsia="es-CR"/>
        </w:rPr>
        <w:t>territories</w:t>
      </w:r>
      <w:r w:rsidRPr="00152430">
        <w:rPr>
          <w:rFonts w:ascii="Verdana" w:eastAsia="Times New Roman" w:hAnsi="Verdana"/>
          <w:color w:val="000000"/>
          <w:sz w:val="20"/>
          <w:lang w:val="en-US" w:eastAsia="es-CR"/>
        </w:rPr>
        <w:t xml:space="preserve"> of</w:t>
      </w:r>
      <w:r w:rsidR="00511E56" w:rsidRPr="00152430">
        <w:rPr>
          <w:rFonts w:ascii="Verdana" w:eastAsia="Times New Roman" w:hAnsi="Verdana"/>
          <w:color w:val="000000"/>
          <w:sz w:val="20"/>
          <w:lang w:val="en-US" w:eastAsia="es-CR"/>
        </w:rPr>
        <w:t xml:space="preserve"> </w:t>
      </w:r>
      <w:r w:rsidRPr="00152430">
        <w:rPr>
          <w:rFonts w:ascii="Verdana" w:eastAsia="Times New Roman" w:hAnsi="Verdana"/>
          <w:color w:val="000000"/>
          <w:sz w:val="20"/>
          <w:lang w:val="en-US" w:eastAsia="es-CR"/>
        </w:rPr>
        <w:t>indigenous and tribal peoples</w:t>
      </w:r>
      <w:r w:rsidR="004B79FA" w:rsidRPr="00152430">
        <w:rPr>
          <w:rFonts w:ascii="Verdana" w:eastAsia="Times New Roman" w:hAnsi="Verdana"/>
          <w:color w:val="000000"/>
          <w:sz w:val="20"/>
          <w:lang w:val="en-US" w:eastAsia="es-CR"/>
        </w:rPr>
        <w:t>,</w:t>
      </w:r>
      <w:r w:rsidR="007A74B3" w:rsidRPr="00FE7BA7">
        <w:rPr>
          <w:rFonts w:ascii="Verdana" w:eastAsia="Times New Roman" w:hAnsi="Verdana"/>
          <w:color w:val="000000"/>
          <w:sz w:val="20"/>
          <w:lang w:val="en-US" w:eastAsia="es-CR"/>
        </w:rPr>
        <w:t xml:space="preserve"> </w:t>
      </w:r>
      <w:r w:rsidR="002B5CCD" w:rsidRPr="00FE7BA7">
        <w:rPr>
          <w:rFonts w:ascii="Verdana" w:eastAsia="Times New Roman" w:hAnsi="Verdana"/>
          <w:color w:val="000000"/>
          <w:sz w:val="20"/>
          <w:lang w:val="en-US" w:eastAsia="es-CR"/>
        </w:rPr>
        <w:t>the State</w:t>
      </w:r>
      <w:r w:rsidR="00B73D90" w:rsidRPr="00FE7BA7">
        <w:rPr>
          <w:rFonts w:ascii="Verdana" w:eastAsia="Times New Roman" w:hAnsi="Verdana"/>
          <w:color w:val="000000"/>
          <w:sz w:val="20"/>
          <w:lang w:val="en-US" w:eastAsia="es-CR"/>
        </w:rPr>
        <w:t xml:space="preserve"> </w:t>
      </w:r>
      <w:r w:rsidRPr="00FE7BA7">
        <w:rPr>
          <w:rFonts w:ascii="Verdana" w:eastAsia="Times New Roman" w:hAnsi="Verdana"/>
          <w:color w:val="000000"/>
          <w:sz w:val="20"/>
          <w:lang w:val="en-US" w:eastAsia="es-CR"/>
        </w:rPr>
        <w:t xml:space="preserve">should, within reason, share the benefits of the project in question, </w:t>
      </w:r>
      <w:r w:rsidR="00152430">
        <w:rPr>
          <w:rFonts w:ascii="Verdana" w:eastAsia="Times New Roman" w:hAnsi="Verdana"/>
          <w:color w:val="000000"/>
          <w:sz w:val="20"/>
          <w:lang w:val="en-US" w:eastAsia="es-CR"/>
        </w:rPr>
        <w:t>as appropriate</w:t>
      </w:r>
      <w:r w:rsidRPr="00FE7BA7">
        <w:rPr>
          <w:rFonts w:ascii="Verdana" w:eastAsia="Times New Roman" w:hAnsi="Verdana"/>
          <w:color w:val="000000"/>
          <w:sz w:val="20"/>
          <w:lang w:val="en-US" w:eastAsia="es-CR"/>
        </w:rPr>
        <w:t xml:space="preserve">. This concept is inherent in the right to compensation </w:t>
      </w:r>
      <w:r w:rsidR="00FE7BA7" w:rsidRPr="00FE7BA7">
        <w:rPr>
          <w:rFonts w:ascii="Verdana" w:eastAsia="Times New Roman" w:hAnsi="Verdana"/>
          <w:color w:val="000000"/>
          <w:sz w:val="20"/>
          <w:lang w:val="en-US" w:eastAsia="es-CR"/>
        </w:rPr>
        <w:t>recognized</w:t>
      </w:r>
      <w:r w:rsidRPr="00FE7BA7">
        <w:rPr>
          <w:rFonts w:ascii="Verdana" w:eastAsia="Times New Roman" w:hAnsi="Verdana"/>
          <w:color w:val="000000"/>
          <w:sz w:val="20"/>
          <w:lang w:val="en-US" w:eastAsia="es-CR"/>
        </w:rPr>
        <w:t xml:space="preserve"> in</w:t>
      </w:r>
      <w:r w:rsidR="007A74B3" w:rsidRPr="00FE7BA7">
        <w:rPr>
          <w:rFonts w:ascii="Verdana" w:eastAsia="Times New Roman" w:hAnsi="Verdana"/>
          <w:color w:val="000000"/>
          <w:sz w:val="20"/>
          <w:lang w:val="en-US" w:eastAsia="es-CR"/>
        </w:rPr>
        <w:t xml:space="preserve"> </w:t>
      </w:r>
      <w:r w:rsidR="002B5CCD" w:rsidRPr="00FE7BA7">
        <w:rPr>
          <w:rFonts w:ascii="Verdana" w:eastAsia="Times New Roman" w:hAnsi="Verdana"/>
          <w:color w:val="000000"/>
          <w:sz w:val="20"/>
          <w:lang w:val="en-US" w:eastAsia="es-CR"/>
        </w:rPr>
        <w:t>Article</w:t>
      </w:r>
      <w:r w:rsidRPr="00FE7BA7">
        <w:rPr>
          <w:rFonts w:ascii="Verdana" w:eastAsia="Times New Roman" w:hAnsi="Verdana"/>
          <w:color w:val="000000"/>
          <w:sz w:val="20"/>
          <w:lang w:val="en-US" w:eastAsia="es-CR"/>
        </w:rPr>
        <w:t xml:space="preserve"> 21(</w:t>
      </w:r>
      <w:r w:rsidR="007A74B3" w:rsidRPr="00FE7BA7">
        <w:rPr>
          <w:rFonts w:ascii="Verdana" w:eastAsia="Times New Roman" w:hAnsi="Verdana"/>
          <w:color w:val="000000"/>
          <w:sz w:val="20"/>
          <w:lang w:val="en-US" w:eastAsia="es-CR"/>
        </w:rPr>
        <w:t>2</w:t>
      </w:r>
      <w:r w:rsidRPr="00FE7BA7">
        <w:rPr>
          <w:rFonts w:ascii="Verdana" w:eastAsia="Times New Roman" w:hAnsi="Verdana"/>
          <w:color w:val="000000"/>
          <w:sz w:val="20"/>
          <w:lang w:val="en-US" w:eastAsia="es-CR"/>
        </w:rPr>
        <w:t>)</w:t>
      </w:r>
      <w:r w:rsidR="002B5CCD" w:rsidRPr="00FE7BA7">
        <w:rPr>
          <w:rFonts w:ascii="Verdana" w:eastAsia="Times New Roman" w:hAnsi="Verdana"/>
          <w:color w:val="000000"/>
          <w:sz w:val="20"/>
          <w:lang w:val="en-US" w:eastAsia="es-CR"/>
        </w:rPr>
        <w:t xml:space="preserve"> of the Convention</w:t>
      </w:r>
      <w:r w:rsidR="007A74B3" w:rsidRPr="00FE7BA7">
        <w:rPr>
          <w:rFonts w:ascii="Verdana" w:eastAsia="Times New Roman" w:hAnsi="Verdana"/>
          <w:color w:val="000000"/>
          <w:sz w:val="20"/>
          <w:lang w:val="en-US" w:eastAsia="es-CR"/>
        </w:rPr>
        <w:t xml:space="preserve">, </w:t>
      </w:r>
      <w:r w:rsidRPr="00FE7BA7">
        <w:rPr>
          <w:rFonts w:ascii="Verdana" w:eastAsia="Times New Roman" w:hAnsi="Verdana"/>
          <w:color w:val="000000"/>
          <w:sz w:val="20"/>
          <w:lang w:val="en-US" w:eastAsia="es-CR"/>
        </w:rPr>
        <w:t>which refers not only to total deprivation of a property title by means of expropriation by the State, but also includes the deprivation of the normal use and enjoyment of that property.</w:t>
      </w:r>
      <w:r w:rsidR="007A74B3" w:rsidRPr="00FE7BA7">
        <w:rPr>
          <w:rStyle w:val="FootnoteReference"/>
          <w:rFonts w:eastAsia="Times New Roman"/>
          <w:color w:val="000000"/>
          <w:lang w:val="en-US" w:eastAsia="es-CR"/>
        </w:rPr>
        <w:footnoteReference w:id="266"/>
      </w:r>
    </w:p>
    <w:p w14:paraId="63126A4C" w14:textId="77777777" w:rsidR="007A74B3" w:rsidRPr="00FE7BA7" w:rsidRDefault="007A74B3" w:rsidP="004F1899">
      <w:pPr>
        <w:pStyle w:val="ListParagraph"/>
        <w:jc w:val="both"/>
        <w:rPr>
          <w:rFonts w:ascii="Verdana" w:eastAsiaTheme="minorEastAsia" w:hAnsi="Verdana"/>
          <w:sz w:val="20"/>
          <w:lang w:val="en-US"/>
        </w:rPr>
      </w:pPr>
    </w:p>
    <w:p w14:paraId="63126A4D" w14:textId="77777777" w:rsidR="004F1899" w:rsidRPr="00FE7BA7" w:rsidRDefault="00DC4DB8" w:rsidP="004F1899">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case, </w:t>
      </w:r>
      <w:r w:rsidR="00810FAD" w:rsidRPr="00FE7BA7">
        <w:rPr>
          <w:rFonts w:ascii="Verdana" w:hAnsi="Verdana"/>
          <w:sz w:val="20"/>
          <w:szCs w:val="20"/>
          <w:lang w:val="en-US"/>
        </w:rPr>
        <w:t xml:space="preserve">the </w:t>
      </w:r>
      <w:r w:rsidRPr="00FE7BA7">
        <w:rPr>
          <w:rFonts w:ascii="Verdana" w:hAnsi="Verdana"/>
          <w:sz w:val="20"/>
          <w:szCs w:val="20"/>
          <w:lang w:val="en-US"/>
        </w:rPr>
        <w:t xml:space="preserve">victims’ </w:t>
      </w:r>
      <w:r w:rsidR="00810FAD" w:rsidRPr="00FE7BA7">
        <w:rPr>
          <w:rFonts w:ascii="Verdana" w:hAnsi="Verdana"/>
          <w:sz w:val="20"/>
          <w:szCs w:val="20"/>
          <w:lang w:val="en-US"/>
        </w:rPr>
        <w:t>representatives</w:t>
      </w:r>
      <w:r w:rsidR="004F1899" w:rsidRPr="00FE7BA7">
        <w:rPr>
          <w:rFonts w:ascii="Verdana" w:hAnsi="Verdana"/>
          <w:sz w:val="20"/>
          <w:szCs w:val="20"/>
          <w:lang w:val="en-US"/>
        </w:rPr>
        <w:t xml:space="preserve"> </w:t>
      </w:r>
      <w:r w:rsidRPr="00FE7BA7">
        <w:rPr>
          <w:rFonts w:ascii="Verdana" w:hAnsi="Verdana"/>
          <w:sz w:val="20"/>
          <w:szCs w:val="20"/>
          <w:lang w:val="en-US"/>
        </w:rPr>
        <w:t xml:space="preserve">asserted that there is no evidence in the case </w:t>
      </w:r>
      <w:proofErr w:type="gramStart"/>
      <w:r w:rsidRPr="00FE7BA7">
        <w:rPr>
          <w:rFonts w:ascii="Verdana" w:hAnsi="Verdana"/>
          <w:sz w:val="20"/>
          <w:szCs w:val="20"/>
          <w:lang w:val="en-US"/>
        </w:rPr>
        <w:t>file</w:t>
      </w:r>
      <w:proofErr w:type="gramEnd"/>
      <w:r w:rsidRPr="00FE7BA7">
        <w:rPr>
          <w:rFonts w:ascii="Verdana" w:hAnsi="Verdana"/>
          <w:sz w:val="20"/>
          <w:szCs w:val="20"/>
          <w:lang w:val="en-US"/>
        </w:rPr>
        <w:t xml:space="preserve"> before the Court that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4F1899" w:rsidRPr="00FE7BA7">
        <w:rPr>
          <w:rFonts w:ascii="Verdana" w:hAnsi="Verdana"/>
          <w:sz w:val="20"/>
          <w:szCs w:val="20"/>
          <w:lang w:val="en-US"/>
        </w:rPr>
        <w:t xml:space="preserve"> </w:t>
      </w:r>
      <w:r w:rsidRPr="00FE7BA7">
        <w:rPr>
          <w:rFonts w:ascii="Verdana" w:hAnsi="Verdana"/>
          <w:sz w:val="20"/>
          <w:szCs w:val="20"/>
          <w:lang w:val="en-US"/>
        </w:rPr>
        <w:t>benefited from the mining concession granted by the State; rather, to the contrary, this caused se</w:t>
      </w:r>
      <w:r w:rsidR="00152430">
        <w:rPr>
          <w:rFonts w:ascii="Verdana" w:hAnsi="Verdana"/>
          <w:sz w:val="20"/>
          <w:szCs w:val="20"/>
          <w:lang w:val="en-US"/>
        </w:rPr>
        <w:t>vere</w:t>
      </w:r>
      <w:r w:rsidRPr="00FE7BA7">
        <w:rPr>
          <w:rFonts w:ascii="Verdana" w:hAnsi="Verdana"/>
          <w:sz w:val="20"/>
          <w:szCs w:val="20"/>
          <w:lang w:val="en-US"/>
        </w:rPr>
        <w:t xml:space="preserve"> damage to the environment in the area, thereby p</w:t>
      </w:r>
      <w:r w:rsidR="00152430">
        <w:rPr>
          <w:rFonts w:ascii="Verdana" w:hAnsi="Verdana"/>
          <w:sz w:val="20"/>
          <w:szCs w:val="20"/>
          <w:lang w:val="en-US"/>
        </w:rPr>
        <w:t xml:space="preserve">rejudicing these peoples. </w:t>
      </w:r>
      <w:r w:rsidRPr="00FE7BA7">
        <w:rPr>
          <w:rFonts w:ascii="Verdana" w:hAnsi="Verdana"/>
          <w:sz w:val="20"/>
          <w:szCs w:val="20"/>
          <w:lang w:val="en-US"/>
        </w:rPr>
        <w:t>However</w:t>
      </w:r>
      <w:r w:rsidR="004F1899" w:rsidRPr="00FE7BA7">
        <w:rPr>
          <w:rFonts w:ascii="Verdana" w:hAnsi="Verdana"/>
          <w:sz w:val="20"/>
          <w:szCs w:val="20"/>
          <w:lang w:val="en-US"/>
        </w:rPr>
        <w:t xml:space="preserve">, </w:t>
      </w:r>
      <w:r w:rsidR="002B5CCD" w:rsidRPr="00FE7BA7">
        <w:rPr>
          <w:rFonts w:ascii="Verdana" w:hAnsi="Verdana"/>
          <w:sz w:val="20"/>
          <w:szCs w:val="20"/>
          <w:lang w:val="en-US"/>
        </w:rPr>
        <w:t>the State</w:t>
      </w:r>
      <w:r w:rsidR="004F1899" w:rsidRPr="00FE7BA7">
        <w:rPr>
          <w:rFonts w:ascii="Verdana" w:hAnsi="Verdana"/>
          <w:sz w:val="20"/>
          <w:szCs w:val="20"/>
          <w:lang w:val="en-US"/>
        </w:rPr>
        <w:t xml:space="preserve"> a</w:t>
      </w:r>
      <w:r w:rsidRPr="00FE7BA7">
        <w:rPr>
          <w:rFonts w:ascii="Verdana" w:hAnsi="Verdana"/>
          <w:sz w:val="20"/>
          <w:szCs w:val="20"/>
          <w:lang w:val="en-US"/>
        </w:rPr>
        <w:t xml:space="preserve">rgued that the minimum damage was caused and that, in any case,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4F1899" w:rsidRPr="00FE7BA7">
        <w:rPr>
          <w:rFonts w:ascii="Verdana" w:hAnsi="Verdana"/>
          <w:sz w:val="20"/>
          <w:szCs w:val="20"/>
          <w:lang w:val="en-US"/>
        </w:rPr>
        <w:t xml:space="preserve"> ha</w:t>
      </w:r>
      <w:r w:rsidRPr="00FE7BA7">
        <w:rPr>
          <w:rFonts w:ascii="Verdana" w:hAnsi="Verdana"/>
          <w:sz w:val="20"/>
          <w:szCs w:val="20"/>
          <w:lang w:val="en-US"/>
        </w:rPr>
        <w:t>d been compensated by the fact that they could use and enjoy the highway built in order to transport their</w:t>
      </w:r>
      <w:r w:rsidR="002F0F93" w:rsidRPr="00FE7BA7">
        <w:rPr>
          <w:rFonts w:ascii="Verdana" w:hAnsi="Verdana"/>
          <w:sz w:val="20"/>
          <w:szCs w:val="20"/>
          <w:lang w:val="en-US"/>
        </w:rPr>
        <w:t xml:space="preserve"> </w:t>
      </w:r>
      <w:r w:rsidR="00EB2327">
        <w:rPr>
          <w:rFonts w:ascii="Verdana" w:hAnsi="Verdana"/>
          <w:sz w:val="20"/>
          <w:szCs w:val="20"/>
          <w:lang w:val="en-US"/>
        </w:rPr>
        <w:t>timber.</w:t>
      </w:r>
    </w:p>
    <w:p w14:paraId="63126A4E" w14:textId="77777777" w:rsidR="004F1899" w:rsidRPr="00FE7BA7" w:rsidRDefault="004F1899" w:rsidP="004F1899">
      <w:pPr>
        <w:pStyle w:val="ListParagraph"/>
        <w:jc w:val="both"/>
        <w:rPr>
          <w:rFonts w:ascii="Verdana" w:hAnsi="Verdana"/>
          <w:sz w:val="20"/>
          <w:szCs w:val="20"/>
          <w:lang w:val="en-US"/>
        </w:rPr>
      </w:pPr>
    </w:p>
    <w:p w14:paraId="63126A4F" w14:textId="77777777" w:rsidR="004F1899" w:rsidRPr="00FE7BA7" w:rsidRDefault="002F0F93" w:rsidP="002F0F9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the Court finds that, according to the evidence in the file, the domestic laws of Suriname do not recognize this safeguard. Also, even though there is no dispute that the indigenous </w:t>
      </w:r>
      <w:r w:rsidR="00EB2327">
        <w:rPr>
          <w:rFonts w:ascii="Verdana" w:hAnsi="Verdana"/>
          <w:sz w:val="20"/>
          <w:szCs w:val="20"/>
          <w:lang w:val="en-US"/>
        </w:rPr>
        <w:t xml:space="preserve">peoples use </w:t>
      </w:r>
      <w:r w:rsidRPr="00FE7BA7">
        <w:rPr>
          <w:rFonts w:ascii="Verdana" w:hAnsi="Verdana"/>
          <w:sz w:val="20"/>
          <w:szCs w:val="20"/>
          <w:lang w:val="en-US"/>
        </w:rPr>
        <w:t xml:space="preserve">the highway, this access cannot be considered to provide a direct, mutually-agreed benefit for the peoples in light of the above-mentioned standards; above all, bearing </w:t>
      </w:r>
      <w:r w:rsidR="007E3B38">
        <w:rPr>
          <w:rFonts w:ascii="Verdana" w:hAnsi="Verdana"/>
          <w:sz w:val="20"/>
          <w:szCs w:val="20"/>
          <w:lang w:val="en-US"/>
        </w:rPr>
        <w:t xml:space="preserve">in </w:t>
      </w:r>
      <w:r w:rsidRPr="00FE7BA7">
        <w:rPr>
          <w:rFonts w:ascii="Verdana" w:hAnsi="Verdana"/>
          <w:sz w:val="20"/>
          <w:szCs w:val="20"/>
          <w:lang w:val="en-US"/>
        </w:rPr>
        <w:t xml:space="preserve">mind that the highway was part of the exploitation project that had an adverse impact on the </w:t>
      </w:r>
      <w:r w:rsidR="000D23A0" w:rsidRPr="00FE7BA7">
        <w:rPr>
          <w:rFonts w:ascii="Verdana" w:hAnsi="Verdana"/>
          <w:sz w:val="20"/>
          <w:szCs w:val="20"/>
          <w:lang w:val="en-US"/>
        </w:rPr>
        <w:t>natural resources</w:t>
      </w:r>
      <w:r w:rsidR="004F1899" w:rsidRPr="00FE7BA7">
        <w:rPr>
          <w:rFonts w:ascii="Verdana" w:hAnsi="Verdana"/>
          <w:sz w:val="20"/>
          <w:szCs w:val="20"/>
          <w:lang w:val="en-US"/>
        </w:rPr>
        <w:t xml:space="preserve"> </w:t>
      </w:r>
      <w:r w:rsidRPr="00FE7BA7">
        <w:rPr>
          <w:rFonts w:ascii="Verdana" w:hAnsi="Verdana"/>
          <w:sz w:val="20"/>
          <w:szCs w:val="20"/>
          <w:lang w:val="en-US"/>
        </w:rPr>
        <w:t xml:space="preserve">of their territory. Hence, this requirement was not </w:t>
      </w:r>
      <w:r w:rsidR="007E3B38">
        <w:rPr>
          <w:rFonts w:ascii="Verdana" w:hAnsi="Verdana"/>
          <w:sz w:val="20"/>
          <w:szCs w:val="20"/>
          <w:lang w:val="en-US"/>
        </w:rPr>
        <w:t>met</w:t>
      </w:r>
      <w:r w:rsidRPr="00FE7BA7">
        <w:rPr>
          <w:rFonts w:ascii="Verdana" w:hAnsi="Verdana"/>
          <w:sz w:val="20"/>
          <w:szCs w:val="20"/>
          <w:lang w:val="en-US"/>
        </w:rPr>
        <w:t xml:space="preserve"> either.</w:t>
      </w:r>
    </w:p>
    <w:p w14:paraId="63126A50" w14:textId="77777777" w:rsidR="004F1899" w:rsidRPr="00FE7BA7" w:rsidRDefault="004F1899" w:rsidP="004F1899">
      <w:pPr>
        <w:jc w:val="both"/>
        <w:rPr>
          <w:rFonts w:ascii="Verdana" w:hAnsi="Verdana"/>
          <w:sz w:val="20"/>
          <w:szCs w:val="20"/>
          <w:lang w:val="en-US"/>
        </w:rPr>
      </w:pPr>
    </w:p>
    <w:p w14:paraId="63126A51" w14:textId="77777777" w:rsidR="004F1899" w:rsidRPr="00FE7BA7" w:rsidRDefault="004F1899" w:rsidP="004F1899">
      <w:pPr>
        <w:shd w:val="clear" w:color="auto" w:fill="FFFFFF"/>
        <w:ind w:left="720" w:firstLine="720"/>
        <w:jc w:val="both"/>
        <w:textAlignment w:val="top"/>
        <w:rPr>
          <w:rFonts w:ascii="Verdana" w:eastAsia="Times New Roman" w:hAnsi="Verdana"/>
          <w:b/>
          <w:color w:val="000000"/>
          <w:sz w:val="20"/>
          <w:szCs w:val="20"/>
          <w:lang w:val="en-US" w:eastAsia="es-CR"/>
        </w:rPr>
      </w:pPr>
      <w:proofErr w:type="gramStart"/>
      <w:r w:rsidRPr="00FE7BA7">
        <w:rPr>
          <w:rFonts w:ascii="Verdana" w:hAnsi="Verdana"/>
          <w:b/>
          <w:i/>
          <w:sz w:val="20"/>
          <w:szCs w:val="20"/>
          <w:lang w:val="en-US" w:eastAsia="es-ES"/>
        </w:rPr>
        <w:t xml:space="preserve">iv) </w:t>
      </w:r>
      <w:r w:rsidR="002F0F93" w:rsidRPr="00FE7BA7">
        <w:rPr>
          <w:rFonts w:ascii="Verdana" w:eastAsia="Times New Roman" w:hAnsi="Verdana"/>
          <w:b/>
          <w:bCs/>
          <w:i/>
          <w:color w:val="000000"/>
          <w:sz w:val="20"/>
          <w:szCs w:val="20"/>
          <w:lang w:val="en-US" w:eastAsia="es-CR"/>
        </w:rPr>
        <w:t>Conclusio</w:t>
      </w:r>
      <w:r w:rsidRPr="00FE7BA7">
        <w:rPr>
          <w:rFonts w:ascii="Verdana" w:eastAsia="Times New Roman" w:hAnsi="Verdana"/>
          <w:b/>
          <w:bCs/>
          <w:i/>
          <w:color w:val="000000"/>
          <w:sz w:val="20"/>
          <w:szCs w:val="20"/>
          <w:lang w:val="en-US" w:eastAsia="es-CR"/>
        </w:rPr>
        <w:t>n</w:t>
      </w:r>
      <w:proofErr w:type="gramEnd"/>
      <w:r w:rsidRPr="00FE7BA7">
        <w:rPr>
          <w:rFonts w:ascii="Verdana" w:eastAsia="Times New Roman" w:hAnsi="Verdana"/>
          <w:b/>
          <w:bCs/>
          <w:i/>
          <w:color w:val="000000"/>
          <w:sz w:val="20"/>
          <w:szCs w:val="20"/>
          <w:lang w:val="en-US" w:eastAsia="es-CR"/>
        </w:rPr>
        <w:t xml:space="preserve"> re</w:t>
      </w:r>
      <w:r w:rsidR="002F0F93" w:rsidRPr="00FE7BA7">
        <w:rPr>
          <w:rFonts w:ascii="Verdana" w:eastAsia="Times New Roman" w:hAnsi="Verdana"/>
          <w:b/>
          <w:bCs/>
          <w:i/>
          <w:color w:val="000000"/>
          <w:sz w:val="20"/>
          <w:szCs w:val="20"/>
          <w:lang w:val="en-US" w:eastAsia="es-CR"/>
        </w:rPr>
        <w:t>garding the safeguards</w:t>
      </w:r>
    </w:p>
    <w:p w14:paraId="63126A52" w14:textId="77777777" w:rsidR="004F1899" w:rsidRPr="00FE7BA7" w:rsidRDefault="004F1899" w:rsidP="004F1899">
      <w:pPr>
        <w:jc w:val="both"/>
        <w:rPr>
          <w:rFonts w:ascii="Verdana" w:hAnsi="Verdana"/>
          <w:sz w:val="20"/>
          <w:szCs w:val="20"/>
          <w:lang w:val="en-US"/>
        </w:rPr>
      </w:pPr>
    </w:p>
    <w:p w14:paraId="63126A53" w14:textId="77777777" w:rsidR="004F1899" w:rsidRPr="00FE7BA7" w:rsidRDefault="002F0F93" w:rsidP="004F1899">
      <w:pPr>
        <w:pStyle w:val="ListParagraph"/>
        <w:numPr>
          <w:ilvl w:val="0"/>
          <w:numId w:val="2"/>
        </w:numPr>
        <w:ind w:left="0" w:hanging="11"/>
        <w:jc w:val="both"/>
        <w:rPr>
          <w:b/>
          <w:lang w:val="en-US"/>
        </w:rPr>
      </w:pPr>
      <w:r w:rsidRPr="00FE7BA7">
        <w:rPr>
          <w:rFonts w:ascii="Verdana" w:hAnsi="Verdana"/>
          <w:sz w:val="20"/>
          <w:szCs w:val="20"/>
          <w:lang w:val="en-US"/>
        </w:rPr>
        <w:t xml:space="preserve">Based on the foregoing, the Court concludes that </w:t>
      </w:r>
      <w:r w:rsidR="002B5CCD" w:rsidRPr="00FE7BA7">
        <w:rPr>
          <w:rFonts w:ascii="Verdana" w:hAnsi="Verdana"/>
          <w:sz w:val="20"/>
          <w:szCs w:val="20"/>
          <w:lang w:val="en-US"/>
        </w:rPr>
        <w:t>the State</w:t>
      </w:r>
      <w:r w:rsidRPr="00FE7BA7">
        <w:rPr>
          <w:rFonts w:ascii="Verdana" w:hAnsi="Verdana"/>
          <w:sz w:val="20"/>
          <w:szCs w:val="20"/>
          <w:lang w:val="en-US"/>
        </w:rPr>
        <w:t xml:space="preserve"> of Suriname</w:t>
      </w:r>
      <w:r w:rsidR="002B5CCD" w:rsidRPr="00FE7BA7">
        <w:rPr>
          <w:rFonts w:ascii="Verdana" w:hAnsi="Verdana"/>
          <w:sz w:val="20"/>
          <w:szCs w:val="20"/>
          <w:lang w:val="en-US"/>
        </w:rPr>
        <w:t xml:space="preserve"> </w:t>
      </w:r>
      <w:r w:rsidRPr="00FE7BA7">
        <w:rPr>
          <w:rFonts w:ascii="Verdana" w:hAnsi="Verdana"/>
          <w:sz w:val="20"/>
          <w:szCs w:val="20"/>
          <w:lang w:val="en-US"/>
        </w:rPr>
        <w:t>failed to ensure</w:t>
      </w:r>
      <w:r w:rsidR="00557E59"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Pr="00FE7BA7">
        <w:rPr>
          <w:rFonts w:ascii="Verdana" w:hAnsi="Verdana"/>
          <w:sz w:val="20"/>
          <w:szCs w:val="20"/>
          <w:lang w:val="en-US"/>
        </w:rPr>
        <w:t xml:space="preserve">effective participation of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by means of a consultation process</w:t>
      </w:r>
      <w:r w:rsidR="004F1899" w:rsidRPr="00FE7BA7">
        <w:rPr>
          <w:rFonts w:ascii="Verdana" w:hAnsi="Verdana"/>
          <w:sz w:val="20"/>
          <w:szCs w:val="20"/>
          <w:lang w:val="en-US"/>
        </w:rPr>
        <w:t xml:space="preserve">. </w:t>
      </w:r>
      <w:r w:rsidRPr="00FE7BA7">
        <w:rPr>
          <w:rFonts w:ascii="Verdana" w:hAnsi="Verdana"/>
          <w:sz w:val="20"/>
          <w:szCs w:val="20"/>
          <w:lang w:val="en-US"/>
        </w:rPr>
        <w:t>The</w:t>
      </w:r>
      <w:r w:rsidR="002B5CCD" w:rsidRPr="00FE7BA7">
        <w:rPr>
          <w:rFonts w:ascii="Verdana" w:hAnsi="Verdana"/>
          <w:sz w:val="20"/>
          <w:szCs w:val="20"/>
          <w:lang w:val="en-US"/>
        </w:rPr>
        <w:t xml:space="preserve"> Court</w:t>
      </w:r>
      <w:r w:rsidR="004F1899" w:rsidRPr="00FE7BA7">
        <w:rPr>
          <w:rFonts w:ascii="Verdana" w:hAnsi="Verdana"/>
          <w:sz w:val="20"/>
          <w:szCs w:val="20"/>
          <w:lang w:val="en-US"/>
        </w:rPr>
        <w:t xml:space="preserve"> </w:t>
      </w:r>
      <w:r w:rsidRPr="00FE7BA7">
        <w:rPr>
          <w:rFonts w:ascii="Verdana" w:hAnsi="Verdana"/>
          <w:sz w:val="20"/>
          <w:szCs w:val="20"/>
          <w:lang w:val="en-US"/>
        </w:rPr>
        <w:t xml:space="preserve">also </w:t>
      </w:r>
      <w:r w:rsidR="004F1899" w:rsidRPr="00FE7BA7">
        <w:rPr>
          <w:rFonts w:ascii="Verdana" w:hAnsi="Verdana"/>
          <w:sz w:val="20"/>
          <w:szCs w:val="20"/>
          <w:lang w:val="en-US"/>
        </w:rPr>
        <w:t>conclu</w:t>
      </w:r>
      <w:r w:rsidRPr="00FE7BA7">
        <w:rPr>
          <w:rFonts w:ascii="Verdana" w:hAnsi="Verdana"/>
          <w:sz w:val="20"/>
          <w:szCs w:val="20"/>
          <w:lang w:val="en-US"/>
        </w:rPr>
        <w:t>des that a social and</w:t>
      </w:r>
      <w:r w:rsidR="004F1899" w:rsidRPr="00FE7BA7">
        <w:rPr>
          <w:rFonts w:ascii="Verdana" w:hAnsi="Verdana"/>
          <w:sz w:val="20"/>
          <w:szCs w:val="20"/>
          <w:lang w:val="en-US"/>
        </w:rPr>
        <w:t xml:space="preserve"> </w:t>
      </w:r>
      <w:r w:rsidR="00890830" w:rsidRPr="00FE7BA7">
        <w:rPr>
          <w:rFonts w:ascii="Verdana" w:hAnsi="Verdana"/>
          <w:sz w:val="20"/>
          <w:szCs w:val="20"/>
          <w:lang w:val="en-US"/>
        </w:rPr>
        <w:t>environmental impact assessment</w:t>
      </w:r>
      <w:r w:rsidR="002B5CCD" w:rsidRPr="00FE7BA7">
        <w:rPr>
          <w:rFonts w:ascii="Verdana" w:hAnsi="Verdana"/>
          <w:sz w:val="20"/>
          <w:szCs w:val="20"/>
          <w:lang w:val="en-US"/>
        </w:rPr>
        <w:t xml:space="preserve"> </w:t>
      </w:r>
      <w:r w:rsidRPr="00FE7BA7">
        <w:rPr>
          <w:rFonts w:ascii="Verdana" w:hAnsi="Verdana"/>
          <w:sz w:val="20"/>
          <w:szCs w:val="20"/>
          <w:lang w:val="en-US"/>
        </w:rPr>
        <w:t>was not made, and</w:t>
      </w:r>
      <w:r w:rsidR="007E3B38">
        <w:rPr>
          <w:rFonts w:ascii="Verdana" w:hAnsi="Verdana"/>
          <w:sz w:val="20"/>
          <w:szCs w:val="20"/>
          <w:lang w:val="en-US"/>
        </w:rPr>
        <w:t xml:space="preserve"> that</w:t>
      </w:r>
      <w:r w:rsidRPr="00FE7BA7">
        <w:rPr>
          <w:rFonts w:ascii="Verdana" w:hAnsi="Verdana"/>
          <w:sz w:val="20"/>
          <w:szCs w:val="20"/>
          <w:lang w:val="en-US"/>
        </w:rPr>
        <w:t xml:space="preserve"> the benefits of the said mining project were not shared. Furthermore, Suriname has not adopted mechanisms in order to guarantee these safeguards</w:t>
      </w:r>
      <w:r w:rsidR="004F1899" w:rsidRPr="00FE7BA7">
        <w:rPr>
          <w:rFonts w:ascii="Verdana" w:hAnsi="Verdana"/>
          <w:sz w:val="20"/>
          <w:lang w:val="en-US"/>
        </w:rPr>
        <w:t>. Con</w:t>
      </w:r>
      <w:r w:rsidRPr="00FE7BA7">
        <w:rPr>
          <w:rFonts w:ascii="Verdana" w:hAnsi="Verdana"/>
          <w:sz w:val="20"/>
          <w:lang w:val="en-US"/>
        </w:rPr>
        <w:t xml:space="preserve">sequently, the State has violated </w:t>
      </w:r>
      <w:r w:rsidR="002B5CCD" w:rsidRPr="00FE7BA7">
        <w:rPr>
          <w:rFonts w:ascii="Verdana" w:hAnsi="Verdana"/>
          <w:sz w:val="20"/>
          <w:lang w:val="en-US"/>
        </w:rPr>
        <w:t>Articles</w:t>
      </w:r>
      <w:r w:rsidR="004F1899" w:rsidRPr="00FE7BA7">
        <w:rPr>
          <w:rFonts w:ascii="Verdana" w:hAnsi="Verdana"/>
          <w:sz w:val="20"/>
          <w:lang w:val="en-US"/>
        </w:rPr>
        <w:t xml:space="preserve"> 21</w:t>
      </w:r>
      <w:r w:rsidR="002B5CCD" w:rsidRPr="00FE7BA7">
        <w:rPr>
          <w:rFonts w:ascii="Verdana" w:hAnsi="Verdana"/>
          <w:sz w:val="20"/>
          <w:lang w:val="en-US"/>
        </w:rPr>
        <w:t xml:space="preserve"> and </w:t>
      </w:r>
      <w:r w:rsidR="004F1899" w:rsidRPr="00FE7BA7">
        <w:rPr>
          <w:rFonts w:ascii="Verdana" w:hAnsi="Verdana"/>
          <w:sz w:val="20"/>
          <w:lang w:val="en-US"/>
        </w:rPr>
        <w:t>23</w:t>
      </w:r>
      <w:r w:rsidR="002B5CCD" w:rsidRPr="00FE7BA7">
        <w:rPr>
          <w:rFonts w:ascii="Verdana" w:hAnsi="Verdana"/>
          <w:sz w:val="20"/>
          <w:lang w:val="en-US"/>
        </w:rPr>
        <w:t xml:space="preserve"> of the Convention</w:t>
      </w:r>
      <w:r w:rsidR="004F1899" w:rsidRPr="00FE7BA7">
        <w:rPr>
          <w:rFonts w:ascii="Verdana" w:hAnsi="Verdana"/>
          <w:sz w:val="20"/>
          <w:lang w:val="en-US"/>
        </w:rPr>
        <w:t xml:space="preserve">, </w:t>
      </w:r>
      <w:r w:rsidR="00773D70" w:rsidRPr="00FE7BA7">
        <w:rPr>
          <w:rFonts w:ascii="Verdana" w:hAnsi="Verdana"/>
          <w:sz w:val="20"/>
          <w:lang w:val="en-US"/>
        </w:rPr>
        <w:t>in relation to Articles 1(1)</w:t>
      </w:r>
      <w:r w:rsidR="002B5CCD" w:rsidRPr="00FE7BA7">
        <w:rPr>
          <w:rFonts w:ascii="Verdana" w:hAnsi="Verdana"/>
          <w:sz w:val="20"/>
          <w:lang w:val="en-US"/>
        </w:rPr>
        <w:t xml:space="preserve"> and </w:t>
      </w:r>
      <w:r w:rsidR="00773D70" w:rsidRPr="00FE7BA7">
        <w:rPr>
          <w:rFonts w:ascii="Verdana" w:hAnsi="Verdana"/>
          <w:sz w:val="20"/>
          <w:lang w:val="en-US"/>
        </w:rPr>
        <w:t>2 of this instrument</w:t>
      </w:r>
      <w:r w:rsidR="004F1899" w:rsidRPr="00FE7BA7">
        <w:rPr>
          <w:rFonts w:ascii="Verdana" w:hAnsi="Verdana"/>
          <w:sz w:val="20"/>
          <w:lang w:val="en-US"/>
        </w:rPr>
        <w:t xml:space="preserve">, </w:t>
      </w:r>
      <w:r w:rsidR="00773D70" w:rsidRPr="00FE7BA7">
        <w:rPr>
          <w:rFonts w:ascii="Verdana" w:hAnsi="Verdana"/>
          <w:sz w:val="20"/>
          <w:lang w:val="en-US"/>
        </w:rPr>
        <w:t>to the detriment of the</w:t>
      </w:r>
      <w:r w:rsidR="00635ACD" w:rsidRPr="00FE7BA7">
        <w:rPr>
          <w:rFonts w:ascii="Verdana" w:hAnsi="Verdana"/>
          <w:sz w:val="20"/>
          <w:lang w:val="en-US"/>
        </w:rPr>
        <w:t xml:space="preserve"> </w:t>
      </w:r>
      <w:r w:rsidR="004C7D14" w:rsidRPr="00FE7BA7">
        <w:rPr>
          <w:rFonts w:ascii="Verdana" w:hAnsi="Verdana"/>
          <w:sz w:val="20"/>
          <w:lang w:val="en-US"/>
        </w:rPr>
        <w:t>Kaliña and Lokono peoples</w:t>
      </w:r>
      <w:r w:rsidR="002B5CCD" w:rsidRPr="00FE7BA7">
        <w:rPr>
          <w:rFonts w:ascii="Verdana" w:hAnsi="Verdana"/>
          <w:sz w:val="20"/>
          <w:lang w:val="en-US"/>
        </w:rPr>
        <w:t xml:space="preserve"> and </w:t>
      </w:r>
      <w:r w:rsidRPr="00FE7BA7">
        <w:rPr>
          <w:rFonts w:ascii="Verdana" w:hAnsi="Verdana"/>
          <w:sz w:val="20"/>
          <w:lang w:val="en-US"/>
        </w:rPr>
        <w:t>their members</w:t>
      </w:r>
      <w:r w:rsidR="004F1899" w:rsidRPr="00FE7BA7">
        <w:rPr>
          <w:rFonts w:ascii="Verdana" w:hAnsi="Verdana"/>
          <w:sz w:val="20"/>
          <w:lang w:val="en-US"/>
        </w:rPr>
        <w:t>.</w:t>
      </w:r>
    </w:p>
    <w:p w14:paraId="63126A54" w14:textId="77777777" w:rsidR="002E4580" w:rsidRPr="00FE7BA7" w:rsidRDefault="002E4580" w:rsidP="002E4580">
      <w:pPr>
        <w:rPr>
          <w:rFonts w:ascii="Verdana" w:hAnsi="Verdana"/>
          <w:sz w:val="20"/>
          <w:szCs w:val="20"/>
          <w:lang w:val="en-US"/>
        </w:rPr>
      </w:pPr>
    </w:p>
    <w:p w14:paraId="63126A55" w14:textId="77777777" w:rsidR="00BA2A2A" w:rsidRPr="00FE7BA7" w:rsidRDefault="008A3876" w:rsidP="008A3876">
      <w:pPr>
        <w:pStyle w:val="Heading1"/>
        <w:tabs>
          <w:tab w:val="left" w:pos="851"/>
        </w:tabs>
        <w:spacing w:before="0"/>
        <w:jc w:val="center"/>
        <w:rPr>
          <w:rFonts w:ascii="Verdana" w:hAnsi="Verdana" w:cs="Verdana"/>
          <w:caps/>
          <w:snapToGrid w:val="0"/>
          <w:color w:val="auto"/>
          <w:sz w:val="20"/>
          <w:szCs w:val="20"/>
          <w:lang w:val="en-US"/>
        </w:rPr>
      </w:pPr>
      <w:bookmarkStart w:id="54" w:name="_Toc436065831"/>
      <w:bookmarkStart w:id="55" w:name="_Toc436289296"/>
      <w:bookmarkStart w:id="56" w:name="_Toc438137488"/>
      <w:bookmarkStart w:id="57" w:name="_Toc441673217"/>
      <w:r w:rsidRPr="00FE7BA7">
        <w:rPr>
          <w:rFonts w:ascii="Verdana" w:hAnsi="Verdana" w:cs="Verdana"/>
          <w:caps/>
          <w:snapToGrid w:val="0"/>
          <w:color w:val="auto"/>
          <w:sz w:val="20"/>
          <w:szCs w:val="20"/>
          <w:lang w:val="en-US"/>
        </w:rPr>
        <w:lastRenderedPageBreak/>
        <w:t>VI-iiI</w:t>
      </w:r>
      <w:r w:rsidRPr="00FE7BA7">
        <w:rPr>
          <w:rFonts w:ascii="Verdana" w:hAnsi="Verdana" w:cs="Verdana"/>
          <w:caps/>
          <w:snapToGrid w:val="0"/>
          <w:color w:val="auto"/>
          <w:sz w:val="20"/>
          <w:szCs w:val="20"/>
          <w:lang w:val="en-US"/>
        </w:rPr>
        <w:br/>
      </w:r>
      <w:r w:rsidR="00C34C52" w:rsidRPr="00FE7BA7">
        <w:rPr>
          <w:rFonts w:ascii="Verdana" w:hAnsi="Verdana" w:cs="Verdana"/>
          <w:caps/>
          <w:snapToGrid w:val="0"/>
          <w:color w:val="auto"/>
          <w:sz w:val="20"/>
          <w:szCs w:val="20"/>
          <w:lang w:val="en-US"/>
        </w:rPr>
        <w:t>RIGHT TO</w:t>
      </w:r>
      <w:r w:rsidRPr="00FE7BA7">
        <w:rPr>
          <w:rFonts w:ascii="Verdana" w:hAnsi="Verdana" w:cs="Verdana"/>
          <w:caps/>
          <w:snapToGrid w:val="0"/>
          <w:color w:val="auto"/>
          <w:sz w:val="20"/>
          <w:szCs w:val="20"/>
          <w:lang w:val="en-US"/>
        </w:rPr>
        <w:t xml:space="preserve"> </w:t>
      </w:r>
      <w:r w:rsidR="00B257B6" w:rsidRPr="00FE7BA7">
        <w:rPr>
          <w:rFonts w:ascii="Verdana" w:hAnsi="Verdana" w:cs="Verdana"/>
          <w:caps/>
          <w:snapToGrid w:val="0"/>
          <w:color w:val="auto"/>
          <w:sz w:val="20"/>
          <w:szCs w:val="20"/>
          <w:lang w:val="en-US"/>
        </w:rPr>
        <w:t>JUDICIAL PROTECTION</w:t>
      </w:r>
      <w:r w:rsidRPr="00FE7BA7">
        <w:rPr>
          <w:rFonts w:ascii="Verdana" w:hAnsi="Verdana" w:cs="Verdana"/>
          <w:caps/>
          <w:snapToGrid w:val="0"/>
          <w:color w:val="auto"/>
          <w:sz w:val="20"/>
          <w:szCs w:val="20"/>
          <w:lang w:val="en-US"/>
        </w:rPr>
        <w:t xml:space="preserve"> </w:t>
      </w:r>
      <w:r w:rsidR="00E5489C" w:rsidRPr="00FE7BA7">
        <w:rPr>
          <w:rFonts w:ascii="Verdana" w:hAnsi="Verdana" w:cs="Verdana"/>
          <w:caps/>
          <w:snapToGrid w:val="0"/>
          <w:color w:val="auto"/>
          <w:sz w:val="20"/>
          <w:szCs w:val="20"/>
          <w:lang w:val="en-US"/>
        </w:rPr>
        <w:t>(</w:t>
      </w:r>
      <w:r w:rsidR="00C34C52" w:rsidRPr="00FE7BA7">
        <w:rPr>
          <w:rFonts w:ascii="Verdana" w:hAnsi="Verdana" w:cs="Verdana"/>
          <w:caps/>
          <w:snapToGrid w:val="0"/>
          <w:color w:val="auto"/>
          <w:sz w:val="20"/>
          <w:szCs w:val="20"/>
          <w:lang w:val="en-US"/>
        </w:rPr>
        <w:t>ARTICLE</w:t>
      </w:r>
      <w:r w:rsidR="00E5489C" w:rsidRPr="00FE7BA7">
        <w:rPr>
          <w:rFonts w:ascii="Verdana" w:hAnsi="Verdana" w:cs="Verdana"/>
          <w:caps/>
          <w:snapToGrid w:val="0"/>
          <w:color w:val="auto"/>
          <w:sz w:val="20"/>
          <w:szCs w:val="20"/>
          <w:lang w:val="en-US"/>
        </w:rPr>
        <w:t xml:space="preserve"> 25) </w:t>
      </w:r>
      <w:r w:rsidR="00C34C52" w:rsidRPr="00FE7BA7">
        <w:rPr>
          <w:rFonts w:ascii="Verdana" w:hAnsi="Verdana" w:cs="Verdana"/>
          <w:caps/>
          <w:snapToGrid w:val="0"/>
          <w:color w:val="auto"/>
          <w:sz w:val="20"/>
          <w:szCs w:val="20"/>
          <w:lang w:val="en-US"/>
        </w:rPr>
        <w:t>IN RELATION TO</w:t>
      </w:r>
      <w:bookmarkEnd w:id="54"/>
      <w:bookmarkEnd w:id="55"/>
      <w:bookmarkEnd w:id="56"/>
      <w:bookmarkEnd w:id="57"/>
    </w:p>
    <w:p w14:paraId="63126A56" w14:textId="77777777" w:rsidR="008A3876" w:rsidRPr="00FE7BA7" w:rsidRDefault="008A3876" w:rsidP="008A3876">
      <w:pPr>
        <w:pStyle w:val="Heading1"/>
        <w:tabs>
          <w:tab w:val="left" w:pos="851"/>
        </w:tabs>
        <w:spacing w:before="0"/>
        <w:jc w:val="center"/>
        <w:rPr>
          <w:rFonts w:ascii="Verdana" w:hAnsi="Verdana" w:cs="Verdana"/>
          <w:caps/>
          <w:snapToGrid w:val="0"/>
          <w:color w:val="auto"/>
          <w:sz w:val="20"/>
          <w:szCs w:val="20"/>
          <w:lang w:val="en-US"/>
        </w:rPr>
      </w:pPr>
      <w:r w:rsidRPr="00FE7BA7">
        <w:rPr>
          <w:rFonts w:ascii="Verdana" w:hAnsi="Verdana" w:cs="Verdana"/>
          <w:caps/>
          <w:snapToGrid w:val="0"/>
          <w:color w:val="auto"/>
          <w:sz w:val="20"/>
          <w:szCs w:val="20"/>
          <w:lang w:val="en-US"/>
        </w:rPr>
        <w:t xml:space="preserve"> </w:t>
      </w:r>
      <w:bookmarkStart w:id="58" w:name="_Toc434249377"/>
      <w:bookmarkStart w:id="59" w:name="_Toc434939927"/>
      <w:bookmarkStart w:id="60" w:name="_Toc441673218"/>
      <w:r w:rsidR="00C34C52" w:rsidRPr="00FE7BA7">
        <w:rPr>
          <w:rFonts w:ascii="Verdana" w:hAnsi="Verdana" w:cs="Verdana"/>
          <w:caps/>
          <w:snapToGrid w:val="0"/>
          <w:color w:val="auto"/>
          <w:sz w:val="20"/>
          <w:szCs w:val="20"/>
          <w:lang w:val="en-US"/>
        </w:rPr>
        <w:t>ARTICLE</w:t>
      </w:r>
      <w:r w:rsidRPr="00FE7BA7">
        <w:rPr>
          <w:rFonts w:ascii="Verdana" w:hAnsi="Verdana" w:cs="Verdana"/>
          <w:caps/>
          <w:snapToGrid w:val="0"/>
          <w:color w:val="auto"/>
          <w:sz w:val="20"/>
          <w:szCs w:val="20"/>
          <w:lang w:val="en-US"/>
        </w:rPr>
        <w:t xml:space="preserve">S 13, </w:t>
      </w:r>
      <w:r w:rsidR="00C34C52" w:rsidRPr="00FE7BA7">
        <w:rPr>
          <w:rFonts w:ascii="Verdana" w:hAnsi="Verdana" w:cs="Verdana"/>
          <w:caps/>
          <w:snapToGrid w:val="0"/>
          <w:color w:val="auto"/>
          <w:sz w:val="20"/>
          <w:szCs w:val="20"/>
          <w:lang w:val="en-US"/>
        </w:rPr>
        <w:t>1(1)</w:t>
      </w:r>
      <w:r w:rsidR="002B5CCD" w:rsidRPr="00FE7BA7">
        <w:rPr>
          <w:rFonts w:ascii="Verdana" w:hAnsi="Verdana" w:cs="Verdana"/>
          <w:caps/>
          <w:snapToGrid w:val="0"/>
          <w:color w:val="auto"/>
          <w:sz w:val="20"/>
          <w:szCs w:val="20"/>
          <w:lang w:val="en-US"/>
        </w:rPr>
        <w:t xml:space="preserve"> and </w:t>
      </w:r>
      <w:r w:rsidRPr="00FE7BA7">
        <w:rPr>
          <w:rFonts w:ascii="Verdana" w:hAnsi="Verdana" w:cs="Verdana"/>
          <w:caps/>
          <w:snapToGrid w:val="0"/>
          <w:color w:val="auto"/>
          <w:sz w:val="20"/>
          <w:szCs w:val="20"/>
          <w:lang w:val="en-US"/>
        </w:rPr>
        <w:t>2</w:t>
      </w:r>
      <w:r w:rsidR="002B5CCD" w:rsidRPr="00FE7BA7">
        <w:rPr>
          <w:rFonts w:ascii="Verdana" w:hAnsi="Verdana" w:cs="Verdana"/>
          <w:caps/>
          <w:snapToGrid w:val="0"/>
          <w:color w:val="auto"/>
          <w:sz w:val="20"/>
          <w:szCs w:val="20"/>
          <w:lang w:val="en-US"/>
        </w:rPr>
        <w:t xml:space="preserve"> of the AMERICAN CONVENTION</w:t>
      </w:r>
      <w:bookmarkEnd w:id="58"/>
      <w:bookmarkEnd w:id="59"/>
      <w:bookmarkEnd w:id="60"/>
    </w:p>
    <w:p w14:paraId="63126A57" w14:textId="77777777" w:rsidR="00863F85" w:rsidRPr="00FE7BA7" w:rsidRDefault="00863F85" w:rsidP="00863F85">
      <w:pPr>
        <w:rPr>
          <w:lang w:val="en-US"/>
        </w:rPr>
      </w:pPr>
    </w:p>
    <w:p w14:paraId="63126A58" w14:textId="77777777" w:rsidR="008A3876" w:rsidRPr="00FE7BA7" w:rsidRDefault="003231F8" w:rsidP="008A3876">
      <w:pPr>
        <w:pStyle w:val="Heading2"/>
        <w:numPr>
          <w:ilvl w:val="0"/>
          <w:numId w:val="34"/>
        </w:numPr>
        <w:spacing w:before="0"/>
        <w:jc w:val="both"/>
        <w:rPr>
          <w:rFonts w:ascii="Verdana" w:eastAsia="Calibri" w:hAnsi="Verdana"/>
          <w:sz w:val="20"/>
          <w:szCs w:val="20"/>
          <w:lang w:val="en-US"/>
        </w:rPr>
      </w:pPr>
      <w:bookmarkStart w:id="61" w:name="_Toc441673219"/>
      <w:r w:rsidRPr="00FE7BA7">
        <w:rPr>
          <w:rFonts w:ascii="Verdana" w:hAnsi="Verdana"/>
          <w:bCs w:val="0"/>
          <w:i/>
          <w:color w:val="auto"/>
          <w:sz w:val="20"/>
          <w:szCs w:val="20"/>
          <w:lang w:val="en-US"/>
        </w:rPr>
        <w:t>Arguments of the Commission and of the parties</w:t>
      </w:r>
      <w:bookmarkEnd w:id="61"/>
    </w:p>
    <w:p w14:paraId="63126A59" w14:textId="77777777" w:rsidR="008A3876" w:rsidRPr="00FE7BA7" w:rsidRDefault="008A3876" w:rsidP="008A3876">
      <w:pPr>
        <w:tabs>
          <w:tab w:val="left" w:pos="450"/>
        </w:tabs>
        <w:rPr>
          <w:rFonts w:ascii="Verdana" w:hAnsi="Verdana"/>
          <w:sz w:val="20"/>
          <w:szCs w:val="20"/>
          <w:lang w:val="en-US"/>
        </w:rPr>
      </w:pPr>
    </w:p>
    <w:p w14:paraId="63126A5A" w14:textId="2908CAC1" w:rsidR="008A3876" w:rsidRPr="00FE7BA7" w:rsidRDefault="002B5CCD" w:rsidP="00146E0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Commission</w:t>
      </w:r>
      <w:r w:rsidR="008A3876" w:rsidRPr="00FE7BA7">
        <w:rPr>
          <w:rFonts w:ascii="Verdana" w:hAnsi="Verdana"/>
          <w:sz w:val="20"/>
          <w:szCs w:val="20"/>
          <w:lang w:val="en-US"/>
        </w:rPr>
        <w:t xml:space="preserve"> </w:t>
      </w:r>
      <w:r w:rsidR="00146E01" w:rsidRPr="00FE7BA7">
        <w:rPr>
          <w:rFonts w:ascii="Verdana" w:hAnsi="Verdana"/>
          <w:sz w:val="20"/>
          <w:szCs w:val="20"/>
          <w:lang w:val="en-US"/>
        </w:rPr>
        <w:t xml:space="preserve">indicated that, previously, in the </w:t>
      </w:r>
      <w:r w:rsidR="00D63518" w:rsidRPr="00FE7BA7">
        <w:rPr>
          <w:rFonts w:ascii="Verdana" w:hAnsi="Verdana"/>
          <w:sz w:val="20"/>
          <w:szCs w:val="20"/>
          <w:lang w:val="en-US"/>
        </w:rPr>
        <w:t>case of the</w:t>
      </w:r>
      <w:r w:rsidR="00D63518" w:rsidRPr="00FE7BA7">
        <w:rPr>
          <w:rFonts w:ascii="Verdana" w:hAnsi="Verdana"/>
          <w:i/>
          <w:sz w:val="20"/>
          <w:szCs w:val="20"/>
          <w:lang w:val="en-US"/>
        </w:rPr>
        <w:t xml:space="preserve"> Saramaka People</w:t>
      </w:r>
      <w:r w:rsidR="008A3876" w:rsidRPr="00FE7BA7">
        <w:rPr>
          <w:rFonts w:ascii="Verdana" w:hAnsi="Verdana"/>
          <w:i/>
          <w:sz w:val="20"/>
          <w:szCs w:val="20"/>
          <w:lang w:val="en-US"/>
        </w:rPr>
        <w:t xml:space="preserve"> </w:t>
      </w:r>
      <w:r w:rsidRPr="00FE7BA7">
        <w:rPr>
          <w:rFonts w:ascii="Verdana" w:hAnsi="Verdana"/>
          <w:i/>
          <w:sz w:val="20"/>
          <w:szCs w:val="20"/>
          <w:lang w:val="en-US"/>
        </w:rPr>
        <w:t>v.</w:t>
      </w:r>
      <w:r w:rsidR="008A3876" w:rsidRPr="00FE7BA7">
        <w:rPr>
          <w:rFonts w:ascii="Verdana" w:hAnsi="Verdana"/>
          <w:i/>
          <w:sz w:val="20"/>
          <w:szCs w:val="20"/>
          <w:lang w:val="en-US"/>
        </w:rPr>
        <w:t xml:space="preserve"> </w:t>
      </w:r>
      <w:r w:rsidR="004C7D14" w:rsidRPr="00FE7BA7">
        <w:rPr>
          <w:rFonts w:ascii="Verdana" w:hAnsi="Verdana"/>
          <w:i/>
          <w:sz w:val="20"/>
          <w:szCs w:val="20"/>
          <w:lang w:val="en-US"/>
        </w:rPr>
        <w:t>Suriname,</w:t>
      </w:r>
      <w:r w:rsidR="008A3876" w:rsidRPr="00FE7BA7">
        <w:rPr>
          <w:rFonts w:ascii="Verdana" w:hAnsi="Verdana"/>
          <w:sz w:val="20"/>
          <w:szCs w:val="20"/>
          <w:lang w:val="en-US"/>
        </w:rPr>
        <w:t xml:space="preserve"> </w:t>
      </w:r>
      <w:r w:rsidRPr="00FE7BA7">
        <w:rPr>
          <w:rFonts w:ascii="Verdana" w:hAnsi="Verdana"/>
          <w:sz w:val="20"/>
          <w:szCs w:val="20"/>
          <w:lang w:val="en-US"/>
        </w:rPr>
        <w:t>the Inter-American Court</w:t>
      </w:r>
      <w:r w:rsidR="00146E01" w:rsidRPr="00FE7BA7">
        <w:rPr>
          <w:rFonts w:ascii="Verdana" w:hAnsi="Verdana"/>
          <w:sz w:val="20"/>
          <w:szCs w:val="20"/>
          <w:lang w:val="en-US"/>
        </w:rPr>
        <w:t xml:space="preserve"> </w:t>
      </w:r>
      <w:r w:rsidR="007E3B38">
        <w:rPr>
          <w:rFonts w:ascii="Verdana" w:hAnsi="Verdana"/>
          <w:sz w:val="20"/>
          <w:szCs w:val="20"/>
          <w:lang w:val="en-US"/>
        </w:rPr>
        <w:t xml:space="preserve">had </w:t>
      </w:r>
      <w:r w:rsidR="00146E01" w:rsidRPr="00FE7BA7">
        <w:rPr>
          <w:rFonts w:ascii="Verdana" w:hAnsi="Verdana"/>
          <w:sz w:val="20"/>
          <w:szCs w:val="20"/>
          <w:lang w:val="en-US"/>
        </w:rPr>
        <w:t>determined that th</w:t>
      </w:r>
      <w:r w:rsidR="00965219">
        <w:rPr>
          <w:rFonts w:ascii="Verdana" w:hAnsi="Verdana"/>
          <w:sz w:val="20"/>
          <w:szCs w:val="20"/>
          <w:lang w:val="en-US"/>
        </w:rPr>
        <w:t>e Suriname</w:t>
      </w:r>
      <w:r w:rsidR="00146E01" w:rsidRPr="00FE7BA7">
        <w:rPr>
          <w:rFonts w:ascii="Verdana" w:hAnsi="Verdana"/>
          <w:sz w:val="20"/>
          <w:szCs w:val="20"/>
          <w:lang w:val="en-US"/>
        </w:rPr>
        <w:t xml:space="preserve"> Civil Code</w:t>
      </w:r>
      <w:r w:rsidR="004C7D14" w:rsidRPr="00FE7BA7">
        <w:rPr>
          <w:rFonts w:ascii="Verdana" w:hAnsi="Verdana"/>
          <w:sz w:val="20"/>
          <w:szCs w:val="20"/>
          <w:lang w:val="en-US"/>
        </w:rPr>
        <w:t>,</w:t>
      </w:r>
      <w:r w:rsidR="008A3876" w:rsidRPr="00FE7BA7">
        <w:rPr>
          <w:rFonts w:ascii="Verdana" w:hAnsi="Verdana"/>
          <w:sz w:val="20"/>
          <w:szCs w:val="20"/>
          <w:lang w:val="en-US"/>
        </w:rPr>
        <w:t xml:space="preserve"> </w:t>
      </w:r>
      <w:r w:rsidR="00146E01" w:rsidRPr="00FE7BA7">
        <w:rPr>
          <w:rFonts w:ascii="Verdana" w:hAnsi="Verdana"/>
          <w:sz w:val="20"/>
          <w:szCs w:val="20"/>
          <w:lang w:val="en-US"/>
        </w:rPr>
        <w:t>the</w:t>
      </w:r>
      <w:r w:rsidR="00965219">
        <w:rPr>
          <w:rFonts w:ascii="Verdana" w:hAnsi="Verdana"/>
          <w:sz w:val="20"/>
          <w:szCs w:val="20"/>
          <w:lang w:val="en-US"/>
        </w:rPr>
        <w:t xml:space="preserve"> 1982 L-Decree</w:t>
      </w:r>
      <w:r w:rsidR="00146E01" w:rsidRPr="00FE7BA7">
        <w:rPr>
          <w:rFonts w:ascii="Verdana" w:hAnsi="Verdana"/>
          <w:sz w:val="20"/>
          <w:szCs w:val="20"/>
          <w:lang w:val="en-US"/>
        </w:rPr>
        <w:t xml:space="preserve">, the 1986 Mining Decree, and the 1992 Forestry Management Act failed to provide appropriate and effective remedies that would protect the Saramaka tribal people from acts that violated their right to communal property. On this basis, taking into consideration that the State provided no information that </w:t>
      </w:r>
      <w:r w:rsidR="00FE7BA7" w:rsidRPr="00FE7BA7">
        <w:rPr>
          <w:rFonts w:ascii="Verdana" w:hAnsi="Verdana"/>
          <w:sz w:val="20"/>
          <w:szCs w:val="20"/>
          <w:lang w:val="en-US"/>
        </w:rPr>
        <w:t>would</w:t>
      </w:r>
      <w:r w:rsidR="00146E01" w:rsidRPr="00FE7BA7">
        <w:rPr>
          <w:rFonts w:ascii="Verdana" w:hAnsi="Verdana"/>
          <w:sz w:val="20"/>
          <w:szCs w:val="20"/>
          <w:lang w:val="en-US"/>
        </w:rPr>
        <w:t xml:space="preserve"> prove that it had </w:t>
      </w:r>
      <w:r w:rsidR="001F0214">
        <w:rPr>
          <w:rFonts w:ascii="Verdana" w:hAnsi="Verdana"/>
          <w:sz w:val="20"/>
          <w:szCs w:val="20"/>
          <w:lang w:val="en-US"/>
        </w:rPr>
        <w:t>adopted</w:t>
      </w:r>
      <w:r w:rsidR="001F0214" w:rsidRPr="00FE7BA7">
        <w:rPr>
          <w:rFonts w:ascii="Verdana" w:hAnsi="Verdana"/>
          <w:sz w:val="20"/>
          <w:szCs w:val="20"/>
          <w:lang w:val="en-US"/>
        </w:rPr>
        <w:t xml:space="preserve"> </w:t>
      </w:r>
      <w:r w:rsidR="00146E01" w:rsidRPr="00FE7BA7">
        <w:rPr>
          <w:rFonts w:ascii="Verdana" w:hAnsi="Verdana"/>
          <w:sz w:val="20"/>
          <w:szCs w:val="20"/>
          <w:lang w:val="en-US"/>
        </w:rPr>
        <w:t xml:space="preserve">concrete </w:t>
      </w:r>
      <w:r w:rsidR="001F0214">
        <w:rPr>
          <w:rFonts w:ascii="Verdana" w:hAnsi="Verdana"/>
          <w:sz w:val="20"/>
          <w:szCs w:val="20"/>
          <w:lang w:val="en-US"/>
        </w:rPr>
        <w:t>measures</w:t>
      </w:r>
      <w:r w:rsidR="001F0214" w:rsidRPr="00FE7BA7">
        <w:rPr>
          <w:rFonts w:ascii="Verdana" w:hAnsi="Verdana"/>
          <w:sz w:val="20"/>
          <w:szCs w:val="20"/>
          <w:lang w:val="en-US"/>
        </w:rPr>
        <w:t xml:space="preserve"> </w:t>
      </w:r>
      <w:r w:rsidR="00146E01" w:rsidRPr="00FE7BA7">
        <w:rPr>
          <w:rFonts w:ascii="Verdana" w:hAnsi="Verdana"/>
          <w:sz w:val="20"/>
          <w:szCs w:val="20"/>
          <w:lang w:val="en-US"/>
        </w:rPr>
        <w:t xml:space="preserve">to resolve the problems found in the </w:t>
      </w:r>
      <w:r w:rsidR="00146E01" w:rsidRPr="00FE7BA7">
        <w:rPr>
          <w:rFonts w:ascii="Verdana" w:hAnsi="Verdana"/>
          <w:i/>
          <w:sz w:val="20"/>
          <w:szCs w:val="20"/>
          <w:lang w:val="en-US"/>
        </w:rPr>
        <w:t xml:space="preserve">Saramaka </w:t>
      </w:r>
      <w:r w:rsidR="00146E01" w:rsidRPr="00FE7BA7">
        <w:rPr>
          <w:rFonts w:ascii="Verdana" w:hAnsi="Verdana"/>
          <w:sz w:val="20"/>
          <w:szCs w:val="20"/>
          <w:lang w:val="en-US"/>
        </w:rPr>
        <w:t xml:space="preserve">case, the Commission </w:t>
      </w:r>
      <w:r w:rsidR="00146E01" w:rsidRPr="007E3B38">
        <w:rPr>
          <w:rFonts w:ascii="Verdana" w:hAnsi="Verdana"/>
          <w:sz w:val="20"/>
          <w:szCs w:val="20"/>
          <w:lang w:val="en-US"/>
        </w:rPr>
        <w:t xml:space="preserve">concluded that, in this case, the State had violated </w:t>
      </w:r>
      <w:r w:rsidR="00773D70" w:rsidRPr="007E3B38">
        <w:rPr>
          <w:rFonts w:ascii="Verdana" w:hAnsi="Verdana"/>
          <w:sz w:val="20"/>
          <w:szCs w:val="20"/>
          <w:lang w:val="en-US"/>
        </w:rPr>
        <w:t>the right to</w:t>
      </w:r>
      <w:r w:rsidR="008A3876" w:rsidRPr="007E3B38">
        <w:rPr>
          <w:rFonts w:ascii="Verdana" w:hAnsi="Verdana"/>
          <w:sz w:val="20"/>
          <w:szCs w:val="20"/>
          <w:lang w:val="en-US"/>
        </w:rPr>
        <w:t xml:space="preserve"> </w:t>
      </w:r>
      <w:r w:rsidR="00B257B6" w:rsidRPr="007E3B38">
        <w:rPr>
          <w:rFonts w:ascii="Verdana" w:hAnsi="Verdana"/>
          <w:sz w:val="20"/>
          <w:szCs w:val="20"/>
          <w:lang w:val="en-US"/>
        </w:rPr>
        <w:t>judicial protection</w:t>
      </w:r>
      <w:r w:rsidR="008A3876" w:rsidRPr="007E3B38">
        <w:rPr>
          <w:rFonts w:ascii="Verdana" w:hAnsi="Verdana"/>
          <w:sz w:val="20"/>
          <w:szCs w:val="20"/>
          <w:lang w:val="en-US"/>
        </w:rPr>
        <w:t xml:space="preserve"> </w:t>
      </w:r>
      <w:r w:rsidR="00146E01" w:rsidRPr="007E3B38">
        <w:rPr>
          <w:rFonts w:ascii="Verdana" w:hAnsi="Verdana"/>
          <w:sz w:val="20"/>
          <w:szCs w:val="20"/>
          <w:lang w:val="en-US"/>
        </w:rPr>
        <w:t xml:space="preserve">because no effective and appropriate remedy exists in the domestic law of Suriname that would guarantee the protection of the right to collective property </w:t>
      </w:r>
      <w:r w:rsidR="00511E56" w:rsidRPr="007E3B38">
        <w:rPr>
          <w:rFonts w:ascii="Verdana" w:hAnsi="Verdana"/>
          <w:sz w:val="20"/>
          <w:szCs w:val="20"/>
          <w:lang w:val="en-US"/>
        </w:rPr>
        <w:t xml:space="preserve">of the </w:t>
      </w:r>
      <w:r w:rsidR="00967E6B" w:rsidRPr="007E3B38">
        <w:rPr>
          <w:rFonts w:ascii="Verdana" w:hAnsi="Verdana"/>
          <w:sz w:val="20"/>
          <w:szCs w:val="20"/>
          <w:lang w:val="en-US"/>
        </w:rPr>
        <w:t xml:space="preserve">indigenous and </w:t>
      </w:r>
      <w:r w:rsidR="00F32607" w:rsidRPr="007E3B38">
        <w:rPr>
          <w:rFonts w:ascii="Verdana" w:hAnsi="Verdana"/>
          <w:sz w:val="20"/>
          <w:szCs w:val="20"/>
          <w:lang w:val="en-US"/>
        </w:rPr>
        <w:t>tribal peoples</w:t>
      </w:r>
      <w:r w:rsidR="00E5489C" w:rsidRPr="00FE7BA7">
        <w:rPr>
          <w:rFonts w:ascii="Verdana" w:hAnsi="Verdana"/>
          <w:sz w:val="20"/>
          <w:szCs w:val="20"/>
          <w:lang w:val="en-US"/>
        </w:rPr>
        <w:t>.</w:t>
      </w:r>
    </w:p>
    <w:p w14:paraId="63126A5B" w14:textId="77777777" w:rsidR="008A3876" w:rsidRPr="00FE7BA7" w:rsidRDefault="008A3876" w:rsidP="008A3876">
      <w:pPr>
        <w:tabs>
          <w:tab w:val="left" w:pos="450"/>
        </w:tabs>
        <w:jc w:val="both"/>
        <w:rPr>
          <w:rFonts w:ascii="Verdana" w:hAnsi="Verdana"/>
          <w:b/>
          <w:sz w:val="20"/>
          <w:szCs w:val="20"/>
          <w:lang w:val="en-US"/>
        </w:rPr>
      </w:pPr>
    </w:p>
    <w:p w14:paraId="63126A5C" w14:textId="77777777" w:rsidR="008A3876" w:rsidRPr="00FE7BA7" w:rsidRDefault="00146E01" w:rsidP="00146E0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addition, in its Merits Report, </w:t>
      </w:r>
      <w:r w:rsidR="002B5CCD" w:rsidRPr="00FE7BA7">
        <w:rPr>
          <w:rFonts w:ascii="Verdana" w:hAnsi="Verdana"/>
          <w:sz w:val="20"/>
          <w:szCs w:val="20"/>
          <w:lang w:val="en-US"/>
        </w:rPr>
        <w:t xml:space="preserve">the </w:t>
      </w:r>
      <w:r w:rsidR="002B5CCD" w:rsidRPr="001F0214">
        <w:rPr>
          <w:rFonts w:ascii="Verdana" w:hAnsi="Verdana"/>
          <w:sz w:val="20"/>
          <w:szCs w:val="20"/>
          <w:lang w:val="en-US"/>
        </w:rPr>
        <w:t>Commission</w:t>
      </w:r>
      <w:r w:rsidRPr="00FE7BA7">
        <w:rPr>
          <w:rFonts w:ascii="Verdana" w:hAnsi="Verdana"/>
          <w:sz w:val="20"/>
          <w:szCs w:val="20"/>
          <w:lang w:val="en-US"/>
        </w:rPr>
        <w:t xml:space="preserve"> indicated that, following the </w:t>
      </w:r>
      <w:r w:rsidR="00644BD7" w:rsidRPr="00FE7BA7">
        <w:rPr>
          <w:rFonts w:ascii="Verdana" w:hAnsi="Verdana"/>
          <w:sz w:val="20"/>
          <w:szCs w:val="20"/>
          <w:lang w:val="en-US"/>
        </w:rPr>
        <w:t>Admissibility Report</w:t>
      </w:r>
      <w:r w:rsidR="00D53885" w:rsidRPr="00FE7BA7">
        <w:rPr>
          <w:rFonts w:ascii="Verdana" w:hAnsi="Verdana"/>
          <w:sz w:val="20"/>
          <w:szCs w:val="20"/>
          <w:lang w:val="en-US"/>
        </w:rPr>
        <w:t xml:space="preserve">, </w:t>
      </w:r>
      <w:r w:rsidRPr="00FE7BA7">
        <w:rPr>
          <w:rFonts w:ascii="Verdana" w:hAnsi="Verdana"/>
          <w:sz w:val="20"/>
          <w:szCs w:val="20"/>
          <w:lang w:val="en-US"/>
        </w:rPr>
        <w:t>the petitioners had alleged</w:t>
      </w:r>
      <w:r w:rsidR="007E3B38">
        <w:rPr>
          <w:rFonts w:ascii="Verdana" w:hAnsi="Verdana"/>
          <w:sz w:val="20"/>
          <w:szCs w:val="20"/>
          <w:lang w:val="en-US"/>
        </w:rPr>
        <w:t xml:space="preserve"> that</w:t>
      </w:r>
      <w:r w:rsidRPr="00FE7BA7">
        <w:rPr>
          <w:rFonts w:ascii="Verdana" w:hAnsi="Verdana"/>
          <w:sz w:val="20"/>
          <w:szCs w:val="20"/>
          <w:lang w:val="en-US"/>
        </w:rPr>
        <w:t xml:space="preserve"> the State’s failure to provide details regarding the precise dates when property titles and leases were issued to non-indigenous persons on part </w:t>
      </w:r>
      <w:r w:rsidR="00511E56" w:rsidRPr="00FE7BA7">
        <w:rPr>
          <w:rFonts w:ascii="Verdana" w:hAnsi="Verdana"/>
          <w:sz w:val="20"/>
          <w:szCs w:val="20"/>
          <w:lang w:val="en-US"/>
        </w:rPr>
        <w:t xml:space="preserve">of the </w:t>
      </w:r>
      <w:r w:rsidR="00DC745B" w:rsidRPr="00FE7BA7">
        <w:rPr>
          <w:rFonts w:ascii="Verdana" w:hAnsi="Verdana"/>
          <w:sz w:val="20"/>
          <w:szCs w:val="20"/>
          <w:lang w:val="en-US"/>
        </w:rPr>
        <w:t>traditional territory</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D53885" w:rsidRPr="00FE7BA7">
        <w:rPr>
          <w:rFonts w:ascii="Verdana" w:hAnsi="Verdana"/>
          <w:sz w:val="20"/>
          <w:szCs w:val="20"/>
          <w:lang w:val="en-US"/>
        </w:rPr>
        <w:t xml:space="preserve">, </w:t>
      </w:r>
      <w:r w:rsidRPr="00FE7BA7">
        <w:rPr>
          <w:rFonts w:ascii="Verdana" w:hAnsi="Verdana"/>
          <w:sz w:val="20"/>
          <w:szCs w:val="20"/>
          <w:lang w:val="en-US"/>
        </w:rPr>
        <w:t xml:space="preserve">without </w:t>
      </w:r>
      <w:r w:rsidR="00965219">
        <w:rPr>
          <w:rFonts w:ascii="Verdana" w:hAnsi="Verdana"/>
          <w:sz w:val="20"/>
          <w:szCs w:val="20"/>
          <w:lang w:val="en-US"/>
        </w:rPr>
        <w:t>offering</w:t>
      </w:r>
      <w:r w:rsidRPr="00FE7BA7">
        <w:rPr>
          <w:rFonts w:ascii="Verdana" w:hAnsi="Verdana"/>
          <w:sz w:val="20"/>
          <w:szCs w:val="20"/>
          <w:lang w:val="en-US"/>
        </w:rPr>
        <w:t xml:space="preserve"> any reason to justify the refusal to make such public in</w:t>
      </w:r>
      <w:r w:rsidR="007E3B38">
        <w:rPr>
          <w:rFonts w:ascii="Verdana" w:hAnsi="Verdana"/>
          <w:sz w:val="20"/>
          <w:szCs w:val="20"/>
          <w:lang w:val="en-US"/>
        </w:rPr>
        <w:t>formation available, contravened</w:t>
      </w:r>
      <w:r w:rsidRPr="00FE7BA7">
        <w:rPr>
          <w:rFonts w:ascii="Verdana" w:hAnsi="Verdana"/>
          <w:sz w:val="20"/>
          <w:szCs w:val="20"/>
          <w:lang w:val="en-US"/>
        </w:rPr>
        <w:t xml:space="preserve"> </w:t>
      </w:r>
      <w:r w:rsidR="00773D70" w:rsidRPr="00FE7BA7">
        <w:rPr>
          <w:rFonts w:ascii="Verdana" w:hAnsi="Verdana"/>
          <w:sz w:val="20"/>
          <w:szCs w:val="20"/>
          <w:lang w:val="en-US"/>
        </w:rPr>
        <w:t>Article</w:t>
      </w:r>
      <w:r w:rsidR="00D53885" w:rsidRPr="00FE7BA7">
        <w:rPr>
          <w:rFonts w:ascii="Verdana" w:hAnsi="Verdana"/>
          <w:sz w:val="20"/>
          <w:szCs w:val="20"/>
          <w:lang w:val="en-US"/>
        </w:rPr>
        <w:t xml:space="preserve"> 13</w:t>
      </w:r>
      <w:r w:rsidR="002B5CCD" w:rsidRPr="00FE7BA7">
        <w:rPr>
          <w:rFonts w:ascii="Verdana" w:hAnsi="Verdana"/>
          <w:sz w:val="20"/>
          <w:szCs w:val="20"/>
          <w:lang w:val="en-US"/>
        </w:rPr>
        <w:t xml:space="preserve"> of the American Convention</w:t>
      </w:r>
      <w:r w:rsidR="00D53885" w:rsidRPr="00FE7BA7">
        <w:rPr>
          <w:rFonts w:ascii="Verdana" w:hAnsi="Verdana"/>
          <w:sz w:val="20"/>
          <w:szCs w:val="20"/>
          <w:lang w:val="en-US"/>
        </w:rPr>
        <w:t xml:space="preserve">. </w:t>
      </w:r>
      <w:r w:rsidR="002B5CCD" w:rsidRPr="00FE7BA7">
        <w:rPr>
          <w:rFonts w:ascii="Verdana" w:hAnsi="Verdana"/>
          <w:sz w:val="20"/>
          <w:szCs w:val="20"/>
          <w:lang w:val="en-US"/>
        </w:rPr>
        <w:t>The Commission</w:t>
      </w:r>
      <w:r w:rsidRPr="00FE7BA7">
        <w:rPr>
          <w:rFonts w:ascii="Verdana" w:hAnsi="Verdana"/>
          <w:sz w:val="20"/>
          <w:szCs w:val="20"/>
          <w:lang w:val="en-US"/>
        </w:rPr>
        <w:t xml:space="preserve"> considered that what had occurred was part of the facts of the case, and concluded that, although it had insufficient evidence to declare </w:t>
      </w:r>
      <w:r w:rsidR="00511E56" w:rsidRPr="00FE7BA7">
        <w:rPr>
          <w:rFonts w:ascii="Verdana" w:hAnsi="Verdana"/>
          <w:sz w:val="20"/>
          <w:szCs w:val="20"/>
          <w:lang w:val="en-US"/>
        </w:rPr>
        <w:t>the violation</w:t>
      </w:r>
      <w:r w:rsidR="00F03C65" w:rsidRPr="00FE7BA7">
        <w:rPr>
          <w:rFonts w:ascii="Verdana" w:hAnsi="Verdana"/>
          <w:sz w:val="20"/>
          <w:szCs w:val="20"/>
          <w:lang w:val="en-US"/>
        </w:rPr>
        <w:t xml:space="preserve"> </w:t>
      </w:r>
      <w:r w:rsidR="00773D70" w:rsidRPr="00FE7BA7">
        <w:rPr>
          <w:rFonts w:ascii="Verdana" w:hAnsi="Verdana"/>
          <w:sz w:val="20"/>
          <w:szCs w:val="20"/>
          <w:lang w:val="en-US"/>
        </w:rPr>
        <w:t>of Article</w:t>
      </w:r>
      <w:r w:rsidR="00F03C65" w:rsidRPr="00FE7BA7">
        <w:rPr>
          <w:rFonts w:ascii="Verdana" w:hAnsi="Verdana"/>
          <w:sz w:val="20"/>
          <w:szCs w:val="20"/>
          <w:lang w:val="en-US"/>
        </w:rPr>
        <w:t xml:space="preserve"> 13</w:t>
      </w:r>
      <w:r w:rsidR="002B5CCD" w:rsidRPr="00FE7BA7">
        <w:rPr>
          <w:rFonts w:ascii="Verdana" w:hAnsi="Verdana"/>
          <w:sz w:val="20"/>
          <w:szCs w:val="20"/>
          <w:lang w:val="en-US"/>
        </w:rPr>
        <w:t xml:space="preserve"> of the American Convention</w:t>
      </w:r>
      <w:r w:rsidR="00F03C65" w:rsidRPr="00FE7BA7">
        <w:rPr>
          <w:rFonts w:ascii="Verdana" w:hAnsi="Verdana"/>
          <w:sz w:val="20"/>
          <w:szCs w:val="20"/>
          <w:lang w:val="en-US"/>
        </w:rPr>
        <w:t xml:space="preserve">, </w:t>
      </w:r>
      <w:r w:rsidRPr="00FE7BA7">
        <w:rPr>
          <w:rFonts w:ascii="Verdana" w:hAnsi="Verdana"/>
          <w:sz w:val="20"/>
          <w:szCs w:val="20"/>
          <w:lang w:val="en-US"/>
        </w:rPr>
        <w:t xml:space="preserve">it had analyzed this failure to provide information when examining </w:t>
      </w:r>
      <w:r w:rsidR="003231F8" w:rsidRPr="00FE7BA7">
        <w:rPr>
          <w:rFonts w:ascii="Verdana" w:hAnsi="Verdana"/>
          <w:sz w:val="20"/>
          <w:szCs w:val="20"/>
          <w:lang w:val="en-US"/>
        </w:rPr>
        <w:t>the</w:t>
      </w:r>
      <w:r w:rsidRPr="00FE7BA7">
        <w:rPr>
          <w:rFonts w:ascii="Verdana" w:hAnsi="Verdana"/>
          <w:sz w:val="20"/>
          <w:szCs w:val="20"/>
          <w:lang w:val="en-US"/>
        </w:rPr>
        <w:t xml:space="preserve"> </w:t>
      </w:r>
      <w:r w:rsidR="00511E56" w:rsidRPr="00FE7BA7">
        <w:rPr>
          <w:rFonts w:ascii="Verdana" w:hAnsi="Verdana"/>
          <w:sz w:val="20"/>
          <w:szCs w:val="20"/>
          <w:lang w:val="en-US"/>
        </w:rPr>
        <w:t>violation</w:t>
      </w:r>
      <w:r w:rsidR="00D53885" w:rsidRPr="00FE7BA7">
        <w:rPr>
          <w:rFonts w:ascii="Verdana" w:hAnsi="Verdana"/>
          <w:sz w:val="20"/>
          <w:szCs w:val="20"/>
          <w:lang w:val="en-US"/>
        </w:rPr>
        <w:t xml:space="preserve"> </w:t>
      </w:r>
      <w:r w:rsidRPr="00FE7BA7">
        <w:rPr>
          <w:rFonts w:ascii="Verdana" w:hAnsi="Verdana"/>
          <w:sz w:val="20"/>
          <w:szCs w:val="20"/>
          <w:lang w:val="en-US"/>
        </w:rPr>
        <w:t xml:space="preserve">of the right to collective property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D53885" w:rsidRPr="00FE7BA7">
        <w:rPr>
          <w:rFonts w:ascii="Verdana" w:hAnsi="Verdana"/>
          <w:sz w:val="20"/>
          <w:szCs w:val="20"/>
          <w:lang w:val="en-US"/>
        </w:rPr>
        <w:t xml:space="preserve">, </w:t>
      </w:r>
      <w:r w:rsidR="00773D70" w:rsidRPr="00FE7BA7">
        <w:rPr>
          <w:rFonts w:ascii="Verdana" w:hAnsi="Verdana"/>
          <w:sz w:val="20"/>
          <w:szCs w:val="20"/>
          <w:lang w:val="en-US"/>
        </w:rPr>
        <w:t>recognized in</w:t>
      </w:r>
      <w:r w:rsidR="00D53885" w:rsidRPr="00FE7BA7">
        <w:rPr>
          <w:rFonts w:ascii="Verdana" w:hAnsi="Verdana"/>
          <w:sz w:val="20"/>
          <w:szCs w:val="20"/>
          <w:lang w:val="en-US"/>
        </w:rPr>
        <w:t xml:space="preserve"> </w:t>
      </w:r>
      <w:r w:rsidR="002B5CCD" w:rsidRPr="00FE7BA7">
        <w:rPr>
          <w:rFonts w:ascii="Verdana" w:hAnsi="Verdana"/>
          <w:sz w:val="20"/>
          <w:szCs w:val="20"/>
          <w:lang w:val="en-US"/>
        </w:rPr>
        <w:t>Article</w:t>
      </w:r>
      <w:r w:rsidR="00D53885" w:rsidRPr="00FE7BA7">
        <w:rPr>
          <w:rFonts w:ascii="Verdana" w:hAnsi="Verdana"/>
          <w:sz w:val="20"/>
          <w:szCs w:val="20"/>
          <w:lang w:val="en-US"/>
        </w:rPr>
        <w:t xml:space="preserve"> 21</w:t>
      </w:r>
      <w:r w:rsidR="002B5CCD" w:rsidRPr="00FE7BA7">
        <w:rPr>
          <w:rFonts w:ascii="Verdana" w:hAnsi="Verdana"/>
          <w:sz w:val="20"/>
          <w:szCs w:val="20"/>
          <w:lang w:val="en-US"/>
        </w:rPr>
        <w:t xml:space="preserve"> of the Convention</w:t>
      </w:r>
      <w:r w:rsidRPr="00FE7BA7">
        <w:rPr>
          <w:rFonts w:ascii="Verdana" w:hAnsi="Verdana"/>
          <w:sz w:val="20"/>
          <w:szCs w:val="20"/>
          <w:lang w:val="en-US"/>
        </w:rPr>
        <w:t>.</w:t>
      </w:r>
    </w:p>
    <w:p w14:paraId="63126A5D" w14:textId="77777777" w:rsidR="00F03C65" w:rsidRPr="00FE7BA7" w:rsidRDefault="00F03C65" w:rsidP="00F03C65">
      <w:pPr>
        <w:pStyle w:val="ListParagraph"/>
        <w:ind w:left="0"/>
        <w:jc w:val="both"/>
        <w:rPr>
          <w:rFonts w:ascii="Verdana" w:hAnsi="Verdana"/>
          <w:sz w:val="20"/>
          <w:szCs w:val="20"/>
          <w:lang w:val="en-US"/>
        </w:rPr>
      </w:pPr>
    </w:p>
    <w:p w14:paraId="63126A5E" w14:textId="46FBC986" w:rsidR="008A3876" w:rsidRPr="00FE7BA7" w:rsidRDefault="00810FAD" w:rsidP="00146E01">
      <w:pPr>
        <w:pStyle w:val="ListParagraph"/>
        <w:numPr>
          <w:ilvl w:val="0"/>
          <w:numId w:val="2"/>
        </w:numPr>
        <w:ind w:left="0" w:hanging="11"/>
        <w:jc w:val="both"/>
        <w:rPr>
          <w:rFonts w:ascii="Verdana" w:hAnsi="Verdana"/>
          <w:b/>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8A3876" w:rsidRPr="00FE7BA7">
        <w:rPr>
          <w:rFonts w:ascii="Verdana" w:hAnsi="Verdana"/>
          <w:sz w:val="20"/>
          <w:szCs w:val="20"/>
          <w:lang w:val="en-US"/>
        </w:rPr>
        <w:t xml:space="preserve"> </w:t>
      </w:r>
      <w:r w:rsidR="00146E01" w:rsidRPr="00FE7BA7">
        <w:rPr>
          <w:rFonts w:ascii="Verdana" w:hAnsi="Verdana"/>
          <w:sz w:val="20"/>
          <w:szCs w:val="20"/>
          <w:lang w:val="en-US"/>
        </w:rPr>
        <w:t xml:space="preserve">agreed with the Commission’s affirmation that Suriname had still not created legal or administrative mechanisms to restitute or to recognize the property rights </w:t>
      </w:r>
      <w:r w:rsidR="00BD40EF" w:rsidRPr="00FE7BA7">
        <w:rPr>
          <w:rFonts w:ascii="Verdana" w:hAnsi="Verdana"/>
          <w:sz w:val="20"/>
          <w:szCs w:val="20"/>
          <w:lang w:val="en-US"/>
        </w:rPr>
        <w:t>of the indigenous peoples</w:t>
      </w:r>
      <w:r w:rsidR="008A3876" w:rsidRPr="00FE7BA7">
        <w:rPr>
          <w:rFonts w:ascii="Verdana" w:hAnsi="Verdana"/>
          <w:sz w:val="20"/>
          <w:szCs w:val="20"/>
          <w:lang w:val="en-US"/>
        </w:rPr>
        <w:t xml:space="preserve">, </w:t>
      </w:r>
      <w:r w:rsidR="00146E01" w:rsidRPr="00FE7BA7">
        <w:rPr>
          <w:rFonts w:ascii="Verdana" w:hAnsi="Verdana"/>
          <w:sz w:val="20"/>
          <w:szCs w:val="20"/>
          <w:lang w:val="en-US"/>
        </w:rPr>
        <w:t xml:space="preserve">or to delimit, demarcate and grant title to </w:t>
      </w:r>
      <w:r w:rsidR="00086269" w:rsidRPr="00FE7BA7">
        <w:rPr>
          <w:rFonts w:ascii="Verdana" w:hAnsi="Verdana"/>
          <w:sz w:val="20"/>
          <w:szCs w:val="20"/>
          <w:lang w:val="en-US"/>
        </w:rPr>
        <w:t>their ancestral territories</w:t>
      </w:r>
      <w:r w:rsidR="008A4ABB" w:rsidRPr="00FE7BA7">
        <w:rPr>
          <w:rFonts w:ascii="Verdana" w:hAnsi="Verdana"/>
          <w:sz w:val="20"/>
          <w:szCs w:val="20"/>
          <w:lang w:val="en-US"/>
        </w:rPr>
        <w:t>.</w:t>
      </w:r>
      <w:r w:rsidR="008A3876" w:rsidRPr="00FE7BA7">
        <w:rPr>
          <w:rFonts w:ascii="Verdana" w:hAnsi="Verdana"/>
          <w:b/>
          <w:sz w:val="20"/>
          <w:szCs w:val="20"/>
          <w:lang w:val="en-US"/>
        </w:rPr>
        <w:t xml:space="preserve"> </w:t>
      </w:r>
      <w:r w:rsidR="00146E01" w:rsidRPr="00FE7BA7">
        <w:rPr>
          <w:rFonts w:ascii="Verdana" w:hAnsi="Verdana"/>
          <w:sz w:val="20"/>
          <w:szCs w:val="20"/>
          <w:lang w:val="en-US"/>
        </w:rPr>
        <w:t xml:space="preserve">In this regard, they added that the </w:t>
      </w:r>
      <w:r w:rsidR="008A3876" w:rsidRPr="00FE7BA7">
        <w:rPr>
          <w:rFonts w:ascii="Verdana" w:hAnsi="Verdana"/>
          <w:sz w:val="20"/>
          <w:szCs w:val="20"/>
          <w:lang w:val="en-US"/>
        </w:rPr>
        <w:t>Kaliña</w:t>
      </w:r>
      <w:r w:rsidR="002B5CCD" w:rsidRPr="00FE7BA7">
        <w:rPr>
          <w:rFonts w:ascii="Verdana" w:hAnsi="Verdana"/>
          <w:sz w:val="20"/>
          <w:szCs w:val="20"/>
          <w:lang w:val="en-US"/>
        </w:rPr>
        <w:t xml:space="preserve"> and </w:t>
      </w:r>
      <w:r w:rsidR="008A3876" w:rsidRPr="00FE7BA7">
        <w:rPr>
          <w:rFonts w:ascii="Verdana" w:hAnsi="Verdana"/>
          <w:sz w:val="20"/>
          <w:szCs w:val="20"/>
          <w:lang w:val="en-US"/>
        </w:rPr>
        <w:t xml:space="preserve">Lokono </w:t>
      </w:r>
      <w:r w:rsidR="00146E01" w:rsidRPr="00FE7BA7">
        <w:rPr>
          <w:rFonts w:ascii="Verdana" w:hAnsi="Verdana"/>
          <w:sz w:val="20"/>
          <w:szCs w:val="20"/>
          <w:lang w:val="en-US"/>
        </w:rPr>
        <w:t xml:space="preserve">peoples had availed themselves of the right of petition </w:t>
      </w:r>
      <w:r w:rsidR="00773D70" w:rsidRPr="00FE7BA7">
        <w:rPr>
          <w:rFonts w:ascii="Verdana" w:hAnsi="Verdana"/>
          <w:sz w:val="20"/>
          <w:szCs w:val="20"/>
          <w:lang w:val="en-US"/>
        </w:rPr>
        <w:t>recognized in</w:t>
      </w:r>
      <w:r w:rsidR="008A3876" w:rsidRPr="00FE7BA7">
        <w:rPr>
          <w:rFonts w:ascii="Verdana" w:hAnsi="Verdana"/>
          <w:sz w:val="20"/>
          <w:szCs w:val="20"/>
          <w:lang w:val="en-US"/>
        </w:rPr>
        <w:t xml:space="preserve"> </w:t>
      </w:r>
      <w:r w:rsidR="002B5CCD" w:rsidRPr="00FE7BA7">
        <w:rPr>
          <w:rFonts w:ascii="Verdana" w:hAnsi="Verdana"/>
          <w:sz w:val="20"/>
          <w:szCs w:val="20"/>
          <w:lang w:val="en-US"/>
        </w:rPr>
        <w:t>Article</w:t>
      </w:r>
      <w:r w:rsidR="008A3876" w:rsidRPr="00FE7BA7">
        <w:rPr>
          <w:rFonts w:ascii="Verdana" w:hAnsi="Verdana"/>
          <w:sz w:val="20"/>
          <w:szCs w:val="20"/>
          <w:lang w:val="en-US"/>
        </w:rPr>
        <w:t xml:space="preserve"> 22 </w:t>
      </w:r>
      <w:r w:rsidR="00146E01" w:rsidRPr="00FE7BA7">
        <w:rPr>
          <w:rFonts w:ascii="Verdana" w:hAnsi="Verdana"/>
          <w:sz w:val="20"/>
          <w:szCs w:val="20"/>
          <w:lang w:val="en-US"/>
        </w:rPr>
        <w:t>of the</w:t>
      </w:r>
      <w:r w:rsidR="002F0F93" w:rsidRPr="00FE7BA7">
        <w:rPr>
          <w:rFonts w:ascii="Verdana" w:hAnsi="Verdana"/>
          <w:sz w:val="20"/>
          <w:szCs w:val="20"/>
          <w:lang w:val="en-US"/>
        </w:rPr>
        <w:t xml:space="preserve"> Suriname</w:t>
      </w:r>
      <w:r w:rsidR="00146E01" w:rsidRPr="00FE7BA7">
        <w:rPr>
          <w:rFonts w:ascii="Verdana" w:hAnsi="Verdana"/>
          <w:sz w:val="20"/>
          <w:szCs w:val="20"/>
          <w:lang w:val="en-US"/>
        </w:rPr>
        <w:t>se Constitution</w:t>
      </w:r>
      <w:r w:rsidR="008A3876" w:rsidRPr="00FE7BA7">
        <w:rPr>
          <w:rFonts w:ascii="Verdana" w:hAnsi="Verdana"/>
          <w:sz w:val="20"/>
          <w:szCs w:val="20"/>
          <w:lang w:val="en-US"/>
        </w:rPr>
        <w:t xml:space="preserve">, </w:t>
      </w:r>
      <w:r w:rsidR="001E6AFE">
        <w:rPr>
          <w:rFonts w:ascii="Verdana" w:hAnsi="Verdana"/>
          <w:sz w:val="20"/>
          <w:szCs w:val="20"/>
          <w:lang w:val="en-US"/>
        </w:rPr>
        <w:t>u</w:t>
      </w:r>
      <w:r w:rsidR="00146E01" w:rsidRPr="00FE7BA7">
        <w:rPr>
          <w:rFonts w:ascii="Verdana" w:hAnsi="Verdana"/>
          <w:sz w:val="20"/>
          <w:szCs w:val="20"/>
          <w:lang w:val="en-US"/>
        </w:rPr>
        <w:t xml:space="preserve">nder which they </w:t>
      </w:r>
      <w:r w:rsidR="001E6AFE">
        <w:rPr>
          <w:rFonts w:ascii="Verdana" w:hAnsi="Verdana"/>
          <w:sz w:val="20"/>
          <w:szCs w:val="20"/>
          <w:lang w:val="en-US"/>
        </w:rPr>
        <w:t xml:space="preserve">had </w:t>
      </w:r>
      <w:r w:rsidR="00FE7BA7" w:rsidRPr="00FE7BA7">
        <w:rPr>
          <w:rFonts w:ascii="Verdana" w:hAnsi="Verdana"/>
          <w:sz w:val="20"/>
          <w:szCs w:val="20"/>
          <w:lang w:val="en-US"/>
        </w:rPr>
        <w:t>held</w:t>
      </w:r>
      <w:r w:rsidR="00146E01" w:rsidRPr="00FE7BA7">
        <w:rPr>
          <w:rFonts w:ascii="Verdana" w:hAnsi="Verdana"/>
          <w:sz w:val="20"/>
          <w:szCs w:val="20"/>
          <w:lang w:val="en-US"/>
        </w:rPr>
        <w:t xml:space="preserve"> meeting</w:t>
      </w:r>
      <w:r w:rsidR="00FE7BA7">
        <w:rPr>
          <w:rFonts w:ascii="Verdana" w:hAnsi="Verdana"/>
          <w:sz w:val="20"/>
          <w:szCs w:val="20"/>
          <w:lang w:val="en-US"/>
        </w:rPr>
        <w:t>s</w:t>
      </w:r>
      <w:r w:rsidR="00146E01" w:rsidRPr="00FE7BA7">
        <w:rPr>
          <w:rFonts w:ascii="Verdana" w:hAnsi="Verdana"/>
          <w:sz w:val="20"/>
          <w:szCs w:val="20"/>
          <w:lang w:val="en-US"/>
        </w:rPr>
        <w:t xml:space="preserve"> with authorities and filed complaints and petitions before different Ministries and State </w:t>
      </w:r>
      <w:r w:rsidR="00965219">
        <w:rPr>
          <w:rFonts w:ascii="Verdana" w:hAnsi="Verdana"/>
          <w:sz w:val="20"/>
          <w:szCs w:val="20"/>
          <w:lang w:val="en-US"/>
        </w:rPr>
        <w:t>officials</w:t>
      </w:r>
      <w:r w:rsidR="00146E01" w:rsidRPr="00FE7BA7">
        <w:rPr>
          <w:rFonts w:ascii="Verdana" w:hAnsi="Verdana"/>
          <w:sz w:val="20"/>
          <w:szCs w:val="20"/>
          <w:lang w:val="en-US"/>
        </w:rPr>
        <w:t xml:space="preserve">. However, they argued that the procedures were ineffective, because the State had not </w:t>
      </w:r>
      <w:r w:rsidR="00FE7BA7" w:rsidRPr="00FE7BA7">
        <w:rPr>
          <w:rFonts w:ascii="Verdana" w:hAnsi="Verdana"/>
          <w:sz w:val="20"/>
          <w:szCs w:val="20"/>
          <w:lang w:val="en-US"/>
        </w:rPr>
        <w:t>taken</w:t>
      </w:r>
      <w:r w:rsidR="00146E01" w:rsidRPr="00FE7BA7">
        <w:rPr>
          <w:rFonts w:ascii="Verdana" w:hAnsi="Verdana"/>
          <w:sz w:val="20"/>
          <w:szCs w:val="20"/>
          <w:lang w:val="en-US"/>
        </w:rPr>
        <w:t xml:space="preserve"> any concrete steps, in violation of the right to </w:t>
      </w:r>
      <w:r w:rsidR="00B257B6" w:rsidRPr="00FE7BA7">
        <w:rPr>
          <w:rFonts w:ascii="Verdana" w:hAnsi="Verdana"/>
          <w:sz w:val="20"/>
          <w:szCs w:val="20"/>
          <w:lang w:val="en-US"/>
        </w:rPr>
        <w:t>judicial protection</w:t>
      </w:r>
      <w:r w:rsidR="00146E01" w:rsidRPr="00FE7BA7">
        <w:rPr>
          <w:rFonts w:ascii="Verdana" w:hAnsi="Verdana"/>
          <w:sz w:val="20"/>
          <w:szCs w:val="20"/>
          <w:lang w:val="en-US"/>
        </w:rPr>
        <w:t>.</w:t>
      </w:r>
    </w:p>
    <w:p w14:paraId="63126A5F" w14:textId="77777777" w:rsidR="008A3876" w:rsidRPr="00FE7BA7" w:rsidRDefault="008A3876" w:rsidP="008A3876">
      <w:pPr>
        <w:tabs>
          <w:tab w:val="left" w:pos="450"/>
        </w:tabs>
        <w:jc w:val="both"/>
        <w:rPr>
          <w:rFonts w:ascii="Verdana" w:hAnsi="Verdana"/>
          <w:b/>
          <w:sz w:val="20"/>
          <w:szCs w:val="20"/>
          <w:lang w:val="en-US"/>
        </w:rPr>
      </w:pPr>
    </w:p>
    <w:p w14:paraId="63126A60" w14:textId="77777777" w:rsidR="008A3876" w:rsidRPr="00FE7BA7" w:rsidRDefault="00146E01"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Regarding</w:t>
      </w:r>
      <w:r w:rsidR="006671AA" w:rsidRPr="00FE7BA7">
        <w:rPr>
          <w:rFonts w:ascii="Verdana" w:hAnsi="Verdana"/>
          <w:sz w:val="20"/>
          <w:szCs w:val="20"/>
          <w:lang w:val="en-US"/>
        </w:rPr>
        <w:t xml:space="preserve"> the </w:t>
      </w:r>
      <w:r w:rsidR="00AB2117" w:rsidRPr="00FE7BA7">
        <w:rPr>
          <w:rFonts w:ascii="Verdana" w:hAnsi="Verdana"/>
          <w:sz w:val="20"/>
          <w:szCs w:val="20"/>
          <w:lang w:val="en-US"/>
        </w:rPr>
        <w:t>right of access to information</w:t>
      </w:r>
      <w:r w:rsidR="008A3876" w:rsidRPr="00FE7BA7">
        <w:rPr>
          <w:rFonts w:ascii="Verdana" w:hAnsi="Verdana"/>
          <w:sz w:val="20"/>
          <w:szCs w:val="20"/>
          <w:lang w:val="en-US"/>
        </w:rPr>
        <w:t>,</w:t>
      </w:r>
      <w:r w:rsidRPr="00FE7BA7">
        <w:rPr>
          <w:rFonts w:ascii="Verdana" w:hAnsi="Verdana"/>
          <w:sz w:val="20"/>
          <w:szCs w:val="20"/>
          <w:lang w:val="en-US"/>
        </w:rPr>
        <w:t xml:space="preserve"> in the brief they submitted to the </w:t>
      </w:r>
      <w:r w:rsidR="00965219">
        <w:rPr>
          <w:rFonts w:ascii="Verdana" w:hAnsi="Verdana"/>
          <w:sz w:val="20"/>
          <w:szCs w:val="20"/>
          <w:lang w:val="en-US"/>
        </w:rPr>
        <w:t>Commission on May 28, 2008, the representatives</w:t>
      </w:r>
      <w:r w:rsidRPr="00FE7BA7">
        <w:rPr>
          <w:rFonts w:ascii="Verdana" w:hAnsi="Verdana"/>
          <w:sz w:val="20"/>
          <w:szCs w:val="20"/>
          <w:lang w:val="en-US"/>
        </w:rPr>
        <w:t xml:space="preserve"> argued</w:t>
      </w:r>
      <w:r w:rsidR="00442D8E">
        <w:rPr>
          <w:rFonts w:ascii="Verdana" w:hAnsi="Verdana"/>
          <w:sz w:val="20"/>
          <w:szCs w:val="20"/>
          <w:lang w:val="en-US"/>
        </w:rPr>
        <w:t xml:space="preserve"> that the failure to provide </w:t>
      </w:r>
      <w:r w:rsidRPr="00FE7BA7">
        <w:rPr>
          <w:rFonts w:ascii="Verdana" w:hAnsi="Verdana"/>
          <w:sz w:val="20"/>
          <w:szCs w:val="20"/>
          <w:lang w:val="en-US"/>
        </w:rPr>
        <w:t xml:space="preserve">the information requested constituted a violation </w:t>
      </w:r>
      <w:r w:rsidR="00773D70" w:rsidRPr="00FE7BA7">
        <w:rPr>
          <w:rFonts w:ascii="Verdana" w:hAnsi="Verdana"/>
          <w:sz w:val="20"/>
          <w:szCs w:val="20"/>
          <w:lang w:val="en-US"/>
        </w:rPr>
        <w:t>of Article</w:t>
      </w:r>
      <w:r w:rsidR="008A3876" w:rsidRPr="00FE7BA7">
        <w:rPr>
          <w:rFonts w:ascii="Verdana" w:hAnsi="Verdana"/>
          <w:sz w:val="20"/>
          <w:szCs w:val="20"/>
          <w:lang w:val="en-US"/>
        </w:rPr>
        <w:t xml:space="preserve"> 13</w:t>
      </w:r>
      <w:r w:rsidR="002B5CCD" w:rsidRPr="00FE7BA7">
        <w:rPr>
          <w:rFonts w:ascii="Verdana" w:hAnsi="Verdana"/>
          <w:sz w:val="20"/>
          <w:szCs w:val="20"/>
          <w:lang w:val="en-US"/>
        </w:rPr>
        <w:t xml:space="preserve"> of the American Convention</w:t>
      </w:r>
      <w:r w:rsidRPr="00FE7BA7">
        <w:rPr>
          <w:rFonts w:ascii="Verdana" w:hAnsi="Verdana"/>
          <w:sz w:val="20"/>
          <w:szCs w:val="20"/>
          <w:lang w:val="en-US"/>
        </w:rPr>
        <w:t>.</w:t>
      </w:r>
      <w:r w:rsidR="008A3876" w:rsidRPr="00FE7BA7">
        <w:rPr>
          <w:rFonts w:ascii="Verdana" w:hAnsi="Verdana"/>
          <w:sz w:val="20"/>
          <w:szCs w:val="20"/>
          <w:lang w:val="en-US"/>
        </w:rPr>
        <w:t xml:space="preserve"> </w:t>
      </w:r>
      <w:r w:rsidRPr="00FE7BA7">
        <w:rPr>
          <w:rFonts w:ascii="Verdana" w:hAnsi="Verdana"/>
          <w:sz w:val="20"/>
          <w:szCs w:val="20"/>
          <w:lang w:val="en-US"/>
        </w:rPr>
        <w:t xml:space="preserve">However, before the Court, </w:t>
      </w:r>
      <w:r w:rsidR="00965219">
        <w:rPr>
          <w:rFonts w:ascii="Verdana" w:hAnsi="Verdana"/>
          <w:sz w:val="20"/>
          <w:szCs w:val="20"/>
          <w:lang w:val="en-US"/>
        </w:rPr>
        <w:t xml:space="preserve">they </w:t>
      </w:r>
      <w:r w:rsidRPr="00FE7BA7">
        <w:rPr>
          <w:rFonts w:ascii="Verdana" w:hAnsi="Verdana"/>
          <w:sz w:val="20"/>
          <w:szCs w:val="20"/>
          <w:lang w:val="en-US"/>
        </w:rPr>
        <w:t>did not request the declaration that this</w:t>
      </w:r>
      <w:r w:rsidR="008A3876" w:rsidRPr="00FE7BA7">
        <w:rPr>
          <w:rFonts w:ascii="Verdana" w:hAnsi="Verdana"/>
          <w:sz w:val="20"/>
          <w:szCs w:val="20"/>
          <w:lang w:val="en-US"/>
        </w:rPr>
        <w:t xml:space="preserve"> </w:t>
      </w:r>
      <w:r w:rsidRPr="00FE7BA7">
        <w:rPr>
          <w:rFonts w:ascii="Verdana" w:hAnsi="Verdana"/>
          <w:sz w:val="20"/>
          <w:szCs w:val="20"/>
          <w:lang w:val="en-US"/>
        </w:rPr>
        <w:t>a</w:t>
      </w:r>
      <w:r w:rsidR="00C34C52" w:rsidRPr="00FE7BA7">
        <w:rPr>
          <w:rFonts w:ascii="Verdana" w:hAnsi="Verdana"/>
          <w:sz w:val="20"/>
          <w:szCs w:val="20"/>
          <w:lang w:val="en-US"/>
        </w:rPr>
        <w:t>rticle</w:t>
      </w:r>
      <w:r w:rsidRPr="00FE7BA7">
        <w:rPr>
          <w:rFonts w:ascii="Verdana" w:hAnsi="Verdana"/>
          <w:sz w:val="20"/>
          <w:szCs w:val="20"/>
          <w:lang w:val="en-US"/>
        </w:rPr>
        <w:t xml:space="preserve"> had been violated; rather they argued these facts in relation to violations of </w:t>
      </w:r>
      <w:r w:rsidR="002B5CCD" w:rsidRPr="00FE7BA7">
        <w:rPr>
          <w:rFonts w:ascii="Verdana" w:hAnsi="Verdana"/>
          <w:sz w:val="20"/>
          <w:szCs w:val="20"/>
          <w:lang w:val="en-US"/>
        </w:rPr>
        <w:t>Articles</w:t>
      </w:r>
      <w:r w:rsidR="008A3876" w:rsidRPr="00FE7BA7">
        <w:rPr>
          <w:rFonts w:ascii="Verdana" w:hAnsi="Verdana"/>
          <w:sz w:val="20"/>
          <w:szCs w:val="20"/>
          <w:lang w:val="en-US"/>
        </w:rPr>
        <w:t xml:space="preserve"> 3, 21,</w:t>
      </w:r>
      <w:r w:rsidR="002B5CCD" w:rsidRPr="00FE7BA7">
        <w:rPr>
          <w:rFonts w:ascii="Verdana" w:hAnsi="Verdana"/>
          <w:sz w:val="20"/>
          <w:szCs w:val="20"/>
          <w:lang w:val="en-US"/>
        </w:rPr>
        <w:t xml:space="preserve"> and </w:t>
      </w:r>
      <w:r w:rsidR="008A3876" w:rsidRPr="00FE7BA7">
        <w:rPr>
          <w:rFonts w:ascii="Verdana" w:hAnsi="Verdana"/>
          <w:sz w:val="20"/>
          <w:szCs w:val="20"/>
          <w:lang w:val="en-US"/>
        </w:rPr>
        <w:t>25</w:t>
      </w:r>
      <w:r w:rsidR="002B5CCD" w:rsidRPr="00FE7BA7">
        <w:rPr>
          <w:rFonts w:ascii="Verdana" w:hAnsi="Verdana"/>
          <w:sz w:val="20"/>
          <w:szCs w:val="20"/>
          <w:lang w:val="en-US"/>
        </w:rPr>
        <w:t xml:space="preserve"> of the American Convention</w:t>
      </w:r>
      <w:r w:rsidR="008A3876" w:rsidRPr="00FE7BA7">
        <w:rPr>
          <w:rFonts w:ascii="Verdana" w:hAnsi="Verdana"/>
          <w:sz w:val="20"/>
          <w:szCs w:val="20"/>
          <w:lang w:val="en-US"/>
        </w:rPr>
        <w:t xml:space="preserve">, </w:t>
      </w:r>
      <w:r w:rsidRPr="00FE7BA7">
        <w:rPr>
          <w:rFonts w:ascii="Verdana" w:hAnsi="Verdana"/>
          <w:sz w:val="20"/>
          <w:szCs w:val="20"/>
          <w:lang w:val="en-US"/>
        </w:rPr>
        <w:t>together with</w:t>
      </w:r>
      <w:r w:rsidR="008A3876" w:rsidRPr="00FE7BA7">
        <w:rPr>
          <w:rFonts w:ascii="Verdana" w:hAnsi="Verdana"/>
          <w:sz w:val="20"/>
          <w:szCs w:val="20"/>
          <w:lang w:val="en-US"/>
        </w:rPr>
        <w:t xml:space="preserve"> </w:t>
      </w:r>
      <w:r w:rsidR="002B5CCD" w:rsidRPr="00FE7BA7">
        <w:rPr>
          <w:rFonts w:ascii="Verdana" w:hAnsi="Verdana"/>
          <w:sz w:val="20"/>
          <w:szCs w:val="20"/>
          <w:lang w:val="en-US"/>
        </w:rPr>
        <w:t>Articles</w:t>
      </w:r>
      <w:r w:rsidR="008A3876" w:rsidRPr="00FE7BA7">
        <w:rPr>
          <w:rFonts w:ascii="Verdana" w:hAnsi="Verdana"/>
          <w:sz w:val="20"/>
          <w:szCs w:val="20"/>
          <w:lang w:val="en-US"/>
        </w:rPr>
        <w:t xml:space="preserve"> 1</w:t>
      </w:r>
      <w:r w:rsidR="002B5CCD" w:rsidRPr="00FE7BA7">
        <w:rPr>
          <w:rFonts w:ascii="Verdana" w:hAnsi="Verdana"/>
          <w:sz w:val="20"/>
          <w:szCs w:val="20"/>
          <w:lang w:val="en-US"/>
        </w:rPr>
        <w:t xml:space="preserve"> and </w:t>
      </w:r>
      <w:r w:rsidR="00773D70" w:rsidRPr="00FE7BA7">
        <w:rPr>
          <w:rFonts w:ascii="Verdana" w:hAnsi="Verdana"/>
          <w:sz w:val="20"/>
          <w:szCs w:val="20"/>
          <w:lang w:val="en-US"/>
        </w:rPr>
        <w:t>2 of this instrument</w:t>
      </w:r>
      <w:r w:rsidR="008A3876" w:rsidRPr="00FE7BA7">
        <w:rPr>
          <w:rFonts w:ascii="Verdana" w:hAnsi="Verdana"/>
          <w:sz w:val="20"/>
          <w:szCs w:val="20"/>
          <w:lang w:val="en-US"/>
        </w:rPr>
        <w:t xml:space="preserve">, </w:t>
      </w:r>
      <w:r w:rsidRPr="00FE7BA7">
        <w:rPr>
          <w:rFonts w:ascii="Verdana" w:hAnsi="Verdana"/>
          <w:sz w:val="20"/>
          <w:szCs w:val="20"/>
          <w:lang w:val="en-US"/>
        </w:rPr>
        <w:t>by</w:t>
      </w:r>
      <w:r w:rsidR="00810FAD" w:rsidRPr="00FE7BA7">
        <w:rPr>
          <w:rFonts w:ascii="Verdana" w:hAnsi="Verdana"/>
          <w:sz w:val="20"/>
          <w:szCs w:val="20"/>
          <w:lang w:val="en-US"/>
        </w:rPr>
        <w:t xml:space="preserve"> the </w:t>
      </w:r>
      <w:r w:rsidR="002B5CCD" w:rsidRPr="00FE7BA7">
        <w:rPr>
          <w:rFonts w:ascii="Verdana" w:hAnsi="Verdana"/>
          <w:sz w:val="20"/>
          <w:szCs w:val="20"/>
          <w:lang w:val="en-US"/>
        </w:rPr>
        <w:t>State</w:t>
      </w:r>
      <w:r w:rsidR="002F0F93" w:rsidRPr="00FE7BA7">
        <w:rPr>
          <w:rFonts w:ascii="Verdana" w:hAnsi="Verdana"/>
          <w:sz w:val="20"/>
          <w:szCs w:val="20"/>
          <w:lang w:val="en-US"/>
        </w:rPr>
        <w:t xml:space="preserve"> of Suriname</w:t>
      </w:r>
      <w:r w:rsidR="00CD3DC6" w:rsidRPr="00FE7BA7">
        <w:rPr>
          <w:rFonts w:ascii="Verdana" w:hAnsi="Verdana"/>
          <w:sz w:val="20"/>
          <w:szCs w:val="20"/>
          <w:lang w:val="en-US"/>
        </w:rPr>
        <w:t>.</w:t>
      </w:r>
      <w:r w:rsidR="008A3876" w:rsidRPr="00FE7BA7">
        <w:rPr>
          <w:rFonts w:ascii="Verdana" w:hAnsi="Verdana"/>
          <w:sz w:val="20"/>
          <w:szCs w:val="20"/>
          <w:lang w:val="en-US"/>
        </w:rPr>
        <w:t xml:space="preserve"> </w:t>
      </w:r>
    </w:p>
    <w:p w14:paraId="63126A61" w14:textId="77777777" w:rsidR="008A3876" w:rsidRPr="00FE7BA7" w:rsidRDefault="008A3876" w:rsidP="008A3876">
      <w:pPr>
        <w:tabs>
          <w:tab w:val="left" w:pos="450"/>
        </w:tabs>
        <w:jc w:val="both"/>
        <w:rPr>
          <w:rFonts w:ascii="Verdana" w:hAnsi="Verdana"/>
          <w:b/>
          <w:sz w:val="20"/>
          <w:szCs w:val="20"/>
          <w:lang w:val="en-US"/>
        </w:rPr>
      </w:pPr>
    </w:p>
    <w:p w14:paraId="63126A62" w14:textId="77777777" w:rsidR="008A3876" w:rsidRPr="00FE7BA7" w:rsidRDefault="002B5CCD"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State</w:t>
      </w:r>
      <w:r w:rsidR="008A3876" w:rsidRPr="00FE7BA7">
        <w:rPr>
          <w:rFonts w:ascii="Verdana" w:hAnsi="Verdana"/>
          <w:sz w:val="20"/>
          <w:szCs w:val="20"/>
          <w:lang w:val="en-US"/>
        </w:rPr>
        <w:t xml:space="preserve"> </w:t>
      </w:r>
      <w:r w:rsidR="00146E01" w:rsidRPr="00FE7BA7">
        <w:rPr>
          <w:rFonts w:ascii="Verdana" w:hAnsi="Verdana"/>
          <w:sz w:val="20"/>
          <w:szCs w:val="20"/>
          <w:lang w:val="en-US"/>
        </w:rPr>
        <w:t>did not refer to the alleged violation of the right to</w:t>
      </w:r>
      <w:r w:rsidR="008A3876" w:rsidRPr="00FE7BA7">
        <w:rPr>
          <w:rFonts w:ascii="Verdana" w:hAnsi="Verdana"/>
          <w:sz w:val="20"/>
          <w:szCs w:val="20"/>
          <w:lang w:val="en-US"/>
        </w:rPr>
        <w:t xml:space="preserve"> </w:t>
      </w:r>
      <w:r w:rsidR="00B257B6" w:rsidRPr="00FE7BA7">
        <w:rPr>
          <w:rFonts w:ascii="Verdana" w:hAnsi="Verdana"/>
          <w:sz w:val="20"/>
          <w:szCs w:val="20"/>
          <w:lang w:val="en-US"/>
        </w:rPr>
        <w:t>judicial protection</w:t>
      </w:r>
      <w:r w:rsidR="008A3876" w:rsidRPr="00FE7BA7">
        <w:rPr>
          <w:rFonts w:ascii="Verdana" w:hAnsi="Verdana"/>
          <w:sz w:val="20"/>
          <w:szCs w:val="20"/>
          <w:lang w:val="en-US"/>
        </w:rPr>
        <w:t xml:space="preserve">. </w:t>
      </w:r>
      <w:r w:rsidR="00146E01" w:rsidRPr="00FE7BA7">
        <w:rPr>
          <w:rFonts w:ascii="Verdana" w:hAnsi="Verdana"/>
          <w:sz w:val="20"/>
          <w:szCs w:val="20"/>
          <w:lang w:val="en-US"/>
        </w:rPr>
        <w:t xml:space="preserve">However, </w:t>
      </w:r>
      <w:r w:rsidR="00FD14B3" w:rsidRPr="00FE7BA7">
        <w:rPr>
          <w:rFonts w:ascii="Verdana" w:hAnsi="Verdana"/>
          <w:sz w:val="20"/>
          <w:szCs w:val="20"/>
          <w:lang w:val="en-US"/>
        </w:rPr>
        <w:t xml:space="preserve">during </w:t>
      </w:r>
      <w:r w:rsidR="00D16DA7" w:rsidRPr="00FE7BA7">
        <w:rPr>
          <w:rFonts w:ascii="Verdana" w:hAnsi="Verdana"/>
          <w:sz w:val="20"/>
          <w:szCs w:val="20"/>
          <w:lang w:val="en-US"/>
        </w:rPr>
        <w:t>the visit</w:t>
      </w:r>
      <w:r w:rsidR="00146E01" w:rsidRPr="00FE7BA7">
        <w:rPr>
          <w:rFonts w:ascii="Verdana" w:hAnsi="Verdana"/>
          <w:sz w:val="20"/>
          <w:szCs w:val="20"/>
          <w:lang w:val="en-US"/>
        </w:rPr>
        <w:t xml:space="preserve"> made to</w:t>
      </w:r>
      <w:r w:rsidR="008A3876" w:rsidRPr="00FE7BA7">
        <w:rPr>
          <w:rFonts w:ascii="Verdana" w:hAnsi="Verdana"/>
          <w:sz w:val="20"/>
          <w:szCs w:val="20"/>
          <w:lang w:val="en-US"/>
        </w:rPr>
        <w:t xml:space="preserve"> </w:t>
      </w:r>
      <w:r w:rsidR="00146E01" w:rsidRPr="00FE7BA7">
        <w:rPr>
          <w:rFonts w:ascii="Verdana" w:hAnsi="Verdana"/>
          <w:sz w:val="20"/>
          <w:szCs w:val="20"/>
          <w:lang w:val="en-US"/>
        </w:rPr>
        <w:t>the National Assembly</w:t>
      </w:r>
      <w:r w:rsidR="008A3876" w:rsidRPr="00FE7BA7">
        <w:rPr>
          <w:rFonts w:ascii="Verdana" w:hAnsi="Verdana"/>
          <w:sz w:val="20"/>
          <w:szCs w:val="20"/>
          <w:lang w:val="en-US"/>
        </w:rPr>
        <w:t xml:space="preserve"> </w:t>
      </w:r>
      <w:r w:rsidR="00146E01" w:rsidRPr="00FE7BA7">
        <w:rPr>
          <w:rFonts w:ascii="Verdana" w:hAnsi="Verdana"/>
          <w:sz w:val="20"/>
          <w:szCs w:val="20"/>
          <w:lang w:val="en-US"/>
        </w:rPr>
        <w:t xml:space="preserve">as part of the on-site procedure, the National Assembly spokesperson indicated that the Decree </w:t>
      </w:r>
      <w:r w:rsidR="000142D3" w:rsidRPr="00FE7BA7">
        <w:rPr>
          <w:rFonts w:ascii="Verdana" w:hAnsi="Verdana"/>
          <w:sz w:val="20"/>
          <w:szCs w:val="20"/>
          <w:lang w:val="en-US"/>
        </w:rPr>
        <w:t>Granting</w:t>
      </w:r>
      <w:r w:rsidR="00146E01" w:rsidRPr="00FE7BA7">
        <w:rPr>
          <w:rFonts w:ascii="Verdana" w:hAnsi="Verdana"/>
          <w:sz w:val="20"/>
          <w:szCs w:val="20"/>
          <w:lang w:val="en-US"/>
        </w:rPr>
        <w:t xml:space="preserve"> State-owned Land</w:t>
      </w:r>
      <w:r w:rsidR="000142D3" w:rsidRPr="00FE7BA7">
        <w:rPr>
          <w:rFonts w:ascii="Verdana" w:hAnsi="Verdana"/>
          <w:sz w:val="20"/>
          <w:szCs w:val="20"/>
          <w:lang w:val="en-US"/>
        </w:rPr>
        <w:t xml:space="preserve"> of June 15, 1982, kn</w:t>
      </w:r>
      <w:r w:rsidR="00442D8E">
        <w:rPr>
          <w:rFonts w:ascii="Verdana" w:hAnsi="Verdana"/>
          <w:sz w:val="20"/>
          <w:szCs w:val="20"/>
          <w:lang w:val="en-US"/>
        </w:rPr>
        <w:t>own as the “L-Decree” recognized</w:t>
      </w:r>
      <w:r w:rsidR="000142D3" w:rsidRPr="00FE7BA7">
        <w:rPr>
          <w:rFonts w:ascii="Verdana" w:hAnsi="Verdana"/>
          <w:sz w:val="20"/>
          <w:szCs w:val="20"/>
          <w:lang w:val="en-US"/>
        </w:rPr>
        <w:t xml:space="preserve"> the rights </w:t>
      </w:r>
      <w:r w:rsidR="00BD40EF" w:rsidRPr="00FE7BA7">
        <w:rPr>
          <w:rFonts w:ascii="Verdana" w:hAnsi="Verdana"/>
          <w:sz w:val="20"/>
          <w:szCs w:val="20"/>
          <w:lang w:val="en-US"/>
        </w:rPr>
        <w:t>of the indigenous peoples</w:t>
      </w:r>
      <w:r w:rsidR="000142D3" w:rsidRPr="00FE7BA7">
        <w:rPr>
          <w:rFonts w:ascii="Verdana" w:hAnsi="Verdana"/>
          <w:sz w:val="20"/>
          <w:szCs w:val="20"/>
          <w:lang w:val="en-US"/>
        </w:rPr>
        <w:t xml:space="preserve"> to some extent and that, in the practice, thei</w:t>
      </w:r>
      <w:r w:rsidR="00442D8E">
        <w:rPr>
          <w:rFonts w:ascii="Verdana" w:hAnsi="Verdana"/>
          <w:sz w:val="20"/>
          <w:szCs w:val="20"/>
          <w:lang w:val="en-US"/>
        </w:rPr>
        <w:t>r right to collective property was</w:t>
      </w:r>
      <w:r w:rsidR="000142D3" w:rsidRPr="00FE7BA7">
        <w:rPr>
          <w:rFonts w:ascii="Verdana" w:hAnsi="Verdana"/>
          <w:sz w:val="20"/>
          <w:szCs w:val="20"/>
          <w:lang w:val="en-US"/>
        </w:rPr>
        <w:t xml:space="preserve"> acknowledged.</w:t>
      </w:r>
    </w:p>
    <w:p w14:paraId="63126A63" w14:textId="77777777" w:rsidR="008A3876" w:rsidRPr="00FE7BA7" w:rsidRDefault="008A3876" w:rsidP="008A3876">
      <w:pPr>
        <w:jc w:val="both"/>
        <w:rPr>
          <w:rFonts w:ascii="Verdana" w:hAnsi="Verdana"/>
          <w:sz w:val="20"/>
          <w:szCs w:val="20"/>
          <w:lang w:val="en-US"/>
        </w:rPr>
      </w:pPr>
    </w:p>
    <w:p w14:paraId="63126A64" w14:textId="77777777" w:rsidR="008A3876" w:rsidRPr="00FE7BA7" w:rsidRDefault="002B5CCD"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State</w:t>
      </w:r>
      <w:r w:rsidR="008A3876" w:rsidRPr="00FE7BA7">
        <w:rPr>
          <w:rFonts w:ascii="Verdana" w:hAnsi="Verdana"/>
          <w:sz w:val="20"/>
          <w:szCs w:val="20"/>
          <w:lang w:val="en-US"/>
        </w:rPr>
        <w:t xml:space="preserve"> </w:t>
      </w:r>
      <w:r w:rsidR="000142D3" w:rsidRPr="00FE7BA7">
        <w:rPr>
          <w:rFonts w:ascii="Verdana" w:hAnsi="Verdana"/>
          <w:sz w:val="20"/>
          <w:szCs w:val="20"/>
          <w:lang w:val="en-US"/>
        </w:rPr>
        <w:t xml:space="preserve">made no mention of the alleged violation </w:t>
      </w:r>
      <w:r w:rsidR="006671AA" w:rsidRPr="00FE7BA7">
        <w:rPr>
          <w:rFonts w:ascii="Verdana" w:hAnsi="Verdana"/>
          <w:sz w:val="20"/>
          <w:szCs w:val="20"/>
          <w:lang w:val="en-US"/>
        </w:rPr>
        <w:t xml:space="preserve">of the </w:t>
      </w:r>
      <w:r w:rsidR="00AB2117" w:rsidRPr="00FE7BA7">
        <w:rPr>
          <w:rFonts w:ascii="Verdana" w:hAnsi="Verdana"/>
          <w:sz w:val="20"/>
          <w:szCs w:val="20"/>
          <w:lang w:val="en-US"/>
        </w:rPr>
        <w:t>right of access to information</w:t>
      </w:r>
      <w:r w:rsidR="00FD14B3" w:rsidRPr="00FE7BA7">
        <w:rPr>
          <w:rFonts w:ascii="Verdana" w:hAnsi="Verdana"/>
          <w:sz w:val="20"/>
          <w:szCs w:val="20"/>
          <w:lang w:val="en-US"/>
        </w:rPr>
        <w:t xml:space="preserve"> during </w:t>
      </w:r>
      <w:r w:rsidR="000142D3" w:rsidRPr="00FE7BA7">
        <w:rPr>
          <w:rFonts w:ascii="Verdana" w:hAnsi="Verdana"/>
          <w:sz w:val="20"/>
          <w:szCs w:val="20"/>
          <w:lang w:val="en-US"/>
        </w:rPr>
        <w:t xml:space="preserve">the merits stage before </w:t>
      </w:r>
      <w:r w:rsidRPr="00FE7BA7">
        <w:rPr>
          <w:rFonts w:ascii="Verdana" w:hAnsi="Verdana"/>
          <w:sz w:val="20"/>
          <w:szCs w:val="20"/>
          <w:lang w:val="en-US"/>
        </w:rPr>
        <w:t>the Commission</w:t>
      </w:r>
      <w:r w:rsidR="008A3876" w:rsidRPr="00FE7BA7">
        <w:rPr>
          <w:rFonts w:ascii="Verdana" w:hAnsi="Verdana"/>
          <w:sz w:val="20"/>
          <w:szCs w:val="20"/>
          <w:lang w:val="en-US"/>
        </w:rPr>
        <w:t xml:space="preserve"> </w:t>
      </w:r>
      <w:r w:rsidRPr="00FE7BA7">
        <w:rPr>
          <w:rFonts w:ascii="Verdana" w:hAnsi="Verdana"/>
          <w:sz w:val="20"/>
          <w:szCs w:val="20"/>
          <w:lang w:val="en-US"/>
        </w:rPr>
        <w:t>and</w:t>
      </w:r>
      <w:r w:rsidR="000142D3" w:rsidRPr="00FE7BA7">
        <w:rPr>
          <w:rFonts w:ascii="Verdana" w:hAnsi="Verdana"/>
          <w:sz w:val="20"/>
          <w:szCs w:val="20"/>
          <w:lang w:val="en-US"/>
        </w:rPr>
        <w:t>,</w:t>
      </w:r>
      <w:r w:rsidRPr="00FE7BA7">
        <w:rPr>
          <w:rFonts w:ascii="Verdana" w:hAnsi="Verdana"/>
          <w:sz w:val="20"/>
          <w:szCs w:val="20"/>
          <w:lang w:val="en-US"/>
        </w:rPr>
        <w:t xml:space="preserve"> </w:t>
      </w:r>
      <w:r w:rsidR="00FD14B3" w:rsidRPr="00FE7BA7">
        <w:rPr>
          <w:rFonts w:ascii="Verdana" w:hAnsi="Verdana"/>
          <w:sz w:val="20"/>
          <w:szCs w:val="20"/>
          <w:lang w:val="en-US"/>
        </w:rPr>
        <w:t xml:space="preserve">during </w:t>
      </w:r>
      <w:r w:rsidR="003F59F5" w:rsidRPr="00FE7BA7">
        <w:rPr>
          <w:rFonts w:ascii="Verdana" w:hAnsi="Verdana"/>
          <w:sz w:val="20"/>
          <w:szCs w:val="20"/>
          <w:lang w:val="en-US"/>
        </w:rPr>
        <w:t>the on-site procedure</w:t>
      </w:r>
      <w:r w:rsidR="000142D3" w:rsidRPr="00FE7BA7">
        <w:rPr>
          <w:rFonts w:ascii="Verdana" w:hAnsi="Verdana"/>
          <w:sz w:val="20"/>
          <w:szCs w:val="20"/>
          <w:lang w:val="en-US"/>
        </w:rPr>
        <w:t xml:space="preserve">, argued that access to </w:t>
      </w:r>
      <w:r w:rsidR="000142D3" w:rsidRPr="00442D8E">
        <w:rPr>
          <w:rFonts w:ascii="Verdana" w:hAnsi="Verdana"/>
          <w:sz w:val="20"/>
          <w:szCs w:val="20"/>
          <w:lang w:val="en-US"/>
        </w:rPr>
        <w:t>public records was not denied</w:t>
      </w:r>
      <w:r w:rsidR="000142D3" w:rsidRPr="00FE7BA7">
        <w:rPr>
          <w:rFonts w:ascii="Verdana" w:hAnsi="Verdana"/>
          <w:sz w:val="20"/>
          <w:szCs w:val="20"/>
          <w:lang w:val="en-US"/>
        </w:rPr>
        <w:t xml:space="preserve"> in Suriname</w:t>
      </w:r>
      <w:r w:rsidR="00E5489C" w:rsidRPr="00FE7BA7">
        <w:rPr>
          <w:rFonts w:ascii="Verdana" w:hAnsi="Verdana"/>
          <w:sz w:val="20"/>
          <w:szCs w:val="20"/>
          <w:lang w:val="en-US"/>
        </w:rPr>
        <w:t>.</w:t>
      </w:r>
    </w:p>
    <w:p w14:paraId="63126A65" w14:textId="77777777" w:rsidR="008A3876" w:rsidRPr="00FE7BA7" w:rsidRDefault="008A3876" w:rsidP="008A3876">
      <w:pPr>
        <w:jc w:val="both"/>
        <w:rPr>
          <w:rFonts w:ascii="Verdana" w:hAnsi="Verdana"/>
          <w:sz w:val="20"/>
          <w:szCs w:val="20"/>
          <w:lang w:val="en-US"/>
        </w:rPr>
      </w:pPr>
    </w:p>
    <w:p w14:paraId="63126A66" w14:textId="77777777" w:rsidR="008A3876" w:rsidRPr="00FE7BA7" w:rsidRDefault="00C34C52" w:rsidP="008A3876">
      <w:pPr>
        <w:pStyle w:val="Heading2"/>
        <w:numPr>
          <w:ilvl w:val="0"/>
          <w:numId w:val="34"/>
        </w:numPr>
        <w:spacing w:before="0"/>
        <w:jc w:val="both"/>
        <w:rPr>
          <w:rFonts w:ascii="Verdana" w:hAnsi="Verdana"/>
          <w:b w:val="0"/>
          <w:sz w:val="20"/>
          <w:szCs w:val="20"/>
          <w:lang w:val="en-US"/>
        </w:rPr>
      </w:pPr>
      <w:bookmarkStart w:id="62" w:name="_Toc441673220"/>
      <w:r w:rsidRPr="00FE7BA7">
        <w:rPr>
          <w:rFonts w:ascii="Verdana" w:hAnsi="Verdana"/>
          <w:bCs w:val="0"/>
          <w:i/>
          <w:color w:val="auto"/>
          <w:sz w:val="20"/>
          <w:szCs w:val="20"/>
          <w:lang w:val="en-US"/>
        </w:rPr>
        <w:t>Considerations</w:t>
      </w:r>
      <w:r w:rsidR="002B5CCD" w:rsidRPr="00FE7BA7">
        <w:rPr>
          <w:rFonts w:ascii="Verdana" w:hAnsi="Verdana"/>
          <w:bCs w:val="0"/>
          <w:i/>
          <w:color w:val="auto"/>
          <w:sz w:val="20"/>
          <w:szCs w:val="20"/>
          <w:lang w:val="en-US"/>
        </w:rPr>
        <w:t xml:space="preserve"> of the Court</w:t>
      </w:r>
      <w:bookmarkEnd w:id="62"/>
    </w:p>
    <w:p w14:paraId="63126A67" w14:textId="77777777" w:rsidR="008A3876" w:rsidRPr="00FE7BA7" w:rsidRDefault="008A3876" w:rsidP="008A3876">
      <w:pPr>
        <w:jc w:val="both"/>
        <w:rPr>
          <w:rFonts w:ascii="Verdana" w:hAnsi="Verdana"/>
          <w:sz w:val="20"/>
          <w:szCs w:val="20"/>
          <w:lang w:val="en-US"/>
        </w:rPr>
      </w:pPr>
    </w:p>
    <w:p w14:paraId="63126A68" w14:textId="77777777" w:rsidR="008A3876" w:rsidRPr="00FE7BA7" w:rsidRDefault="002B5CCD"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eastAsia="es-ES"/>
        </w:rPr>
        <w:t>The Court</w:t>
      </w:r>
      <w:r w:rsidR="008A3876" w:rsidRPr="00FE7BA7">
        <w:rPr>
          <w:rFonts w:ascii="Verdana" w:hAnsi="Verdana"/>
          <w:sz w:val="20"/>
          <w:szCs w:val="20"/>
          <w:lang w:val="en-US" w:eastAsia="es-ES"/>
        </w:rPr>
        <w:t xml:space="preserve"> ha</w:t>
      </w:r>
      <w:r w:rsidR="000142D3" w:rsidRPr="00FE7BA7">
        <w:rPr>
          <w:rFonts w:ascii="Verdana" w:hAnsi="Verdana"/>
          <w:sz w:val="20"/>
          <w:szCs w:val="20"/>
          <w:lang w:val="en-US" w:eastAsia="es-ES"/>
        </w:rPr>
        <w:t xml:space="preserve">s stated repeatedly that States Parties are obliged to provide effective judicial remedies to the victims of human rights violations </w:t>
      </w:r>
      <w:r w:rsidR="008A3876" w:rsidRPr="00FE7BA7">
        <w:rPr>
          <w:rFonts w:ascii="Verdana" w:hAnsi="Verdana"/>
          <w:sz w:val="20"/>
          <w:szCs w:val="20"/>
          <w:lang w:val="en-US" w:eastAsia="es-ES"/>
        </w:rPr>
        <w:t>(</w:t>
      </w:r>
      <w:r w:rsidR="00C34C52" w:rsidRPr="00FE7BA7">
        <w:rPr>
          <w:rFonts w:ascii="Verdana" w:hAnsi="Verdana"/>
          <w:sz w:val="20"/>
          <w:szCs w:val="20"/>
          <w:lang w:val="en-US" w:eastAsia="es-ES"/>
        </w:rPr>
        <w:t>Article</w:t>
      </w:r>
      <w:r w:rsidR="008A3876" w:rsidRPr="00FE7BA7">
        <w:rPr>
          <w:rFonts w:ascii="Verdana" w:hAnsi="Verdana"/>
          <w:sz w:val="20"/>
          <w:szCs w:val="20"/>
          <w:lang w:val="en-US" w:eastAsia="es-ES"/>
        </w:rPr>
        <w:t xml:space="preserve"> 25), </w:t>
      </w:r>
      <w:r w:rsidR="000142D3" w:rsidRPr="00FE7BA7">
        <w:rPr>
          <w:rFonts w:ascii="Verdana" w:hAnsi="Verdana"/>
          <w:sz w:val="20"/>
          <w:szCs w:val="20"/>
          <w:lang w:val="en-US" w:eastAsia="es-ES"/>
        </w:rPr>
        <w:t xml:space="preserve">and these must be substantiated in accordance with the rules of due process of law </w:t>
      </w:r>
      <w:r w:rsidR="008A3876" w:rsidRPr="00FE7BA7">
        <w:rPr>
          <w:rFonts w:ascii="Verdana" w:hAnsi="Verdana"/>
          <w:sz w:val="20"/>
          <w:szCs w:val="20"/>
          <w:lang w:val="en-US" w:eastAsia="es-ES"/>
        </w:rPr>
        <w:t>(</w:t>
      </w:r>
      <w:r w:rsidR="00C34C52" w:rsidRPr="00FE7BA7">
        <w:rPr>
          <w:rFonts w:ascii="Verdana" w:hAnsi="Verdana"/>
          <w:sz w:val="20"/>
          <w:szCs w:val="20"/>
          <w:lang w:val="en-US" w:eastAsia="es-ES"/>
        </w:rPr>
        <w:t>Article</w:t>
      </w:r>
      <w:r w:rsidR="008A3876" w:rsidRPr="00FE7BA7">
        <w:rPr>
          <w:rFonts w:ascii="Verdana" w:hAnsi="Verdana"/>
          <w:sz w:val="20"/>
          <w:szCs w:val="20"/>
          <w:lang w:val="en-US" w:eastAsia="es-ES"/>
        </w:rPr>
        <w:t xml:space="preserve"> </w:t>
      </w:r>
      <w:r w:rsidR="000142D3" w:rsidRPr="00FE7BA7">
        <w:rPr>
          <w:rFonts w:ascii="Verdana" w:hAnsi="Verdana"/>
          <w:sz w:val="20"/>
          <w:szCs w:val="20"/>
          <w:lang w:val="en-US" w:eastAsia="es-ES"/>
        </w:rPr>
        <w:t>8(1)</w:t>
      </w:r>
      <w:r w:rsidR="008A3876" w:rsidRPr="00FE7BA7">
        <w:rPr>
          <w:rFonts w:ascii="Verdana" w:hAnsi="Verdana"/>
          <w:sz w:val="20"/>
          <w:szCs w:val="20"/>
          <w:lang w:val="en-US" w:eastAsia="es-ES"/>
        </w:rPr>
        <w:t xml:space="preserve">), </w:t>
      </w:r>
      <w:r w:rsidR="000142D3" w:rsidRPr="00FE7BA7">
        <w:rPr>
          <w:rFonts w:ascii="Verdana" w:hAnsi="Verdana"/>
          <w:sz w:val="20"/>
          <w:szCs w:val="20"/>
          <w:lang w:val="en-US" w:eastAsia="es-ES"/>
        </w:rPr>
        <w:t xml:space="preserve">under the general State obligation to ensure to all persons subject to their jurisdiction the free and full exercise of the rights recognized by </w:t>
      </w:r>
      <w:r w:rsidRPr="00FE7BA7">
        <w:rPr>
          <w:rFonts w:ascii="Verdana" w:hAnsi="Verdana"/>
          <w:sz w:val="20"/>
          <w:szCs w:val="20"/>
          <w:lang w:val="en-US" w:eastAsia="es-ES"/>
        </w:rPr>
        <w:t>the Convention</w:t>
      </w:r>
      <w:r w:rsidR="008A3876" w:rsidRPr="00FE7BA7">
        <w:rPr>
          <w:rFonts w:ascii="Verdana" w:hAnsi="Verdana"/>
          <w:sz w:val="20"/>
          <w:szCs w:val="20"/>
          <w:lang w:val="en-US" w:eastAsia="es-ES"/>
        </w:rPr>
        <w:t xml:space="preserve"> (</w:t>
      </w:r>
      <w:r w:rsidR="00C34C52" w:rsidRPr="00FE7BA7">
        <w:rPr>
          <w:rFonts w:ascii="Verdana" w:hAnsi="Verdana"/>
          <w:sz w:val="20"/>
          <w:szCs w:val="20"/>
          <w:lang w:val="en-US" w:eastAsia="es-ES"/>
        </w:rPr>
        <w:t>Article</w:t>
      </w:r>
      <w:r w:rsidR="008A3876" w:rsidRPr="00FE7BA7">
        <w:rPr>
          <w:rFonts w:ascii="Verdana" w:hAnsi="Verdana"/>
          <w:sz w:val="20"/>
          <w:szCs w:val="20"/>
          <w:lang w:val="en-US" w:eastAsia="es-ES"/>
        </w:rPr>
        <w:t xml:space="preserve"> </w:t>
      </w:r>
      <w:r w:rsidR="00C34C52" w:rsidRPr="00FE7BA7">
        <w:rPr>
          <w:rFonts w:ascii="Verdana" w:hAnsi="Verdana"/>
          <w:sz w:val="20"/>
          <w:szCs w:val="20"/>
          <w:lang w:val="en-US" w:eastAsia="es-ES"/>
        </w:rPr>
        <w:t>1(1)</w:t>
      </w:r>
      <w:r w:rsidR="008A3876" w:rsidRPr="00FE7BA7">
        <w:rPr>
          <w:rFonts w:ascii="Verdana" w:hAnsi="Verdana"/>
          <w:sz w:val="20"/>
          <w:szCs w:val="20"/>
          <w:lang w:val="en-US" w:eastAsia="es-ES"/>
        </w:rPr>
        <w:t>)</w:t>
      </w:r>
      <w:r w:rsidR="000142D3" w:rsidRPr="00FE7BA7">
        <w:rPr>
          <w:rFonts w:ascii="Verdana" w:hAnsi="Verdana"/>
          <w:sz w:val="20"/>
          <w:szCs w:val="20"/>
          <w:lang w:val="en-US" w:eastAsia="es-ES"/>
        </w:rPr>
        <w:t>.</w:t>
      </w:r>
      <w:r w:rsidR="008A3876" w:rsidRPr="00FE7BA7">
        <w:rPr>
          <w:rStyle w:val="FootnoteReference"/>
          <w:szCs w:val="20"/>
          <w:lang w:val="en-US" w:eastAsia="es-ES"/>
        </w:rPr>
        <w:footnoteReference w:id="267"/>
      </w:r>
      <w:r w:rsidR="000142D3" w:rsidRPr="00FE7BA7">
        <w:rPr>
          <w:rFonts w:ascii="Verdana" w:hAnsi="Verdana"/>
          <w:sz w:val="20"/>
          <w:szCs w:val="20"/>
          <w:lang w:val="en-US" w:eastAsia="es-ES"/>
        </w:rPr>
        <w:t xml:space="preserve"> The inexistence of an effective remedy for the violations of the rights recognized in </w:t>
      </w:r>
      <w:r w:rsidRPr="00FE7BA7">
        <w:rPr>
          <w:rFonts w:ascii="Verdana" w:hAnsi="Verdana"/>
          <w:sz w:val="20"/>
          <w:szCs w:val="20"/>
          <w:lang w:val="en-US"/>
        </w:rPr>
        <w:t>the Convention</w:t>
      </w:r>
      <w:r w:rsidR="008A3876" w:rsidRPr="00FE7BA7">
        <w:rPr>
          <w:rFonts w:ascii="Verdana" w:hAnsi="Verdana"/>
          <w:sz w:val="20"/>
          <w:szCs w:val="20"/>
          <w:lang w:val="en-US"/>
        </w:rPr>
        <w:t xml:space="preserve"> </w:t>
      </w:r>
      <w:r w:rsidR="000142D3" w:rsidRPr="00FE7BA7">
        <w:rPr>
          <w:rFonts w:ascii="Verdana" w:hAnsi="Verdana"/>
          <w:sz w:val="20"/>
          <w:szCs w:val="20"/>
          <w:lang w:val="en-US"/>
        </w:rPr>
        <w:t>entails a violation of the Convention by the State Party in which this situation occurs.</w:t>
      </w:r>
      <w:r w:rsidR="008A3876" w:rsidRPr="00FE7BA7">
        <w:rPr>
          <w:rStyle w:val="FootnoteReference"/>
          <w:szCs w:val="20"/>
          <w:lang w:val="en-US"/>
        </w:rPr>
        <w:footnoteReference w:id="268"/>
      </w:r>
    </w:p>
    <w:p w14:paraId="63126A69" w14:textId="77777777" w:rsidR="008A3876" w:rsidRPr="00FE7BA7" w:rsidRDefault="008A3876" w:rsidP="008A3876">
      <w:pPr>
        <w:pStyle w:val="ListParagraph"/>
        <w:tabs>
          <w:tab w:val="left" w:pos="567"/>
        </w:tabs>
        <w:ind w:left="0"/>
        <w:jc w:val="both"/>
        <w:rPr>
          <w:rFonts w:ascii="Verdana" w:hAnsi="Verdana"/>
          <w:sz w:val="20"/>
          <w:szCs w:val="20"/>
          <w:lang w:val="en-US"/>
        </w:rPr>
      </w:pPr>
    </w:p>
    <w:p w14:paraId="63126A6A" w14:textId="77777777" w:rsidR="008A3876" w:rsidRPr="00FE7BA7" w:rsidRDefault="000142D3"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The Court has also interpreted that the scope of the State obligation to provide a judicial remedy established in </w:t>
      </w:r>
      <w:r w:rsidR="00773D70" w:rsidRPr="00FE7BA7">
        <w:rPr>
          <w:rFonts w:ascii="Verdana" w:hAnsi="Verdana"/>
          <w:sz w:val="20"/>
          <w:szCs w:val="20"/>
          <w:lang w:val="en-US"/>
        </w:rPr>
        <w:t>Article</w:t>
      </w:r>
      <w:r w:rsidR="008A3876" w:rsidRPr="00FE7BA7">
        <w:rPr>
          <w:rFonts w:ascii="Verdana" w:hAnsi="Verdana"/>
          <w:sz w:val="20"/>
          <w:szCs w:val="20"/>
          <w:lang w:val="en-US"/>
        </w:rPr>
        <w:t xml:space="preserve"> 25</w:t>
      </w:r>
      <w:r w:rsidR="002B5CCD" w:rsidRPr="00FE7BA7">
        <w:rPr>
          <w:rFonts w:ascii="Verdana" w:hAnsi="Verdana"/>
          <w:sz w:val="20"/>
          <w:szCs w:val="20"/>
          <w:lang w:val="en-US"/>
        </w:rPr>
        <w:t xml:space="preserve"> of the Convention</w:t>
      </w:r>
      <w:r w:rsidRPr="00FE7BA7">
        <w:rPr>
          <w:rFonts w:ascii="Verdana" w:hAnsi="Verdana"/>
          <w:sz w:val="20"/>
          <w:szCs w:val="20"/>
          <w:lang w:val="en-US"/>
        </w:rPr>
        <w:t xml:space="preserve"> is not restricted to the mere existence of co</w:t>
      </w:r>
      <w:r w:rsidR="00442D8E">
        <w:rPr>
          <w:rFonts w:ascii="Verdana" w:hAnsi="Verdana"/>
          <w:sz w:val="20"/>
          <w:szCs w:val="20"/>
          <w:lang w:val="en-US"/>
        </w:rPr>
        <w:t>urts and formal proceedings; rather,</w:t>
      </w:r>
      <w:r w:rsidRPr="00FE7BA7">
        <w:rPr>
          <w:rFonts w:ascii="Verdana" w:hAnsi="Verdana"/>
          <w:sz w:val="20"/>
          <w:szCs w:val="20"/>
          <w:lang w:val="en-US"/>
        </w:rPr>
        <w:t xml:space="preserve"> the State must also take positive measures to ensure that such remedies are effective to decide whether there has been a human rights violation and, eventually, to provide redress.</w:t>
      </w:r>
      <w:r w:rsidR="008A3876" w:rsidRPr="00FE7BA7">
        <w:rPr>
          <w:rStyle w:val="FootnoteReference"/>
          <w:szCs w:val="20"/>
          <w:lang w:val="en-US"/>
        </w:rPr>
        <w:footnoteReference w:id="269"/>
      </w:r>
    </w:p>
    <w:p w14:paraId="63126A6B" w14:textId="77777777" w:rsidR="008A3876" w:rsidRPr="00FE7BA7" w:rsidRDefault="008A3876" w:rsidP="008A3876">
      <w:pPr>
        <w:pStyle w:val="ListParagraph"/>
        <w:ind w:left="0"/>
        <w:jc w:val="both"/>
        <w:rPr>
          <w:rFonts w:ascii="Verdana" w:hAnsi="Verdana"/>
          <w:sz w:val="20"/>
          <w:szCs w:val="20"/>
          <w:lang w:val="en-US"/>
        </w:rPr>
      </w:pPr>
    </w:p>
    <w:p w14:paraId="63126A6C" w14:textId="77777777" w:rsidR="008A3876" w:rsidRPr="00FE7BA7" w:rsidRDefault="000142D3" w:rsidP="000142D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Thus this article identifies two specific State obligations. The first is to legislate and ensure the due application by the competent authorities of effective remedies that protect all persons subject to their jurisdiction against acts that violate their fundamental rights or that lead to the determination of their rights and obligations. The second is to guarantee the means to execute the respective decisions and final judgments issued by those competent authorities so that the rights that have been declared or recognized are truly protected.</w:t>
      </w:r>
      <w:r w:rsidR="001A2884" w:rsidRPr="00FE7BA7">
        <w:rPr>
          <w:rFonts w:ascii="Verdana" w:hAnsi="Verdana"/>
          <w:sz w:val="20"/>
          <w:szCs w:val="20"/>
          <w:vertAlign w:val="superscript"/>
          <w:lang w:val="en-US"/>
        </w:rPr>
        <w:footnoteReference w:id="270"/>
      </w:r>
      <w:r w:rsidR="008A3876" w:rsidRPr="00FE7BA7">
        <w:rPr>
          <w:rFonts w:ascii="Verdana" w:hAnsi="Verdana"/>
          <w:sz w:val="20"/>
          <w:szCs w:val="20"/>
          <w:lang w:val="en-US"/>
        </w:rPr>
        <w:t xml:space="preserve"> </w:t>
      </w:r>
    </w:p>
    <w:p w14:paraId="63126A6D" w14:textId="77777777" w:rsidR="008A3876" w:rsidRPr="00FE7BA7" w:rsidRDefault="008A3876" w:rsidP="008A3876">
      <w:pPr>
        <w:pStyle w:val="ListParagraph"/>
        <w:tabs>
          <w:tab w:val="left" w:pos="567"/>
        </w:tabs>
        <w:ind w:left="0"/>
        <w:jc w:val="both"/>
        <w:rPr>
          <w:rFonts w:ascii="Verdana" w:hAnsi="Verdana"/>
          <w:sz w:val="20"/>
          <w:szCs w:val="20"/>
          <w:lang w:val="en-US"/>
        </w:rPr>
      </w:pPr>
    </w:p>
    <w:p w14:paraId="63126A6E" w14:textId="77777777" w:rsidR="008A3876" w:rsidRPr="00FE7BA7" w:rsidRDefault="000142D3"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As regards indigenous and tribal peoples, this Court’s case law has indicated that State</w:t>
      </w:r>
      <w:r w:rsidR="00BB118C">
        <w:rPr>
          <w:rFonts w:ascii="Verdana" w:hAnsi="Verdana"/>
          <w:sz w:val="20"/>
          <w:szCs w:val="20"/>
          <w:lang w:val="en-US"/>
        </w:rPr>
        <w:t>s</w:t>
      </w:r>
      <w:r w:rsidRPr="00FE7BA7">
        <w:rPr>
          <w:rFonts w:ascii="Verdana" w:hAnsi="Verdana"/>
          <w:sz w:val="20"/>
          <w:szCs w:val="20"/>
          <w:lang w:val="en-US"/>
        </w:rPr>
        <w:t xml:space="preserve"> have the obligation to esta</w:t>
      </w:r>
      <w:r w:rsidR="00BB118C">
        <w:rPr>
          <w:rFonts w:ascii="Verdana" w:hAnsi="Verdana"/>
          <w:sz w:val="20"/>
          <w:szCs w:val="20"/>
          <w:lang w:val="en-US"/>
        </w:rPr>
        <w:t>blish appropriate proceedings under</w:t>
      </w:r>
      <w:r w:rsidRPr="00FE7BA7">
        <w:rPr>
          <w:rFonts w:ascii="Verdana" w:hAnsi="Verdana"/>
          <w:sz w:val="20"/>
          <w:szCs w:val="20"/>
          <w:lang w:val="en-US"/>
        </w:rPr>
        <w:t xml:space="preserve"> their domestic laws to process the land claims </w:t>
      </w:r>
      <w:r w:rsidR="00BD40EF" w:rsidRPr="00FE7BA7">
        <w:rPr>
          <w:rFonts w:ascii="Verdana" w:eastAsia="Times New Roman" w:hAnsi="Verdana" w:cs="Arial"/>
          <w:sz w:val="20"/>
          <w:szCs w:val="20"/>
          <w:lang w:val="en-US" w:eastAsia="es-ES"/>
        </w:rPr>
        <w:t>of the indigenous peoples</w:t>
      </w:r>
      <w:r w:rsidR="008A3876" w:rsidRPr="00FE7BA7">
        <w:rPr>
          <w:rFonts w:ascii="Verdana" w:eastAsia="Times New Roman" w:hAnsi="Verdana" w:cs="Arial"/>
          <w:sz w:val="20"/>
          <w:szCs w:val="20"/>
          <w:lang w:val="en-US" w:eastAsia="es-ES"/>
        </w:rPr>
        <w:t xml:space="preserve"> </w:t>
      </w:r>
      <w:r w:rsidR="00BB118C">
        <w:rPr>
          <w:rFonts w:ascii="Verdana" w:eastAsia="Times New Roman" w:hAnsi="Verdana" w:cs="Arial"/>
          <w:sz w:val="20"/>
          <w:szCs w:val="20"/>
          <w:lang w:val="en-US" w:eastAsia="es-ES"/>
        </w:rPr>
        <w:t>as a result of</w:t>
      </w:r>
      <w:r w:rsidRPr="00FE7BA7">
        <w:rPr>
          <w:rFonts w:ascii="Verdana" w:eastAsia="Times New Roman" w:hAnsi="Verdana" w:cs="Arial"/>
          <w:sz w:val="20"/>
          <w:szCs w:val="20"/>
          <w:lang w:val="en-US" w:eastAsia="es-ES"/>
        </w:rPr>
        <w:t xml:space="preserve"> the general obligation to ensure rights established in </w:t>
      </w:r>
      <w:r w:rsidR="002B5CCD" w:rsidRPr="00FE7BA7">
        <w:rPr>
          <w:rFonts w:ascii="Verdana" w:eastAsia="Times New Roman" w:hAnsi="Verdana" w:cs="Arial"/>
          <w:sz w:val="20"/>
          <w:szCs w:val="20"/>
          <w:lang w:val="en-US" w:eastAsia="es-ES"/>
        </w:rPr>
        <w:t>Articles</w:t>
      </w:r>
      <w:r w:rsidR="008A3876" w:rsidRPr="00FE7BA7">
        <w:rPr>
          <w:rFonts w:ascii="Verdana" w:eastAsia="Times New Roman" w:hAnsi="Verdana" w:cs="Arial"/>
          <w:sz w:val="20"/>
          <w:szCs w:val="20"/>
          <w:lang w:val="en-US" w:eastAsia="es-ES"/>
        </w:rPr>
        <w:t xml:space="preserve"> 1</w:t>
      </w:r>
      <w:r w:rsidR="002B5CCD" w:rsidRPr="00FE7BA7">
        <w:rPr>
          <w:rFonts w:ascii="Verdana" w:eastAsia="Times New Roman" w:hAnsi="Verdana" w:cs="Arial"/>
          <w:sz w:val="20"/>
          <w:szCs w:val="20"/>
          <w:lang w:val="en-US" w:eastAsia="es-ES"/>
        </w:rPr>
        <w:t xml:space="preserve"> and </w:t>
      </w:r>
      <w:r w:rsidR="008A3876" w:rsidRPr="00FE7BA7">
        <w:rPr>
          <w:rFonts w:ascii="Verdana" w:eastAsia="Times New Roman" w:hAnsi="Verdana" w:cs="Arial"/>
          <w:sz w:val="20"/>
          <w:szCs w:val="20"/>
          <w:lang w:val="en-US" w:eastAsia="es-ES"/>
        </w:rPr>
        <w:t>2</w:t>
      </w:r>
      <w:r w:rsidR="002B5CCD" w:rsidRPr="00FE7BA7">
        <w:rPr>
          <w:rFonts w:ascii="Verdana" w:eastAsia="Times New Roman" w:hAnsi="Verdana" w:cs="Arial"/>
          <w:sz w:val="20"/>
          <w:szCs w:val="20"/>
          <w:lang w:val="en-US" w:eastAsia="es-ES"/>
        </w:rPr>
        <w:t xml:space="preserve"> of the Convention</w:t>
      </w:r>
      <w:r w:rsidRPr="00FE7BA7">
        <w:rPr>
          <w:rFonts w:ascii="Verdana" w:eastAsia="Times New Roman" w:hAnsi="Verdana" w:cs="Arial"/>
          <w:sz w:val="20"/>
          <w:szCs w:val="20"/>
          <w:lang w:val="en-US" w:eastAsia="es-ES"/>
        </w:rPr>
        <w:t>.</w:t>
      </w:r>
      <w:r w:rsidR="008A3876" w:rsidRPr="00FE7BA7">
        <w:rPr>
          <w:rStyle w:val="FootnoteReference"/>
          <w:rFonts w:eastAsia="Times New Roman"/>
          <w:szCs w:val="20"/>
          <w:lang w:val="en-US" w:eastAsia="es-ES"/>
        </w:rPr>
        <w:footnoteReference w:id="271"/>
      </w:r>
      <w:r w:rsidRPr="00FE7BA7">
        <w:rPr>
          <w:rFonts w:ascii="Verdana" w:eastAsia="Times New Roman" w:hAnsi="Verdana" w:cs="Arial"/>
          <w:sz w:val="20"/>
          <w:szCs w:val="20"/>
          <w:lang w:val="en-US" w:eastAsia="es-ES"/>
        </w:rPr>
        <w:t xml:space="preserve"> Thus, the remedies offered by the State should provide a real possibility</w:t>
      </w:r>
      <w:r w:rsidR="008A3876" w:rsidRPr="00FE7BA7">
        <w:rPr>
          <w:rStyle w:val="FootnoteReference"/>
          <w:szCs w:val="20"/>
          <w:lang w:val="en-US"/>
        </w:rPr>
        <w:footnoteReference w:id="272"/>
      </w:r>
      <w:r w:rsidR="008A3876" w:rsidRPr="00FE7BA7">
        <w:rPr>
          <w:rFonts w:ascii="Verdana" w:hAnsi="Verdana"/>
          <w:sz w:val="20"/>
          <w:szCs w:val="20"/>
          <w:lang w:val="en-US"/>
        </w:rPr>
        <w:t xml:space="preserve"> </w:t>
      </w:r>
      <w:r w:rsidRPr="00FE7BA7">
        <w:rPr>
          <w:rFonts w:ascii="Verdana" w:hAnsi="Verdana"/>
          <w:sz w:val="20"/>
          <w:szCs w:val="20"/>
          <w:lang w:val="en-US"/>
        </w:rPr>
        <w:t xml:space="preserve">for the indigenous and tribal </w:t>
      </w:r>
      <w:r w:rsidR="00FE7BA7" w:rsidRPr="00FE7BA7">
        <w:rPr>
          <w:rFonts w:ascii="Verdana" w:hAnsi="Verdana"/>
          <w:sz w:val="20"/>
          <w:szCs w:val="20"/>
          <w:lang w:val="en-US"/>
        </w:rPr>
        <w:t>communities</w:t>
      </w:r>
      <w:r w:rsidRPr="00FE7BA7">
        <w:rPr>
          <w:rFonts w:ascii="Verdana" w:hAnsi="Verdana"/>
          <w:sz w:val="20"/>
          <w:szCs w:val="20"/>
          <w:lang w:val="en-US"/>
        </w:rPr>
        <w:t xml:space="preserve"> to be able to defend their rights and exercise effective control over their territory.</w:t>
      </w:r>
      <w:r w:rsidR="008A3876" w:rsidRPr="00FE7BA7">
        <w:rPr>
          <w:rStyle w:val="FootnoteReference"/>
          <w:szCs w:val="20"/>
          <w:lang w:val="en-US"/>
        </w:rPr>
        <w:footnoteReference w:id="273"/>
      </w:r>
    </w:p>
    <w:p w14:paraId="63126A6F" w14:textId="77777777" w:rsidR="008A3876" w:rsidRPr="00FE7BA7" w:rsidRDefault="008A3876" w:rsidP="008A3876">
      <w:pPr>
        <w:pStyle w:val="ListParagraph"/>
        <w:ind w:left="0"/>
        <w:jc w:val="both"/>
        <w:rPr>
          <w:rFonts w:ascii="Verdana" w:hAnsi="Verdana"/>
          <w:spacing w:val="-2"/>
          <w:sz w:val="20"/>
          <w:szCs w:val="20"/>
          <w:lang w:val="en-US"/>
        </w:rPr>
      </w:pPr>
    </w:p>
    <w:p w14:paraId="63126A70" w14:textId="77777777" w:rsidR="008A3876" w:rsidRPr="00FE7BA7" w:rsidRDefault="000142D3" w:rsidP="008A3876">
      <w:pPr>
        <w:pStyle w:val="ListParagraph"/>
        <w:numPr>
          <w:ilvl w:val="0"/>
          <w:numId w:val="2"/>
        </w:numPr>
        <w:ind w:left="0" w:hanging="11"/>
        <w:jc w:val="both"/>
        <w:rPr>
          <w:rFonts w:ascii="Verdana" w:eastAsia="Times New Roman" w:hAnsi="Verdana" w:cs="Arial"/>
          <w:spacing w:val="-2"/>
          <w:sz w:val="20"/>
          <w:szCs w:val="20"/>
          <w:lang w:val="en-US" w:eastAsia="es-ES"/>
        </w:rPr>
      </w:pPr>
      <w:r w:rsidRPr="00FE7BA7">
        <w:rPr>
          <w:rFonts w:ascii="Verdana" w:hAnsi="Verdana"/>
          <w:spacing w:val="-2"/>
          <w:sz w:val="20"/>
          <w:szCs w:val="20"/>
          <w:lang w:val="en-US"/>
        </w:rPr>
        <w:t xml:space="preserve">Based </w:t>
      </w:r>
      <w:r w:rsidR="00BB118C">
        <w:rPr>
          <w:rFonts w:ascii="Verdana" w:hAnsi="Verdana"/>
          <w:spacing w:val="-2"/>
          <w:sz w:val="20"/>
          <w:szCs w:val="20"/>
          <w:lang w:val="en-US"/>
        </w:rPr>
        <w:t>on the above, the Court will now</w:t>
      </w:r>
      <w:r w:rsidRPr="00FE7BA7">
        <w:rPr>
          <w:rFonts w:ascii="Verdana" w:hAnsi="Verdana"/>
          <w:spacing w:val="-2"/>
          <w:sz w:val="20"/>
          <w:szCs w:val="20"/>
          <w:lang w:val="en-US"/>
        </w:rPr>
        <w:t xml:space="preserve"> examine the alleged violation </w:t>
      </w:r>
      <w:r w:rsidR="00773D70" w:rsidRPr="00FE7BA7">
        <w:rPr>
          <w:rFonts w:ascii="Verdana" w:hAnsi="Verdana"/>
          <w:spacing w:val="-2"/>
          <w:sz w:val="20"/>
          <w:szCs w:val="20"/>
          <w:lang w:val="en-US"/>
        </w:rPr>
        <w:t>of Article</w:t>
      </w:r>
      <w:r w:rsidR="008A3876" w:rsidRPr="00FE7BA7">
        <w:rPr>
          <w:rFonts w:ascii="Verdana" w:hAnsi="Verdana"/>
          <w:spacing w:val="-2"/>
          <w:sz w:val="20"/>
          <w:szCs w:val="20"/>
          <w:lang w:val="en-US"/>
        </w:rPr>
        <w:t xml:space="preserve"> 25</w:t>
      </w:r>
      <w:r w:rsidR="002B5CCD" w:rsidRPr="00FE7BA7">
        <w:rPr>
          <w:rFonts w:ascii="Verdana" w:hAnsi="Verdana"/>
          <w:spacing w:val="-2"/>
          <w:sz w:val="20"/>
          <w:szCs w:val="20"/>
          <w:lang w:val="en-US"/>
        </w:rPr>
        <w:t xml:space="preserve"> of the Convention</w:t>
      </w:r>
      <w:r w:rsidR="008A3876" w:rsidRPr="00FE7BA7">
        <w:rPr>
          <w:rFonts w:ascii="Verdana" w:hAnsi="Verdana"/>
          <w:spacing w:val="-2"/>
          <w:sz w:val="20"/>
          <w:szCs w:val="20"/>
          <w:lang w:val="en-US"/>
        </w:rPr>
        <w:t xml:space="preserve">, </w:t>
      </w:r>
      <w:r w:rsidR="00773D70" w:rsidRPr="00FE7BA7">
        <w:rPr>
          <w:rFonts w:ascii="Verdana" w:hAnsi="Verdana"/>
          <w:spacing w:val="-2"/>
          <w:sz w:val="20"/>
          <w:szCs w:val="20"/>
          <w:lang w:val="en-US"/>
        </w:rPr>
        <w:t>in relation to Article</w:t>
      </w:r>
      <w:r w:rsidRPr="00FE7BA7">
        <w:rPr>
          <w:rFonts w:ascii="Verdana" w:hAnsi="Verdana"/>
          <w:spacing w:val="-2"/>
          <w:sz w:val="20"/>
          <w:szCs w:val="20"/>
          <w:lang w:val="en-US"/>
        </w:rPr>
        <w:t>s</w:t>
      </w:r>
      <w:r w:rsidR="00773D70" w:rsidRPr="00FE7BA7">
        <w:rPr>
          <w:rFonts w:ascii="Verdana" w:hAnsi="Verdana"/>
          <w:spacing w:val="-2"/>
          <w:sz w:val="20"/>
          <w:szCs w:val="20"/>
          <w:lang w:val="en-US"/>
        </w:rPr>
        <w:t xml:space="preserve"> 1(1)</w:t>
      </w:r>
      <w:r w:rsidR="002B5CCD" w:rsidRPr="00FE7BA7">
        <w:rPr>
          <w:rFonts w:ascii="Verdana" w:hAnsi="Verdana"/>
          <w:spacing w:val="-2"/>
          <w:sz w:val="20"/>
          <w:szCs w:val="20"/>
          <w:lang w:val="en-US"/>
        </w:rPr>
        <w:t xml:space="preserve"> and </w:t>
      </w:r>
      <w:r w:rsidR="008A3876" w:rsidRPr="00FE7BA7">
        <w:rPr>
          <w:rFonts w:ascii="Verdana" w:hAnsi="Verdana"/>
          <w:spacing w:val="-2"/>
          <w:sz w:val="20"/>
          <w:szCs w:val="20"/>
          <w:lang w:val="en-US"/>
        </w:rPr>
        <w:t xml:space="preserve">2 </w:t>
      </w:r>
      <w:r w:rsidRPr="00FE7BA7">
        <w:rPr>
          <w:rFonts w:ascii="Verdana" w:hAnsi="Verdana"/>
          <w:spacing w:val="-2"/>
          <w:sz w:val="20"/>
          <w:szCs w:val="20"/>
          <w:lang w:val="en-US"/>
        </w:rPr>
        <w:t xml:space="preserve">of this instrument. To this end, it will assess: (a) the appropriate and effective remedies in the domestic laws to protect the rights </w:t>
      </w:r>
      <w:r w:rsidR="00511E56" w:rsidRPr="00FE7BA7">
        <w:rPr>
          <w:rFonts w:ascii="Verdana" w:eastAsia="Times New Roman" w:hAnsi="Verdana" w:cs="Arial"/>
          <w:sz w:val="20"/>
          <w:szCs w:val="20"/>
          <w:lang w:val="en-US" w:eastAsia="es-ES"/>
        </w:rPr>
        <w:t xml:space="preserve">of the </w:t>
      </w:r>
      <w:r w:rsidRPr="00FE7BA7">
        <w:rPr>
          <w:rFonts w:ascii="Verdana" w:eastAsia="Times New Roman" w:hAnsi="Verdana" w:cs="Arial"/>
          <w:sz w:val="20"/>
          <w:szCs w:val="20"/>
          <w:lang w:val="en-US" w:eastAsia="es-ES"/>
        </w:rPr>
        <w:t>indigenous and tribal peoples</w:t>
      </w:r>
      <w:r w:rsidR="00A149AA" w:rsidRPr="00FE7BA7">
        <w:rPr>
          <w:rFonts w:ascii="Verdana" w:eastAsia="Times New Roman" w:hAnsi="Verdana" w:cs="Arial"/>
          <w:sz w:val="20"/>
          <w:szCs w:val="20"/>
          <w:lang w:val="en-US" w:eastAsia="es-ES"/>
        </w:rPr>
        <w:t xml:space="preserve">; </w:t>
      </w:r>
      <w:r w:rsidRPr="00FE7BA7">
        <w:rPr>
          <w:rFonts w:ascii="Verdana" w:eastAsia="Times New Roman" w:hAnsi="Verdana" w:cs="Arial"/>
          <w:sz w:val="20"/>
          <w:szCs w:val="20"/>
          <w:lang w:val="en-US" w:eastAsia="es-ES"/>
        </w:rPr>
        <w:t>(</w:t>
      </w:r>
      <w:r w:rsidR="008A3876" w:rsidRPr="00FE7BA7">
        <w:rPr>
          <w:rFonts w:ascii="Verdana" w:eastAsia="Times New Roman" w:hAnsi="Verdana" w:cs="Arial"/>
          <w:sz w:val="20"/>
          <w:szCs w:val="20"/>
          <w:lang w:val="en-US" w:eastAsia="es-ES"/>
        </w:rPr>
        <w:t xml:space="preserve">b) </w:t>
      </w:r>
      <w:r w:rsidRPr="00FE7BA7">
        <w:rPr>
          <w:rFonts w:ascii="Verdana" w:eastAsia="Times New Roman" w:hAnsi="Verdana" w:cs="Arial"/>
          <w:sz w:val="20"/>
          <w:szCs w:val="20"/>
          <w:lang w:val="en-US" w:eastAsia="es-ES"/>
        </w:rPr>
        <w:t xml:space="preserve">the appropriateness and effectiveness of the petitions filed before the State authorities, and (c) </w:t>
      </w:r>
      <w:r w:rsidR="00AB2117" w:rsidRPr="00FE7BA7">
        <w:rPr>
          <w:rFonts w:ascii="Verdana" w:eastAsia="Times New Roman" w:hAnsi="Verdana" w:cs="Arial"/>
          <w:sz w:val="20"/>
          <w:szCs w:val="20"/>
          <w:lang w:val="en-US" w:eastAsia="es-ES"/>
        </w:rPr>
        <w:t>the right of access to information</w:t>
      </w:r>
      <w:r w:rsidR="00A149AA" w:rsidRPr="00FE7BA7">
        <w:rPr>
          <w:rFonts w:ascii="Verdana" w:eastAsia="Times New Roman" w:hAnsi="Verdana" w:cs="Arial"/>
          <w:sz w:val="20"/>
          <w:szCs w:val="20"/>
          <w:lang w:val="en-US" w:eastAsia="es-ES"/>
        </w:rPr>
        <w:t xml:space="preserve"> </w:t>
      </w:r>
      <w:r w:rsidR="00773D70" w:rsidRPr="00FE7BA7">
        <w:rPr>
          <w:rFonts w:ascii="Verdana" w:eastAsia="Times New Roman" w:hAnsi="Verdana" w:cs="Arial"/>
          <w:sz w:val="20"/>
          <w:szCs w:val="20"/>
          <w:lang w:val="en-US" w:eastAsia="es-ES"/>
        </w:rPr>
        <w:t>in relation to Article</w:t>
      </w:r>
      <w:r w:rsidR="00A149AA" w:rsidRPr="00FE7BA7">
        <w:rPr>
          <w:rFonts w:ascii="Verdana" w:eastAsia="Times New Roman" w:hAnsi="Verdana" w:cs="Arial"/>
          <w:sz w:val="20"/>
          <w:szCs w:val="20"/>
          <w:lang w:val="en-US" w:eastAsia="es-ES"/>
        </w:rPr>
        <w:t xml:space="preserve"> 25</w:t>
      </w:r>
      <w:r w:rsidR="002B5CCD" w:rsidRPr="00FE7BA7">
        <w:rPr>
          <w:rFonts w:ascii="Verdana" w:eastAsia="Times New Roman" w:hAnsi="Verdana" w:cs="Arial"/>
          <w:sz w:val="20"/>
          <w:szCs w:val="20"/>
          <w:lang w:val="en-US" w:eastAsia="es-ES"/>
        </w:rPr>
        <w:t xml:space="preserve"> of the American Convention</w:t>
      </w:r>
      <w:r w:rsidR="008A3876" w:rsidRPr="00FE7BA7">
        <w:rPr>
          <w:rFonts w:ascii="Verdana" w:eastAsia="Times New Roman" w:hAnsi="Verdana" w:cs="Arial"/>
          <w:sz w:val="20"/>
          <w:szCs w:val="20"/>
          <w:lang w:val="en-US" w:eastAsia="es-ES"/>
        </w:rPr>
        <w:t>.</w:t>
      </w:r>
    </w:p>
    <w:p w14:paraId="63126A72" w14:textId="77777777" w:rsidR="008A3876" w:rsidRPr="00FE7BA7" w:rsidRDefault="008A3876" w:rsidP="008A3876">
      <w:pPr>
        <w:pStyle w:val="Heading3"/>
        <w:spacing w:before="0"/>
        <w:ind w:left="360"/>
        <w:jc w:val="both"/>
        <w:rPr>
          <w:rFonts w:ascii="Verdana" w:hAnsi="Verdana"/>
          <w:i/>
          <w:color w:val="auto"/>
          <w:sz w:val="20"/>
          <w:szCs w:val="20"/>
          <w:lang w:val="en-US"/>
        </w:rPr>
      </w:pPr>
      <w:bookmarkStart w:id="63" w:name="_Toc441673221"/>
      <w:r w:rsidRPr="00FE7BA7">
        <w:rPr>
          <w:rFonts w:ascii="Verdana" w:hAnsi="Verdana"/>
          <w:i/>
          <w:color w:val="auto"/>
          <w:sz w:val="20"/>
          <w:szCs w:val="20"/>
          <w:lang w:val="en-US"/>
        </w:rPr>
        <w:lastRenderedPageBreak/>
        <w:t xml:space="preserve">B.1 </w:t>
      </w:r>
      <w:r w:rsidR="00F32607" w:rsidRPr="00FE7BA7">
        <w:rPr>
          <w:rFonts w:ascii="Verdana" w:hAnsi="Verdana"/>
          <w:i/>
          <w:color w:val="auto"/>
          <w:sz w:val="20"/>
          <w:szCs w:val="20"/>
          <w:lang w:val="en-US"/>
        </w:rPr>
        <w:t>Appropriate and effective remedies in domestic law to protect the rights</w:t>
      </w:r>
      <w:r w:rsidR="00511E56" w:rsidRPr="00FE7BA7">
        <w:rPr>
          <w:rFonts w:ascii="Verdana" w:hAnsi="Verdana"/>
          <w:i/>
          <w:color w:val="auto"/>
          <w:sz w:val="20"/>
          <w:szCs w:val="20"/>
          <w:lang w:val="en-US"/>
        </w:rPr>
        <w:t xml:space="preserve"> of the </w:t>
      </w:r>
      <w:r w:rsidR="00967E6B" w:rsidRPr="00FE7BA7">
        <w:rPr>
          <w:rFonts w:ascii="Verdana" w:hAnsi="Verdana"/>
          <w:i/>
          <w:color w:val="auto"/>
          <w:sz w:val="20"/>
          <w:szCs w:val="20"/>
          <w:lang w:val="en-US"/>
        </w:rPr>
        <w:t xml:space="preserve">indigenous and </w:t>
      </w:r>
      <w:r w:rsidR="00F32607" w:rsidRPr="00FE7BA7">
        <w:rPr>
          <w:rFonts w:ascii="Verdana" w:hAnsi="Verdana"/>
          <w:i/>
          <w:color w:val="auto"/>
          <w:sz w:val="20"/>
          <w:szCs w:val="20"/>
          <w:lang w:val="en-US"/>
        </w:rPr>
        <w:t>tribal peoples</w:t>
      </w:r>
      <w:bookmarkEnd w:id="63"/>
    </w:p>
    <w:p w14:paraId="63126A73" w14:textId="77777777" w:rsidR="008A3876" w:rsidRPr="00FE7BA7" w:rsidRDefault="008A3876" w:rsidP="008A3876">
      <w:pPr>
        <w:jc w:val="both"/>
        <w:rPr>
          <w:rFonts w:ascii="Verdana" w:eastAsia="Times New Roman" w:hAnsi="Verdana"/>
          <w:b/>
          <w:spacing w:val="-2"/>
          <w:sz w:val="20"/>
          <w:szCs w:val="20"/>
          <w:lang w:val="en-US" w:eastAsia="es-ES"/>
        </w:rPr>
      </w:pPr>
    </w:p>
    <w:p w14:paraId="63126A74" w14:textId="77777777" w:rsidR="008A3876" w:rsidRPr="00FE7BA7" w:rsidRDefault="00F32607" w:rsidP="008A3876">
      <w:pPr>
        <w:pStyle w:val="ListParagraph"/>
        <w:numPr>
          <w:ilvl w:val="0"/>
          <w:numId w:val="2"/>
        </w:numPr>
        <w:ind w:left="0" w:hanging="11"/>
        <w:jc w:val="both"/>
        <w:rPr>
          <w:rFonts w:ascii="Verdana" w:hAnsi="Verdana"/>
          <w:sz w:val="20"/>
          <w:szCs w:val="20"/>
          <w:lang w:val="en-US"/>
        </w:rPr>
      </w:pPr>
      <w:r w:rsidRPr="00C07DBC">
        <w:rPr>
          <w:rFonts w:ascii="Verdana" w:eastAsia="Times New Roman" w:hAnsi="Verdana"/>
          <w:spacing w:val="-2"/>
          <w:sz w:val="20"/>
          <w:szCs w:val="20"/>
          <w:lang w:val="en-US" w:eastAsia="es-ES"/>
        </w:rPr>
        <w:t>In the</w:t>
      </w:r>
      <w:r w:rsidR="008A3876" w:rsidRPr="00C07DBC">
        <w:rPr>
          <w:rFonts w:ascii="Verdana" w:eastAsia="Times New Roman" w:hAnsi="Verdana"/>
          <w:spacing w:val="-2"/>
          <w:sz w:val="20"/>
          <w:szCs w:val="20"/>
          <w:lang w:val="en-US" w:eastAsia="es-ES"/>
        </w:rPr>
        <w:t xml:space="preserve"> </w:t>
      </w:r>
      <w:r w:rsidRPr="00C07DBC">
        <w:rPr>
          <w:rFonts w:ascii="Verdana" w:eastAsia="Times New Roman" w:hAnsi="Verdana"/>
          <w:i/>
          <w:spacing w:val="-2"/>
          <w:sz w:val="20"/>
          <w:szCs w:val="20"/>
          <w:lang w:val="en-US" w:eastAsia="es-ES"/>
        </w:rPr>
        <w:t>c</w:t>
      </w:r>
      <w:r w:rsidR="00D63518" w:rsidRPr="00C07DBC">
        <w:rPr>
          <w:rFonts w:ascii="Verdana" w:eastAsia="Times New Roman" w:hAnsi="Verdana"/>
          <w:i/>
          <w:spacing w:val="-2"/>
          <w:sz w:val="20"/>
          <w:szCs w:val="20"/>
          <w:lang w:val="en-US" w:eastAsia="es-ES"/>
        </w:rPr>
        <w:t>ase of the Saramaka People</w:t>
      </w:r>
      <w:r w:rsidR="008A3876" w:rsidRPr="00C07DBC">
        <w:rPr>
          <w:rFonts w:ascii="Verdana" w:eastAsia="Times New Roman" w:hAnsi="Verdana"/>
          <w:i/>
          <w:spacing w:val="-2"/>
          <w:sz w:val="20"/>
          <w:szCs w:val="20"/>
          <w:lang w:val="en-US" w:eastAsia="es-ES"/>
        </w:rPr>
        <w:t xml:space="preserve"> </w:t>
      </w:r>
      <w:r w:rsidR="002B5CCD" w:rsidRPr="00C07DBC">
        <w:rPr>
          <w:rFonts w:ascii="Verdana" w:eastAsia="Times New Roman" w:hAnsi="Verdana"/>
          <w:i/>
          <w:spacing w:val="-2"/>
          <w:sz w:val="20"/>
          <w:szCs w:val="20"/>
          <w:lang w:val="en-US" w:eastAsia="es-ES"/>
        </w:rPr>
        <w:t>v.</w:t>
      </w:r>
      <w:r w:rsidR="008A3876" w:rsidRPr="00C07DBC">
        <w:rPr>
          <w:rFonts w:ascii="Verdana" w:eastAsia="Times New Roman" w:hAnsi="Verdana"/>
          <w:i/>
          <w:spacing w:val="-2"/>
          <w:sz w:val="20"/>
          <w:szCs w:val="20"/>
          <w:lang w:val="en-US" w:eastAsia="es-ES"/>
        </w:rPr>
        <w:t xml:space="preserve"> </w:t>
      </w:r>
      <w:r w:rsidR="004C7D14" w:rsidRPr="00C07DBC">
        <w:rPr>
          <w:rFonts w:ascii="Verdana" w:eastAsia="Times New Roman" w:hAnsi="Verdana"/>
          <w:i/>
          <w:spacing w:val="-2"/>
          <w:sz w:val="20"/>
          <w:szCs w:val="20"/>
          <w:lang w:val="en-US" w:eastAsia="es-ES"/>
        </w:rPr>
        <w:t>Suriname,</w:t>
      </w:r>
      <w:r w:rsidR="008A3876" w:rsidRPr="00C07DBC">
        <w:rPr>
          <w:rFonts w:ascii="Verdana" w:eastAsia="Times New Roman" w:hAnsi="Verdana"/>
          <w:spacing w:val="-2"/>
          <w:sz w:val="20"/>
          <w:szCs w:val="20"/>
          <w:lang w:val="en-US" w:eastAsia="es-ES"/>
        </w:rPr>
        <w:t xml:space="preserve"> </w:t>
      </w:r>
      <w:r w:rsidR="00FE7BA7" w:rsidRPr="00C07DBC">
        <w:rPr>
          <w:rFonts w:ascii="Verdana" w:eastAsia="Times New Roman" w:hAnsi="Verdana"/>
          <w:spacing w:val="-2"/>
          <w:sz w:val="20"/>
          <w:szCs w:val="20"/>
          <w:lang w:val="en-US" w:eastAsia="es-ES"/>
        </w:rPr>
        <w:t>based on</w:t>
      </w:r>
      <w:r w:rsidRPr="00C07DBC">
        <w:rPr>
          <w:rFonts w:ascii="Verdana" w:eastAsia="Times New Roman" w:hAnsi="Verdana"/>
          <w:spacing w:val="-2"/>
          <w:sz w:val="20"/>
          <w:szCs w:val="20"/>
          <w:lang w:val="en-US" w:eastAsia="es-ES"/>
        </w:rPr>
        <w:t xml:space="preserve"> the arguments of the parties </w:t>
      </w:r>
      <w:r w:rsidR="002B5CCD" w:rsidRPr="00C07DBC">
        <w:rPr>
          <w:rFonts w:ascii="Verdana" w:hAnsi="Verdana"/>
          <w:sz w:val="20"/>
          <w:szCs w:val="20"/>
          <w:lang w:val="en-US"/>
        </w:rPr>
        <w:t>and</w:t>
      </w:r>
      <w:r w:rsidR="002B5CCD" w:rsidRPr="00FE7BA7">
        <w:rPr>
          <w:rFonts w:ascii="Verdana" w:hAnsi="Verdana"/>
          <w:sz w:val="20"/>
          <w:szCs w:val="20"/>
          <w:lang w:val="en-US"/>
        </w:rPr>
        <w:t xml:space="preserve"> the Commission</w:t>
      </w:r>
      <w:r w:rsidR="008A3876" w:rsidRPr="00FE7BA7">
        <w:rPr>
          <w:rFonts w:ascii="Verdana" w:hAnsi="Verdana"/>
          <w:sz w:val="20"/>
          <w:szCs w:val="20"/>
          <w:lang w:val="en-US"/>
        </w:rPr>
        <w:t xml:space="preserve">, </w:t>
      </w:r>
      <w:r w:rsidR="002B5CCD" w:rsidRPr="00FE7BA7">
        <w:rPr>
          <w:rFonts w:ascii="Verdana" w:eastAsia="Times New Roman" w:hAnsi="Verdana"/>
          <w:spacing w:val="-2"/>
          <w:sz w:val="20"/>
          <w:szCs w:val="20"/>
          <w:lang w:val="en-US" w:eastAsia="es-ES"/>
        </w:rPr>
        <w:t>the Court</w:t>
      </w:r>
      <w:r w:rsidRPr="00FE7BA7">
        <w:rPr>
          <w:rFonts w:ascii="Verdana" w:eastAsia="Times New Roman" w:hAnsi="Verdana"/>
          <w:spacing w:val="-2"/>
          <w:sz w:val="20"/>
          <w:szCs w:val="20"/>
          <w:lang w:val="en-US" w:eastAsia="es-ES"/>
        </w:rPr>
        <w:t xml:space="preserve"> examined the provisions of a</w:t>
      </w:r>
      <w:r w:rsidR="002B5CCD" w:rsidRPr="00FE7BA7">
        <w:rPr>
          <w:rFonts w:ascii="Verdana" w:eastAsia="Times New Roman" w:hAnsi="Verdana"/>
          <w:spacing w:val="-2"/>
          <w:sz w:val="20"/>
          <w:szCs w:val="20"/>
          <w:lang w:val="en-US" w:eastAsia="es-ES"/>
        </w:rPr>
        <w:t>rticles</w:t>
      </w:r>
      <w:r w:rsidR="008A3876" w:rsidRPr="00FE7BA7">
        <w:rPr>
          <w:rFonts w:ascii="Verdana" w:eastAsia="Times New Roman" w:hAnsi="Verdana"/>
          <w:spacing w:val="-2"/>
          <w:sz w:val="20"/>
          <w:szCs w:val="20"/>
          <w:lang w:val="en-US" w:eastAsia="es-ES"/>
        </w:rPr>
        <w:t xml:space="preserve"> </w:t>
      </w:r>
      <w:r w:rsidR="008A3876" w:rsidRPr="00FE7BA7">
        <w:rPr>
          <w:rFonts w:ascii="Verdana" w:hAnsi="Verdana"/>
          <w:sz w:val="20"/>
          <w:szCs w:val="20"/>
          <w:lang w:val="en-US"/>
        </w:rPr>
        <w:t>1386, 1387, 1388, 1392</w:t>
      </w:r>
      <w:r w:rsidR="002B5CCD" w:rsidRPr="00FE7BA7">
        <w:rPr>
          <w:rFonts w:ascii="Verdana" w:hAnsi="Verdana"/>
          <w:sz w:val="20"/>
          <w:szCs w:val="20"/>
          <w:lang w:val="en-US"/>
        </w:rPr>
        <w:t xml:space="preserve"> and </w:t>
      </w:r>
      <w:r w:rsidR="008A3876" w:rsidRPr="00FE7BA7">
        <w:rPr>
          <w:rFonts w:ascii="Verdana" w:hAnsi="Verdana"/>
          <w:sz w:val="20"/>
          <w:szCs w:val="20"/>
          <w:lang w:val="en-US"/>
        </w:rPr>
        <w:t xml:space="preserve">1393 </w:t>
      </w:r>
      <w:r w:rsidR="00BB118C">
        <w:rPr>
          <w:rFonts w:ascii="Verdana" w:hAnsi="Verdana"/>
          <w:sz w:val="20"/>
          <w:szCs w:val="20"/>
          <w:lang w:val="en-US"/>
        </w:rPr>
        <w:t>of the Civil Cod</w:t>
      </w:r>
      <w:r w:rsidRPr="00FE7BA7">
        <w:rPr>
          <w:rFonts w:ascii="Verdana" w:hAnsi="Verdana"/>
          <w:sz w:val="20"/>
          <w:szCs w:val="20"/>
          <w:lang w:val="en-US"/>
        </w:rPr>
        <w:t xml:space="preserve">e; the Mining Decree </w:t>
      </w:r>
      <w:r w:rsidRPr="00FE7BA7">
        <w:rPr>
          <w:rFonts w:ascii="Verdana" w:eastAsia="Times New Roman" w:hAnsi="Verdana"/>
          <w:spacing w:val="-2"/>
          <w:sz w:val="20"/>
          <w:szCs w:val="20"/>
          <w:lang w:val="en-US" w:eastAsia="es-ES"/>
        </w:rPr>
        <w:t>(Decree</w:t>
      </w:r>
      <w:r w:rsidR="00C908CA" w:rsidRPr="00FE7BA7">
        <w:rPr>
          <w:rFonts w:ascii="Verdana" w:eastAsia="Times New Roman" w:hAnsi="Verdana"/>
          <w:spacing w:val="-2"/>
          <w:sz w:val="20"/>
          <w:szCs w:val="20"/>
          <w:lang w:val="en-US" w:eastAsia="es-ES"/>
        </w:rPr>
        <w:t xml:space="preserve"> </w:t>
      </w:r>
      <w:r w:rsidR="008A3876" w:rsidRPr="00FE7BA7">
        <w:rPr>
          <w:rFonts w:ascii="Verdana" w:hAnsi="Verdana"/>
          <w:color w:val="000000"/>
          <w:sz w:val="20"/>
          <w:szCs w:val="20"/>
          <w:lang w:val="en-US"/>
        </w:rPr>
        <w:t>E 58</w:t>
      </w:r>
      <w:r w:rsidR="00C908CA" w:rsidRPr="00FE7BA7">
        <w:rPr>
          <w:rFonts w:ascii="Verdana" w:hAnsi="Verdana"/>
          <w:color w:val="000000"/>
          <w:sz w:val="20"/>
          <w:szCs w:val="20"/>
          <w:lang w:val="en-US"/>
        </w:rPr>
        <w:t>)</w:t>
      </w:r>
      <w:r w:rsidR="008A3876" w:rsidRPr="00FE7BA7">
        <w:rPr>
          <w:rFonts w:ascii="Verdana" w:hAnsi="Verdana"/>
          <w:color w:val="000000"/>
          <w:sz w:val="20"/>
          <w:szCs w:val="20"/>
          <w:lang w:val="en-US"/>
        </w:rPr>
        <w:t xml:space="preserve"> </w:t>
      </w:r>
      <w:r w:rsidRPr="00FE7BA7">
        <w:rPr>
          <w:rFonts w:ascii="Verdana" w:hAnsi="Verdana"/>
          <w:color w:val="000000"/>
          <w:sz w:val="20"/>
          <w:szCs w:val="20"/>
          <w:lang w:val="en-US"/>
        </w:rPr>
        <w:t>of May 8,</w:t>
      </w:r>
      <w:r w:rsidR="008A3876" w:rsidRPr="00FE7BA7">
        <w:rPr>
          <w:rFonts w:ascii="Verdana" w:hAnsi="Verdana"/>
          <w:color w:val="000000"/>
          <w:sz w:val="20"/>
          <w:szCs w:val="20"/>
          <w:lang w:val="en-US"/>
        </w:rPr>
        <w:t xml:space="preserve"> 1986</w:t>
      </w:r>
      <w:r w:rsidR="008A3876" w:rsidRPr="00FE7BA7">
        <w:rPr>
          <w:rFonts w:ascii="Verdana" w:eastAsia="Times New Roman" w:hAnsi="Verdana"/>
          <w:spacing w:val="-2"/>
          <w:sz w:val="20"/>
          <w:szCs w:val="20"/>
          <w:lang w:val="en-US" w:eastAsia="es-ES"/>
        </w:rPr>
        <w:t>,</w:t>
      </w:r>
      <w:r w:rsidRPr="00FE7BA7">
        <w:rPr>
          <w:rFonts w:ascii="Verdana" w:eastAsia="Times New Roman" w:hAnsi="Verdana"/>
          <w:spacing w:val="-2"/>
          <w:sz w:val="20"/>
          <w:szCs w:val="20"/>
          <w:lang w:val="en-US" w:eastAsia="es-ES"/>
        </w:rPr>
        <w:t xml:space="preserve"> and a</w:t>
      </w:r>
      <w:r w:rsidR="002B5CCD" w:rsidRPr="00FE7BA7">
        <w:rPr>
          <w:rFonts w:ascii="Verdana" w:eastAsia="Times New Roman" w:hAnsi="Verdana"/>
          <w:spacing w:val="-2"/>
          <w:sz w:val="20"/>
          <w:szCs w:val="20"/>
          <w:lang w:val="en-US" w:eastAsia="es-ES"/>
        </w:rPr>
        <w:t>rticle</w:t>
      </w:r>
      <w:r w:rsidR="008A3876" w:rsidRPr="00FE7BA7">
        <w:rPr>
          <w:rFonts w:ascii="Verdana" w:eastAsia="Times New Roman" w:hAnsi="Verdana"/>
          <w:spacing w:val="-2"/>
          <w:sz w:val="20"/>
          <w:szCs w:val="20"/>
          <w:lang w:val="en-US" w:eastAsia="es-ES"/>
        </w:rPr>
        <w:t xml:space="preserve"> 4</w:t>
      </w:r>
      <w:r w:rsidR="00C34C52" w:rsidRPr="00FE7BA7">
        <w:rPr>
          <w:rFonts w:ascii="Verdana" w:eastAsia="Times New Roman" w:hAnsi="Verdana"/>
          <w:spacing w:val="-2"/>
          <w:sz w:val="20"/>
          <w:szCs w:val="20"/>
          <w:lang w:val="en-US" w:eastAsia="es-ES"/>
        </w:rPr>
        <w:t>1(1)</w:t>
      </w:r>
      <w:r w:rsidRPr="00FE7BA7">
        <w:rPr>
          <w:rFonts w:ascii="Verdana" w:eastAsia="Times New Roman" w:hAnsi="Verdana"/>
          <w:spacing w:val="-2"/>
          <w:sz w:val="20"/>
          <w:szCs w:val="20"/>
          <w:lang w:val="en-US" w:eastAsia="es-ES"/>
        </w:rPr>
        <w:t>(</w:t>
      </w:r>
      <w:r w:rsidR="008A3876" w:rsidRPr="00FE7BA7">
        <w:rPr>
          <w:rFonts w:ascii="Verdana" w:eastAsia="Times New Roman" w:hAnsi="Verdana"/>
          <w:spacing w:val="-2"/>
          <w:sz w:val="20"/>
          <w:szCs w:val="20"/>
          <w:lang w:val="en-US" w:eastAsia="es-ES"/>
        </w:rPr>
        <w:t>b</w:t>
      </w:r>
      <w:r w:rsidRPr="00FE7BA7">
        <w:rPr>
          <w:rFonts w:ascii="Verdana" w:eastAsia="Times New Roman" w:hAnsi="Verdana"/>
          <w:spacing w:val="-2"/>
          <w:sz w:val="20"/>
          <w:szCs w:val="20"/>
          <w:lang w:val="en-US" w:eastAsia="es-ES"/>
        </w:rPr>
        <w:t>) of the 1992 Forestry Management Act</w:t>
      </w:r>
      <w:r w:rsidR="008A3876" w:rsidRPr="00FE7BA7">
        <w:rPr>
          <w:rFonts w:ascii="Verdana" w:eastAsia="Times New Roman" w:hAnsi="Verdana"/>
          <w:spacing w:val="-2"/>
          <w:sz w:val="20"/>
          <w:szCs w:val="20"/>
          <w:lang w:val="en-US" w:eastAsia="es-ES"/>
        </w:rPr>
        <w:t xml:space="preserve">, </w:t>
      </w:r>
      <w:r w:rsidRPr="00FE7BA7">
        <w:rPr>
          <w:rFonts w:ascii="Verdana" w:eastAsia="Times New Roman" w:hAnsi="Verdana"/>
          <w:spacing w:val="-2"/>
          <w:sz w:val="20"/>
          <w:szCs w:val="20"/>
          <w:lang w:val="en-US" w:eastAsia="es-ES"/>
        </w:rPr>
        <w:t xml:space="preserve">in order to determine whether, under these laws, it was possible to </w:t>
      </w:r>
      <w:r w:rsidR="00BB118C">
        <w:rPr>
          <w:rFonts w:ascii="Verdana" w:eastAsia="Times New Roman" w:hAnsi="Verdana"/>
          <w:spacing w:val="-2"/>
          <w:sz w:val="20"/>
          <w:szCs w:val="20"/>
          <w:lang w:val="en-US" w:eastAsia="es-ES"/>
        </w:rPr>
        <w:t>obtain</w:t>
      </w:r>
      <w:r w:rsidRPr="00FE7BA7">
        <w:rPr>
          <w:rFonts w:ascii="Verdana" w:eastAsia="Times New Roman" w:hAnsi="Verdana"/>
          <w:spacing w:val="-2"/>
          <w:sz w:val="20"/>
          <w:szCs w:val="20"/>
          <w:lang w:val="en-US" w:eastAsia="es-ES"/>
        </w:rPr>
        <w:t xml:space="preserve"> satisfactory reparation for the presumed violations of the collective property rights </w:t>
      </w:r>
      <w:r w:rsidR="00511E56" w:rsidRPr="00FE7BA7">
        <w:rPr>
          <w:rFonts w:ascii="Verdana" w:hAnsi="Verdana"/>
          <w:sz w:val="20"/>
          <w:szCs w:val="20"/>
          <w:lang w:val="en-US"/>
        </w:rPr>
        <w:t xml:space="preserve">of the </w:t>
      </w:r>
      <w:r w:rsidR="00967E6B" w:rsidRPr="00FE7BA7">
        <w:rPr>
          <w:rFonts w:ascii="Verdana" w:hAnsi="Verdana"/>
          <w:sz w:val="20"/>
          <w:szCs w:val="20"/>
          <w:lang w:val="en-US"/>
        </w:rPr>
        <w:t xml:space="preserve">indigenous and </w:t>
      </w:r>
      <w:r w:rsidRPr="00FE7BA7">
        <w:rPr>
          <w:rFonts w:ascii="Verdana" w:hAnsi="Verdana"/>
          <w:sz w:val="20"/>
          <w:szCs w:val="20"/>
          <w:lang w:val="en-US"/>
        </w:rPr>
        <w:t>tribal peoples.</w:t>
      </w:r>
      <w:r w:rsidR="008A3876" w:rsidRPr="00FE7BA7">
        <w:rPr>
          <w:rStyle w:val="FootnoteReference"/>
          <w:szCs w:val="20"/>
          <w:lang w:val="en-US"/>
        </w:rPr>
        <w:footnoteReference w:id="274"/>
      </w:r>
    </w:p>
    <w:p w14:paraId="63126A75" w14:textId="77777777" w:rsidR="008A3876" w:rsidRPr="00FE7BA7" w:rsidRDefault="008A3876" w:rsidP="008A3876">
      <w:pPr>
        <w:jc w:val="both"/>
        <w:rPr>
          <w:rFonts w:ascii="Verdana" w:hAnsi="Verdana"/>
          <w:sz w:val="20"/>
          <w:szCs w:val="20"/>
          <w:lang w:val="en-US"/>
        </w:rPr>
      </w:pPr>
    </w:p>
    <w:p w14:paraId="63126A76" w14:textId="77777777" w:rsidR="008A3876" w:rsidRPr="00FE7BA7" w:rsidRDefault="00F32607" w:rsidP="00F32607">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Regarding the Civil Code, the Court consi</w:t>
      </w:r>
      <w:r w:rsidR="00BB118C">
        <w:rPr>
          <w:rFonts w:ascii="Verdana" w:hAnsi="Verdana"/>
          <w:sz w:val="20"/>
          <w:szCs w:val="20"/>
          <w:lang w:val="en-US"/>
        </w:rPr>
        <w:t>dered that the judicial remedy it established</w:t>
      </w:r>
      <w:r w:rsidRPr="00FE7BA7">
        <w:rPr>
          <w:rFonts w:ascii="Verdana" w:hAnsi="Verdana"/>
          <w:sz w:val="20"/>
          <w:szCs w:val="20"/>
          <w:lang w:val="en-US"/>
        </w:rPr>
        <w:t xml:space="preserve"> was inappropriate and ineffective because it was only available to individuals who claimed a violation of their individual rights to property, and did not recognize the right to collective property.</w:t>
      </w:r>
      <w:r w:rsidRPr="00FE7BA7">
        <w:rPr>
          <w:rStyle w:val="FootnoteReference"/>
          <w:szCs w:val="20"/>
          <w:lang w:val="en-US"/>
        </w:rPr>
        <w:footnoteReference w:id="275"/>
      </w:r>
      <w:r w:rsidRPr="00FE7BA7">
        <w:rPr>
          <w:rFonts w:ascii="Verdana" w:hAnsi="Verdana"/>
          <w:sz w:val="20"/>
          <w:szCs w:val="20"/>
          <w:lang w:val="en-US"/>
        </w:rPr>
        <w:t xml:space="preserve"> </w:t>
      </w:r>
      <w:r w:rsidR="00BB118C">
        <w:rPr>
          <w:rFonts w:ascii="Verdana" w:hAnsi="Verdana"/>
          <w:sz w:val="20"/>
          <w:szCs w:val="20"/>
          <w:lang w:val="en-US"/>
        </w:rPr>
        <w:t>T</w:t>
      </w:r>
      <w:r w:rsidRPr="00FE7BA7">
        <w:rPr>
          <w:rFonts w:ascii="Verdana" w:hAnsi="Verdana"/>
          <w:sz w:val="20"/>
          <w:szCs w:val="20"/>
          <w:lang w:val="en-US"/>
        </w:rPr>
        <w:t xml:space="preserve">he Court </w:t>
      </w:r>
      <w:r w:rsidR="00BB118C">
        <w:rPr>
          <w:rFonts w:ascii="Verdana" w:hAnsi="Verdana"/>
          <w:sz w:val="20"/>
          <w:szCs w:val="20"/>
          <w:lang w:val="en-US"/>
        </w:rPr>
        <w:t xml:space="preserve">also </w:t>
      </w:r>
      <w:r w:rsidRPr="00FE7BA7">
        <w:rPr>
          <w:rFonts w:ascii="Verdana" w:hAnsi="Verdana"/>
          <w:sz w:val="20"/>
          <w:szCs w:val="20"/>
          <w:lang w:val="en-US"/>
        </w:rPr>
        <w:t>noted that, in order to file a legal action, the Mining Decree required that the claimant hold a right or interest issued by the State that could be registered; however, the members of the Saramaka people did not possess a title to their traditional territory, so that the apparent remedy was inappropriate and ineffective.</w:t>
      </w:r>
      <w:r w:rsidRPr="00FE7BA7">
        <w:rPr>
          <w:rStyle w:val="FootnoteReference"/>
          <w:szCs w:val="20"/>
          <w:lang w:val="en-US"/>
        </w:rPr>
        <w:footnoteReference w:id="276"/>
      </w:r>
      <w:r w:rsidRPr="00FE7BA7">
        <w:rPr>
          <w:rFonts w:ascii="Verdana" w:hAnsi="Verdana"/>
          <w:sz w:val="20"/>
          <w:szCs w:val="20"/>
          <w:lang w:val="en-US"/>
        </w:rPr>
        <w:t xml:space="preserve"> Lastly, the Court observed that the procedure </w:t>
      </w:r>
      <w:r w:rsidR="008A3876" w:rsidRPr="00FE7BA7">
        <w:rPr>
          <w:rFonts w:ascii="Verdana" w:hAnsi="Verdana"/>
          <w:sz w:val="20"/>
          <w:szCs w:val="20"/>
          <w:lang w:val="en-US"/>
        </w:rPr>
        <w:t>establ</w:t>
      </w:r>
      <w:r w:rsidRPr="00FE7BA7">
        <w:rPr>
          <w:rFonts w:ascii="Verdana" w:hAnsi="Verdana"/>
          <w:sz w:val="20"/>
          <w:szCs w:val="20"/>
          <w:lang w:val="en-US"/>
        </w:rPr>
        <w:t>ished in the</w:t>
      </w:r>
      <w:r w:rsidR="008A3876" w:rsidRPr="00FE7BA7">
        <w:rPr>
          <w:rFonts w:ascii="Verdana" w:hAnsi="Verdana"/>
          <w:sz w:val="20"/>
          <w:szCs w:val="20"/>
          <w:lang w:val="en-US"/>
        </w:rPr>
        <w:t xml:space="preserve"> </w:t>
      </w:r>
      <w:r w:rsidRPr="00FE7BA7">
        <w:rPr>
          <w:rFonts w:ascii="Verdana" w:hAnsi="Verdana"/>
          <w:sz w:val="20"/>
          <w:szCs w:val="20"/>
          <w:lang w:val="en-US"/>
        </w:rPr>
        <w:t>Forestry Management Act</w:t>
      </w:r>
      <w:r w:rsidR="008A3876" w:rsidRPr="00FE7BA7">
        <w:rPr>
          <w:rFonts w:ascii="Verdana" w:hAnsi="Verdana"/>
          <w:sz w:val="20"/>
          <w:szCs w:val="20"/>
          <w:lang w:val="en-US"/>
        </w:rPr>
        <w:t xml:space="preserve"> </w:t>
      </w:r>
      <w:r w:rsidRPr="00FE7BA7">
        <w:rPr>
          <w:rFonts w:ascii="Verdana" w:hAnsi="Verdana"/>
          <w:sz w:val="20"/>
          <w:szCs w:val="20"/>
          <w:lang w:val="en-US"/>
        </w:rPr>
        <w:t>for filing written claims before the President of Suriname was ineffective, because the complaints filed by members of the Saramaka people were left unanswered.</w:t>
      </w:r>
      <w:r w:rsidR="008A3876" w:rsidRPr="00FE7BA7">
        <w:rPr>
          <w:rStyle w:val="FootnoteReference"/>
          <w:szCs w:val="20"/>
          <w:lang w:val="en-US"/>
        </w:rPr>
        <w:footnoteReference w:id="277"/>
      </w:r>
    </w:p>
    <w:p w14:paraId="63126A77" w14:textId="77777777" w:rsidR="008A3876" w:rsidRPr="00FE7BA7" w:rsidRDefault="008A3876" w:rsidP="008A3876">
      <w:pPr>
        <w:jc w:val="both"/>
        <w:rPr>
          <w:rFonts w:ascii="Verdana" w:hAnsi="Verdana"/>
          <w:sz w:val="20"/>
          <w:szCs w:val="20"/>
          <w:lang w:val="en-US"/>
        </w:rPr>
      </w:pPr>
    </w:p>
    <w:p w14:paraId="63126A78" w14:textId="77777777" w:rsidR="008A3876" w:rsidRPr="00FE7BA7" w:rsidRDefault="00F32607"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the instant case, the State provided no documentation or information that would reveal any change in the norms examined in the </w:t>
      </w:r>
      <w:r w:rsidRPr="00FE7BA7">
        <w:rPr>
          <w:rFonts w:ascii="Verdana" w:hAnsi="Verdana"/>
          <w:i/>
          <w:sz w:val="20"/>
          <w:szCs w:val="20"/>
          <w:lang w:val="en-US"/>
        </w:rPr>
        <w:t>c</w:t>
      </w:r>
      <w:r w:rsidR="00D63518" w:rsidRPr="00FE7BA7">
        <w:rPr>
          <w:rFonts w:ascii="Verdana" w:hAnsi="Verdana"/>
          <w:i/>
          <w:sz w:val="20"/>
          <w:szCs w:val="20"/>
          <w:lang w:val="en-US"/>
        </w:rPr>
        <w:t>ase of the Saramaka People</w:t>
      </w:r>
      <w:r w:rsidR="008A3876" w:rsidRPr="00FE7BA7">
        <w:rPr>
          <w:rFonts w:ascii="Verdana" w:hAnsi="Verdana"/>
          <w:i/>
          <w:sz w:val="20"/>
          <w:szCs w:val="20"/>
          <w:lang w:val="en-US"/>
        </w:rPr>
        <w:t xml:space="preserve"> </w:t>
      </w:r>
      <w:r w:rsidR="002B5CCD" w:rsidRPr="00FE7BA7">
        <w:rPr>
          <w:rFonts w:ascii="Verdana" w:hAnsi="Verdana"/>
          <w:i/>
          <w:sz w:val="20"/>
          <w:szCs w:val="20"/>
          <w:lang w:val="en-US"/>
        </w:rPr>
        <w:t>v.</w:t>
      </w:r>
      <w:r w:rsidR="008A3876" w:rsidRPr="00FE7BA7">
        <w:rPr>
          <w:rFonts w:ascii="Verdana" w:hAnsi="Verdana"/>
          <w:i/>
          <w:sz w:val="20"/>
          <w:szCs w:val="20"/>
          <w:lang w:val="en-US"/>
        </w:rPr>
        <w:t xml:space="preserve"> </w:t>
      </w:r>
      <w:r w:rsidR="00CD3DC6" w:rsidRPr="00FE7BA7">
        <w:rPr>
          <w:rFonts w:ascii="Verdana" w:hAnsi="Verdana"/>
          <w:i/>
          <w:sz w:val="20"/>
          <w:szCs w:val="20"/>
          <w:lang w:val="en-US"/>
        </w:rPr>
        <w:t>Suriname.</w:t>
      </w:r>
      <w:r w:rsidR="008A3876" w:rsidRPr="00FE7BA7">
        <w:rPr>
          <w:rFonts w:ascii="Verdana" w:hAnsi="Verdana"/>
          <w:sz w:val="20"/>
          <w:szCs w:val="20"/>
          <w:lang w:val="en-US"/>
        </w:rPr>
        <w:t xml:space="preserve"> </w:t>
      </w:r>
      <w:r w:rsidRPr="00FE7BA7">
        <w:rPr>
          <w:rFonts w:ascii="Verdana" w:hAnsi="Verdana"/>
          <w:sz w:val="20"/>
          <w:szCs w:val="20"/>
          <w:lang w:val="en-US"/>
        </w:rPr>
        <w:t xml:space="preserve">Consequently, the Court considers that these norms continue to be inappropriate and ineffective to resolve presumed violations of the collective property rights </w:t>
      </w:r>
      <w:r w:rsidR="00511E56" w:rsidRPr="00FE7BA7">
        <w:rPr>
          <w:rFonts w:ascii="Verdana" w:hAnsi="Verdana"/>
          <w:sz w:val="20"/>
          <w:szCs w:val="20"/>
          <w:lang w:val="en-US"/>
        </w:rPr>
        <w:t xml:space="preserve">of the </w:t>
      </w:r>
      <w:r w:rsidR="00967E6B" w:rsidRPr="00FE7BA7">
        <w:rPr>
          <w:rFonts w:ascii="Verdana" w:hAnsi="Verdana"/>
          <w:sz w:val="20"/>
          <w:szCs w:val="20"/>
          <w:lang w:val="en-US"/>
        </w:rPr>
        <w:t>indigenous and tribal peoples in</w:t>
      </w:r>
      <w:r w:rsidR="008A3876" w:rsidRPr="00FE7BA7">
        <w:rPr>
          <w:rFonts w:ascii="Verdana" w:hAnsi="Verdana"/>
          <w:sz w:val="20"/>
          <w:szCs w:val="20"/>
          <w:lang w:val="en-US"/>
        </w:rPr>
        <w:t xml:space="preserve"> </w:t>
      </w:r>
      <w:r w:rsidR="00CD3DC6" w:rsidRPr="00FE7BA7">
        <w:rPr>
          <w:rFonts w:ascii="Verdana" w:hAnsi="Verdana"/>
          <w:sz w:val="20"/>
          <w:szCs w:val="20"/>
          <w:lang w:val="en-US"/>
        </w:rPr>
        <w:t>Suriname.</w:t>
      </w:r>
    </w:p>
    <w:p w14:paraId="63126A79" w14:textId="77777777" w:rsidR="008A3876" w:rsidRPr="00FE7BA7" w:rsidRDefault="008A3876" w:rsidP="008A3876">
      <w:pPr>
        <w:jc w:val="both"/>
        <w:rPr>
          <w:rFonts w:ascii="Verdana" w:hAnsi="Verdana"/>
          <w:sz w:val="20"/>
          <w:szCs w:val="20"/>
          <w:lang w:val="en-US"/>
        </w:rPr>
      </w:pPr>
    </w:p>
    <w:p w14:paraId="63126A7A" w14:textId="0367F217" w:rsidR="008A3876" w:rsidRPr="00FE7BA7" w:rsidRDefault="00F32607" w:rsidP="008A3876">
      <w:pPr>
        <w:pStyle w:val="ListParagraph"/>
        <w:numPr>
          <w:ilvl w:val="0"/>
          <w:numId w:val="2"/>
        </w:numPr>
        <w:ind w:left="0" w:hanging="11"/>
        <w:jc w:val="both"/>
        <w:rPr>
          <w:rFonts w:ascii="Verdana" w:eastAsia="Times New Roman" w:hAnsi="Verdana" w:cs="Arial"/>
          <w:sz w:val="20"/>
          <w:szCs w:val="20"/>
          <w:lang w:val="en-US" w:eastAsia="es-ES"/>
        </w:rPr>
      </w:pPr>
      <w:r w:rsidRPr="00FE7BA7">
        <w:rPr>
          <w:rFonts w:ascii="Verdana" w:hAnsi="Verdana"/>
          <w:sz w:val="20"/>
          <w:szCs w:val="20"/>
          <w:lang w:val="en-US"/>
        </w:rPr>
        <w:t xml:space="preserve">Nevertheless, the facts of this case reveal that </w:t>
      </w:r>
      <w:r w:rsidR="00810FAD" w:rsidRPr="00FE7BA7">
        <w:rPr>
          <w:rFonts w:ascii="Verdana" w:hAnsi="Verdana"/>
          <w:sz w:val="20"/>
          <w:szCs w:val="20"/>
          <w:lang w:val="en-US"/>
        </w:rPr>
        <w:t xml:space="preserve">the </w:t>
      </w:r>
      <w:r w:rsidR="007A09A8" w:rsidRPr="0092012A">
        <w:rPr>
          <w:rFonts w:ascii="Verdana" w:hAnsi="Verdana"/>
          <w:sz w:val="20"/>
          <w:szCs w:val="20"/>
          <w:lang w:val="en-US"/>
        </w:rPr>
        <w:t>alleged</w:t>
      </w:r>
      <w:r w:rsidR="007A09A8" w:rsidRPr="00FE7BA7">
        <w:rPr>
          <w:rFonts w:ascii="Verdana" w:hAnsi="Verdana"/>
          <w:i/>
          <w:sz w:val="20"/>
          <w:szCs w:val="20"/>
          <w:lang w:val="en-US"/>
        </w:rPr>
        <w:t xml:space="preserve"> </w:t>
      </w:r>
      <w:r w:rsidR="00810FAD" w:rsidRPr="00FE7BA7">
        <w:rPr>
          <w:rFonts w:ascii="Verdana" w:hAnsi="Verdana"/>
          <w:sz w:val="20"/>
          <w:szCs w:val="20"/>
          <w:lang w:val="en-US"/>
        </w:rPr>
        <w:t>victims</w:t>
      </w:r>
      <w:r w:rsidR="008A3876" w:rsidRPr="00FE7BA7">
        <w:rPr>
          <w:rFonts w:ascii="Verdana" w:hAnsi="Verdana"/>
          <w:sz w:val="20"/>
          <w:szCs w:val="20"/>
          <w:lang w:val="en-US"/>
        </w:rPr>
        <w:t xml:space="preserve"> </w:t>
      </w:r>
      <w:r w:rsidRPr="00FE7BA7">
        <w:rPr>
          <w:rFonts w:ascii="Verdana" w:hAnsi="Verdana"/>
          <w:sz w:val="20"/>
          <w:szCs w:val="20"/>
          <w:lang w:val="en-US"/>
        </w:rPr>
        <w:t>have based themselves on a</w:t>
      </w:r>
      <w:r w:rsidR="002B5CCD" w:rsidRPr="00FE7BA7">
        <w:rPr>
          <w:rFonts w:ascii="Verdana" w:hAnsi="Verdana"/>
          <w:sz w:val="20"/>
          <w:szCs w:val="20"/>
          <w:lang w:val="en-US"/>
        </w:rPr>
        <w:t>rticle</w:t>
      </w:r>
      <w:r w:rsidR="008A3876" w:rsidRPr="00FE7BA7">
        <w:rPr>
          <w:rFonts w:ascii="Verdana" w:hAnsi="Verdana"/>
          <w:sz w:val="20"/>
          <w:szCs w:val="20"/>
          <w:lang w:val="en-US"/>
        </w:rPr>
        <w:t xml:space="preserve"> 22 </w:t>
      </w:r>
      <w:r w:rsidRPr="00FE7BA7">
        <w:rPr>
          <w:rFonts w:ascii="Verdana" w:hAnsi="Verdana"/>
          <w:sz w:val="20"/>
          <w:szCs w:val="20"/>
          <w:lang w:val="en-US"/>
        </w:rPr>
        <w:t xml:space="preserve">of Suriname’s Constitution to file written petitions before different State authorities in order to claim their rights </w:t>
      </w:r>
      <w:r w:rsidR="008A3876" w:rsidRPr="00FE7BA7">
        <w:rPr>
          <w:rFonts w:ascii="Verdana" w:hAnsi="Verdana"/>
          <w:sz w:val="20"/>
          <w:szCs w:val="20"/>
          <w:lang w:val="en-US"/>
        </w:rPr>
        <w:t>(</w:t>
      </w:r>
      <w:r w:rsidR="00366D91" w:rsidRPr="00FE7BA7">
        <w:rPr>
          <w:rFonts w:ascii="Verdana" w:hAnsi="Verdana"/>
          <w:i/>
          <w:sz w:val="20"/>
          <w:szCs w:val="20"/>
          <w:lang w:val="en-US"/>
        </w:rPr>
        <w:t>supra</w:t>
      </w:r>
      <w:r w:rsidR="008A3876" w:rsidRPr="00FE7BA7">
        <w:rPr>
          <w:rFonts w:ascii="Verdana" w:hAnsi="Verdana"/>
          <w:sz w:val="20"/>
          <w:szCs w:val="20"/>
          <w:lang w:val="en-US"/>
        </w:rPr>
        <w:t xml:space="preserve"> </w:t>
      </w:r>
      <w:r w:rsidR="00810FAD" w:rsidRPr="00FE7BA7">
        <w:rPr>
          <w:rFonts w:ascii="Verdana" w:hAnsi="Verdana"/>
          <w:sz w:val="20"/>
          <w:szCs w:val="20"/>
          <w:lang w:val="en-US"/>
        </w:rPr>
        <w:t>para.</w:t>
      </w:r>
      <w:r w:rsidR="008A3876" w:rsidRPr="00FE7BA7">
        <w:rPr>
          <w:rFonts w:ascii="Verdana" w:hAnsi="Verdana"/>
          <w:sz w:val="20"/>
          <w:szCs w:val="20"/>
          <w:lang w:val="en-US"/>
        </w:rPr>
        <w:t xml:space="preserve"> </w:t>
      </w:r>
      <w:r w:rsidR="003033BC" w:rsidRPr="00FE7BA7">
        <w:rPr>
          <w:rFonts w:ascii="Verdana" w:hAnsi="Verdana"/>
          <w:sz w:val="20"/>
          <w:szCs w:val="20"/>
          <w:lang w:val="en-US"/>
        </w:rPr>
        <w:t>65</w:t>
      </w:r>
      <w:r w:rsidRPr="00FE7BA7">
        <w:rPr>
          <w:rFonts w:ascii="Verdana" w:hAnsi="Verdana"/>
          <w:sz w:val="20"/>
          <w:szCs w:val="20"/>
          <w:lang w:val="en-US"/>
        </w:rPr>
        <w:t xml:space="preserve"> and</w:t>
      </w:r>
      <w:r w:rsidR="00BE2256" w:rsidRPr="00FE7BA7">
        <w:rPr>
          <w:rFonts w:ascii="Verdana" w:hAnsi="Verdana"/>
          <w:sz w:val="20"/>
          <w:szCs w:val="20"/>
          <w:lang w:val="en-US"/>
        </w:rPr>
        <w:t xml:space="preserve"> </w:t>
      </w:r>
      <w:r w:rsidR="00BE2256" w:rsidRPr="00FE7BA7">
        <w:rPr>
          <w:rFonts w:ascii="Verdana" w:hAnsi="Verdana"/>
          <w:i/>
          <w:sz w:val="20"/>
          <w:szCs w:val="20"/>
          <w:lang w:val="en-US"/>
        </w:rPr>
        <w:t>infra</w:t>
      </w:r>
      <w:r w:rsidR="00BE2256" w:rsidRPr="00FE7BA7">
        <w:rPr>
          <w:rFonts w:ascii="Verdana" w:hAnsi="Verdana"/>
          <w:sz w:val="20"/>
          <w:szCs w:val="20"/>
          <w:lang w:val="en-US"/>
        </w:rPr>
        <w:t xml:space="preserve"> </w:t>
      </w:r>
      <w:r w:rsidR="00810FAD" w:rsidRPr="00FE7BA7">
        <w:rPr>
          <w:rFonts w:ascii="Verdana" w:hAnsi="Verdana"/>
          <w:sz w:val="20"/>
          <w:szCs w:val="20"/>
          <w:lang w:val="en-US"/>
        </w:rPr>
        <w:t>para.</w:t>
      </w:r>
      <w:r w:rsidR="00BE2256" w:rsidRPr="00FE7BA7">
        <w:rPr>
          <w:rFonts w:ascii="Verdana" w:hAnsi="Verdana"/>
          <w:sz w:val="20"/>
          <w:szCs w:val="20"/>
          <w:lang w:val="en-US"/>
        </w:rPr>
        <w:t xml:space="preserve"> 265</w:t>
      </w:r>
      <w:r w:rsidR="003033BC" w:rsidRPr="00FE7BA7">
        <w:rPr>
          <w:rFonts w:ascii="Verdana" w:hAnsi="Verdana"/>
          <w:sz w:val="20"/>
          <w:szCs w:val="20"/>
          <w:lang w:val="en-US"/>
        </w:rPr>
        <w:t xml:space="preserve">). </w:t>
      </w:r>
      <w:r w:rsidR="002B5CCD" w:rsidRPr="00FE7BA7">
        <w:rPr>
          <w:rFonts w:ascii="Verdana" w:hAnsi="Verdana"/>
          <w:sz w:val="20"/>
          <w:szCs w:val="20"/>
          <w:lang w:val="en-US"/>
        </w:rPr>
        <w:t>The Court</w:t>
      </w:r>
      <w:r w:rsidRPr="00FE7BA7">
        <w:rPr>
          <w:rFonts w:ascii="Verdana" w:hAnsi="Verdana"/>
          <w:sz w:val="20"/>
          <w:szCs w:val="20"/>
          <w:lang w:val="en-US"/>
        </w:rPr>
        <w:t xml:space="preserve"> notes that this article establishes that everyone has the right to submit written petitions to public authorities, and the law will establish the respective procedure. This regulates the fundamental right of petition, while delegating the creation of specific remedies to norms of a lesser rank, such as the laws.</w:t>
      </w:r>
      <w:r w:rsidR="008A3876" w:rsidRPr="00FE7BA7">
        <w:rPr>
          <w:rFonts w:ascii="Verdana" w:eastAsia="Times New Roman" w:hAnsi="Verdana" w:cs="Arial"/>
          <w:sz w:val="20"/>
          <w:szCs w:val="20"/>
          <w:lang w:val="en-US" w:eastAsia="es-ES"/>
        </w:rPr>
        <w:t xml:space="preserve"> </w:t>
      </w:r>
    </w:p>
    <w:p w14:paraId="63126A7B" w14:textId="77777777" w:rsidR="008A3876" w:rsidRPr="00FE7BA7" w:rsidRDefault="008A3876" w:rsidP="008A3876">
      <w:pPr>
        <w:jc w:val="both"/>
        <w:rPr>
          <w:rFonts w:ascii="Verdana" w:eastAsia="Times New Roman" w:hAnsi="Verdana" w:cs="Arial"/>
          <w:sz w:val="20"/>
          <w:szCs w:val="20"/>
          <w:lang w:val="en-US" w:eastAsia="es-ES"/>
        </w:rPr>
      </w:pPr>
    </w:p>
    <w:p w14:paraId="63126A7C" w14:textId="77777777" w:rsidR="00F32607" w:rsidRPr="00FE7BA7" w:rsidRDefault="00F32607" w:rsidP="00F32607">
      <w:pPr>
        <w:pStyle w:val="ListParagraph"/>
        <w:numPr>
          <w:ilvl w:val="0"/>
          <w:numId w:val="2"/>
        </w:numPr>
        <w:ind w:left="0" w:hanging="11"/>
        <w:jc w:val="both"/>
        <w:rPr>
          <w:rFonts w:ascii="Verdana" w:hAnsi="Verdana"/>
          <w:sz w:val="20"/>
          <w:szCs w:val="20"/>
          <w:shd w:val="clear" w:color="auto" w:fill="FFFFFF"/>
          <w:lang w:val="en-US"/>
        </w:rPr>
      </w:pPr>
      <w:r w:rsidRPr="00FE7BA7">
        <w:rPr>
          <w:rFonts w:ascii="Verdana" w:eastAsia="Times New Roman" w:hAnsi="Verdana" w:cs="Arial"/>
          <w:sz w:val="20"/>
          <w:szCs w:val="20"/>
          <w:lang w:val="en-US" w:eastAsia="es-ES"/>
        </w:rPr>
        <w:t>However,</w:t>
      </w:r>
      <w:r w:rsidR="00BB118C" w:rsidRPr="00BB118C">
        <w:rPr>
          <w:rFonts w:ascii="Verdana" w:eastAsia="Times New Roman" w:hAnsi="Verdana" w:cs="Arial"/>
          <w:sz w:val="20"/>
          <w:szCs w:val="20"/>
          <w:lang w:val="en-US" w:eastAsia="es-ES"/>
        </w:rPr>
        <w:t xml:space="preserve"> </w:t>
      </w:r>
      <w:r w:rsidR="00BB118C" w:rsidRPr="00FE7BA7">
        <w:rPr>
          <w:rFonts w:ascii="Verdana" w:eastAsia="Times New Roman" w:hAnsi="Verdana" w:cs="Arial"/>
          <w:sz w:val="20"/>
          <w:szCs w:val="20"/>
          <w:lang w:val="en-US" w:eastAsia="es-ES"/>
        </w:rPr>
        <w:t>the Court finds that</w:t>
      </w:r>
      <w:r w:rsidR="00BB118C">
        <w:rPr>
          <w:rFonts w:ascii="Verdana" w:eastAsia="Times New Roman" w:hAnsi="Verdana" w:cs="Arial"/>
          <w:sz w:val="20"/>
          <w:szCs w:val="20"/>
          <w:lang w:val="en-US" w:eastAsia="es-ES"/>
        </w:rPr>
        <w:t>,</w:t>
      </w:r>
      <w:r w:rsidRPr="00FE7BA7">
        <w:rPr>
          <w:rFonts w:ascii="Verdana" w:eastAsia="Times New Roman" w:hAnsi="Verdana" w:cs="Arial"/>
          <w:sz w:val="20"/>
          <w:szCs w:val="20"/>
          <w:lang w:val="en-US" w:eastAsia="es-ES"/>
        </w:rPr>
        <w:t xml:space="preserve"> for this right of petition to be </w:t>
      </w:r>
      <w:r w:rsidR="00FE7BA7" w:rsidRPr="00FE7BA7">
        <w:rPr>
          <w:rFonts w:ascii="Verdana" w:eastAsia="Times New Roman" w:hAnsi="Verdana" w:cs="Arial"/>
          <w:sz w:val="20"/>
          <w:szCs w:val="20"/>
          <w:lang w:val="en-US" w:eastAsia="es-ES"/>
        </w:rPr>
        <w:t>effective</w:t>
      </w:r>
      <w:r w:rsidRPr="00FE7BA7">
        <w:rPr>
          <w:rFonts w:ascii="Verdana" w:eastAsia="Times New Roman" w:hAnsi="Verdana" w:cs="Arial"/>
          <w:sz w:val="20"/>
          <w:szCs w:val="20"/>
          <w:lang w:val="en-US" w:eastAsia="es-ES"/>
        </w:rPr>
        <w:t xml:space="preserve">, it must include a prompt, coherent, complete and detailed response to the matters indicated in the petition, regardless of whether or not it is favorable to the request. Thus, the Court recalls that Article 24 </w:t>
      </w:r>
      <w:r w:rsidRPr="00FE7BA7">
        <w:rPr>
          <w:rFonts w:ascii="Verdana" w:hAnsi="Verdana"/>
          <w:sz w:val="20"/>
          <w:szCs w:val="20"/>
          <w:shd w:val="clear" w:color="auto" w:fill="FFFFFF"/>
          <w:lang w:val="en-US"/>
        </w:rPr>
        <w:t>of the American Declaration of the Rights and Duties of Man</w:t>
      </w:r>
      <w:r w:rsidR="008A3876" w:rsidRPr="00FE7BA7">
        <w:rPr>
          <w:rFonts w:ascii="Verdana" w:hAnsi="Verdana"/>
          <w:sz w:val="20"/>
          <w:szCs w:val="20"/>
          <w:shd w:val="clear" w:color="auto" w:fill="FFFFFF"/>
          <w:lang w:val="en-US"/>
        </w:rPr>
        <w:t xml:space="preserve"> </w:t>
      </w:r>
      <w:r w:rsidRPr="00FE7BA7">
        <w:rPr>
          <w:rFonts w:ascii="Verdana" w:hAnsi="Verdana"/>
          <w:sz w:val="20"/>
          <w:szCs w:val="20"/>
          <w:shd w:val="clear" w:color="auto" w:fill="FFFFFF"/>
          <w:lang w:val="en-US"/>
        </w:rPr>
        <w:t>establishes that:</w:t>
      </w:r>
      <w:r w:rsidR="008A3876" w:rsidRPr="00FE7BA7">
        <w:rPr>
          <w:rFonts w:ascii="Verdana" w:hAnsi="Verdana"/>
          <w:sz w:val="20"/>
          <w:szCs w:val="20"/>
          <w:shd w:val="clear" w:color="auto" w:fill="FFFFFF"/>
          <w:lang w:val="en-US"/>
        </w:rPr>
        <w:t xml:space="preserve"> “</w:t>
      </w:r>
      <w:r w:rsidRPr="00FE7BA7">
        <w:rPr>
          <w:rFonts w:ascii="Verdana" w:hAnsi="Verdana"/>
          <w:sz w:val="20"/>
          <w:szCs w:val="20"/>
          <w:shd w:val="clear" w:color="auto" w:fill="FFFFFF"/>
          <w:lang w:val="en-US"/>
        </w:rPr>
        <w:t xml:space="preserve">[e]very </w:t>
      </w:r>
      <w:r w:rsidRPr="00FE7BA7">
        <w:rPr>
          <w:rFonts w:ascii="Verdana" w:hAnsi="Verdana"/>
          <w:spacing w:val="-3"/>
          <w:sz w:val="20"/>
          <w:szCs w:val="20"/>
          <w:lang w:val="en-US"/>
        </w:rPr>
        <w:t xml:space="preserve">person has the right to submit respectful petitions to any competent authority, for reasons of </w:t>
      </w:r>
      <w:proofErr w:type="gramStart"/>
      <w:r w:rsidRPr="00FE7BA7">
        <w:rPr>
          <w:rFonts w:ascii="Verdana" w:hAnsi="Verdana"/>
          <w:spacing w:val="-3"/>
          <w:sz w:val="20"/>
          <w:szCs w:val="20"/>
          <w:lang w:val="en-US"/>
        </w:rPr>
        <w:t>either general or private interest, and</w:t>
      </w:r>
      <w:proofErr w:type="gramEnd"/>
      <w:r w:rsidRPr="00FE7BA7">
        <w:rPr>
          <w:rFonts w:ascii="Verdana" w:hAnsi="Verdana"/>
          <w:spacing w:val="-3"/>
          <w:sz w:val="20"/>
          <w:szCs w:val="20"/>
          <w:lang w:val="en-US"/>
        </w:rPr>
        <w:t xml:space="preserve"> the right to obtain a prompt decision thereon.”</w:t>
      </w:r>
    </w:p>
    <w:p w14:paraId="63126A7D" w14:textId="77777777" w:rsidR="008A3876" w:rsidRPr="00FE7BA7" w:rsidRDefault="008A3876" w:rsidP="008A3876">
      <w:pPr>
        <w:autoSpaceDE w:val="0"/>
        <w:autoSpaceDN w:val="0"/>
        <w:adjustRightInd w:val="0"/>
        <w:jc w:val="both"/>
        <w:rPr>
          <w:rFonts w:ascii="Verdana" w:hAnsi="Verdana"/>
          <w:sz w:val="20"/>
          <w:szCs w:val="20"/>
          <w:lang w:val="en-US"/>
        </w:rPr>
      </w:pPr>
    </w:p>
    <w:p w14:paraId="63126A7E" w14:textId="77777777" w:rsidR="008A3876" w:rsidRPr="00FE7BA7" w:rsidRDefault="00F32607" w:rsidP="00211BB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State also provided the Decree Granting State-owned Land of June 15,</w:t>
      </w:r>
      <w:r w:rsidR="00D67ED6">
        <w:rPr>
          <w:rFonts w:ascii="Verdana" w:hAnsi="Verdana"/>
          <w:sz w:val="20"/>
          <w:szCs w:val="20"/>
          <w:lang w:val="en-US"/>
        </w:rPr>
        <w:t xml:space="preserve"> 1982, </w:t>
      </w:r>
      <w:r w:rsidRPr="00FE7BA7">
        <w:rPr>
          <w:rFonts w:ascii="Verdana" w:hAnsi="Verdana"/>
          <w:sz w:val="20"/>
          <w:szCs w:val="20"/>
          <w:lang w:val="en-US"/>
        </w:rPr>
        <w:t xml:space="preserve">known as the </w:t>
      </w:r>
      <w:r w:rsidR="008A3876" w:rsidRPr="00FE7BA7">
        <w:rPr>
          <w:rFonts w:ascii="Verdana" w:hAnsi="Verdana"/>
          <w:sz w:val="20"/>
          <w:szCs w:val="20"/>
          <w:lang w:val="en-US"/>
        </w:rPr>
        <w:t>“L</w:t>
      </w:r>
      <w:r w:rsidRPr="00FE7BA7">
        <w:rPr>
          <w:rFonts w:ascii="Verdana" w:hAnsi="Verdana"/>
          <w:sz w:val="20"/>
          <w:szCs w:val="20"/>
          <w:lang w:val="en-US"/>
        </w:rPr>
        <w:t>-</w:t>
      </w:r>
      <w:r w:rsidR="008A3876" w:rsidRPr="00FE7BA7">
        <w:rPr>
          <w:rFonts w:ascii="Verdana" w:hAnsi="Verdana"/>
          <w:sz w:val="20"/>
          <w:szCs w:val="20"/>
          <w:lang w:val="en-US"/>
        </w:rPr>
        <w:t>Decree</w:t>
      </w:r>
      <w:r w:rsidRPr="00FE7BA7">
        <w:rPr>
          <w:rFonts w:ascii="Verdana" w:hAnsi="Verdana"/>
          <w:sz w:val="20"/>
          <w:szCs w:val="20"/>
          <w:lang w:val="en-US"/>
        </w:rPr>
        <w:t>.</w:t>
      </w:r>
      <w:r w:rsidR="008A3876" w:rsidRPr="00FE7BA7">
        <w:rPr>
          <w:rFonts w:ascii="Verdana" w:hAnsi="Verdana"/>
          <w:sz w:val="20"/>
          <w:szCs w:val="20"/>
          <w:lang w:val="en-US"/>
        </w:rPr>
        <w:t xml:space="preserve">” </w:t>
      </w:r>
      <w:r w:rsidRPr="00FE7BA7">
        <w:rPr>
          <w:rFonts w:ascii="Verdana" w:hAnsi="Verdana"/>
          <w:sz w:val="20"/>
          <w:szCs w:val="20"/>
          <w:lang w:val="en-US"/>
        </w:rPr>
        <w:t xml:space="preserve">This decree establishes that, in order to request the award of State-owned land, the applicant must present </w:t>
      </w:r>
      <w:r w:rsidR="00D67ED6">
        <w:rPr>
          <w:rFonts w:ascii="Verdana" w:hAnsi="Verdana"/>
          <w:sz w:val="20"/>
          <w:szCs w:val="20"/>
          <w:lang w:val="en-US"/>
        </w:rPr>
        <w:t xml:space="preserve">a </w:t>
      </w:r>
      <w:r w:rsidRPr="00FE7BA7">
        <w:rPr>
          <w:rFonts w:ascii="Verdana" w:hAnsi="Verdana"/>
          <w:sz w:val="20"/>
          <w:szCs w:val="20"/>
          <w:lang w:val="en-US"/>
        </w:rPr>
        <w:t xml:space="preserve">written petition to the </w:t>
      </w:r>
      <w:r w:rsidR="004F2EA9" w:rsidRPr="00FE7BA7">
        <w:rPr>
          <w:rStyle w:val="Strong"/>
          <w:rFonts w:ascii="Verdana" w:hAnsi="Verdana"/>
          <w:b w:val="0"/>
          <w:sz w:val="20"/>
          <w:szCs w:val="20"/>
          <w:lang w:val="en-US"/>
        </w:rPr>
        <w:t xml:space="preserve">Ministry </w:t>
      </w:r>
      <w:r w:rsidR="00D67ED6">
        <w:rPr>
          <w:rStyle w:val="Strong"/>
          <w:rFonts w:ascii="Verdana" w:hAnsi="Verdana"/>
          <w:b w:val="0"/>
          <w:sz w:val="20"/>
          <w:szCs w:val="20"/>
          <w:lang w:val="en-US"/>
        </w:rPr>
        <w:t xml:space="preserve">of </w:t>
      </w:r>
      <w:r w:rsidR="00C07DBC">
        <w:rPr>
          <w:rStyle w:val="Strong"/>
          <w:rFonts w:ascii="Verdana" w:hAnsi="Verdana"/>
          <w:b w:val="0"/>
          <w:sz w:val="20"/>
          <w:szCs w:val="20"/>
          <w:lang w:val="en-US"/>
        </w:rPr>
        <w:t>Spatial</w:t>
      </w:r>
      <w:r w:rsidR="00D67ED6">
        <w:rPr>
          <w:rStyle w:val="Strong"/>
          <w:rFonts w:ascii="Verdana" w:hAnsi="Verdana"/>
          <w:b w:val="0"/>
          <w:sz w:val="20"/>
          <w:szCs w:val="20"/>
          <w:lang w:val="en-US"/>
        </w:rPr>
        <w:t xml:space="preserve"> Planning, Land</w:t>
      </w:r>
      <w:r w:rsidR="004F2EA9" w:rsidRPr="00FE7BA7">
        <w:rPr>
          <w:rStyle w:val="Strong"/>
          <w:rFonts w:ascii="Verdana" w:hAnsi="Verdana"/>
          <w:b w:val="0"/>
          <w:sz w:val="20"/>
          <w:szCs w:val="20"/>
          <w:lang w:val="en-US"/>
        </w:rPr>
        <w:t xml:space="preserve"> and Forestry Management,</w:t>
      </w:r>
      <w:r w:rsidR="008A3876" w:rsidRPr="00FE7BA7">
        <w:rPr>
          <w:rStyle w:val="FootnoteReference"/>
          <w:szCs w:val="20"/>
          <w:lang w:val="en-US"/>
        </w:rPr>
        <w:footnoteReference w:id="278"/>
      </w:r>
      <w:r w:rsidR="004F2EA9" w:rsidRPr="00FE7BA7">
        <w:rPr>
          <w:rFonts w:ascii="Verdana" w:hAnsi="Verdana"/>
          <w:sz w:val="20"/>
          <w:szCs w:val="20"/>
          <w:lang w:val="en-US"/>
        </w:rPr>
        <w:t xml:space="preserve"> indicating the location of the land</w:t>
      </w:r>
      <w:r w:rsidR="008A3876" w:rsidRPr="00FE7BA7">
        <w:rPr>
          <w:rFonts w:ascii="Verdana" w:hAnsi="Verdana"/>
          <w:sz w:val="20"/>
          <w:szCs w:val="20"/>
          <w:lang w:val="en-US"/>
        </w:rPr>
        <w:t xml:space="preserve"> </w:t>
      </w:r>
      <w:r w:rsidR="004F2EA9" w:rsidRPr="00FE7BA7">
        <w:rPr>
          <w:rFonts w:ascii="Verdana" w:hAnsi="Verdana"/>
          <w:sz w:val="20"/>
          <w:szCs w:val="20"/>
          <w:lang w:val="en-US"/>
        </w:rPr>
        <w:t>and the intended use.</w:t>
      </w:r>
      <w:r w:rsidR="008A3876" w:rsidRPr="00FE7BA7">
        <w:rPr>
          <w:rStyle w:val="FootnoteReference"/>
          <w:szCs w:val="20"/>
          <w:lang w:val="en-US"/>
        </w:rPr>
        <w:footnoteReference w:id="279"/>
      </w:r>
      <w:r w:rsidR="008A3876" w:rsidRPr="00FE7BA7">
        <w:rPr>
          <w:rFonts w:ascii="Verdana" w:hAnsi="Verdana"/>
          <w:sz w:val="20"/>
          <w:szCs w:val="20"/>
          <w:lang w:val="en-US"/>
        </w:rPr>
        <w:t xml:space="preserve"> </w:t>
      </w:r>
      <w:r w:rsidR="004F2EA9" w:rsidRPr="00FE7BA7">
        <w:rPr>
          <w:rFonts w:ascii="Verdana" w:hAnsi="Verdana"/>
          <w:sz w:val="20"/>
          <w:szCs w:val="20"/>
          <w:lang w:val="en-US"/>
        </w:rPr>
        <w:t xml:space="preserve">The </w:t>
      </w:r>
      <w:r w:rsidR="004F2EA9" w:rsidRPr="00FE7BA7">
        <w:rPr>
          <w:rFonts w:ascii="Verdana" w:hAnsi="Verdana"/>
          <w:sz w:val="20"/>
          <w:szCs w:val="20"/>
          <w:lang w:val="en-US"/>
        </w:rPr>
        <w:lastRenderedPageBreak/>
        <w:t>Commissioner of the corresponding district will be advised of this application</w:t>
      </w:r>
      <w:r w:rsidR="008A3876" w:rsidRPr="00FE7BA7">
        <w:rPr>
          <w:rStyle w:val="FootnoteReference"/>
          <w:szCs w:val="20"/>
          <w:lang w:val="en-US"/>
        </w:rPr>
        <w:footnoteReference w:id="280"/>
      </w:r>
      <w:r w:rsidR="002B5CCD" w:rsidRPr="00FE7BA7">
        <w:rPr>
          <w:rFonts w:ascii="Verdana" w:hAnsi="Verdana"/>
          <w:sz w:val="20"/>
          <w:szCs w:val="20"/>
          <w:lang w:val="en-US"/>
        </w:rPr>
        <w:t xml:space="preserve"> and</w:t>
      </w:r>
      <w:r w:rsidR="004F2EA9" w:rsidRPr="00FE7BA7">
        <w:rPr>
          <w:rFonts w:ascii="Verdana" w:hAnsi="Verdana"/>
          <w:sz w:val="20"/>
          <w:szCs w:val="20"/>
          <w:lang w:val="en-US"/>
        </w:rPr>
        <w:t>, eventually, it will be decided and the applicant will be advised of the decision by the Minister</w:t>
      </w:r>
      <w:r w:rsidR="002B5CCD" w:rsidRPr="00FE7BA7">
        <w:rPr>
          <w:rFonts w:ascii="Verdana" w:hAnsi="Verdana"/>
          <w:sz w:val="20"/>
          <w:szCs w:val="20"/>
          <w:lang w:val="en-US"/>
        </w:rPr>
        <w:t xml:space="preserve"> </w:t>
      </w:r>
      <w:r w:rsidR="00D67ED6">
        <w:rPr>
          <w:rStyle w:val="Strong"/>
          <w:rFonts w:ascii="Verdana" w:hAnsi="Verdana"/>
          <w:b w:val="0"/>
          <w:sz w:val="20"/>
          <w:szCs w:val="20"/>
          <w:lang w:val="en-US"/>
        </w:rPr>
        <w:t xml:space="preserve">of </w:t>
      </w:r>
      <w:r w:rsidR="00C07DBC">
        <w:rPr>
          <w:rStyle w:val="Strong"/>
          <w:rFonts w:ascii="Verdana" w:hAnsi="Verdana"/>
          <w:b w:val="0"/>
          <w:sz w:val="20"/>
          <w:szCs w:val="20"/>
          <w:lang w:val="en-US"/>
        </w:rPr>
        <w:t>Spatia</w:t>
      </w:r>
      <w:r w:rsidR="00D67ED6">
        <w:rPr>
          <w:rStyle w:val="Strong"/>
          <w:rFonts w:ascii="Verdana" w:hAnsi="Verdana"/>
          <w:b w:val="0"/>
          <w:sz w:val="20"/>
          <w:szCs w:val="20"/>
          <w:lang w:val="en-US"/>
        </w:rPr>
        <w:t>l Planning, Land</w:t>
      </w:r>
      <w:r w:rsidR="004F2EA9" w:rsidRPr="00FE7BA7">
        <w:rPr>
          <w:rStyle w:val="Strong"/>
          <w:rFonts w:ascii="Verdana" w:hAnsi="Verdana"/>
          <w:b w:val="0"/>
          <w:sz w:val="20"/>
          <w:szCs w:val="20"/>
          <w:lang w:val="en-US"/>
        </w:rPr>
        <w:t xml:space="preserve"> and Forestry Managemen</w:t>
      </w:r>
      <w:r w:rsidR="00D67ED6">
        <w:rPr>
          <w:rStyle w:val="Strong"/>
          <w:rFonts w:ascii="Verdana" w:hAnsi="Verdana"/>
          <w:b w:val="0"/>
          <w:sz w:val="20"/>
          <w:szCs w:val="20"/>
          <w:lang w:val="en-US"/>
        </w:rPr>
        <w:t>t</w:t>
      </w:r>
      <w:r w:rsidR="004F2EA9" w:rsidRPr="00FE7BA7">
        <w:rPr>
          <w:rStyle w:val="Strong"/>
          <w:rFonts w:ascii="Verdana" w:hAnsi="Verdana"/>
          <w:b w:val="0"/>
          <w:sz w:val="20"/>
          <w:szCs w:val="20"/>
          <w:lang w:val="en-US"/>
        </w:rPr>
        <w:t xml:space="preserve"> </w:t>
      </w:r>
      <w:proofErr w:type="gramStart"/>
      <w:r w:rsidR="004F2EA9" w:rsidRPr="00FE7BA7">
        <w:rPr>
          <w:rStyle w:val="Strong"/>
          <w:rFonts w:ascii="Verdana" w:hAnsi="Verdana"/>
          <w:b w:val="0"/>
          <w:sz w:val="20"/>
          <w:szCs w:val="20"/>
          <w:lang w:val="en-US"/>
        </w:rPr>
        <w:t>himself</w:t>
      </w:r>
      <w:proofErr w:type="gramEnd"/>
      <w:r w:rsidR="004F2EA9" w:rsidRPr="00FE7BA7">
        <w:rPr>
          <w:rStyle w:val="Strong"/>
          <w:rFonts w:ascii="Verdana" w:hAnsi="Verdana"/>
          <w:b w:val="0"/>
          <w:sz w:val="20"/>
          <w:szCs w:val="20"/>
          <w:lang w:val="en-US"/>
        </w:rPr>
        <w:t>.</w:t>
      </w:r>
      <w:r w:rsidR="008A3876" w:rsidRPr="00FE7BA7">
        <w:rPr>
          <w:rStyle w:val="FootnoteReference"/>
          <w:szCs w:val="20"/>
          <w:lang w:val="en-US"/>
        </w:rPr>
        <w:footnoteReference w:id="281"/>
      </w:r>
      <w:r w:rsidR="004F2EA9" w:rsidRPr="00FE7BA7">
        <w:rPr>
          <w:rFonts w:ascii="Verdana" w:hAnsi="Verdana"/>
          <w:sz w:val="20"/>
          <w:szCs w:val="20"/>
          <w:lang w:val="en-US"/>
        </w:rPr>
        <w:t xml:space="preserve"> The Court has noted that </w:t>
      </w:r>
      <w:r w:rsidR="00211BB3" w:rsidRPr="00FE7BA7">
        <w:rPr>
          <w:rFonts w:ascii="Verdana" w:hAnsi="Verdana"/>
          <w:sz w:val="20"/>
          <w:szCs w:val="20"/>
          <w:lang w:val="en-US"/>
        </w:rPr>
        <w:t xml:space="preserve">the procedures established in this instrument refer, in </w:t>
      </w:r>
      <w:r w:rsidR="00FE7BA7" w:rsidRPr="00FE7BA7">
        <w:rPr>
          <w:rFonts w:ascii="Verdana" w:hAnsi="Verdana"/>
          <w:sz w:val="20"/>
          <w:szCs w:val="20"/>
          <w:lang w:val="en-US"/>
        </w:rPr>
        <w:t>general</w:t>
      </w:r>
      <w:r w:rsidR="00211BB3" w:rsidRPr="00FE7BA7">
        <w:rPr>
          <w:rFonts w:ascii="Verdana" w:hAnsi="Verdana"/>
          <w:sz w:val="20"/>
          <w:szCs w:val="20"/>
          <w:lang w:val="en-US"/>
        </w:rPr>
        <w:t>, to the granting of State-owned land to individuals or legal persons who reside in Suriname,</w:t>
      </w:r>
      <w:r w:rsidR="008A3876" w:rsidRPr="00FE7BA7">
        <w:rPr>
          <w:rStyle w:val="FootnoteReference"/>
          <w:szCs w:val="20"/>
          <w:lang w:val="en-US"/>
        </w:rPr>
        <w:footnoteReference w:id="282"/>
      </w:r>
      <w:r w:rsidR="00211BB3" w:rsidRPr="00FE7BA7">
        <w:rPr>
          <w:rFonts w:ascii="Verdana" w:hAnsi="Verdana"/>
          <w:sz w:val="20"/>
          <w:szCs w:val="20"/>
          <w:lang w:val="en-US"/>
        </w:rPr>
        <w:t xml:space="preserve"> and are unrelated to specific claims concerning </w:t>
      </w:r>
      <w:r w:rsidR="00D67ED6">
        <w:rPr>
          <w:rFonts w:ascii="Verdana" w:hAnsi="Verdana"/>
          <w:sz w:val="20"/>
          <w:szCs w:val="20"/>
          <w:lang w:val="en-US"/>
        </w:rPr>
        <w:t xml:space="preserve">the </w:t>
      </w:r>
      <w:r w:rsidR="00211BB3" w:rsidRPr="00FE7BA7">
        <w:rPr>
          <w:rFonts w:ascii="Verdana" w:hAnsi="Verdana"/>
          <w:sz w:val="20"/>
          <w:szCs w:val="20"/>
          <w:lang w:val="en-US"/>
        </w:rPr>
        <w:t xml:space="preserve">land of indigenous peoples such as those examined in this case. Moreover, the State did not </w:t>
      </w:r>
      <w:r w:rsidR="00D67ED6">
        <w:rPr>
          <w:rFonts w:ascii="Verdana" w:hAnsi="Verdana"/>
          <w:sz w:val="20"/>
          <w:szCs w:val="20"/>
          <w:lang w:val="en-US"/>
        </w:rPr>
        <w:t>specify</w:t>
      </w:r>
      <w:r w:rsidR="00211BB3" w:rsidRPr="00FE7BA7">
        <w:rPr>
          <w:rFonts w:ascii="Verdana" w:hAnsi="Verdana"/>
          <w:sz w:val="20"/>
          <w:szCs w:val="20"/>
          <w:lang w:val="en-US"/>
        </w:rPr>
        <w:t xml:space="preserve"> how the procedure could provide satisfactory redress for the violations alleged by </w:t>
      </w:r>
      <w:r w:rsidR="002B5CCD" w:rsidRPr="00FE7BA7">
        <w:rPr>
          <w:rFonts w:ascii="Verdana" w:eastAsia="Times New Roman" w:hAnsi="Verdana"/>
          <w:spacing w:val="-2"/>
          <w:sz w:val="20"/>
          <w:szCs w:val="20"/>
          <w:lang w:val="en-US" w:eastAsia="es-ES"/>
        </w:rPr>
        <w:t xml:space="preserve">the </w:t>
      </w:r>
      <w:r w:rsidR="004C7D14" w:rsidRPr="00FE7BA7">
        <w:rPr>
          <w:rFonts w:ascii="Verdana" w:eastAsia="Times New Roman" w:hAnsi="Verdana"/>
          <w:spacing w:val="-2"/>
          <w:sz w:val="20"/>
          <w:szCs w:val="20"/>
          <w:lang w:val="en-US" w:eastAsia="es-ES"/>
        </w:rPr>
        <w:t>Kaliña and Lokono peoples</w:t>
      </w:r>
      <w:r w:rsidR="00211BB3" w:rsidRPr="00FE7BA7">
        <w:rPr>
          <w:rFonts w:ascii="Verdana" w:eastAsia="Times New Roman" w:hAnsi="Verdana"/>
          <w:spacing w:val="-2"/>
          <w:sz w:val="20"/>
          <w:szCs w:val="20"/>
          <w:lang w:val="en-US" w:eastAsia="es-ES"/>
        </w:rPr>
        <w:t xml:space="preserve">; particularly, considering that they lack legitimacy to request the award of the land, because the State does not recognize the collective </w:t>
      </w:r>
      <w:r w:rsidR="00D67ED6">
        <w:rPr>
          <w:rFonts w:ascii="Verdana" w:eastAsia="Times New Roman" w:hAnsi="Verdana"/>
          <w:spacing w:val="-2"/>
          <w:sz w:val="20"/>
          <w:szCs w:val="20"/>
          <w:lang w:val="en-US" w:eastAsia="es-ES"/>
        </w:rPr>
        <w:t xml:space="preserve">legal </w:t>
      </w:r>
      <w:r w:rsidR="00211BB3" w:rsidRPr="00FE7BA7">
        <w:rPr>
          <w:rFonts w:ascii="Verdana" w:eastAsia="Times New Roman" w:hAnsi="Verdana"/>
          <w:spacing w:val="-2"/>
          <w:sz w:val="20"/>
          <w:szCs w:val="20"/>
          <w:lang w:val="en-US" w:eastAsia="es-ES"/>
        </w:rPr>
        <w:t xml:space="preserve">personality </w:t>
      </w:r>
      <w:r w:rsidR="00BD40EF" w:rsidRPr="00FE7BA7">
        <w:rPr>
          <w:rFonts w:ascii="Verdana" w:eastAsia="Times New Roman" w:hAnsi="Verdana"/>
          <w:spacing w:val="-2"/>
          <w:sz w:val="20"/>
          <w:szCs w:val="20"/>
          <w:lang w:val="en-US" w:eastAsia="es-ES"/>
        </w:rPr>
        <w:t>of the indigenous peoples</w:t>
      </w:r>
      <w:r w:rsidR="008E016A" w:rsidRPr="00FE7BA7">
        <w:rPr>
          <w:rFonts w:ascii="Verdana" w:eastAsia="Times New Roman" w:hAnsi="Verdana"/>
          <w:spacing w:val="-2"/>
          <w:sz w:val="20"/>
          <w:szCs w:val="20"/>
          <w:lang w:val="en-US" w:eastAsia="es-ES"/>
        </w:rPr>
        <w:t xml:space="preserve"> (</w:t>
      </w:r>
      <w:r w:rsidR="008E016A" w:rsidRPr="00FE7BA7">
        <w:rPr>
          <w:rFonts w:ascii="Verdana" w:eastAsia="Times New Roman" w:hAnsi="Verdana"/>
          <w:i/>
          <w:spacing w:val="-2"/>
          <w:sz w:val="20"/>
          <w:szCs w:val="20"/>
          <w:lang w:val="en-US" w:eastAsia="es-ES"/>
        </w:rPr>
        <w:t>supra</w:t>
      </w:r>
      <w:r w:rsidR="008E016A" w:rsidRPr="00FE7BA7">
        <w:rPr>
          <w:rFonts w:ascii="Verdana" w:eastAsia="Times New Roman" w:hAnsi="Verdana"/>
          <w:spacing w:val="-2"/>
          <w:sz w:val="20"/>
          <w:szCs w:val="20"/>
          <w:lang w:val="en-US" w:eastAsia="es-ES"/>
        </w:rPr>
        <w:t xml:space="preserve"> </w:t>
      </w:r>
      <w:r w:rsidR="00810FAD" w:rsidRPr="00FE7BA7">
        <w:rPr>
          <w:rFonts w:ascii="Verdana" w:eastAsia="Times New Roman" w:hAnsi="Verdana"/>
          <w:spacing w:val="-2"/>
          <w:sz w:val="20"/>
          <w:szCs w:val="20"/>
          <w:lang w:val="en-US" w:eastAsia="es-ES"/>
        </w:rPr>
        <w:t>para.</w:t>
      </w:r>
      <w:r w:rsidR="008E016A" w:rsidRPr="00FE7BA7">
        <w:rPr>
          <w:rFonts w:ascii="Verdana" w:eastAsia="Times New Roman" w:hAnsi="Verdana"/>
          <w:spacing w:val="-2"/>
          <w:sz w:val="20"/>
          <w:szCs w:val="20"/>
          <w:lang w:val="en-US" w:eastAsia="es-ES"/>
        </w:rPr>
        <w:t xml:space="preserve"> </w:t>
      </w:r>
      <w:r w:rsidR="00D30AF0" w:rsidRPr="00FE7BA7">
        <w:rPr>
          <w:rFonts w:ascii="Verdana" w:eastAsia="Times New Roman" w:hAnsi="Verdana"/>
          <w:spacing w:val="-2"/>
          <w:sz w:val="20"/>
          <w:szCs w:val="20"/>
          <w:lang w:val="en-US" w:eastAsia="es-ES"/>
        </w:rPr>
        <w:t>1</w:t>
      </w:r>
      <w:r w:rsidR="00BE2256" w:rsidRPr="00FE7BA7">
        <w:rPr>
          <w:rFonts w:ascii="Verdana" w:eastAsia="Times New Roman" w:hAnsi="Verdana"/>
          <w:spacing w:val="-2"/>
          <w:sz w:val="20"/>
          <w:szCs w:val="20"/>
          <w:lang w:val="en-US" w:eastAsia="es-ES"/>
        </w:rPr>
        <w:t>12</w:t>
      </w:r>
      <w:r w:rsidR="008E016A" w:rsidRPr="00FE7BA7">
        <w:rPr>
          <w:rFonts w:ascii="Verdana" w:eastAsia="Times New Roman" w:hAnsi="Verdana"/>
          <w:spacing w:val="-2"/>
          <w:sz w:val="20"/>
          <w:szCs w:val="20"/>
          <w:lang w:val="en-US" w:eastAsia="es-ES"/>
        </w:rPr>
        <w:t>)</w:t>
      </w:r>
      <w:r w:rsidR="00880EAE" w:rsidRPr="00FE7BA7">
        <w:rPr>
          <w:rFonts w:ascii="Verdana" w:eastAsia="Times New Roman" w:hAnsi="Verdana"/>
          <w:spacing w:val="-2"/>
          <w:sz w:val="20"/>
          <w:szCs w:val="20"/>
          <w:lang w:val="en-US" w:eastAsia="es-ES"/>
        </w:rPr>
        <w:t>.</w:t>
      </w:r>
    </w:p>
    <w:p w14:paraId="63126A7F" w14:textId="77777777" w:rsidR="008A3876" w:rsidRPr="00FE7BA7" w:rsidRDefault="008A3876" w:rsidP="008A3876">
      <w:pPr>
        <w:jc w:val="both"/>
        <w:rPr>
          <w:rFonts w:ascii="Verdana" w:hAnsi="Verdana"/>
          <w:sz w:val="20"/>
          <w:szCs w:val="20"/>
          <w:lang w:val="en-US"/>
        </w:rPr>
      </w:pPr>
    </w:p>
    <w:p w14:paraId="63126A80" w14:textId="7272251A" w:rsidR="008A3876" w:rsidRPr="00FE7BA7" w:rsidRDefault="00211BB3" w:rsidP="00211BB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Furthermore, the Court notes that, in his report of August 18, 2011, the Special Rapporteur on the rights of </w:t>
      </w:r>
      <w:r w:rsidR="00BD40EF" w:rsidRPr="00FE7BA7">
        <w:rPr>
          <w:rFonts w:ascii="Verdana" w:hAnsi="Verdana"/>
          <w:sz w:val="20"/>
          <w:szCs w:val="20"/>
          <w:lang w:val="en-US"/>
        </w:rPr>
        <w:t>indigenous peoples</w:t>
      </w:r>
      <w:r w:rsidR="008A3876" w:rsidRPr="00FE7BA7">
        <w:rPr>
          <w:rFonts w:ascii="Verdana" w:hAnsi="Verdana"/>
          <w:sz w:val="20"/>
          <w:szCs w:val="20"/>
          <w:lang w:val="en-US"/>
        </w:rPr>
        <w:t xml:space="preserve"> </w:t>
      </w:r>
      <w:r w:rsidRPr="00FE7BA7">
        <w:rPr>
          <w:rFonts w:ascii="Verdana" w:hAnsi="Verdana"/>
          <w:sz w:val="20"/>
          <w:szCs w:val="20"/>
          <w:lang w:val="en-US"/>
        </w:rPr>
        <w:t xml:space="preserve">of the United Nations asserted that it was evident </w:t>
      </w:r>
      <w:r w:rsidRPr="00FE7BA7">
        <w:rPr>
          <w:rFonts w:ascii="Verdana" w:eastAsia="Times New Roman" w:hAnsi="Verdana"/>
          <w:sz w:val="20"/>
          <w:szCs w:val="20"/>
          <w:lang w:val="en-US"/>
        </w:rPr>
        <w:t xml:space="preserve">that Suriname must adopt legislative provisions or regulations that would provide adequately specific and concrete protections and procedures to secure the rights </w:t>
      </w:r>
      <w:r w:rsidRPr="00FE7BA7">
        <w:rPr>
          <w:rFonts w:ascii="Verdana" w:hAnsi="Verdana"/>
          <w:sz w:val="20"/>
          <w:szCs w:val="20"/>
          <w:lang w:val="en-US"/>
        </w:rPr>
        <w:t xml:space="preserve">of indigenous and tribal peoples. Thus, in light of the judgments delivered by the Court in the </w:t>
      </w:r>
      <w:r w:rsidR="008A4ABB" w:rsidRPr="00FE7BA7">
        <w:rPr>
          <w:rFonts w:ascii="Verdana" w:hAnsi="Verdana"/>
          <w:i/>
          <w:sz w:val="20"/>
          <w:szCs w:val="20"/>
          <w:lang w:val="en-US"/>
        </w:rPr>
        <w:t>Moiwana</w:t>
      </w:r>
      <w:r w:rsidR="002B5CCD" w:rsidRPr="00FE7BA7">
        <w:rPr>
          <w:rFonts w:ascii="Verdana" w:hAnsi="Verdana"/>
          <w:sz w:val="20"/>
          <w:szCs w:val="20"/>
          <w:lang w:val="en-US"/>
        </w:rPr>
        <w:t xml:space="preserve"> and </w:t>
      </w:r>
      <w:r w:rsidR="008A4ABB" w:rsidRPr="00FE7BA7">
        <w:rPr>
          <w:rFonts w:ascii="Verdana" w:hAnsi="Verdana"/>
          <w:i/>
          <w:sz w:val="20"/>
          <w:szCs w:val="20"/>
          <w:lang w:val="en-US"/>
        </w:rPr>
        <w:t>Saramaka</w:t>
      </w:r>
      <w:r w:rsidR="008A3876" w:rsidRPr="00FE7BA7">
        <w:rPr>
          <w:rFonts w:ascii="Verdana" w:hAnsi="Verdana"/>
          <w:sz w:val="20"/>
          <w:szCs w:val="20"/>
          <w:lang w:val="en-US"/>
        </w:rPr>
        <w:t xml:space="preserve"> </w:t>
      </w:r>
      <w:r w:rsidRPr="00FE7BA7">
        <w:rPr>
          <w:rFonts w:ascii="Verdana" w:hAnsi="Verdana"/>
          <w:sz w:val="20"/>
          <w:szCs w:val="20"/>
          <w:lang w:val="en-US"/>
        </w:rPr>
        <w:t xml:space="preserve">cases, he recommended that </w:t>
      </w:r>
      <w:r w:rsidRPr="00FE7BA7">
        <w:rPr>
          <w:rFonts w:ascii="Verdana" w:eastAsia="Times New Roman" w:hAnsi="Verdana"/>
          <w:sz w:val="20"/>
          <w:szCs w:val="20"/>
          <w:lang w:val="en-US"/>
        </w:rPr>
        <w:t>priority should be placed on developing specific legal provisions on two point: (</w:t>
      </w:r>
      <w:r w:rsidR="001F0214">
        <w:rPr>
          <w:rFonts w:ascii="Verdana" w:eastAsia="Times New Roman" w:hAnsi="Verdana"/>
          <w:sz w:val="20"/>
          <w:szCs w:val="20"/>
          <w:lang w:val="en-US"/>
        </w:rPr>
        <w:t>i</w:t>
      </w:r>
      <w:r w:rsidRPr="00FE7BA7">
        <w:rPr>
          <w:rFonts w:ascii="Verdana" w:eastAsia="Times New Roman" w:hAnsi="Verdana"/>
          <w:sz w:val="20"/>
          <w:szCs w:val="20"/>
          <w:lang w:val="en-US"/>
        </w:rPr>
        <w:t>) a procedure to identify and title indigenous and tribal lands, and (</w:t>
      </w:r>
      <w:r w:rsidR="001F0214">
        <w:rPr>
          <w:rFonts w:ascii="Verdana" w:eastAsia="Times New Roman" w:hAnsi="Verdana"/>
          <w:sz w:val="20"/>
          <w:szCs w:val="20"/>
          <w:lang w:val="en-US"/>
        </w:rPr>
        <w:t>ii</w:t>
      </w:r>
      <w:r w:rsidRPr="00FE7BA7">
        <w:rPr>
          <w:rFonts w:ascii="Verdana" w:eastAsia="Times New Roman" w:hAnsi="Verdana"/>
          <w:sz w:val="20"/>
          <w:szCs w:val="20"/>
          <w:lang w:val="en-US"/>
        </w:rPr>
        <w:t>) a procedure for consulting with</w:t>
      </w:r>
      <w:r w:rsidR="00D67ED6">
        <w:rPr>
          <w:rFonts w:ascii="Verdana" w:eastAsia="Times New Roman" w:hAnsi="Verdana"/>
          <w:sz w:val="20"/>
          <w:szCs w:val="20"/>
          <w:lang w:val="en-US"/>
        </w:rPr>
        <w:t>,</w:t>
      </w:r>
      <w:r w:rsidRPr="00FE7BA7">
        <w:rPr>
          <w:rFonts w:ascii="Verdana" w:eastAsia="Times New Roman" w:hAnsi="Verdana"/>
          <w:sz w:val="20"/>
          <w:szCs w:val="20"/>
          <w:lang w:val="en-US"/>
        </w:rPr>
        <w:t xml:space="preserve"> and seeking consent o</w:t>
      </w:r>
      <w:r w:rsidR="00D67ED6">
        <w:rPr>
          <w:rFonts w:ascii="Verdana" w:eastAsia="Times New Roman" w:hAnsi="Verdana"/>
          <w:sz w:val="20"/>
          <w:szCs w:val="20"/>
          <w:lang w:val="en-US"/>
        </w:rPr>
        <w:t>f,</w:t>
      </w:r>
      <w:r w:rsidRPr="00FE7BA7">
        <w:rPr>
          <w:rFonts w:ascii="Verdana" w:eastAsia="Times New Roman" w:hAnsi="Verdana"/>
          <w:sz w:val="20"/>
          <w:szCs w:val="20"/>
          <w:lang w:val="en-US"/>
        </w:rPr>
        <w:t xml:space="preserve"> indigenous and tribal peoples for resource extraction and other activities affecting their lands.</w:t>
      </w:r>
      <w:r w:rsidR="008A3876" w:rsidRPr="00FE7BA7">
        <w:rPr>
          <w:rStyle w:val="FootnoteReference"/>
          <w:szCs w:val="20"/>
          <w:lang w:val="en-US"/>
        </w:rPr>
        <w:footnoteReference w:id="283"/>
      </w:r>
      <w:r w:rsidR="008A3876" w:rsidRPr="00FE7BA7">
        <w:rPr>
          <w:rFonts w:ascii="Verdana" w:hAnsi="Verdana"/>
          <w:sz w:val="20"/>
          <w:szCs w:val="20"/>
          <w:lang w:val="en-US"/>
        </w:rPr>
        <w:t xml:space="preserve"> </w:t>
      </w:r>
    </w:p>
    <w:p w14:paraId="63126A81" w14:textId="77777777" w:rsidR="008A3876" w:rsidRPr="00FE7BA7" w:rsidRDefault="008A3876" w:rsidP="008A3876">
      <w:pPr>
        <w:jc w:val="both"/>
        <w:rPr>
          <w:rFonts w:ascii="Verdana" w:hAnsi="Verdana"/>
          <w:sz w:val="20"/>
          <w:szCs w:val="20"/>
          <w:lang w:val="en-US"/>
        </w:rPr>
      </w:pPr>
    </w:p>
    <w:p w14:paraId="63126A82" w14:textId="77777777" w:rsidR="008A3876" w:rsidRPr="00FE7BA7" w:rsidRDefault="00211BB3"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Consequently, the Court considers that the norms analyzed in this case do not include administrative or judicial remedies establishing procedures for the protection of the right to collective property of</w:t>
      </w:r>
      <w:r w:rsidR="00511E56" w:rsidRPr="00FE7BA7">
        <w:rPr>
          <w:rFonts w:ascii="Verdana" w:hAnsi="Verdana"/>
          <w:sz w:val="20"/>
          <w:szCs w:val="20"/>
          <w:lang w:val="en-US"/>
        </w:rPr>
        <w:t xml:space="preserve"> </w:t>
      </w:r>
      <w:r w:rsidR="00967E6B" w:rsidRPr="00FE7BA7">
        <w:rPr>
          <w:rFonts w:ascii="Verdana" w:hAnsi="Verdana"/>
          <w:sz w:val="20"/>
          <w:szCs w:val="20"/>
          <w:lang w:val="en-US"/>
        </w:rPr>
        <w:t xml:space="preserve">indigenous and </w:t>
      </w:r>
      <w:r w:rsidR="00F32607" w:rsidRPr="00FE7BA7">
        <w:rPr>
          <w:rFonts w:ascii="Verdana" w:hAnsi="Verdana"/>
          <w:sz w:val="20"/>
          <w:szCs w:val="20"/>
          <w:lang w:val="en-US"/>
        </w:rPr>
        <w:t>tribal peoples</w:t>
      </w:r>
      <w:r w:rsidR="008A3876" w:rsidRPr="00FE7BA7">
        <w:rPr>
          <w:rFonts w:ascii="Verdana" w:hAnsi="Verdana"/>
          <w:sz w:val="20"/>
          <w:szCs w:val="20"/>
          <w:lang w:val="en-US"/>
        </w:rPr>
        <w:t>.</w:t>
      </w:r>
    </w:p>
    <w:p w14:paraId="63126A83" w14:textId="77777777" w:rsidR="008A3876" w:rsidRPr="00FE7BA7" w:rsidRDefault="008A3876" w:rsidP="008A3876">
      <w:pPr>
        <w:jc w:val="both"/>
        <w:rPr>
          <w:rFonts w:ascii="Verdana" w:hAnsi="Verdana"/>
          <w:sz w:val="20"/>
          <w:szCs w:val="20"/>
          <w:lang w:val="en-US"/>
        </w:rPr>
      </w:pPr>
    </w:p>
    <w:p w14:paraId="63126A84" w14:textId="77777777" w:rsidR="008A3876" w:rsidRPr="00FE7BA7" w:rsidRDefault="00211BB3"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Nevertheless, the Court takes into consideration that,</w:t>
      </w:r>
      <w:r w:rsidR="00FD14B3" w:rsidRPr="00FE7BA7">
        <w:rPr>
          <w:rFonts w:ascii="Verdana" w:hAnsi="Verdana"/>
          <w:sz w:val="20"/>
          <w:szCs w:val="20"/>
          <w:lang w:val="en-US"/>
        </w:rPr>
        <w:t xml:space="preserve"> during </w:t>
      </w:r>
      <w:r w:rsidR="00810FAD" w:rsidRPr="00FE7BA7">
        <w:rPr>
          <w:rFonts w:ascii="Verdana" w:hAnsi="Verdana"/>
          <w:sz w:val="20"/>
          <w:szCs w:val="20"/>
          <w:lang w:val="en-US"/>
        </w:rPr>
        <w:t>the public hearing</w:t>
      </w:r>
      <w:r w:rsidR="008A3876" w:rsidRPr="00FE7BA7">
        <w:rPr>
          <w:rFonts w:ascii="Verdana" w:hAnsi="Verdana"/>
          <w:sz w:val="20"/>
          <w:szCs w:val="20"/>
          <w:lang w:val="en-US"/>
        </w:rPr>
        <w:t xml:space="preserve"> </w:t>
      </w:r>
      <w:r w:rsidRPr="00FE7BA7">
        <w:rPr>
          <w:rFonts w:ascii="Verdana" w:hAnsi="Verdana"/>
          <w:sz w:val="20"/>
          <w:szCs w:val="20"/>
          <w:lang w:val="en-US"/>
        </w:rPr>
        <w:t>in this case, the State ind</w:t>
      </w:r>
      <w:r w:rsidR="00D67ED6">
        <w:rPr>
          <w:rFonts w:ascii="Verdana" w:hAnsi="Verdana"/>
          <w:sz w:val="20"/>
          <w:szCs w:val="20"/>
          <w:lang w:val="en-US"/>
        </w:rPr>
        <w:t xml:space="preserve">icated that it was “aware that </w:t>
      </w:r>
      <w:r w:rsidRPr="00FE7BA7">
        <w:rPr>
          <w:rFonts w:ascii="Verdana" w:hAnsi="Verdana"/>
          <w:sz w:val="20"/>
          <w:szCs w:val="20"/>
          <w:lang w:val="en-US"/>
        </w:rPr>
        <w:t xml:space="preserve">the laws of Suriname do not yet comply with international standards,” and therefore asked the Court to </w:t>
      </w:r>
      <w:r w:rsidR="00D67ED6">
        <w:rPr>
          <w:rFonts w:ascii="Verdana" w:hAnsi="Verdana"/>
          <w:sz w:val="20"/>
          <w:szCs w:val="20"/>
          <w:lang w:val="en-US"/>
        </w:rPr>
        <w:t xml:space="preserve">provide it with guidance </w:t>
      </w:r>
      <w:r w:rsidRPr="00FE7BA7">
        <w:rPr>
          <w:rFonts w:ascii="Verdana" w:hAnsi="Verdana"/>
          <w:sz w:val="20"/>
          <w:szCs w:val="20"/>
          <w:lang w:val="en-US"/>
        </w:rPr>
        <w:t>in order to resolve the complex issues related to the recognition of the rights of</w:t>
      </w:r>
      <w:r w:rsidR="00511E56" w:rsidRPr="00FE7BA7">
        <w:rPr>
          <w:rFonts w:ascii="Verdana" w:hAnsi="Verdana"/>
          <w:sz w:val="20"/>
          <w:szCs w:val="20"/>
          <w:lang w:val="en-US"/>
        </w:rPr>
        <w:t xml:space="preserve"> </w:t>
      </w:r>
      <w:r w:rsidR="00967E6B" w:rsidRPr="00FE7BA7">
        <w:rPr>
          <w:rFonts w:ascii="Verdana" w:hAnsi="Verdana"/>
          <w:sz w:val="20"/>
          <w:szCs w:val="20"/>
          <w:lang w:val="en-US"/>
        </w:rPr>
        <w:t>indigenous and tribal peoples in</w:t>
      </w:r>
      <w:r w:rsidR="008A3876" w:rsidRPr="00FE7BA7">
        <w:rPr>
          <w:rFonts w:ascii="Verdana" w:hAnsi="Verdana"/>
          <w:sz w:val="20"/>
          <w:szCs w:val="20"/>
          <w:lang w:val="en-US"/>
        </w:rPr>
        <w:t xml:space="preserve"> </w:t>
      </w:r>
      <w:r w:rsidR="002B5CCD" w:rsidRPr="00FE7BA7">
        <w:rPr>
          <w:rFonts w:ascii="Verdana" w:hAnsi="Verdana"/>
          <w:sz w:val="20"/>
          <w:szCs w:val="20"/>
          <w:lang w:val="en-US"/>
        </w:rPr>
        <w:t>Suriname</w:t>
      </w:r>
      <w:r w:rsidRPr="00FE7BA7">
        <w:rPr>
          <w:rFonts w:ascii="Verdana" w:hAnsi="Verdana"/>
          <w:sz w:val="20"/>
          <w:szCs w:val="20"/>
          <w:lang w:val="en-US"/>
        </w:rPr>
        <w:t>.</w:t>
      </w:r>
    </w:p>
    <w:p w14:paraId="63126A85" w14:textId="77777777" w:rsidR="008A3876" w:rsidRPr="00FE7BA7" w:rsidRDefault="008A3876" w:rsidP="008A3876">
      <w:pPr>
        <w:jc w:val="both"/>
        <w:rPr>
          <w:rFonts w:ascii="Verdana" w:hAnsi="Verdana"/>
          <w:sz w:val="20"/>
          <w:szCs w:val="20"/>
          <w:lang w:val="en-US"/>
        </w:rPr>
      </w:pPr>
    </w:p>
    <w:p w14:paraId="63126A86" w14:textId="77777777" w:rsidR="009A2779" w:rsidRPr="00FE7BA7" w:rsidRDefault="00211BB3" w:rsidP="00366D9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Thus, the Court finds that, pursuant to its case law, as well as to other relevant international standards, in order to ensure the human rights </w:t>
      </w:r>
      <w:r w:rsidR="00BD40EF" w:rsidRPr="00FE7BA7">
        <w:rPr>
          <w:rFonts w:ascii="Verdana" w:hAnsi="Verdana"/>
          <w:sz w:val="20"/>
          <w:szCs w:val="20"/>
          <w:lang w:val="en-US"/>
        </w:rPr>
        <w:t>of the indigenous peoples</w:t>
      </w:r>
      <w:r w:rsidR="00DE3742" w:rsidRPr="00FE7BA7">
        <w:rPr>
          <w:rFonts w:ascii="Verdana" w:hAnsi="Verdana"/>
          <w:sz w:val="20"/>
          <w:szCs w:val="20"/>
          <w:lang w:val="en-US"/>
        </w:rPr>
        <w:t xml:space="preserve">, </w:t>
      </w:r>
      <w:r w:rsidR="00D67ED6" w:rsidRPr="00FE7BA7">
        <w:rPr>
          <w:rFonts w:ascii="Verdana" w:hAnsi="Verdana"/>
          <w:sz w:val="20"/>
          <w:szCs w:val="20"/>
          <w:lang w:val="en-US"/>
        </w:rPr>
        <w:t xml:space="preserve">the domestic remedies should be interpreted and applied </w:t>
      </w:r>
      <w:r w:rsidRPr="00FE7BA7">
        <w:rPr>
          <w:rFonts w:ascii="Verdana" w:hAnsi="Verdana"/>
          <w:sz w:val="20"/>
          <w:szCs w:val="20"/>
          <w:lang w:val="en-US"/>
        </w:rPr>
        <w:t xml:space="preserve">taking the following criteria into account: </w:t>
      </w:r>
    </w:p>
    <w:p w14:paraId="63126A87" w14:textId="77777777" w:rsidR="009A2779" w:rsidRPr="00FE7BA7" w:rsidRDefault="009A2779" w:rsidP="00366D91">
      <w:pPr>
        <w:pStyle w:val="ListParagraph"/>
        <w:ind w:left="0"/>
        <w:jc w:val="both"/>
        <w:rPr>
          <w:rFonts w:ascii="Verdana" w:hAnsi="Verdana"/>
          <w:sz w:val="20"/>
          <w:szCs w:val="20"/>
          <w:lang w:val="en-US"/>
        </w:rPr>
      </w:pPr>
    </w:p>
    <w:p w14:paraId="63126A88" w14:textId="77777777" w:rsidR="00CC293F" w:rsidRPr="00FE7BA7" w:rsidRDefault="00D67ED6" w:rsidP="00CC293F">
      <w:pPr>
        <w:pStyle w:val="ListParagraph"/>
        <w:numPr>
          <w:ilvl w:val="0"/>
          <w:numId w:val="31"/>
        </w:numPr>
        <w:tabs>
          <w:tab w:val="left" w:pos="270"/>
          <w:tab w:val="left" w:pos="709"/>
        </w:tabs>
        <w:ind w:left="426" w:firstLine="0"/>
        <w:jc w:val="both"/>
        <w:rPr>
          <w:rFonts w:ascii="Verdana" w:eastAsia="Times New Roman" w:hAnsi="Verdana"/>
          <w:spacing w:val="-2"/>
          <w:sz w:val="20"/>
          <w:szCs w:val="20"/>
          <w:lang w:val="en-US" w:eastAsia="es-ES"/>
        </w:rPr>
      </w:pPr>
      <w:r>
        <w:rPr>
          <w:rFonts w:ascii="Verdana" w:hAnsi="Verdana"/>
          <w:sz w:val="20"/>
          <w:szCs w:val="20"/>
          <w:lang w:val="en-US"/>
        </w:rPr>
        <w:t>The r</w:t>
      </w:r>
      <w:r w:rsidR="00773D70" w:rsidRPr="00FE7BA7">
        <w:rPr>
          <w:rFonts w:ascii="Verdana" w:hAnsi="Verdana"/>
          <w:sz w:val="20"/>
          <w:szCs w:val="20"/>
          <w:lang w:val="en-US"/>
        </w:rPr>
        <w:t>ecognition of</w:t>
      </w:r>
      <w:r w:rsidR="00211BB3" w:rsidRPr="00FE7BA7">
        <w:rPr>
          <w:rFonts w:ascii="Verdana" w:hAnsi="Verdana"/>
          <w:sz w:val="20"/>
          <w:szCs w:val="20"/>
          <w:lang w:val="en-US"/>
        </w:rPr>
        <w:t xml:space="preserve"> collective</w:t>
      </w:r>
      <w:r w:rsidR="00773D70" w:rsidRPr="00FE7BA7">
        <w:rPr>
          <w:rFonts w:ascii="Verdana" w:hAnsi="Verdana"/>
          <w:sz w:val="20"/>
          <w:szCs w:val="20"/>
          <w:lang w:val="en-US"/>
        </w:rPr>
        <w:t xml:space="preserve"> </w:t>
      </w:r>
      <w:r>
        <w:rPr>
          <w:rFonts w:ascii="Verdana" w:hAnsi="Verdana"/>
          <w:sz w:val="20"/>
          <w:szCs w:val="20"/>
          <w:lang w:val="en-US"/>
        </w:rPr>
        <w:t>legal</w:t>
      </w:r>
      <w:r w:rsidR="00773D70" w:rsidRPr="00FE7BA7">
        <w:rPr>
          <w:rFonts w:ascii="Verdana" w:hAnsi="Verdana"/>
          <w:sz w:val="20"/>
          <w:szCs w:val="20"/>
          <w:lang w:val="en-US"/>
        </w:rPr>
        <w:t xml:space="preserve"> personality</w:t>
      </w:r>
      <w:r w:rsidR="00CC293F" w:rsidRPr="00FE7BA7">
        <w:rPr>
          <w:rFonts w:ascii="Verdana" w:hAnsi="Verdana"/>
          <w:sz w:val="20"/>
          <w:szCs w:val="20"/>
          <w:lang w:val="en-US"/>
        </w:rPr>
        <w:t xml:space="preserve"> </w:t>
      </w:r>
      <w:r w:rsidR="00211BB3" w:rsidRPr="00FE7BA7">
        <w:rPr>
          <w:rFonts w:ascii="Verdana" w:hAnsi="Verdana"/>
          <w:sz w:val="20"/>
          <w:szCs w:val="20"/>
          <w:lang w:val="en-US"/>
        </w:rPr>
        <w:t>as indigenous and tribal peoples,</w:t>
      </w:r>
      <w:r w:rsidR="00CC293F" w:rsidRPr="00FE7BA7">
        <w:rPr>
          <w:rStyle w:val="FootnoteReference"/>
          <w:szCs w:val="20"/>
          <w:lang w:val="en-US"/>
        </w:rPr>
        <w:footnoteReference w:id="284"/>
      </w:r>
      <w:r w:rsidR="00211BB3" w:rsidRPr="00FE7BA7">
        <w:rPr>
          <w:rFonts w:ascii="Verdana" w:hAnsi="Verdana"/>
          <w:sz w:val="20"/>
          <w:szCs w:val="20"/>
          <w:lang w:val="en-US"/>
        </w:rPr>
        <w:t xml:space="preserve"> as well as individual </w:t>
      </w:r>
      <w:r>
        <w:rPr>
          <w:rFonts w:ascii="Verdana" w:hAnsi="Verdana"/>
          <w:sz w:val="20"/>
          <w:szCs w:val="20"/>
          <w:lang w:val="en-US"/>
        </w:rPr>
        <w:t>legal</w:t>
      </w:r>
      <w:r w:rsidR="00211BB3" w:rsidRPr="00FE7BA7">
        <w:rPr>
          <w:rFonts w:ascii="Verdana" w:hAnsi="Verdana"/>
          <w:sz w:val="20"/>
          <w:szCs w:val="20"/>
          <w:lang w:val="en-US"/>
        </w:rPr>
        <w:t xml:space="preserve"> personality as members of such peoples;</w:t>
      </w:r>
      <w:r w:rsidR="00CC293F" w:rsidRPr="00FE7BA7">
        <w:rPr>
          <w:rStyle w:val="FootnoteReference"/>
          <w:szCs w:val="20"/>
          <w:lang w:val="en-US"/>
        </w:rPr>
        <w:footnoteReference w:id="285"/>
      </w:r>
    </w:p>
    <w:p w14:paraId="63126A89" w14:textId="77777777" w:rsidR="00CC293F" w:rsidRPr="00FE7BA7" w:rsidRDefault="00CC293F" w:rsidP="00CC293F">
      <w:pPr>
        <w:pStyle w:val="ListParagraph"/>
        <w:tabs>
          <w:tab w:val="left" w:pos="270"/>
        </w:tabs>
        <w:ind w:left="426"/>
        <w:jc w:val="both"/>
        <w:rPr>
          <w:rFonts w:ascii="Verdana" w:eastAsia="Times New Roman" w:hAnsi="Verdana"/>
          <w:spacing w:val="-2"/>
          <w:sz w:val="20"/>
          <w:szCs w:val="20"/>
          <w:lang w:val="en-US" w:eastAsia="es-ES"/>
        </w:rPr>
      </w:pPr>
    </w:p>
    <w:p w14:paraId="63126A8A" w14:textId="77777777" w:rsidR="00CC293F" w:rsidRPr="00FE7BA7" w:rsidRDefault="00D67ED6" w:rsidP="00CC293F">
      <w:pPr>
        <w:pStyle w:val="ListParagraph"/>
        <w:numPr>
          <w:ilvl w:val="0"/>
          <w:numId w:val="31"/>
        </w:numPr>
        <w:tabs>
          <w:tab w:val="left" w:pos="270"/>
        </w:tabs>
        <w:ind w:left="426" w:firstLine="0"/>
        <w:jc w:val="both"/>
        <w:rPr>
          <w:rFonts w:ascii="Verdana" w:eastAsia="Times New Roman" w:hAnsi="Verdana"/>
          <w:spacing w:val="-2"/>
          <w:sz w:val="20"/>
          <w:szCs w:val="20"/>
          <w:lang w:val="en-US" w:eastAsia="es-ES"/>
        </w:rPr>
      </w:pPr>
      <w:r>
        <w:rPr>
          <w:rFonts w:ascii="Verdana" w:hAnsi="Verdana"/>
          <w:sz w:val="20"/>
          <w:szCs w:val="20"/>
          <w:lang w:val="en-US"/>
        </w:rPr>
        <w:t xml:space="preserve">The recognition </w:t>
      </w:r>
      <w:r w:rsidR="00211BB3" w:rsidRPr="00FE7BA7">
        <w:rPr>
          <w:rFonts w:ascii="Verdana" w:hAnsi="Verdana"/>
          <w:sz w:val="20"/>
          <w:szCs w:val="20"/>
          <w:lang w:val="en-US"/>
        </w:rPr>
        <w:t>of legal standing to file administrative, judicial or any other type of action collectively, through their representatives</w:t>
      </w:r>
      <w:r>
        <w:rPr>
          <w:rFonts w:ascii="Verdana" w:hAnsi="Verdana"/>
          <w:sz w:val="20"/>
          <w:szCs w:val="20"/>
          <w:lang w:val="en-US"/>
        </w:rPr>
        <w:t>,</w:t>
      </w:r>
      <w:r w:rsidR="00211BB3" w:rsidRPr="00FE7BA7">
        <w:rPr>
          <w:rFonts w:ascii="Verdana" w:hAnsi="Verdana"/>
          <w:sz w:val="20"/>
          <w:szCs w:val="20"/>
          <w:lang w:val="en-US"/>
        </w:rPr>
        <w:t xml:space="preserve"> or individually, taking into account their customs and cultural characteristics;</w:t>
      </w:r>
      <w:r w:rsidR="00CC293F" w:rsidRPr="00FE7BA7">
        <w:rPr>
          <w:rStyle w:val="FootnoteReference"/>
          <w:szCs w:val="20"/>
          <w:lang w:val="en-US"/>
        </w:rPr>
        <w:footnoteReference w:id="286"/>
      </w:r>
    </w:p>
    <w:p w14:paraId="63126A8B" w14:textId="77777777" w:rsidR="00CC293F" w:rsidRPr="00FE7BA7" w:rsidRDefault="00CC293F" w:rsidP="00CC293F">
      <w:pPr>
        <w:pStyle w:val="ListParagraph"/>
        <w:rPr>
          <w:rFonts w:ascii="Verdana" w:eastAsia="Times New Roman" w:hAnsi="Verdana"/>
          <w:spacing w:val="-2"/>
          <w:sz w:val="20"/>
          <w:szCs w:val="20"/>
          <w:lang w:val="en-US" w:eastAsia="es-ES"/>
        </w:rPr>
      </w:pPr>
    </w:p>
    <w:p w14:paraId="63126A8C" w14:textId="77777777" w:rsidR="00211BB3" w:rsidRPr="00FE7BA7" w:rsidRDefault="00D67ED6" w:rsidP="00211BB3">
      <w:pPr>
        <w:pStyle w:val="ListParagraph"/>
        <w:numPr>
          <w:ilvl w:val="0"/>
          <w:numId w:val="31"/>
        </w:numPr>
        <w:tabs>
          <w:tab w:val="left" w:pos="270"/>
        </w:tabs>
        <w:ind w:left="426" w:firstLine="0"/>
        <w:jc w:val="both"/>
        <w:rPr>
          <w:rFonts w:ascii="Verdana" w:eastAsia="Times New Roman" w:hAnsi="Verdana"/>
          <w:spacing w:val="-2"/>
          <w:sz w:val="20"/>
          <w:szCs w:val="20"/>
          <w:lang w:val="en-US" w:eastAsia="es-ES"/>
        </w:rPr>
      </w:pPr>
      <w:r>
        <w:rPr>
          <w:rFonts w:ascii="Verdana" w:hAnsi="Verdana"/>
          <w:sz w:val="20"/>
          <w:szCs w:val="20"/>
          <w:lang w:val="en-US"/>
        </w:rPr>
        <w:t>The g</w:t>
      </w:r>
      <w:r w:rsidR="00211BB3" w:rsidRPr="00FE7BA7">
        <w:rPr>
          <w:rFonts w:ascii="Verdana" w:hAnsi="Verdana"/>
          <w:sz w:val="20"/>
          <w:szCs w:val="20"/>
          <w:lang w:val="en-US"/>
        </w:rPr>
        <w:t>uarantee of access to justice for the victims – as members of an indigenous or tribal people – without discrimination,</w:t>
      </w:r>
      <w:r w:rsidR="00CC293F" w:rsidRPr="00FE7BA7">
        <w:rPr>
          <w:rStyle w:val="FootnoteReference"/>
          <w:szCs w:val="20"/>
          <w:lang w:val="en-US"/>
        </w:rPr>
        <w:footnoteReference w:id="287"/>
      </w:r>
      <w:r w:rsidR="002B5CCD" w:rsidRPr="00FE7BA7">
        <w:rPr>
          <w:rFonts w:ascii="Verdana" w:hAnsi="Verdana"/>
          <w:sz w:val="20"/>
          <w:szCs w:val="20"/>
          <w:lang w:val="en-US"/>
        </w:rPr>
        <w:t xml:space="preserve"> and </w:t>
      </w:r>
      <w:r w:rsidR="00211BB3" w:rsidRPr="00FE7BA7">
        <w:rPr>
          <w:rFonts w:ascii="Verdana" w:hAnsi="Verdana"/>
          <w:sz w:val="20"/>
          <w:szCs w:val="20"/>
          <w:lang w:val="en-US"/>
        </w:rPr>
        <w:t>in keeping with the rules of due process;</w:t>
      </w:r>
      <w:r w:rsidR="00CC293F" w:rsidRPr="00FE7BA7">
        <w:rPr>
          <w:rStyle w:val="FootnoteReference"/>
          <w:rFonts w:eastAsia="Times New Roman"/>
          <w:szCs w:val="20"/>
          <w:lang w:val="en-US"/>
        </w:rPr>
        <w:footnoteReference w:id="288"/>
      </w:r>
      <w:r w:rsidR="00211BB3" w:rsidRPr="00FE7BA7">
        <w:rPr>
          <w:rFonts w:ascii="Verdana" w:hAnsi="Verdana"/>
          <w:sz w:val="20"/>
          <w:szCs w:val="20"/>
          <w:lang w:val="en-US"/>
        </w:rPr>
        <w:t xml:space="preserve"> hence, the available remedy must be:</w:t>
      </w:r>
    </w:p>
    <w:p w14:paraId="63126A8D" w14:textId="77777777" w:rsidR="00211BB3" w:rsidRPr="00FE7BA7" w:rsidRDefault="00211BB3" w:rsidP="00211BB3">
      <w:pPr>
        <w:tabs>
          <w:tab w:val="left" w:pos="270"/>
        </w:tabs>
        <w:jc w:val="both"/>
        <w:rPr>
          <w:rFonts w:ascii="Verdana" w:eastAsia="Times New Roman" w:hAnsi="Verdana"/>
          <w:spacing w:val="-2"/>
          <w:sz w:val="16"/>
          <w:szCs w:val="16"/>
          <w:lang w:val="en-US" w:eastAsia="es-ES"/>
        </w:rPr>
      </w:pPr>
    </w:p>
    <w:p w14:paraId="63126A8E" w14:textId="77777777" w:rsidR="00CC293F" w:rsidRPr="00FE7BA7" w:rsidRDefault="00211BB3" w:rsidP="00DE3742">
      <w:pPr>
        <w:pStyle w:val="ListParagraph"/>
        <w:numPr>
          <w:ilvl w:val="0"/>
          <w:numId w:val="32"/>
        </w:numPr>
        <w:tabs>
          <w:tab w:val="left" w:pos="270"/>
          <w:tab w:val="left" w:pos="1134"/>
        </w:tabs>
        <w:ind w:left="709" w:firstLine="0"/>
        <w:jc w:val="both"/>
        <w:rPr>
          <w:rFonts w:ascii="Verdana" w:eastAsia="Times New Roman" w:hAnsi="Verdana"/>
          <w:spacing w:val="-2"/>
          <w:sz w:val="18"/>
          <w:szCs w:val="18"/>
          <w:lang w:val="en-US" w:eastAsia="es-ES"/>
        </w:rPr>
      </w:pPr>
      <w:r w:rsidRPr="00FE7BA7">
        <w:rPr>
          <w:rFonts w:ascii="Verdana" w:eastAsia="Times New Roman" w:hAnsi="Verdana"/>
          <w:spacing w:val="-2"/>
          <w:sz w:val="18"/>
          <w:szCs w:val="18"/>
          <w:lang w:val="en-US" w:eastAsia="es-ES"/>
        </w:rPr>
        <w:t>A</w:t>
      </w:r>
      <w:r w:rsidR="00CC293F" w:rsidRPr="00FE7BA7">
        <w:rPr>
          <w:rFonts w:ascii="Verdana" w:eastAsia="Times New Roman" w:hAnsi="Verdana"/>
          <w:spacing w:val="-2"/>
          <w:sz w:val="18"/>
          <w:szCs w:val="18"/>
          <w:lang w:val="en-US" w:eastAsia="es-ES"/>
        </w:rPr>
        <w:t>cces</w:t>
      </w:r>
      <w:r w:rsidRPr="00FE7BA7">
        <w:rPr>
          <w:rFonts w:ascii="Verdana" w:eastAsia="Times New Roman" w:hAnsi="Verdana"/>
          <w:spacing w:val="-2"/>
          <w:sz w:val="18"/>
          <w:szCs w:val="18"/>
          <w:lang w:val="en-US" w:eastAsia="es-ES"/>
        </w:rPr>
        <w:t>s</w:t>
      </w:r>
      <w:r w:rsidR="00CC293F" w:rsidRPr="00FE7BA7">
        <w:rPr>
          <w:rFonts w:ascii="Verdana" w:eastAsia="Times New Roman" w:hAnsi="Verdana"/>
          <w:spacing w:val="-2"/>
          <w:sz w:val="18"/>
          <w:szCs w:val="18"/>
          <w:lang w:val="en-US" w:eastAsia="es-ES"/>
        </w:rPr>
        <w:t>ible</w:t>
      </w:r>
      <w:r w:rsidRPr="00FE7BA7">
        <w:rPr>
          <w:rFonts w:ascii="Verdana" w:eastAsia="Times New Roman" w:hAnsi="Verdana"/>
          <w:spacing w:val="-2"/>
          <w:sz w:val="18"/>
          <w:szCs w:val="18"/>
          <w:lang w:val="en-US" w:eastAsia="es-ES"/>
        </w:rPr>
        <w:t>,</w:t>
      </w:r>
      <w:r w:rsidR="00CC293F" w:rsidRPr="00FE7BA7">
        <w:rPr>
          <w:rStyle w:val="FootnoteReference"/>
          <w:rFonts w:eastAsia="Times New Roman"/>
          <w:spacing w:val="-2"/>
          <w:sz w:val="18"/>
          <w:szCs w:val="18"/>
          <w:lang w:val="en-US" w:eastAsia="es-ES"/>
        </w:rPr>
        <w:footnoteReference w:id="289"/>
      </w:r>
      <w:r w:rsidRPr="00FE7BA7">
        <w:rPr>
          <w:rFonts w:ascii="Verdana" w:eastAsia="Times New Roman" w:hAnsi="Verdana"/>
          <w:spacing w:val="-2"/>
          <w:sz w:val="18"/>
          <w:szCs w:val="18"/>
          <w:lang w:val="en-US" w:eastAsia="es-ES"/>
        </w:rPr>
        <w:t xml:space="preserve"> simple and within a reasonable time.</w:t>
      </w:r>
      <w:r w:rsidR="00CC293F" w:rsidRPr="00FE7BA7">
        <w:rPr>
          <w:rStyle w:val="FootnoteReference"/>
          <w:rFonts w:eastAsia="Times New Roman"/>
          <w:spacing w:val="-2"/>
          <w:sz w:val="18"/>
          <w:szCs w:val="18"/>
          <w:lang w:val="en-US" w:eastAsia="es-ES"/>
        </w:rPr>
        <w:footnoteReference w:id="290"/>
      </w:r>
      <w:r w:rsidRPr="00FE7BA7">
        <w:rPr>
          <w:rFonts w:ascii="Verdana" w:eastAsia="Times New Roman" w:hAnsi="Verdana"/>
          <w:spacing w:val="-2"/>
          <w:sz w:val="18"/>
          <w:szCs w:val="18"/>
          <w:lang w:val="en-US" w:eastAsia="es-ES"/>
        </w:rPr>
        <w:t xml:space="preserve"> This means, among other matters, establishing special measures to ensure effective access and the elimination of obstacles to access to justice. In other words:</w:t>
      </w:r>
      <w:r w:rsidR="00CC293F" w:rsidRPr="00FE7BA7">
        <w:rPr>
          <w:rFonts w:ascii="Verdana" w:eastAsia="Times New Roman" w:hAnsi="Verdana"/>
          <w:spacing w:val="-2"/>
          <w:sz w:val="18"/>
          <w:szCs w:val="18"/>
          <w:lang w:val="en-US" w:eastAsia="es-ES"/>
        </w:rPr>
        <w:t xml:space="preserve">: </w:t>
      </w:r>
    </w:p>
    <w:p w14:paraId="63126A8F" w14:textId="77777777" w:rsidR="00CC293F" w:rsidRPr="00FE7BA7" w:rsidRDefault="00CC293F" w:rsidP="00E26BFE">
      <w:pPr>
        <w:pStyle w:val="ListParagraph"/>
        <w:tabs>
          <w:tab w:val="left" w:pos="270"/>
        </w:tabs>
        <w:ind w:left="426"/>
        <w:jc w:val="both"/>
        <w:rPr>
          <w:rFonts w:ascii="Verdana" w:eastAsia="Times New Roman" w:hAnsi="Verdana"/>
          <w:spacing w:val="-2"/>
          <w:sz w:val="18"/>
          <w:szCs w:val="18"/>
          <w:lang w:val="en-US" w:eastAsia="es-ES"/>
        </w:rPr>
      </w:pPr>
    </w:p>
    <w:p w14:paraId="63126A90" w14:textId="45BF038B" w:rsidR="00DE3742" w:rsidRPr="00FE7BA7" w:rsidRDefault="00211BB3" w:rsidP="00DB1CC3">
      <w:pPr>
        <w:pStyle w:val="ListParagraph"/>
        <w:numPr>
          <w:ilvl w:val="0"/>
          <w:numId w:val="33"/>
        </w:numPr>
        <w:tabs>
          <w:tab w:val="left" w:pos="142"/>
        </w:tabs>
        <w:ind w:left="993" w:firstLine="0"/>
        <w:jc w:val="both"/>
        <w:rPr>
          <w:rFonts w:ascii="Verdana" w:eastAsia="Times New Roman" w:hAnsi="Verdana"/>
          <w:spacing w:val="-2"/>
          <w:sz w:val="18"/>
          <w:szCs w:val="18"/>
          <w:lang w:val="en-US" w:eastAsia="es-ES"/>
        </w:rPr>
      </w:pPr>
      <w:r w:rsidRPr="00FE7BA7">
        <w:rPr>
          <w:rFonts w:ascii="Verdana" w:eastAsia="Times New Roman" w:hAnsi="Verdana"/>
          <w:sz w:val="18"/>
          <w:szCs w:val="18"/>
          <w:lang w:val="en-US"/>
        </w:rPr>
        <w:t xml:space="preserve">Ensure that </w:t>
      </w:r>
      <w:r w:rsidR="00DA4B96" w:rsidRPr="00FE7BA7">
        <w:rPr>
          <w:rFonts w:ascii="Verdana" w:hAnsi="Verdana"/>
          <w:sz w:val="18"/>
          <w:szCs w:val="18"/>
          <w:lang w:val="en-US"/>
        </w:rPr>
        <w:t>the members</w:t>
      </w:r>
      <w:r w:rsidR="00CC293F" w:rsidRPr="00FE7BA7">
        <w:rPr>
          <w:rFonts w:ascii="Verdana" w:hAnsi="Verdana"/>
          <w:sz w:val="18"/>
          <w:szCs w:val="18"/>
          <w:lang w:val="en-US"/>
        </w:rPr>
        <w:t xml:space="preserve"> </w:t>
      </w:r>
      <w:r w:rsidRPr="00FE7BA7">
        <w:rPr>
          <w:rFonts w:ascii="Verdana" w:hAnsi="Verdana"/>
          <w:sz w:val="18"/>
          <w:szCs w:val="18"/>
          <w:lang w:val="en-US"/>
        </w:rPr>
        <w:t>of the community can understand and be understood during the legal proceedings undertaken, providing them with interpreters or other means that are effective in this regard;</w:t>
      </w:r>
      <w:r w:rsidR="00CC293F" w:rsidRPr="00FE7BA7">
        <w:rPr>
          <w:rStyle w:val="FootnoteReference"/>
          <w:rFonts w:eastAsia="Times New Roman"/>
          <w:sz w:val="18"/>
          <w:szCs w:val="18"/>
          <w:lang w:val="en-US"/>
        </w:rPr>
        <w:footnoteReference w:id="291"/>
      </w:r>
    </w:p>
    <w:p w14:paraId="63126A91" w14:textId="77777777" w:rsidR="00CC293F" w:rsidRPr="00FE7BA7" w:rsidRDefault="00CC293F" w:rsidP="009E77BD">
      <w:pPr>
        <w:pStyle w:val="ListParagraph"/>
        <w:tabs>
          <w:tab w:val="left" w:pos="142"/>
        </w:tabs>
        <w:ind w:left="993"/>
        <w:jc w:val="both"/>
        <w:rPr>
          <w:rFonts w:ascii="Verdana" w:eastAsia="Times New Roman" w:hAnsi="Verdana"/>
          <w:spacing w:val="-2"/>
          <w:sz w:val="18"/>
          <w:szCs w:val="18"/>
          <w:lang w:val="en-US" w:eastAsia="es-ES"/>
        </w:rPr>
      </w:pPr>
    </w:p>
    <w:p w14:paraId="63126A92" w14:textId="77777777" w:rsidR="00CC293F" w:rsidRPr="00FE7BA7" w:rsidRDefault="00211BB3" w:rsidP="00DE3742">
      <w:pPr>
        <w:pStyle w:val="ListParagraph"/>
        <w:numPr>
          <w:ilvl w:val="0"/>
          <w:numId w:val="33"/>
        </w:numPr>
        <w:tabs>
          <w:tab w:val="left" w:pos="142"/>
        </w:tabs>
        <w:ind w:left="993" w:firstLine="0"/>
        <w:jc w:val="both"/>
        <w:rPr>
          <w:rFonts w:ascii="Verdana" w:eastAsia="Times New Roman" w:hAnsi="Verdana"/>
          <w:spacing w:val="-2"/>
          <w:sz w:val="18"/>
          <w:szCs w:val="18"/>
          <w:lang w:val="en-US" w:eastAsia="es-ES"/>
        </w:rPr>
      </w:pPr>
      <w:r w:rsidRPr="00FE7BA7">
        <w:rPr>
          <w:rFonts w:ascii="Verdana" w:hAnsi="Verdana"/>
          <w:sz w:val="18"/>
          <w:szCs w:val="18"/>
          <w:lang w:val="en-US"/>
        </w:rPr>
        <w:t xml:space="preserve">Give </w:t>
      </w:r>
      <w:r w:rsidR="00967E6B" w:rsidRPr="00FE7BA7">
        <w:rPr>
          <w:rFonts w:ascii="Verdana" w:hAnsi="Verdana"/>
          <w:iCs/>
          <w:sz w:val="18"/>
          <w:szCs w:val="18"/>
          <w:lang w:val="en-US"/>
        </w:rPr>
        <w:t xml:space="preserve">the indigenous and </w:t>
      </w:r>
      <w:r w:rsidR="00F32607" w:rsidRPr="00FE7BA7">
        <w:rPr>
          <w:rFonts w:ascii="Verdana" w:hAnsi="Verdana"/>
          <w:iCs/>
          <w:sz w:val="18"/>
          <w:szCs w:val="18"/>
          <w:lang w:val="en-US"/>
        </w:rPr>
        <w:t>tribal peoples</w:t>
      </w:r>
      <w:r w:rsidR="00CC293F" w:rsidRPr="00FE7BA7">
        <w:rPr>
          <w:rFonts w:ascii="Verdana" w:hAnsi="Verdana"/>
          <w:iCs/>
          <w:sz w:val="18"/>
          <w:szCs w:val="18"/>
          <w:lang w:val="en-US"/>
        </w:rPr>
        <w:t xml:space="preserve"> </w:t>
      </w:r>
      <w:r w:rsidRPr="00FE7BA7">
        <w:rPr>
          <w:rFonts w:ascii="Verdana" w:hAnsi="Verdana"/>
          <w:iCs/>
          <w:sz w:val="18"/>
          <w:szCs w:val="18"/>
          <w:lang w:val="en-US"/>
        </w:rPr>
        <w:t>access to technical and legal assistance in relation to their right to collective property,</w:t>
      </w:r>
      <w:r w:rsidR="00CC293F" w:rsidRPr="00FE7BA7">
        <w:rPr>
          <w:rStyle w:val="FootnoteReference"/>
          <w:sz w:val="18"/>
          <w:szCs w:val="18"/>
          <w:lang w:val="en-US"/>
        </w:rPr>
        <w:footnoteReference w:id="292"/>
      </w:r>
      <w:r w:rsidRPr="00FE7BA7">
        <w:rPr>
          <w:rFonts w:ascii="Verdana" w:hAnsi="Verdana"/>
          <w:sz w:val="18"/>
          <w:szCs w:val="18"/>
          <w:lang w:val="en-US"/>
        </w:rPr>
        <w:t xml:space="preserve"> if they are in a situation of vulnerability that would prevent them from obtaining this, and</w:t>
      </w:r>
    </w:p>
    <w:p w14:paraId="63126A93" w14:textId="77777777" w:rsidR="00DE3742" w:rsidRPr="00FE7BA7" w:rsidRDefault="00DE3742" w:rsidP="009E77BD">
      <w:pPr>
        <w:pStyle w:val="ListParagraph"/>
        <w:tabs>
          <w:tab w:val="left" w:pos="142"/>
        </w:tabs>
        <w:ind w:left="993"/>
        <w:jc w:val="both"/>
        <w:rPr>
          <w:rFonts w:ascii="Verdana" w:eastAsia="Times New Roman" w:hAnsi="Verdana"/>
          <w:spacing w:val="-2"/>
          <w:sz w:val="18"/>
          <w:szCs w:val="18"/>
          <w:lang w:val="en-US" w:eastAsia="es-ES"/>
        </w:rPr>
      </w:pPr>
    </w:p>
    <w:p w14:paraId="63126A94" w14:textId="77777777" w:rsidR="00CC293F" w:rsidRPr="00FE7BA7" w:rsidRDefault="00211BB3" w:rsidP="00DE3742">
      <w:pPr>
        <w:pStyle w:val="ListParagraph"/>
        <w:numPr>
          <w:ilvl w:val="0"/>
          <w:numId w:val="33"/>
        </w:numPr>
        <w:tabs>
          <w:tab w:val="left" w:pos="142"/>
        </w:tabs>
        <w:ind w:left="992" w:firstLine="0"/>
        <w:jc w:val="both"/>
        <w:rPr>
          <w:rFonts w:ascii="Verdana" w:eastAsia="Times New Roman" w:hAnsi="Verdana"/>
          <w:spacing w:val="-2"/>
          <w:sz w:val="18"/>
          <w:szCs w:val="18"/>
          <w:lang w:val="en-US" w:eastAsia="es-ES"/>
        </w:rPr>
      </w:pPr>
      <w:r w:rsidRPr="00FE7BA7">
        <w:rPr>
          <w:rFonts w:ascii="Verdana" w:eastAsia="Times New Roman" w:hAnsi="Verdana"/>
          <w:sz w:val="18"/>
          <w:szCs w:val="18"/>
          <w:lang w:val="en-US"/>
        </w:rPr>
        <w:t xml:space="preserve">Facilitate physical access to the administrative or judicial institutions, or to the bodies </w:t>
      </w:r>
      <w:r w:rsidR="00FE7BA7" w:rsidRPr="00FE7BA7">
        <w:rPr>
          <w:rFonts w:ascii="Verdana" w:eastAsia="Times New Roman" w:hAnsi="Verdana"/>
          <w:sz w:val="18"/>
          <w:szCs w:val="18"/>
          <w:lang w:val="en-US"/>
        </w:rPr>
        <w:t>responsible</w:t>
      </w:r>
      <w:r w:rsidRPr="00FE7BA7">
        <w:rPr>
          <w:rFonts w:ascii="Verdana" w:eastAsia="Times New Roman" w:hAnsi="Verdana"/>
          <w:sz w:val="18"/>
          <w:szCs w:val="18"/>
          <w:lang w:val="en-US"/>
        </w:rPr>
        <w:t xml:space="preserve"> for ensuring the right to collective property </w:t>
      </w:r>
      <w:r w:rsidR="00511E56" w:rsidRPr="00FE7BA7">
        <w:rPr>
          <w:rFonts w:ascii="Verdana" w:eastAsia="Times New Roman" w:hAnsi="Verdana"/>
          <w:sz w:val="18"/>
          <w:szCs w:val="18"/>
          <w:lang w:val="en-US"/>
        </w:rPr>
        <w:t xml:space="preserve">of the </w:t>
      </w:r>
      <w:r w:rsidR="00967E6B" w:rsidRPr="00FE7BA7">
        <w:rPr>
          <w:rFonts w:ascii="Verdana" w:eastAsia="Times New Roman" w:hAnsi="Verdana"/>
          <w:sz w:val="18"/>
          <w:szCs w:val="18"/>
          <w:lang w:val="en-US"/>
        </w:rPr>
        <w:t xml:space="preserve">indigenous and </w:t>
      </w:r>
      <w:r w:rsidR="00F32607" w:rsidRPr="00FE7BA7">
        <w:rPr>
          <w:rFonts w:ascii="Verdana" w:eastAsia="Times New Roman" w:hAnsi="Verdana"/>
          <w:sz w:val="18"/>
          <w:szCs w:val="18"/>
          <w:lang w:val="en-US"/>
        </w:rPr>
        <w:t>tribal peoples</w:t>
      </w:r>
      <w:r w:rsidR="00CC293F" w:rsidRPr="00FE7BA7">
        <w:rPr>
          <w:rFonts w:ascii="Verdana" w:eastAsia="Times New Roman" w:hAnsi="Verdana"/>
          <w:sz w:val="18"/>
          <w:szCs w:val="18"/>
          <w:lang w:val="en-US"/>
        </w:rPr>
        <w:t xml:space="preserve">, </w:t>
      </w:r>
      <w:r w:rsidRPr="00FE7BA7">
        <w:rPr>
          <w:rFonts w:ascii="Verdana" w:eastAsia="Times New Roman" w:hAnsi="Verdana"/>
          <w:sz w:val="18"/>
          <w:szCs w:val="18"/>
          <w:lang w:val="en-US"/>
        </w:rPr>
        <w:t>and also facilitate their participation in judicial, administrative or any other proceedings, without this entailing exaggerated or excessive efforts,</w:t>
      </w:r>
      <w:r w:rsidR="00CC293F" w:rsidRPr="00FE7BA7">
        <w:rPr>
          <w:rStyle w:val="FootnoteReference"/>
          <w:rFonts w:eastAsia="Times New Roman"/>
          <w:sz w:val="18"/>
          <w:szCs w:val="18"/>
          <w:lang w:val="en-US"/>
        </w:rPr>
        <w:footnoteReference w:id="293"/>
      </w:r>
      <w:r w:rsidRPr="00FE7BA7">
        <w:rPr>
          <w:rFonts w:ascii="Verdana" w:eastAsia="Times New Roman" w:hAnsi="Verdana"/>
          <w:sz w:val="18"/>
          <w:szCs w:val="18"/>
          <w:lang w:val="en-US"/>
        </w:rPr>
        <w:t xml:space="preserve"> due either to the distances or to the channels for accessing such institutions, or to the</w:t>
      </w:r>
      <w:r w:rsidR="000D30CF" w:rsidRPr="00FE7BA7">
        <w:rPr>
          <w:rFonts w:ascii="Verdana" w:eastAsia="Times New Roman" w:hAnsi="Verdana"/>
          <w:sz w:val="18"/>
          <w:szCs w:val="18"/>
          <w:lang w:val="en-US"/>
        </w:rPr>
        <w:t xml:space="preserve"> elevated cost</w:t>
      </w:r>
      <w:r w:rsidRPr="00FE7BA7">
        <w:rPr>
          <w:rFonts w:ascii="Verdana" w:eastAsia="Times New Roman" w:hAnsi="Verdana"/>
          <w:sz w:val="18"/>
          <w:szCs w:val="18"/>
          <w:lang w:val="en-US"/>
        </w:rPr>
        <w:t xml:space="preserve"> of the proceedings.</w:t>
      </w:r>
      <w:r w:rsidR="00CC293F" w:rsidRPr="00FE7BA7">
        <w:rPr>
          <w:rStyle w:val="FootnoteReference"/>
          <w:sz w:val="18"/>
          <w:szCs w:val="18"/>
          <w:lang w:val="en-US"/>
        </w:rPr>
        <w:footnoteReference w:id="294"/>
      </w:r>
    </w:p>
    <w:p w14:paraId="63126A95" w14:textId="77777777" w:rsidR="00CC293F" w:rsidRPr="00FE7BA7" w:rsidRDefault="00CC293F" w:rsidP="00E26BFE">
      <w:pPr>
        <w:pStyle w:val="ListParagraph"/>
        <w:tabs>
          <w:tab w:val="left" w:pos="270"/>
        </w:tabs>
        <w:ind w:left="426"/>
        <w:rPr>
          <w:rFonts w:ascii="Verdana" w:eastAsia="Times New Roman" w:hAnsi="Verdana"/>
          <w:spacing w:val="-2"/>
          <w:sz w:val="18"/>
          <w:szCs w:val="18"/>
          <w:lang w:val="en-US" w:eastAsia="es-ES"/>
        </w:rPr>
      </w:pPr>
    </w:p>
    <w:p w14:paraId="63126A96" w14:textId="77777777" w:rsidR="00CC293F" w:rsidRPr="00FE7BA7" w:rsidRDefault="000D30CF" w:rsidP="00DB1CC3">
      <w:pPr>
        <w:pStyle w:val="ListParagraph"/>
        <w:numPr>
          <w:ilvl w:val="0"/>
          <w:numId w:val="32"/>
        </w:numPr>
        <w:tabs>
          <w:tab w:val="left" w:pos="270"/>
          <w:tab w:val="left" w:pos="1134"/>
        </w:tabs>
        <w:ind w:left="709" w:firstLine="0"/>
        <w:jc w:val="both"/>
        <w:rPr>
          <w:rFonts w:ascii="Verdana" w:eastAsia="Times New Roman" w:hAnsi="Verdana"/>
          <w:spacing w:val="-2"/>
          <w:sz w:val="18"/>
          <w:szCs w:val="18"/>
          <w:lang w:val="en-US" w:eastAsia="es-ES"/>
        </w:rPr>
      </w:pPr>
      <w:r w:rsidRPr="00FE7BA7">
        <w:rPr>
          <w:rFonts w:ascii="Verdana" w:eastAsia="Times New Roman" w:hAnsi="Verdana"/>
          <w:spacing w:val="-2"/>
          <w:sz w:val="18"/>
          <w:szCs w:val="18"/>
          <w:lang w:val="en-US" w:eastAsia="es-ES"/>
        </w:rPr>
        <w:lastRenderedPageBreak/>
        <w:t xml:space="preserve">Appropriate and effective to protect, ensure and promote the rights </w:t>
      </w:r>
      <w:r w:rsidR="00D67ED6">
        <w:rPr>
          <w:rFonts w:ascii="Verdana" w:eastAsia="Times New Roman" w:hAnsi="Verdana"/>
          <w:spacing w:val="-2"/>
          <w:sz w:val="18"/>
          <w:szCs w:val="18"/>
          <w:lang w:val="en-US" w:eastAsia="es-ES"/>
        </w:rPr>
        <w:t>over their indigenous lands,</w:t>
      </w:r>
      <w:r w:rsidRPr="00FE7BA7">
        <w:rPr>
          <w:rFonts w:ascii="Verdana" w:eastAsia="Times New Roman" w:hAnsi="Verdana"/>
          <w:spacing w:val="-2"/>
          <w:sz w:val="18"/>
          <w:szCs w:val="18"/>
          <w:lang w:val="en-US" w:eastAsia="es-ES"/>
        </w:rPr>
        <w:t xml:space="preserve"> by means of which they can implement the processes of recognition, delimitation, demarcation, and titling and, if appropriate, </w:t>
      </w:r>
      <w:r w:rsidR="00C07DBC">
        <w:rPr>
          <w:rFonts w:ascii="Verdana" w:eastAsia="Times New Roman" w:hAnsi="Verdana"/>
          <w:spacing w:val="-2"/>
          <w:sz w:val="18"/>
          <w:szCs w:val="18"/>
          <w:lang w:val="en-US" w:eastAsia="es-ES"/>
        </w:rPr>
        <w:t>secure</w:t>
      </w:r>
      <w:r w:rsidRPr="00FE7BA7">
        <w:rPr>
          <w:rFonts w:ascii="Verdana" w:eastAsia="Times New Roman" w:hAnsi="Verdana"/>
          <w:spacing w:val="-2"/>
          <w:sz w:val="18"/>
          <w:szCs w:val="18"/>
          <w:lang w:val="en-US" w:eastAsia="es-ES"/>
        </w:rPr>
        <w:t xml:space="preserve"> the use and enjoyment of </w:t>
      </w:r>
      <w:r w:rsidR="00DA4B96" w:rsidRPr="00FE7BA7">
        <w:rPr>
          <w:rFonts w:ascii="Verdana" w:hAnsi="Verdana"/>
          <w:sz w:val="18"/>
          <w:szCs w:val="18"/>
          <w:lang w:val="en-US"/>
        </w:rPr>
        <w:t>their traditional territories</w:t>
      </w:r>
      <w:r w:rsidRPr="00FE7BA7">
        <w:rPr>
          <w:rFonts w:ascii="Verdana" w:hAnsi="Verdana"/>
          <w:sz w:val="18"/>
          <w:szCs w:val="18"/>
          <w:lang w:val="en-US"/>
        </w:rPr>
        <w:t>;</w:t>
      </w:r>
      <w:r w:rsidR="00CC293F" w:rsidRPr="00FE7BA7">
        <w:rPr>
          <w:rStyle w:val="FootnoteReference"/>
          <w:sz w:val="18"/>
          <w:szCs w:val="18"/>
          <w:lang w:val="en-US"/>
        </w:rPr>
        <w:footnoteReference w:id="295"/>
      </w:r>
    </w:p>
    <w:p w14:paraId="63126A97" w14:textId="77777777" w:rsidR="00CC293F" w:rsidRPr="00FE7BA7" w:rsidRDefault="00CC293F">
      <w:pPr>
        <w:pStyle w:val="ListParagraph"/>
        <w:tabs>
          <w:tab w:val="left" w:pos="270"/>
          <w:tab w:val="left" w:pos="1134"/>
        </w:tabs>
        <w:ind w:left="709"/>
        <w:jc w:val="both"/>
        <w:rPr>
          <w:rFonts w:ascii="Verdana" w:eastAsia="Times New Roman" w:hAnsi="Verdana"/>
          <w:spacing w:val="-2"/>
          <w:sz w:val="18"/>
          <w:szCs w:val="18"/>
          <w:lang w:val="en-US" w:eastAsia="es-ES"/>
        </w:rPr>
      </w:pPr>
    </w:p>
    <w:p w14:paraId="63126A98" w14:textId="77777777" w:rsidR="00CC293F" w:rsidRPr="00FE7BA7" w:rsidRDefault="00D67ED6" w:rsidP="009E77BD">
      <w:pPr>
        <w:pStyle w:val="ListParagraph"/>
        <w:numPr>
          <w:ilvl w:val="0"/>
          <w:numId w:val="31"/>
        </w:numPr>
        <w:tabs>
          <w:tab w:val="left" w:pos="270"/>
        </w:tabs>
        <w:ind w:left="426" w:firstLine="0"/>
        <w:jc w:val="both"/>
        <w:rPr>
          <w:rFonts w:ascii="Verdana" w:eastAsia="Times New Roman" w:hAnsi="Verdana"/>
          <w:spacing w:val="-2"/>
          <w:sz w:val="20"/>
          <w:szCs w:val="20"/>
          <w:lang w:val="en-US" w:eastAsia="es-ES"/>
        </w:rPr>
      </w:pPr>
      <w:r>
        <w:rPr>
          <w:rFonts w:ascii="Verdana" w:hAnsi="Verdana"/>
          <w:sz w:val="20"/>
          <w:szCs w:val="20"/>
          <w:lang w:val="en-US"/>
        </w:rPr>
        <w:t>The g</w:t>
      </w:r>
      <w:r w:rsidR="000D30CF" w:rsidRPr="00D67ED6">
        <w:rPr>
          <w:rFonts w:ascii="Verdana" w:hAnsi="Verdana"/>
          <w:sz w:val="20"/>
          <w:szCs w:val="20"/>
          <w:lang w:val="en-US"/>
        </w:rPr>
        <w:t>rant</w:t>
      </w:r>
      <w:r w:rsidRPr="00D67ED6">
        <w:rPr>
          <w:rFonts w:ascii="Verdana" w:hAnsi="Verdana"/>
          <w:sz w:val="20"/>
          <w:szCs w:val="20"/>
          <w:lang w:val="en-US"/>
        </w:rPr>
        <w:t>ing of</w:t>
      </w:r>
      <w:r w:rsidR="000D30CF" w:rsidRPr="00D67ED6">
        <w:rPr>
          <w:rFonts w:ascii="Verdana" w:hAnsi="Verdana"/>
          <w:sz w:val="20"/>
          <w:szCs w:val="20"/>
          <w:lang w:val="en-US"/>
        </w:rPr>
        <w:t xml:space="preserve"> effective</w:t>
      </w:r>
      <w:r w:rsidR="000D30CF" w:rsidRPr="00FE7BA7">
        <w:rPr>
          <w:rFonts w:ascii="Verdana" w:hAnsi="Verdana"/>
          <w:sz w:val="20"/>
          <w:szCs w:val="20"/>
          <w:lang w:val="en-US"/>
        </w:rPr>
        <w:t xml:space="preserve"> protection that takes into account the inherent particularities that differentiate them from the general population and that accord with their cultural identity,</w:t>
      </w:r>
      <w:r w:rsidR="00CC293F" w:rsidRPr="00FE7BA7">
        <w:rPr>
          <w:rStyle w:val="FootnoteReference"/>
          <w:rFonts w:eastAsia="Times New Roman"/>
          <w:szCs w:val="20"/>
          <w:lang w:val="en-US"/>
        </w:rPr>
        <w:footnoteReference w:id="296"/>
      </w:r>
      <w:r w:rsidR="000D30CF" w:rsidRPr="00FE7BA7">
        <w:rPr>
          <w:rFonts w:ascii="Verdana" w:hAnsi="Verdana"/>
          <w:sz w:val="20"/>
          <w:szCs w:val="20"/>
          <w:lang w:val="en-US"/>
        </w:rPr>
        <w:t xml:space="preserve"> their economic and social </w:t>
      </w:r>
      <w:r w:rsidR="00FE7BA7" w:rsidRPr="00FE7BA7">
        <w:rPr>
          <w:rFonts w:ascii="Verdana" w:hAnsi="Verdana"/>
          <w:sz w:val="20"/>
          <w:szCs w:val="20"/>
          <w:lang w:val="en-US"/>
        </w:rPr>
        <w:t>characteristics</w:t>
      </w:r>
      <w:r w:rsidR="000D30CF" w:rsidRPr="00FE7BA7">
        <w:rPr>
          <w:rFonts w:ascii="Verdana" w:hAnsi="Verdana"/>
          <w:sz w:val="20"/>
          <w:szCs w:val="20"/>
          <w:lang w:val="en-US"/>
        </w:rPr>
        <w:t>, their possible situation of vulnerability, their customary law, values, uses and customs,</w:t>
      </w:r>
      <w:r w:rsidR="00CC293F" w:rsidRPr="00FE7BA7">
        <w:rPr>
          <w:rStyle w:val="FootnoteReference"/>
          <w:rFonts w:eastAsia="Times New Roman"/>
          <w:szCs w:val="20"/>
          <w:lang w:val="en-US"/>
        </w:rPr>
        <w:footnoteReference w:id="297"/>
      </w:r>
      <w:r w:rsidR="000D30CF" w:rsidRPr="00FE7BA7">
        <w:rPr>
          <w:rFonts w:ascii="Verdana" w:hAnsi="Verdana"/>
          <w:sz w:val="20"/>
          <w:szCs w:val="20"/>
          <w:lang w:val="en-US"/>
        </w:rPr>
        <w:t xml:space="preserve"> as well as their special relationship to the land,</w:t>
      </w:r>
      <w:r w:rsidR="00CC293F" w:rsidRPr="00FE7BA7">
        <w:rPr>
          <w:rStyle w:val="FootnoteReference"/>
          <w:rFonts w:eastAsia="Times New Roman"/>
          <w:szCs w:val="20"/>
          <w:lang w:val="en-US"/>
        </w:rPr>
        <w:footnoteReference w:id="298"/>
      </w:r>
      <w:r w:rsidR="000D30CF" w:rsidRPr="00FE7BA7">
        <w:rPr>
          <w:rFonts w:ascii="Verdana" w:hAnsi="Verdana"/>
          <w:sz w:val="20"/>
          <w:szCs w:val="20"/>
          <w:lang w:val="en-US"/>
        </w:rPr>
        <w:t xml:space="preserve"> and</w:t>
      </w:r>
    </w:p>
    <w:p w14:paraId="63126A99" w14:textId="77777777" w:rsidR="00CC293F" w:rsidRPr="00FE7BA7" w:rsidRDefault="00CC293F" w:rsidP="00CC293F">
      <w:pPr>
        <w:tabs>
          <w:tab w:val="left" w:pos="270"/>
        </w:tabs>
        <w:ind w:left="426"/>
        <w:jc w:val="both"/>
        <w:rPr>
          <w:rFonts w:ascii="Verdana" w:eastAsia="Times New Roman" w:hAnsi="Verdana"/>
          <w:strike/>
          <w:spacing w:val="-2"/>
          <w:sz w:val="20"/>
          <w:szCs w:val="20"/>
          <w:lang w:val="en-US" w:eastAsia="es-ES"/>
        </w:rPr>
      </w:pPr>
    </w:p>
    <w:p w14:paraId="63126A9A" w14:textId="77777777" w:rsidR="00CC293F" w:rsidRPr="00FE7BA7" w:rsidRDefault="000D30CF" w:rsidP="00CC293F">
      <w:pPr>
        <w:pStyle w:val="ListParagraph"/>
        <w:numPr>
          <w:ilvl w:val="0"/>
          <w:numId w:val="31"/>
        </w:numPr>
        <w:tabs>
          <w:tab w:val="left" w:pos="270"/>
        </w:tabs>
        <w:ind w:left="426" w:firstLine="0"/>
        <w:jc w:val="both"/>
        <w:rPr>
          <w:rFonts w:ascii="Verdana" w:hAnsi="Verdana"/>
          <w:sz w:val="20"/>
          <w:szCs w:val="20"/>
          <w:lang w:val="en-US"/>
        </w:rPr>
      </w:pPr>
      <w:r w:rsidRPr="00FE7BA7">
        <w:rPr>
          <w:rFonts w:ascii="Verdana" w:hAnsi="Verdana"/>
          <w:sz w:val="20"/>
          <w:szCs w:val="20"/>
          <w:lang w:val="en-US"/>
        </w:rPr>
        <w:t>Respect for the internal mechanisms for deciding disputes on indigenous issues, which are in harmony with human rights.</w:t>
      </w:r>
      <w:r w:rsidR="00CC293F" w:rsidRPr="00FE7BA7">
        <w:rPr>
          <w:rStyle w:val="FootnoteReference"/>
          <w:rFonts w:eastAsia="Times New Roman"/>
          <w:szCs w:val="20"/>
          <w:lang w:val="en-US"/>
        </w:rPr>
        <w:footnoteReference w:id="299"/>
      </w:r>
    </w:p>
    <w:p w14:paraId="63126A9B" w14:textId="77777777" w:rsidR="00226C52" w:rsidRPr="00FE7BA7" w:rsidRDefault="00226C52" w:rsidP="00226C52">
      <w:pPr>
        <w:tabs>
          <w:tab w:val="left" w:pos="270"/>
        </w:tabs>
        <w:jc w:val="both"/>
        <w:rPr>
          <w:rFonts w:ascii="Verdana" w:hAnsi="Verdana"/>
          <w:strike/>
          <w:sz w:val="18"/>
          <w:szCs w:val="18"/>
          <w:lang w:val="en-US"/>
        </w:rPr>
      </w:pPr>
    </w:p>
    <w:p w14:paraId="63126A9C" w14:textId="77777777" w:rsidR="008A3876" w:rsidRPr="00FE7BA7" w:rsidRDefault="008A3876" w:rsidP="008A3876">
      <w:pPr>
        <w:pStyle w:val="Heading3"/>
        <w:spacing w:before="0"/>
        <w:ind w:left="360"/>
        <w:jc w:val="both"/>
        <w:rPr>
          <w:rFonts w:ascii="Verdana" w:hAnsi="Verdana"/>
          <w:i/>
          <w:color w:val="auto"/>
          <w:sz w:val="20"/>
          <w:szCs w:val="20"/>
          <w:lang w:val="en-US"/>
        </w:rPr>
      </w:pPr>
      <w:bookmarkStart w:id="64" w:name="_Toc441673222"/>
      <w:r w:rsidRPr="00FE7BA7">
        <w:rPr>
          <w:rFonts w:ascii="Verdana" w:hAnsi="Verdana"/>
          <w:i/>
          <w:color w:val="auto"/>
          <w:sz w:val="20"/>
          <w:szCs w:val="20"/>
          <w:lang w:val="en-US"/>
        </w:rPr>
        <w:t xml:space="preserve">B.2 </w:t>
      </w:r>
      <w:r w:rsidR="00456769" w:rsidRPr="00FE7BA7">
        <w:rPr>
          <w:rFonts w:ascii="Verdana" w:hAnsi="Verdana"/>
          <w:i/>
          <w:color w:val="auto"/>
          <w:sz w:val="20"/>
          <w:szCs w:val="20"/>
          <w:lang w:val="en-US"/>
        </w:rPr>
        <w:t>Appropriateness and effectiveness of the judicial proceedings and petitions filed before State authorities</w:t>
      </w:r>
      <w:bookmarkEnd w:id="64"/>
    </w:p>
    <w:p w14:paraId="63126A9D" w14:textId="77777777" w:rsidR="008A3876" w:rsidRPr="00FE7BA7" w:rsidRDefault="008A3876" w:rsidP="008A3876">
      <w:pPr>
        <w:jc w:val="both"/>
        <w:rPr>
          <w:rFonts w:ascii="Verdana" w:eastAsia="Times New Roman" w:hAnsi="Verdana"/>
          <w:b/>
          <w:spacing w:val="-2"/>
          <w:sz w:val="20"/>
          <w:szCs w:val="20"/>
          <w:lang w:val="en-US" w:eastAsia="es-ES"/>
        </w:rPr>
      </w:pPr>
    </w:p>
    <w:p w14:paraId="63126A9E" w14:textId="1100AC03" w:rsidR="008A3876" w:rsidRPr="00FE7BA7" w:rsidRDefault="00921C81" w:rsidP="008A3876">
      <w:pPr>
        <w:pStyle w:val="ListParagraph"/>
        <w:numPr>
          <w:ilvl w:val="0"/>
          <w:numId w:val="2"/>
        </w:numPr>
        <w:ind w:left="0" w:hanging="11"/>
        <w:jc w:val="both"/>
        <w:rPr>
          <w:rFonts w:ascii="Verdana" w:hAnsi="Verdana"/>
          <w:sz w:val="20"/>
          <w:szCs w:val="20"/>
          <w:lang w:val="en-US"/>
        </w:rPr>
      </w:pPr>
      <w:r w:rsidRPr="00FE7BA7">
        <w:rPr>
          <w:rFonts w:ascii="Verdana" w:eastAsia="Times New Roman" w:hAnsi="Verdana"/>
          <w:spacing w:val="-2"/>
          <w:sz w:val="20"/>
          <w:szCs w:val="20"/>
          <w:lang w:val="en-US" w:eastAsia="es-ES"/>
        </w:rPr>
        <w:t xml:space="preserve">Despite the </w:t>
      </w:r>
      <w:r w:rsidR="008A3876" w:rsidRPr="00FE7BA7">
        <w:rPr>
          <w:rFonts w:ascii="Verdana" w:eastAsia="Times New Roman" w:hAnsi="Verdana"/>
          <w:spacing w:val="-2"/>
          <w:sz w:val="20"/>
          <w:szCs w:val="20"/>
          <w:lang w:val="en-US" w:eastAsia="es-ES"/>
        </w:rPr>
        <w:t>inexistenc</w:t>
      </w:r>
      <w:r w:rsidRPr="00FE7BA7">
        <w:rPr>
          <w:rFonts w:ascii="Verdana" w:eastAsia="Times New Roman" w:hAnsi="Verdana"/>
          <w:spacing w:val="-2"/>
          <w:sz w:val="20"/>
          <w:szCs w:val="20"/>
          <w:lang w:val="en-US" w:eastAsia="es-ES"/>
        </w:rPr>
        <w:t xml:space="preserve">e of specific judicial proceedings regulated by law, </w:t>
      </w:r>
      <w:r w:rsidR="002B5CCD" w:rsidRPr="00FE7BA7">
        <w:rPr>
          <w:rFonts w:ascii="Verdana" w:eastAsia="Times New Roman" w:hAnsi="Verdana" w:cs="Arial"/>
          <w:sz w:val="20"/>
          <w:szCs w:val="20"/>
          <w:lang w:val="en-US" w:eastAsia="es-ES"/>
        </w:rPr>
        <w:t xml:space="preserve">the </w:t>
      </w:r>
      <w:r w:rsidR="004C7D14" w:rsidRPr="00FE7BA7">
        <w:rPr>
          <w:rFonts w:ascii="Verdana" w:eastAsia="Times New Roman" w:hAnsi="Verdana" w:cs="Arial"/>
          <w:sz w:val="20"/>
          <w:szCs w:val="20"/>
          <w:lang w:val="en-US" w:eastAsia="es-ES"/>
        </w:rPr>
        <w:t>Kaliña and Lokono peoples</w:t>
      </w:r>
      <w:r w:rsidR="00CB39E1" w:rsidRPr="00FE7BA7">
        <w:rPr>
          <w:rFonts w:ascii="Verdana" w:hAnsi="Verdana"/>
          <w:sz w:val="20"/>
          <w:szCs w:val="20"/>
          <w:lang w:val="en-US"/>
        </w:rPr>
        <w:t xml:space="preserve"> </w:t>
      </w:r>
      <w:r w:rsidRPr="00FE7BA7">
        <w:rPr>
          <w:rFonts w:ascii="Verdana" w:eastAsia="Times New Roman" w:hAnsi="Verdana" w:cs="Arial"/>
          <w:sz w:val="20"/>
          <w:szCs w:val="20"/>
          <w:lang w:val="en-US" w:eastAsia="es-ES"/>
        </w:rPr>
        <w:t xml:space="preserve">have had recourse to courts of the ordinary jurisdiction and to various administrative authorities in order to file formal requests and complaints based on the right of petition </w:t>
      </w:r>
      <w:r w:rsidR="00773D70" w:rsidRPr="00FE7BA7">
        <w:rPr>
          <w:rFonts w:ascii="Verdana" w:eastAsia="Times New Roman" w:hAnsi="Verdana" w:cs="Arial"/>
          <w:sz w:val="20"/>
          <w:szCs w:val="20"/>
          <w:lang w:val="en-US" w:eastAsia="es-ES"/>
        </w:rPr>
        <w:t>recognized in</w:t>
      </w:r>
      <w:r w:rsidR="008A3876" w:rsidRPr="00FE7BA7">
        <w:rPr>
          <w:rFonts w:ascii="Verdana" w:eastAsia="Times New Roman" w:hAnsi="Verdana" w:cs="Arial"/>
          <w:sz w:val="20"/>
          <w:szCs w:val="20"/>
          <w:lang w:val="en-US" w:eastAsia="es-ES"/>
        </w:rPr>
        <w:t xml:space="preserve"> </w:t>
      </w:r>
      <w:r w:rsidR="001F0214">
        <w:rPr>
          <w:rFonts w:ascii="Verdana" w:eastAsia="Times New Roman" w:hAnsi="Verdana" w:cs="Arial"/>
          <w:sz w:val="20"/>
          <w:szCs w:val="20"/>
          <w:lang w:val="en-US" w:eastAsia="es-ES"/>
        </w:rPr>
        <w:t>A</w:t>
      </w:r>
      <w:r w:rsidR="002B5CCD" w:rsidRPr="00FE7BA7">
        <w:rPr>
          <w:rFonts w:ascii="Verdana" w:eastAsia="Times New Roman" w:hAnsi="Verdana" w:cs="Arial"/>
          <w:sz w:val="20"/>
          <w:szCs w:val="20"/>
          <w:lang w:val="en-US" w:eastAsia="es-ES"/>
        </w:rPr>
        <w:t>rticle</w:t>
      </w:r>
      <w:r w:rsidR="008A3876" w:rsidRPr="00FE7BA7">
        <w:rPr>
          <w:rFonts w:ascii="Verdana" w:hAnsi="Verdana"/>
          <w:sz w:val="20"/>
          <w:szCs w:val="20"/>
          <w:lang w:val="en-US"/>
        </w:rPr>
        <w:t xml:space="preserve"> 22 </w:t>
      </w:r>
      <w:r w:rsidRPr="00FE7BA7">
        <w:rPr>
          <w:rFonts w:ascii="Verdana" w:hAnsi="Verdana"/>
          <w:sz w:val="20"/>
          <w:szCs w:val="20"/>
          <w:lang w:val="en-US"/>
        </w:rPr>
        <w:t>of the 1987 Constitution</w:t>
      </w:r>
      <w:r w:rsidR="008A3876" w:rsidRPr="00FE7BA7">
        <w:rPr>
          <w:rFonts w:ascii="Verdana" w:hAnsi="Verdana"/>
          <w:sz w:val="20"/>
          <w:szCs w:val="20"/>
          <w:lang w:val="en-US"/>
        </w:rPr>
        <w:t xml:space="preserve"> (</w:t>
      </w:r>
      <w:r w:rsidR="00366D91" w:rsidRPr="00FE7BA7">
        <w:rPr>
          <w:rFonts w:ascii="Verdana" w:hAnsi="Verdana"/>
          <w:i/>
          <w:sz w:val="20"/>
          <w:szCs w:val="20"/>
          <w:lang w:val="en-US"/>
        </w:rPr>
        <w:t>supra</w:t>
      </w:r>
      <w:r w:rsidR="008A3876" w:rsidRPr="00FE7BA7">
        <w:rPr>
          <w:rFonts w:ascii="Verdana" w:hAnsi="Verdana"/>
          <w:sz w:val="20"/>
          <w:szCs w:val="20"/>
          <w:lang w:val="en-US"/>
        </w:rPr>
        <w:t xml:space="preserve"> </w:t>
      </w:r>
      <w:r w:rsidR="00810FAD" w:rsidRPr="00FE7BA7">
        <w:rPr>
          <w:rFonts w:ascii="Verdana" w:hAnsi="Verdana"/>
          <w:sz w:val="20"/>
          <w:szCs w:val="20"/>
          <w:lang w:val="en-US"/>
        </w:rPr>
        <w:t>para.</w:t>
      </w:r>
      <w:r w:rsidR="008A3876" w:rsidRPr="00FE7BA7">
        <w:rPr>
          <w:rFonts w:ascii="Verdana" w:hAnsi="Verdana"/>
          <w:sz w:val="20"/>
          <w:szCs w:val="20"/>
          <w:lang w:val="en-US"/>
        </w:rPr>
        <w:t xml:space="preserve"> </w:t>
      </w:r>
      <w:r w:rsidR="00BC33D0" w:rsidRPr="00FE7BA7">
        <w:rPr>
          <w:rFonts w:ascii="Verdana" w:hAnsi="Verdana"/>
          <w:sz w:val="20"/>
          <w:szCs w:val="20"/>
          <w:lang w:val="en-US"/>
        </w:rPr>
        <w:t>65</w:t>
      </w:r>
      <w:r w:rsidR="008A3876" w:rsidRPr="00FE7BA7">
        <w:rPr>
          <w:rFonts w:ascii="Verdana" w:hAnsi="Verdana"/>
          <w:sz w:val="20"/>
          <w:szCs w:val="20"/>
          <w:lang w:val="en-US"/>
        </w:rPr>
        <w:t xml:space="preserve">), </w:t>
      </w:r>
      <w:r w:rsidRPr="00FE7BA7">
        <w:rPr>
          <w:rFonts w:ascii="Verdana" w:hAnsi="Verdana"/>
          <w:sz w:val="20"/>
          <w:szCs w:val="20"/>
          <w:lang w:val="en-US"/>
        </w:rPr>
        <w:t xml:space="preserve">in </w:t>
      </w:r>
      <w:r w:rsidR="00FE7BA7">
        <w:rPr>
          <w:rFonts w:ascii="Verdana" w:hAnsi="Verdana"/>
          <w:sz w:val="20"/>
          <w:szCs w:val="20"/>
          <w:lang w:val="en-US"/>
        </w:rPr>
        <w:t>order to claim recognition of the</w:t>
      </w:r>
      <w:r w:rsidRPr="00FE7BA7">
        <w:rPr>
          <w:rFonts w:ascii="Verdana" w:hAnsi="Verdana"/>
          <w:sz w:val="20"/>
          <w:szCs w:val="20"/>
          <w:lang w:val="en-US"/>
        </w:rPr>
        <w:t xml:space="preserve"> rights to their ancestral </w:t>
      </w:r>
      <w:r w:rsidR="00FE7BA7" w:rsidRPr="00FE7BA7">
        <w:rPr>
          <w:rFonts w:ascii="Verdana" w:hAnsi="Verdana"/>
          <w:sz w:val="20"/>
          <w:szCs w:val="20"/>
          <w:lang w:val="en-US"/>
        </w:rPr>
        <w:t>territory</w:t>
      </w:r>
      <w:r w:rsidRPr="00FE7BA7">
        <w:rPr>
          <w:rFonts w:ascii="Verdana" w:hAnsi="Verdana"/>
          <w:sz w:val="20"/>
          <w:szCs w:val="20"/>
          <w:lang w:val="en-US"/>
        </w:rPr>
        <w:t xml:space="preserve">, their </w:t>
      </w:r>
      <w:r w:rsidR="00D67ED6">
        <w:rPr>
          <w:rFonts w:ascii="Verdana" w:hAnsi="Verdana"/>
          <w:sz w:val="20"/>
          <w:szCs w:val="20"/>
          <w:lang w:val="en-US"/>
        </w:rPr>
        <w:t>legal</w:t>
      </w:r>
      <w:r w:rsidRPr="00FE7BA7">
        <w:rPr>
          <w:rFonts w:ascii="Verdana" w:hAnsi="Verdana"/>
          <w:sz w:val="20"/>
          <w:szCs w:val="20"/>
          <w:lang w:val="en-US"/>
        </w:rPr>
        <w:t xml:space="preserve"> personality, and the obligation to consult them.</w:t>
      </w:r>
      <w:r w:rsidR="008A3876" w:rsidRPr="00FE7BA7">
        <w:rPr>
          <w:rFonts w:ascii="Verdana" w:hAnsi="Verdana"/>
          <w:sz w:val="20"/>
          <w:szCs w:val="20"/>
          <w:lang w:val="en-US"/>
        </w:rPr>
        <w:t xml:space="preserve"> </w:t>
      </w:r>
    </w:p>
    <w:p w14:paraId="63126A9F" w14:textId="77777777" w:rsidR="008A3876" w:rsidRPr="00FE7BA7" w:rsidRDefault="008A3876" w:rsidP="008A3876">
      <w:pPr>
        <w:jc w:val="both"/>
        <w:rPr>
          <w:rFonts w:ascii="Verdana" w:hAnsi="Verdana"/>
          <w:sz w:val="20"/>
          <w:szCs w:val="20"/>
          <w:lang w:val="en-US"/>
        </w:rPr>
      </w:pPr>
    </w:p>
    <w:p w14:paraId="63126AA0" w14:textId="77777777" w:rsidR="008A3876" w:rsidRPr="00FE7BA7" w:rsidRDefault="00921C81"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the judgment issued on May 21, 1998, by </w:t>
      </w:r>
      <w:r w:rsidR="002B5CCD" w:rsidRPr="00FE7BA7">
        <w:rPr>
          <w:rFonts w:ascii="Verdana" w:hAnsi="Verdana"/>
          <w:sz w:val="20"/>
          <w:szCs w:val="20"/>
          <w:lang w:val="en-US"/>
        </w:rPr>
        <w:t xml:space="preserve">the </w:t>
      </w:r>
      <w:r w:rsidRPr="00FE7BA7">
        <w:rPr>
          <w:rFonts w:ascii="Verdana" w:hAnsi="Verdana"/>
          <w:sz w:val="20"/>
          <w:szCs w:val="20"/>
          <w:lang w:val="en-US"/>
        </w:rPr>
        <w:t>Cantonal Court of the First Canton of</w:t>
      </w:r>
      <w:r w:rsidR="008E016A" w:rsidRPr="00FE7BA7">
        <w:rPr>
          <w:rFonts w:ascii="Verdana" w:hAnsi="Verdana"/>
          <w:snapToGrid w:val="0"/>
          <w:sz w:val="20"/>
          <w:szCs w:val="20"/>
          <w:lang w:val="en-US"/>
        </w:rPr>
        <w:t xml:space="preserve"> Paramaribo </w:t>
      </w:r>
      <w:r w:rsidRPr="00FE7BA7">
        <w:rPr>
          <w:rFonts w:ascii="Verdana" w:hAnsi="Verdana"/>
          <w:snapToGrid w:val="0"/>
          <w:sz w:val="20"/>
          <w:szCs w:val="20"/>
          <w:lang w:val="en-US"/>
        </w:rPr>
        <w:t xml:space="preserve">in the case of </w:t>
      </w:r>
      <w:r w:rsidR="008A3876" w:rsidRPr="00FE7BA7">
        <w:rPr>
          <w:rFonts w:ascii="Verdana" w:hAnsi="Verdana"/>
          <w:i/>
          <w:sz w:val="20"/>
          <w:szCs w:val="20"/>
          <w:lang w:val="en-US"/>
        </w:rPr>
        <w:t xml:space="preserve">Tjang A. Sjin </w:t>
      </w:r>
      <w:r w:rsidR="00FB4175" w:rsidRPr="00FE7BA7">
        <w:rPr>
          <w:rFonts w:ascii="Verdana" w:hAnsi="Verdana"/>
          <w:i/>
          <w:sz w:val="20"/>
          <w:szCs w:val="20"/>
          <w:lang w:val="en-US"/>
        </w:rPr>
        <w:t>v</w:t>
      </w:r>
      <w:r w:rsidR="008A3876" w:rsidRPr="00FE7BA7">
        <w:rPr>
          <w:rFonts w:ascii="Verdana" w:hAnsi="Verdana"/>
          <w:i/>
          <w:sz w:val="20"/>
          <w:szCs w:val="20"/>
          <w:lang w:val="en-US"/>
        </w:rPr>
        <w:t>. Zaalman</w:t>
      </w:r>
      <w:r w:rsidRPr="00FE7BA7">
        <w:rPr>
          <w:rFonts w:ascii="Verdana" w:hAnsi="Verdana"/>
          <w:i/>
          <w:sz w:val="20"/>
          <w:szCs w:val="20"/>
          <w:lang w:val="en-US"/>
        </w:rPr>
        <w:t xml:space="preserve"> </w:t>
      </w:r>
      <w:r w:rsidR="00C07DBC">
        <w:rPr>
          <w:rFonts w:ascii="Verdana" w:hAnsi="Verdana"/>
          <w:i/>
          <w:sz w:val="20"/>
          <w:szCs w:val="20"/>
          <w:lang w:val="en-US"/>
        </w:rPr>
        <w:t>and Others</w:t>
      </w:r>
      <w:r w:rsidRPr="00FE7BA7">
        <w:rPr>
          <w:rFonts w:ascii="Verdana" w:hAnsi="Verdana"/>
          <w:i/>
          <w:sz w:val="20"/>
          <w:szCs w:val="20"/>
          <w:lang w:val="en-US"/>
        </w:rPr>
        <w:t>,</w:t>
      </w:r>
      <w:r w:rsidR="008A3876" w:rsidRPr="00FE7BA7">
        <w:rPr>
          <w:rFonts w:ascii="Verdana" w:hAnsi="Verdana"/>
          <w:i/>
          <w:sz w:val="20"/>
          <w:szCs w:val="20"/>
          <w:lang w:val="en-US"/>
        </w:rPr>
        <w:t xml:space="preserve"> </w:t>
      </w:r>
      <w:r w:rsidRPr="00FE7BA7">
        <w:rPr>
          <w:rFonts w:ascii="Verdana" w:hAnsi="Verdana"/>
          <w:snapToGrid w:val="0"/>
          <w:sz w:val="20"/>
          <w:szCs w:val="20"/>
          <w:lang w:val="en-US"/>
        </w:rPr>
        <w:t xml:space="preserve">established that the community of </w:t>
      </w:r>
      <w:r w:rsidR="008A3876" w:rsidRPr="00FE7BA7">
        <w:rPr>
          <w:rFonts w:ascii="Verdana" w:hAnsi="Verdana"/>
          <w:sz w:val="20"/>
          <w:szCs w:val="20"/>
          <w:lang w:val="en-US"/>
        </w:rPr>
        <w:t xml:space="preserve">Marijkedorp </w:t>
      </w:r>
      <w:r w:rsidR="00BC33D0" w:rsidRPr="00FE7BA7">
        <w:rPr>
          <w:rFonts w:ascii="Verdana" w:hAnsi="Verdana"/>
          <w:sz w:val="20"/>
          <w:szCs w:val="20"/>
          <w:lang w:val="en-US"/>
        </w:rPr>
        <w:t xml:space="preserve">(Wan Shi Sha) </w:t>
      </w:r>
      <w:r w:rsidRPr="00FE7BA7">
        <w:rPr>
          <w:rFonts w:ascii="Verdana" w:hAnsi="Verdana"/>
          <w:sz w:val="20"/>
          <w:szCs w:val="20"/>
          <w:lang w:val="en-US"/>
        </w:rPr>
        <w:t>should respect the property right</w:t>
      </w:r>
      <w:r w:rsidR="00C07DBC">
        <w:rPr>
          <w:rFonts w:ascii="Verdana" w:hAnsi="Verdana"/>
          <w:sz w:val="20"/>
          <w:szCs w:val="20"/>
          <w:lang w:val="en-US"/>
        </w:rPr>
        <w:t>s</w:t>
      </w:r>
      <w:r w:rsidRPr="00FE7BA7">
        <w:rPr>
          <w:rFonts w:ascii="Verdana" w:hAnsi="Verdana"/>
          <w:sz w:val="20"/>
          <w:szCs w:val="20"/>
          <w:lang w:val="en-US"/>
        </w:rPr>
        <w:t xml:space="preserve"> of </w:t>
      </w:r>
      <w:r w:rsidR="008A3876" w:rsidRPr="00FE7BA7">
        <w:rPr>
          <w:rFonts w:ascii="Verdana" w:hAnsi="Verdana"/>
          <w:sz w:val="20"/>
          <w:szCs w:val="20"/>
          <w:lang w:val="en-US"/>
        </w:rPr>
        <w:t>Tjan</w:t>
      </w:r>
      <w:r w:rsidRPr="00FE7BA7">
        <w:rPr>
          <w:rFonts w:ascii="Verdana" w:hAnsi="Verdana"/>
          <w:sz w:val="20"/>
          <w:szCs w:val="20"/>
          <w:lang w:val="en-US"/>
        </w:rPr>
        <w:t>g</w:t>
      </w:r>
      <w:r w:rsidR="008A3876" w:rsidRPr="00FE7BA7">
        <w:rPr>
          <w:rFonts w:ascii="Verdana" w:hAnsi="Verdana"/>
          <w:sz w:val="20"/>
          <w:szCs w:val="20"/>
          <w:lang w:val="en-US"/>
        </w:rPr>
        <w:t xml:space="preserve"> A. Sjin,</w:t>
      </w:r>
      <w:r w:rsidR="008A3876"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because he had a valid property title under Surinamese law </w:t>
      </w:r>
      <w:r w:rsidR="008A3876" w:rsidRPr="00FE7BA7">
        <w:rPr>
          <w:rFonts w:ascii="Verdana" w:hAnsi="Verdana"/>
          <w:snapToGrid w:val="0"/>
          <w:sz w:val="20"/>
          <w:szCs w:val="20"/>
          <w:lang w:val="en-US"/>
        </w:rPr>
        <w:t>(</w:t>
      </w:r>
      <w:r w:rsidR="00366D91" w:rsidRPr="00FE7BA7">
        <w:rPr>
          <w:rFonts w:ascii="Verdana" w:hAnsi="Verdana"/>
          <w:i/>
          <w:snapToGrid w:val="0"/>
          <w:sz w:val="20"/>
          <w:szCs w:val="20"/>
          <w:lang w:val="en-US"/>
        </w:rPr>
        <w:t>supra</w:t>
      </w:r>
      <w:r w:rsidR="008A3876" w:rsidRPr="00FE7BA7">
        <w:rPr>
          <w:rFonts w:ascii="Verdana" w:hAnsi="Verdana"/>
          <w:snapToGrid w:val="0"/>
          <w:sz w:val="20"/>
          <w:szCs w:val="20"/>
          <w:lang w:val="en-US"/>
        </w:rPr>
        <w:t xml:space="preserve"> </w:t>
      </w:r>
      <w:r w:rsidR="00810FAD" w:rsidRPr="00FE7BA7">
        <w:rPr>
          <w:rFonts w:ascii="Verdana" w:hAnsi="Verdana"/>
          <w:snapToGrid w:val="0"/>
          <w:sz w:val="20"/>
          <w:szCs w:val="20"/>
          <w:lang w:val="en-US"/>
        </w:rPr>
        <w:t>para.</w:t>
      </w:r>
      <w:r w:rsidR="008A3876" w:rsidRPr="00FE7BA7">
        <w:rPr>
          <w:rFonts w:ascii="Verdana" w:hAnsi="Verdana"/>
          <w:snapToGrid w:val="0"/>
          <w:sz w:val="20"/>
          <w:szCs w:val="20"/>
          <w:lang w:val="en-US"/>
        </w:rPr>
        <w:t xml:space="preserve"> </w:t>
      </w:r>
      <w:r w:rsidR="00BC33D0" w:rsidRPr="00FE7BA7">
        <w:rPr>
          <w:rFonts w:ascii="Verdana" w:hAnsi="Verdana"/>
          <w:snapToGrid w:val="0"/>
          <w:sz w:val="20"/>
          <w:szCs w:val="20"/>
          <w:lang w:val="en-US"/>
        </w:rPr>
        <w:t>63</w:t>
      </w:r>
      <w:r w:rsidR="008A3876"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Also, the </w:t>
      </w:r>
      <w:r w:rsidRPr="00FE7BA7">
        <w:rPr>
          <w:rFonts w:ascii="Verdana" w:hAnsi="Verdana"/>
          <w:sz w:val="20"/>
          <w:szCs w:val="20"/>
          <w:lang w:val="en-US"/>
        </w:rPr>
        <w:t>j</w:t>
      </w:r>
      <w:r w:rsidR="002B5CCD" w:rsidRPr="00FE7BA7">
        <w:rPr>
          <w:rFonts w:ascii="Verdana" w:hAnsi="Verdana"/>
          <w:sz w:val="20"/>
          <w:szCs w:val="20"/>
          <w:lang w:val="en-US"/>
        </w:rPr>
        <w:t>udgment of</w:t>
      </w:r>
      <w:r w:rsidR="008A3876" w:rsidRPr="00FE7BA7">
        <w:rPr>
          <w:rFonts w:ascii="Verdana" w:hAnsi="Verdana"/>
          <w:snapToGrid w:val="0"/>
          <w:sz w:val="20"/>
          <w:szCs w:val="20"/>
          <w:lang w:val="en-US"/>
        </w:rPr>
        <w:t xml:space="preserve"> </w:t>
      </w:r>
      <w:r w:rsidRPr="00FE7BA7">
        <w:rPr>
          <w:rFonts w:ascii="Verdana" w:hAnsi="Verdana"/>
          <w:snapToGrid w:val="0"/>
          <w:sz w:val="20"/>
          <w:szCs w:val="20"/>
          <w:lang w:val="en-US"/>
        </w:rPr>
        <w:t xml:space="preserve">July 24, </w:t>
      </w:r>
      <w:r w:rsidR="008A3876" w:rsidRPr="00FE7BA7">
        <w:rPr>
          <w:rFonts w:ascii="Verdana" w:hAnsi="Verdana"/>
          <w:snapToGrid w:val="0"/>
          <w:sz w:val="20"/>
          <w:szCs w:val="20"/>
          <w:lang w:val="en-US"/>
        </w:rPr>
        <w:t>2003</w:t>
      </w:r>
      <w:r w:rsidRPr="00FE7BA7">
        <w:rPr>
          <w:rFonts w:ascii="Verdana" w:hAnsi="Verdana"/>
          <w:snapToGrid w:val="0"/>
          <w:sz w:val="20"/>
          <w:szCs w:val="20"/>
          <w:lang w:val="en-US"/>
        </w:rPr>
        <w:t xml:space="preserve">, delivered by </w:t>
      </w:r>
      <w:r w:rsidR="002B5CCD" w:rsidRPr="00FE7BA7">
        <w:rPr>
          <w:rFonts w:ascii="Verdana" w:hAnsi="Verdana"/>
          <w:snapToGrid w:val="0"/>
          <w:sz w:val="20"/>
          <w:szCs w:val="20"/>
          <w:lang w:val="en-US"/>
        </w:rPr>
        <w:t xml:space="preserve">the </w:t>
      </w:r>
      <w:r w:rsidRPr="00FE7BA7">
        <w:rPr>
          <w:rFonts w:ascii="Verdana" w:hAnsi="Verdana"/>
          <w:snapToGrid w:val="0"/>
          <w:sz w:val="20"/>
          <w:szCs w:val="20"/>
          <w:lang w:val="en-US"/>
        </w:rPr>
        <w:t>Cantonal Court of the First Canton of</w:t>
      </w:r>
      <w:r w:rsidR="008A3876" w:rsidRPr="00FE7BA7">
        <w:rPr>
          <w:rFonts w:ascii="Verdana" w:hAnsi="Verdana"/>
          <w:snapToGrid w:val="0"/>
          <w:sz w:val="20"/>
          <w:szCs w:val="20"/>
          <w:lang w:val="en-US"/>
        </w:rPr>
        <w:t xml:space="preserve"> Paramaribo</w:t>
      </w:r>
      <w:r w:rsidR="008A3876" w:rsidRPr="00FE7BA7">
        <w:rPr>
          <w:rFonts w:ascii="Verdana" w:hAnsi="Verdana"/>
          <w:sz w:val="20"/>
          <w:szCs w:val="20"/>
          <w:lang w:val="en-US"/>
        </w:rPr>
        <w:t xml:space="preserve"> </w:t>
      </w:r>
      <w:r w:rsidRPr="00FE7BA7">
        <w:rPr>
          <w:rFonts w:ascii="Verdana" w:hAnsi="Verdana"/>
          <w:sz w:val="20"/>
          <w:szCs w:val="20"/>
          <w:lang w:val="en-US"/>
        </w:rPr>
        <w:t>in the case of</w:t>
      </w:r>
      <w:r w:rsidR="008A3876" w:rsidRPr="00FE7BA7">
        <w:rPr>
          <w:rFonts w:ascii="Verdana" w:hAnsi="Verdana"/>
          <w:snapToGrid w:val="0"/>
          <w:sz w:val="20"/>
          <w:szCs w:val="20"/>
          <w:lang w:val="en-US"/>
        </w:rPr>
        <w:t xml:space="preserve"> </w:t>
      </w:r>
      <w:r w:rsidR="008A3876" w:rsidRPr="00FE7BA7">
        <w:rPr>
          <w:rFonts w:ascii="Verdana" w:hAnsi="Verdana"/>
          <w:i/>
          <w:snapToGrid w:val="0"/>
          <w:sz w:val="20"/>
          <w:szCs w:val="20"/>
          <w:lang w:val="en-US"/>
        </w:rPr>
        <w:t>Celientje Martina Joeroeja-Koewie</w:t>
      </w:r>
      <w:r w:rsidR="002B5CCD" w:rsidRPr="00FE7BA7">
        <w:rPr>
          <w:rFonts w:ascii="Verdana" w:hAnsi="Verdana"/>
          <w:i/>
          <w:snapToGrid w:val="0"/>
          <w:sz w:val="20"/>
          <w:szCs w:val="20"/>
          <w:lang w:val="en-US"/>
        </w:rPr>
        <w:t xml:space="preserve"> </w:t>
      </w:r>
      <w:r w:rsidR="009566E9">
        <w:rPr>
          <w:rFonts w:ascii="Verdana" w:hAnsi="Verdana"/>
          <w:i/>
          <w:snapToGrid w:val="0"/>
          <w:sz w:val="20"/>
          <w:szCs w:val="20"/>
          <w:lang w:val="en-US"/>
        </w:rPr>
        <w:t>and Others</w:t>
      </w:r>
      <w:r w:rsidR="008A3876" w:rsidRPr="00FE7BA7">
        <w:rPr>
          <w:rFonts w:ascii="Verdana" w:hAnsi="Verdana"/>
          <w:i/>
          <w:snapToGrid w:val="0"/>
          <w:sz w:val="20"/>
          <w:szCs w:val="20"/>
          <w:lang w:val="en-US"/>
        </w:rPr>
        <w:t xml:space="preserve"> </w:t>
      </w:r>
      <w:r w:rsidR="00FB4175" w:rsidRPr="00FE7BA7">
        <w:rPr>
          <w:rFonts w:ascii="Verdana" w:hAnsi="Verdana"/>
          <w:i/>
          <w:snapToGrid w:val="0"/>
          <w:sz w:val="20"/>
          <w:szCs w:val="20"/>
          <w:lang w:val="en-US"/>
        </w:rPr>
        <w:t>v</w:t>
      </w:r>
      <w:r w:rsidR="008A3876" w:rsidRPr="00FE7BA7">
        <w:rPr>
          <w:rFonts w:ascii="Verdana" w:hAnsi="Verdana"/>
          <w:i/>
          <w:snapToGrid w:val="0"/>
          <w:sz w:val="20"/>
          <w:szCs w:val="20"/>
          <w:lang w:val="en-US"/>
        </w:rPr>
        <w:t xml:space="preserve">. </w:t>
      </w:r>
      <w:r w:rsidR="002B5CCD" w:rsidRPr="00FE7BA7">
        <w:rPr>
          <w:rFonts w:ascii="Verdana" w:hAnsi="Verdana"/>
          <w:i/>
          <w:snapToGrid w:val="0"/>
          <w:sz w:val="20"/>
          <w:szCs w:val="20"/>
          <w:lang w:val="en-US"/>
        </w:rPr>
        <w:t xml:space="preserve">Suriname </w:t>
      </w:r>
      <w:r w:rsidR="008A3876" w:rsidRPr="00FE7BA7">
        <w:rPr>
          <w:rFonts w:ascii="Verdana" w:hAnsi="Verdana"/>
          <w:i/>
          <w:sz w:val="20"/>
          <w:szCs w:val="20"/>
          <w:lang w:val="en-US"/>
        </w:rPr>
        <w:t xml:space="preserve">&amp; </w:t>
      </w:r>
      <w:r w:rsidR="002B5CCD" w:rsidRPr="00FE7BA7">
        <w:rPr>
          <w:rFonts w:ascii="Verdana" w:hAnsi="Verdana"/>
          <w:i/>
          <w:sz w:val="20"/>
          <w:szCs w:val="20"/>
          <w:lang w:val="en-US"/>
        </w:rPr>
        <w:t xml:space="preserve">Suriname </w:t>
      </w:r>
      <w:r w:rsidR="008A3876" w:rsidRPr="00FE7BA7">
        <w:rPr>
          <w:rFonts w:ascii="Verdana" w:hAnsi="Verdana"/>
          <w:i/>
          <w:sz w:val="20"/>
          <w:szCs w:val="20"/>
          <w:lang w:val="en-US"/>
        </w:rPr>
        <w:t>Stone &amp; Industries N.V</w:t>
      </w:r>
      <w:r w:rsidR="008A3876" w:rsidRPr="00FE7BA7">
        <w:rPr>
          <w:rFonts w:ascii="Verdana" w:hAnsi="Verdana"/>
          <w:i/>
          <w:snapToGrid w:val="0"/>
          <w:sz w:val="20"/>
          <w:szCs w:val="20"/>
          <w:lang w:val="en-US"/>
        </w:rPr>
        <w:t>.</w:t>
      </w:r>
      <w:r w:rsidR="008A3876" w:rsidRPr="00FE7BA7">
        <w:rPr>
          <w:rFonts w:ascii="Verdana" w:hAnsi="Verdana"/>
          <w:snapToGrid w:val="0"/>
          <w:sz w:val="20"/>
          <w:szCs w:val="20"/>
          <w:lang w:val="en-US"/>
        </w:rPr>
        <w:t>, re</w:t>
      </w:r>
      <w:r w:rsidRPr="00FE7BA7">
        <w:rPr>
          <w:rFonts w:ascii="Verdana" w:hAnsi="Verdana"/>
          <w:snapToGrid w:val="0"/>
          <w:sz w:val="20"/>
          <w:szCs w:val="20"/>
          <w:lang w:val="en-US"/>
        </w:rPr>
        <w:t xml:space="preserve">jected the request </w:t>
      </w:r>
      <w:r w:rsidR="00BE4D11" w:rsidRPr="00FE7BA7">
        <w:rPr>
          <w:rFonts w:ascii="Verdana" w:hAnsi="Verdana"/>
          <w:snapToGrid w:val="0"/>
          <w:sz w:val="20"/>
          <w:szCs w:val="20"/>
          <w:lang w:val="en-US"/>
        </w:rPr>
        <w:t xml:space="preserve">of the </w:t>
      </w:r>
      <w:r w:rsidR="00CA7C7B" w:rsidRPr="00FE7BA7">
        <w:rPr>
          <w:rFonts w:ascii="Verdana" w:hAnsi="Verdana"/>
          <w:snapToGrid w:val="0"/>
          <w:sz w:val="20"/>
          <w:szCs w:val="20"/>
          <w:lang w:val="en-US"/>
        </w:rPr>
        <w:t>residents</w:t>
      </w:r>
      <w:r w:rsidR="00CC4954">
        <w:rPr>
          <w:rFonts w:ascii="Verdana" w:hAnsi="Verdana"/>
          <w:snapToGrid w:val="0"/>
          <w:sz w:val="20"/>
          <w:szCs w:val="20"/>
          <w:lang w:val="en-US"/>
        </w:rPr>
        <w:t xml:space="preserve"> of</w:t>
      </w:r>
      <w:r w:rsidR="008A3876" w:rsidRPr="00FE7BA7">
        <w:rPr>
          <w:rFonts w:ascii="Verdana" w:hAnsi="Verdana"/>
          <w:snapToGrid w:val="0"/>
          <w:sz w:val="20"/>
          <w:szCs w:val="20"/>
          <w:lang w:val="en-US"/>
        </w:rPr>
        <w:t xml:space="preserve"> Pierrekondre </w:t>
      </w:r>
      <w:r w:rsidRPr="00FE7BA7">
        <w:rPr>
          <w:rFonts w:ascii="Verdana" w:hAnsi="Verdana"/>
          <w:snapToGrid w:val="0"/>
          <w:sz w:val="20"/>
          <w:szCs w:val="20"/>
          <w:lang w:val="en-US"/>
        </w:rPr>
        <w:t xml:space="preserve">to revoke a sand mining concession granted in their territory, because they lacked </w:t>
      </w:r>
      <w:r w:rsidR="00D67ED6">
        <w:rPr>
          <w:rFonts w:ascii="Verdana" w:hAnsi="Verdana"/>
          <w:snapToGrid w:val="0"/>
          <w:sz w:val="20"/>
          <w:szCs w:val="20"/>
          <w:lang w:val="en-US"/>
        </w:rPr>
        <w:t>legal</w:t>
      </w:r>
      <w:r w:rsidRPr="00FE7BA7">
        <w:rPr>
          <w:rFonts w:ascii="Verdana" w:hAnsi="Verdana"/>
          <w:snapToGrid w:val="0"/>
          <w:sz w:val="20"/>
          <w:szCs w:val="20"/>
          <w:lang w:val="en-US"/>
        </w:rPr>
        <w:t xml:space="preserve"> personality as a collective entity </w:t>
      </w:r>
      <w:r w:rsidR="008A3876" w:rsidRPr="00FE7BA7">
        <w:rPr>
          <w:rFonts w:ascii="Verdana" w:hAnsi="Verdana"/>
          <w:snapToGrid w:val="0"/>
          <w:sz w:val="20"/>
          <w:szCs w:val="20"/>
          <w:lang w:val="en-US"/>
        </w:rPr>
        <w:t>(</w:t>
      </w:r>
      <w:r w:rsidR="00366D91" w:rsidRPr="00FE7BA7">
        <w:rPr>
          <w:rFonts w:ascii="Verdana" w:hAnsi="Verdana"/>
          <w:i/>
          <w:snapToGrid w:val="0"/>
          <w:sz w:val="20"/>
          <w:szCs w:val="20"/>
          <w:lang w:val="en-US"/>
        </w:rPr>
        <w:t>supra</w:t>
      </w:r>
      <w:r w:rsidR="008A3876" w:rsidRPr="00FE7BA7">
        <w:rPr>
          <w:rFonts w:ascii="Verdana" w:hAnsi="Verdana"/>
          <w:snapToGrid w:val="0"/>
          <w:sz w:val="20"/>
          <w:szCs w:val="20"/>
          <w:lang w:val="en-US"/>
        </w:rPr>
        <w:t xml:space="preserve"> </w:t>
      </w:r>
      <w:r w:rsidR="00810FAD" w:rsidRPr="00FE7BA7">
        <w:rPr>
          <w:rFonts w:ascii="Verdana" w:hAnsi="Verdana"/>
          <w:snapToGrid w:val="0"/>
          <w:sz w:val="20"/>
          <w:szCs w:val="20"/>
          <w:lang w:val="en-US"/>
        </w:rPr>
        <w:t>para.</w:t>
      </w:r>
      <w:r w:rsidR="008A3876" w:rsidRPr="00FE7BA7">
        <w:rPr>
          <w:rFonts w:ascii="Verdana" w:hAnsi="Verdana"/>
          <w:snapToGrid w:val="0"/>
          <w:sz w:val="20"/>
          <w:szCs w:val="20"/>
          <w:lang w:val="en-US"/>
        </w:rPr>
        <w:t xml:space="preserve"> </w:t>
      </w:r>
      <w:r w:rsidR="00BC33D0" w:rsidRPr="00FE7BA7">
        <w:rPr>
          <w:rFonts w:ascii="Verdana" w:hAnsi="Verdana"/>
          <w:snapToGrid w:val="0"/>
          <w:sz w:val="20"/>
          <w:szCs w:val="20"/>
          <w:lang w:val="en-US"/>
        </w:rPr>
        <w:t>64</w:t>
      </w:r>
      <w:r w:rsidR="008A3876" w:rsidRPr="00FE7BA7">
        <w:rPr>
          <w:rFonts w:ascii="Verdana" w:hAnsi="Verdana"/>
          <w:snapToGrid w:val="0"/>
          <w:sz w:val="20"/>
          <w:szCs w:val="20"/>
          <w:lang w:val="en-US"/>
        </w:rPr>
        <w:t>).</w:t>
      </w:r>
    </w:p>
    <w:p w14:paraId="63126AA1" w14:textId="77777777" w:rsidR="008A3876" w:rsidRPr="00FE7BA7" w:rsidRDefault="008A3876" w:rsidP="008A3876">
      <w:pPr>
        <w:pStyle w:val="ListParagraph"/>
        <w:ind w:left="0"/>
        <w:jc w:val="both"/>
        <w:rPr>
          <w:rFonts w:ascii="Verdana" w:hAnsi="Verdana"/>
          <w:sz w:val="20"/>
          <w:szCs w:val="20"/>
          <w:lang w:val="en-US"/>
        </w:rPr>
      </w:pPr>
    </w:p>
    <w:p w14:paraId="63126AA2" w14:textId="77777777" w:rsidR="008A3876" w:rsidRPr="00FE7BA7" w:rsidRDefault="00921C81"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addition, on January 12, 2003, </w:t>
      </w:r>
      <w:r w:rsidR="00D67ED6">
        <w:rPr>
          <w:rFonts w:ascii="Verdana" w:hAnsi="Verdana"/>
          <w:sz w:val="20"/>
          <w:szCs w:val="20"/>
          <w:lang w:val="en-US"/>
        </w:rPr>
        <w:t>the c</w:t>
      </w:r>
      <w:r w:rsidR="00CA7C7B" w:rsidRPr="00FE7BA7">
        <w:rPr>
          <w:rFonts w:ascii="Verdana" w:hAnsi="Verdana"/>
          <w:sz w:val="20"/>
          <w:szCs w:val="20"/>
          <w:lang w:val="en-US"/>
        </w:rPr>
        <w:t>aptains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008A3876" w:rsidRPr="00FE7BA7">
        <w:rPr>
          <w:rFonts w:ascii="Verdana" w:hAnsi="Verdana"/>
          <w:sz w:val="20"/>
          <w:szCs w:val="20"/>
          <w:lang w:val="en-US"/>
        </w:rPr>
        <w:t>present</w:t>
      </w:r>
      <w:r w:rsidRPr="00FE7BA7">
        <w:rPr>
          <w:rFonts w:ascii="Verdana" w:hAnsi="Verdana"/>
          <w:sz w:val="20"/>
          <w:szCs w:val="20"/>
          <w:lang w:val="en-US"/>
        </w:rPr>
        <w:t xml:space="preserve">ed a formal petition to the </w:t>
      </w:r>
      <w:r w:rsidR="002B5CCD" w:rsidRPr="00FE7BA7">
        <w:rPr>
          <w:rFonts w:ascii="Verdana" w:hAnsi="Verdana"/>
          <w:sz w:val="20"/>
          <w:szCs w:val="20"/>
          <w:lang w:val="en-US"/>
        </w:rPr>
        <w:t>President</w:t>
      </w:r>
      <w:r w:rsidR="002F0F93" w:rsidRPr="00FE7BA7">
        <w:rPr>
          <w:rFonts w:ascii="Verdana" w:hAnsi="Verdana"/>
          <w:sz w:val="20"/>
          <w:szCs w:val="20"/>
          <w:lang w:val="en-US"/>
        </w:rPr>
        <w:t xml:space="preserve"> of Suriname</w:t>
      </w:r>
      <w:r w:rsidR="004C7D14" w:rsidRPr="00FE7BA7">
        <w:rPr>
          <w:rFonts w:ascii="Verdana" w:hAnsi="Verdana"/>
          <w:sz w:val="20"/>
          <w:szCs w:val="20"/>
          <w:lang w:val="en-US"/>
        </w:rPr>
        <w:t>,</w:t>
      </w:r>
      <w:r w:rsidR="008A3876" w:rsidRPr="00FE7BA7">
        <w:rPr>
          <w:rFonts w:ascii="Verdana" w:hAnsi="Verdana"/>
          <w:sz w:val="20"/>
          <w:szCs w:val="20"/>
          <w:lang w:val="en-US"/>
        </w:rPr>
        <w:t xml:space="preserve"> Ronald Venetiaan,</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the respective Ministries and State agencies, requesting the recognition of the right to </w:t>
      </w:r>
      <w:r w:rsidR="00086269" w:rsidRPr="00FE7BA7">
        <w:rPr>
          <w:rFonts w:ascii="Verdana" w:hAnsi="Verdana"/>
          <w:sz w:val="20"/>
          <w:szCs w:val="20"/>
          <w:lang w:val="en-US"/>
        </w:rPr>
        <w:t>their ancestral territories</w:t>
      </w:r>
      <w:r w:rsidRPr="00FE7BA7">
        <w:rPr>
          <w:rFonts w:ascii="Verdana" w:hAnsi="Verdana"/>
          <w:sz w:val="20"/>
          <w:szCs w:val="20"/>
          <w:lang w:val="en-US"/>
        </w:rPr>
        <w:t xml:space="preserve">, their </w:t>
      </w:r>
      <w:r w:rsidR="00D67ED6">
        <w:rPr>
          <w:rFonts w:ascii="Verdana" w:hAnsi="Verdana"/>
          <w:sz w:val="20"/>
          <w:szCs w:val="20"/>
          <w:lang w:val="en-US"/>
        </w:rPr>
        <w:t xml:space="preserve">legal </w:t>
      </w:r>
      <w:r w:rsidRPr="00FE7BA7">
        <w:rPr>
          <w:rFonts w:ascii="Verdana" w:hAnsi="Verdana"/>
          <w:sz w:val="20"/>
          <w:szCs w:val="20"/>
          <w:lang w:val="en-US"/>
        </w:rPr>
        <w:t xml:space="preserve">personality, and the obligation to consult them. On January 31 and February 28, </w:t>
      </w:r>
      <w:r w:rsidR="008A3876" w:rsidRPr="00FE7BA7">
        <w:rPr>
          <w:rFonts w:ascii="Verdana" w:hAnsi="Verdana"/>
          <w:sz w:val="20"/>
          <w:szCs w:val="20"/>
          <w:lang w:val="en-US"/>
        </w:rPr>
        <w:t>2003</w:t>
      </w:r>
      <w:r w:rsidRPr="00FE7BA7">
        <w:rPr>
          <w:rFonts w:ascii="Verdana" w:hAnsi="Verdana"/>
          <w:sz w:val="20"/>
          <w:szCs w:val="20"/>
          <w:lang w:val="en-US"/>
        </w:rPr>
        <w:t>, meetings were held in this regard, but no specific agreements were reached</w:t>
      </w:r>
      <w:r w:rsidR="008A3876" w:rsidRPr="00FE7BA7">
        <w:rPr>
          <w:rFonts w:ascii="Verdana" w:hAnsi="Verdana"/>
          <w:sz w:val="20"/>
          <w:szCs w:val="20"/>
          <w:lang w:val="en-US"/>
        </w:rPr>
        <w:t xml:space="preserve"> (</w:t>
      </w:r>
      <w:r w:rsidR="00366D91" w:rsidRPr="00FE7BA7">
        <w:rPr>
          <w:rFonts w:ascii="Verdana" w:hAnsi="Verdana"/>
          <w:i/>
          <w:sz w:val="20"/>
          <w:szCs w:val="20"/>
          <w:lang w:val="en-US"/>
        </w:rPr>
        <w:t>supra</w:t>
      </w:r>
      <w:r w:rsidR="008A3876" w:rsidRPr="00FE7BA7">
        <w:rPr>
          <w:rFonts w:ascii="Verdana" w:hAnsi="Verdana"/>
          <w:sz w:val="20"/>
          <w:szCs w:val="20"/>
          <w:lang w:val="en-US"/>
        </w:rPr>
        <w:t xml:space="preserve"> </w:t>
      </w:r>
      <w:r w:rsidR="008F798A" w:rsidRPr="00FE7BA7">
        <w:rPr>
          <w:rFonts w:ascii="Verdana" w:hAnsi="Verdana"/>
          <w:sz w:val="20"/>
          <w:szCs w:val="20"/>
          <w:lang w:val="en-US"/>
        </w:rPr>
        <w:t>paras.</w:t>
      </w:r>
      <w:r w:rsidR="008A3876" w:rsidRPr="00FE7BA7">
        <w:rPr>
          <w:rFonts w:ascii="Verdana" w:hAnsi="Verdana"/>
          <w:sz w:val="20"/>
          <w:szCs w:val="20"/>
          <w:lang w:val="en-US"/>
        </w:rPr>
        <w:t xml:space="preserve"> </w:t>
      </w:r>
      <w:r w:rsidR="000D6E72" w:rsidRPr="00FE7BA7">
        <w:rPr>
          <w:rFonts w:ascii="Verdana" w:hAnsi="Verdana"/>
          <w:sz w:val="20"/>
          <w:szCs w:val="20"/>
          <w:lang w:val="en-US"/>
        </w:rPr>
        <w:t>65</w:t>
      </w:r>
      <w:r w:rsidR="002B5CCD" w:rsidRPr="00FE7BA7">
        <w:rPr>
          <w:rFonts w:ascii="Verdana" w:hAnsi="Verdana"/>
          <w:sz w:val="20"/>
          <w:szCs w:val="20"/>
          <w:lang w:val="en-US"/>
        </w:rPr>
        <w:t xml:space="preserve"> and </w:t>
      </w:r>
      <w:r w:rsidR="00BC33D0" w:rsidRPr="00FE7BA7">
        <w:rPr>
          <w:rFonts w:ascii="Verdana" w:hAnsi="Verdana"/>
          <w:sz w:val="20"/>
          <w:szCs w:val="20"/>
          <w:lang w:val="en-US"/>
        </w:rPr>
        <w:t>66</w:t>
      </w:r>
      <w:r w:rsidR="008A3876" w:rsidRPr="00FE7BA7">
        <w:rPr>
          <w:rFonts w:ascii="Verdana" w:hAnsi="Verdana"/>
          <w:sz w:val="20"/>
          <w:szCs w:val="20"/>
          <w:lang w:val="en-US"/>
        </w:rPr>
        <w:t xml:space="preserve">). </w:t>
      </w:r>
      <w:r w:rsidRPr="00FE7BA7">
        <w:rPr>
          <w:rFonts w:ascii="Verdana" w:hAnsi="Verdana"/>
          <w:sz w:val="20"/>
          <w:szCs w:val="20"/>
          <w:lang w:val="en-US"/>
        </w:rPr>
        <w:t xml:space="preserve">Subsequently, on March 22, 2004, </w:t>
      </w:r>
      <w:r w:rsidR="00D67ED6">
        <w:rPr>
          <w:rFonts w:ascii="Verdana" w:hAnsi="Verdana"/>
          <w:sz w:val="20"/>
          <w:szCs w:val="20"/>
          <w:lang w:val="en-US"/>
        </w:rPr>
        <w:t>the c</w:t>
      </w:r>
      <w:r w:rsidR="00CA7C7B" w:rsidRPr="00FE7BA7">
        <w:rPr>
          <w:rFonts w:ascii="Verdana" w:hAnsi="Verdana"/>
          <w:sz w:val="20"/>
          <w:szCs w:val="20"/>
          <w:lang w:val="en-US"/>
        </w:rPr>
        <w:t>aptains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008A3876" w:rsidRPr="00FE7BA7">
        <w:rPr>
          <w:rFonts w:ascii="Verdana" w:hAnsi="Verdana"/>
          <w:sz w:val="20"/>
          <w:szCs w:val="20"/>
          <w:lang w:val="en-US"/>
        </w:rPr>
        <w:t>reitera</w:t>
      </w:r>
      <w:r w:rsidRPr="00FE7BA7">
        <w:rPr>
          <w:rFonts w:ascii="Verdana" w:hAnsi="Verdana"/>
          <w:sz w:val="20"/>
          <w:szCs w:val="20"/>
          <w:lang w:val="en-US"/>
        </w:rPr>
        <w:t xml:space="preserve">ted the contents of the petition of January 12, 2003. However, the State did not answer the petition </w:t>
      </w:r>
      <w:r w:rsidR="008A3876" w:rsidRPr="00FE7BA7">
        <w:rPr>
          <w:rFonts w:ascii="Verdana" w:hAnsi="Verdana"/>
          <w:sz w:val="20"/>
          <w:szCs w:val="20"/>
          <w:lang w:val="en-US"/>
        </w:rPr>
        <w:t>(</w:t>
      </w:r>
      <w:r w:rsidR="00366D91" w:rsidRPr="00FE7BA7">
        <w:rPr>
          <w:rFonts w:ascii="Verdana" w:hAnsi="Verdana"/>
          <w:i/>
          <w:sz w:val="20"/>
          <w:szCs w:val="20"/>
          <w:lang w:val="en-US"/>
        </w:rPr>
        <w:t>supra</w:t>
      </w:r>
      <w:r w:rsidR="008A3876" w:rsidRPr="00FE7BA7">
        <w:rPr>
          <w:rFonts w:ascii="Verdana" w:hAnsi="Verdana"/>
          <w:sz w:val="20"/>
          <w:szCs w:val="20"/>
          <w:lang w:val="en-US"/>
        </w:rPr>
        <w:t xml:space="preserve"> </w:t>
      </w:r>
      <w:r w:rsidR="00810FAD" w:rsidRPr="00FE7BA7">
        <w:rPr>
          <w:rFonts w:ascii="Verdana" w:hAnsi="Verdana"/>
          <w:sz w:val="20"/>
          <w:szCs w:val="20"/>
          <w:lang w:val="en-US"/>
        </w:rPr>
        <w:t>para.</w:t>
      </w:r>
      <w:r w:rsidR="008A3876" w:rsidRPr="00FE7BA7">
        <w:rPr>
          <w:rFonts w:ascii="Verdana" w:hAnsi="Verdana"/>
          <w:sz w:val="20"/>
          <w:szCs w:val="20"/>
          <w:lang w:val="en-US"/>
        </w:rPr>
        <w:t xml:space="preserve"> </w:t>
      </w:r>
      <w:r w:rsidR="00BC33D0" w:rsidRPr="00FE7BA7">
        <w:rPr>
          <w:rFonts w:ascii="Verdana" w:hAnsi="Verdana"/>
          <w:sz w:val="20"/>
          <w:szCs w:val="20"/>
          <w:lang w:val="en-US"/>
        </w:rPr>
        <w:t>65</w:t>
      </w:r>
      <w:r w:rsidR="008A3876" w:rsidRPr="00FE7BA7">
        <w:rPr>
          <w:rFonts w:ascii="Verdana" w:hAnsi="Verdana"/>
          <w:sz w:val="20"/>
          <w:szCs w:val="20"/>
          <w:lang w:val="en-US"/>
        </w:rPr>
        <w:t xml:space="preserve">). </w:t>
      </w:r>
    </w:p>
    <w:p w14:paraId="63126AA3" w14:textId="77777777" w:rsidR="008A3876" w:rsidRPr="00FE7BA7" w:rsidRDefault="008A3876" w:rsidP="008A3876">
      <w:pPr>
        <w:pStyle w:val="ListParagraph"/>
        <w:ind w:left="0"/>
        <w:jc w:val="both"/>
        <w:rPr>
          <w:rFonts w:ascii="Verdana" w:hAnsi="Verdana"/>
          <w:sz w:val="20"/>
          <w:szCs w:val="20"/>
          <w:lang w:val="en-US"/>
        </w:rPr>
      </w:pPr>
    </w:p>
    <w:p w14:paraId="63126AA4" w14:textId="77777777" w:rsidR="008A3876" w:rsidRPr="00FE7BA7" w:rsidRDefault="00921C81" w:rsidP="00921C8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F</w:t>
      </w:r>
      <w:r w:rsidRPr="00D67ED6">
        <w:rPr>
          <w:rFonts w:ascii="Verdana" w:hAnsi="Verdana"/>
          <w:sz w:val="20"/>
          <w:szCs w:val="20"/>
          <w:lang w:val="en-US"/>
        </w:rPr>
        <w:t xml:space="preserve">urthermore, in December 2004, the CLIM sent a communication to the State-owned Lands Office </w:t>
      </w:r>
      <w:r w:rsidR="00D67ED6">
        <w:rPr>
          <w:rFonts w:ascii="Verdana" w:hAnsi="Verdana"/>
          <w:sz w:val="20"/>
          <w:szCs w:val="20"/>
          <w:lang w:val="en-US"/>
        </w:rPr>
        <w:t>asking it to suspend</w:t>
      </w:r>
      <w:r w:rsidRPr="00FE7BA7">
        <w:rPr>
          <w:rFonts w:ascii="Verdana" w:hAnsi="Verdana"/>
          <w:sz w:val="20"/>
          <w:szCs w:val="20"/>
          <w:lang w:val="en-US"/>
        </w:rPr>
        <w:t xml:space="preserve"> the issue of land titles in the area known as “Tuinstad Albina.” </w:t>
      </w:r>
      <w:r w:rsidRPr="00FE7BA7">
        <w:rPr>
          <w:rFonts w:ascii="Verdana" w:hAnsi="Verdana"/>
          <w:sz w:val="20"/>
          <w:szCs w:val="20"/>
          <w:lang w:val="en-US"/>
        </w:rPr>
        <w:lastRenderedPageBreak/>
        <w:t xml:space="preserve">Also, on May 22, 2006, CLIM sent a communication to the Ministry of </w:t>
      </w:r>
      <w:r w:rsidR="00C07DBC">
        <w:rPr>
          <w:rFonts w:ascii="Verdana" w:hAnsi="Verdana"/>
          <w:sz w:val="20"/>
          <w:szCs w:val="20"/>
          <w:lang w:val="en-US"/>
        </w:rPr>
        <w:t>Spatial</w:t>
      </w:r>
      <w:r w:rsidRPr="00FE7BA7">
        <w:rPr>
          <w:rFonts w:ascii="Verdana" w:hAnsi="Verdana"/>
          <w:sz w:val="20"/>
          <w:szCs w:val="20"/>
          <w:lang w:val="en-US"/>
        </w:rPr>
        <w:t xml:space="preserve"> Planning requesting the suspension of any activity that had an impact on </w:t>
      </w:r>
      <w:r w:rsidR="005269B1" w:rsidRPr="00FE7BA7">
        <w:rPr>
          <w:rFonts w:ascii="Verdana" w:hAnsi="Verdana"/>
          <w:sz w:val="20"/>
          <w:szCs w:val="20"/>
          <w:lang w:val="en-US"/>
        </w:rPr>
        <w:t>their ancestral territory</w:t>
      </w:r>
      <w:r w:rsidRPr="00FE7BA7">
        <w:rPr>
          <w:rFonts w:ascii="Verdana" w:hAnsi="Verdana"/>
          <w:sz w:val="20"/>
          <w:szCs w:val="20"/>
          <w:lang w:val="en-US"/>
        </w:rPr>
        <w:t xml:space="preserve">. However, the communications went unanswered </w:t>
      </w:r>
      <w:r w:rsidR="008A3876" w:rsidRPr="00FE7BA7">
        <w:rPr>
          <w:rFonts w:ascii="Verdana" w:hAnsi="Verdana"/>
          <w:sz w:val="20"/>
          <w:szCs w:val="20"/>
          <w:lang w:val="en-US"/>
        </w:rPr>
        <w:t>(</w:t>
      </w:r>
      <w:r w:rsidR="00366D91" w:rsidRPr="00FE7BA7">
        <w:rPr>
          <w:rFonts w:ascii="Verdana" w:hAnsi="Verdana"/>
          <w:i/>
          <w:sz w:val="20"/>
          <w:szCs w:val="20"/>
          <w:lang w:val="en-US"/>
        </w:rPr>
        <w:t>supra</w:t>
      </w:r>
      <w:r w:rsidR="008A3876" w:rsidRPr="00FE7BA7">
        <w:rPr>
          <w:rFonts w:ascii="Verdana" w:hAnsi="Verdana"/>
          <w:sz w:val="20"/>
          <w:szCs w:val="20"/>
          <w:lang w:val="en-US"/>
        </w:rPr>
        <w:t xml:space="preserve"> </w:t>
      </w:r>
      <w:r w:rsidR="00810FAD" w:rsidRPr="00FE7BA7">
        <w:rPr>
          <w:rFonts w:ascii="Verdana" w:hAnsi="Verdana"/>
          <w:sz w:val="20"/>
          <w:szCs w:val="20"/>
          <w:lang w:val="en-US"/>
        </w:rPr>
        <w:t>para.</w:t>
      </w:r>
      <w:r w:rsidR="008A3876" w:rsidRPr="00FE7BA7">
        <w:rPr>
          <w:rFonts w:ascii="Verdana" w:hAnsi="Verdana"/>
          <w:sz w:val="20"/>
          <w:szCs w:val="20"/>
          <w:lang w:val="en-US"/>
        </w:rPr>
        <w:t xml:space="preserve"> </w:t>
      </w:r>
      <w:r w:rsidR="00BC33D0" w:rsidRPr="00FE7BA7">
        <w:rPr>
          <w:rFonts w:ascii="Verdana" w:hAnsi="Verdana"/>
          <w:sz w:val="20"/>
          <w:szCs w:val="20"/>
          <w:lang w:val="en-US"/>
        </w:rPr>
        <w:t>67</w:t>
      </w:r>
      <w:r w:rsidR="008A3876" w:rsidRPr="00FE7BA7">
        <w:rPr>
          <w:rFonts w:ascii="Verdana" w:hAnsi="Verdana"/>
          <w:sz w:val="20"/>
          <w:szCs w:val="20"/>
          <w:lang w:val="en-US"/>
        </w:rPr>
        <w:t xml:space="preserve">). </w:t>
      </w:r>
      <w:r w:rsidRPr="00FE7BA7">
        <w:rPr>
          <w:rFonts w:ascii="Verdana" w:hAnsi="Verdana"/>
          <w:sz w:val="20"/>
          <w:szCs w:val="20"/>
          <w:lang w:val="en-US"/>
        </w:rPr>
        <w:t xml:space="preserve">Likewise, on October 7, 2007, </w:t>
      </w:r>
      <w:r w:rsidR="00D67ED6">
        <w:rPr>
          <w:rFonts w:ascii="Verdana" w:hAnsi="Verdana"/>
          <w:sz w:val="20"/>
          <w:szCs w:val="20"/>
          <w:lang w:val="en-US"/>
        </w:rPr>
        <w:t>the c</w:t>
      </w:r>
      <w:r w:rsidR="00CA7C7B" w:rsidRPr="00FE7BA7">
        <w:rPr>
          <w:rFonts w:ascii="Verdana" w:hAnsi="Verdana"/>
          <w:sz w:val="20"/>
          <w:szCs w:val="20"/>
          <w:lang w:val="en-US"/>
        </w:rPr>
        <w:t>aptains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CB39E1" w:rsidRPr="00FE7BA7">
        <w:rPr>
          <w:rFonts w:ascii="Verdana" w:hAnsi="Verdana"/>
          <w:sz w:val="20"/>
          <w:szCs w:val="20"/>
          <w:lang w:val="en-US"/>
        </w:rPr>
        <w:t xml:space="preserve"> </w:t>
      </w:r>
      <w:r w:rsidR="008A3876" w:rsidRPr="00FE7BA7">
        <w:rPr>
          <w:rFonts w:ascii="Verdana" w:hAnsi="Verdana"/>
          <w:sz w:val="20"/>
          <w:szCs w:val="20"/>
          <w:lang w:val="en-US"/>
        </w:rPr>
        <w:t>present</w:t>
      </w:r>
      <w:r w:rsidRPr="00FE7BA7">
        <w:rPr>
          <w:rFonts w:ascii="Verdana" w:hAnsi="Verdana"/>
          <w:sz w:val="20"/>
          <w:szCs w:val="20"/>
          <w:lang w:val="en-US"/>
        </w:rPr>
        <w:t xml:space="preserve">ed a communication to the </w:t>
      </w:r>
      <w:r w:rsidR="002B5CCD" w:rsidRPr="00FE7BA7">
        <w:rPr>
          <w:rFonts w:ascii="Verdana" w:hAnsi="Verdana"/>
          <w:sz w:val="20"/>
          <w:szCs w:val="20"/>
          <w:lang w:val="en-US"/>
        </w:rPr>
        <w:t>President</w:t>
      </w:r>
      <w:r w:rsidR="002F0F93" w:rsidRPr="00FE7BA7">
        <w:rPr>
          <w:rFonts w:ascii="Verdana" w:hAnsi="Verdana"/>
          <w:sz w:val="20"/>
          <w:szCs w:val="20"/>
          <w:lang w:val="en-US"/>
        </w:rPr>
        <w:t xml:space="preserve"> of Suriname</w:t>
      </w:r>
      <w:r w:rsidRPr="00FE7BA7">
        <w:rPr>
          <w:rFonts w:ascii="Verdana" w:hAnsi="Verdana"/>
          <w:sz w:val="20"/>
          <w:szCs w:val="20"/>
          <w:lang w:val="en-US"/>
        </w:rPr>
        <w:t xml:space="preserve"> contesting several constructions in the community of </w:t>
      </w:r>
      <w:r w:rsidR="008A3876" w:rsidRPr="00FE7BA7">
        <w:rPr>
          <w:rFonts w:ascii="Verdana" w:hAnsi="Verdana"/>
          <w:sz w:val="20"/>
          <w:szCs w:val="20"/>
          <w:lang w:val="en-US"/>
        </w:rPr>
        <w:t xml:space="preserve">Pierrekondre, </w:t>
      </w:r>
      <w:r w:rsidRPr="00FE7BA7">
        <w:rPr>
          <w:rFonts w:ascii="Verdana" w:hAnsi="Verdana"/>
          <w:sz w:val="20"/>
          <w:szCs w:val="20"/>
          <w:lang w:val="en-US"/>
        </w:rPr>
        <w:t xml:space="preserve">without obtaining a response from </w:t>
      </w:r>
      <w:r w:rsidR="00810FAD" w:rsidRPr="00FE7BA7">
        <w:rPr>
          <w:rFonts w:ascii="Verdana" w:hAnsi="Verdana"/>
          <w:sz w:val="20"/>
          <w:szCs w:val="20"/>
          <w:lang w:val="en-US"/>
        </w:rPr>
        <w:t xml:space="preserve">the </w:t>
      </w:r>
      <w:r w:rsidR="002B5CCD" w:rsidRPr="00FE7BA7">
        <w:rPr>
          <w:rFonts w:ascii="Verdana" w:hAnsi="Verdana"/>
          <w:sz w:val="20"/>
          <w:szCs w:val="20"/>
          <w:lang w:val="en-US"/>
        </w:rPr>
        <w:t>State</w:t>
      </w:r>
      <w:r w:rsidR="00BC33D0" w:rsidRPr="00FE7BA7">
        <w:rPr>
          <w:rFonts w:ascii="Verdana" w:hAnsi="Verdana"/>
          <w:b/>
          <w:sz w:val="20"/>
          <w:szCs w:val="20"/>
          <w:lang w:val="en-US"/>
        </w:rPr>
        <w:t xml:space="preserve"> </w:t>
      </w:r>
      <w:r w:rsidR="008A4ABB" w:rsidRPr="00FE7BA7">
        <w:rPr>
          <w:rFonts w:ascii="Verdana" w:hAnsi="Verdana"/>
          <w:sz w:val="20"/>
          <w:szCs w:val="20"/>
          <w:lang w:val="en-US"/>
        </w:rPr>
        <w:t>(</w:t>
      </w:r>
      <w:r w:rsidR="008A4ABB" w:rsidRPr="00FE7BA7">
        <w:rPr>
          <w:rFonts w:ascii="Verdana" w:hAnsi="Verdana"/>
          <w:i/>
          <w:sz w:val="20"/>
          <w:szCs w:val="20"/>
          <w:lang w:val="en-US"/>
        </w:rPr>
        <w:t>supra</w:t>
      </w:r>
      <w:r w:rsidR="008A4ABB" w:rsidRPr="00FE7BA7">
        <w:rPr>
          <w:rFonts w:ascii="Verdana" w:hAnsi="Verdana"/>
          <w:sz w:val="20"/>
          <w:szCs w:val="20"/>
          <w:lang w:val="en-US"/>
        </w:rPr>
        <w:t xml:space="preserve"> </w:t>
      </w:r>
      <w:r w:rsidR="00810FAD" w:rsidRPr="00FE7BA7">
        <w:rPr>
          <w:rFonts w:ascii="Verdana" w:hAnsi="Verdana"/>
          <w:sz w:val="20"/>
          <w:szCs w:val="20"/>
          <w:lang w:val="en-US"/>
        </w:rPr>
        <w:t>para.</w:t>
      </w:r>
      <w:r w:rsidR="008A4ABB" w:rsidRPr="00FE7BA7">
        <w:rPr>
          <w:rFonts w:ascii="Verdana" w:hAnsi="Verdana"/>
          <w:sz w:val="20"/>
          <w:szCs w:val="20"/>
          <w:lang w:val="en-US"/>
        </w:rPr>
        <w:t xml:space="preserve"> 68)</w:t>
      </w:r>
      <w:r w:rsidR="008A3876" w:rsidRPr="00FE7BA7">
        <w:rPr>
          <w:rFonts w:ascii="Verdana" w:hAnsi="Verdana"/>
          <w:sz w:val="20"/>
          <w:szCs w:val="20"/>
          <w:lang w:val="en-US"/>
        </w:rPr>
        <w:t>.</w:t>
      </w:r>
      <w:r w:rsidR="00F66B20" w:rsidRPr="00FE7BA7">
        <w:rPr>
          <w:rFonts w:ascii="Verdana" w:hAnsi="Verdana"/>
          <w:sz w:val="20"/>
          <w:szCs w:val="20"/>
          <w:lang w:val="en-US"/>
        </w:rPr>
        <w:t xml:space="preserve"> A</w:t>
      </w:r>
      <w:r w:rsidRPr="00FE7BA7">
        <w:rPr>
          <w:rFonts w:ascii="Verdana" w:hAnsi="Verdana"/>
          <w:sz w:val="20"/>
          <w:szCs w:val="20"/>
          <w:lang w:val="en-US"/>
        </w:rPr>
        <w:t xml:space="preserve">nd, </w:t>
      </w:r>
      <w:r w:rsidR="002B5CCD" w:rsidRPr="00FE7BA7">
        <w:rPr>
          <w:rFonts w:ascii="Verdana" w:hAnsi="Verdana"/>
          <w:sz w:val="20"/>
          <w:szCs w:val="20"/>
          <w:lang w:val="en-US"/>
        </w:rPr>
        <w:t>on January 28,</w:t>
      </w:r>
      <w:r w:rsidR="00F66B20" w:rsidRPr="00FE7BA7">
        <w:rPr>
          <w:rFonts w:ascii="Verdana" w:hAnsi="Verdana"/>
          <w:sz w:val="20"/>
          <w:szCs w:val="20"/>
          <w:lang w:val="en-US"/>
        </w:rPr>
        <w:t xml:space="preserve"> 2013</w:t>
      </w:r>
      <w:r w:rsidRPr="00FE7BA7">
        <w:rPr>
          <w:rFonts w:ascii="Verdana" w:hAnsi="Verdana"/>
          <w:sz w:val="20"/>
          <w:szCs w:val="20"/>
          <w:lang w:val="en-US"/>
        </w:rPr>
        <w:t>,</w:t>
      </w:r>
      <w:r w:rsidR="00F66B20" w:rsidRPr="00FE7BA7">
        <w:rPr>
          <w:rFonts w:ascii="Verdana" w:hAnsi="Verdana"/>
          <w:sz w:val="20"/>
          <w:szCs w:val="20"/>
          <w:lang w:val="en-US"/>
        </w:rPr>
        <w:t xml:space="preserve"> </w:t>
      </w:r>
      <w:r w:rsidR="00D67ED6">
        <w:rPr>
          <w:rFonts w:ascii="Verdana" w:hAnsi="Verdana"/>
          <w:sz w:val="20"/>
          <w:szCs w:val="20"/>
          <w:lang w:val="en-US"/>
        </w:rPr>
        <w:t>the c</w:t>
      </w:r>
      <w:r w:rsidR="00CA7C7B" w:rsidRPr="00FE7BA7">
        <w:rPr>
          <w:rFonts w:ascii="Verdana" w:hAnsi="Verdana"/>
          <w:sz w:val="20"/>
          <w:szCs w:val="20"/>
          <w:lang w:val="en-US"/>
        </w:rPr>
        <w:t>aptains</w:t>
      </w:r>
      <w:r w:rsidRPr="00FE7BA7">
        <w:rPr>
          <w:rFonts w:ascii="Verdana" w:hAnsi="Verdana"/>
          <w:sz w:val="20"/>
          <w:szCs w:val="20"/>
          <w:lang w:val="en-US"/>
        </w:rPr>
        <w:t xml:space="preserve"> of</w:t>
      </w:r>
      <w:r w:rsidR="00F66B20" w:rsidRPr="00FE7BA7">
        <w:rPr>
          <w:rFonts w:ascii="Verdana" w:hAnsi="Verdana"/>
          <w:sz w:val="20"/>
          <w:szCs w:val="20"/>
          <w:lang w:val="en-US"/>
        </w:rPr>
        <w:t xml:space="preserve"> Marijkedorp (Wan Shi Sha), Pierrekondre, Tapuku</w:t>
      </w:r>
      <w:r w:rsidR="002B5CCD" w:rsidRPr="00FE7BA7">
        <w:rPr>
          <w:rFonts w:ascii="Verdana" w:hAnsi="Verdana"/>
          <w:sz w:val="20"/>
          <w:szCs w:val="20"/>
          <w:lang w:val="en-US"/>
        </w:rPr>
        <w:t xml:space="preserve"> and </w:t>
      </w:r>
      <w:r w:rsidR="00F66B20" w:rsidRPr="00FE7BA7">
        <w:rPr>
          <w:rFonts w:ascii="Verdana" w:hAnsi="Verdana"/>
          <w:sz w:val="20"/>
          <w:szCs w:val="20"/>
          <w:lang w:val="en-US"/>
        </w:rPr>
        <w:t xml:space="preserve">Erowarte </w:t>
      </w:r>
      <w:r w:rsidRPr="00FE7BA7">
        <w:rPr>
          <w:rFonts w:ascii="Verdana" w:hAnsi="Verdana"/>
          <w:sz w:val="20"/>
          <w:szCs w:val="20"/>
          <w:lang w:val="en-US"/>
        </w:rPr>
        <w:t xml:space="preserve">presented a communication to the </w:t>
      </w:r>
      <w:r w:rsidR="002B5CCD" w:rsidRPr="00FE7BA7">
        <w:rPr>
          <w:rFonts w:ascii="Verdana" w:hAnsi="Verdana"/>
          <w:sz w:val="20"/>
          <w:szCs w:val="20"/>
          <w:lang w:val="en-US"/>
        </w:rPr>
        <w:t>President</w:t>
      </w:r>
      <w:r w:rsidR="00F66B20" w:rsidRPr="00FE7BA7">
        <w:rPr>
          <w:rFonts w:ascii="Verdana" w:hAnsi="Verdana"/>
          <w:sz w:val="20"/>
          <w:szCs w:val="20"/>
          <w:lang w:val="en-US"/>
        </w:rPr>
        <w:t xml:space="preserve"> </w:t>
      </w:r>
      <w:r w:rsidRPr="00FE7BA7">
        <w:rPr>
          <w:rFonts w:ascii="Verdana" w:hAnsi="Verdana"/>
          <w:sz w:val="20"/>
          <w:szCs w:val="20"/>
          <w:lang w:val="en-US"/>
        </w:rPr>
        <w:t xml:space="preserve">of the Republic protesting against the construction of a casino in the community of </w:t>
      </w:r>
      <w:r w:rsidR="00F66B20" w:rsidRPr="00FE7BA7">
        <w:rPr>
          <w:rFonts w:ascii="Verdana" w:hAnsi="Verdana"/>
          <w:sz w:val="20"/>
          <w:szCs w:val="20"/>
          <w:lang w:val="en-US"/>
        </w:rPr>
        <w:t>Marijkedorp,</w:t>
      </w:r>
      <w:r w:rsidRPr="00FE7BA7">
        <w:rPr>
          <w:rFonts w:ascii="Verdana" w:hAnsi="Verdana"/>
          <w:sz w:val="20"/>
          <w:szCs w:val="20"/>
          <w:lang w:val="en-US"/>
        </w:rPr>
        <w:t xml:space="preserve"> without receiving any answer </w:t>
      </w:r>
      <w:r w:rsidR="00F66B20" w:rsidRPr="00FE7BA7">
        <w:rPr>
          <w:rFonts w:ascii="Verdana" w:hAnsi="Verdana"/>
          <w:sz w:val="20"/>
          <w:szCs w:val="20"/>
          <w:lang w:val="en-US"/>
        </w:rPr>
        <w:t>(</w:t>
      </w:r>
      <w:r w:rsidR="00F66B20" w:rsidRPr="00FE7BA7">
        <w:rPr>
          <w:rFonts w:ascii="Verdana" w:hAnsi="Verdana"/>
          <w:i/>
          <w:sz w:val="20"/>
          <w:szCs w:val="20"/>
          <w:lang w:val="en-US"/>
        </w:rPr>
        <w:t xml:space="preserve">supra </w:t>
      </w:r>
      <w:r w:rsidR="00810FAD" w:rsidRPr="00FE7BA7">
        <w:rPr>
          <w:rFonts w:ascii="Verdana" w:hAnsi="Verdana"/>
          <w:sz w:val="20"/>
          <w:szCs w:val="20"/>
          <w:lang w:val="en-US"/>
        </w:rPr>
        <w:t>para.</w:t>
      </w:r>
      <w:r w:rsidR="00F66B20" w:rsidRPr="00FE7BA7">
        <w:rPr>
          <w:rFonts w:ascii="Verdana" w:hAnsi="Verdana"/>
          <w:sz w:val="20"/>
          <w:szCs w:val="20"/>
          <w:lang w:val="en-US"/>
        </w:rPr>
        <w:t xml:space="preserve"> </w:t>
      </w:r>
      <w:r w:rsidR="00BC33D0" w:rsidRPr="00FE7BA7">
        <w:rPr>
          <w:rFonts w:ascii="Verdana" w:hAnsi="Verdana"/>
          <w:sz w:val="20"/>
          <w:szCs w:val="20"/>
          <w:lang w:val="en-US"/>
        </w:rPr>
        <w:t>69</w:t>
      </w:r>
      <w:r w:rsidR="00F66B20" w:rsidRPr="00FE7BA7">
        <w:rPr>
          <w:rFonts w:ascii="Verdana" w:hAnsi="Verdana"/>
          <w:sz w:val="20"/>
          <w:szCs w:val="20"/>
          <w:lang w:val="en-US"/>
        </w:rPr>
        <w:t>).</w:t>
      </w:r>
    </w:p>
    <w:p w14:paraId="63126AA5" w14:textId="77777777" w:rsidR="008A3876" w:rsidRPr="00FE7BA7" w:rsidRDefault="008A3876" w:rsidP="008A3876">
      <w:pPr>
        <w:jc w:val="both"/>
        <w:rPr>
          <w:rFonts w:ascii="Verdana" w:hAnsi="Verdana"/>
          <w:sz w:val="20"/>
          <w:lang w:val="en-US"/>
        </w:rPr>
      </w:pPr>
    </w:p>
    <w:p w14:paraId="63126AA6" w14:textId="77777777" w:rsidR="008A3876" w:rsidRPr="00FE7BA7" w:rsidRDefault="00921C81"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Based on the foregoing, witness</w:t>
      </w:r>
      <w:r w:rsidR="008A3876" w:rsidRPr="00FE7BA7">
        <w:rPr>
          <w:rFonts w:ascii="Verdana" w:hAnsi="Verdana"/>
          <w:sz w:val="20"/>
          <w:szCs w:val="20"/>
          <w:lang w:val="en-US"/>
        </w:rPr>
        <w:t xml:space="preserve"> Loreen Jubitana, </w:t>
      </w:r>
      <w:r w:rsidRPr="00FE7BA7">
        <w:rPr>
          <w:rFonts w:ascii="Verdana" w:hAnsi="Verdana"/>
          <w:sz w:val="20"/>
          <w:szCs w:val="20"/>
          <w:lang w:val="en-US"/>
        </w:rPr>
        <w:t xml:space="preserve">Director of the Association </w:t>
      </w:r>
      <w:r w:rsidR="0091249F" w:rsidRPr="00FE7BA7">
        <w:rPr>
          <w:rFonts w:ascii="Verdana" w:hAnsi="Verdana"/>
          <w:sz w:val="20"/>
          <w:szCs w:val="20"/>
          <w:lang w:val="en-US"/>
        </w:rPr>
        <w:t>of Indigenous Village Leaders in</w:t>
      </w:r>
      <w:r w:rsidRPr="00FE7BA7">
        <w:rPr>
          <w:rFonts w:ascii="Verdana" w:hAnsi="Verdana"/>
          <w:sz w:val="20"/>
          <w:szCs w:val="20"/>
          <w:lang w:val="en-US"/>
        </w:rPr>
        <w:t xml:space="preserve"> Suriname</w:t>
      </w:r>
      <w:r w:rsidR="002B5CCD" w:rsidRPr="00FE7BA7">
        <w:rPr>
          <w:rFonts w:ascii="Verdana" w:hAnsi="Verdana"/>
          <w:sz w:val="20"/>
          <w:szCs w:val="20"/>
          <w:lang w:val="en-US"/>
        </w:rPr>
        <w:t xml:space="preserve"> </w:t>
      </w:r>
      <w:r w:rsidR="008A3876" w:rsidRPr="00FE7BA7">
        <w:rPr>
          <w:rFonts w:ascii="Verdana" w:hAnsi="Verdana"/>
          <w:sz w:val="20"/>
          <w:szCs w:val="20"/>
          <w:lang w:val="en-US"/>
        </w:rPr>
        <w:t xml:space="preserve">(VIDS), </w:t>
      </w:r>
      <w:r w:rsidRPr="00FE7BA7">
        <w:rPr>
          <w:rFonts w:ascii="Verdana" w:hAnsi="Verdana"/>
          <w:sz w:val="20"/>
          <w:szCs w:val="20"/>
          <w:lang w:val="en-US"/>
        </w:rPr>
        <w:t xml:space="preserve">testified in the affidavit she presented to the Court that the State has made no </w:t>
      </w:r>
      <w:r w:rsidR="004B4DA0">
        <w:rPr>
          <w:rFonts w:ascii="Verdana" w:hAnsi="Verdana"/>
          <w:sz w:val="20"/>
          <w:szCs w:val="20"/>
          <w:lang w:val="en-US"/>
        </w:rPr>
        <w:t xml:space="preserve">concrete </w:t>
      </w:r>
      <w:r w:rsidRPr="00FE7BA7">
        <w:rPr>
          <w:rFonts w:ascii="Verdana" w:hAnsi="Verdana"/>
          <w:sz w:val="20"/>
          <w:szCs w:val="20"/>
          <w:lang w:val="en-US"/>
        </w:rPr>
        <w:t xml:space="preserve">progress </w:t>
      </w:r>
      <w:r w:rsidR="004B4DA0">
        <w:rPr>
          <w:rFonts w:ascii="Verdana" w:hAnsi="Verdana"/>
          <w:sz w:val="20"/>
          <w:szCs w:val="20"/>
          <w:lang w:val="en-US"/>
        </w:rPr>
        <w:t>towards resolving</w:t>
      </w:r>
      <w:r w:rsidRPr="00FE7BA7">
        <w:rPr>
          <w:rFonts w:ascii="Verdana" w:hAnsi="Verdana"/>
          <w:sz w:val="20"/>
          <w:szCs w:val="20"/>
          <w:lang w:val="en-US"/>
        </w:rPr>
        <w:t xml:space="preserve"> the problems related to the recognition of the rights </w:t>
      </w:r>
      <w:r w:rsidR="00BD40EF" w:rsidRPr="00FE7BA7">
        <w:rPr>
          <w:rFonts w:ascii="Verdana" w:hAnsi="Verdana"/>
          <w:sz w:val="20"/>
          <w:szCs w:val="20"/>
          <w:lang w:val="en-US"/>
        </w:rPr>
        <w:t>of the indigenous peoples</w:t>
      </w:r>
      <w:r w:rsidR="002B5CCD" w:rsidRPr="00FE7BA7">
        <w:rPr>
          <w:rFonts w:ascii="Verdana" w:hAnsi="Verdana"/>
          <w:sz w:val="20"/>
          <w:szCs w:val="20"/>
          <w:lang w:val="en-US"/>
        </w:rPr>
        <w:t xml:space="preserve"> and </w:t>
      </w:r>
      <w:r w:rsidRPr="00FE7BA7">
        <w:rPr>
          <w:rFonts w:ascii="Verdana" w:hAnsi="Verdana"/>
          <w:sz w:val="20"/>
          <w:szCs w:val="20"/>
          <w:lang w:val="en-US"/>
        </w:rPr>
        <w:t>that, to the contrary, when</w:t>
      </w:r>
      <w:r w:rsidR="004B4DA0">
        <w:rPr>
          <w:rFonts w:ascii="Verdana" w:hAnsi="Verdana"/>
          <w:sz w:val="20"/>
          <w:szCs w:val="20"/>
          <w:lang w:val="en-US"/>
        </w:rPr>
        <w:t>ever</w:t>
      </w:r>
      <w:r w:rsidRPr="00FE7BA7">
        <w:rPr>
          <w:rFonts w:ascii="Verdana" w:hAnsi="Verdana"/>
          <w:sz w:val="20"/>
          <w:szCs w:val="20"/>
          <w:lang w:val="en-US"/>
        </w:rPr>
        <w:t xml:space="preserve"> pressure is brought to bear on the State, it </w:t>
      </w:r>
      <w:r w:rsidR="004B4DA0">
        <w:rPr>
          <w:rFonts w:ascii="Verdana" w:hAnsi="Verdana"/>
          <w:sz w:val="20"/>
          <w:szCs w:val="20"/>
          <w:lang w:val="en-US"/>
        </w:rPr>
        <w:t>establishes</w:t>
      </w:r>
      <w:r w:rsidRPr="00FE7BA7">
        <w:rPr>
          <w:rFonts w:ascii="Verdana" w:hAnsi="Verdana"/>
          <w:sz w:val="20"/>
          <w:szCs w:val="20"/>
          <w:lang w:val="en-US"/>
        </w:rPr>
        <w:t xml:space="preserve"> </w:t>
      </w:r>
      <w:r w:rsidR="004B4DA0">
        <w:rPr>
          <w:rFonts w:ascii="Verdana" w:hAnsi="Verdana"/>
          <w:sz w:val="20"/>
          <w:szCs w:val="20"/>
          <w:lang w:val="en-US"/>
        </w:rPr>
        <w:t>a commission</w:t>
      </w:r>
      <w:r w:rsidRPr="00FE7BA7">
        <w:rPr>
          <w:rFonts w:ascii="Verdana" w:hAnsi="Verdana"/>
          <w:sz w:val="20"/>
          <w:szCs w:val="20"/>
          <w:lang w:val="en-US"/>
        </w:rPr>
        <w:t xml:space="preserve"> as a way of </w:t>
      </w:r>
      <w:r w:rsidR="00965219">
        <w:rPr>
          <w:rFonts w:ascii="Verdana" w:hAnsi="Verdana"/>
          <w:sz w:val="20"/>
          <w:szCs w:val="20"/>
          <w:lang w:val="en-US"/>
        </w:rPr>
        <w:t>diffusing</w:t>
      </w:r>
      <w:r w:rsidR="004B4DA0">
        <w:rPr>
          <w:rFonts w:ascii="Verdana" w:hAnsi="Verdana"/>
          <w:sz w:val="20"/>
          <w:szCs w:val="20"/>
          <w:lang w:val="en-US"/>
        </w:rPr>
        <w:t xml:space="preserve"> the</w:t>
      </w:r>
      <w:r w:rsidR="00A7762C" w:rsidRPr="00FE7BA7">
        <w:rPr>
          <w:rFonts w:ascii="Verdana" w:hAnsi="Verdana"/>
          <w:sz w:val="20"/>
          <w:szCs w:val="20"/>
          <w:lang w:val="en-US"/>
        </w:rPr>
        <w:t xml:space="preserve"> situation, without achieving effective results.</w:t>
      </w:r>
      <w:r w:rsidR="008A3876" w:rsidRPr="00FE7BA7">
        <w:rPr>
          <w:rStyle w:val="FootnoteReference"/>
          <w:szCs w:val="20"/>
          <w:lang w:val="en-US"/>
        </w:rPr>
        <w:footnoteReference w:id="300"/>
      </w:r>
    </w:p>
    <w:p w14:paraId="63126AA7" w14:textId="77777777" w:rsidR="008A3876" w:rsidRPr="00FE7BA7" w:rsidRDefault="008A3876" w:rsidP="008A3876">
      <w:pPr>
        <w:jc w:val="both"/>
        <w:rPr>
          <w:rFonts w:ascii="Verdana" w:hAnsi="Verdana"/>
          <w:sz w:val="20"/>
          <w:lang w:val="en-US"/>
        </w:rPr>
      </w:pPr>
    </w:p>
    <w:p w14:paraId="63126AA8" w14:textId="77777777" w:rsidR="008A3876" w:rsidRPr="00FE7BA7" w:rsidRDefault="00A7762C" w:rsidP="008A3876">
      <w:pPr>
        <w:pStyle w:val="ListParagraph"/>
        <w:numPr>
          <w:ilvl w:val="0"/>
          <w:numId w:val="2"/>
        </w:numPr>
        <w:ind w:left="0" w:hanging="11"/>
        <w:jc w:val="both"/>
        <w:rPr>
          <w:rFonts w:ascii="Verdana" w:hAnsi="Verdana"/>
          <w:sz w:val="20"/>
          <w:lang w:val="en-US"/>
        </w:rPr>
      </w:pPr>
      <w:r w:rsidRPr="00FE7BA7">
        <w:rPr>
          <w:rFonts w:ascii="Verdana" w:hAnsi="Verdana"/>
          <w:sz w:val="20"/>
          <w:lang w:val="en-US"/>
        </w:rPr>
        <w:t>Meanwhile</w:t>
      </w:r>
      <w:r w:rsidR="008A3876" w:rsidRPr="00FE7BA7">
        <w:rPr>
          <w:rFonts w:ascii="Verdana" w:hAnsi="Verdana"/>
          <w:sz w:val="20"/>
          <w:lang w:val="en-US"/>
        </w:rPr>
        <w:t xml:space="preserve">, </w:t>
      </w:r>
      <w:r w:rsidR="00BE4D11" w:rsidRPr="00FE7BA7">
        <w:rPr>
          <w:rFonts w:ascii="Verdana" w:hAnsi="Verdana"/>
          <w:sz w:val="20"/>
          <w:lang w:val="en-US"/>
        </w:rPr>
        <w:t>expert witness</w:t>
      </w:r>
      <w:r w:rsidR="008A3876" w:rsidRPr="00FE7BA7">
        <w:rPr>
          <w:rFonts w:ascii="Verdana" w:hAnsi="Verdana"/>
          <w:sz w:val="20"/>
          <w:lang w:val="en-US"/>
        </w:rPr>
        <w:t xml:space="preserve"> Stuart Kirsh </w:t>
      </w:r>
      <w:r w:rsidRPr="00FE7BA7">
        <w:rPr>
          <w:rFonts w:ascii="Verdana" w:hAnsi="Verdana"/>
          <w:sz w:val="20"/>
          <w:lang w:val="en-US"/>
        </w:rPr>
        <w:t xml:space="preserve">indicated in his sworn testimony before the Court </w:t>
      </w:r>
      <w:r w:rsidR="00FE7BA7" w:rsidRPr="00FE7BA7">
        <w:rPr>
          <w:rFonts w:ascii="Verdana" w:hAnsi="Verdana"/>
          <w:sz w:val="20"/>
          <w:lang w:val="en-US"/>
        </w:rPr>
        <w:t>that</w:t>
      </w:r>
      <w:r w:rsidRPr="00FE7BA7">
        <w:rPr>
          <w:rFonts w:ascii="Verdana" w:hAnsi="Verdana"/>
          <w:sz w:val="20"/>
          <w:lang w:val="en-US"/>
        </w:rPr>
        <w:t>, even though they had submitted many petitions and held numerous meetings with State authorities</w:t>
      </w:r>
      <w:r w:rsidR="008A3876" w:rsidRPr="00FE7BA7">
        <w:rPr>
          <w:rFonts w:ascii="Verdana" w:hAnsi="Verdana"/>
          <w:sz w:val="20"/>
          <w:lang w:val="en-US"/>
        </w:rPr>
        <w:t xml:space="preserve">, </w:t>
      </w:r>
      <w:r w:rsidR="002B5CCD" w:rsidRPr="00FE7BA7">
        <w:rPr>
          <w:rFonts w:ascii="Verdana" w:hAnsi="Verdana"/>
          <w:sz w:val="20"/>
          <w:lang w:val="en-US"/>
        </w:rPr>
        <w:t xml:space="preserve">the </w:t>
      </w:r>
      <w:r w:rsidR="004C7D14" w:rsidRPr="00FE7BA7">
        <w:rPr>
          <w:rFonts w:ascii="Verdana" w:hAnsi="Verdana"/>
          <w:sz w:val="20"/>
          <w:lang w:val="en-US"/>
        </w:rPr>
        <w:t>Kaliña and Lokono peoples</w:t>
      </w:r>
      <w:r w:rsidR="00CB39E1" w:rsidRPr="00FE7BA7">
        <w:rPr>
          <w:rFonts w:ascii="Verdana" w:hAnsi="Verdana"/>
          <w:sz w:val="20"/>
          <w:szCs w:val="20"/>
          <w:lang w:val="en-US"/>
        </w:rPr>
        <w:t xml:space="preserve"> </w:t>
      </w:r>
      <w:r w:rsidRPr="00FE7BA7">
        <w:rPr>
          <w:rFonts w:ascii="Verdana" w:hAnsi="Verdana"/>
          <w:sz w:val="20"/>
          <w:lang w:val="en-US"/>
        </w:rPr>
        <w:t>had not received a productive or conclusive response to their requests for recognition of</w:t>
      </w:r>
      <w:r w:rsidR="008A3876" w:rsidRPr="00FE7BA7">
        <w:rPr>
          <w:rFonts w:ascii="Verdana" w:hAnsi="Verdana"/>
          <w:sz w:val="20"/>
          <w:lang w:val="en-US"/>
        </w:rPr>
        <w:t xml:space="preserve"> </w:t>
      </w:r>
      <w:r w:rsidR="00086269" w:rsidRPr="00FE7BA7">
        <w:rPr>
          <w:rFonts w:ascii="Verdana" w:hAnsi="Verdana"/>
          <w:sz w:val="20"/>
          <w:lang w:val="en-US"/>
        </w:rPr>
        <w:t>their ancestral territories</w:t>
      </w:r>
      <w:r w:rsidR="008A3876" w:rsidRPr="00FE7BA7">
        <w:rPr>
          <w:rFonts w:ascii="Verdana" w:hAnsi="Verdana"/>
          <w:sz w:val="20"/>
          <w:lang w:val="en-US"/>
        </w:rPr>
        <w:t xml:space="preserve"> </w:t>
      </w:r>
      <w:r w:rsidR="004B4DA0">
        <w:rPr>
          <w:rFonts w:ascii="Verdana" w:hAnsi="Verdana"/>
          <w:sz w:val="20"/>
          <w:lang w:val="en-US"/>
        </w:rPr>
        <w:t>and</w:t>
      </w:r>
      <w:r w:rsidRPr="00FE7BA7">
        <w:rPr>
          <w:rFonts w:ascii="Verdana" w:hAnsi="Verdana"/>
          <w:sz w:val="20"/>
          <w:lang w:val="en-US"/>
        </w:rPr>
        <w:t xml:space="preserve"> other rights.</w:t>
      </w:r>
      <w:r w:rsidR="008A3876" w:rsidRPr="00FE7BA7">
        <w:rPr>
          <w:rStyle w:val="FootnoteReference"/>
          <w:lang w:val="en-US"/>
        </w:rPr>
        <w:footnoteReference w:id="301"/>
      </w:r>
    </w:p>
    <w:p w14:paraId="63126AA9" w14:textId="77777777" w:rsidR="008A3876" w:rsidRPr="00FE7BA7" w:rsidRDefault="008A3876" w:rsidP="008A3876">
      <w:pPr>
        <w:jc w:val="both"/>
        <w:rPr>
          <w:rFonts w:ascii="Verdana" w:hAnsi="Verdana"/>
          <w:sz w:val="20"/>
          <w:szCs w:val="20"/>
          <w:lang w:val="en-US"/>
        </w:rPr>
      </w:pPr>
    </w:p>
    <w:p w14:paraId="63126AAA" w14:textId="77777777" w:rsidR="008E016A" w:rsidRPr="00FE7BA7" w:rsidRDefault="00A7762C" w:rsidP="008E016A">
      <w:pPr>
        <w:pStyle w:val="ListParagraph"/>
        <w:numPr>
          <w:ilvl w:val="0"/>
          <w:numId w:val="2"/>
        </w:numPr>
        <w:ind w:left="0" w:hanging="11"/>
        <w:jc w:val="both"/>
        <w:rPr>
          <w:rFonts w:ascii="Verdana" w:eastAsia="Times New Roman" w:hAnsi="Verdana" w:cs="Arial"/>
          <w:sz w:val="20"/>
          <w:szCs w:val="20"/>
          <w:lang w:val="en-US" w:eastAsia="es-ES"/>
        </w:rPr>
      </w:pPr>
      <w:r w:rsidRPr="00FE7BA7">
        <w:rPr>
          <w:rFonts w:ascii="Verdana" w:hAnsi="Verdana"/>
          <w:sz w:val="20"/>
          <w:szCs w:val="20"/>
          <w:lang w:val="en-US"/>
        </w:rPr>
        <w:t xml:space="preserve">Consequently, the Court finds that the acts and omissions of the State authorities in the petitions and judicial proceedings examined in this section have not provided appropriate and effective answers to the claims submitted, so that they have not </w:t>
      </w:r>
      <w:r w:rsidR="004B4DA0">
        <w:rPr>
          <w:rFonts w:ascii="Verdana" w:hAnsi="Verdana"/>
          <w:sz w:val="20"/>
          <w:szCs w:val="20"/>
          <w:lang w:val="en-US"/>
        </w:rPr>
        <w:t>afforded</w:t>
      </w:r>
      <w:r w:rsidRPr="00FE7BA7">
        <w:rPr>
          <w:rFonts w:ascii="Verdana" w:hAnsi="Verdana"/>
          <w:sz w:val="20"/>
          <w:szCs w:val="20"/>
          <w:lang w:val="en-US"/>
        </w:rPr>
        <w:t xml:space="preserve"> a real possibility for </w:t>
      </w:r>
      <w:r w:rsidR="002B5CCD" w:rsidRPr="00FE7BA7">
        <w:rPr>
          <w:rFonts w:ascii="Verdana" w:eastAsia="Times New Roman" w:hAnsi="Verdana" w:cs="Arial"/>
          <w:sz w:val="20"/>
          <w:szCs w:val="20"/>
          <w:lang w:val="en-US" w:eastAsia="es-ES"/>
        </w:rPr>
        <w:t xml:space="preserve">the </w:t>
      </w:r>
      <w:r w:rsidR="004C7D14" w:rsidRPr="00FE7BA7">
        <w:rPr>
          <w:rFonts w:ascii="Verdana" w:eastAsia="Times New Roman" w:hAnsi="Verdana" w:cs="Arial"/>
          <w:sz w:val="20"/>
          <w:szCs w:val="20"/>
          <w:lang w:val="en-US" w:eastAsia="es-ES"/>
        </w:rPr>
        <w:t>Kaliña and Lokono peoples</w:t>
      </w:r>
      <w:r w:rsidR="008E016A" w:rsidRPr="00FE7BA7">
        <w:rPr>
          <w:rFonts w:ascii="Verdana" w:eastAsia="Times New Roman" w:hAnsi="Verdana" w:cs="Arial"/>
          <w:sz w:val="20"/>
          <w:szCs w:val="20"/>
          <w:lang w:val="en-US" w:eastAsia="es-ES"/>
        </w:rPr>
        <w:t xml:space="preserve"> </w:t>
      </w:r>
      <w:r w:rsidRPr="00FE7BA7">
        <w:rPr>
          <w:rFonts w:ascii="Verdana" w:eastAsia="Times New Roman" w:hAnsi="Verdana" w:cs="Arial"/>
          <w:sz w:val="20"/>
          <w:szCs w:val="20"/>
          <w:lang w:val="en-US" w:eastAsia="es-ES"/>
        </w:rPr>
        <w:t xml:space="preserve">to achieve the restitution of </w:t>
      </w:r>
      <w:r w:rsidR="00086269" w:rsidRPr="00FE7BA7">
        <w:rPr>
          <w:rFonts w:ascii="Verdana" w:eastAsia="Times New Roman" w:hAnsi="Verdana" w:cs="Arial"/>
          <w:sz w:val="20"/>
          <w:szCs w:val="20"/>
          <w:lang w:val="en-US" w:eastAsia="es-ES"/>
        </w:rPr>
        <w:t>their ancestral territories</w:t>
      </w:r>
      <w:r w:rsidR="008E016A" w:rsidRPr="00FE7BA7">
        <w:rPr>
          <w:rFonts w:ascii="Verdana" w:eastAsia="Times New Roman" w:hAnsi="Verdana" w:cs="Arial"/>
          <w:sz w:val="20"/>
          <w:szCs w:val="20"/>
          <w:lang w:val="en-US" w:eastAsia="es-ES"/>
        </w:rPr>
        <w:t>.</w:t>
      </w:r>
    </w:p>
    <w:p w14:paraId="63126AAB" w14:textId="77777777" w:rsidR="008A3876" w:rsidRPr="00FE7BA7" w:rsidRDefault="008A3876" w:rsidP="008A3876">
      <w:pPr>
        <w:jc w:val="both"/>
        <w:rPr>
          <w:rFonts w:ascii="Verdana" w:hAnsi="Verdana"/>
          <w:sz w:val="20"/>
          <w:lang w:val="en-US"/>
        </w:rPr>
      </w:pPr>
    </w:p>
    <w:p w14:paraId="63126AAC" w14:textId="77777777" w:rsidR="008A3876" w:rsidRPr="00FE7BA7" w:rsidRDefault="008A3876" w:rsidP="008A3876">
      <w:pPr>
        <w:pStyle w:val="Heading3"/>
        <w:spacing w:before="0"/>
        <w:ind w:left="360"/>
        <w:jc w:val="both"/>
        <w:rPr>
          <w:rFonts w:ascii="Verdana" w:hAnsi="Verdana"/>
          <w:i/>
          <w:color w:val="auto"/>
          <w:sz w:val="20"/>
          <w:szCs w:val="20"/>
          <w:lang w:val="en-US"/>
        </w:rPr>
      </w:pPr>
      <w:bookmarkStart w:id="65" w:name="_Toc441673223"/>
      <w:r w:rsidRPr="00FE7BA7">
        <w:rPr>
          <w:rFonts w:ascii="Verdana" w:hAnsi="Verdana"/>
          <w:i/>
          <w:color w:val="auto"/>
          <w:sz w:val="20"/>
          <w:szCs w:val="20"/>
          <w:lang w:val="en-US"/>
        </w:rPr>
        <w:t xml:space="preserve">B.3 </w:t>
      </w:r>
      <w:r w:rsidR="00AB2117" w:rsidRPr="00FE7BA7">
        <w:rPr>
          <w:rFonts w:ascii="Verdana" w:hAnsi="Verdana"/>
          <w:i/>
          <w:color w:val="auto"/>
          <w:sz w:val="20"/>
          <w:szCs w:val="20"/>
          <w:lang w:val="en-US"/>
        </w:rPr>
        <w:t>The right of access to information</w:t>
      </w:r>
      <w:r w:rsidRPr="00FE7BA7">
        <w:rPr>
          <w:rFonts w:ascii="Verdana" w:hAnsi="Verdana"/>
          <w:i/>
          <w:color w:val="auto"/>
          <w:sz w:val="20"/>
          <w:szCs w:val="20"/>
          <w:lang w:val="en-US"/>
        </w:rPr>
        <w:t xml:space="preserve"> </w:t>
      </w:r>
      <w:r w:rsidR="00773D70" w:rsidRPr="00FE7BA7">
        <w:rPr>
          <w:rFonts w:ascii="Verdana" w:hAnsi="Verdana"/>
          <w:i/>
          <w:color w:val="auto"/>
          <w:sz w:val="20"/>
          <w:szCs w:val="20"/>
          <w:lang w:val="en-US"/>
        </w:rPr>
        <w:t>in relation to Article</w:t>
      </w:r>
      <w:r w:rsidRPr="00FE7BA7">
        <w:rPr>
          <w:rFonts w:ascii="Verdana" w:hAnsi="Verdana"/>
          <w:i/>
          <w:color w:val="auto"/>
          <w:sz w:val="20"/>
          <w:szCs w:val="20"/>
          <w:lang w:val="en-US"/>
        </w:rPr>
        <w:t xml:space="preserve"> 25</w:t>
      </w:r>
      <w:r w:rsidR="002B5CCD" w:rsidRPr="00FE7BA7">
        <w:rPr>
          <w:rFonts w:ascii="Verdana" w:hAnsi="Verdana"/>
          <w:i/>
          <w:color w:val="auto"/>
          <w:sz w:val="20"/>
          <w:szCs w:val="20"/>
          <w:lang w:val="en-US"/>
        </w:rPr>
        <w:t xml:space="preserve"> of the American Convention</w:t>
      </w:r>
      <w:bookmarkEnd w:id="65"/>
      <w:r w:rsidRPr="00FE7BA7">
        <w:rPr>
          <w:rFonts w:ascii="Verdana" w:hAnsi="Verdana"/>
          <w:i/>
          <w:color w:val="auto"/>
          <w:sz w:val="20"/>
          <w:szCs w:val="20"/>
          <w:lang w:val="en-US"/>
        </w:rPr>
        <w:t xml:space="preserve"> </w:t>
      </w:r>
    </w:p>
    <w:p w14:paraId="63126AAD" w14:textId="77777777" w:rsidR="008A3876" w:rsidRPr="00FE7BA7" w:rsidRDefault="008A3876" w:rsidP="008A3876">
      <w:pPr>
        <w:pStyle w:val="ListParagraph"/>
        <w:ind w:left="360"/>
        <w:jc w:val="both"/>
        <w:rPr>
          <w:rFonts w:ascii="Verdana" w:hAnsi="Verdana"/>
          <w:b/>
          <w:sz w:val="20"/>
          <w:szCs w:val="20"/>
          <w:lang w:val="en-US"/>
        </w:rPr>
      </w:pPr>
    </w:p>
    <w:p w14:paraId="63126AAE" w14:textId="77777777" w:rsidR="00B24890" w:rsidRPr="00FE7BA7" w:rsidRDefault="002B5CCD" w:rsidP="00E6747D">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107A35" w:rsidRPr="00FE7BA7">
        <w:rPr>
          <w:rFonts w:ascii="Verdana" w:hAnsi="Verdana"/>
          <w:sz w:val="20"/>
          <w:szCs w:val="20"/>
          <w:lang w:val="en-US"/>
        </w:rPr>
        <w:t xml:space="preserve"> considers it important to emphasize that the parties have not argued </w:t>
      </w:r>
      <w:r w:rsidR="00511E56" w:rsidRPr="00FE7BA7">
        <w:rPr>
          <w:rFonts w:ascii="Verdana" w:hAnsi="Verdana"/>
          <w:sz w:val="20"/>
          <w:szCs w:val="20"/>
          <w:lang w:val="en-US"/>
        </w:rPr>
        <w:t>the violation</w:t>
      </w:r>
      <w:r w:rsidR="00E6747D" w:rsidRPr="00FE7BA7">
        <w:rPr>
          <w:rFonts w:ascii="Verdana" w:hAnsi="Verdana"/>
          <w:sz w:val="20"/>
          <w:szCs w:val="20"/>
          <w:lang w:val="en-US"/>
        </w:rPr>
        <w:t xml:space="preserve"> </w:t>
      </w:r>
      <w:r w:rsidR="00773D70" w:rsidRPr="00FE7BA7">
        <w:rPr>
          <w:rFonts w:ascii="Verdana" w:hAnsi="Verdana"/>
          <w:sz w:val="20"/>
          <w:szCs w:val="20"/>
          <w:lang w:val="en-US"/>
        </w:rPr>
        <w:t>of Article</w:t>
      </w:r>
      <w:r w:rsidR="00E6747D" w:rsidRPr="00FE7BA7">
        <w:rPr>
          <w:rFonts w:ascii="Verdana" w:hAnsi="Verdana"/>
          <w:sz w:val="20"/>
          <w:szCs w:val="20"/>
          <w:lang w:val="en-US"/>
        </w:rPr>
        <w:t xml:space="preserve"> 13</w:t>
      </w:r>
      <w:r w:rsidRPr="00FE7BA7">
        <w:rPr>
          <w:rFonts w:ascii="Verdana" w:hAnsi="Verdana"/>
          <w:sz w:val="20"/>
          <w:szCs w:val="20"/>
          <w:lang w:val="en-US"/>
        </w:rPr>
        <w:t xml:space="preserve"> of the Convention</w:t>
      </w:r>
      <w:r w:rsidR="00FD14B3" w:rsidRPr="00FE7BA7">
        <w:rPr>
          <w:rFonts w:ascii="Verdana" w:hAnsi="Verdana"/>
          <w:sz w:val="20"/>
          <w:szCs w:val="20"/>
          <w:lang w:val="en-US"/>
        </w:rPr>
        <w:t xml:space="preserve"> during </w:t>
      </w:r>
      <w:r w:rsidR="00107A35" w:rsidRPr="00FE7BA7">
        <w:rPr>
          <w:rFonts w:ascii="Verdana" w:hAnsi="Verdana"/>
          <w:sz w:val="20"/>
          <w:szCs w:val="20"/>
          <w:lang w:val="en-US"/>
        </w:rPr>
        <w:t xml:space="preserve">the proceedings before </w:t>
      </w:r>
      <w:r w:rsidR="00AB2117" w:rsidRPr="00FE7BA7">
        <w:rPr>
          <w:rFonts w:ascii="Verdana" w:hAnsi="Verdana"/>
          <w:sz w:val="20"/>
          <w:szCs w:val="20"/>
          <w:lang w:val="en-US"/>
        </w:rPr>
        <w:t>this Court</w:t>
      </w:r>
      <w:r w:rsidR="00A8064E" w:rsidRPr="00FE7BA7">
        <w:rPr>
          <w:rFonts w:ascii="Verdana" w:hAnsi="Verdana"/>
          <w:sz w:val="20"/>
          <w:szCs w:val="20"/>
          <w:lang w:val="en-US"/>
        </w:rPr>
        <w:t xml:space="preserve"> </w:t>
      </w:r>
      <w:r w:rsidR="008A4ABB" w:rsidRPr="00FE7BA7">
        <w:rPr>
          <w:rFonts w:ascii="Verdana" w:hAnsi="Verdana"/>
          <w:sz w:val="20"/>
          <w:szCs w:val="20"/>
          <w:lang w:val="en-US"/>
        </w:rPr>
        <w:t>(</w:t>
      </w:r>
      <w:r w:rsidR="008A4ABB" w:rsidRPr="00FE7BA7">
        <w:rPr>
          <w:rFonts w:ascii="Verdana" w:hAnsi="Verdana"/>
          <w:i/>
          <w:sz w:val="20"/>
          <w:szCs w:val="20"/>
          <w:lang w:val="en-US"/>
        </w:rPr>
        <w:t>supra</w:t>
      </w:r>
      <w:r w:rsidR="008A4ABB" w:rsidRPr="00FE7BA7">
        <w:rPr>
          <w:rFonts w:ascii="Verdana" w:hAnsi="Verdana"/>
          <w:sz w:val="20"/>
          <w:szCs w:val="20"/>
          <w:lang w:val="en-US"/>
        </w:rPr>
        <w:t xml:space="preserve"> </w:t>
      </w:r>
      <w:r w:rsidR="008F798A" w:rsidRPr="00FE7BA7">
        <w:rPr>
          <w:rFonts w:ascii="Verdana" w:hAnsi="Verdana"/>
          <w:sz w:val="20"/>
          <w:szCs w:val="20"/>
          <w:lang w:val="en-US"/>
        </w:rPr>
        <w:t>paras.</w:t>
      </w:r>
      <w:r w:rsidR="008A4ABB" w:rsidRPr="00FE7BA7">
        <w:rPr>
          <w:rFonts w:ascii="Verdana" w:hAnsi="Verdana"/>
          <w:sz w:val="20"/>
          <w:szCs w:val="20"/>
          <w:lang w:val="en-US"/>
        </w:rPr>
        <w:t xml:space="preserve"> 232</w:t>
      </w:r>
      <w:r w:rsidRPr="00FE7BA7">
        <w:rPr>
          <w:rFonts w:ascii="Verdana" w:hAnsi="Verdana"/>
          <w:sz w:val="20"/>
          <w:szCs w:val="20"/>
          <w:lang w:val="en-US"/>
        </w:rPr>
        <w:t xml:space="preserve"> and </w:t>
      </w:r>
      <w:r w:rsidR="008A4ABB" w:rsidRPr="00FE7BA7">
        <w:rPr>
          <w:rFonts w:ascii="Verdana" w:hAnsi="Verdana"/>
          <w:sz w:val="20"/>
          <w:szCs w:val="20"/>
          <w:lang w:val="en-US"/>
        </w:rPr>
        <w:t>234).</w:t>
      </w:r>
      <w:r w:rsidR="00E6747D" w:rsidRPr="00FE7BA7">
        <w:rPr>
          <w:rFonts w:ascii="Verdana" w:hAnsi="Verdana"/>
          <w:sz w:val="20"/>
          <w:szCs w:val="20"/>
          <w:lang w:val="en-US"/>
        </w:rPr>
        <w:t xml:space="preserve"> </w:t>
      </w:r>
      <w:r w:rsidR="00107A35" w:rsidRPr="00FE7BA7">
        <w:rPr>
          <w:rFonts w:ascii="Verdana" w:hAnsi="Verdana"/>
          <w:sz w:val="20"/>
          <w:szCs w:val="20"/>
          <w:lang w:val="en-US"/>
        </w:rPr>
        <w:t xml:space="preserve">However, it deems it pertinent to apply the </w:t>
      </w:r>
      <w:r w:rsidR="00E6747D" w:rsidRPr="00FE7BA7">
        <w:rPr>
          <w:rFonts w:ascii="Verdana" w:hAnsi="Verdana"/>
          <w:i/>
          <w:sz w:val="20"/>
          <w:szCs w:val="20"/>
          <w:lang w:val="en-US"/>
        </w:rPr>
        <w:t>iura novit curia</w:t>
      </w:r>
      <w:r w:rsidR="00107A35" w:rsidRPr="00FE7BA7">
        <w:rPr>
          <w:rFonts w:ascii="Verdana" w:hAnsi="Verdana"/>
          <w:sz w:val="20"/>
          <w:szCs w:val="20"/>
          <w:lang w:val="en-US"/>
        </w:rPr>
        <w:t xml:space="preserve"> principle, which allows the Court to examine possible violations of the norms </w:t>
      </w:r>
      <w:r w:rsidRPr="00FE7BA7">
        <w:rPr>
          <w:rFonts w:ascii="Verdana" w:hAnsi="Verdana"/>
          <w:sz w:val="20"/>
          <w:szCs w:val="20"/>
          <w:lang w:val="en-US"/>
        </w:rPr>
        <w:t>of the Convention</w:t>
      </w:r>
      <w:r w:rsidR="00E6747D" w:rsidRPr="00FE7BA7">
        <w:rPr>
          <w:rFonts w:ascii="Verdana" w:hAnsi="Verdana"/>
          <w:sz w:val="20"/>
          <w:szCs w:val="20"/>
          <w:lang w:val="en-US"/>
        </w:rPr>
        <w:t xml:space="preserve"> </w:t>
      </w:r>
      <w:r w:rsidR="00107A35" w:rsidRPr="00FE7BA7">
        <w:rPr>
          <w:rFonts w:ascii="Verdana" w:hAnsi="Verdana"/>
          <w:sz w:val="20"/>
          <w:szCs w:val="20"/>
          <w:lang w:val="en-US"/>
        </w:rPr>
        <w:t>that have not been allege</w:t>
      </w:r>
      <w:r w:rsidR="004B4DA0">
        <w:rPr>
          <w:rFonts w:ascii="Verdana" w:hAnsi="Verdana"/>
          <w:sz w:val="20"/>
          <w:szCs w:val="20"/>
          <w:lang w:val="en-US"/>
        </w:rPr>
        <w:t>d</w:t>
      </w:r>
      <w:r w:rsidR="00107A35" w:rsidRPr="00FE7BA7">
        <w:rPr>
          <w:rFonts w:ascii="Verdana" w:hAnsi="Verdana"/>
          <w:sz w:val="20"/>
          <w:szCs w:val="20"/>
          <w:lang w:val="en-US"/>
        </w:rPr>
        <w:t xml:space="preserve"> in the briefs present</w:t>
      </w:r>
      <w:r w:rsidR="004B4DA0">
        <w:rPr>
          <w:rFonts w:ascii="Verdana" w:hAnsi="Verdana"/>
          <w:sz w:val="20"/>
          <w:szCs w:val="20"/>
          <w:lang w:val="en-US"/>
        </w:rPr>
        <w:t>ed by the parties, provided the latter</w:t>
      </w:r>
      <w:r w:rsidR="00107A35" w:rsidRPr="00FE7BA7">
        <w:rPr>
          <w:rFonts w:ascii="Verdana" w:hAnsi="Verdana"/>
          <w:sz w:val="20"/>
          <w:szCs w:val="20"/>
          <w:lang w:val="en-US"/>
        </w:rPr>
        <w:t xml:space="preserve"> have had the opportunity </w:t>
      </w:r>
      <w:r w:rsidR="004B4DA0">
        <w:rPr>
          <w:rFonts w:ascii="Verdana" w:hAnsi="Verdana"/>
          <w:sz w:val="20"/>
          <w:szCs w:val="20"/>
          <w:lang w:val="en-US"/>
        </w:rPr>
        <w:t xml:space="preserve">to </w:t>
      </w:r>
      <w:r w:rsidR="00107A35" w:rsidRPr="00FE7BA7">
        <w:rPr>
          <w:rFonts w:ascii="Verdana" w:hAnsi="Verdana"/>
          <w:sz w:val="20"/>
          <w:szCs w:val="20"/>
          <w:lang w:val="en-US"/>
        </w:rPr>
        <w:t>express their respective positions in relation to the facts that substantiate such violations.</w:t>
      </w:r>
      <w:r w:rsidR="00E6747D" w:rsidRPr="00FE7BA7">
        <w:rPr>
          <w:rStyle w:val="FootnoteReference"/>
          <w:szCs w:val="20"/>
          <w:lang w:val="en-US"/>
        </w:rPr>
        <w:footnoteReference w:id="302"/>
      </w:r>
    </w:p>
    <w:p w14:paraId="63126AAF" w14:textId="77777777" w:rsidR="00E6747D" w:rsidRPr="00FE7BA7" w:rsidRDefault="00E6747D" w:rsidP="00366D91">
      <w:pPr>
        <w:pStyle w:val="ListParagraph"/>
        <w:ind w:left="0"/>
        <w:jc w:val="both"/>
        <w:rPr>
          <w:rFonts w:ascii="Verdana" w:hAnsi="Verdana"/>
          <w:sz w:val="20"/>
          <w:szCs w:val="20"/>
          <w:lang w:val="en-US"/>
        </w:rPr>
      </w:pPr>
    </w:p>
    <w:p w14:paraId="63126AB0" w14:textId="187C61BF" w:rsidR="005B2BBE" w:rsidRPr="00FE7BA7" w:rsidRDefault="00107A35"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It is for the</w:t>
      </w:r>
      <w:r w:rsidR="002B5CCD" w:rsidRPr="00FE7BA7">
        <w:rPr>
          <w:rFonts w:ascii="Verdana" w:hAnsi="Verdana"/>
          <w:sz w:val="20"/>
          <w:szCs w:val="20"/>
          <w:lang w:val="en-US"/>
        </w:rPr>
        <w:t xml:space="preserve"> Court</w:t>
      </w:r>
      <w:r w:rsidR="008A3876" w:rsidRPr="00FE7BA7">
        <w:rPr>
          <w:rFonts w:ascii="Verdana" w:hAnsi="Verdana"/>
          <w:sz w:val="20"/>
          <w:szCs w:val="20"/>
          <w:lang w:val="en-US"/>
        </w:rPr>
        <w:t xml:space="preserve"> </w:t>
      </w:r>
      <w:r w:rsidRPr="00FE7BA7">
        <w:rPr>
          <w:rFonts w:ascii="Verdana" w:hAnsi="Verdana"/>
          <w:sz w:val="20"/>
          <w:szCs w:val="20"/>
          <w:lang w:val="en-US"/>
        </w:rPr>
        <w:t>to analyze whether</w:t>
      </w:r>
      <w:r w:rsidR="004B4DA0">
        <w:rPr>
          <w:rFonts w:ascii="Verdana" w:hAnsi="Verdana"/>
          <w:sz w:val="20"/>
          <w:szCs w:val="20"/>
          <w:lang w:val="en-US"/>
        </w:rPr>
        <w:t xml:space="preserve"> </w:t>
      </w:r>
      <w:r w:rsidRPr="00FE7BA7">
        <w:rPr>
          <w:rFonts w:ascii="Verdana" w:hAnsi="Verdana"/>
          <w:sz w:val="20"/>
          <w:szCs w:val="20"/>
          <w:lang w:val="en-US"/>
        </w:rPr>
        <w:t xml:space="preserve">the State’s failure to answer the request for </w:t>
      </w:r>
      <w:r w:rsidR="00FE7BA7" w:rsidRPr="00FE7BA7">
        <w:rPr>
          <w:rFonts w:ascii="Verdana" w:hAnsi="Verdana"/>
          <w:sz w:val="20"/>
          <w:szCs w:val="20"/>
          <w:lang w:val="en-US"/>
        </w:rPr>
        <w:t>information</w:t>
      </w:r>
      <w:r w:rsidRPr="00FE7BA7">
        <w:rPr>
          <w:rFonts w:ascii="Verdana" w:hAnsi="Verdana"/>
          <w:sz w:val="20"/>
          <w:szCs w:val="20"/>
          <w:lang w:val="en-US"/>
        </w:rPr>
        <w:t xml:space="preserve"> on the property titles, which the victims have alleged, constitutes a violation </w:t>
      </w:r>
      <w:r w:rsidR="00773D70" w:rsidRPr="00FE7BA7">
        <w:rPr>
          <w:rFonts w:ascii="Verdana" w:hAnsi="Verdana"/>
          <w:sz w:val="20"/>
          <w:szCs w:val="20"/>
          <w:lang w:val="en-US"/>
        </w:rPr>
        <w:t>of Article</w:t>
      </w:r>
      <w:r w:rsidR="008A3876" w:rsidRPr="00FE7BA7">
        <w:rPr>
          <w:rFonts w:ascii="Verdana" w:hAnsi="Verdana"/>
          <w:sz w:val="20"/>
          <w:szCs w:val="20"/>
          <w:lang w:val="en-US"/>
        </w:rPr>
        <w:t xml:space="preserve"> </w:t>
      </w:r>
      <w:r w:rsidR="00BF0A64" w:rsidRPr="00FE7BA7">
        <w:rPr>
          <w:rFonts w:ascii="Verdana" w:hAnsi="Verdana"/>
          <w:sz w:val="20"/>
          <w:szCs w:val="20"/>
          <w:lang w:val="en-US"/>
        </w:rPr>
        <w:t xml:space="preserve">25 </w:t>
      </w:r>
      <w:r w:rsidR="002B5CCD" w:rsidRPr="00FE7BA7">
        <w:rPr>
          <w:rFonts w:ascii="Verdana" w:hAnsi="Verdana"/>
          <w:sz w:val="20"/>
          <w:szCs w:val="20"/>
          <w:lang w:val="en-US"/>
        </w:rPr>
        <w:t>of the American Convention</w:t>
      </w:r>
      <w:r w:rsidR="008A3876" w:rsidRPr="00FE7BA7">
        <w:rPr>
          <w:rFonts w:ascii="Verdana" w:hAnsi="Verdana"/>
          <w:sz w:val="20"/>
          <w:szCs w:val="20"/>
          <w:lang w:val="en-US"/>
        </w:rPr>
        <w:t xml:space="preserve"> </w:t>
      </w:r>
      <w:r w:rsidR="00773D70" w:rsidRPr="00FE7BA7">
        <w:rPr>
          <w:rFonts w:ascii="Verdana" w:hAnsi="Verdana"/>
          <w:sz w:val="20"/>
          <w:szCs w:val="20"/>
          <w:lang w:val="en-US"/>
        </w:rPr>
        <w:t>in relation to Article</w:t>
      </w:r>
      <w:r w:rsidR="008A3876" w:rsidRPr="00FE7BA7">
        <w:rPr>
          <w:rFonts w:ascii="Verdana" w:hAnsi="Verdana"/>
          <w:sz w:val="20"/>
          <w:szCs w:val="20"/>
          <w:lang w:val="en-US"/>
        </w:rPr>
        <w:t xml:space="preserve"> </w:t>
      </w:r>
      <w:r w:rsidR="00BF0A64" w:rsidRPr="00FE7BA7">
        <w:rPr>
          <w:rFonts w:ascii="Verdana" w:hAnsi="Verdana"/>
          <w:sz w:val="20"/>
          <w:szCs w:val="20"/>
          <w:lang w:val="en-US"/>
        </w:rPr>
        <w:t xml:space="preserve">13 </w:t>
      </w:r>
      <w:r w:rsidR="00AB2117" w:rsidRPr="00FE7BA7">
        <w:rPr>
          <w:rFonts w:ascii="Verdana" w:hAnsi="Verdana"/>
          <w:sz w:val="20"/>
          <w:szCs w:val="20"/>
          <w:lang w:val="en-US"/>
        </w:rPr>
        <w:t>thereof</w:t>
      </w:r>
      <w:r w:rsidR="008A3876" w:rsidRPr="00FE7BA7">
        <w:rPr>
          <w:rFonts w:ascii="Verdana" w:hAnsi="Verdana"/>
          <w:sz w:val="20"/>
          <w:szCs w:val="20"/>
          <w:lang w:val="en-US"/>
        </w:rPr>
        <w:t>.</w:t>
      </w:r>
    </w:p>
    <w:p w14:paraId="63126AB1" w14:textId="77777777" w:rsidR="008A3876" w:rsidRPr="00FE7BA7" w:rsidRDefault="008A3876" w:rsidP="009E77BD">
      <w:pPr>
        <w:pStyle w:val="ListParagraph"/>
        <w:ind w:left="0"/>
        <w:jc w:val="both"/>
        <w:rPr>
          <w:rFonts w:ascii="Verdana" w:hAnsi="Verdana"/>
          <w:sz w:val="20"/>
          <w:szCs w:val="20"/>
          <w:lang w:val="en-US"/>
        </w:rPr>
      </w:pPr>
      <w:r w:rsidRPr="00FE7BA7">
        <w:rPr>
          <w:rFonts w:ascii="Verdana" w:hAnsi="Verdana"/>
          <w:sz w:val="20"/>
          <w:szCs w:val="20"/>
          <w:lang w:val="en-US"/>
        </w:rPr>
        <w:t xml:space="preserve"> </w:t>
      </w:r>
    </w:p>
    <w:p w14:paraId="63126AB2" w14:textId="77777777" w:rsidR="008A3876" w:rsidRPr="00FE7BA7" w:rsidRDefault="002B5CCD" w:rsidP="008A3876">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8A3876" w:rsidRPr="00FE7BA7">
        <w:rPr>
          <w:rFonts w:ascii="Verdana" w:hAnsi="Verdana"/>
          <w:sz w:val="20"/>
          <w:szCs w:val="20"/>
          <w:lang w:val="en-US"/>
        </w:rPr>
        <w:t xml:space="preserve"> ha</w:t>
      </w:r>
      <w:r w:rsidR="00107A35" w:rsidRPr="00FE7BA7">
        <w:rPr>
          <w:rFonts w:ascii="Verdana" w:hAnsi="Verdana"/>
          <w:sz w:val="20"/>
          <w:szCs w:val="20"/>
          <w:lang w:val="en-US"/>
        </w:rPr>
        <w:t xml:space="preserve">s established that, pursuant to the protection accorded by </w:t>
      </w:r>
      <w:r w:rsidRPr="00FE7BA7">
        <w:rPr>
          <w:rFonts w:ascii="Verdana" w:hAnsi="Verdana"/>
          <w:sz w:val="20"/>
          <w:szCs w:val="20"/>
          <w:lang w:val="en-US"/>
        </w:rPr>
        <w:t>the American Convention</w:t>
      </w:r>
      <w:r w:rsidR="008A3876" w:rsidRPr="00FE7BA7">
        <w:rPr>
          <w:rFonts w:ascii="Verdana" w:hAnsi="Verdana"/>
          <w:sz w:val="20"/>
          <w:szCs w:val="20"/>
          <w:lang w:val="en-US"/>
        </w:rPr>
        <w:t xml:space="preserve">, </w:t>
      </w:r>
      <w:r w:rsidR="00107A35" w:rsidRPr="00FE7BA7">
        <w:rPr>
          <w:rFonts w:ascii="Verdana" w:hAnsi="Verdana"/>
          <w:sz w:val="20"/>
          <w:szCs w:val="20"/>
          <w:lang w:val="en-US"/>
        </w:rPr>
        <w:t>the right to freedom of thought and expression includes not only the right and freedom to express one’s own thoughts, but also the right and freedom to se</w:t>
      </w:r>
      <w:r w:rsidR="0091249F" w:rsidRPr="00FE7BA7">
        <w:rPr>
          <w:rFonts w:ascii="Verdana" w:hAnsi="Verdana"/>
          <w:sz w:val="20"/>
          <w:szCs w:val="20"/>
          <w:lang w:val="en-US"/>
        </w:rPr>
        <w:t xml:space="preserve">ek, receive and </w:t>
      </w:r>
      <w:r w:rsidR="0091249F" w:rsidRPr="00FE7BA7">
        <w:rPr>
          <w:rFonts w:ascii="Verdana" w:hAnsi="Verdana"/>
          <w:sz w:val="20"/>
          <w:szCs w:val="20"/>
          <w:lang w:val="en-US"/>
        </w:rPr>
        <w:lastRenderedPageBreak/>
        <w:t xml:space="preserve">disseminate </w:t>
      </w:r>
      <w:r w:rsidR="00107A35" w:rsidRPr="00FE7BA7">
        <w:rPr>
          <w:rFonts w:ascii="Verdana" w:hAnsi="Verdana"/>
          <w:sz w:val="20"/>
          <w:szCs w:val="20"/>
          <w:lang w:val="en-US"/>
        </w:rPr>
        <w:t>information and ideas</w:t>
      </w:r>
      <w:r w:rsidR="0091249F" w:rsidRPr="00FE7BA7">
        <w:rPr>
          <w:rFonts w:ascii="Verdana" w:hAnsi="Verdana"/>
          <w:sz w:val="20"/>
          <w:szCs w:val="20"/>
          <w:lang w:val="en-US"/>
        </w:rPr>
        <w:t xml:space="preserve"> of all kinds</w:t>
      </w:r>
      <w:r w:rsidR="00107A35" w:rsidRPr="00FE7BA7">
        <w:rPr>
          <w:rFonts w:ascii="Verdana" w:hAnsi="Verdana"/>
          <w:sz w:val="20"/>
          <w:szCs w:val="20"/>
          <w:lang w:val="en-US"/>
        </w:rPr>
        <w:t>.</w:t>
      </w:r>
      <w:r w:rsidR="008A3876" w:rsidRPr="00FE7BA7">
        <w:rPr>
          <w:rStyle w:val="FootnoteReference"/>
          <w:szCs w:val="20"/>
          <w:lang w:val="en-US"/>
        </w:rPr>
        <w:footnoteReference w:id="303"/>
      </w:r>
      <w:r w:rsidR="00107A35" w:rsidRPr="00FE7BA7">
        <w:rPr>
          <w:rFonts w:ascii="Verdana" w:hAnsi="Verdana"/>
          <w:sz w:val="20"/>
          <w:szCs w:val="20"/>
          <w:lang w:val="en-US"/>
        </w:rPr>
        <w:t xml:space="preserve"> Hence, </w:t>
      </w:r>
      <w:r w:rsidRPr="00FE7BA7">
        <w:rPr>
          <w:rFonts w:ascii="Verdana" w:hAnsi="Verdana"/>
          <w:sz w:val="20"/>
          <w:szCs w:val="20"/>
          <w:lang w:val="en-US"/>
        </w:rPr>
        <w:t>Article</w:t>
      </w:r>
      <w:r w:rsidR="008A3876" w:rsidRPr="00FE7BA7">
        <w:rPr>
          <w:rFonts w:ascii="Verdana" w:hAnsi="Verdana"/>
          <w:sz w:val="20"/>
          <w:szCs w:val="20"/>
          <w:lang w:val="en-US"/>
        </w:rPr>
        <w:t xml:space="preserve"> 13</w:t>
      </w:r>
      <w:r w:rsidRPr="00FE7BA7">
        <w:rPr>
          <w:rFonts w:ascii="Verdana" w:hAnsi="Verdana"/>
          <w:sz w:val="20"/>
          <w:szCs w:val="20"/>
          <w:lang w:val="en-US"/>
        </w:rPr>
        <w:t xml:space="preserve"> of the Convention</w:t>
      </w:r>
      <w:r w:rsidR="008A3876" w:rsidRPr="00FE7BA7">
        <w:rPr>
          <w:rFonts w:ascii="Verdana" w:hAnsi="Verdana"/>
          <w:sz w:val="20"/>
          <w:szCs w:val="20"/>
          <w:lang w:val="en-US"/>
        </w:rPr>
        <w:t xml:space="preserve">, </w:t>
      </w:r>
      <w:r w:rsidR="00107A35" w:rsidRPr="00FE7BA7">
        <w:rPr>
          <w:rFonts w:ascii="Verdana" w:hAnsi="Verdana"/>
          <w:sz w:val="20"/>
          <w:szCs w:val="20"/>
          <w:lang w:val="en-US"/>
        </w:rPr>
        <w:t xml:space="preserve">by </w:t>
      </w:r>
      <w:r w:rsidR="004B4DA0">
        <w:rPr>
          <w:rFonts w:ascii="Verdana" w:hAnsi="Verdana"/>
          <w:sz w:val="20"/>
          <w:szCs w:val="20"/>
          <w:lang w:val="en-US"/>
        </w:rPr>
        <w:t>expressly stipulating the right</w:t>
      </w:r>
      <w:r w:rsidR="00107A35" w:rsidRPr="00FE7BA7">
        <w:rPr>
          <w:rFonts w:ascii="Verdana" w:hAnsi="Verdana"/>
          <w:sz w:val="20"/>
          <w:szCs w:val="20"/>
          <w:lang w:val="en-US"/>
        </w:rPr>
        <w:t xml:space="preserve"> to seek and receive information, protects the right of everyone to </w:t>
      </w:r>
      <w:r w:rsidR="00FE7BA7" w:rsidRPr="00FE7BA7">
        <w:rPr>
          <w:rFonts w:ascii="Verdana" w:hAnsi="Verdana"/>
          <w:sz w:val="20"/>
          <w:szCs w:val="20"/>
          <w:lang w:val="en-US"/>
        </w:rPr>
        <w:t>request</w:t>
      </w:r>
      <w:r w:rsidR="00107A35" w:rsidRPr="00FE7BA7">
        <w:rPr>
          <w:rFonts w:ascii="Verdana" w:hAnsi="Verdana"/>
          <w:sz w:val="20"/>
          <w:szCs w:val="20"/>
          <w:lang w:val="en-US"/>
        </w:rPr>
        <w:t xml:space="preserve"> access to information in the hands of the State, with the exceptions permitted under the Convention’s regime of restrictions. This information must be handed over without the need to prove a direct interest in order to obtain it or</w:t>
      </w:r>
      <w:r w:rsidR="004B4DA0">
        <w:rPr>
          <w:rFonts w:ascii="Verdana" w:hAnsi="Verdana"/>
          <w:sz w:val="20"/>
          <w:szCs w:val="20"/>
          <w:lang w:val="en-US"/>
        </w:rPr>
        <w:t xml:space="preserve"> personal involvement, </w:t>
      </w:r>
      <w:r w:rsidR="00107A35" w:rsidRPr="00FE7BA7">
        <w:rPr>
          <w:rFonts w:ascii="Verdana" w:hAnsi="Verdana"/>
          <w:sz w:val="20"/>
          <w:szCs w:val="20"/>
          <w:lang w:val="en-US"/>
        </w:rPr>
        <w:t>except in cases in which a legitimate restriction applies.</w:t>
      </w:r>
      <w:r w:rsidR="008A3876" w:rsidRPr="00FE7BA7">
        <w:rPr>
          <w:rStyle w:val="FootnoteReference"/>
          <w:szCs w:val="20"/>
          <w:lang w:val="en-US"/>
        </w:rPr>
        <w:footnoteReference w:id="304"/>
      </w:r>
      <w:r w:rsidR="008A3876" w:rsidRPr="00FE7BA7">
        <w:rPr>
          <w:rFonts w:ascii="Verdana" w:hAnsi="Verdana"/>
          <w:sz w:val="20"/>
          <w:szCs w:val="20"/>
          <w:lang w:val="en-US"/>
        </w:rPr>
        <w:t xml:space="preserve"> </w:t>
      </w:r>
    </w:p>
    <w:p w14:paraId="63126AB3" w14:textId="77777777" w:rsidR="00A23399" w:rsidRPr="00FE7BA7" w:rsidRDefault="00A23399" w:rsidP="00A23399">
      <w:pPr>
        <w:pStyle w:val="ListParagraph"/>
        <w:rPr>
          <w:rFonts w:ascii="Verdana" w:hAnsi="Verdana"/>
          <w:sz w:val="20"/>
          <w:szCs w:val="20"/>
          <w:lang w:val="en-US"/>
        </w:rPr>
      </w:pPr>
    </w:p>
    <w:p w14:paraId="63126AB4" w14:textId="77777777" w:rsidR="00930352" w:rsidRPr="00FE7BA7" w:rsidRDefault="002B5CCD" w:rsidP="00107A35">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8A3876" w:rsidRPr="00FE7BA7">
        <w:rPr>
          <w:rFonts w:ascii="Verdana" w:hAnsi="Verdana"/>
          <w:sz w:val="20"/>
          <w:szCs w:val="20"/>
          <w:lang w:val="en-US"/>
        </w:rPr>
        <w:t xml:space="preserve"> </w:t>
      </w:r>
      <w:r w:rsidR="00B73D90" w:rsidRPr="00FE7BA7">
        <w:rPr>
          <w:rFonts w:ascii="Verdana" w:hAnsi="Verdana"/>
          <w:sz w:val="20"/>
          <w:szCs w:val="20"/>
          <w:lang w:val="en-US"/>
        </w:rPr>
        <w:t>ha</w:t>
      </w:r>
      <w:r w:rsidR="00107A35" w:rsidRPr="00FE7BA7">
        <w:rPr>
          <w:rFonts w:ascii="Verdana" w:hAnsi="Verdana"/>
          <w:sz w:val="20"/>
          <w:szCs w:val="20"/>
          <w:lang w:val="en-US"/>
        </w:rPr>
        <w:t>s established that States are obliged to provide the information requested. However, if it is necessary to refuse to provide the information, a justified response must be given that allows the rea</w:t>
      </w:r>
      <w:r w:rsidR="004B4DA0">
        <w:rPr>
          <w:rFonts w:ascii="Verdana" w:hAnsi="Verdana"/>
          <w:sz w:val="20"/>
          <w:szCs w:val="20"/>
          <w:lang w:val="en-US"/>
        </w:rPr>
        <w:t>sons to be known, as well as the norms</w:t>
      </w:r>
      <w:r w:rsidR="00107A35" w:rsidRPr="00FE7BA7">
        <w:rPr>
          <w:rFonts w:ascii="Verdana" w:hAnsi="Verdana"/>
          <w:sz w:val="20"/>
          <w:szCs w:val="20"/>
          <w:lang w:val="en-US"/>
        </w:rPr>
        <w:t xml:space="preserve"> on which the refusal to hand over the information is based. Thus, </w:t>
      </w:r>
      <w:r w:rsidR="004B4DA0">
        <w:rPr>
          <w:rFonts w:ascii="Verdana" w:hAnsi="Verdana"/>
          <w:sz w:val="20"/>
          <w:szCs w:val="20"/>
          <w:lang w:val="en-US"/>
        </w:rPr>
        <w:t>an analysis of the decision will make it</w:t>
      </w:r>
      <w:r w:rsidR="00107A35" w:rsidRPr="00FE7BA7">
        <w:rPr>
          <w:rFonts w:ascii="Verdana" w:hAnsi="Verdana"/>
          <w:sz w:val="20"/>
          <w:szCs w:val="20"/>
          <w:lang w:val="en-US"/>
        </w:rPr>
        <w:t xml:space="preserve"> possible to determine whether the restriction is compatible with the restrictions allowed by the American Convention; in other words, those that are lawf</w:t>
      </w:r>
      <w:r w:rsidR="004B4DA0">
        <w:rPr>
          <w:rFonts w:ascii="Verdana" w:hAnsi="Verdana"/>
          <w:sz w:val="20"/>
          <w:szCs w:val="20"/>
          <w:lang w:val="en-US"/>
        </w:rPr>
        <w:t>ul, necessary and proportionate</w:t>
      </w:r>
      <w:r w:rsidR="00107A35" w:rsidRPr="00FE7BA7">
        <w:rPr>
          <w:rFonts w:ascii="Verdana" w:hAnsi="Verdana"/>
          <w:sz w:val="20"/>
          <w:szCs w:val="20"/>
          <w:lang w:val="en-US"/>
        </w:rPr>
        <w:t xml:space="preserve"> in order to achieve a legitimate objective, which responds to a </w:t>
      </w:r>
      <w:r w:rsidR="004E3742">
        <w:rPr>
          <w:rFonts w:ascii="Verdana" w:hAnsi="Verdana"/>
          <w:sz w:val="20"/>
          <w:szCs w:val="20"/>
          <w:lang w:val="en-US"/>
        </w:rPr>
        <w:t>public</w:t>
      </w:r>
      <w:r w:rsidR="00107A35" w:rsidRPr="00FE7BA7">
        <w:rPr>
          <w:rFonts w:ascii="Verdana" w:hAnsi="Verdana"/>
          <w:sz w:val="20"/>
          <w:szCs w:val="20"/>
          <w:lang w:val="en-US"/>
        </w:rPr>
        <w:t xml:space="preserve"> interest within a democratic society.</w:t>
      </w:r>
      <w:r w:rsidR="00930352" w:rsidRPr="00FE7BA7">
        <w:rPr>
          <w:rStyle w:val="FootnoteReference"/>
          <w:szCs w:val="20"/>
          <w:lang w:val="en-US"/>
        </w:rPr>
        <w:footnoteReference w:id="305"/>
      </w:r>
      <w:r w:rsidR="00107A35" w:rsidRPr="00FE7BA7">
        <w:rPr>
          <w:rFonts w:ascii="Verdana" w:hAnsi="Verdana"/>
          <w:sz w:val="20"/>
          <w:szCs w:val="20"/>
          <w:lang w:val="en-US"/>
        </w:rPr>
        <w:t xml:space="preserve"> In cases when the State does not respond, the Court understands that, in addition to </w:t>
      </w:r>
      <w:r w:rsidR="003231F8" w:rsidRPr="00FE7BA7">
        <w:rPr>
          <w:rFonts w:ascii="Verdana" w:hAnsi="Verdana"/>
          <w:sz w:val="20"/>
          <w:szCs w:val="20"/>
          <w:lang w:val="en-US"/>
        </w:rPr>
        <w:t>the</w:t>
      </w:r>
      <w:r w:rsidR="00107A35" w:rsidRPr="00FE7BA7">
        <w:rPr>
          <w:rFonts w:ascii="Verdana" w:hAnsi="Verdana"/>
          <w:sz w:val="20"/>
          <w:szCs w:val="20"/>
          <w:lang w:val="en-US"/>
        </w:rPr>
        <w:t xml:space="preserve"> </w:t>
      </w:r>
      <w:r w:rsidR="00511E56" w:rsidRPr="00FE7BA7">
        <w:rPr>
          <w:rFonts w:ascii="Verdana" w:hAnsi="Verdana"/>
          <w:sz w:val="20"/>
          <w:szCs w:val="20"/>
          <w:lang w:val="en-US"/>
        </w:rPr>
        <w:t>violation</w:t>
      </w:r>
      <w:r w:rsidR="008A3876" w:rsidRPr="00FE7BA7">
        <w:rPr>
          <w:rFonts w:ascii="Verdana" w:hAnsi="Verdana"/>
          <w:sz w:val="20"/>
          <w:szCs w:val="20"/>
          <w:lang w:val="en-US"/>
        </w:rPr>
        <w:t xml:space="preserve"> al </w:t>
      </w:r>
      <w:r w:rsidR="00C34C52" w:rsidRPr="00FE7BA7">
        <w:rPr>
          <w:rFonts w:ascii="Verdana" w:hAnsi="Verdana"/>
          <w:sz w:val="20"/>
          <w:szCs w:val="20"/>
          <w:lang w:val="en-US"/>
        </w:rPr>
        <w:t>Article</w:t>
      </w:r>
      <w:r w:rsidR="008A3876" w:rsidRPr="00FE7BA7">
        <w:rPr>
          <w:rFonts w:ascii="Verdana" w:hAnsi="Verdana"/>
          <w:sz w:val="20"/>
          <w:szCs w:val="20"/>
          <w:lang w:val="en-US"/>
        </w:rPr>
        <w:t xml:space="preserve"> 13</w:t>
      </w:r>
      <w:r w:rsidRPr="00FE7BA7">
        <w:rPr>
          <w:rFonts w:ascii="Verdana" w:hAnsi="Verdana"/>
          <w:sz w:val="20"/>
          <w:szCs w:val="20"/>
          <w:lang w:val="en-US"/>
        </w:rPr>
        <w:t xml:space="preserve"> of the Convention</w:t>
      </w:r>
      <w:r w:rsidR="008A3876" w:rsidRPr="00FE7BA7">
        <w:rPr>
          <w:rFonts w:ascii="Verdana" w:hAnsi="Verdana"/>
          <w:sz w:val="20"/>
          <w:szCs w:val="20"/>
          <w:lang w:val="en-US"/>
        </w:rPr>
        <w:t xml:space="preserve">, </w:t>
      </w:r>
      <w:r w:rsidR="00107A35" w:rsidRPr="00FE7BA7">
        <w:rPr>
          <w:rFonts w:ascii="Verdana" w:hAnsi="Verdana"/>
          <w:sz w:val="20"/>
          <w:szCs w:val="20"/>
          <w:lang w:val="en-US"/>
        </w:rPr>
        <w:t xml:space="preserve">this attitude constitutes an </w:t>
      </w:r>
      <w:r w:rsidR="00107A35" w:rsidRPr="004B4DA0">
        <w:rPr>
          <w:rFonts w:ascii="Verdana" w:hAnsi="Verdana"/>
          <w:sz w:val="20"/>
          <w:szCs w:val="20"/>
          <w:lang w:val="en-US"/>
        </w:rPr>
        <w:t>arbitrary decision</w:t>
      </w:r>
      <w:r w:rsidR="00A23399" w:rsidRPr="004B4DA0">
        <w:rPr>
          <w:rFonts w:ascii="Verdana" w:hAnsi="Verdana"/>
          <w:sz w:val="20"/>
          <w:szCs w:val="20"/>
          <w:lang w:val="en-US"/>
        </w:rPr>
        <w:t>.</w:t>
      </w:r>
      <w:r w:rsidR="008A3876" w:rsidRPr="004B4DA0">
        <w:rPr>
          <w:rStyle w:val="FootnoteReference"/>
          <w:szCs w:val="20"/>
          <w:lang w:val="en-US"/>
        </w:rPr>
        <w:footnoteReference w:id="306"/>
      </w:r>
      <w:r w:rsidR="008A3876" w:rsidRPr="004B4DA0">
        <w:rPr>
          <w:rFonts w:ascii="Verdana" w:hAnsi="Verdana"/>
          <w:sz w:val="20"/>
          <w:szCs w:val="20"/>
          <w:lang w:val="en-US"/>
        </w:rPr>
        <w:t xml:space="preserve"> </w:t>
      </w:r>
      <w:r w:rsidR="00A23399" w:rsidRPr="004B4DA0">
        <w:rPr>
          <w:rFonts w:ascii="Verdana" w:hAnsi="Verdana"/>
          <w:sz w:val="20"/>
          <w:szCs w:val="20"/>
          <w:lang w:val="en-US"/>
        </w:rPr>
        <w:t xml:space="preserve">Hence, the </w:t>
      </w:r>
      <w:r w:rsidR="00A23399" w:rsidRPr="004B4DA0">
        <w:rPr>
          <w:rFonts w:ascii="Verdana" w:eastAsia="Times New Roman" w:hAnsi="Verdana" w:cs="Arial"/>
          <w:sz w:val="20"/>
          <w:szCs w:val="20"/>
          <w:lang w:val="en-US"/>
        </w:rPr>
        <w:t>burden of proof in justifying any denial of access to information lies with the body from which the information was requested</w:t>
      </w:r>
      <w:r w:rsidR="00A23399" w:rsidRPr="004B4DA0">
        <w:rPr>
          <w:rFonts w:ascii="Verdana" w:hAnsi="Verdana"/>
          <w:sz w:val="20"/>
          <w:szCs w:val="20"/>
          <w:lang w:val="en-US"/>
        </w:rPr>
        <w:t>.</w:t>
      </w:r>
      <w:r w:rsidR="008A3876" w:rsidRPr="004B4DA0">
        <w:rPr>
          <w:rStyle w:val="FootnoteReference"/>
          <w:szCs w:val="20"/>
          <w:lang w:val="en-US"/>
        </w:rPr>
        <w:footnoteReference w:id="307"/>
      </w:r>
      <w:r w:rsidR="00046EA9" w:rsidRPr="00FE7BA7">
        <w:rPr>
          <w:rFonts w:ascii="Verdana" w:hAnsi="Verdana"/>
          <w:sz w:val="20"/>
          <w:szCs w:val="20"/>
          <w:lang w:val="en-US"/>
        </w:rPr>
        <w:t xml:space="preserve"> </w:t>
      </w:r>
    </w:p>
    <w:p w14:paraId="63126AB5" w14:textId="77777777" w:rsidR="008A3876" w:rsidRPr="00FE7BA7" w:rsidRDefault="008A3876" w:rsidP="00930352">
      <w:pPr>
        <w:pStyle w:val="ListParagraph"/>
        <w:ind w:left="0"/>
        <w:jc w:val="both"/>
        <w:rPr>
          <w:rFonts w:ascii="Verdana" w:hAnsi="Verdana"/>
          <w:sz w:val="20"/>
          <w:szCs w:val="20"/>
          <w:lang w:val="en-US"/>
        </w:rPr>
      </w:pPr>
    </w:p>
    <w:p w14:paraId="63126AB6" w14:textId="01847971" w:rsidR="003E05BA" w:rsidRPr="00FE7BA7" w:rsidRDefault="0091249F" w:rsidP="002C323A">
      <w:pPr>
        <w:pStyle w:val="ListParagraph"/>
        <w:numPr>
          <w:ilvl w:val="0"/>
          <w:numId w:val="2"/>
        </w:numPr>
        <w:ind w:left="0" w:hanging="11"/>
        <w:jc w:val="both"/>
        <w:rPr>
          <w:rFonts w:ascii="Verdana" w:hAnsi="Verdana"/>
          <w:sz w:val="20"/>
          <w:szCs w:val="20"/>
          <w:lang w:val="en-US"/>
        </w:rPr>
      </w:pPr>
      <w:r w:rsidRPr="004B4DA0">
        <w:rPr>
          <w:rFonts w:ascii="Verdana" w:hAnsi="Verdana"/>
          <w:sz w:val="20"/>
          <w:szCs w:val="20"/>
          <w:lang w:val="en-US"/>
        </w:rPr>
        <w:t xml:space="preserve">In </w:t>
      </w:r>
      <w:r w:rsidR="004B4DA0" w:rsidRPr="004B4DA0">
        <w:rPr>
          <w:rFonts w:ascii="Verdana" w:hAnsi="Verdana"/>
          <w:sz w:val="20"/>
          <w:szCs w:val="20"/>
          <w:lang w:val="en-US"/>
        </w:rPr>
        <w:t>this</w:t>
      </w:r>
      <w:r w:rsidRPr="004B4DA0">
        <w:rPr>
          <w:rFonts w:ascii="Verdana" w:hAnsi="Verdana"/>
          <w:sz w:val="20"/>
          <w:szCs w:val="20"/>
          <w:lang w:val="en-US"/>
        </w:rPr>
        <w:t xml:space="preserve"> specific case</w:t>
      </w:r>
      <w:r w:rsidRPr="000A0278">
        <w:rPr>
          <w:rFonts w:ascii="Verdana" w:hAnsi="Verdana"/>
          <w:sz w:val="20"/>
          <w:szCs w:val="20"/>
          <w:lang w:val="en-US"/>
        </w:rPr>
        <w:t xml:space="preserve">, </w:t>
      </w:r>
      <w:r w:rsidRPr="00DA3A98">
        <w:rPr>
          <w:rFonts w:ascii="Verdana" w:hAnsi="Verdana"/>
          <w:sz w:val="20"/>
          <w:szCs w:val="20"/>
          <w:lang w:val="en-US"/>
        </w:rPr>
        <w:t xml:space="preserve">on October </w:t>
      </w:r>
      <w:r w:rsidR="006C38D5" w:rsidRPr="006C4E70">
        <w:rPr>
          <w:rFonts w:ascii="Verdana" w:hAnsi="Verdana"/>
          <w:sz w:val="20"/>
          <w:szCs w:val="20"/>
          <w:lang w:val="en-US"/>
        </w:rPr>
        <w:t>7</w:t>
      </w:r>
      <w:r w:rsidRPr="000A0278">
        <w:rPr>
          <w:rFonts w:ascii="Verdana" w:hAnsi="Verdana"/>
          <w:sz w:val="20"/>
          <w:szCs w:val="20"/>
          <w:lang w:val="en-US"/>
        </w:rPr>
        <w:t>, 2007</w:t>
      </w:r>
      <w:r w:rsidRPr="00DA3A98">
        <w:rPr>
          <w:rFonts w:ascii="Verdana" w:hAnsi="Verdana"/>
          <w:sz w:val="20"/>
          <w:szCs w:val="20"/>
          <w:lang w:val="en-US"/>
        </w:rPr>
        <w:t xml:space="preserve">, </w:t>
      </w:r>
      <w:r w:rsidR="004B4DA0" w:rsidRPr="00DA3A98">
        <w:rPr>
          <w:rFonts w:ascii="Verdana" w:hAnsi="Verdana"/>
          <w:sz w:val="20"/>
          <w:szCs w:val="20"/>
          <w:lang w:val="en-US"/>
        </w:rPr>
        <w:t>the</w:t>
      </w:r>
      <w:r w:rsidR="004B4DA0">
        <w:rPr>
          <w:rFonts w:ascii="Verdana" w:hAnsi="Verdana"/>
          <w:sz w:val="20"/>
          <w:szCs w:val="20"/>
          <w:lang w:val="en-US"/>
        </w:rPr>
        <w:t xml:space="preserve"> c</w:t>
      </w:r>
      <w:r w:rsidR="00CA7C7B" w:rsidRPr="00FE7BA7">
        <w:rPr>
          <w:rFonts w:ascii="Verdana" w:hAnsi="Verdana"/>
          <w:sz w:val="20"/>
          <w:szCs w:val="20"/>
          <w:lang w:val="en-US"/>
        </w:rPr>
        <w:t>aptains</w:t>
      </w:r>
      <w:r w:rsidR="008A3876" w:rsidRPr="00FE7BA7">
        <w:rPr>
          <w:rFonts w:ascii="Verdana" w:hAnsi="Verdana"/>
          <w:sz w:val="20"/>
          <w:szCs w:val="20"/>
          <w:lang w:val="en-US"/>
        </w:rPr>
        <w:t xml:space="preserve"> </w:t>
      </w:r>
      <w:r w:rsidRPr="00FE7BA7">
        <w:rPr>
          <w:rFonts w:ascii="Verdana" w:hAnsi="Verdana"/>
          <w:sz w:val="20"/>
          <w:szCs w:val="20"/>
          <w:lang w:val="en-US"/>
        </w:rPr>
        <w:t xml:space="preserve">of eight communities </w:t>
      </w:r>
      <w:r w:rsidR="00635ACD" w:rsidRPr="00FE7BA7">
        <w:rPr>
          <w:rFonts w:ascii="Verdana" w:hAnsi="Verdana"/>
          <w:sz w:val="20"/>
          <w:szCs w:val="20"/>
          <w:lang w:val="en-US"/>
        </w:rPr>
        <w:t>of the Kaliña and Lokono peoples</w:t>
      </w:r>
      <w:r w:rsidRPr="00FE7BA7">
        <w:rPr>
          <w:rFonts w:ascii="Verdana" w:hAnsi="Verdana"/>
          <w:sz w:val="20"/>
          <w:szCs w:val="20"/>
          <w:lang w:val="en-US"/>
        </w:rPr>
        <w:t>,</w:t>
      </w:r>
      <w:r w:rsidR="008A3876" w:rsidRPr="00FE7BA7">
        <w:rPr>
          <w:rStyle w:val="FootnoteReference"/>
          <w:szCs w:val="20"/>
          <w:lang w:val="en-US"/>
        </w:rPr>
        <w:footnoteReference w:id="308"/>
      </w:r>
      <w:r w:rsidR="008A3876" w:rsidRPr="00FE7BA7">
        <w:rPr>
          <w:rFonts w:ascii="Verdana" w:hAnsi="Verdana"/>
          <w:sz w:val="20"/>
          <w:szCs w:val="20"/>
          <w:lang w:val="en-US"/>
        </w:rPr>
        <w:t xml:space="preserve"> </w:t>
      </w:r>
      <w:r w:rsidR="002B5CCD" w:rsidRPr="004B4DA0">
        <w:rPr>
          <w:rFonts w:ascii="Verdana" w:hAnsi="Verdana"/>
          <w:sz w:val="20"/>
          <w:szCs w:val="20"/>
          <w:lang w:val="en-US"/>
        </w:rPr>
        <w:t xml:space="preserve">the </w:t>
      </w:r>
      <w:r w:rsidRPr="004B4DA0">
        <w:rPr>
          <w:rFonts w:ascii="Verdana" w:hAnsi="Verdana"/>
          <w:sz w:val="20"/>
          <w:szCs w:val="20"/>
          <w:lang w:val="en-US"/>
        </w:rPr>
        <w:t xml:space="preserve">Land Rights </w:t>
      </w:r>
      <w:r w:rsidR="002B5CCD" w:rsidRPr="004B4DA0">
        <w:rPr>
          <w:rFonts w:ascii="Verdana" w:hAnsi="Verdana"/>
          <w:sz w:val="20"/>
          <w:szCs w:val="20"/>
          <w:lang w:val="en-US"/>
        </w:rPr>
        <w:t>Commission</w:t>
      </w:r>
      <w:r w:rsidR="008A3876" w:rsidRPr="004B4DA0">
        <w:rPr>
          <w:rFonts w:ascii="Verdana" w:hAnsi="Verdana"/>
          <w:sz w:val="20"/>
          <w:szCs w:val="20"/>
          <w:lang w:val="en-US"/>
        </w:rPr>
        <w:t xml:space="preserve"> </w:t>
      </w:r>
      <w:r w:rsidR="00635ACD" w:rsidRPr="004B4DA0">
        <w:rPr>
          <w:rFonts w:ascii="Verdana" w:hAnsi="Verdana"/>
          <w:sz w:val="20"/>
          <w:szCs w:val="20"/>
          <w:lang w:val="en-US"/>
        </w:rPr>
        <w:t>of the Lower</w:t>
      </w:r>
      <w:r w:rsidR="00635ACD" w:rsidRPr="00FE7BA7">
        <w:rPr>
          <w:rFonts w:ascii="Verdana" w:hAnsi="Verdana"/>
          <w:sz w:val="20"/>
          <w:szCs w:val="20"/>
          <w:lang w:val="en-US"/>
        </w:rPr>
        <w:t xml:space="preserve"> Marowijne</w:t>
      </w:r>
      <w:r w:rsidR="008A3876" w:rsidRPr="00FE7BA7">
        <w:rPr>
          <w:rStyle w:val="FootnoteReference"/>
          <w:szCs w:val="20"/>
          <w:lang w:val="en-US"/>
        </w:rPr>
        <w:footnoteReference w:id="309"/>
      </w:r>
      <w:r w:rsidR="002B5CCD" w:rsidRPr="00FE7BA7">
        <w:rPr>
          <w:rFonts w:ascii="Verdana" w:hAnsi="Verdana"/>
          <w:sz w:val="20"/>
          <w:szCs w:val="20"/>
          <w:lang w:val="en-US"/>
        </w:rPr>
        <w:t xml:space="preserve"> and</w:t>
      </w:r>
      <w:r w:rsidRPr="00FE7BA7">
        <w:rPr>
          <w:rFonts w:ascii="Verdana" w:hAnsi="Verdana"/>
          <w:sz w:val="20"/>
          <w:szCs w:val="20"/>
          <w:lang w:val="en-US"/>
        </w:rPr>
        <w:t xml:space="preserve"> the Association of Indigenous Village Leaders in</w:t>
      </w:r>
      <w:r w:rsidR="008A3876" w:rsidRPr="00FE7BA7">
        <w:rPr>
          <w:rFonts w:ascii="Verdana" w:hAnsi="Verdana"/>
          <w:sz w:val="20"/>
          <w:szCs w:val="20"/>
          <w:lang w:val="en-US"/>
        </w:rPr>
        <w:t xml:space="preserve"> </w:t>
      </w:r>
      <w:r w:rsidR="00563E11" w:rsidRPr="00FE7BA7">
        <w:rPr>
          <w:rFonts w:ascii="Verdana" w:hAnsi="Verdana"/>
          <w:sz w:val="20"/>
          <w:szCs w:val="20"/>
          <w:lang w:val="en-US"/>
        </w:rPr>
        <w:t>Surinam</w:t>
      </w:r>
      <w:r w:rsidRPr="00FE7BA7">
        <w:rPr>
          <w:rFonts w:ascii="Verdana" w:hAnsi="Verdana"/>
          <w:sz w:val="20"/>
          <w:szCs w:val="20"/>
          <w:lang w:val="en-US"/>
        </w:rPr>
        <w:t>e</w:t>
      </w:r>
      <w:r w:rsidR="008A3876" w:rsidRPr="00FE7BA7">
        <w:rPr>
          <w:rStyle w:val="FootnoteReference"/>
          <w:szCs w:val="20"/>
          <w:lang w:val="en-US"/>
        </w:rPr>
        <w:footnoteReference w:id="310"/>
      </w:r>
      <w:r w:rsidR="008A3876" w:rsidRPr="00FE7BA7">
        <w:rPr>
          <w:rFonts w:ascii="Verdana" w:hAnsi="Verdana"/>
          <w:sz w:val="20"/>
          <w:szCs w:val="20"/>
          <w:lang w:val="en-US"/>
        </w:rPr>
        <w:t xml:space="preserve"> </w:t>
      </w:r>
      <w:r w:rsidRPr="00FE7BA7">
        <w:rPr>
          <w:rFonts w:ascii="Verdana" w:hAnsi="Verdana"/>
          <w:sz w:val="20"/>
          <w:szCs w:val="20"/>
          <w:lang w:val="en-US"/>
        </w:rPr>
        <w:t xml:space="preserve">asked the State “to clarify and produce the relevant documents that prove whether the persons identified above </w:t>
      </w:r>
      <w:r w:rsidR="00A8064E" w:rsidRPr="00FE7BA7">
        <w:rPr>
          <w:rFonts w:ascii="Verdana" w:eastAsiaTheme="minorHAnsi" w:hAnsi="Verdana"/>
          <w:sz w:val="20"/>
          <w:szCs w:val="20"/>
          <w:lang w:val="en-US"/>
        </w:rPr>
        <w:t>[</w:t>
      </w:r>
      <w:r w:rsidR="00A8064E" w:rsidRPr="00FE7BA7">
        <w:rPr>
          <w:rFonts w:ascii="Verdana" w:hAnsi="Verdana"/>
          <w:sz w:val="20"/>
          <w:szCs w:val="20"/>
          <w:lang w:val="en-US"/>
        </w:rPr>
        <w:t>H.J. De Vries</w:t>
      </w:r>
      <w:r w:rsidR="002B5CCD" w:rsidRPr="00FE7BA7">
        <w:rPr>
          <w:rFonts w:ascii="Verdana" w:hAnsi="Verdana"/>
          <w:sz w:val="20"/>
          <w:szCs w:val="20"/>
          <w:lang w:val="en-US"/>
        </w:rPr>
        <w:t xml:space="preserve"> and </w:t>
      </w:r>
      <w:r w:rsidR="00A8064E" w:rsidRPr="00FE7BA7">
        <w:rPr>
          <w:rFonts w:ascii="Verdana" w:hAnsi="Verdana"/>
          <w:sz w:val="20"/>
          <w:szCs w:val="20"/>
          <w:lang w:val="en-US"/>
        </w:rPr>
        <w:t>Harrold Sijlbing</w:t>
      </w:r>
      <w:r w:rsidR="00A8064E" w:rsidRPr="00FE7BA7">
        <w:rPr>
          <w:rFonts w:ascii="Verdana" w:eastAsiaTheme="minorHAnsi" w:hAnsi="Verdana"/>
          <w:sz w:val="20"/>
          <w:szCs w:val="20"/>
          <w:lang w:val="en-US"/>
        </w:rPr>
        <w:t>] pos</w:t>
      </w:r>
      <w:r w:rsidRPr="00FE7BA7">
        <w:rPr>
          <w:rFonts w:ascii="Verdana" w:eastAsiaTheme="minorHAnsi" w:hAnsi="Verdana"/>
          <w:sz w:val="20"/>
          <w:szCs w:val="20"/>
          <w:lang w:val="en-US"/>
        </w:rPr>
        <w:t xml:space="preserve">sess valid land titles in the village of </w:t>
      </w:r>
      <w:r w:rsidR="00A8064E" w:rsidRPr="00FE7BA7">
        <w:rPr>
          <w:rFonts w:ascii="Verdana" w:eastAsiaTheme="minorHAnsi" w:hAnsi="Verdana"/>
          <w:sz w:val="20"/>
          <w:szCs w:val="20"/>
          <w:lang w:val="en-US"/>
        </w:rPr>
        <w:t>Pierrekondre;</w:t>
      </w:r>
      <w:r w:rsidR="002B5CCD" w:rsidRPr="00FE7BA7">
        <w:rPr>
          <w:rFonts w:ascii="Verdana" w:eastAsiaTheme="minorHAnsi" w:hAnsi="Verdana"/>
          <w:sz w:val="20"/>
          <w:szCs w:val="20"/>
          <w:lang w:val="en-US"/>
        </w:rPr>
        <w:t xml:space="preserve"> and </w:t>
      </w:r>
      <w:r w:rsidRPr="00FE7BA7">
        <w:rPr>
          <w:rFonts w:ascii="Verdana" w:eastAsiaTheme="minorHAnsi" w:hAnsi="Verdana"/>
          <w:sz w:val="20"/>
          <w:szCs w:val="20"/>
          <w:lang w:val="en-US"/>
        </w:rPr>
        <w:t>if so, [to explain] the nature of those titles and whether the said persons had permission to build houses and/or stores under them. [They asked] that this information be provided in writing and discussed with [them] as soon as it</w:t>
      </w:r>
      <w:r w:rsidR="004245CB" w:rsidRPr="00FE7BA7">
        <w:rPr>
          <w:rFonts w:ascii="Verdana" w:eastAsiaTheme="minorHAnsi" w:hAnsi="Verdana"/>
          <w:sz w:val="20"/>
          <w:szCs w:val="20"/>
          <w:lang w:val="en-US"/>
        </w:rPr>
        <w:t xml:space="preserve"> </w:t>
      </w:r>
      <w:r w:rsidRPr="00FE7BA7">
        <w:rPr>
          <w:rFonts w:ascii="Verdana" w:eastAsiaTheme="minorHAnsi" w:hAnsi="Verdana"/>
          <w:sz w:val="20"/>
          <w:szCs w:val="20"/>
          <w:lang w:val="en-US"/>
        </w:rPr>
        <w:t>was available.</w:t>
      </w:r>
      <w:r w:rsidR="00A8064E" w:rsidRPr="00FE7BA7">
        <w:rPr>
          <w:rFonts w:ascii="Verdana" w:eastAsiaTheme="minorHAnsi" w:hAnsi="Verdana"/>
          <w:sz w:val="20"/>
          <w:szCs w:val="20"/>
          <w:lang w:val="en-US"/>
        </w:rPr>
        <w:t>”</w:t>
      </w:r>
      <w:r w:rsidR="00A8064E" w:rsidRPr="00FE7BA7">
        <w:rPr>
          <w:rStyle w:val="FootnoteReference"/>
          <w:szCs w:val="20"/>
          <w:lang w:val="en-US"/>
        </w:rPr>
        <w:footnoteReference w:id="311"/>
      </w:r>
      <w:r w:rsidR="00A8064E" w:rsidRPr="00FE7BA7">
        <w:rPr>
          <w:rFonts w:ascii="Verdana" w:eastAsiaTheme="minorHAnsi" w:hAnsi="Verdana"/>
          <w:b/>
          <w:sz w:val="20"/>
          <w:szCs w:val="20"/>
          <w:lang w:val="en-US"/>
        </w:rPr>
        <w:t xml:space="preserve"> </w:t>
      </w:r>
      <w:r w:rsidRPr="00FE7BA7">
        <w:rPr>
          <w:rFonts w:ascii="Verdana" w:hAnsi="Verdana"/>
          <w:sz w:val="20"/>
          <w:szCs w:val="20"/>
          <w:lang w:val="en-US"/>
        </w:rPr>
        <w:t xml:space="preserve">However, </w:t>
      </w:r>
      <w:r w:rsidR="002B5CCD" w:rsidRPr="00FE7BA7">
        <w:rPr>
          <w:rFonts w:ascii="Verdana" w:hAnsi="Verdana"/>
          <w:sz w:val="20"/>
          <w:szCs w:val="20"/>
          <w:lang w:val="en-US"/>
        </w:rPr>
        <w:t>the State</w:t>
      </w:r>
      <w:r w:rsidR="002F0F93" w:rsidRPr="00FE7BA7">
        <w:rPr>
          <w:rFonts w:ascii="Verdana" w:hAnsi="Verdana"/>
          <w:sz w:val="20"/>
          <w:szCs w:val="20"/>
          <w:lang w:val="en-US"/>
        </w:rPr>
        <w:t xml:space="preserve"> of Suriname</w:t>
      </w:r>
      <w:r w:rsidR="002B5CCD" w:rsidRPr="00FE7BA7">
        <w:rPr>
          <w:rFonts w:ascii="Verdana" w:hAnsi="Verdana"/>
          <w:sz w:val="20"/>
          <w:szCs w:val="20"/>
          <w:lang w:val="en-US"/>
        </w:rPr>
        <w:t xml:space="preserve"> </w:t>
      </w:r>
      <w:r w:rsidRPr="00FE7BA7">
        <w:rPr>
          <w:rFonts w:ascii="Verdana" w:hAnsi="Verdana"/>
          <w:sz w:val="20"/>
          <w:szCs w:val="20"/>
          <w:lang w:val="en-US"/>
        </w:rPr>
        <w:t>did not respond to this request.</w:t>
      </w:r>
      <w:r w:rsidR="008A3876" w:rsidRPr="00FE7BA7">
        <w:rPr>
          <w:rStyle w:val="FootnoteReference"/>
          <w:szCs w:val="20"/>
          <w:lang w:val="en-US"/>
        </w:rPr>
        <w:footnoteReference w:id="312"/>
      </w:r>
      <w:r w:rsidRPr="00FE7BA7">
        <w:rPr>
          <w:rFonts w:ascii="Verdana" w:hAnsi="Verdana"/>
          <w:sz w:val="20"/>
          <w:szCs w:val="20"/>
          <w:lang w:val="en-US"/>
        </w:rPr>
        <w:t xml:space="preserve"> Nevertheless, </w:t>
      </w:r>
      <w:r w:rsidR="00FD14B3" w:rsidRPr="00FE7BA7">
        <w:rPr>
          <w:rFonts w:ascii="Verdana" w:hAnsi="Verdana"/>
          <w:sz w:val="20"/>
          <w:szCs w:val="20"/>
          <w:lang w:val="en-US"/>
        </w:rPr>
        <w:t xml:space="preserve">during </w:t>
      </w:r>
      <w:r w:rsidR="003F59F5" w:rsidRPr="00FE7BA7">
        <w:rPr>
          <w:rFonts w:ascii="Verdana" w:hAnsi="Verdana"/>
          <w:sz w:val="20"/>
          <w:szCs w:val="20"/>
          <w:lang w:val="en-US"/>
        </w:rPr>
        <w:t>the on-site procedure</w:t>
      </w:r>
      <w:r w:rsidR="003E05BA" w:rsidRPr="00FE7BA7">
        <w:rPr>
          <w:rFonts w:ascii="Verdana" w:hAnsi="Verdana"/>
          <w:sz w:val="20"/>
          <w:szCs w:val="20"/>
          <w:lang w:val="en-US"/>
        </w:rPr>
        <w:t xml:space="preserve">, </w:t>
      </w:r>
      <w:r w:rsidR="002B5CCD" w:rsidRPr="00FE7BA7">
        <w:rPr>
          <w:rFonts w:ascii="Verdana" w:hAnsi="Verdana"/>
          <w:sz w:val="20"/>
          <w:szCs w:val="20"/>
          <w:lang w:val="en-US"/>
        </w:rPr>
        <w:t>the State</w:t>
      </w:r>
      <w:r w:rsidR="003E05BA" w:rsidRPr="00FE7BA7">
        <w:rPr>
          <w:rFonts w:ascii="Verdana" w:hAnsi="Verdana"/>
          <w:sz w:val="20"/>
          <w:szCs w:val="20"/>
          <w:lang w:val="en-US"/>
        </w:rPr>
        <w:t xml:space="preserve"> </w:t>
      </w:r>
      <w:r w:rsidRPr="00FE7BA7">
        <w:rPr>
          <w:rFonts w:ascii="Verdana" w:hAnsi="Verdana"/>
          <w:sz w:val="20"/>
          <w:szCs w:val="20"/>
          <w:lang w:val="en-US"/>
        </w:rPr>
        <w:t xml:space="preserve">indicated that any Surinamese could access </w:t>
      </w:r>
      <w:r w:rsidR="00FE7BA7" w:rsidRPr="00FE7BA7">
        <w:rPr>
          <w:rFonts w:ascii="Verdana" w:hAnsi="Verdana"/>
          <w:sz w:val="20"/>
          <w:szCs w:val="20"/>
          <w:lang w:val="en-US"/>
        </w:rPr>
        <w:t>the public</w:t>
      </w:r>
      <w:r w:rsidRPr="00FE7BA7">
        <w:rPr>
          <w:rFonts w:ascii="Verdana" w:hAnsi="Verdana"/>
          <w:sz w:val="20"/>
          <w:szCs w:val="20"/>
          <w:lang w:val="en-US"/>
        </w:rPr>
        <w:t xml:space="preserve"> records and request this information</w:t>
      </w:r>
      <w:r w:rsidR="003E05BA" w:rsidRPr="00FE7BA7">
        <w:rPr>
          <w:rFonts w:ascii="Verdana" w:hAnsi="Verdana"/>
          <w:sz w:val="20"/>
          <w:szCs w:val="20"/>
          <w:lang w:val="en-US"/>
        </w:rPr>
        <w:t>.</w:t>
      </w:r>
    </w:p>
    <w:p w14:paraId="63126AB8" w14:textId="77777777" w:rsidR="00557E59" w:rsidRPr="00FE7BA7" w:rsidRDefault="004245CB" w:rsidP="00190AD3">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lastRenderedPageBreak/>
        <w:t xml:space="preserve">Similarly, this Court asked the State to provide the </w:t>
      </w:r>
      <w:r w:rsidR="00D818E8">
        <w:rPr>
          <w:rFonts w:ascii="Verdana" w:hAnsi="Verdana"/>
          <w:sz w:val="20"/>
          <w:szCs w:val="20"/>
          <w:lang w:val="en-US"/>
        </w:rPr>
        <w:t>freehold land</w:t>
      </w:r>
      <w:r w:rsidR="00D818E8" w:rsidRPr="00FE7BA7">
        <w:rPr>
          <w:rFonts w:ascii="Verdana" w:hAnsi="Verdana"/>
          <w:sz w:val="20"/>
          <w:szCs w:val="20"/>
          <w:lang w:val="en-US"/>
        </w:rPr>
        <w:t xml:space="preserve"> titles, and l</w:t>
      </w:r>
      <w:r w:rsidR="00D818E8">
        <w:rPr>
          <w:rFonts w:ascii="Verdana" w:hAnsi="Verdana"/>
          <w:sz w:val="20"/>
          <w:szCs w:val="20"/>
          <w:lang w:val="en-US"/>
        </w:rPr>
        <w:t xml:space="preserve">easehold titles and </w:t>
      </w:r>
      <w:r w:rsidRPr="00FE7BA7">
        <w:rPr>
          <w:rFonts w:ascii="Verdana" w:hAnsi="Verdana"/>
          <w:sz w:val="20"/>
          <w:szCs w:val="20"/>
          <w:lang w:val="en-US"/>
        </w:rPr>
        <w:t xml:space="preserve">long-term leases granted to indigenous and non-indigenous third parties, as well as information as to how many of </w:t>
      </w:r>
      <w:r w:rsidR="00FE7BA7" w:rsidRPr="00FE7BA7">
        <w:rPr>
          <w:rFonts w:ascii="Verdana" w:hAnsi="Verdana"/>
          <w:sz w:val="20"/>
          <w:szCs w:val="20"/>
          <w:lang w:val="en-US"/>
        </w:rPr>
        <w:t>these</w:t>
      </w:r>
      <w:r w:rsidRPr="00FE7BA7">
        <w:rPr>
          <w:rFonts w:ascii="Verdana" w:hAnsi="Verdana"/>
          <w:sz w:val="20"/>
          <w:szCs w:val="20"/>
          <w:lang w:val="en-US"/>
        </w:rPr>
        <w:t xml:space="preserve"> titles had been issued to non-indigenous third parties. This information was delivered on September 22, </w:t>
      </w:r>
      <w:r w:rsidR="008A3876" w:rsidRPr="00FE7BA7">
        <w:rPr>
          <w:rFonts w:ascii="Verdana" w:hAnsi="Verdana"/>
          <w:sz w:val="20"/>
          <w:szCs w:val="20"/>
          <w:lang w:val="en-US"/>
        </w:rPr>
        <w:t xml:space="preserve">2015, </w:t>
      </w:r>
      <w:r w:rsidRPr="00FE7BA7">
        <w:rPr>
          <w:rFonts w:ascii="Verdana" w:hAnsi="Verdana"/>
          <w:sz w:val="20"/>
          <w:szCs w:val="20"/>
          <w:lang w:val="en-US"/>
        </w:rPr>
        <w:t xml:space="preserve">but in Dutch </w:t>
      </w:r>
      <w:r w:rsidR="000D6E72" w:rsidRPr="00FE7BA7">
        <w:rPr>
          <w:rFonts w:ascii="Verdana" w:hAnsi="Verdana"/>
          <w:sz w:val="20"/>
          <w:szCs w:val="20"/>
          <w:lang w:val="en-US"/>
        </w:rPr>
        <w:t>(</w:t>
      </w:r>
      <w:r w:rsidR="000D6E72" w:rsidRPr="00FE7BA7">
        <w:rPr>
          <w:rFonts w:ascii="Verdana" w:hAnsi="Verdana"/>
          <w:i/>
          <w:sz w:val="20"/>
          <w:szCs w:val="20"/>
          <w:lang w:val="en-US"/>
        </w:rPr>
        <w:t>supra</w:t>
      </w:r>
      <w:r w:rsidR="000D6E72" w:rsidRPr="00FE7BA7">
        <w:rPr>
          <w:rFonts w:ascii="Verdana" w:hAnsi="Verdana"/>
          <w:sz w:val="20"/>
          <w:szCs w:val="20"/>
          <w:lang w:val="en-US"/>
        </w:rPr>
        <w:t xml:space="preserve"> </w:t>
      </w:r>
      <w:r w:rsidR="00810FAD" w:rsidRPr="00FE7BA7">
        <w:rPr>
          <w:rFonts w:ascii="Verdana" w:hAnsi="Verdana"/>
          <w:sz w:val="20"/>
          <w:szCs w:val="20"/>
          <w:lang w:val="en-US"/>
        </w:rPr>
        <w:t>para.</w:t>
      </w:r>
      <w:r w:rsidR="000D6E72" w:rsidRPr="00FE7BA7">
        <w:rPr>
          <w:rFonts w:ascii="Verdana" w:hAnsi="Verdana"/>
          <w:sz w:val="20"/>
          <w:szCs w:val="20"/>
          <w:lang w:val="en-US"/>
        </w:rPr>
        <w:t xml:space="preserve"> 27)</w:t>
      </w:r>
      <w:r w:rsidR="004B4DA0">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without explaining the information that had been sent, after it had been requested on three occasions </w:t>
      </w:r>
      <w:r w:rsidR="00086426" w:rsidRPr="00FE7BA7">
        <w:rPr>
          <w:rFonts w:ascii="Verdana" w:hAnsi="Verdana"/>
          <w:sz w:val="20"/>
          <w:szCs w:val="20"/>
          <w:lang w:val="en-US"/>
        </w:rPr>
        <w:t>(</w:t>
      </w:r>
      <w:r w:rsidR="00086426" w:rsidRPr="00FE7BA7">
        <w:rPr>
          <w:rFonts w:ascii="Verdana" w:hAnsi="Verdana"/>
          <w:i/>
          <w:sz w:val="20"/>
          <w:szCs w:val="20"/>
          <w:lang w:val="en-US"/>
        </w:rPr>
        <w:t>supra</w:t>
      </w:r>
      <w:r w:rsidR="00086426" w:rsidRPr="00FE7BA7">
        <w:rPr>
          <w:rFonts w:ascii="Verdana" w:hAnsi="Verdana"/>
          <w:sz w:val="20"/>
          <w:szCs w:val="20"/>
          <w:lang w:val="en-US"/>
        </w:rPr>
        <w:t xml:space="preserve"> </w:t>
      </w:r>
      <w:r w:rsidR="008F798A" w:rsidRPr="00FE7BA7">
        <w:rPr>
          <w:rFonts w:ascii="Verdana" w:hAnsi="Verdana"/>
          <w:sz w:val="20"/>
          <w:szCs w:val="20"/>
          <w:lang w:val="en-US"/>
        </w:rPr>
        <w:t>paras.</w:t>
      </w:r>
      <w:r w:rsidR="00086426" w:rsidRPr="00FE7BA7">
        <w:rPr>
          <w:rFonts w:ascii="Verdana" w:hAnsi="Verdana"/>
          <w:sz w:val="20"/>
          <w:szCs w:val="20"/>
          <w:lang w:val="en-US"/>
        </w:rPr>
        <w:t xml:space="preserve"> </w:t>
      </w:r>
      <w:r w:rsidR="00FA5D91" w:rsidRPr="00FE7BA7">
        <w:rPr>
          <w:rFonts w:ascii="Verdana" w:hAnsi="Verdana"/>
          <w:sz w:val="20"/>
          <w:szCs w:val="20"/>
          <w:lang w:val="en-US"/>
        </w:rPr>
        <w:t>12</w:t>
      </w:r>
      <w:r w:rsidR="002B5CCD" w:rsidRPr="00FE7BA7">
        <w:rPr>
          <w:rFonts w:ascii="Verdana" w:hAnsi="Verdana"/>
          <w:sz w:val="20"/>
          <w:szCs w:val="20"/>
          <w:lang w:val="en-US"/>
        </w:rPr>
        <w:t xml:space="preserve"> and </w:t>
      </w:r>
      <w:r w:rsidR="00FA5D91" w:rsidRPr="00FE7BA7">
        <w:rPr>
          <w:rFonts w:ascii="Verdana" w:hAnsi="Verdana"/>
          <w:sz w:val="20"/>
          <w:szCs w:val="20"/>
          <w:lang w:val="en-US"/>
        </w:rPr>
        <w:t>16</w:t>
      </w:r>
      <w:r w:rsidR="00086426" w:rsidRPr="00FE7BA7">
        <w:rPr>
          <w:rFonts w:ascii="Verdana" w:hAnsi="Verdana"/>
          <w:sz w:val="20"/>
          <w:szCs w:val="20"/>
          <w:lang w:val="en-US"/>
        </w:rPr>
        <w:t>)</w:t>
      </w:r>
      <w:r w:rsidR="00937062" w:rsidRPr="00FE7BA7">
        <w:rPr>
          <w:rFonts w:ascii="Verdana" w:hAnsi="Verdana"/>
          <w:sz w:val="20"/>
          <w:szCs w:val="20"/>
          <w:lang w:val="en-US"/>
        </w:rPr>
        <w:t>.</w:t>
      </w:r>
      <w:r w:rsidR="003E05BA" w:rsidRPr="00FE7BA7">
        <w:rPr>
          <w:rStyle w:val="FootnoteReference"/>
          <w:szCs w:val="20"/>
          <w:lang w:val="en-US"/>
        </w:rPr>
        <w:footnoteReference w:id="313"/>
      </w:r>
      <w:r w:rsidR="008A3876" w:rsidRPr="00FE7BA7">
        <w:rPr>
          <w:rFonts w:ascii="Verdana" w:hAnsi="Verdana"/>
          <w:sz w:val="20"/>
          <w:szCs w:val="20"/>
          <w:lang w:val="en-US"/>
        </w:rPr>
        <w:t xml:space="preserve"> </w:t>
      </w:r>
    </w:p>
    <w:p w14:paraId="63126AB9" w14:textId="77777777" w:rsidR="008A3876" w:rsidRPr="00FE7BA7" w:rsidRDefault="008A3876" w:rsidP="00557E59">
      <w:pPr>
        <w:pStyle w:val="ListParagraph"/>
        <w:ind w:left="0"/>
        <w:jc w:val="both"/>
        <w:rPr>
          <w:rFonts w:ascii="Verdana" w:hAnsi="Verdana"/>
          <w:sz w:val="20"/>
          <w:szCs w:val="20"/>
          <w:lang w:val="en-US"/>
        </w:rPr>
      </w:pPr>
    </w:p>
    <w:p w14:paraId="63126ABA" w14:textId="77777777" w:rsidR="00BE1078" w:rsidRPr="00FE7BA7" w:rsidRDefault="002B5CCD" w:rsidP="00937062">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The Court</w:t>
      </w:r>
      <w:r w:rsidR="008A3876" w:rsidRPr="00FE7BA7">
        <w:rPr>
          <w:rFonts w:ascii="Verdana" w:hAnsi="Verdana"/>
          <w:sz w:val="20"/>
          <w:szCs w:val="20"/>
          <w:lang w:val="en-US"/>
        </w:rPr>
        <w:t xml:space="preserve"> </w:t>
      </w:r>
      <w:r w:rsidR="00937062" w:rsidRPr="00FE7BA7">
        <w:rPr>
          <w:rFonts w:ascii="Verdana" w:hAnsi="Verdana"/>
          <w:sz w:val="20"/>
          <w:szCs w:val="20"/>
          <w:lang w:val="en-US"/>
        </w:rPr>
        <w:t xml:space="preserve">has received no specific information on the existence of a domestic law that establishes and regulates access to information in </w:t>
      </w:r>
      <w:r w:rsidR="00CD3DC6" w:rsidRPr="00FE7BA7">
        <w:rPr>
          <w:rFonts w:ascii="Verdana" w:hAnsi="Verdana"/>
          <w:sz w:val="20"/>
          <w:szCs w:val="20"/>
          <w:lang w:val="en-US"/>
        </w:rPr>
        <w:t>Suriname.</w:t>
      </w:r>
      <w:r w:rsidR="008A3876" w:rsidRPr="00FE7BA7">
        <w:rPr>
          <w:rFonts w:ascii="Verdana" w:hAnsi="Verdana"/>
          <w:sz w:val="20"/>
          <w:szCs w:val="20"/>
          <w:lang w:val="en-US"/>
        </w:rPr>
        <w:t xml:space="preserve"> </w:t>
      </w:r>
      <w:r w:rsidR="00937062" w:rsidRPr="00FE7BA7">
        <w:rPr>
          <w:rFonts w:ascii="Verdana" w:hAnsi="Verdana"/>
          <w:sz w:val="20"/>
          <w:szCs w:val="20"/>
          <w:lang w:val="en-US"/>
        </w:rPr>
        <w:t>However, it observes that the October 7, 2007, request for information on the existence of property titles in Pierrekondre was submitted under the protection of a</w:t>
      </w:r>
      <w:r w:rsidR="00773D70" w:rsidRPr="00FE7BA7">
        <w:rPr>
          <w:rFonts w:ascii="Verdana" w:hAnsi="Verdana"/>
          <w:sz w:val="20"/>
          <w:szCs w:val="20"/>
          <w:lang w:val="en-US"/>
        </w:rPr>
        <w:t>rticle</w:t>
      </w:r>
      <w:r w:rsidR="008A3876" w:rsidRPr="00FE7BA7">
        <w:rPr>
          <w:rFonts w:ascii="Verdana" w:hAnsi="Verdana"/>
          <w:sz w:val="20"/>
          <w:szCs w:val="20"/>
          <w:lang w:val="en-US"/>
        </w:rPr>
        <w:t xml:space="preserve"> 22 </w:t>
      </w:r>
      <w:r w:rsidR="004B4DA0">
        <w:rPr>
          <w:rFonts w:ascii="Verdana" w:hAnsi="Verdana"/>
          <w:sz w:val="20"/>
          <w:szCs w:val="20"/>
          <w:lang w:val="en-US"/>
        </w:rPr>
        <w:t>of the Suriname</w:t>
      </w:r>
      <w:r w:rsidR="00937062" w:rsidRPr="00FE7BA7">
        <w:rPr>
          <w:rFonts w:ascii="Verdana" w:hAnsi="Verdana"/>
          <w:sz w:val="20"/>
          <w:szCs w:val="20"/>
          <w:lang w:val="en-US"/>
        </w:rPr>
        <w:t xml:space="preserve"> Constitution, which permits anyone to present written petitions to the public authorities. As already mentioned, in its case law, the Court has indicated that the State has the obligation to provide the information requested or, if </w:t>
      </w:r>
      <w:r w:rsidR="004B4DA0">
        <w:rPr>
          <w:rFonts w:ascii="Verdana" w:hAnsi="Verdana"/>
          <w:sz w:val="20"/>
          <w:szCs w:val="20"/>
          <w:lang w:val="en-US"/>
        </w:rPr>
        <w:t>the request must be refused</w:t>
      </w:r>
      <w:r w:rsidR="00937062" w:rsidRPr="00FE7BA7">
        <w:rPr>
          <w:rFonts w:ascii="Verdana" w:hAnsi="Verdana"/>
          <w:sz w:val="20"/>
          <w:szCs w:val="20"/>
          <w:lang w:val="en-US"/>
        </w:rPr>
        <w:t>, it must set out the justification in its decision, so that the reasons and norms on which it based the decision not to provide the information may be known. Moreover</w:t>
      </w:r>
      <w:r w:rsidR="00BE1078" w:rsidRPr="00FE7BA7">
        <w:rPr>
          <w:rFonts w:ascii="Verdana" w:hAnsi="Verdana"/>
          <w:sz w:val="20"/>
          <w:lang w:val="en-US"/>
        </w:rPr>
        <w:t>,</w:t>
      </w:r>
      <w:r w:rsidR="00BE1078" w:rsidRPr="00FE7BA7">
        <w:rPr>
          <w:rFonts w:ascii="Verdana" w:hAnsi="Verdana"/>
          <w:sz w:val="20"/>
          <w:szCs w:val="20"/>
          <w:lang w:val="en-US"/>
        </w:rPr>
        <w:t xml:space="preserve"> </w:t>
      </w:r>
      <w:r w:rsidRPr="00FE7BA7">
        <w:rPr>
          <w:rFonts w:ascii="Verdana" w:hAnsi="Verdana"/>
          <w:sz w:val="20"/>
          <w:szCs w:val="20"/>
          <w:lang w:val="en-US"/>
        </w:rPr>
        <w:t>Article</w:t>
      </w:r>
      <w:r w:rsidR="008A3876" w:rsidRPr="00FE7BA7">
        <w:rPr>
          <w:rFonts w:ascii="Verdana" w:hAnsi="Verdana"/>
          <w:sz w:val="20"/>
          <w:szCs w:val="20"/>
          <w:lang w:val="en-US"/>
        </w:rPr>
        <w:t xml:space="preserve"> 24 </w:t>
      </w:r>
      <w:r w:rsidR="00937062" w:rsidRPr="00FE7BA7">
        <w:rPr>
          <w:rFonts w:ascii="Verdana" w:hAnsi="Verdana"/>
          <w:sz w:val="20"/>
          <w:szCs w:val="20"/>
          <w:lang w:val="en-US"/>
        </w:rPr>
        <w:t xml:space="preserve">of the American Declaration establishes, as part of the right of </w:t>
      </w:r>
      <w:r w:rsidR="00635ACD" w:rsidRPr="00FE7BA7">
        <w:rPr>
          <w:rFonts w:ascii="Verdana" w:hAnsi="Verdana"/>
          <w:sz w:val="20"/>
          <w:szCs w:val="20"/>
          <w:lang w:val="en-US"/>
        </w:rPr>
        <w:t>petition</w:t>
      </w:r>
      <w:r w:rsidR="00BE1078" w:rsidRPr="00FE7BA7">
        <w:rPr>
          <w:rFonts w:ascii="Verdana" w:hAnsi="Verdana"/>
          <w:sz w:val="20"/>
          <w:szCs w:val="20"/>
          <w:lang w:val="en-US"/>
        </w:rPr>
        <w:t>,</w:t>
      </w:r>
      <w:r w:rsidR="008A3876" w:rsidRPr="00FE7BA7">
        <w:rPr>
          <w:rFonts w:ascii="Verdana" w:hAnsi="Verdana"/>
          <w:sz w:val="20"/>
          <w:szCs w:val="20"/>
          <w:lang w:val="en-US"/>
        </w:rPr>
        <w:t xml:space="preserve"> </w:t>
      </w:r>
      <w:r w:rsidR="00937062" w:rsidRPr="00FE7BA7">
        <w:rPr>
          <w:rFonts w:ascii="Verdana" w:hAnsi="Verdana"/>
          <w:sz w:val="20"/>
          <w:szCs w:val="20"/>
          <w:lang w:val="en-US"/>
        </w:rPr>
        <w:t>the State’s obligation to issue a prompt decision</w:t>
      </w:r>
      <w:r w:rsidR="00B24890" w:rsidRPr="00FE7BA7">
        <w:rPr>
          <w:rFonts w:ascii="Verdana" w:hAnsi="Verdana"/>
          <w:sz w:val="20"/>
          <w:szCs w:val="20"/>
          <w:lang w:val="en-US"/>
        </w:rPr>
        <w:t xml:space="preserve"> (</w:t>
      </w:r>
      <w:r w:rsidR="00366D91" w:rsidRPr="00FE7BA7">
        <w:rPr>
          <w:rFonts w:ascii="Verdana" w:hAnsi="Verdana"/>
          <w:i/>
          <w:sz w:val="20"/>
          <w:szCs w:val="20"/>
          <w:lang w:val="en-US"/>
        </w:rPr>
        <w:t>supra</w:t>
      </w:r>
      <w:r w:rsidR="00B24890" w:rsidRPr="00FE7BA7">
        <w:rPr>
          <w:rFonts w:ascii="Verdana" w:hAnsi="Verdana"/>
          <w:sz w:val="20"/>
          <w:szCs w:val="20"/>
          <w:lang w:val="en-US"/>
        </w:rPr>
        <w:t xml:space="preserve"> </w:t>
      </w:r>
      <w:r w:rsidR="00810FAD" w:rsidRPr="00FE7BA7">
        <w:rPr>
          <w:rFonts w:ascii="Verdana" w:hAnsi="Verdana"/>
          <w:sz w:val="20"/>
          <w:szCs w:val="20"/>
          <w:lang w:val="en-US"/>
        </w:rPr>
        <w:t>para.</w:t>
      </w:r>
      <w:r w:rsidR="00B24890" w:rsidRPr="00FE7BA7">
        <w:rPr>
          <w:rFonts w:ascii="Verdana" w:hAnsi="Verdana"/>
          <w:sz w:val="20"/>
          <w:szCs w:val="20"/>
          <w:lang w:val="en-US"/>
        </w:rPr>
        <w:t xml:space="preserve"> </w:t>
      </w:r>
      <w:r w:rsidR="00FF2FAC" w:rsidRPr="00FE7BA7">
        <w:rPr>
          <w:rFonts w:ascii="Verdana" w:hAnsi="Verdana"/>
          <w:sz w:val="20"/>
          <w:szCs w:val="20"/>
          <w:lang w:val="en-US"/>
        </w:rPr>
        <w:t>246</w:t>
      </w:r>
      <w:r w:rsidR="00B24890" w:rsidRPr="00FE7BA7">
        <w:rPr>
          <w:rFonts w:ascii="Verdana" w:hAnsi="Verdana"/>
          <w:sz w:val="20"/>
          <w:szCs w:val="20"/>
          <w:lang w:val="en-US"/>
        </w:rPr>
        <w:t xml:space="preserve">). </w:t>
      </w:r>
    </w:p>
    <w:p w14:paraId="63126ABB" w14:textId="77777777" w:rsidR="000C251D" w:rsidRPr="00FE7BA7" w:rsidRDefault="000C251D" w:rsidP="009E77BD">
      <w:pPr>
        <w:pStyle w:val="ListParagraph"/>
        <w:ind w:left="0"/>
        <w:jc w:val="both"/>
        <w:rPr>
          <w:rFonts w:ascii="Verdana" w:hAnsi="Verdana"/>
          <w:sz w:val="20"/>
          <w:szCs w:val="20"/>
          <w:lang w:val="en-US"/>
        </w:rPr>
      </w:pPr>
    </w:p>
    <w:p w14:paraId="63126ABC" w14:textId="77777777" w:rsidR="008A3876" w:rsidRPr="00FE7BA7" w:rsidRDefault="00937062" w:rsidP="00937062">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In this regard, the </w:t>
      </w:r>
      <w:r w:rsidR="004B4DA0">
        <w:rPr>
          <w:rFonts w:ascii="Verdana" w:hAnsi="Verdana"/>
          <w:sz w:val="20"/>
          <w:szCs w:val="20"/>
          <w:lang w:val="en-US"/>
        </w:rPr>
        <w:t xml:space="preserve">Court underlines the fact that </w:t>
      </w:r>
      <w:r w:rsidRPr="00FE7BA7">
        <w:rPr>
          <w:rFonts w:ascii="Verdana" w:hAnsi="Verdana"/>
          <w:sz w:val="20"/>
          <w:szCs w:val="20"/>
          <w:lang w:val="en-US"/>
        </w:rPr>
        <w:t>the State failed to respond</w:t>
      </w:r>
      <w:r w:rsidR="004B4DA0">
        <w:rPr>
          <w:rFonts w:ascii="Verdana" w:hAnsi="Verdana"/>
          <w:sz w:val="20"/>
          <w:szCs w:val="20"/>
          <w:lang w:val="en-US"/>
        </w:rPr>
        <w:t xml:space="preserve"> to this petition</w:t>
      </w:r>
      <w:r w:rsidRPr="00FE7BA7">
        <w:rPr>
          <w:rFonts w:ascii="Verdana" w:hAnsi="Verdana"/>
          <w:sz w:val="20"/>
          <w:szCs w:val="20"/>
          <w:lang w:val="en-US"/>
        </w:rPr>
        <w:t xml:space="preserve"> justifying its decision not to provide the said documentation. In addition, the Court has already </w:t>
      </w:r>
      <w:r w:rsidR="00FE7BA7" w:rsidRPr="00FE7BA7">
        <w:rPr>
          <w:rFonts w:ascii="Verdana" w:hAnsi="Verdana"/>
          <w:sz w:val="20"/>
          <w:szCs w:val="20"/>
          <w:lang w:val="en-US"/>
        </w:rPr>
        <w:t>established</w:t>
      </w:r>
      <w:r w:rsidRPr="00FE7BA7">
        <w:rPr>
          <w:rFonts w:ascii="Verdana" w:hAnsi="Verdana"/>
          <w:sz w:val="20"/>
          <w:szCs w:val="20"/>
          <w:lang w:val="en-US"/>
        </w:rPr>
        <w:t xml:space="preserve"> on previous occasions that the failure to provide a response enables the State to decide in a discretionary or arbitrary manner whether or not to facilitate certain information, which results in legal uncertainty </w:t>
      </w:r>
      <w:r w:rsidR="004B4DA0">
        <w:rPr>
          <w:rFonts w:ascii="Verdana" w:hAnsi="Verdana"/>
          <w:sz w:val="20"/>
          <w:szCs w:val="20"/>
          <w:lang w:val="en-US"/>
        </w:rPr>
        <w:t xml:space="preserve">in relation to </w:t>
      </w:r>
      <w:r w:rsidRPr="00FE7BA7">
        <w:rPr>
          <w:rFonts w:ascii="Verdana" w:hAnsi="Verdana"/>
          <w:sz w:val="20"/>
          <w:szCs w:val="20"/>
          <w:lang w:val="en-US"/>
        </w:rPr>
        <w:t>the exercise of the right in question.</w:t>
      </w:r>
      <w:r w:rsidR="008A3876" w:rsidRPr="00FE7BA7">
        <w:rPr>
          <w:rStyle w:val="FootnoteReference"/>
          <w:szCs w:val="20"/>
          <w:lang w:val="en-US"/>
        </w:rPr>
        <w:footnoteReference w:id="314"/>
      </w:r>
    </w:p>
    <w:p w14:paraId="63126ABD" w14:textId="77777777" w:rsidR="00CC293F" w:rsidRPr="00FE7BA7" w:rsidRDefault="00CC293F" w:rsidP="00366D91">
      <w:pPr>
        <w:pStyle w:val="ListParagraph"/>
        <w:rPr>
          <w:rFonts w:ascii="Verdana" w:hAnsi="Verdana"/>
          <w:sz w:val="20"/>
          <w:szCs w:val="20"/>
          <w:lang w:val="en-US"/>
        </w:rPr>
      </w:pPr>
    </w:p>
    <w:p w14:paraId="63126ABE" w14:textId="77777777" w:rsidR="00937062" w:rsidRPr="00FE7BA7" w:rsidRDefault="00937062" w:rsidP="00366D91">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Furthermore, the Court considers that the information requested was important documentation to provide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086426" w:rsidRPr="00FE7BA7">
        <w:rPr>
          <w:rFonts w:ascii="Verdana" w:hAnsi="Verdana"/>
          <w:b/>
          <w:sz w:val="20"/>
          <w:szCs w:val="20"/>
          <w:lang w:val="en-US"/>
        </w:rPr>
        <w:t xml:space="preserve"> </w:t>
      </w:r>
      <w:r w:rsidRPr="00FE7BA7">
        <w:rPr>
          <w:rFonts w:ascii="Verdana" w:hAnsi="Verdana"/>
          <w:sz w:val="20"/>
          <w:szCs w:val="20"/>
          <w:lang w:val="en-US"/>
        </w:rPr>
        <w:t>with precise facts on how many individuals from outside their communities were in the area</w:t>
      </w:r>
      <w:r w:rsidR="004B4DA0">
        <w:rPr>
          <w:rFonts w:ascii="Verdana" w:hAnsi="Verdana"/>
          <w:sz w:val="20"/>
          <w:szCs w:val="20"/>
          <w:lang w:val="en-US"/>
        </w:rPr>
        <w:t>, and the legal situation of the land ownership. Thus, the</w:t>
      </w:r>
      <w:r w:rsidRPr="00FE7BA7">
        <w:rPr>
          <w:rFonts w:ascii="Verdana" w:hAnsi="Verdana"/>
          <w:sz w:val="20"/>
          <w:szCs w:val="20"/>
          <w:lang w:val="en-US"/>
        </w:rPr>
        <w:t xml:space="preserve"> information could have provided them with additional evidence </w:t>
      </w:r>
      <w:r w:rsidR="004B4DA0">
        <w:rPr>
          <w:rFonts w:ascii="Verdana" w:hAnsi="Verdana"/>
          <w:sz w:val="20"/>
          <w:szCs w:val="20"/>
          <w:lang w:val="en-US"/>
        </w:rPr>
        <w:t xml:space="preserve">when filing their claims in the </w:t>
      </w:r>
      <w:r w:rsidRPr="00FE7BA7">
        <w:rPr>
          <w:rFonts w:ascii="Verdana" w:hAnsi="Verdana"/>
          <w:sz w:val="20"/>
          <w:szCs w:val="20"/>
          <w:lang w:val="en-US"/>
        </w:rPr>
        <w:t>domestic jurisdiction. Consequently, the Court finds that the failure to</w:t>
      </w:r>
      <w:r w:rsidR="004B4DA0">
        <w:rPr>
          <w:rFonts w:ascii="Verdana" w:hAnsi="Verdana"/>
          <w:sz w:val="20"/>
          <w:szCs w:val="20"/>
          <w:lang w:val="en-US"/>
        </w:rPr>
        <w:t xml:space="preserve"> hand over information in </w:t>
      </w:r>
      <w:r w:rsidRPr="00FE7BA7">
        <w:rPr>
          <w:rFonts w:ascii="Verdana" w:hAnsi="Verdana"/>
          <w:sz w:val="20"/>
          <w:szCs w:val="20"/>
          <w:lang w:val="en-US"/>
        </w:rPr>
        <w:t>Suriname</w:t>
      </w:r>
      <w:r w:rsidR="004B4DA0">
        <w:rPr>
          <w:rFonts w:ascii="Verdana" w:hAnsi="Verdana"/>
          <w:sz w:val="20"/>
          <w:szCs w:val="20"/>
          <w:lang w:val="en-US"/>
        </w:rPr>
        <w:t>’s public records</w:t>
      </w:r>
      <w:r w:rsidRPr="00FE7BA7">
        <w:rPr>
          <w:rFonts w:ascii="Verdana" w:hAnsi="Verdana"/>
          <w:sz w:val="20"/>
          <w:szCs w:val="20"/>
          <w:lang w:val="en-US"/>
        </w:rPr>
        <w:t xml:space="preserve">, and the failure to justify the refusal to provide </w:t>
      </w:r>
      <w:r w:rsidR="004B4DA0">
        <w:rPr>
          <w:rFonts w:ascii="Verdana" w:hAnsi="Verdana"/>
          <w:sz w:val="20"/>
          <w:szCs w:val="20"/>
          <w:lang w:val="en-US"/>
        </w:rPr>
        <w:t>it</w:t>
      </w:r>
      <w:r w:rsidRPr="00FE7BA7">
        <w:rPr>
          <w:rFonts w:ascii="Verdana" w:hAnsi="Verdana"/>
          <w:sz w:val="20"/>
          <w:szCs w:val="20"/>
          <w:lang w:val="en-US"/>
        </w:rPr>
        <w:t xml:space="preserve">, placed these peoples at a disadvantage and </w:t>
      </w:r>
      <w:r w:rsidR="004B4DA0">
        <w:rPr>
          <w:rFonts w:ascii="Verdana" w:hAnsi="Verdana"/>
          <w:sz w:val="20"/>
          <w:szCs w:val="20"/>
          <w:lang w:val="en-US"/>
        </w:rPr>
        <w:t>in ignorance</w:t>
      </w:r>
      <w:r w:rsidRPr="00FE7BA7">
        <w:rPr>
          <w:rFonts w:ascii="Verdana" w:hAnsi="Verdana"/>
          <w:sz w:val="20"/>
          <w:szCs w:val="20"/>
          <w:lang w:val="en-US"/>
        </w:rPr>
        <w:t xml:space="preserve"> in relation to the third parties who alleged that they held title to part of the lands. Hence, the State failed to ensure, under the right of petition, access to information and to justice.</w:t>
      </w:r>
    </w:p>
    <w:p w14:paraId="63126ABF" w14:textId="77777777" w:rsidR="008A3876" w:rsidRPr="00FE7BA7" w:rsidRDefault="008A3876" w:rsidP="008A3876">
      <w:pPr>
        <w:pStyle w:val="ListParagraph"/>
        <w:ind w:left="0"/>
        <w:jc w:val="both"/>
        <w:rPr>
          <w:rFonts w:ascii="Verdana" w:hAnsi="Verdana"/>
          <w:strike/>
          <w:sz w:val="20"/>
          <w:szCs w:val="20"/>
          <w:lang w:val="en-US"/>
        </w:rPr>
      </w:pPr>
    </w:p>
    <w:p w14:paraId="63126AC0" w14:textId="77777777" w:rsidR="008A3876" w:rsidRPr="00FE7BA7" w:rsidRDefault="00937062" w:rsidP="008A3876">
      <w:pPr>
        <w:pStyle w:val="Heading2"/>
        <w:numPr>
          <w:ilvl w:val="0"/>
          <w:numId w:val="34"/>
        </w:numPr>
        <w:spacing w:before="0"/>
        <w:jc w:val="both"/>
        <w:rPr>
          <w:rFonts w:ascii="Verdana" w:hAnsi="Verdana"/>
          <w:bCs w:val="0"/>
          <w:i/>
          <w:color w:val="auto"/>
          <w:sz w:val="20"/>
          <w:szCs w:val="20"/>
          <w:lang w:val="en-US"/>
        </w:rPr>
      </w:pPr>
      <w:bookmarkStart w:id="66" w:name="_Toc441673224"/>
      <w:r w:rsidRPr="00FE7BA7">
        <w:rPr>
          <w:rFonts w:ascii="Verdana" w:hAnsi="Verdana"/>
          <w:bCs w:val="0"/>
          <w:i/>
          <w:color w:val="auto"/>
          <w:sz w:val="20"/>
          <w:szCs w:val="20"/>
          <w:lang w:val="en-US"/>
        </w:rPr>
        <w:t>Conclusio</w:t>
      </w:r>
      <w:r w:rsidR="008A3876" w:rsidRPr="00FE7BA7">
        <w:rPr>
          <w:rFonts w:ascii="Verdana" w:hAnsi="Verdana"/>
          <w:bCs w:val="0"/>
          <w:i/>
          <w:color w:val="auto"/>
          <w:sz w:val="20"/>
          <w:szCs w:val="20"/>
          <w:lang w:val="en-US"/>
        </w:rPr>
        <w:t>n</w:t>
      </w:r>
      <w:bookmarkEnd w:id="66"/>
    </w:p>
    <w:p w14:paraId="63126AC1" w14:textId="77777777" w:rsidR="008A3876" w:rsidRPr="00FE7BA7" w:rsidRDefault="008A3876" w:rsidP="008A3876">
      <w:pPr>
        <w:jc w:val="both"/>
        <w:rPr>
          <w:rFonts w:ascii="Verdana" w:hAnsi="Verdana"/>
          <w:b/>
          <w:sz w:val="20"/>
          <w:szCs w:val="20"/>
          <w:lang w:val="en-US"/>
        </w:rPr>
      </w:pPr>
    </w:p>
    <w:p w14:paraId="63126AC2" w14:textId="77777777" w:rsidR="00B24890" w:rsidRPr="00FE7BA7" w:rsidRDefault="00937062" w:rsidP="00B24890">
      <w:pPr>
        <w:pStyle w:val="ListParagraph"/>
        <w:numPr>
          <w:ilvl w:val="0"/>
          <w:numId w:val="2"/>
        </w:numPr>
        <w:ind w:left="0" w:hanging="11"/>
        <w:jc w:val="both"/>
        <w:rPr>
          <w:rFonts w:ascii="Verdana" w:hAnsi="Verdana"/>
          <w:sz w:val="20"/>
          <w:szCs w:val="20"/>
          <w:lang w:val="en-US"/>
        </w:rPr>
      </w:pPr>
      <w:r w:rsidRPr="00FE7BA7">
        <w:rPr>
          <w:rFonts w:ascii="Verdana" w:hAnsi="Verdana"/>
          <w:sz w:val="20"/>
          <w:szCs w:val="20"/>
          <w:lang w:val="en-US"/>
        </w:rPr>
        <w:t xml:space="preserve">Based on the foregoing, the Court concludes that the above-mentioned domestic provisions do not provide appropriate and effective legal remedies </w:t>
      </w:r>
      <w:r w:rsidRPr="00FE7BA7">
        <w:rPr>
          <w:rFonts w:ascii="Verdana" w:hAnsi="Verdana"/>
          <w:sz w:val="20"/>
          <w:lang w:val="en-US"/>
        </w:rPr>
        <w:t xml:space="preserve">to protect the </w:t>
      </w:r>
      <w:r w:rsidR="00DA4B96" w:rsidRPr="00FE7BA7">
        <w:rPr>
          <w:rFonts w:ascii="Verdana" w:hAnsi="Verdana"/>
          <w:sz w:val="20"/>
          <w:lang w:val="en-US"/>
        </w:rPr>
        <w:t>members</w:t>
      </w:r>
      <w:r w:rsidR="00635ACD" w:rsidRPr="00FE7BA7">
        <w:rPr>
          <w:rFonts w:ascii="Verdana" w:hAnsi="Verdana"/>
          <w:sz w:val="20"/>
          <w:lang w:val="en-US"/>
        </w:rPr>
        <w:t xml:space="preserve"> of the </w:t>
      </w:r>
      <w:r w:rsidR="004C7D14" w:rsidRPr="00FE7BA7">
        <w:rPr>
          <w:rFonts w:ascii="Verdana" w:hAnsi="Verdana"/>
          <w:sz w:val="20"/>
          <w:lang w:val="en-US"/>
        </w:rPr>
        <w:t>Kaliña and Lokono peoples</w:t>
      </w:r>
      <w:r w:rsidR="00B24890" w:rsidRPr="00FE7BA7">
        <w:rPr>
          <w:rFonts w:ascii="Verdana" w:hAnsi="Verdana"/>
          <w:sz w:val="20"/>
          <w:lang w:val="en-US"/>
        </w:rPr>
        <w:t xml:space="preserve"> </w:t>
      </w:r>
      <w:r w:rsidRPr="00FE7BA7">
        <w:rPr>
          <w:rFonts w:ascii="Verdana" w:hAnsi="Verdana"/>
          <w:sz w:val="20"/>
          <w:lang w:val="en-US"/>
        </w:rPr>
        <w:t xml:space="preserve">against acts that violate their right to property; the judicial proceedings and petitions that were filed were not effective in this regard, and the State did not provide the information requested by </w:t>
      </w:r>
      <w:r w:rsidR="00810FAD" w:rsidRPr="00FE7BA7">
        <w:rPr>
          <w:rFonts w:ascii="Verdana" w:hAnsi="Verdana"/>
          <w:sz w:val="20"/>
          <w:lang w:val="en-US"/>
        </w:rPr>
        <w:t>the representatives</w:t>
      </w:r>
      <w:r w:rsidR="00B24890" w:rsidRPr="00FE7BA7">
        <w:rPr>
          <w:rFonts w:ascii="Verdana" w:hAnsi="Verdana"/>
          <w:sz w:val="20"/>
          <w:lang w:val="en-US"/>
        </w:rPr>
        <w:t xml:space="preserve"> </w:t>
      </w:r>
      <w:r w:rsidRPr="00FE7BA7">
        <w:rPr>
          <w:rFonts w:ascii="Verdana" w:hAnsi="Verdana"/>
          <w:sz w:val="20"/>
          <w:lang w:val="en-US"/>
        </w:rPr>
        <w:t xml:space="preserve">or justify the impossibility of handing it over. Consequently, the </w:t>
      </w:r>
      <w:r w:rsidR="002B5CCD" w:rsidRPr="00FE7BA7">
        <w:rPr>
          <w:rFonts w:ascii="Verdana" w:hAnsi="Verdana"/>
          <w:sz w:val="20"/>
          <w:lang w:val="en-US"/>
        </w:rPr>
        <w:t>State</w:t>
      </w:r>
      <w:r w:rsidR="00AF6319" w:rsidRPr="00FE7BA7">
        <w:rPr>
          <w:rFonts w:ascii="Verdana" w:hAnsi="Verdana"/>
          <w:sz w:val="20"/>
          <w:lang w:val="en-US"/>
        </w:rPr>
        <w:t xml:space="preserve"> </w:t>
      </w:r>
      <w:r w:rsidR="000739A7" w:rsidRPr="00FE7BA7">
        <w:rPr>
          <w:rFonts w:ascii="Verdana" w:hAnsi="Verdana"/>
          <w:sz w:val="20"/>
          <w:lang w:val="en-US"/>
        </w:rPr>
        <w:t>is responsible for the violation of the right</w:t>
      </w:r>
      <w:r w:rsidRPr="00FE7BA7">
        <w:rPr>
          <w:rFonts w:ascii="Verdana" w:hAnsi="Verdana"/>
          <w:sz w:val="20"/>
          <w:szCs w:val="20"/>
          <w:lang w:val="en-US"/>
        </w:rPr>
        <w:t xml:space="preserve"> to</w:t>
      </w:r>
      <w:r w:rsidR="00AF6319" w:rsidRPr="00FE7BA7">
        <w:rPr>
          <w:rFonts w:ascii="Verdana" w:hAnsi="Verdana"/>
          <w:sz w:val="20"/>
          <w:szCs w:val="20"/>
          <w:lang w:val="en-US"/>
        </w:rPr>
        <w:t xml:space="preserve"> </w:t>
      </w:r>
      <w:r w:rsidR="00B257B6" w:rsidRPr="00FE7BA7">
        <w:rPr>
          <w:rFonts w:ascii="Verdana" w:hAnsi="Verdana"/>
          <w:sz w:val="20"/>
          <w:szCs w:val="20"/>
          <w:lang w:val="en-US"/>
        </w:rPr>
        <w:t>judicial protection</w:t>
      </w:r>
      <w:r w:rsidRPr="00FE7BA7">
        <w:rPr>
          <w:rFonts w:ascii="Verdana" w:hAnsi="Verdana"/>
          <w:sz w:val="20"/>
          <w:szCs w:val="20"/>
          <w:lang w:val="en-US"/>
        </w:rPr>
        <w:t xml:space="preserve"> </w:t>
      </w:r>
      <w:r w:rsidRPr="00FE7BA7">
        <w:rPr>
          <w:rFonts w:ascii="Verdana" w:hAnsi="Verdana"/>
          <w:sz w:val="20"/>
          <w:szCs w:val="20"/>
          <w:lang w:val="en-US"/>
        </w:rPr>
        <w:lastRenderedPageBreak/>
        <w:t>established in</w:t>
      </w:r>
      <w:r w:rsidR="00AF6319" w:rsidRPr="00FE7BA7">
        <w:rPr>
          <w:rFonts w:ascii="Verdana" w:hAnsi="Verdana"/>
          <w:sz w:val="20"/>
          <w:szCs w:val="20"/>
          <w:lang w:val="en-US"/>
        </w:rPr>
        <w:t xml:space="preserve"> </w:t>
      </w:r>
      <w:r w:rsidR="002B5CCD" w:rsidRPr="00FE7BA7">
        <w:rPr>
          <w:rFonts w:ascii="Verdana" w:hAnsi="Verdana"/>
          <w:sz w:val="20"/>
          <w:szCs w:val="20"/>
          <w:lang w:val="en-US"/>
        </w:rPr>
        <w:t>Article</w:t>
      </w:r>
      <w:r w:rsidR="00AF6319" w:rsidRPr="00FE7BA7">
        <w:rPr>
          <w:rFonts w:ascii="Verdana" w:hAnsi="Verdana"/>
          <w:sz w:val="20"/>
          <w:szCs w:val="20"/>
          <w:lang w:val="en-US"/>
        </w:rPr>
        <w:t xml:space="preserve"> 25</w:t>
      </w:r>
      <w:r w:rsidR="002B5CCD" w:rsidRPr="00FE7BA7">
        <w:rPr>
          <w:rFonts w:ascii="Verdana" w:hAnsi="Verdana"/>
          <w:sz w:val="20"/>
          <w:szCs w:val="20"/>
          <w:lang w:val="en-US"/>
        </w:rPr>
        <w:t xml:space="preserve"> of the American Convention</w:t>
      </w:r>
      <w:r w:rsidR="00AF6319" w:rsidRPr="00FE7BA7">
        <w:rPr>
          <w:rFonts w:ascii="Verdana" w:hAnsi="Verdana"/>
          <w:sz w:val="20"/>
          <w:szCs w:val="20"/>
          <w:lang w:val="en-US"/>
        </w:rPr>
        <w:t xml:space="preserve">, </w:t>
      </w:r>
      <w:r w:rsidR="00773D70" w:rsidRPr="00FE7BA7">
        <w:rPr>
          <w:rFonts w:ascii="Verdana" w:hAnsi="Verdana"/>
          <w:sz w:val="20"/>
          <w:szCs w:val="20"/>
          <w:lang w:val="en-US"/>
        </w:rPr>
        <w:t>in relation to Articles 1(1)</w:t>
      </w:r>
      <w:r w:rsidR="000E3E7F" w:rsidRPr="00FE7BA7">
        <w:rPr>
          <w:rFonts w:ascii="Verdana" w:hAnsi="Verdana"/>
          <w:sz w:val="20"/>
          <w:szCs w:val="20"/>
          <w:lang w:val="en-US"/>
        </w:rPr>
        <w:t xml:space="preserve">, </w:t>
      </w:r>
      <w:r w:rsidR="00AF6319" w:rsidRPr="00FE7BA7">
        <w:rPr>
          <w:rFonts w:ascii="Verdana" w:hAnsi="Verdana"/>
          <w:sz w:val="20"/>
          <w:szCs w:val="20"/>
          <w:lang w:val="en-US"/>
        </w:rPr>
        <w:t>2</w:t>
      </w:r>
      <w:r w:rsidR="002B5CCD" w:rsidRPr="00FE7BA7">
        <w:rPr>
          <w:rFonts w:ascii="Verdana" w:hAnsi="Verdana"/>
          <w:sz w:val="20"/>
          <w:szCs w:val="20"/>
          <w:lang w:val="en-US"/>
        </w:rPr>
        <w:t xml:space="preserve"> and </w:t>
      </w:r>
      <w:r w:rsidR="00AF6319" w:rsidRPr="00FE7BA7">
        <w:rPr>
          <w:rFonts w:ascii="Verdana" w:hAnsi="Verdana"/>
          <w:sz w:val="20"/>
          <w:szCs w:val="20"/>
          <w:lang w:val="en-US"/>
        </w:rPr>
        <w:t xml:space="preserve">13 </w:t>
      </w:r>
      <w:r w:rsidR="00644BD7" w:rsidRPr="00FE7BA7">
        <w:rPr>
          <w:rFonts w:ascii="Verdana" w:hAnsi="Verdana"/>
          <w:sz w:val="20"/>
          <w:szCs w:val="20"/>
          <w:lang w:val="en-US"/>
        </w:rPr>
        <w:t>of this instrument</w:t>
      </w:r>
      <w:r w:rsidR="00AF6319" w:rsidRPr="00FE7BA7">
        <w:rPr>
          <w:rFonts w:ascii="Verdana" w:hAnsi="Verdana"/>
          <w:sz w:val="20"/>
          <w:szCs w:val="20"/>
          <w:lang w:val="en-US"/>
        </w:rPr>
        <w:t>.</w:t>
      </w:r>
    </w:p>
    <w:p w14:paraId="63126AC3" w14:textId="77777777" w:rsidR="008A3876" w:rsidRPr="00FE7BA7" w:rsidRDefault="008A3876" w:rsidP="00AF6319">
      <w:pPr>
        <w:pStyle w:val="ListParagraph"/>
        <w:ind w:left="0"/>
        <w:jc w:val="both"/>
        <w:rPr>
          <w:rFonts w:ascii="Verdana" w:hAnsi="Verdana"/>
          <w:sz w:val="20"/>
          <w:lang w:val="en-US"/>
        </w:rPr>
      </w:pPr>
    </w:p>
    <w:p w14:paraId="63126AC4" w14:textId="77777777" w:rsidR="00A91B78" w:rsidRPr="00FE7BA7" w:rsidRDefault="006B4713" w:rsidP="00A91B78">
      <w:pPr>
        <w:keepNext/>
        <w:keepLines/>
        <w:tabs>
          <w:tab w:val="left" w:pos="851"/>
        </w:tabs>
        <w:jc w:val="center"/>
        <w:outlineLvl w:val="0"/>
        <w:rPr>
          <w:rFonts w:ascii="Verdana" w:eastAsia="Times New Roman" w:hAnsi="Verdana" w:cs="Verdana"/>
          <w:b/>
          <w:bCs/>
          <w:caps/>
          <w:snapToGrid w:val="0"/>
          <w:sz w:val="20"/>
          <w:szCs w:val="20"/>
          <w:lang w:val="en-US"/>
        </w:rPr>
      </w:pPr>
      <w:bookmarkStart w:id="67" w:name="_Toc410112261"/>
      <w:bookmarkStart w:id="68" w:name="_Toc432072831"/>
      <w:bookmarkStart w:id="69" w:name="_Toc441673225"/>
      <w:r w:rsidRPr="00FE7BA7">
        <w:rPr>
          <w:rFonts w:ascii="Verdana" w:eastAsia="Times New Roman" w:hAnsi="Verdana" w:cs="Verdana"/>
          <w:b/>
          <w:bCs/>
          <w:caps/>
          <w:snapToGrid w:val="0"/>
          <w:sz w:val="20"/>
          <w:szCs w:val="20"/>
          <w:lang w:val="en-US"/>
        </w:rPr>
        <w:t>VII</w:t>
      </w:r>
      <w:r w:rsidR="00A91B78" w:rsidRPr="00FE7BA7">
        <w:rPr>
          <w:rFonts w:ascii="Verdana" w:eastAsia="Times New Roman" w:hAnsi="Verdana" w:cs="Verdana"/>
          <w:b/>
          <w:bCs/>
          <w:caps/>
          <w:snapToGrid w:val="0"/>
          <w:sz w:val="20"/>
          <w:szCs w:val="20"/>
          <w:lang w:val="en-US"/>
        </w:rPr>
        <w:br/>
      </w:r>
      <w:r w:rsidR="00C34C52" w:rsidRPr="00FE7BA7">
        <w:rPr>
          <w:rFonts w:ascii="Verdana" w:eastAsia="Times New Roman" w:hAnsi="Verdana" w:cs="Verdana"/>
          <w:b/>
          <w:bCs/>
          <w:caps/>
          <w:snapToGrid w:val="0"/>
          <w:sz w:val="20"/>
          <w:szCs w:val="20"/>
          <w:lang w:val="en-US"/>
        </w:rPr>
        <w:t>REPARATIONS</w:t>
      </w:r>
      <w:bookmarkEnd w:id="67"/>
      <w:bookmarkEnd w:id="68"/>
      <w:bookmarkEnd w:id="69"/>
    </w:p>
    <w:p w14:paraId="63126AC5" w14:textId="77777777" w:rsidR="00A91B78" w:rsidRPr="00FE7BA7" w:rsidRDefault="00A91B78" w:rsidP="00A91B78">
      <w:pPr>
        <w:keepNext/>
        <w:keepLines/>
        <w:tabs>
          <w:tab w:val="left" w:pos="851"/>
        </w:tabs>
        <w:jc w:val="center"/>
        <w:outlineLvl w:val="0"/>
        <w:rPr>
          <w:rFonts w:ascii="Verdana" w:eastAsia="Times New Roman" w:hAnsi="Verdana" w:cs="Verdana"/>
          <w:b/>
          <w:bCs/>
          <w:caps/>
          <w:snapToGrid w:val="0"/>
          <w:sz w:val="20"/>
          <w:szCs w:val="20"/>
          <w:lang w:val="en-US"/>
        </w:rPr>
      </w:pPr>
      <w:bookmarkStart w:id="70" w:name="_Toc414885402"/>
      <w:bookmarkStart w:id="71" w:name="_Toc421543138"/>
      <w:bookmarkStart w:id="72" w:name="_Toc421868237"/>
      <w:bookmarkStart w:id="73" w:name="_Toc423347861"/>
      <w:bookmarkStart w:id="74" w:name="_Toc429724493"/>
      <w:bookmarkStart w:id="75" w:name="_Toc430787606"/>
      <w:bookmarkStart w:id="76" w:name="_Toc432072832"/>
      <w:bookmarkStart w:id="77" w:name="_Toc433396455"/>
      <w:bookmarkStart w:id="78" w:name="_Toc433396679"/>
      <w:bookmarkStart w:id="79" w:name="_Toc434249385"/>
      <w:bookmarkStart w:id="80" w:name="_Toc434939935"/>
      <w:bookmarkStart w:id="81" w:name="_Toc436065840"/>
      <w:bookmarkStart w:id="82" w:name="_Toc436289305"/>
      <w:bookmarkStart w:id="83" w:name="_Toc438137497"/>
      <w:bookmarkStart w:id="84" w:name="_Toc441673226"/>
      <w:r w:rsidRPr="00FE7BA7">
        <w:rPr>
          <w:rFonts w:ascii="Verdana" w:eastAsia="Times New Roman" w:hAnsi="Verdana" w:cs="Verdana"/>
          <w:b/>
          <w:bCs/>
          <w:caps/>
          <w:snapToGrid w:val="0"/>
          <w:sz w:val="20"/>
          <w:szCs w:val="20"/>
          <w:lang w:val="en-US"/>
        </w:rPr>
        <w:t>(Ap</w:t>
      </w:r>
      <w:r w:rsidR="00C34C52" w:rsidRPr="00FE7BA7">
        <w:rPr>
          <w:rFonts w:ascii="Verdana" w:eastAsia="Times New Roman" w:hAnsi="Verdana" w:cs="Verdana"/>
          <w:b/>
          <w:bCs/>
          <w:caps/>
          <w:snapToGrid w:val="0"/>
          <w:sz w:val="20"/>
          <w:szCs w:val="20"/>
          <w:lang w:val="en-US"/>
        </w:rPr>
        <w:t>PLICATION</w:t>
      </w:r>
      <w:r w:rsidRPr="00FE7BA7">
        <w:rPr>
          <w:rFonts w:ascii="Verdana" w:eastAsia="Times New Roman" w:hAnsi="Verdana" w:cs="Verdana"/>
          <w:b/>
          <w:bCs/>
          <w:caps/>
          <w:snapToGrid w:val="0"/>
          <w:sz w:val="20"/>
          <w:szCs w:val="20"/>
          <w:lang w:val="en-US"/>
        </w:rPr>
        <w:t xml:space="preserve"> </w:t>
      </w:r>
      <w:r w:rsidR="00773D70" w:rsidRPr="00FE7BA7">
        <w:rPr>
          <w:rFonts w:ascii="Verdana" w:eastAsia="Times New Roman" w:hAnsi="Verdana" w:cs="Verdana"/>
          <w:b/>
          <w:bCs/>
          <w:caps/>
          <w:snapToGrid w:val="0"/>
          <w:sz w:val="20"/>
          <w:szCs w:val="20"/>
          <w:lang w:val="en-US"/>
        </w:rPr>
        <w:t>of Article</w:t>
      </w:r>
      <w:r w:rsidRPr="00FE7BA7">
        <w:rPr>
          <w:rFonts w:ascii="Verdana" w:eastAsia="Times New Roman" w:hAnsi="Verdana" w:cs="Verdana"/>
          <w:b/>
          <w:bCs/>
          <w:caps/>
          <w:snapToGrid w:val="0"/>
          <w:sz w:val="20"/>
          <w:szCs w:val="20"/>
          <w:lang w:val="en-US"/>
        </w:rPr>
        <w:t xml:space="preserve"> </w:t>
      </w:r>
      <w:r w:rsidR="002B5CCD" w:rsidRPr="00FE7BA7">
        <w:rPr>
          <w:rFonts w:ascii="Verdana" w:eastAsia="Times New Roman" w:hAnsi="Verdana" w:cs="Verdana"/>
          <w:b/>
          <w:bCs/>
          <w:caps/>
          <w:snapToGrid w:val="0"/>
          <w:sz w:val="20"/>
          <w:szCs w:val="20"/>
          <w:lang w:val="en-US"/>
        </w:rPr>
        <w:t>63(1) of the American Convention</w:t>
      </w:r>
      <w:r w:rsidRPr="00FE7BA7">
        <w:rPr>
          <w:rFonts w:ascii="Verdana" w:eastAsia="Times New Roman" w:hAnsi="Verdana" w:cs="Verdana"/>
          <w:b/>
          <w:bCs/>
          <w:caps/>
          <w:snapToGrid w:val="0"/>
          <w:sz w:val="20"/>
          <w:szCs w:val="20"/>
          <w:lang w:val="en-US"/>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3126AC6" w14:textId="77777777" w:rsidR="00A91B78" w:rsidRPr="00FE7BA7" w:rsidRDefault="00A91B78" w:rsidP="00A91B78">
      <w:pPr>
        <w:keepNext/>
        <w:keepLines/>
        <w:tabs>
          <w:tab w:val="left" w:pos="851"/>
        </w:tabs>
        <w:jc w:val="center"/>
        <w:outlineLvl w:val="0"/>
        <w:rPr>
          <w:rFonts w:ascii="Verdana" w:eastAsia="Times New Roman" w:hAnsi="Verdana" w:cs="Verdana"/>
          <w:b/>
          <w:bCs/>
          <w:caps/>
          <w:snapToGrid w:val="0"/>
          <w:sz w:val="20"/>
          <w:szCs w:val="20"/>
          <w:lang w:val="en-US"/>
        </w:rPr>
      </w:pPr>
    </w:p>
    <w:p w14:paraId="63126AC7" w14:textId="77777777" w:rsidR="00A91B78" w:rsidRPr="00FE7BA7" w:rsidRDefault="004B4DA0" w:rsidP="00A91B78">
      <w:pPr>
        <w:numPr>
          <w:ilvl w:val="0"/>
          <w:numId w:val="2"/>
        </w:numPr>
        <w:ind w:left="0" w:hanging="11"/>
        <w:contextualSpacing/>
        <w:jc w:val="both"/>
        <w:rPr>
          <w:rFonts w:ascii="Verdana" w:hAnsi="Verdana"/>
          <w:sz w:val="20"/>
          <w:szCs w:val="20"/>
          <w:lang w:val="en-US"/>
        </w:rPr>
      </w:pPr>
      <w:r w:rsidRPr="00090AF6">
        <w:rPr>
          <w:rFonts w:ascii="Verdana" w:hAnsi="Verdana"/>
          <w:sz w:val="20"/>
          <w:szCs w:val="20"/>
          <w:lang w:val="en-US"/>
        </w:rPr>
        <w:t>Under</w:t>
      </w:r>
      <w:r w:rsidR="00937062" w:rsidRPr="00090AF6">
        <w:rPr>
          <w:rFonts w:ascii="Verdana" w:hAnsi="Verdana"/>
          <w:sz w:val="20"/>
          <w:szCs w:val="20"/>
          <w:lang w:val="en-US"/>
        </w:rPr>
        <w:t xml:space="preserve"> the provisions of </w:t>
      </w:r>
      <w:r w:rsidR="002B5CCD" w:rsidRPr="00090AF6">
        <w:rPr>
          <w:rFonts w:ascii="Verdana" w:hAnsi="Verdana"/>
          <w:sz w:val="20"/>
          <w:szCs w:val="20"/>
          <w:lang w:val="en-US"/>
        </w:rPr>
        <w:t>Article</w:t>
      </w:r>
      <w:r w:rsidR="00A91B78" w:rsidRPr="00090AF6">
        <w:rPr>
          <w:rFonts w:ascii="Verdana" w:hAnsi="Verdana"/>
          <w:sz w:val="20"/>
          <w:szCs w:val="20"/>
          <w:lang w:val="en-US"/>
        </w:rPr>
        <w:t xml:space="preserve"> </w:t>
      </w:r>
      <w:r w:rsidR="002B5CCD" w:rsidRPr="00090AF6">
        <w:rPr>
          <w:rFonts w:ascii="Verdana" w:hAnsi="Verdana"/>
          <w:sz w:val="20"/>
          <w:szCs w:val="20"/>
          <w:lang w:val="en-US"/>
        </w:rPr>
        <w:t>63(1) of the American Convention</w:t>
      </w:r>
      <w:r w:rsidR="00937062" w:rsidRPr="00090AF6">
        <w:rPr>
          <w:rFonts w:ascii="Verdana" w:hAnsi="Verdana"/>
          <w:sz w:val="20"/>
          <w:szCs w:val="20"/>
          <w:lang w:val="en-US"/>
        </w:rPr>
        <w:t>,</w:t>
      </w:r>
      <w:r w:rsidR="00A91B78" w:rsidRPr="00090AF6">
        <w:rPr>
          <w:rFonts w:ascii="Verdana" w:hAnsi="Verdana"/>
          <w:sz w:val="20"/>
          <w:szCs w:val="20"/>
          <w:vertAlign w:val="superscript"/>
          <w:lang w:val="en-US"/>
        </w:rPr>
        <w:footnoteReference w:id="315"/>
      </w:r>
      <w:r w:rsidR="00A91B78" w:rsidRPr="00090AF6">
        <w:rPr>
          <w:rFonts w:ascii="Verdana" w:hAnsi="Verdana"/>
          <w:sz w:val="20"/>
          <w:szCs w:val="20"/>
          <w:lang w:val="en-US"/>
        </w:rPr>
        <w:t xml:space="preserve"> </w:t>
      </w:r>
      <w:r w:rsidR="002B5CCD" w:rsidRPr="00090AF6">
        <w:rPr>
          <w:rFonts w:ascii="Verdana" w:hAnsi="Verdana"/>
          <w:sz w:val="20"/>
          <w:szCs w:val="20"/>
          <w:lang w:val="en-US"/>
        </w:rPr>
        <w:t>the Court</w:t>
      </w:r>
      <w:r w:rsidR="00A91B78" w:rsidRPr="00090AF6">
        <w:rPr>
          <w:rFonts w:ascii="Verdana" w:hAnsi="Verdana"/>
          <w:sz w:val="20"/>
          <w:szCs w:val="20"/>
          <w:lang w:val="en-US"/>
        </w:rPr>
        <w:t xml:space="preserve"> h</w:t>
      </w:r>
      <w:r w:rsidR="00937062" w:rsidRPr="00090AF6">
        <w:rPr>
          <w:rFonts w:ascii="Verdana" w:hAnsi="Verdana"/>
          <w:sz w:val="20"/>
          <w:szCs w:val="20"/>
          <w:lang w:val="en-US"/>
        </w:rPr>
        <w:t>as indicated</w:t>
      </w:r>
      <w:r w:rsidR="00937062" w:rsidRPr="00FE7BA7">
        <w:rPr>
          <w:rFonts w:ascii="Verdana" w:hAnsi="Verdana"/>
          <w:sz w:val="20"/>
          <w:szCs w:val="20"/>
          <w:lang w:val="en-US"/>
        </w:rPr>
        <w:t xml:space="preserve"> that any violation of an international obligation that has caused harm entails the obligation to make satisfactory reparation, and that this provision </w:t>
      </w:r>
      <w:r w:rsidR="00FE7BA7" w:rsidRPr="00FE7BA7">
        <w:rPr>
          <w:rFonts w:ascii="Verdana" w:hAnsi="Verdana"/>
          <w:sz w:val="20"/>
          <w:szCs w:val="20"/>
          <w:lang w:val="en-US"/>
        </w:rPr>
        <w:t>reflects</w:t>
      </w:r>
      <w:r w:rsidR="00937062" w:rsidRPr="00FE7BA7">
        <w:rPr>
          <w:rFonts w:ascii="Verdana" w:hAnsi="Verdana"/>
          <w:sz w:val="20"/>
          <w:szCs w:val="20"/>
          <w:lang w:val="en-US"/>
        </w:rPr>
        <w:t xml:space="preserve"> a customary norm that constitutes one of the fundamental principles of contemporary international law on State responsibility.</w:t>
      </w:r>
      <w:r w:rsidR="00A91B78" w:rsidRPr="00FE7BA7">
        <w:rPr>
          <w:rFonts w:ascii="Verdana" w:hAnsi="Verdana"/>
          <w:sz w:val="20"/>
          <w:szCs w:val="20"/>
          <w:vertAlign w:val="superscript"/>
          <w:lang w:val="en-US"/>
        </w:rPr>
        <w:footnoteReference w:id="316"/>
      </w:r>
      <w:r w:rsidR="00A91B78" w:rsidRPr="00FE7BA7">
        <w:rPr>
          <w:rFonts w:ascii="Verdana" w:hAnsi="Verdana"/>
          <w:sz w:val="20"/>
          <w:szCs w:val="20"/>
          <w:lang w:val="en-US"/>
        </w:rPr>
        <w:t xml:space="preserve"> </w:t>
      </w:r>
    </w:p>
    <w:p w14:paraId="63126AC8" w14:textId="77777777" w:rsidR="00A91B78" w:rsidRPr="00FE7BA7" w:rsidRDefault="00A91B78" w:rsidP="00A91B78">
      <w:pPr>
        <w:contextualSpacing/>
        <w:jc w:val="both"/>
        <w:rPr>
          <w:rFonts w:ascii="Verdana" w:hAnsi="Verdana"/>
          <w:sz w:val="20"/>
          <w:szCs w:val="20"/>
          <w:lang w:val="en-US"/>
        </w:rPr>
      </w:pPr>
    </w:p>
    <w:p w14:paraId="63126AC9" w14:textId="77777777" w:rsidR="00A91B78" w:rsidRPr="00FE7BA7" w:rsidRDefault="002B5CCD"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Court</w:t>
      </w:r>
      <w:r w:rsidR="00A91B78" w:rsidRPr="00FE7BA7">
        <w:rPr>
          <w:rFonts w:ascii="Verdana" w:hAnsi="Verdana"/>
          <w:sz w:val="20"/>
          <w:szCs w:val="20"/>
          <w:lang w:val="en-US"/>
        </w:rPr>
        <w:t xml:space="preserve"> ha</w:t>
      </w:r>
      <w:r w:rsidR="00937062" w:rsidRPr="00FE7BA7">
        <w:rPr>
          <w:rFonts w:ascii="Verdana" w:hAnsi="Verdana"/>
          <w:sz w:val="20"/>
          <w:szCs w:val="20"/>
          <w:lang w:val="en-US"/>
        </w:rPr>
        <w:t>s established that the reparations must have a causal nexus with the facts of the case, the violations that have been declared and the harm that has been proved, as well as with the measures requested in order to redress the respective harm. Therefore, the Court must observe this concurrence in order to rule appropriately and in accordance with law.</w:t>
      </w:r>
      <w:r w:rsidR="00A91B78" w:rsidRPr="00FE7BA7">
        <w:rPr>
          <w:rFonts w:ascii="Verdana" w:hAnsi="Verdana"/>
          <w:sz w:val="20"/>
          <w:szCs w:val="20"/>
          <w:vertAlign w:val="superscript"/>
          <w:lang w:val="en-US"/>
        </w:rPr>
        <w:footnoteReference w:id="317"/>
      </w:r>
      <w:r w:rsidR="00A91B78" w:rsidRPr="00FE7BA7">
        <w:rPr>
          <w:rFonts w:ascii="Verdana" w:hAnsi="Verdana"/>
          <w:sz w:val="20"/>
          <w:szCs w:val="20"/>
          <w:lang w:val="en-US"/>
        </w:rPr>
        <w:t xml:space="preserve"> </w:t>
      </w:r>
    </w:p>
    <w:p w14:paraId="63126ACA" w14:textId="77777777" w:rsidR="00A91B78" w:rsidRPr="00FE7BA7" w:rsidRDefault="00A91B78" w:rsidP="00A91B78">
      <w:pPr>
        <w:contextualSpacing/>
        <w:jc w:val="both"/>
        <w:rPr>
          <w:rFonts w:ascii="Verdana" w:hAnsi="Verdana"/>
          <w:sz w:val="20"/>
          <w:szCs w:val="20"/>
          <w:lang w:val="en-US"/>
        </w:rPr>
      </w:pPr>
    </w:p>
    <w:p w14:paraId="63126ACB" w14:textId="39A7D272" w:rsidR="00A91B78" w:rsidRPr="00FE7BA7" w:rsidRDefault="00937062"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Based on the violations of </w:t>
      </w:r>
      <w:r w:rsidR="002B5CCD" w:rsidRPr="00FE7BA7">
        <w:rPr>
          <w:rFonts w:ascii="Verdana" w:hAnsi="Verdana"/>
          <w:sz w:val="20"/>
          <w:szCs w:val="20"/>
          <w:lang w:val="en-US"/>
        </w:rPr>
        <w:t>the American Convention</w:t>
      </w:r>
      <w:r w:rsidR="00A91B78" w:rsidRPr="00FE7BA7">
        <w:rPr>
          <w:rFonts w:ascii="Verdana" w:hAnsi="Verdana"/>
          <w:sz w:val="20"/>
          <w:szCs w:val="20"/>
          <w:lang w:val="en-US"/>
        </w:rPr>
        <w:t xml:space="preserve"> declar</w:t>
      </w:r>
      <w:r w:rsidRPr="00FE7BA7">
        <w:rPr>
          <w:rFonts w:ascii="Verdana" w:hAnsi="Verdana"/>
          <w:sz w:val="20"/>
          <w:szCs w:val="20"/>
          <w:lang w:val="en-US"/>
        </w:rPr>
        <w:t xml:space="preserve">ed in </w:t>
      </w:r>
      <w:r w:rsidR="00511E56" w:rsidRPr="00FE7BA7">
        <w:rPr>
          <w:rFonts w:ascii="Verdana" w:hAnsi="Verdana"/>
          <w:sz w:val="20"/>
          <w:szCs w:val="20"/>
          <w:lang w:val="en-US"/>
        </w:rPr>
        <w:t>Chapter</w:t>
      </w:r>
      <w:r w:rsidR="00A91B78" w:rsidRPr="00FE7BA7">
        <w:rPr>
          <w:rFonts w:ascii="Verdana" w:hAnsi="Verdana"/>
          <w:sz w:val="20"/>
          <w:szCs w:val="20"/>
          <w:lang w:val="en-US"/>
        </w:rPr>
        <w:t xml:space="preserve"> </w:t>
      </w:r>
      <w:r w:rsidRPr="00FE7BA7">
        <w:rPr>
          <w:rFonts w:ascii="Verdana" w:hAnsi="Verdana"/>
          <w:sz w:val="20"/>
          <w:szCs w:val="20"/>
          <w:lang w:val="en-US"/>
        </w:rPr>
        <w:t>VI</w:t>
      </w:r>
      <w:r w:rsidR="00A91B78"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A91B78" w:rsidRPr="00FE7BA7">
        <w:rPr>
          <w:rFonts w:ascii="Verdana" w:hAnsi="Verdana"/>
          <w:sz w:val="20"/>
          <w:szCs w:val="20"/>
          <w:lang w:val="en-US"/>
        </w:rPr>
        <w:t xml:space="preserve">, </w:t>
      </w:r>
      <w:r w:rsidR="002B5CCD" w:rsidRPr="00FE7BA7">
        <w:rPr>
          <w:rFonts w:ascii="Verdana" w:hAnsi="Verdana"/>
          <w:sz w:val="20"/>
          <w:szCs w:val="20"/>
          <w:lang w:val="en-US"/>
        </w:rPr>
        <w:t>the Court</w:t>
      </w:r>
      <w:r w:rsidRPr="00FE7BA7">
        <w:rPr>
          <w:rFonts w:ascii="Verdana" w:hAnsi="Verdana"/>
          <w:sz w:val="20"/>
          <w:szCs w:val="20"/>
          <w:lang w:val="en-US"/>
        </w:rPr>
        <w:t xml:space="preserve"> will proceed to examine the arguments and recommendations presented by </w:t>
      </w:r>
      <w:r w:rsidR="002B5CCD" w:rsidRPr="00FE7BA7">
        <w:rPr>
          <w:rFonts w:ascii="Verdana" w:hAnsi="Verdana"/>
          <w:sz w:val="20"/>
          <w:szCs w:val="20"/>
          <w:lang w:val="en-US"/>
        </w:rPr>
        <w:t>the Commission</w:t>
      </w:r>
      <w:r w:rsidR="00A91B78" w:rsidRPr="00FE7BA7">
        <w:rPr>
          <w:rFonts w:ascii="Verdana" w:hAnsi="Verdana"/>
          <w:sz w:val="20"/>
          <w:szCs w:val="20"/>
          <w:lang w:val="en-US"/>
        </w:rPr>
        <w:t xml:space="preserve">, </w:t>
      </w:r>
      <w:r w:rsidRPr="00FE7BA7">
        <w:rPr>
          <w:rFonts w:ascii="Verdana" w:hAnsi="Verdana"/>
          <w:sz w:val="20"/>
          <w:szCs w:val="20"/>
          <w:lang w:val="en-US"/>
        </w:rPr>
        <w:t xml:space="preserve">the claims </w:t>
      </w:r>
      <w:r w:rsidR="008F798A" w:rsidRPr="00FE7BA7">
        <w:rPr>
          <w:rFonts w:ascii="Verdana" w:hAnsi="Verdana"/>
          <w:sz w:val="20"/>
          <w:szCs w:val="20"/>
          <w:lang w:val="en-US"/>
        </w:rPr>
        <w:t xml:space="preserve">of the </w:t>
      </w:r>
      <w:r w:rsidRPr="00FE7BA7">
        <w:rPr>
          <w:rFonts w:ascii="Verdana" w:hAnsi="Verdana"/>
          <w:sz w:val="20"/>
          <w:szCs w:val="20"/>
          <w:lang w:val="en-US"/>
        </w:rPr>
        <w:t xml:space="preserve">victims’ </w:t>
      </w:r>
      <w:r w:rsidR="00810FAD" w:rsidRPr="00FE7BA7">
        <w:rPr>
          <w:rFonts w:ascii="Verdana" w:hAnsi="Verdana"/>
          <w:sz w:val="20"/>
          <w:szCs w:val="20"/>
          <w:lang w:val="en-US"/>
        </w:rPr>
        <w:t>representative</w:t>
      </w:r>
      <w:r w:rsidR="00090AF6">
        <w:rPr>
          <w:rFonts w:ascii="Verdana" w:hAnsi="Verdana"/>
          <w:sz w:val="20"/>
          <w:szCs w:val="20"/>
          <w:lang w:val="en-US"/>
        </w:rPr>
        <w:t>s</w:t>
      </w:r>
      <w:r w:rsidRPr="00FE7BA7">
        <w:rPr>
          <w:rFonts w:ascii="Verdana" w:hAnsi="Verdana"/>
          <w:sz w:val="20"/>
          <w:szCs w:val="20"/>
          <w:lang w:val="en-US"/>
        </w:rPr>
        <w:t xml:space="preserve">, and the arguments of the State, in light of the criteria established in its case law in relation to the nature and scope of the obligation to make reparation, </w:t>
      </w:r>
      <w:r w:rsidR="00090AF6">
        <w:rPr>
          <w:rFonts w:ascii="Verdana" w:hAnsi="Verdana"/>
          <w:sz w:val="20"/>
          <w:szCs w:val="20"/>
          <w:lang w:val="en-US"/>
        </w:rPr>
        <w:t>so as</w:t>
      </w:r>
      <w:r w:rsidRPr="00FE7BA7">
        <w:rPr>
          <w:rFonts w:ascii="Verdana" w:hAnsi="Verdana"/>
          <w:sz w:val="20"/>
          <w:szCs w:val="20"/>
          <w:lang w:val="en-US"/>
        </w:rPr>
        <w:t xml:space="preserve"> to establish measures aimed at redressing the harm caused to the victims.</w:t>
      </w:r>
      <w:r w:rsidR="00A91B78" w:rsidRPr="00FE7BA7">
        <w:rPr>
          <w:rFonts w:ascii="Verdana" w:hAnsi="Verdana"/>
          <w:sz w:val="20"/>
          <w:szCs w:val="20"/>
          <w:vertAlign w:val="superscript"/>
          <w:lang w:val="en-US"/>
        </w:rPr>
        <w:footnoteReference w:id="318"/>
      </w:r>
      <w:r w:rsidR="00A91B78" w:rsidRPr="00FE7BA7">
        <w:rPr>
          <w:rFonts w:ascii="Verdana" w:hAnsi="Verdana"/>
          <w:sz w:val="20"/>
          <w:szCs w:val="20"/>
          <w:lang w:val="en-US"/>
        </w:rPr>
        <w:t xml:space="preserve"> </w:t>
      </w:r>
    </w:p>
    <w:p w14:paraId="63126ACC" w14:textId="77777777" w:rsidR="00A91B78" w:rsidRPr="00FE7BA7" w:rsidRDefault="00A91B78" w:rsidP="00A91B78">
      <w:pPr>
        <w:contextualSpacing/>
        <w:rPr>
          <w:rFonts w:ascii="Verdana" w:hAnsi="Verdana"/>
          <w:sz w:val="20"/>
          <w:szCs w:val="20"/>
          <w:lang w:val="en-US"/>
        </w:rPr>
      </w:pPr>
    </w:p>
    <w:p w14:paraId="63126ACD" w14:textId="77777777" w:rsidR="00A91B78" w:rsidRPr="00FE7BA7" w:rsidRDefault="002B5CCD" w:rsidP="00937062">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Court</w:t>
      </w:r>
      <w:r w:rsidR="00937062" w:rsidRPr="00FE7BA7">
        <w:rPr>
          <w:rFonts w:ascii="Verdana" w:hAnsi="Verdana"/>
          <w:sz w:val="20"/>
          <w:szCs w:val="20"/>
          <w:lang w:val="en-US"/>
        </w:rPr>
        <w:t xml:space="preserve"> considers that, in cases such as this one, the reparation should help strengthen the cultural identity of the indigenous and tribal peoples, guaranteeing the control of their own institutions, cultures, traditions and territories in order to contribute to their development in keeping with their life projects, and present and future needs. The Court also recognizes that the situation of the indigenous peoples varies according to national and regional characteristics, as well as to their different historical and cultural traditions. Consequently, the Court finds that the measures of reparation granted should provide effective mechanisms, </w:t>
      </w:r>
      <w:r w:rsidR="000B08CB" w:rsidRPr="00FE7BA7">
        <w:rPr>
          <w:rFonts w:ascii="Verdana" w:hAnsi="Verdana"/>
          <w:sz w:val="20"/>
          <w:szCs w:val="20"/>
          <w:lang w:val="en-US"/>
        </w:rPr>
        <w:t xml:space="preserve">in keeping with their </w:t>
      </w:r>
      <w:r w:rsidR="00090AF6">
        <w:rPr>
          <w:rFonts w:ascii="Verdana" w:hAnsi="Verdana"/>
          <w:sz w:val="20"/>
          <w:szCs w:val="20"/>
          <w:lang w:val="en-US"/>
        </w:rPr>
        <w:t>specific</w:t>
      </w:r>
      <w:r w:rsidR="000B08CB" w:rsidRPr="00FE7BA7">
        <w:rPr>
          <w:rFonts w:ascii="Verdana" w:hAnsi="Verdana"/>
          <w:sz w:val="20"/>
          <w:szCs w:val="20"/>
          <w:lang w:val="en-US"/>
        </w:rPr>
        <w:t xml:space="preserve"> ethnic perspective, that permit them to define their priorities as regards their development and evolution as a people.</w:t>
      </w:r>
      <w:r w:rsidR="000C251D" w:rsidRPr="00FE7BA7">
        <w:rPr>
          <w:rStyle w:val="FootnoteReference"/>
          <w:szCs w:val="20"/>
          <w:lang w:val="en-US"/>
        </w:rPr>
        <w:footnoteReference w:id="319"/>
      </w:r>
    </w:p>
    <w:p w14:paraId="63126ACE" w14:textId="77777777" w:rsidR="00A91B78" w:rsidRDefault="00A91B78" w:rsidP="00A91B78">
      <w:pPr>
        <w:jc w:val="both"/>
        <w:rPr>
          <w:rFonts w:ascii="Verdana" w:hAnsi="Verdana"/>
          <w:sz w:val="20"/>
          <w:szCs w:val="20"/>
          <w:lang w:val="en-US"/>
        </w:rPr>
      </w:pPr>
    </w:p>
    <w:p w14:paraId="4B43F27A" w14:textId="77777777" w:rsidR="00BB6389" w:rsidRDefault="00BB6389" w:rsidP="00A91B78">
      <w:pPr>
        <w:jc w:val="both"/>
        <w:rPr>
          <w:rFonts w:ascii="Verdana" w:hAnsi="Verdana"/>
          <w:sz w:val="20"/>
          <w:szCs w:val="20"/>
          <w:lang w:val="en-US"/>
        </w:rPr>
      </w:pPr>
    </w:p>
    <w:p w14:paraId="08BA0E30" w14:textId="77777777" w:rsidR="00BB6389" w:rsidRPr="00FE7BA7" w:rsidRDefault="00BB6389" w:rsidP="00A91B78">
      <w:pPr>
        <w:jc w:val="both"/>
        <w:rPr>
          <w:rFonts w:ascii="Verdana" w:hAnsi="Verdana"/>
          <w:sz w:val="20"/>
          <w:szCs w:val="20"/>
          <w:lang w:val="en-US"/>
        </w:rPr>
      </w:pPr>
    </w:p>
    <w:p w14:paraId="63126ACF" w14:textId="77777777" w:rsidR="00A91B78" w:rsidRPr="00FE7BA7" w:rsidRDefault="00C34C52" w:rsidP="00A91B78">
      <w:pPr>
        <w:pStyle w:val="Heading2"/>
        <w:numPr>
          <w:ilvl w:val="0"/>
          <w:numId w:val="42"/>
        </w:numPr>
        <w:spacing w:before="0"/>
        <w:jc w:val="both"/>
        <w:rPr>
          <w:rFonts w:ascii="Verdana" w:hAnsi="Verdana"/>
          <w:bCs w:val="0"/>
          <w:i/>
          <w:color w:val="auto"/>
          <w:sz w:val="20"/>
          <w:szCs w:val="20"/>
          <w:lang w:val="en-US"/>
        </w:rPr>
      </w:pPr>
      <w:bookmarkStart w:id="85" w:name="_Toc441673227"/>
      <w:r w:rsidRPr="00FE7BA7">
        <w:rPr>
          <w:rFonts w:ascii="Verdana" w:hAnsi="Verdana"/>
          <w:bCs w:val="0"/>
          <w:i/>
          <w:color w:val="auto"/>
          <w:sz w:val="20"/>
          <w:szCs w:val="20"/>
          <w:lang w:val="en-US"/>
        </w:rPr>
        <w:t>Injured party</w:t>
      </w:r>
      <w:bookmarkEnd w:id="85"/>
    </w:p>
    <w:p w14:paraId="63126AD0" w14:textId="77777777" w:rsidR="00A91B78" w:rsidRPr="00FE7BA7" w:rsidRDefault="00A91B78" w:rsidP="00A91B78">
      <w:pPr>
        <w:jc w:val="both"/>
        <w:rPr>
          <w:rFonts w:ascii="Verdana" w:hAnsi="Verdana"/>
          <w:sz w:val="20"/>
          <w:szCs w:val="20"/>
          <w:lang w:val="en-US"/>
        </w:rPr>
      </w:pPr>
    </w:p>
    <w:p w14:paraId="63126AD1" w14:textId="77777777" w:rsidR="00A91B78" w:rsidRPr="00BB6389" w:rsidRDefault="002B5CCD"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Court</w:t>
      </w:r>
      <w:r w:rsidR="00897A5A" w:rsidRPr="00FE7BA7">
        <w:rPr>
          <w:rFonts w:ascii="Verdana" w:hAnsi="Verdana"/>
          <w:sz w:val="20"/>
          <w:szCs w:val="20"/>
          <w:lang w:val="en-US"/>
        </w:rPr>
        <w:t xml:space="preserve"> considers that anyone who has been declared a victi</w:t>
      </w:r>
      <w:r w:rsidR="00090AF6">
        <w:rPr>
          <w:rFonts w:ascii="Verdana" w:hAnsi="Verdana"/>
          <w:sz w:val="20"/>
          <w:szCs w:val="20"/>
          <w:lang w:val="en-US"/>
        </w:rPr>
        <w:t>m of the violation of any right</w:t>
      </w:r>
      <w:r w:rsidR="00897A5A" w:rsidRPr="00FE7BA7">
        <w:rPr>
          <w:rFonts w:ascii="Verdana" w:hAnsi="Verdana"/>
          <w:sz w:val="20"/>
          <w:szCs w:val="20"/>
          <w:lang w:val="en-US"/>
        </w:rPr>
        <w:t xml:space="preserve"> recognized in the Convention is an</w:t>
      </w:r>
      <w:r w:rsidR="00A91B78" w:rsidRPr="00FE7BA7">
        <w:rPr>
          <w:rFonts w:ascii="Verdana" w:hAnsi="Verdana"/>
          <w:sz w:val="20"/>
          <w:szCs w:val="20"/>
          <w:lang w:val="en-US"/>
        </w:rPr>
        <w:t xml:space="preserve"> </w:t>
      </w:r>
      <w:r w:rsidR="00C34C52" w:rsidRPr="00FE7BA7">
        <w:rPr>
          <w:rFonts w:ascii="Verdana" w:hAnsi="Verdana"/>
          <w:sz w:val="20"/>
          <w:szCs w:val="20"/>
          <w:lang w:val="en-US"/>
        </w:rPr>
        <w:t>injured party</w:t>
      </w:r>
      <w:r w:rsidR="00A91B78" w:rsidRPr="00FE7BA7">
        <w:rPr>
          <w:rFonts w:ascii="Verdana" w:hAnsi="Verdana"/>
          <w:sz w:val="20"/>
          <w:szCs w:val="20"/>
          <w:lang w:val="en-US"/>
        </w:rPr>
        <w:t xml:space="preserve">, </w:t>
      </w:r>
      <w:r w:rsidR="00897A5A" w:rsidRPr="00FE7BA7">
        <w:rPr>
          <w:rFonts w:ascii="Verdana" w:hAnsi="Verdana"/>
          <w:sz w:val="20"/>
          <w:szCs w:val="20"/>
          <w:lang w:val="en-US"/>
        </w:rPr>
        <w:t>in the terms of</w:t>
      </w:r>
      <w:r w:rsidR="00773D70" w:rsidRPr="00FE7BA7">
        <w:rPr>
          <w:rFonts w:ascii="Verdana" w:hAnsi="Verdana"/>
          <w:sz w:val="20"/>
          <w:szCs w:val="20"/>
          <w:lang w:val="en-US"/>
        </w:rPr>
        <w:t xml:space="preserve"> Article</w:t>
      </w:r>
      <w:r w:rsidR="00A91B78" w:rsidRPr="00FE7BA7">
        <w:rPr>
          <w:rFonts w:ascii="Verdana" w:hAnsi="Verdana"/>
          <w:sz w:val="20"/>
          <w:szCs w:val="20"/>
          <w:lang w:val="en-US"/>
        </w:rPr>
        <w:t xml:space="preserve"> </w:t>
      </w:r>
      <w:r w:rsidRPr="00FE7BA7">
        <w:rPr>
          <w:rFonts w:ascii="Verdana" w:hAnsi="Verdana"/>
          <w:sz w:val="20"/>
          <w:szCs w:val="20"/>
          <w:lang w:val="en-US"/>
        </w:rPr>
        <w:t>63(1)</w:t>
      </w:r>
      <w:r w:rsidR="00897A5A" w:rsidRPr="00FE7BA7">
        <w:rPr>
          <w:rFonts w:ascii="Verdana" w:hAnsi="Verdana"/>
          <w:sz w:val="20"/>
          <w:szCs w:val="20"/>
          <w:lang w:val="en-US"/>
        </w:rPr>
        <w:t xml:space="preserve"> thereof. </w:t>
      </w:r>
      <w:r w:rsidR="00897A5A" w:rsidRPr="00FE7BA7">
        <w:rPr>
          <w:rFonts w:ascii="Verdana" w:hAnsi="Verdana"/>
          <w:sz w:val="20"/>
          <w:szCs w:val="20"/>
          <w:lang w:val="en-US"/>
        </w:rPr>
        <w:lastRenderedPageBreak/>
        <w:t xml:space="preserve">Hence, this Court considers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and </w:t>
      </w:r>
      <w:r w:rsidR="00897A5A" w:rsidRPr="00FE7BA7">
        <w:rPr>
          <w:rFonts w:ascii="Verdana" w:hAnsi="Verdana"/>
          <w:sz w:val="20"/>
          <w:lang w:val="en-US"/>
        </w:rPr>
        <w:t>their members to be the injured party.</w:t>
      </w:r>
    </w:p>
    <w:p w14:paraId="64BEEF13" w14:textId="77777777" w:rsidR="00BB6389" w:rsidRPr="00FE7BA7" w:rsidRDefault="00BB6389" w:rsidP="00BB6389">
      <w:pPr>
        <w:contextualSpacing/>
        <w:jc w:val="both"/>
        <w:rPr>
          <w:rFonts w:ascii="Verdana" w:hAnsi="Verdana"/>
          <w:sz w:val="20"/>
          <w:szCs w:val="20"/>
          <w:lang w:val="en-US"/>
        </w:rPr>
      </w:pPr>
    </w:p>
    <w:p w14:paraId="63126AD3" w14:textId="77777777" w:rsidR="00A91B78" w:rsidRPr="00FE7BA7" w:rsidRDefault="00C34C52" w:rsidP="00A91B78">
      <w:pPr>
        <w:pStyle w:val="Heading2"/>
        <w:numPr>
          <w:ilvl w:val="0"/>
          <w:numId w:val="42"/>
        </w:numPr>
        <w:spacing w:before="0"/>
        <w:jc w:val="both"/>
        <w:rPr>
          <w:rFonts w:ascii="Verdana" w:hAnsi="Verdana"/>
          <w:bCs w:val="0"/>
          <w:i/>
          <w:color w:val="auto"/>
          <w:sz w:val="20"/>
          <w:szCs w:val="20"/>
          <w:lang w:val="en-US"/>
        </w:rPr>
      </w:pPr>
      <w:bookmarkStart w:id="86" w:name="_Toc441673228"/>
      <w:r w:rsidRPr="00FE7BA7">
        <w:rPr>
          <w:rFonts w:ascii="Verdana" w:hAnsi="Verdana"/>
          <w:bCs w:val="0"/>
          <w:i/>
          <w:color w:val="auto"/>
          <w:sz w:val="20"/>
          <w:szCs w:val="20"/>
          <w:lang w:val="en-US"/>
        </w:rPr>
        <w:t>Restitution</w:t>
      </w:r>
      <w:bookmarkEnd w:id="86"/>
    </w:p>
    <w:p w14:paraId="63126AD4" w14:textId="77777777" w:rsidR="00A91B78" w:rsidRPr="00FE7BA7" w:rsidRDefault="00A91B78" w:rsidP="00A91B78">
      <w:pPr>
        <w:jc w:val="both"/>
        <w:rPr>
          <w:rFonts w:ascii="Verdana" w:hAnsi="Verdana"/>
          <w:sz w:val="20"/>
          <w:szCs w:val="20"/>
          <w:lang w:val="en-US"/>
        </w:rPr>
      </w:pPr>
    </w:p>
    <w:p w14:paraId="63126AD5" w14:textId="77777777" w:rsidR="00A91B78" w:rsidRPr="00FE7BA7" w:rsidRDefault="002B5CCD" w:rsidP="00607070">
      <w:pPr>
        <w:numPr>
          <w:ilvl w:val="0"/>
          <w:numId w:val="2"/>
        </w:numPr>
        <w:ind w:left="0" w:hanging="11"/>
        <w:contextualSpacing/>
        <w:jc w:val="both"/>
        <w:rPr>
          <w:rFonts w:ascii="Verdana" w:hAnsi="Verdana" w:cs="Arial"/>
          <w:color w:val="222222"/>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Commission</w:t>
      </w:r>
      <w:r w:rsidR="00A91B78" w:rsidRPr="00FE7BA7">
        <w:rPr>
          <w:rFonts w:ascii="Verdana" w:hAnsi="Verdana"/>
          <w:sz w:val="20"/>
          <w:szCs w:val="20"/>
          <w:lang w:val="en-US"/>
        </w:rPr>
        <w:t xml:space="preserve"> </w:t>
      </w:r>
      <w:r w:rsidR="00897A5A" w:rsidRPr="00FE7BA7">
        <w:rPr>
          <w:rFonts w:ascii="Verdana" w:hAnsi="Verdana"/>
          <w:sz w:val="20"/>
          <w:szCs w:val="20"/>
          <w:lang w:val="en-US"/>
        </w:rPr>
        <w:t xml:space="preserve">asked that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607070" w:rsidRPr="00FE7BA7">
        <w:rPr>
          <w:rFonts w:ascii="Verdana" w:hAnsi="Verdana"/>
          <w:sz w:val="20"/>
          <w:szCs w:val="20"/>
          <w:lang w:val="en-US"/>
        </w:rPr>
        <w:t xml:space="preserve"> </w:t>
      </w:r>
      <w:r w:rsidR="00897A5A" w:rsidRPr="00FE7BA7">
        <w:rPr>
          <w:rFonts w:ascii="Verdana" w:hAnsi="Verdana"/>
          <w:sz w:val="20"/>
          <w:szCs w:val="20"/>
          <w:lang w:val="en-US"/>
        </w:rPr>
        <w:t xml:space="preserve">be recognized as legal persons. </w:t>
      </w:r>
      <w:r w:rsidR="00090AF6">
        <w:rPr>
          <w:rFonts w:ascii="Verdana" w:hAnsi="Verdana"/>
          <w:sz w:val="20"/>
          <w:szCs w:val="20"/>
          <w:lang w:val="en-US"/>
        </w:rPr>
        <w:t>Also</w:t>
      </w:r>
      <w:r w:rsidR="00897A5A" w:rsidRPr="00FE7BA7">
        <w:rPr>
          <w:rFonts w:ascii="Verdana" w:hAnsi="Verdana"/>
          <w:sz w:val="20"/>
          <w:szCs w:val="20"/>
          <w:lang w:val="en-US"/>
        </w:rPr>
        <w:t xml:space="preserve"> that, following effective and fully informed consultations with</w:t>
      </w:r>
      <w:r w:rsidR="00635ACD" w:rsidRPr="00FE7BA7">
        <w:rPr>
          <w:rFonts w:ascii="Verdana" w:hAnsi="Verdana" w:cs="Arial"/>
          <w:color w:val="222222"/>
          <w:sz w:val="20"/>
          <w:szCs w:val="20"/>
          <w:lang w:val="en-US"/>
        </w:rPr>
        <w:t xml:space="preserve"> the </w:t>
      </w:r>
      <w:r w:rsidR="004C7D14" w:rsidRPr="00FE7BA7">
        <w:rPr>
          <w:rFonts w:ascii="Verdana" w:hAnsi="Verdana" w:cs="Arial"/>
          <w:color w:val="222222"/>
          <w:sz w:val="20"/>
          <w:szCs w:val="20"/>
          <w:lang w:val="en-US"/>
        </w:rPr>
        <w:t>Kaliña and Lokono peoples</w:t>
      </w:r>
      <w:r w:rsidR="00897A5A" w:rsidRPr="00FE7BA7">
        <w:rPr>
          <w:rFonts w:ascii="Verdana" w:hAnsi="Verdana" w:cs="Arial"/>
          <w:color w:val="222222"/>
          <w:sz w:val="20"/>
          <w:szCs w:val="20"/>
          <w:lang w:val="en-US"/>
        </w:rPr>
        <w:t xml:space="preserve"> and</w:t>
      </w:r>
      <w:r w:rsidRPr="00FE7BA7">
        <w:rPr>
          <w:rFonts w:ascii="Verdana" w:hAnsi="Verdana" w:cs="Arial"/>
          <w:color w:val="222222"/>
          <w:sz w:val="20"/>
          <w:szCs w:val="20"/>
          <w:lang w:val="en-US"/>
        </w:rPr>
        <w:t xml:space="preserve"> </w:t>
      </w:r>
      <w:r w:rsidR="00A91B78" w:rsidRPr="00FE7BA7">
        <w:rPr>
          <w:rFonts w:ascii="Verdana" w:hAnsi="Verdana" w:cs="Arial"/>
          <w:color w:val="222222"/>
          <w:sz w:val="20"/>
          <w:szCs w:val="20"/>
          <w:lang w:val="en-US"/>
        </w:rPr>
        <w:t>respe</w:t>
      </w:r>
      <w:r w:rsidR="00897A5A" w:rsidRPr="00FE7BA7">
        <w:rPr>
          <w:rFonts w:ascii="Verdana" w:hAnsi="Verdana" w:cs="Arial"/>
          <w:color w:val="222222"/>
          <w:sz w:val="20"/>
          <w:szCs w:val="20"/>
          <w:lang w:val="en-US"/>
        </w:rPr>
        <w:t xml:space="preserve">cting their customary law, the State take steps </w:t>
      </w:r>
      <w:r w:rsidR="00FE7BA7">
        <w:rPr>
          <w:rFonts w:ascii="Verdana" w:hAnsi="Verdana" w:cs="Arial"/>
          <w:color w:val="222222"/>
          <w:sz w:val="20"/>
          <w:szCs w:val="20"/>
          <w:lang w:val="en-US"/>
        </w:rPr>
        <w:t>to: (i) delimit, demarcate and g</w:t>
      </w:r>
      <w:r w:rsidR="00897A5A" w:rsidRPr="00FE7BA7">
        <w:rPr>
          <w:rFonts w:ascii="Verdana" w:hAnsi="Verdana" w:cs="Arial"/>
          <w:color w:val="222222"/>
          <w:sz w:val="20"/>
          <w:szCs w:val="20"/>
          <w:lang w:val="en-US"/>
        </w:rPr>
        <w:t xml:space="preserve">rant collective title to </w:t>
      </w:r>
      <w:r w:rsidRPr="00FE7BA7">
        <w:rPr>
          <w:rFonts w:ascii="Verdana" w:hAnsi="Verdana" w:cs="Arial"/>
          <w:color w:val="222222"/>
          <w:sz w:val="20"/>
          <w:szCs w:val="20"/>
          <w:lang w:val="en-US"/>
        </w:rPr>
        <w:t xml:space="preserve">the </w:t>
      </w:r>
      <w:r w:rsidR="004C7D14" w:rsidRPr="00FE7BA7">
        <w:rPr>
          <w:rFonts w:ascii="Verdana" w:hAnsi="Verdana" w:cs="Arial"/>
          <w:color w:val="222222"/>
          <w:sz w:val="20"/>
          <w:szCs w:val="20"/>
          <w:lang w:val="en-US"/>
        </w:rPr>
        <w:t>Kaliña and Lokono peoples</w:t>
      </w:r>
      <w:r w:rsidR="00A91B78" w:rsidRPr="00FE7BA7">
        <w:rPr>
          <w:rFonts w:ascii="Verdana" w:hAnsi="Verdana" w:cs="Arial"/>
          <w:color w:val="222222"/>
          <w:sz w:val="20"/>
          <w:szCs w:val="20"/>
          <w:lang w:val="en-US"/>
        </w:rPr>
        <w:t xml:space="preserve"> </w:t>
      </w:r>
      <w:r w:rsidR="00897A5A" w:rsidRPr="00FE7BA7">
        <w:rPr>
          <w:rFonts w:ascii="Verdana" w:hAnsi="Verdana" w:cs="Arial"/>
          <w:color w:val="222222"/>
          <w:sz w:val="20"/>
          <w:szCs w:val="20"/>
          <w:lang w:val="en-US"/>
        </w:rPr>
        <w:t xml:space="preserve">over the </w:t>
      </w:r>
      <w:r w:rsidR="00804BD4" w:rsidRPr="00FE7BA7">
        <w:rPr>
          <w:rFonts w:ascii="Verdana" w:hAnsi="Verdana" w:cs="Arial"/>
          <w:color w:val="222222"/>
          <w:sz w:val="20"/>
          <w:szCs w:val="20"/>
          <w:lang w:val="en-US"/>
        </w:rPr>
        <w:t>lands</w:t>
      </w:r>
      <w:r w:rsidRPr="00FE7BA7">
        <w:rPr>
          <w:rFonts w:ascii="Verdana" w:hAnsi="Verdana" w:cs="Arial"/>
          <w:color w:val="222222"/>
          <w:sz w:val="20"/>
          <w:szCs w:val="20"/>
          <w:lang w:val="en-US"/>
        </w:rPr>
        <w:t xml:space="preserve"> and </w:t>
      </w:r>
      <w:r w:rsidR="00804BD4" w:rsidRPr="00FE7BA7">
        <w:rPr>
          <w:rFonts w:ascii="Verdana" w:hAnsi="Verdana" w:cs="Arial"/>
          <w:color w:val="222222"/>
          <w:sz w:val="20"/>
          <w:szCs w:val="20"/>
          <w:lang w:val="en-US"/>
        </w:rPr>
        <w:t>territories</w:t>
      </w:r>
      <w:r w:rsidR="00A91B78" w:rsidRPr="00FE7BA7">
        <w:rPr>
          <w:rFonts w:ascii="Verdana" w:hAnsi="Verdana" w:cs="Arial"/>
          <w:color w:val="222222"/>
          <w:sz w:val="20"/>
          <w:szCs w:val="20"/>
          <w:lang w:val="en-US"/>
        </w:rPr>
        <w:t xml:space="preserve"> </w:t>
      </w:r>
      <w:r w:rsidR="00897A5A" w:rsidRPr="00FE7BA7">
        <w:rPr>
          <w:rFonts w:ascii="Verdana" w:hAnsi="Verdana" w:cs="Arial"/>
          <w:color w:val="222222"/>
          <w:sz w:val="20"/>
          <w:szCs w:val="20"/>
          <w:lang w:val="en-US"/>
        </w:rPr>
        <w:t>they have t</w:t>
      </w:r>
      <w:r w:rsidR="00090AF6">
        <w:rPr>
          <w:rFonts w:ascii="Verdana" w:hAnsi="Verdana" w:cs="Arial"/>
          <w:color w:val="222222"/>
          <w:sz w:val="20"/>
          <w:szCs w:val="20"/>
          <w:lang w:val="en-US"/>
        </w:rPr>
        <w:t>raditionally occupied and used; (</w:t>
      </w:r>
      <w:r w:rsidR="00A91B78" w:rsidRPr="00FE7BA7">
        <w:rPr>
          <w:rFonts w:ascii="Verdana" w:hAnsi="Verdana" w:cs="Arial"/>
          <w:color w:val="222222"/>
          <w:sz w:val="20"/>
          <w:szCs w:val="20"/>
          <w:lang w:val="en-US"/>
        </w:rPr>
        <w:t xml:space="preserve">ii) </w:t>
      </w:r>
      <w:r w:rsidR="00897A5A" w:rsidRPr="00FE7BA7">
        <w:rPr>
          <w:rFonts w:ascii="Verdana" w:hAnsi="Verdana" w:cs="Arial"/>
          <w:color w:val="222222"/>
          <w:sz w:val="20"/>
          <w:szCs w:val="20"/>
          <w:lang w:val="en-US"/>
        </w:rPr>
        <w:t xml:space="preserve">review the </w:t>
      </w:r>
      <w:r w:rsidR="00D818E8">
        <w:rPr>
          <w:rFonts w:ascii="Verdana" w:hAnsi="Verdana" w:cs="Arial"/>
          <w:color w:val="222222"/>
          <w:sz w:val="20"/>
          <w:szCs w:val="20"/>
          <w:lang w:val="en-US"/>
        </w:rPr>
        <w:t>land</w:t>
      </w:r>
      <w:r w:rsidR="00897A5A" w:rsidRPr="00FE7BA7">
        <w:rPr>
          <w:rFonts w:ascii="Verdana" w:hAnsi="Verdana" w:cs="Arial"/>
          <w:color w:val="222222"/>
          <w:sz w:val="20"/>
          <w:szCs w:val="20"/>
          <w:lang w:val="en-US"/>
        </w:rPr>
        <w:t xml:space="preserve"> titles,</w:t>
      </w:r>
      <w:r w:rsidR="00A91B78" w:rsidRPr="00FE7BA7">
        <w:rPr>
          <w:rFonts w:ascii="Verdana" w:hAnsi="Verdana" w:cs="Arial"/>
          <w:color w:val="222222"/>
          <w:sz w:val="20"/>
          <w:szCs w:val="20"/>
          <w:lang w:val="en-US"/>
        </w:rPr>
        <w:t xml:space="preserve"> </w:t>
      </w:r>
      <w:r w:rsidR="00897A5A" w:rsidRPr="00FE7BA7">
        <w:rPr>
          <w:rFonts w:ascii="Verdana" w:hAnsi="Verdana" w:cs="Arial"/>
          <w:color w:val="222222"/>
          <w:sz w:val="20"/>
          <w:szCs w:val="20"/>
          <w:lang w:val="en-US"/>
        </w:rPr>
        <w:t xml:space="preserve">transfer rights, </w:t>
      </w:r>
      <w:r w:rsidRPr="00FE7BA7">
        <w:rPr>
          <w:rFonts w:ascii="Verdana" w:hAnsi="Verdana" w:cs="Arial"/>
          <w:color w:val="222222"/>
          <w:sz w:val="20"/>
          <w:szCs w:val="20"/>
          <w:lang w:val="en-US"/>
        </w:rPr>
        <w:t>and</w:t>
      </w:r>
      <w:r w:rsidR="00897A5A" w:rsidRPr="00FE7BA7">
        <w:rPr>
          <w:rFonts w:ascii="Verdana" w:hAnsi="Verdana" w:cs="Arial"/>
          <w:color w:val="222222"/>
          <w:sz w:val="20"/>
          <w:szCs w:val="20"/>
          <w:lang w:val="en-US"/>
        </w:rPr>
        <w:t xml:space="preserve"> short- and long-term leases granted to </w:t>
      </w:r>
      <w:r w:rsidR="000E16B8" w:rsidRPr="00FE7BA7">
        <w:rPr>
          <w:rStyle w:val="hps"/>
          <w:rFonts w:ascii="Verdana" w:hAnsi="Verdana" w:cs="Arial"/>
          <w:color w:val="222222"/>
          <w:sz w:val="20"/>
          <w:szCs w:val="20"/>
          <w:lang w:val="en-US"/>
        </w:rPr>
        <w:t>non-indigenous persons</w:t>
      </w:r>
      <w:r w:rsidR="00897A5A" w:rsidRPr="00FE7BA7">
        <w:rPr>
          <w:rFonts w:ascii="Verdana" w:hAnsi="Verdana" w:cs="Arial"/>
          <w:color w:val="222222"/>
          <w:sz w:val="20"/>
          <w:szCs w:val="20"/>
          <w:lang w:val="en-US"/>
        </w:rPr>
        <w:t>, and determine the modifications that are required</w:t>
      </w:r>
      <w:r w:rsidR="00A91B78" w:rsidRPr="00FE7BA7">
        <w:rPr>
          <w:rFonts w:ascii="Verdana" w:hAnsi="Verdana" w:cs="Arial"/>
          <w:color w:val="222222"/>
          <w:sz w:val="20"/>
          <w:szCs w:val="20"/>
          <w:lang w:val="en-US"/>
        </w:rPr>
        <w:t xml:space="preserve">; </w:t>
      </w:r>
      <w:r w:rsidR="00897A5A" w:rsidRPr="00FE7BA7">
        <w:rPr>
          <w:rFonts w:ascii="Verdana" w:hAnsi="Verdana" w:cs="Arial"/>
          <w:color w:val="222222"/>
          <w:sz w:val="20"/>
          <w:szCs w:val="20"/>
          <w:lang w:val="en-US"/>
        </w:rPr>
        <w:t xml:space="preserve">(iii) review the terms of the mining activities authorized inside </w:t>
      </w:r>
      <w:r w:rsidR="00511E56" w:rsidRPr="00FE7BA7">
        <w:rPr>
          <w:rStyle w:val="hps"/>
          <w:rFonts w:ascii="Verdana" w:hAnsi="Verdana" w:cs="Arial"/>
          <w:color w:val="222222"/>
          <w:sz w:val="20"/>
          <w:szCs w:val="20"/>
          <w:lang w:val="en-US"/>
        </w:rPr>
        <w:t xml:space="preserve">the </w:t>
      </w:r>
      <w:r w:rsidR="00BE4D11" w:rsidRPr="00FE7BA7">
        <w:rPr>
          <w:rStyle w:val="hps"/>
          <w:rFonts w:ascii="Verdana" w:hAnsi="Verdana" w:cs="Arial"/>
          <w:color w:val="222222"/>
          <w:sz w:val="20"/>
          <w:szCs w:val="20"/>
          <w:lang w:val="en-US"/>
        </w:rPr>
        <w:t>Wane Kreek Nature Reserve</w:t>
      </w:r>
      <w:r w:rsidR="00A91B78" w:rsidRPr="00FE7BA7">
        <w:rPr>
          <w:rFonts w:ascii="Verdana" w:hAnsi="Verdana" w:cs="Arial"/>
          <w:color w:val="222222"/>
          <w:sz w:val="20"/>
          <w:szCs w:val="20"/>
          <w:lang w:val="en-US"/>
        </w:rPr>
        <w:t>,</w:t>
      </w:r>
      <w:r w:rsidRPr="00FE7BA7">
        <w:rPr>
          <w:rFonts w:ascii="Verdana" w:hAnsi="Verdana" w:cs="Arial"/>
          <w:color w:val="222222"/>
          <w:sz w:val="20"/>
          <w:szCs w:val="20"/>
          <w:lang w:val="en-US"/>
        </w:rPr>
        <w:t xml:space="preserve"> and </w:t>
      </w:r>
      <w:r w:rsidR="00897A5A" w:rsidRPr="00FE7BA7">
        <w:rPr>
          <w:rFonts w:ascii="Verdana" w:hAnsi="Verdana" w:cs="Arial"/>
          <w:color w:val="222222"/>
          <w:sz w:val="20"/>
          <w:szCs w:val="20"/>
          <w:lang w:val="en-US"/>
        </w:rPr>
        <w:t>(</w:t>
      </w:r>
      <w:r w:rsidR="00A91B78" w:rsidRPr="00FE7BA7">
        <w:rPr>
          <w:rFonts w:ascii="Verdana" w:hAnsi="Verdana" w:cs="Arial"/>
          <w:color w:val="222222"/>
          <w:sz w:val="20"/>
          <w:szCs w:val="20"/>
          <w:lang w:val="en-US"/>
        </w:rPr>
        <w:t xml:space="preserve">iv) </w:t>
      </w:r>
      <w:r w:rsidR="00897A5A" w:rsidRPr="00FE7BA7">
        <w:rPr>
          <w:rFonts w:ascii="Verdana" w:hAnsi="Verdana" w:cs="Arial"/>
          <w:color w:val="222222"/>
          <w:sz w:val="20"/>
          <w:szCs w:val="20"/>
          <w:lang w:val="en-US"/>
        </w:rPr>
        <w:t xml:space="preserve">review the terms of the establishment and management of the nature reserves in order to ensure that they do not obstruct the full use and enjoyment of the </w:t>
      </w:r>
      <w:r w:rsidR="00804BD4" w:rsidRPr="00FE7BA7">
        <w:rPr>
          <w:rFonts w:ascii="Verdana" w:hAnsi="Verdana" w:cs="Arial"/>
          <w:color w:val="222222"/>
          <w:sz w:val="20"/>
          <w:szCs w:val="20"/>
          <w:lang w:val="en-US"/>
        </w:rPr>
        <w:t>lands</w:t>
      </w:r>
      <w:r w:rsidR="00A91B78" w:rsidRPr="00FE7BA7">
        <w:rPr>
          <w:rFonts w:ascii="Verdana" w:hAnsi="Verdana" w:cs="Arial"/>
          <w:color w:val="222222"/>
          <w:sz w:val="20"/>
          <w:szCs w:val="20"/>
          <w:lang w:val="en-US"/>
        </w:rPr>
        <w:t xml:space="preserve"> </w:t>
      </w:r>
      <w:r w:rsidR="00A65908">
        <w:rPr>
          <w:rFonts w:ascii="Verdana" w:hAnsi="Verdana" w:cs="Arial"/>
          <w:color w:val="222222"/>
          <w:sz w:val="20"/>
          <w:szCs w:val="20"/>
          <w:lang w:val="en-US"/>
        </w:rPr>
        <w:t>of the peoples, and remove</w:t>
      </w:r>
      <w:r w:rsidR="00897A5A" w:rsidRPr="00FE7BA7">
        <w:rPr>
          <w:rFonts w:ascii="Verdana" w:hAnsi="Verdana" w:cs="Arial"/>
          <w:color w:val="222222"/>
          <w:sz w:val="20"/>
          <w:szCs w:val="20"/>
          <w:lang w:val="en-US"/>
        </w:rPr>
        <w:t xml:space="preserve"> the status of “nature reserve” or, to the contrary, retain t</w:t>
      </w:r>
      <w:r w:rsidR="00C07DBC">
        <w:rPr>
          <w:rFonts w:ascii="Verdana" w:hAnsi="Verdana" w:cs="Arial"/>
          <w:color w:val="222222"/>
          <w:sz w:val="20"/>
          <w:szCs w:val="20"/>
          <w:lang w:val="en-US"/>
        </w:rPr>
        <w:t>his, but under a model of co-</w:t>
      </w:r>
      <w:r w:rsidR="00897A5A" w:rsidRPr="00FE7BA7">
        <w:rPr>
          <w:rFonts w:ascii="Verdana" w:hAnsi="Verdana" w:cs="Arial"/>
          <w:color w:val="222222"/>
          <w:sz w:val="20"/>
          <w:szCs w:val="20"/>
          <w:lang w:val="en-US"/>
        </w:rPr>
        <w:t>management with the peoples, all of this following the corresponding consul</w:t>
      </w:r>
      <w:r w:rsidR="00090AF6">
        <w:rPr>
          <w:rFonts w:ascii="Verdana" w:hAnsi="Verdana" w:cs="Arial"/>
          <w:color w:val="222222"/>
          <w:sz w:val="20"/>
          <w:szCs w:val="20"/>
          <w:lang w:val="en-US"/>
        </w:rPr>
        <w:t>tation.</w:t>
      </w:r>
      <w:r w:rsidR="00A91B78" w:rsidRPr="00FE7BA7">
        <w:rPr>
          <w:rFonts w:ascii="Verdana" w:hAnsi="Verdana" w:cs="Arial"/>
          <w:color w:val="222222"/>
          <w:sz w:val="20"/>
          <w:szCs w:val="20"/>
          <w:highlight w:val="yellow"/>
          <w:lang w:val="en-US"/>
        </w:rPr>
        <w:t xml:space="preserve"> </w:t>
      </w:r>
    </w:p>
    <w:p w14:paraId="63126AD6" w14:textId="77777777" w:rsidR="00A91B78" w:rsidRPr="00FE7BA7" w:rsidRDefault="00A91B78" w:rsidP="00A91B78">
      <w:pPr>
        <w:jc w:val="both"/>
        <w:rPr>
          <w:rFonts w:ascii="Verdana" w:hAnsi="Verdana" w:cs="Arial"/>
          <w:color w:val="222222"/>
          <w:sz w:val="20"/>
          <w:szCs w:val="20"/>
          <w:lang w:val="en-US"/>
        </w:rPr>
      </w:pPr>
    </w:p>
    <w:p w14:paraId="63126AD7" w14:textId="108A2950" w:rsidR="00A91B78" w:rsidRPr="00090AF6" w:rsidRDefault="00897A5A" w:rsidP="00897A5A">
      <w:pPr>
        <w:numPr>
          <w:ilvl w:val="0"/>
          <w:numId w:val="2"/>
        </w:numPr>
        <w:ind w:left="0" w:hanging="11"/>
        <w:contextualSpacing/>
        <w:jc w:val="both"/>
        <w:rPr>
          <w:rFonts w:ascii="Verdana" w:hAnsi="Verdana" w:cs="Arial"/>
          <w:b/>
          <w:color w:val="222222"/>
          <w:sz w:val="20"/>
          <w:szCs w:val="20"/>
          <w:lang w:val="en-US"/>
        </w:rPr>
      </w:pPr>
      <w:r w:rsidRPr="00FE7BA7">
        <w:rPr>
          <w:rFonts w:ascii="Verdana" w:hAnsi="Verdana"/>
          <w:sz w:val="20"/>
          <w:szCs w:val="20"/>
          <w:lang w:val="en-US"/>
        </w:rPr>
        <w:t xml:space="preserve">The Commission also asked the Court, with regard to the mining concessions, to order the State to refrain from any act by the State or by private third parties </w:t>
      </w:r>
      <w:r w:rsidR="00090AF6">
        <w:rPr>
          <w:rFonts w:ascii="Verdana" w:hAnsi="Verdana"/>
          <w:sz w:val="20"/>
          <w:szCs w:val="20"/>
          <w:lang w:val="en-US"/>
        </w:rPr>
        <w:t xml:space="preserve">that might affect the enjoyment </w:t>
      </w:r>
      <w:r w:rsidR="00635ACD" w:rsidRPr="00090AF6">
        <w:rPr>
          <w:rFonts w:ascii="Verdana" w:hAnsi="Verdana"/>
          <w:sz w:val="20"/>
          <w:szCs w:val="20"/>
          <w:lang w:val="en-US"/>
        </w:rPr>
        <w:t xml:space="preserve">of the </w:t>
      </w:r>
      <w:r w:rsidR="004C7D14" w:rsidRPr="00090AF6">
        <w:rPr>
          <w:rFonts w:ascii="Verdana" w:hAnsi="Verdana"/>
          <w:sz w:val="20"/>
          <w:szCs w:val="20"/>
          <w:lang w:val="en-US"/>
        </w:rPr>
        <w:t>Kaliña and Lokono peoples</w:t>
      </w:r>
      <w:r w:rsidRPr="00090AF6">
        <w:rPr>
          <w:rFonts w:ascii="Verdana" w:hAnsi="Verdana"/>
          <w:sz w:val="20"/>
          <w:szCs w:val="20"/>
          <w:lang w:val="en-US"/>
        </w:rPr>
        <w:t>,</w:t>
      </w:r>
      <w:r w:rsidR="00A91B78" w:rsidRPr="00090AF6">
        <w:rPr>
          <w:rFonts w:ascii="Verdana" w:hAnsi="Verdana"/>
          <w:sz w:val="20"/>
          <w:szCs w:val="20"/>
          <w:lang w:val="en-US"/>
        </w:rPr>
        <w:t xml:space="preserve"> </w:t>
      </w:r>
      <w:r w:rsidRPr="00090AF6">
        <w:rPr>
          <w:rFonts w:ascii="Verdana" w:hAnsi="Verdana"/>
          <w:sz w:val="20"/>
          <w:szCs w:val="20"/>
          <w:lang w:val="en-US"/>
        </w:rPr>
        <w:t>such as concessions, development or investment proje</w:t>
      </w:r>
      <w:r w:rsidR="00090AF6">
        <w:rPr>
          <w:rFonts w:ascii="Verdana" w:hAnsi="Verdana"/>
          <w:sz w:val="20"/>
          <w:szCs w:val="20"/>
          <w:lang w:val="en-US"/>
        </w:rPr>
        <w:t xml:space="preserve">cts, or indiscriminate logging </w:t>
      </w:r>
      <w:r w:rsidRPr="00090AF6">
        <w:rPr>
          <w:rFonts w:ascii="Verdana" w:hAnsi="Verdana"/>
          <w:sz w:val="20"/>
          <w:szCs w:val="20"/>
          <w:lang w:val="en-US"/>
        </w:rPr>
        <w:t>that does not comply with the applicable international standards</w:t>
      </w:r>
      <w:r w:rsidR="00511E56" w:rsidRPr="00090AF6">
        <w:rPr>
          <w:rFonts w:ascii="Verdana" w:hAnsi="Verdana"/>
          <w:sz w:val="20"/>
          <w:szCs w:val="20"/>
          <w:lang w:val="en-US"/>
        </w:rPr>
        <w:t>.</w:t>
      </w:r>
      <w:r w:rsidR="00A91B78" w:rsidRPr="00090AF6">
        <w:rPr>
          <w:rFonts w:ascii="Verdana" w:hAnsi="Verdana"/>
          <w:sz w:val="20"/>
          <w:szCs w:val="20"/>
          <w:lang w:val="en-US"/>
        </w:rPr>
        <w:t xml:space="preserve"> </w:t>
      </w:r>
      <w:r w:rsidRPr="00090AF6">
        <w:rPr>
          <w:rFonts w:ascii="Verdana" w:hAnsi="Verdana"/>
          <w:sz w:val="20"/>
          <w:szCs w:val="20"/>
          <w:lang w:val="en-US"/>
        </w:rPr>
        <w:t xml:space="preserve">Also, in its final observations, the Commission specified that the measures of reparation should be complied with within a specific time frame. To the contrary, as ordered by the </w:t>
      </w:r>
      <w:r w:rsidR="002B5CCD" w:rsidRPr="00090AF6">
        <w:rPr>
          <w:rFonts w:ascii="Verdana" w:hAnsi="Verdana" w:cs="Arial"/>
          <w:color w:val="222222"/>
          <w:sz w:val="20"/>
          <w:szCs w:val="20"/>
          <w:lang w:val="en-US"/>
        </w:rPr>
        <w:t>Court</w:t>
      </w:r>
      <w:r w:rsidR="00A91B78" w:rsidRPr="00090AF6">
        <w:rPr>
          <w:rFonts w:ascii="Verdana" w:hAnsi="Verdana" w:cs="Arial"/>
          <w:color w:val="222222"/>
          <w:sz w:val="20"/>
          <w:szCs w:val="20"/>
          <w:lang w:val="en-US"/>
        </w:rPr>
        <w:t xml:space="preserve"> </w:t>
      </w:r>
      <w:r w:rsidR="00511E56" w:rsidRPr="00090AF6">
        <w:rPr>
          <w:rFonts w:ascii="Verdana" w:hAnsi="Verdana" w:cs="Arial"/>
          <w:color w:val="222222"/>
          <w:sz w:val="20"/>
          <w:szCs w:val="20"/>
          <w:lang w:val="en-US"/>
        </w:rPr>
        <w:t>in the case of the</w:t>
      </w:r>
      <w:r w:rsidR="00A91B78" w:rsidRPr="00090AF6">
        <w:rPr>
          <w:rFonts w:ascii="Verdana" w:hAnsi="Verdana" w:cs="Arial"/>
          <w:i/>
          <w:color w:val="222222"/>
          <w:sz w:val="20"/>
          <w:szCs w:val="20"/>
          <w:lang w:val="en-US"/>
        </w:rPr>
        <w:t xml:space="preserve"> Xákmok Kásek</w:t>
      </w:r>
      <w:r w:rsidR="00A91B78" w:rsidRPr="00090AF6">
        <w:rPr>
          <w:rFonts w:ascii="Verdana" w:hAnsi="Verdana" w:cs="Arial"/>
          <w:color w:val="222222"/>
          <w:sz w:val="20"/>
          <w:szCs w:val="20"/>
          <w:lang w:val="en-US"/>
        </w:rPr>
        <w:t xml:space="preserve">, </w:t>
      </w:r>
      <w:r w:rsidR="002B5CCD" w:rsidRPr="00090AF6">
        <w:rPr>
          <w:rFonts w:ascii="Verdana" w:hAnsi="Verdana" w:cs="Arial"/>
          <w:color w:val="222222"/>
          <w:sz w:val="20"/>
          <w:szCs w:val="20"/>
          <w:lang w:val="en-US"/>
        </w:rPr>
        <w:t>the State</w:t>
      </w:r>
      <w:r w:rsidR="00A91B78" w:rsidRPr="00090AF6">
        <w:rPr>
          <w:rFonts w:ascii="Verdana" w:hAnsi="Verdana" w:cs="Arial"/>
          <w:color w:val="222222"/>
          <w:sz w:val="20"/>
          <w:szCs w:val="20"/>
          <w:lang w:val="en-US"/>
        </w:rPr>
        <w:t xml:space="preserve"> </w:t>
      </w:r>
      <w:r w:rsidRPr="00090AF6">
        <w:rPr>
          <w:rFonts w:ascii="Verdana" w:hAnsi="Verdana" w:cs="Arial"/>
          <w:color w:val="222222"/>
          <w:sz w:val="20"/>
          <w:szCs w:val="20"/>
          <w:lang w:val="en-US"/>
        </w:rPr>
        <w:t>must pay compensation for non-compliance with the established time frame</w:t>
      </w:r>
      <w:r w:rsidR="00511E56" w:rsidRPr="00090AF6">
        <w:rPr>
          <w:rFonts w:ascii="Verdana" w:hAnsi="Verdana" w:cs="Arial"/>
          <w:color w:val="222222"/>
          <w:sz w:val="20"/>
          <w:szCs w:val="20"/>
          <w:lang w:val="en-US"/>
        </w:rPr>
        <w:t>.</w:t>
      </w:r>
    </w:p>
    <w:p w14:paraId="63126AD8" w14:textId="77777777" w:rsidR="00A91B78" w:rsidRPr="00FE7BA7" w:rsidRDefault="00A91B78" w:rsidP="00A91B78">
      <w:pPr>
        <w:jc w:val="both"/>
        <w:rPr>
          <w:rFonts w:ascii="Verdana" w:hAnsi="Verdana"/>
          <w:sz w:val="20"/>
          <w:szCs w:val="20"/>
          <w:lang w:val="en-US"/>
        </w:rPr>
      </w:pPr>
    </w:p>
    <w:p w14:paraId="63126AD9" w14:textId="4BF7C543" w:rsidR="00A91B78" w:rsidRPr="00090AF6" w:rsidRDefault="00897A5A" w:rsidP="00090AF6">
      <w:pPr>
        <w:numPr>
          <w:ilvl w:val="0"/>
          <w:numId w:val="2"/>
        </w:numPr>
        <w:ind w:left="0" w:hanging="11"/>
        <w:contextualSpacing/>
        <w:jc w:val="both"/>
        <w:rPr>
          <w:rFonts w:ascii="Verdana" w:hAnsi="Verdana"/>
          <w:sz w:val="20"/>
          <w:szCs w:val="20"/>
          <w:lang w:val="en-US"/>
        </w:rPr>
      </w:pPr>
      <w:r w:rsidRPr="00FE7BA7">
        <w:rPr>
          <w:rFonts w:ascii="Verdana" w:hAnsi="Verdana" w:cs="Arial"/>
          <w:color w:val="222222"/>
          <w:sz w:val="20"/>
          <w:szCs w:val="20"/>
          <w:lang w:val="en-US"/>
        </w:rPr>
        <w:t xml:space="preserve">Meanwhile, </w:t>
      </w:r>
      <w:r w:rsidR="00810FAD" w:rsidRPr="00FE7BA7">
        <w:rPr>
          <w:rFonts w:ascii="Verdana" w:hAnsi="Verdana"/>
          <w:sz w:val="20"/>
          <w:szCs w:val="20"/>
          <w:lang w:val="en-US"/>
        </w:rPr>
        <w:t xml:space="preserve">the </w:t>
      </w:r>
      <w:r w:rsidR="00810FAD" w:rsidRPr="006C4E70">
        <w:rPr>
          <w:rFonts w:ascii="Verdana" w:hAnsi="Verdana"/>
          <w:b/>
          <w:i/>
          <w:sz w:val="20"/>
          <w:szCs w:val="20"/>
          <w:lang w:val="en-US"/>
        </w:rPr>
        <w:t>representatives</w:t>
      </w:r>
      <w:r w:rsidR="00B51C8C" w:rsidRPr="00FE7BA7">
        <w:rPr>
          <w:rFonts w:ascii="Verdana" w:hAnsi="Verdana"/>
          <w:sz w:val="20"/>
          <w:szCs w:val="20"/>
          <w:lang w:val="en-US"/>
        </w:rPr>
        <w:t xml:space="preserve"> </w:t>
      </w:r>
      <w:r w:rsidRPr="00FE7BA7">
        <w:rPr>
          <w:rFonts w:ascii="Verdana" w:hAnsi="Verdana"/>
          <w:sz w:val="20"/>
          <w:szCs w:val="20"/>
          <w:lang w:val="en-US"/>
        </w:rPr>
        <w:t>asked</w:t>
      </w:r>
      <w:r w:rsidR="00B51C8C" w:rsidRPr="00FE7BA7">
        <w:rPr>
          <w:rFonts w:ascii="Verdana" w:hAnsi="Verdana" w:cs="Arial"/>
          <w:color w:val="222222"/>
          <w:sz w:val="20"/>
          <w:szCs w:val="20"/>
          <w:lang w:val="en-US"/>
        </w:rPr>
        <w:t xml:space="preserve"> </w:t>
      </w:r>
      <w:r w:rsidR="005B6D4B">
        <w:rPr>
          <w:rFonts w:ascii="Verdana" w:hAnsi="Verdana" w:cs="Arial"/>
          <w:color w:val="222222"/>
          <w:sz w:val="20"/>
          <w:szCs w:val="20"/>
          <w:lang w:val="en-US"/>
        </w:rPr>
        <w:t xml:space="preserve">that </w:t>
      </w:r>
      <w:r w:rsidR="002B5CCD" w:rsidRPr="00FE7BA7">
        <w:rPr>
          <w:rFonts w:ascii="Verdana" w:hAnsi="Verdana" w:cs="Arial"/>
          <w:color w:val="222222"/>
          <w:sz w:val="20"/>
          <w:szCs w:val="20"/>
          <w:lang w:val="en-US"/>
        </w:rPr>
        <w:t>the Court</w:t>
      </w:r>
      <w:r w:rsidR="00B51C8C" w:rsidRPr="00FE7BA7">
        <w:rPr>
          <w:rFonts w:ascii="Verdana" w:hAnsi="Verdana" w:cs="Arial"/>
          <w:color w:val="222222"/>
          <w:sz w:val="20"/>
          <w:szCs w:val="20"/>
          <w:lang w:val="en-US"/>
        </w:rPr>
        <w:t xml:space="preserve"> </w:t>
      </w:r>
      <w:r w:rsidRPr="00FE7BA7">
        <w:rPr>
          <w:rFonts w:ascii="Verdana" w:hAnsi="Verdana" w:cs="Arial"/>
          <w:color w:val="222222"/>
          <w:sz w:val="20"/>
          <w:szCs w:val="20"/>
          <w:lang w:val="en-US"/>
        </w:rPr>
        <w:t xml:space="preserve">order the State to </w:t>
      </w:r>
      <w:r w:rsidR="00090AF6">
        <w:rPr>
          <w:rFonts w:ascii="Verdana" w:hAnsi="Verdana" w:cs="Arial"/>
          <w:color w:val="222222"/>
          <w:sz w:val="20"/>
          <w:szCs w:val="20"/>
          <w:lang w:val="en-US"/>
        </w:rPr>
        <w:t>adopt</w:t>
      </w:r>
      <w:r w:rsidRPr="00FE7BA7">
        <w:rPr>
          <w:rFonts w:ascii="Verdana" w:hAnsi="Verdana" w:cs="Arial"/>
          <w:color w:val="222222"/>
          <w:sz w:val="20"/>
          <w:szCs w:val="20"/>
          <w:lang w:val="en-US"/>
        </w:rPr>
        <w:t xml:space="preserve"> any legislative, administrative</w:t>
      </w:r>
      <w:r w:rsidR="00090AF6">
        <w:rPr>
          <w:rFonts w:ascii="Verdana" w:hAnsi="Verdana" w:cs="Arial"/>
          <w:color w:val="222222"/>
          <w:sz w:val="20"/>
          <w:szCs w:val="20"/>
          <w:lang w:val="en-US"/>
        </w:rPr>
        <w:t>,</w:t>
      </w:r>
      <w:r w:rsidRPr="00FE7BA7">
        <w:rPr>
          <w:rFonts w:ascii="Verdana" w:hAnsi="Verdana" w:cs="Arial"/>
          <w:color w:val="222222"/>
          <w:sz w:val="20"/>
          <w:szCs w:val="20"/>
          <w:lang w:val="en-US"/>
        </w:rPr>
        <w:t xml:space="preserve"> and any other measure</w:t>
      </w:r>
      <w:r w:rsidR="00090AF6">
        <w:rPr>
          <w:rFonts w:ascii="Verdana" w:hAnsi="Verdana" w:cs="Arial"/>
          <w:color w:val="222222"/>
          <w:sz w:val="20"/>
          <w:szCs w:val="20"/>
          <w:lang w:val="en-US"/>
        </w:rPr>
        <w:t>s as may be required</w:t>
      </w:r>
      <w:r w:rsidRPr="00FE7BA7">
        <w:rPr>
          <w:rFonts w:ascii="Verdana" w:hAnsi="Verdana" w:cs="Arial"/>
          <w:color w:val="222222"/>
          <w:sz w:val="20"/>
          <w:szCs w:val="20"/>
          <w:lang w:val="en-US"/>
        </w:rPr>
        <w:t xml:space="preserve"> to: </w:t>
      </w:r>
      <w:r w:rsidR="00090AF6">
        <w:rPr>
          <w:rFonts w:ascii="Verdana" w:hAnsi="Verdana" w:cs="Arial"/>
          <w:color w:val="222222"/>
          <w:sz w:val="20"/>
          <w:szCs w:val="20"/>
          <w:lang w:val="en-US"/>
        </w:rPr>
        <w:t xml:space="preserve">(i) </w:t>
      </w:r>
      <w:r w:rsidRPr="00FE7BA7">
        <w:rPr>
          <w:rFonts w:ascii="Verdana" w:hAnsi="Verdana" w:cs="Arial"/>
          <w:color w:val="222222"/>
          <w:sz w:val="20"/>
          <w:szCs w:val="20"/>
          <w:lang w:val="en-US"/>
        </w:rPr>
        <w:t xml:space="preserve">recognize and </w:t>
      </w:r>
      <w:r w:rsidR="00090AF6">
        <w:rPr>
          <w:rFonts w:ascii="Verdana" w:hAnsi="Verdana" w:cs="Arial"/>
          <w:color w:val="222222"/>
          <w:sz w:val="20"/>
          <w:szCs w:val="20"/>
          <w:lang w:val="en-US"/>
        </w:rPr>
        <w:t>secure</w:t>
      </w:r>
      <w:r w:rsidRPr="00FE7BA7">
        <w:rPr>
          <w:rFonts w:ascii="Verdana" w:hAnsi="Verdana" w:cs="Arial"/>
          <w:color w:val="222222"/>
          <w:sz w:val="20"/>
          <w:szCs w:val="20"/>
          <w:lang w:val="en-US"/>
        </w:rPr>
        <w:t xml:space="preserve"> the right </w:t>
      </w:r>
      <w:r w:rsidRPr="00FE7BA7">
        <w:rPr>
          <w:rFonts w:ascii="Verdana" w:hAnsi="Verdana"/>
          <w:sz w:val="20"/>
          <w:szCs w:val="20"/>
          <w:lang w:val="en-US"/>
        </w:rPr>
        <w:t>of the Kaliña and Lokono peoples to</w:t>
      </w:r>
      <w:r w:rsidR="00090AF6">
        <w:rPr>
          <w:rFonts w:ascii="Verdana" w:hAnsi="Verdana"/>
          <w:sz w:val="20"/>
          <w:szCs w:val="20"/>
          <w:lang w:val="en-US"/>
        </w:rPr>
        <w:t xml:space="preserve"> juridical</w:t>
      </w:r>
      <w:r w:rsidRPr="00FE7BA7">
        <w:rPr>
          <w:rFonts w:ascii="Verdana" w:hAnsi="Verdana"/>
          <w:sz w:val="20"/>
          <w:szCs w:val="20"/>
          <w:lang w:val="en-US"/>
        </w:rPr>
        <w:t xml:space="preserve"> personality </w:t>
      </w:r>
      <w:r w:rsidR="00090AF6">
        <w:rPr>
          <w:rFonts w:ascii="Verdana" w:hAnsi="Verdana"/>
          <w:sz w:val="20"/>
          <w:szCs w:val="20"/>
          <w:lang w:val="en-US"/>
        </w:rPr>
        <w:t>with the purpose of ensuring</w:t>
      </w:r>
      <w:r w:rsidRPr="00FE7BA7">
        <w:rPr>
          <w:rFonts w:ascii="Verdana" w:hAnsi="Verdana"/>
          <w:sz w:val="20"/>
          <w:szCs w:val="20"/>
          <w:lang w:val="en-US"/>
        </w:rPr>
        <w:t xml:space="preserve"> the full exercise and enjoyment of their right to </w:t>
      </w:r>
      <w:r w:rsidR="00090AF6">
        <w:rPr>
          <w:rFonts w:ascii="Verdana" w:hAnsi="Verdana"/>
          <w:sz w:val="20"/>
          <w:szCs w:val="20"/>
          <w:lang w:val="en-US"/>
        </w:rPr>
        <w:t>communal property;</w:t>
      </w:r>
      <w:r w:rsidRPr="00FE7BA7">
        <w:rPr>
          <w:rFonts w:ascii="Verdana" w:hAnsi="Verdana"/>
          <w:sz w:val="20"/>
          <w:szCs w:val="20"/>
          <w:lang w:val="en-US"/>
        </w:rPr>
        <w:t xml:space="preserve"> (i</w:t>
      </w:r>
      <w:r w:rsidRPr="00FE7BA7">
        <w:rPr>
          <w:rFonts w:ascii="Verdana" w:hAnsi="Verdana" w:cs="Arial"/>
          <w:color w:val="222222"/>
          <w:sz w:val="20"/>
          <w:szCs w:val="20"/>
          <w:lang w:val="en-US"/>
        </w:rPr>
        <w:t xml:space="preserve">i) </w:t>
      </w:r>
      <w:r w:rsidR="00090AF6">
        <w:rPr>
          <w:rFonts w:ascii="Verdana" w:hAnsi="Verdana" w:cs="Arial"/>
          <w:color w:val="222222"/>
          <w:sz w:val="20"/>
          <w:szCs w:val="20"/>
          <w:lang w:val="en-US"/>
        </w:rPr>
        <w:t>create</w:t>
      </w:r>
      <w:r w:rsidRPr="00FE7BA7">
        <w:rPr>
          <w:rFonts w:ascii="Verdana" w:hAnsi="Verdana" w:cs="Arial"/>
          <w:color w:val="222222"/>
          <w:sz w:val="20"/>
          <w:szCs w:val="20"/>
          <w:lang w:val="en-US"/>
        </w:rPr>
        <w:t xml:space="preserve"> an effective mechanism</w:t>
      </w:r>
      <w:r w:rsidR="00090AF6">
        <w:rPr>
          <w:rFonts w:ascii="Verdana" w:hAnsi="Verdana" w:cs="Arial"/>
          <w:color w:val="222222"/>
          <w:sz w:val="20"/>
          <w:szCs w:val="20"/>
          <w:lang w:val="en-US"/>
        </w:rPr>
        <w:t xml:space="preserve"> for the delimitation, demarcation and titling of </w:t>
      </w:r>
      <w:r w:rsidR="00090AF6" w:rsidRPr="00FE7BA7">
        <w:rPr>
          <w:rFonts w:ascii="Verdana" w:hAnsi="Verdana"/>
          <w:sz w:val="20"/>
          <w:szCs w:val="20"/>
          <w:lang w:val="en-US"/>
        </w:rPr>
        <w:t>the Kaliña and Lokono peoples</w:t>
      </w:r>
      <w:r w:rsidR="00090AF6">
        <w:rPr>
          <w:rFonts w:ascii="Verdana" w:hAnsi="Verdana"/>
          <w:sz w:val="20"/>
          <w:szCs w:val="20"/>
          <w:lang w:val="en-US"/>
        </w:rPr>
        <w:t>’ traditionally owned territory</w:t>
      </w:r>
      <w:r w:rsidR="00090AF6">
        <w:rPr>
          <w:rFonts w:ascii="Verdana" w:hAnsi="Verdana" w:cs="Arial"/>
          <w:color w:val="222222"/>
          <w:sz w:val="20"/>
          <w:szCs w:val="20"/>
          <w:lang w:val="en-US"/>
        </w:rPr>
        <w:t xml:space="preserve"> </w:t>
      </w:r>
      <w:r w:rsidR="00090AF6" w:rsidRPr="00FE7BA7">
        <w:rPr>
          <w:rFonts w:ascii="Verdana" w:hAnsi="Verdana"/>
          <w:sz w:val="20"/>
          <w:szCs w:val="20"/>
          <w:lang w:val="en-US"/>
        </w:rPr>
        <w:t xml:space="preserve">and </w:t>
      </w:r>
      <w:r w:rsidR="00090AF6">
        <w:rPr>
          <w:rFonts w:ascii="Verdana" w:hAnsi="Verdana"/>
          <w:sz w:val="20"/>
          <w:szCs w:val="20"/>
          <w:lang w:val="en-US"/>
        </w:rPr>
        <w:t xml:space="preserve">their traditionally used </w:t>
      </w:r>
      <w:r w:rsidR="00090AF6" w:rsidRPr="00FE7BA7">
        <w:rPr>
          <w:rFonts w:ascii="Verdana" w:hAnsi="Verdana"/>
          <w:sz w:val="20"/>
          <w:szCs w:val="20"/>
          <w:lang w:val="en-US"/>
        </w:rPr>
        <w:t>natural resources</w:t>
      </w:r>
      <w:r w:rsidRPr="00FE7BA7">
        <w:rPr>
          <w:rFonts w:ascii="Verdana" w:hAnsi="Verdana" w:cs="Arial"/>
          <w:color w:val="222222"/>
          <w:sz w:val="20"/>
          <w:szCs w:val="20"/>
          <w:lang w:val="en-US"/>
        </w:rPr>
        <w:t xml:space="preserve">, </w:t>
      </w:r>
      <w:r w:rsidR="00090AF6">
        <w:rPr>
          <w:rFonts w:ascii="Verdana" w:hAnsi="Verdana" w:cs="Arial"/>
          <w:color w:val="222222"/>
          <w:sz w:val="20"/>
          <w:szCs w:val="20"/>
          <w:lang w:val="en-US"/>
        </w:rPr>
        <w:t xml:space="preserve">in accordance with their customary law, values, customs and mores and with full respect for the boundaries </w:t>
      </w:r>
      <w:r w:rsidR="00965219">
        <w:rPr>
          <w:rFonts w:ascii="Verdana" w:hAnsi="Verdana" w:cs="Arial"/>
          <w:color w:val="222222"/>
          <w:sz w:val="20"/>
          <w:szCs w:val="20"/>
          <w:lang w:val="en-US"/>
        </w:rPr>
        <w:t>traditionally</w:t>
      </w:r>
      <w:r w:rsidR="00090AF6">
        <w:rPr>
          <w:rFonts w:ascii="Verdana" w:hAnsi="Verdana" w:cs="Arial"/>
          <w:color w:val="222222"/>
          <w:sz w:val="20"/>
          <w:szCs w:val="20"/>
          <w:lang w:val="en-US"/>
        </w:rPr>
        <w:t xml:space="preserve"> acknowledged by these peoples and </w:t>
      </w:r>
      <w:r w:rsidR="00090AF6" w:rsidRPr="00FE7BA7">
        <w:rPr>
          <w:rFonts w:ascii="Verdana" w:hAnsi="Verdana"/>
          <w:sz w:val="20"/>
          <w:szCs w:val="20"/>
          <w:lang w:val="en-US"/>
        </w:rPr>
        <w:t>their neighbors, the N'djuka tribal peoples,</w:t>
      </w:r>
      <w:r w:rsidR="00090AF6">
        <w:rPr>
          <w:rFonts w:ascii="Verdana" w:hAnsi="Verdana"/>
          <w:sz w:val="20"/>
          <w:szCs w:val="20"/>
          <w:lang w:val="en-US"/>
        </w:rPr>
        <w:t xml:space="preserve"> </w:t>
      </w:r>
      <w:r w:rsidR="00090AF6" w:rsidRPr="00FE7BA7">
        <w:rPr>
          <w:rFonts w:ascii="Verdana" w:hAnsi="Verdana" w:cs="Arial"/>
          <w:color w:val="222222"/>
          <w:sz w:val="20"/>
          <w:szCs w:val="20"/>
          <w:lang w:val="en-US"/>
        </w:rPr>
        <w:t>with the collaboration of th</w:t>
      </w:r>
      <w:r w:rsidR="00090AF6">
        <w:rPr>
          <w:rFonts w:ascii="Verdana" w:hAnsi="Verdana" w:cs="Arial"/>
          <w:color w:val="222222"/>
          <w:sz w:val="20"/>
          <w:szCs w:val="20"/>
          <w:lang w:val="en-US"/>
        </w:rPr>
        <w:t xml:space="preserve">e victims and within 18 months. They </w:t>
      </w:r>
      <w:r w:rsidRPr="00090AF6">
        <w:rPr>
          <w:rFonts w:ascii="Verdana" w:hAnsi="Verdana"/>
          <w:sz w:val="20"/>
          <w:szCs w:val="20"/>
          <w:lang w:val="en-US"/>
        </w:rPr>
        <w:t xml:space="preserve">also asked that, until this process has been completed, </w:t>
      </w:r>
      <w:r w:rsidR="002B5CCD" w:rsidRPr="00090AF6">
        <w:rPr>
          <w:rFonts w:ascii="Verdana" w:hAnsi="Verdana"/>
          <w:sz w:val="20"/>
          <w:szCs w:val="20"/>
          <w:lang w:val="en-US"/>
        </w:rPr>
        <w:t xml:space="preserve">Suriname </w:t>
      </w:r>
      <w:r w:rsidR="00090AF6">
        <w:rPr>
          <w:rFonts w:ascii="Verdana" w:hAnsi="Verdana"/>
          <w:sz w:val="20"/>
          <w:szCs w:val="20"/>
          <w:lang w:val="en-US"/>
        </w:rPr>
        <w:t>abstain</w:t>
      </w:r>
      <w:r w:rsidRPr="00090AF6">
        <w:rPr>
          <w:rFonts w:ascii="Verdana" w:hAnsi="Verdana"/>
          <w:sz w:val="20"/>
          <w:szCs w:val="20"/>
          <w:lang w:val="en-US"/>
        </w:rPr>
        <w:t xml:space="preserve"> from any act that would </w:t>
      </w:r>
      <w:r w:rsidR="00090AF6">
        <w:rPr>
          <w:rFonts w:ascii="Verdana" w:hAnsi="Verdana"/>
          <w:sz w:val="20"/>
          <w:szCs w:val="20"/>
          <w:lang w:val="en-US"/>
        </w:rPr>
        <w:t>affect</w:t>
      </w:r>
      <w:r w:rsidRPr="00090AF6">
        <w:rPr>
          <w:rFonts w:ascii="Verdana" w:hAnsi="Verdana"/>
          <w:sz w:val="20"/>
          <w:szCs w:val="20"/>
          <w:lang w:val="en-US"/>
        </w:rPr>
        <w:t xml:space="preserve"> their territory, unless the State obtains the free, prior an</w:t>
      </w:r>
      <w:r w:rsidR="00F235F5" w:rsidRPr="00090AF6">
        <w:rPr>
          <w:rFonts w:ascii="Verdana" w:hAnsi="Verdana"/>
          <w:sz w:val="20"/>
          <w:szCs w:val="20"/>
          <w:lang w:val="en-US"/>
        </w:rPr>
        <w:t xml:space="preserve">d informed </w:t>
      </w:r>
      <w:r w:rsidRPr="00090AF6">
        <w:rPr>
          <w:rFonts w:ascii="Verdana" w:hAnsi="Verdana"/>
          <w:sz w:val="20"/>
          <w:szCs w:val="20"/>
          <w:lang w:val="en-US"/>
        </w:rPr>
        <w:t>consent</w:t>
      </w:r>
      <w:r w:rsidR="00F235F5" w:rsidRPr="00090AF6">
        <w:rPr>
          <w:rFonts w:ascii="Verdana" w:hAnsi="Verdana"/>
          <w:sz w:val="20"/>
          <w:szCs w:val="20"/>
          <w:lang w:val="en-US"/>
        </w:rPr>
        <w:t>;</w:t>
      </w:r>
      <w:r w:rsidR="00A91B78" w:rsidRPr="00090AF6">
        <w:rPr>
          <w:rFonts w:ascii="Verdana" w:hAnsi="Verdana"/>
          <w:sz w:val="20"/>
          <w:szCs w:val="20"/>
          <w:lang w:val="en-US"/>
        </w:rPr>
        <w:t xml:space="preserve"> </w:t>
      </w:r>
      <w:r w:rsidR="00F235F5" w:rsidRPr="00090AF6">
        <w:rPr>
          <w:rFonts w:ascii="Verdana" w:hAnsi="Verdana"/>
          <w:sz w:val="20"/>
          <w:szCs w:val="20"/>
          <w:lang w:val="en-US"/>
        </w:rPr>
        <w:t>(</w:t>
      </w:r>
      <w:r w:rsidR="00A91B78" w:rsidRPr="00090AF6">
        <w:rPr>
          <w:rFonts w:ascii="Verdana" w:hAnsi="Verdana"/>
          <w:sz w:val="20"/>
          <w:szCs w:val="20"/>
          <w:lang w:val="en-US"/>
        </w:rPr>
        <w:t>i</w:t>
      </w:r>
      <w:r w:rsidR="00B51C8C" w:rsidRPr="00090AF6">
        <w:rPr>
          <w:rFonts w:ascii="Verdana" w:hAnsi="Verdana"/>
          <w:sz w:val="20"/>
          <w:szCs w:val="20"/>
          <w:lang w:val="en-US"/>
        </w:rPr>
        <w:t>ii</w:t>
      </w:r>
      <w:r w:rsidR="00A91B78" w:rsidRPr="00090AF6">
        <w:rPr>
          <w:rFonts w:ascii="Verdana" w:hAnsi="Verdana"/>
          <w:sz w:val="20"/>
          <w:szCs w:val="20"/>
          <w:lang w:val="en-US"/>
        </w:rPr>
        <w:t>) restitu</w:t>
      </w:r>
      <w:r w:rsidR="00F235F5" w:rsidRPr="00090AF6">
        <w:rPr>
          <w:rFonts w:ascii="Verdana" w:hAnsi="Verdana"/>
          <w:sz w:val="20"/>
          <w:szCs w:val="20"/>
          <w:lang w:val="en-US"/>
        </w:rPr>
        <w:t xml:space="preserve">te the </w:t>
      </w:r>
      <w:r w:rsidR="00804BD4" w:rsidRPr="00090AF6">
        <w:rPr>
          <w:rFonts w:ascii="Verdana" w:hAnsi="Verdana"/>
          <w:sz w:val="20"/>
          <w:szCs w:val="20"/>
          <w:lang w:val="en-US"/>
        </w:rPr>
        <w:t>lands</w:t>
      </w:r>
      <w:r w:rsidR="00A91B78" w:rsidRPr="00090AF6">
        <w:rPr>
          <w:rFonts w:ascii="Verdana" w:hAnsi="Verdana"/>
          <w:sz w:val="20"/>
          <w:szCs w:val="20"/>
          <w:lang w:val="en-US"/>
        </w:rPr>
        <w:t xml:space="preserve"> </w:t>
      </w:r>
      <w:r w:rsidR="00F235F5" w:rsidRPr="00090AF6">
        <w:rPr>
          <w:rFonts w:ascii="Verdana" w:hAnsi="Verdana"/>
          <w:sz w:val="20"/>
          <w:szCs w:val="20"/>
          <w:lang w:val="en-US"/>
        </w:rPr>
        <w:t xml:space="preserve">that are in the hands of third parties; </w:t>
      </w:r>
      <w:r w:rsidR="00090AF6">
        <w:rPr>
          <w:rFonts w:ascii="Verdana" w:hAnsi="Verdana"/>
          <w:sz w:val="20"/>
          <w:szCs w:val="20"/>
          <w:lang w:val="en-US"/>
        </w:rPr>
        <w:t>(i</w:t>
      </w:r>
      <w:r w:rsidR="00B51C8C" w:rsidRPr="00090AF6">
        <w:rPr>
          <w:rFonts w:ascii="Verdana" w:hAnsi="Verdana"/>
          <w:sz w:val="20"/>
          <w:szCs w:val="20"/>
          <w:lang w:val="en-US"/>
        </w:rPr>
        <w:t>v</w:t>
      </w:r>
      <w:r w:rsidR="00A91B78" w:rsidRPr="00090AF6">
        <w:rPr>
          <w:rFonts w:ascii="Verdana" w:hAnsi="Verdana"/>
          <w:sz w:val="20"/>
          <w:szCs w:val="20"/>
          <w:lang w:val="en-US"/>
        </w:rPr>
        <w:t>) restitu</w:t>
      </w:r>
      <w:r w:rsidR="00F235F5" w:rsidRPr="00090AF6">
        <w:rPr>
          <w:rFonts w:ascii="Verdana" w:hAnsi="Verdana"/>
          <w:sz w:val="20"/>
          <w:szCs w:val="20"/>
          <w:lang w:val="en-US"/>
        </w:rPr>
        <w:t>te to the victims the</w:t>
      </w:r>
      <w:r w:rsidR="00A91B78" w:rsidRPr="00090AF6">
        <w:rPr>
          <w:rFonts w:ascii="Verdana" w:hAnsi="Verdana"/>
          <w:sz w:val="20"/>
          <w:szCs w:val="20"/>
          <w:lang w:val="en-US"/>
        </w:rPr>
        <w:t xml:space="preserve"> </w:t>
      </w:r>
      <w:r w:rsidR="00804BD4" w:rsidRPr="00090AF6">
        <w:rPr>
          <w:rFonts w:ascii="Verdana" w:hAnsi="Verdana"/>
          <w:sz w:val="20"/>
          <w:szCs w:val="20"/>
          <w:lang w:val="en-US"/>
        </w:rPr>
        <w:t>lands</w:t>
      </w:r>
      <w:r w:rsidR="00A91B78" w:rsidRPr="00090AF6">
        <w:rPr>
          <w:rFonts w:ascii="Verdana" w:hAnsi="Verdana"/>
          <w:sz w:val="20"/>
          <w:szCs w:val="20"/>
          <w:lang w:val="en-US"/>
        </w:rPr>
        <w:t xml:space="preserve"> incorpora</w:t>
      </w:r>
      <w:r w:rsidR="00F235F5" w:rsidRPr="00090AF6">
        <w:rPr>
          <w:rFonts w:ascii="Verdana" w:hAnsi="Verdana"/>
          <w:sz w:val="20"/>
          <w:szCs w:val="20"/>
          <w:lang w:val="en-US"/>
        </w:rPr>
        <w:t>ted into the protected areas and that form part of the</w:t>
      </w:r>
      <w:r w:rsidR="00A91B78" w:rsidRPr="00090AF6">
        <w:rPr>
          <w:rFonts w:ascii="Verdana" w:hAnsi="Verdana"/>
          <w:sz w:val="20"/>
          <w:szCs w:val="20"/>
          <w:lang w:val="en-US"/>
        </w:rPr>
        <w:t xml:space="preserve"> </w:t>
      </w:r>
      <w:r w:rsidR="00804BD4" w:rsidRPr="00090AF6">
        <w:rPr>
          <w:rFonts w:ascii="Verdana" w:hAnsi="Verdana"/>
          <w:sz w:val="20"/>
          <w:szCs w:val="20"/>
          <w:lang w:val="en-US"/>
        </w:rPr>
        <w:t>territories</w:t>
      </w:r>
      <w:r w:rsidR="00635ACD" w:rsidRPr="00090AF6">
        <w:rPr>
          <w:rFonts w:ascii="Verdana" w:hAnsi="Verdana"/>
          <w:sz w:val="20"/>
          <w:szCs w:val="20"/>
          <w:lang w:val="en-US"/>
        </w:rPr>
        <w:t xml:space="preserve"> of the </w:t>
      </w:r>
      <w:r w:rsidR="004C7D14" w:rsidRPr="00090AF6">
        <w:rPr>
          <w:rFonts w:ascii="Verdana" w:hAnsi="Verdana"/>
          <w:sz w:val="20"/>
          <w:szCs w:val="20"/>
          <w:lang w:val="en-US"/>
        </w:rPr>
        <w:t>Kaliña and Lokono peoples</w:t>
      </w:r>
      <w:r w:rsidR="00A91B78" w:rsidRPr="00090AF6">
        <w:rPr>
          <w:rFonts w:ascii="Verdana" w:hAnsi="Verdana"/>
          <w:sz w:val="20"/>
          <w:szCs w:val="20"/>
          <w:lang w:val="en-US"/>
        </w:rPr>
        <w:t>, reco</w:t>
      </w:r>
      <w:r w:rsidR="00F235F5" w:rsidRPr="00090AF6">
        <w:rPr>
          <w:rFonts w:ascii="Verdana" w:hAnsi="Verdana"/>
          <w:sz w:val="20"/>
          <w:szCs w:val="20"/>
          <w:lang w:val="en-US"/>
        </w:rPr>
        <w:t>gnizing their property right</w:t>
      </w:r>
      <w:r w:rsidR="00C07DBC">
        <w:rPr>
          <w:rFonts w:ascii="Verdana" w:hAnsi="Verdana"/>
          <w:sz w:val="20"/>
          <w:szCs w:val="20"/>
          <w:lang w:val="en-US"/>
        </w:rPr>
        <w:t>s</w:t>
      </w:r>
      <w:r w:rsidR="00F235F5" w:rsidRPr="00090AF6">
        <w:rPr>
          <w:rFonts w:ascii="Verdana" w:hAnsi="Verdana"/>
          <w:sz w:val="20"/>
          <w:szCs w:val="20"/>
          <w:lang w:val="en-US"/>
        </w:rPr>
        <w:t xml:space="preserve"> and </w:t>
      </w:r>
      <w:r w:rsidR="00090AF6">
        <w:rPr>
          <w:rFonts w:ascii="Verdana" w:hAnsi="Verdana"/>
          <w:sz w:val="20"/>
          <w:szCs w:val="20"/>
          <w:lang w:val="en-US"/>
        </w:rPr>
        <w:t>associated rights over tho</w:t>
      </w:r>
      <w:r w:rsidR="00F235F5" w:rsidRPr="00090AF6">
        <w:rPr>
          <w:rFonts w:ascii="Verdana" w:hAnsi="Verdana"/>
          <w:sz w:val="20"/>
          <w:szCs w:val="20"/>
          <w:lang w:val="en-US"/>
        </w:rPr>
        <w:t>se</w:t>
      </w:r>
      <w:r w:rsidR="00A91B78" w:rsidRPr="00090AF6">
        <w:rPr>
          <w:rFonts w:ascii="Verdana" w:hAnsi="Verdana"/>
          <w:sz w:val="20"/>
          <w:szCs w:val="20"/>
          <w:lang w:val="en-US"/>
        </w:rPr>
        <w:t xml:space="preserve"> </w:t>
      </w:r>
      <w:r w:rsidR="00804BD4" w:rsidRPr="00090AF6">
        <w:rPr>
          <w:rFonts w:ascii="Verdana" w:hAnsi="Verdana"/>
          <w:sz w:val="20"/>
          <w:szCs w:val="20"/>
          <w:lang w:val="en-US"/>
        </w:rPr>
        <w:t>lands</w:t>
      </w:r>
      <w:r w:rsidR="00A91B78" w:rsidRPr="00090AF6">
        <w:rPr>
          <w:rFonts w:ascii="Verdana" w:hAnsi="Verdana"/>
          <w:sz w:val="20"/>
          <w:szCs w:val="20"/>
          <w:lang w:val="en-US"/>
        </w:rPr>
        <w:t>, a</w:t>
      </w:r>
      <w:r w:rsidR="00F235F5" w:rsidRPr="00090AF6">
        <w:rPr>
          <w:rFonts w:ascii="Verdana" w:hAnsi="Verdana"/>
          <w:sz w:val="20"/>
          <w:szCs w:val="20"/>
          <w:lang w:val="en-US"/>
        </w:rPr>
        <w:t xml:space="preserve">nd also require the State to negotiate with </w:t>
      </w:r>
      <w:r w:rsidR="00810FAD" w:rsidRPr="00090AF6">
        <w:rPr>
          <w:rFonts w:ascii="Verdana" w:hAnsi="Verdana"/>
          <w:sz w:val="20"/>
          <w:szCs w:val="20"/>
          <w:lang w:val="en-US"/>
        </w:rPr>
        <w:t>the representatives</w:t>
      </w:r>
      <w:r w:rsidR="00DD751A" w:rsidRPr="00090AF6">
        <w:rPr>
          <w:rFonts w:ascii="Verdana" w:hAnsi="Verdana"/>
          <w:sz w:val="20"/>
          <w:szCs w:val="20"/>
          <w:lang w:val="en-US"/>
        </w:rPr>
        <w:t>,</w:t>
      </w:r>
      <w:r w:rsidR="00A91B78" w:rsidRPr="00090AF6">
        <w:rPr>
          <w:rFonts w:ascii="Verdana" w:hAnsi="Verdana"/>
          <w:sz w:val="20"/>
          <w:szCs w:val="20"/>
          <w:lang w:val="en-US"/>
        </w:rPr>
        <w:t xml:space="preserve"> </w:t>
      </w:r>
      <w:r w:rsidR="00F235F5" w:rsidRPr="00090AF6">
        <w:rPr>
          <w:rFonts w:ascii="Verdana" w:hAnsi="Verdana"/>
          <w:sz w:val="20"/>
          <w:szCs w:val="20"/>
          <w:lang w:val="en-US"/>
        </w:rPr>
        <w:t xml:space="preserve">freely chosen by the victims, the possible maintenance of the protected areas, ecosystem and species management plans, and </w:t>
      </w:r>
      <w:r w:rsidR="00090AF6">
        <w:rPr>
          <w:rFonts w:ascii="Verdana" w:hAnsi="Verdana"/>
          <w:sz w:val="20"/>
          <w:szCs w:val="20"/>
          <w:lang w:val="en-US"/>
        </w:rPr>
        <w:t>equitable benefit-sharing mechanisms;</w:t>
      </w:r>
      <w:r w:rsidR="00A91B78" w:rsidRPr="00090AF6">
        <w:rPr>
          <w:rFonts w:ascii="Verdana" w:hAnsi="Verdana"/>
          <w:sz w:val="20"/>
          <w:szCs w:val="20"/>
          <w:lang w:val="en-US"/>
        </w:rPr>
        <w:t xml:space="preserve"> </w:t>
      </w:r>
      <w:r w:rsidR="00511E56" w:rsidRPr="00090AF6">
        <w:rPr>
          <w:rFonts w:ascii="Verdana" w:hAnsi="Verdana"/>
          <w:sz w:val="20"/>
          <w:szCs w:val="20"/>
          <w:lang w:val="en-US"/>
        </w:rPr>
        <w:t>(</w:t>
      </w:r>
      <w:r w:rsidR="00A91B78" w:rsidRPr="00090AF6">
        <w:rPr>
          <w:rFonts w:ascii="Verdana" w:hAnsi="Verdana"/>
          <w:sz w:val="20"/>
          <w:szCs w:val="20"/>
          <w:lang w:val="en-US"/>
        </w:rPr>
        <w:t>v) revi</w:t>
      </w:r>
      <w:r w:rsidR="00090AF6">
        <w:rPr>
          <w:rFonts w:ascii="Verdana" w:hAnsi="Verdana"/>
          <w:sz w:val="20"/>
          <w:szCs w:val="20"/>
          <w:lang w:val="en-US"/>
        </w:rPr>
        <w:t>ew and, when</w:t>
      </w:r>
      <w:r w:rsidR="00F235F5" w:rsidRPr="00090AF6">
        <w:rPr>
          <w:rFonts w:ascii="Verdana" w:hAnsi="Verdana"/>
          <w:sz w:val="20"/>
          <w:szCs w:val="20"/>
          <w:lang w:val="en-US"/>
        </w:rPr>
        <w:t xml:space="preserve"> appropriate, revoke logging and </w:t>
      </w:r>
      <w:r w:rsidR="00090AF6">
        <w:rPr>
          <w:rFonts w:ascii="Verdana" w:hAnsi="Verdana"/>
          <w:sz w:val="20"/>
          <w:szCs w:val="20"/>
          <w:lang w:val="en-US"/>
        </w:rPr>
        <w:t xml:space="preserve">oil </w:t>
      </w:r>
      <w:r w:rsidR="00F235F5" w:rsidRPr="00090AF6">
        <w:rPr>
          <w:rFonts w:ascii="Verdana" w:hAnsi="Verdana"/>
          <w:sz w:val="20"/>
          <w:szCs w:val="20"/>
          <w:lang w:val="en-US"/>
        </w:rPr>
        <w:t xml:space="preserve">palm </w:t>
      </w:r>
      <w:r w:rsidR="00090AF6">
        <w:rPr>
          <w:rFonts w:ascii="Verdana" w:hAnsi="Verdana"/>
          <w:sz w:val="20"/>
          <w:szCs w:val="20"/>
          <w:lang w:val="en-US"/>
        </w:rPr>
        <w:t xml:space="preserve">concessions within </w:t>
      </w:r>
      <w:r w:rsidR="00F235F5" w:rsidRPr="00090AF6">
        <w:rPr>
          <w:rFonts w:ascii="Verdana" w:hAnsi="Verdana"/>
          <w:sz w:val="20"/>
          <w:szCs w:val="20"/>
          <w:lang w:val="en-US"/>
        </w:rPr>
        <w:t xml:space="preserve">the territory </w:t>
      </w:r>
      <w:r w:rsidR="00635ACD" w:rsidRPr="00090AF6">
        <w:rPr>
          <w:rFonts w:ascii="Verdana" w:hAnsi="Verdana"/>
          <w:sz w:val="20"/>
          <w:szCs w:val="20"/>
          <w:lang w:val="en-US"/>
        </w:rPr>
        <w:t xml:space="preserve">of the </w:t>
      </w:r>
      <w:r w:rsidR="004C7D14" w:rsidRPr="00090AF6">
        <w:rPr>
          <w:rFonts w:ascii="Verdana" w:hAnsi="Verdana"/>
          <w:sz w:val="20"/>
          <w:szCs w:val="20"/>
          <w:lang w:val="en-US"/>
        </w:rPr>
        <w:t>Kaliña and Lokono peoples</w:t>
      </w:r>
      <w:r w:rsidR="00A91B78" w:rsidRPr="00090AF6">
        <w:rPr>
          <w:rFonts w:ascii="Verdana" w:hAnsi="Verdana"/>
          <w:sz w:val="20"/>
          <w:szCs w:val="20"/>
          <w:lang w:val="en-US"/>
        </w:rPr>
        <w:t xml:space="preserve">, </w:t>
      </w:r>
      <w:r w:rsidR="00F235F5" w:rsidRPr="00090AF6">
        <w:rPr>
          <w:rFonts w:ascii="Verdana" w:hAnsi="Verdana"/>
          <w:sz w:val="20"/>
          <w:szCs w:val="20"/>
          <w:lang w:val="en-US"/>
        </w:rPr>
        <w:t xml:space="preserve">with the effective participation of the victims, </w:t>
      </w:r>
      <w:r w:rsidR="002B5CCD" w:rsidRPr="00090AF6">
        <w:rPr>
          <w:rFonts w:ascii="Verdana" w:hAnsi="Verdana"/>
          <w:sz w:val="20"/>
          <w:szCs w:val="20"/>
          <w:lang w:val="en-US"/>
        </w:rPr>
        <w:t xml:space="preserve">and </w:t>
      </w:r>
      <w:r w:rsidR="00F235F5" w:rsidRPr="00090AF6">
        <w:rPr>
          <w:rFonts w:ascii="Verdana" w:hAnsi="Verdana"/>
          <w:sz w:val="20"/>
          <w:szCs w:val="20"/>
          <w:lang w:val="en-US"/>
        </w:rPr>
        <w:t>(</w:t>
      </w:r>
      <w:r w:rsidR="00B51C8C" w:rsidRPr="00090AF6">
        <w:rPr>
          <w:rFonts w:ascii="Verdana" w:hAnsi="Verdana"/>
          <w:sz w:val="20"/>
          <w:szCs w:val="20"/>
          <w:lang w:val="en-US"/>
        </w:rPr>
        <w:t xml:space="preserve">vi) </w:t>
      </w:r>
      <w:r w:rsidR="00F235F5" w:rsidRPr="00090AF6">
        <w:rPr>
          <w:rFonts w:ascii="Verdana" w:hAnsi="Verdana"/>
          <w:sz w:val="20"/>
          <w:szCs w:val="20"/>
          <w:lang w:val="en-US"/>
        </w:rPr>
        <w:t xml:space="preserve">guarantee the prior and informed consultation and the effective participation in </w:t>
      </w:r>
      <w:r w:rsidR="00090AF6">
        <w:rPr>
          <w:rFonts w:ascii="Verdana" w:hAnsi="Verdana"/>
          <w:sz w:val="20"/>
          <w:szCs w:val="20"/>
          <w:lang w:val="en-US"/>
        </w:rPr>
        <w:t>activities</w:t>
      </w:r>
      <w:r w:rsidR="00F235F5" w:rsidRPr="00090AF6">
        <w:rPr>
          <w:rFonts w:ascii="Verdana" w:hAnsi="Verdana"/>
          <w:sz w:val="20"/>
          <w:szCs w:val="20"/>
          <w:lang w:val="en-US"/>
        </w:rPr>
        <w:t xml:space="preserve"> that may affect </w:t>
      </w:r>
      <w:r w:rsidR="002B5CCD" w:rsidRPr="00090AF6">
        <w:rPr>
          <w:rFonts w:ascii="Verdana" w:hAnsi="Verdana"/>
          <w:sz w:val="20"/>
          <w:szCs w:val="20"/>
          <w:lang w:val="en-US"/>
        </w:rPr>
        <w:t xml:space="preserve">the </w:t>
      </w:r>
      <w:r w:rsidR="004C7D14" w:rsidRPr="00090AF6">
        <w:rPr>
          <w:rFonts w:ascii="Verdana" w:hAnsi="Verdana"/>
          <w:sz w:val="20"/>
          <w:szCs w:val="20"/>
          <w:lang w:val="en-US"/>
        </w:rPr>
        <w:t>Kaliña and Lokono peoples</w:t>
      </w:r>
      <w:r w:rsidR="00B51C8C" w:rsidRPr="00090AF6">
        <w:rPr>
          <w:rFonts w:ascii="Verdana" w:hAnsi="Verdana"/>
          <w:sz w:val="20"/>
          <w:szCs w:val="20"/>
          <w:lang w:val="en-US"/>
        </w:rPr>
        <w:t xml:space="preserve"> o</w:t>
      </w:r>
      <w:r w:rsidR="00F235F5" w:rsidRPr="00090AF6">
        <w:rPr>
          <w:rFonts w:ascii="Verdana" w:hAnsi="Verdana"/>
          <w:sz w:val="20"/>
          <w:szCs w:val="20"/>
          <w:lang w:val="en-US"/>
        </w:rPr>
        <w:t>r their</w:t>
      </w:r>
      <w:r w:rsidR="00B51C8C" w:rsidRPr="00090AF6">
        <w:rPr>
          <w:rFonts w:ascii="Verdana" w:hAnsi="Verdana"/>
          <w:sz w:val="20"/>
          <w:szCs w:val="20"/>
          <w:lang w:val="en-US"/>
        </w:rPr>
        <w:t xml:space="preserve"> </w:t>
      </w:r>
      <w:r w:rsidR="00804BD4" w:rsidRPr="00090AF6">
        <w:rPr>
          <w:rFonts w:ascii="Verdana" w:hAnsi="Verdana"/>
          <w:sz w:val="20"/>
          <w:szCs w:val="20"/>
          <w:lang w:val="en-US"/>
        </w:rPr>
        <w:t>territories</w:t>
      </w:r>
      <w:r w:rsidR="00B51C8C" w:rsidRPr="00090AF6">
        <w:rPr>
          <w:rFonts w:ascii="Verdana" w:hAnsi="Verdana"/>
          <w:sz w:val="20"/>
          <w:szCs w:val="20"/>
          <w:lang w:val="en-US"/>
        </w:rPr>
        <w:t xml:space="preserve">, </w:t>
      </w:r>
      <w:r w:rsidR="00ED1811" w:rsidRPr="00090AF6">
        <w:rPr>
          <w:rFonts w:ascii="Verdana" w:hAnsi="Verdana"/>
          <w:sz w:val="20"/>
          <w:szCs w:val="20"/>
          <w:lang w:val="en-US"/>
        </w:rPr>
        <w:t>a</w:t>
      </w:r>
      <w:r w:rsidR="00F235F5" w:rsidRPr="00090AF6">
        <w:rPr>
          <w:rFonts w:ascii="Verdana" w:hAnsi="Verdana"/>
          <w:sz w:val="20"/>
          <w:szCs w:val="20"/>
          <w:lang w:val="en-US"/>
        </w:rPr>
        <w:t>nd also share, reasonably, the benefits of any development project executed in their territory</w:t>
      </w:r>
      <w:r w:rsidR="00511E56" w:rsidRPr="00090AF6">
        <w:rPr>
          <w:rFonts w:ascii="Verdana" w:hAnsi="Verdana"/>
          <w:sz w:val="20"/>
          <w:szCs w:val="20"/>
          <w:lang w:val="en-US"/>
        </w:rPr>
        <w:t>.</w:t>
      </w:r>
    </w:p>
    <w:p w14:paraId="63126ADA" w14:textId="77777777" w:rsidR="00A91B78" w:rsidRPr="00FE7BA7" w:rsidRDefault="00A91B78" w:rsidP="00A91B78">
      <w:pPr>
        <w:jc w:val="both"/>
        <w:rPr>
          <w:rFonts w:ascii="Verdana" w:hAnsi="Verdana"/>
          <w:sz w:val="20"/>
          <w:szCs w:val="20"/>
          <w:lang w:val="en-US"/>
        </w:rPr>
      </w:pPr>
    </w:p>
    <w:p w14:paraId="63126ADB" w14:textId="77777777" w:rsidR="00A91B78" w:rsidRPr="00C07DBC" w:rsidRDefault="002B5CCD" w:rsidP="00A91B78">
      <w:pPr>
        <w:numPr>
          <w:ilvl w:val="0"/>
          <w:numId w:val="2"/>
        </w:numPr>
        <w:ind w:left="0" w:hanging="11"/>
        <w:contextualSpacing/>
        <w:jc w:val="both"/>
        <w:rPr>
          <w:rFonts w:ascii="Verdana" w:hAnsi="Verdana"/>
          <w:sz w:val="20"/>
          <w:szCs w:val="20"/>
          <w:lang w:val="en-US"/>
        </w:rPr>
      </w:pPr>
      <w:r w:rsidRPr="000D7C04">
        <w:rPr>
          <w:rFonts w:ascii="Verdana" w:hAnsi="Verdana"/>
          <w:sz w:val="20"/>
          <w:szCs w:val="20"/>
          <w:lang w:val="en-US"/>
        </w:rPr>
        <w:t xml:space="preserve">The </w:t>
      </w:r>
      <w:r w:rsidRPr="006C4E70">
        <w:rPr>
          <w:rFonts w:ascii="Verdana" w:hAnsi="Verdana"/>
          <w:b/>
          <w:i/>
          <w:sz w:val="20"/>
          <w:szCs w:val="20"/>
          <w:lang w:val="en-US"/>
        </w:rPr>
        <w:t>State</w:t>
      </w:r>
      <w:r w:rsidR="00275235" w:rsidRPr="006C4E70">
        <w:rPr>
          <w:rFonts w:ascii="Verdana" w:hAnsi="Verdana"/>
          <w:b/>
          <w:i/>
          <w:sz w:val="20"/>
          <w:szCs w:val="20"/>
          <w:lang w:val="en-US"/>
        </w:rPr>
        <w:t xml:space="preserve"> </w:t>
      </w:r>
      <w:r w:rsidR="00F235F5" w:rsidRPr="000D7C04">
        <w:rPr>
          <w:rFonts w:ascii="Verdana" w:hAnsi="Verdana"/>
          <w:sz w:val="20"/>
          <w:szCs w:val="20"/>
          <w:lang w:val="en-US"/>
        </w:rPr>
        <w:t xml:space="preserve">did not comment on the claims of </w:t>
      </w:r>
      <w:r w:rsidRPr="000D7C04">
        <w:rPr>
          <w:rFonts w:ascii="Verdana" w:hAnsi="Verdana"/>
          <w:sz w:val="20"/>
          <w:szCs w:val="20"/>
          <w:lang w:val="en-US"/>
        </w:rPr>
        <w:t xml:space="preserve">the Commission and </w:t>
      </w:r>
      <w:r w:rsidR="00810FAD" w:rsidRPr="000D7C04">
        <w:rPr>
          <w:rFonts w:ascii="Verdana" w:hAnsi="Verdana"/>
          <w:sz w:val="20"/>
          <w:szCs w:val="20"/>
          <w:lang w:val="en-US"/>
        </w:rPr>
        <w:t>the</w:t>
      </w:r>
      <w:r w:rsidR="00810FAD" w:rsidRPr="00FE7BA7">
        <w:rPr>
          <w:rFonts w:ascii="Verdana" w:hAnsi="Verdana"/>
          <w:sz w:val="20"/>
          <w:szCs w:val="20"/>
          <w:lang w:val="en-US"/>
        </w:rPr>
        <w:t xml:space="preserve"> representatives</w:t>
      </w:r>
      <w:r w:rsidR="00A91B78" w:rsidRPr="00FE7BA7">
        <w:rPr>
          <w:rFonts w:ascii="Verdana" w:hAnsi="Verdana"/>
          <w:sz w:val="20"/>
          <w:szCs w:val="20"/>
          <w:lang w:val="en-US"/>
        </w:rPr>
        <w:t xml:space="preserve"> concerni</w:t>
      </w:r>
      <w:r w:rsidR="00F235F5" w:rsidRPr="00FE7BA7">
        <w:rPr>
          <w:rFonts w:ascii="Verdana" w:hAnsi="Verdana"/>
          <w:sz w:val="20"/>
          <w:szCs w:val="20"/>
          <w:lang w:val="en-US"/>
        </w:rPr>
        <w:t>ng measures of r</w:t>
      </w:r>
      <w:r w:rsidR="00C34C52" w:rsidRPr="00FE7BA7">
        <w:rPr>
          <w:rFonts w:ascii="Verdana" w:hAnsi="Verdana"/>
          <w:sz w:val="20"/>
          <w:szCs w:val="20"/>
          <w:lang w:val="en-US"/>
        </w:rPr>
        <w:t>estitution</w:t>
      </w:r>
      <w:r w:rsidR="000D7C04" w:rsidRPr="000D7C04">
        <w:rPr>
          <w:rFonts w:ascii="Verdana" w:hAnsi="Verdana"/>
          <w:sz w:val="20"/>
          <w:szCs w:val="20"/>
          <w:lang w:val="en-US"/>
        </w:rPr>
        <w:t xml:space="preserve"> in its answering brief</w:t>
      </w:r>
      <w:r w:rsidR="00A91B78" w:rsidRPr="00FE7BA7">
        <w:rPr>
          <w:rFonts w:ascii="Verdana" w:hAnsi="Verdana"/>
          <w:sz w:val="20"/>
          <w:szCs w:val="20"/>
          <w:lang w:val="en-US"/>
        </w:rPr>
        <w:t xml:space="preserve">. </w:t>
      </w:r>
      <w:r w:rsidR="00F235F5" w:rsidRPr="00FE7BA7">
        <w:rPr>
          <w:rFonts w:ascii="Verdana" w:hAnsi="Verdana"/>
          <w:sz w:val="20"/>
          <w:szCs w:val="20"/>
          <w:lang w:val="en-US"/>
        </w:rPr>
        <w:t xml:space="preserve">However, in its final arguments, the State </w:t>
      </w:r>
      <w:r w:rsidR="000D7C04">
        <w:rPr>
          <w:rFonts w:ascii="Verdana" w:hAnsi="Verdana"/>
          <w:sz w:val="20"/>
          <w:szCs w:val="20"/>
          <w:lang w:val="en-US"/>
        </w:rPr>
        <w:t>asserted</w:t>
      </w:r>
      <w:r w:rsidR="00F235F5" w:rsidRPr="00FE7BA7">
        <w:rPr>
          <w:rFonts w:ascii="Verdana" w:hAnsi="Verdana"/>
          <w:sz w:val="20"/>
          <w:szCs w:val="20"/>
          <w:lang w:val="en-US"/>
        </w:rPr>
        <w:t xml:space="preserve"> the following with regard to the requests of the parties </w:t>
      </w:r>
      <w:r w:rsidRPr="00FE7BA7">
        <w:rPr>
          <w:rFonts w:ascii="Verdana" w:hAnsi="Verdana"/>
          <w:sz w:val="20"/>
          <w:szCs w:val="20"/>
          <w:lang w:val="en-US"/>
        </w:rPr>
        <w:t>and the Commission</w:t>
      </w:r>
      <w:r w:rsidR="00A91B78" w:rsidRPr="00FE7BA7">
        <w:rPr>
          <w:rFonts w:ascii="Verdana" w:hAnsi="Verdana"/>
          <w:sz w:val="20"/>
          <w:szCs w:val="20"/>
          <w:lang w:val="en-US"/>
        </w:rPr>
        <w:t xml:space="preserve">: </w:t>
      </w:r>
      <w:r w:rsidR="00511E56" w:rsidRPr="00FE7BA7">
        <w:rPr>
          <w:rFonts w:ascii="Verdana" w:hAnsi="Verdana"/>
          <w:sz w:val="20"/>
          <w:szCs w:val="20"/>
          <w:lang w:val="en-US"/>
        </w:rPr>
        <w:t>(</w:t>
      </w:r>
      <w:r w:rsidR="00A91B78" w:rsidRPr="00FE7BA7">
        <w:rPr>
          <w:rFonts w:ascii="Verdana" w:hAnsi="Verdana"/>
          <w:sz w:val="20"/>
          <w:szCs w:val="20"/>
          <w:lang w:val="en-US"/>
        </w:rPr>
        <w:t>i)</w:t>
      </w:r>
      <w:r w:rsidR="00275235" w:rsidRPr="00FE7BA7">
        <w:rPr>
          <w:rFonts w:ascii="Verdana" w:hAnsi="Verdana"/>
          <w:sz w:val="20"/>
          <w:szCs w:val="20"/>
          <w:lang w:val="en-US"/>
        </w:rPr>
        <w:t xml:space="preserve"> </w:t>
      </w:r>
      <w:r w:rsidR="00F235F5" w:rsidRPr="00FE7BA7">
        <w:rPr>
          <w:rFonts w:ascii="Verdana" w:hAnsi="Verdana"/>
          <w:sz w:val="20"/>
          <w:szCs w:val="20"/>
          <w:lang w:val="en-US"/>
        </w:rPr>
        <w:t xml:space="preserve">the </w:t>
      </w:r>
      <w:r w:rsidR="00FE7BA7" w:rsidRPr="00FE7BA7">
        <w:rPr>
          <w:rFonts w:ascii="Verdana" w:hAnsi="Verdana"/>
          <w:sz w:val="20"/>
          <w:szCs w:val="20"/>
          <w:lang w:val="en-US"/>
        </w:rPr>
        <w:t>delimitation</w:t>
      </w:r>
      <w:r w:rsidR="00F235F5" w:rsidRPr="00FE7BA7">
        <w:rPr>
          <w:rFonts w:ascii="Verdana" w:hAnsi="Verdana"/>
          <w:sz w:val="20"/>
          <w:szCs w:val="20"/>
          <w:lang w:val="en-US"/>
        </w:rPr>
        <w:t>, titling and demarcation involve</w:t>
      </w:r>
      <w:r w:rsidR="00C07DBC">
        <w:rPr>
          <w:rFonts w:ascii="Verdana" w:hAnsi="Verdana"/>
          <w:sz w:val="20"/>
          <w:szCs w:val="20"/>
          <w:lang w:val="en-US"/>
        </w:rPr>
        <w:t>d</w:t>
      </w:r>
      <w:r w:rsidR="00F235F5" w:rsidRPr="00FE7BA7">
        <w:rPr>
          <w:rFonts w:ascii="Verdana" w:hAnsi="Verdana"/>
          <w:sz w:val="20"/>
          <w:szCs w:val="20"/>
          <w:lang w:val="en-US"/>
        </w:rPr>
        <w:t xml:space="preserve"> a series of difficulties that, in principle, would </w:t>
      </w:r>
      <w:r w:rsidR="00F235F5" w:rsidRPr="00FE7BA7">
        <w:rPr>
          <w:rFonts w:ascii="Verdana" w:hAnsi="Verdana"/>
          <w:sz w:val="20"/>
          <w:szCs w:val="20"/>
          <w:lang w:val="en-US"/>
        </w:rPr>
        <w:lastRenderedPageBreak/>
        <w:t>make this unviable</w:t>
      </w:r>
      <w:r w:rsidR="000D7C04">
        <w:rPr>
          <w:rFonts w:ascii="Verdana" w:hAnsi="Verdana"/>
          <w:sz w:val="20"/>
          <w:szCs w:val="20"/>
          <w:lang w:val="en-US"/>
        </w:rPr>
        <w:t>;</w:t>
      </w:r>
      <w:r w:rsidR="00511E56" w:rsidRPr="00FE7BA7">
        <w:rPr>
          <w:rFonts w:ascii="Verdana" w:hAnsi="Verdana"/>
          <w:sz w:val="20"/>
          <w:szCs w:val="20"/>
          <w:lang w:val="en-US"/>
        </w:rPr>
        <w:t xml:space="preserve"> (</w:t>
      </w:r>
      <w:r w:rsidR="00A91B78" w:rsidRPr="00FE7BA7">
        <w:rPr>
          <w:rFonts w:ascii="Verdana" w:hAnsi="Verdana"/>
          <w:sz w:val="20"/>
          <w:szCs w:val="20"/>
          <w:lang w:val="en-US"/>
        </w:rPr>
        <w:t xml:space="preserve">ii) </w:t>
      </w:r>
      <w:r w:rsidR="00BD40EF" w:rsidRPr="00FE7BA7">
        <w:rPr>
          <w:rFonts w:ascii="Verdana" w:hAnsi="Verdana"/>
          <w:sz w:val="20"/>
          <w:szCs w:val="20"/>
          <w:lang w:val="en-US"/>
        </w:rPr>
        <w:t>the indigenous peoples</w:t>
      </w:r>
      <w:r w:rsidR="00A91B78" w:rsidRPr="00FE7BA7">
        <w:rPr>
          <w:rFonts w:ascii="Verdana" w:hAnsi="Verdana"/>
          <w:sz w:val="20"/>
          <w:szCs w:val="20"/>
          <w:lang w:val="en-US"/>
        </w:rPr>
        <w:t xml:space="preserve"> </w:t>
      </w:r>
      <w:r w:rsidR="00C07DBC">
        <w:rPr>
          <w:rFonts w:ascii="Verdana" w:hAnsi="Verdana"/>
          <w:sz w:val="20"/>
          <w:szCs w:val="20"/>
          <w:lang w:val="en-US"/>
        </w:rPr>
        <w:t>did</w:t>
      </w:r>
      <w:r w:rsidR="00F235F5" w:rsidRPr="00FE7BA7">
        <w:rPr>
          <w:rFonts w:ascii="Verdana" w:hAnsi="Verdana"/>
          <w:sz w:val="20"/>
          <w:szCs w:val="20"/>
          <w:lang w:val="en-US"/>
        </w:rPr>
        <w:t xml:space="preserve"> not </w:t>
      </w:r>
      <w:r w:rsidR="000D7C04">
        <w:rPr>
          <w:rFonts w:ascii="Verdana" w:hAnsi="Verdana"/>
          <w:sz w:val="20"/>
          <w:szCs w:val="20"/>
          <w:lang w:val="en-US"/>
        </w:rPr>
        <w:t>possess</w:t>
      </w:r>
      <w:r w:rsidR="00F235F5" w:rsidRPr="00FE7BA7">
        <w:rPr>
          <w:rFonts w:ascii="Verdana" w:hAnsi="Verdana"/>
          <w:sz w:val="20"/>
          <w:szCs w:val="20"/>
          <w:lang w:val="en-US"/>
        </w:rPr>
        <w:t xml:space="preserve"> the capacity to take on the management of the reserves </w:t>
      </w:r>
      <w:r w:rsidR="00A91B78" w:rsidRPr="00FE7BA7">
        <w:rPr>
          <w:rFonts w:ascii="Verdana" w:hAnsi="Verdana"/>
          <w:sz w:val="20"/>
          <w:szCs w:val="20"/>
          <w:lang w:val="en-US"/>
        </w:rPr>
        <w:t>(</w:t>
      </w:r>
      <w:r w:rsidR="00366D91" w:rsidRPr="00FE7BA7">
        <w:rPr>
          <w:rFonts w:ascii="Verdana" w:hAnsi="Verdana"/>
          <w:i/>
          <w:sz w:val="20"/>
          <w:szCs w:val="20"/>
          <w:lang w:val="en-US"/>
        </w:rPr>
        <w:t>supra</w:t>
      </w:r>
      <w:r w:rsidR="00A91B78" w:rsidRPr="00FE7BA7">
        <w:rPr>
          <w:rFonts w:ascii="Verdana" w:hAnsi="Verdana"/>
          <w:i/>
          <w:sz w:val="20"/>
          <w:szCs w:val="20"/>
          <w:lang w:val="en-US"/>
        </w:rPr>
        <w:t xml:space="preserve"> </w:t>
      </w:r>
      <w:r w:rsidR="00810FAD" w:rsidRPr="00FE7BA7">
        <w:rPr>
          <w:rFonts w:ascii="Verdana" w:hAnsi="Verdana"/>
          <w:sz w:val="20"/>
          <w:szCs w:val="20"/>
          <w:lang w:val="en-US"/>
        </w:rPr>
        <w:t>para.</w:t>
      </w:r>
      <w:r w:rsidR="000453EB" w:rsidRPr="00FE7BA7">
        <w:rPr>
          <w:rFonts w:ascii="Verdana" w:hAnsi="Verdana"/>
          <w:sz w:val="20"/>
          <w:szCs w:val="20"/>
          <w:lang w:val="en-US"/>
        </w:rPr>
        <w:t xml:space="preserve"> 120)</w:t>
      </w:r>
      <w:r w:rsidR="00511E56" w:rsidRPr="00FE7BA7">
        <w:rPr>
          <w:rFonts w:ascii="Verdana" w:hAnsi="Verdana"/>
          <w:sz w:val="20"/>
          <w:szCs w:val="20"/>
          <w:lang w:val="en-US"/>
        </w:rPr>
        <w:t>; (</w:t>
      </w:r>
      <w:r w:rsidR="00A91B78" w:rsidRPr="00FE7BA7">
        <w:rPr>
          <w:rFonts w:ascii="Verdana" w:hAnsi="Verdana"/>
          <w:sz w:val="20"/>
          <w:szCs w:val="20"/>
          <w:lang w:val="en-US"/>
        </w:rPr>
        <w:t xml:space="preserve">iii) </w:t>
      </w:r>
      <w:r w:rsidR="00F235F5" w:rsidRPr="00FE7BA7">
        <w:rPr>
          <w:rFonts w:ascii="Verdana" w:hAnsi="Verdana"/>
          <w:sz w:val="20"/>
          <w:szCs w:val="20"/>
          <w:lang w:val="en-US"/>
        </w:rPr>
        <w:t xml:space="preserve">the restitution of the reserves was not </w:t>
      </w:r>
      <w:r w:rsidR="00FE7BA7" w:rsidRPr="00FE7BA7">
        <w:rPr>
          <w:rFonts w:ascii="Verdana" w:hAnsi="Verdana"/>
          <w:sz w:val="20"/>
          <w:szCs w:val="20"/>
          <w:lang w:val="en-US"/>
        </w:rPr>
        <w:t>possible</w:t>
      </w:r>
      <w:r w:rsidR="00F235F5" w:rsidRPr="00FE7BA7">
        <w:rPr>
          <w:rFonts w:ascii="Verdana" w:hAnsi="Verdana"/>
          <w:sz w:val="20"/>
          <w:szCs w:val="20"/>
          <w:lang w:val="en-US"/>
        </w:rPr>
        <w:t xml:space="preserve"> because this would introduce changes in the population </w:t>
      </w:r>
      <w:r w:rsidR="000D7C04">
        <w:rPr>
          <w:rFonts w:ascii="Verdana" w:hAnsi="Verdana"/>
          <w:sz w:val="20"/>
          <w:szCs w:val="20"/>
          <w:lang w:val="en-US"/>
        </w:rPr>
        <w:t xml:space="preserve">balance </w:t>
      </w:r>
      <w:r w:rsidRPr="00FE7BA7">
        <w:rPr>
          <w:rFonts w:ascii="Verdana" w:hAnsi="Verdana"/>
          <w:sz w:val="20"/>
          <w:szCs w:val="20"/>
          <w:lang w:val="en-US"/>
        </w:rPr>
        <w:t xml:space="preserve">and </w:t>
      </w:r>
      <w:r w:rsidR="00F235F5" w:rsidRPr="00FE7BA7">
        <w:rPr>
          <w:rFonts w:ascii="Verdana" w:hAnsi="Verdana"/>
          <w:sz w:val="20"/>
          <w:szCs w:val="20"/>
          <w:lang w:val="en-US"/>
        </w:rPr>
        <w:t>would create a precedent for other indigenous and tribal groups who live</w:t>
      </w:r>
      <w:r w:rsidR="00C07DBC">
        <w:rPr>
          <w:rFonts w:ascii="Verdana" w:hAnsi="Verdana"/>
          <w:sz w:val="20"/>
          <w:szCs w:val="20"/>
          <w:lang w:val="en-US"/>
        </w:rPr>
        <w:t>d</w:t>
      </w:r>
      <w:r w:rsidR="00F235F5" w:rsidRPr="00FE7BA7">
        <w:rPr>
          <w:rFonts w:ascii="Verdana" w:hAnsi="Verdana"/>
          <w:sz w:val="20"/>
          <w:szCs w:val="20"/>
          <w:lang w:val="en-US"/>
        </w:rPr>
        <w:t xml:space="preserve"> in </w:t>
      </w:r>
      <w:r w:rsidR="000D7C04">
        <w:rPr>
          <w:rFonts w:ascii="Verdana" w:hAnsi="Verdana"/>
          <w:sz w:val="20"/>
          <w:szCs w:val="20"/>
          <w:lang w:val="en-US"/>
        </w:rPr>
        <w:t xml:space="preserve">nature </w:t>
      </w:r>
      <w:r w:rsidR="00C07DBC">
        <w:rPr>
          <w:rFonts w:ascii="Verdana" w:hAnsi="Verdana"/>
          <w:sz w:val="20"/>
          <w:szCs w:val="20"/>
          <w:lang w:val="en-US"/>
        </w:rPr>
        <w:t>reserves; also, the State had</w:t>
      </w:r>
      <w:r w:rsidR="00F235F5" w:rsidRPr="00FE7BA7">
        <w:rPr>
          <w:rFonts w:ascii="Verdana" w:hAnsi="Verdana"/>
          <w:sz w:val="20"/>
          <w:szCs w:val="20"/>
          <w:lang w:val="en-US"/>
        </w:rPr>
        <w:t xml:space="preserve"> environmental obligations in both the domestic sphere towards its citizens, and in the international sphere based on international environmental treaties, such as </w:t>
      </w:r>
      <w:r w:rsidR="00511E56" w:rsidRPr="00FE7BA7">
        <w:rPr>
          <w:rFonts w:ascii="Verdana" w:hAnsi="Verdana"/>
          <w:sz w:val="20"/>
          <w:szCs w:val="20"/>
          <w:lang w:val="en-US"/>
        </w:rPr>
        <w:t>the Convention on Biological Diversity;</w:t>
      </w:r>
      <w:r w:rsidR="00A91B78" w:rsidRPr="00FE7BA7">
        <w:rPr>
          <w:rFonts w:ascii="Verdana" w:hAnsi="Verdana"/>
          <w:sz w:val="20"/>
          <w:szCs w:val="20"/>
          <w:lang w:val="en-US"/>
        </w:rPr>
        <w:t xml:space="preserve"> </w:t>
      </w:r>
      <w:r w:rsidR="00511E56" w:rsidRPr="00FE7BA7">
        <w:rPr>
          <w:rFonts w:ascii="Verdana" w:hAnsi="Verdana"/>
          <w:sz w:val="20"/>
          <w:szCs w:val="20"/>
          <w:lang w:val="en-US"/>
        </w:rPr>
        <w:t>(</w:t>
      </w:r>
      <w:r w:rsidR="00A91B78" w:rsidRPr="00FE7BA7">
        <w:rPr>
          <w:rFonts w:ascii="Verdana" w:hAnsi="Verdana"/>
          <w:sz w:val="20"/>
          <w:szCs w:val="20"/>
          <w:lang w:val="en-US"/>
        </w:rPr>
        <w:t xml:space="preserve">iv) </w:t>
      </w:r>
      <w:r w:rsidR="00F235F5" w:rsidRPr="00FE7BA7">
        <w:rPr>
          <w:rFonts w:ascii="Verdana" w:hAnsi="Verdana"/>
          <w:sz w:val="20"/>
          <w:szCs w:val="20"/>
          <w:lang w:val="en-US"/>
        </w:rPr>
        <w:t xml:space="preserve">regarding the possibility of expropriating third </w:t>
      </w:r>
      <w:r w:rsidR="00FE7BA7" w:rsidRPr="00FE7BA7">
        <w:rPr>
          <w:rFonts w:ascii="Verdana" w:hAnsi="Verdana"/>
          <w:sz w:val="20"/>
          <w:szCs w:val="20"/>
          <w:lang w:val="en-US"/>
        </w:rPr>
        <w:t>parties</w:t>
      </w:r>
      <w:r w:rsidR="00F235F5" w:rsidRPr="00FE7BA7">
        <w:rPr>
          <w:rFonts w:ascii="Verdana" w:hAnsi="Verdana"/>
          <w:sz w:val="20"/>
          <w:szCs w:val="20"/>
          <w:lang w:val="en-US"/>
        </w:rPr>
        <w:t xml:space="preserve">, this would result in ethnic and racial </w:t>
      </w:r>
      <w:r w:rsidR="000D7C04">
        <w:rPr>
          <w:rFonts w:ascii="Verdana" w:hAnsi="Verdana"/>
          <w:sz w:val="20"/>
          <w:szCs w:val="20"/>
          <w:lang w:val="en-US"/>
        </w:rPr>
        <w:t>turmoil</w:t>
      </w:r>
      <w:r w:rsidR="00F235F5" w:rsidRPr="00FE7BA7">
        <w:rPr>
          <w:rFonts w:ascii="Verdana" w:hAnsi="Verdana"/>
          <w:sz w:val="20"/>
          <w:szCs w:val="20"/>
          <w:lang w:val="en-US"/>
        </w:rPr>
        <w:t xml:space="preserve">, have </w:t>
      </w:r>
      <w:r w:rsidR="00FE7BA7">
        <w:rPr>
          <w:rFonts w:ascii="Verdana" w:hAnsi="Verdana"/>
          <w:sz w:val="20"/>
          <w:szCs w:val="20"/>
          <w:lang w:val="en-US"/>
        </w:rPr>
        <w:t>unforeseen</w:t>
      </w:r>
      <w:r w:rsidR="00F235F5" w:rsidRPr="00FE7BA7">
        <w:rPr>
          <w:rFonts w:ascii="Verdana" w:hAnsi="Verdana"/>
          <w:sz w:val="20"/>
          <w:szCs w:val="20"/>
          <w:lang w:val="en-US"/>
        </w:rPr>
        <w:t xml:space="preserve"> consequence for the lives of those who were obliged to abandon these territories, and </w:t>
      </w:r>
      <w:r w:rsidR="00A91B78" w:rsidRPr="00FE7BA7">
        <w:rPr>
          <w:rFonts w:ascii="Verdana" w:hAnsi="Verdana"/>
          <w:sz w:val="20"/>
          <w:szCs w:val="20"/>
          <w:lang w:val="en-US"/>
        </w:rPr>
        <w:t>en</w:t>
      </w:r>
      <w:r w:rsidR="000D7C04">
        <w:rPr>
          <w:rFonts w:ascii="Verdana" w:hAnsi="Verdana"/>
          <w:sz w:val="20"/>
          <w:szCs w:val="20"/>
          <w:lang w:val="en-US"/>
        </w:rPr>
        <w:t>tail economic prejudice</w:t>
      </w:r>
      <w:r w:rsidR="00F235F5" w:rsidRPr="00FE7BA7">
        <w:rPr>
          <w:rFonts w:ascii="Verdana" w:hAnsi="Verdana"/>
          <w:sz w:val="20"/>
          <w:szCs w:val="20"/>
          <w:lang w:val="en-US"/>
        </w:rPr>
        <w:t xml:space="preserve"> at the local and State levels</w:t>
      </w:r>
      <w:r w:rsidR="00511E56" w:rsidRPr="00FE7BA7">
        <w:rPr>
          <w:rFonts w:ascii="Verdana" w:hAnsi="Verdana"/>
          <w:sz w:val="20"/>
          <w:szCs w:val="20"/>
          <w:lang w:val="en-US"/>
        </w:rPr>
        <w:t>,</w:t>
      </w:r>
      <w:r w:rsidR="00A91B78" w:rsidRPr="00FE7BA7">
        <w:rPr>
          <w:rStyle w:val="FootnoteReference"/>
          <w:szCs w:val="20"/>
          <w:lang w:val="en-US"/>
        </w:rPr>
        <w:footnoteReference w:id="320"/>
      </w:r>
      <w:r w:rsidR="000D7C04">
        <w:rPr>
          <w:rFonts w:ascii="Verdana" w:hAnsi="Verdana"/>
          <w:sz w:val="20"/>
          <w:szCs w:val="20"/>
          <w:lang w:val="en-US"/>
        </w:rPr>
        <w:t xml:space="preserve"> </w:t>
      </w:r>
      <w:r w:rsidRPr="00FE7BA7">
        <w:rPr>
          <w:rFonts w:ascii="Verdana" w:hAnsi="Verdana"/>
          <w:sz w:val="20"/>
          <w:szCs w:val="20"/>
          <w:lang w:val="en-US"/>
        </w:rPr>
        <w:t xml:space="preserve">and </w:t>
      </w:r>
      <w:r w:rsidR="00511E56" w:rsidRPr="00FE7BA7">
        <w:rPr>
          <w:rFonts w:ascii="Verdana" w:hAnsi="Verdana"/>
          <w:sz w:val="20"/>
          <w:szCs w:val="20"/>
          <w:lang w:val="en-US"/>
        </w:rPr>
        <w:t>(</w:t>
      </w:r>
      <w:r w:rsidR="00A91B78" w:rsidRPr="00FE7BA7">
        <w:rPr>
          <w:rFonts w:ascii="Verdana" w:hAnsi="Verdana"/>
          <w:sz w:val="20"/>
          <w:szCs w:val="20"/>
          <w:lang w:val="en-US"/>
        </w:rPr>
        <w:t xml:space="preserve">v) </w:t>
      </w:r>
      <w:r w:rsidRPr="00FE7BA7">
        <w:rPr>
          <w:rFonts w:ascii="Verdana" w:hAnsi="Verdana"/>
          <w:sz w:val="20"/>
          <w:szCs w:val="20"/>
          <w:lang w:val="en-US"/>
        </w:rPr>
        <w:t>the State</w:t>
      </w:r>
      <w:r w:rsidR="00A91B78" w:rsidRPr="00FE7BA7">
        <w:rPr>
          <w:rFonts w:ascii="Verdana" w:hAnsi="Verdana"/>
          <w:sz w:val="20"/>
          <w:szCs w:val="20"/>
          <w:lang w:val="en-US"/>
        </w:rPr>
        <w:t xml:space="preserve"> </w:t>
      </w:r>
      <w:r w:rsidR="00F235F5" w:rsidRPr="00FE7BA7">
        <w:rPr>
          <w:rFonts w:ascii="Verdana" w:hAnsi="Verdana"/>
          <w:sz w:val="20"/>
          <w:szCs w:val="20"/>
          <w:lang w:val="en-US"/>
        </w:rPr>
        <w:t>c</w:t>
      </w:r>
      <w:r w:rsidR="00C07DBC">
        <w:rPr>
          <w:rFonts w:ascii="Verdana" w:hAnsi="Verdana"/>
          <w:sz w:val="20"/>
          <w:szCs w:val="20"/>
          <w:lang w:val="en-US"/>
        </w:rPr>
        <w:t xml:space="preserve">ould not </w:t>
      </w:r>
      <w:r w:rsidR="00F235F5" w:rsidRPr="00FE7BA7">
        <w:rPr>
          <w:rFonts w:ascii="Verdana" w:hAnsi="Verdana"/>
          <w:sz w:val="20"/>
          <w:szCs w:val="20"/>
          <w:lang w:val="en-US"/>
        </w:rPr>
        <w:t xml:space="preserve">share the control of its </w:t>
      </w:r>
      <w:r w:rsidR="00FE7BA7" w:rsidRPr="00FE7BA7">
        <w:rPr>
          <w:rFonts w:ascii="Verdana" w:hAnsi="Verdana"/>
          <w:sz w:val="20"/>
          <w:szCs w:val="20"/>
          <w:lang w:val="en-US"/>
        </w:rPr>
        <w:t>resources</w:t>
      </w:r>
      <w:r w:rsidR="00F235F5" w:rsidRPr="00FE7BA7">
        <w:rPr>
          <w:rFonts w:ascii="Verdana" w:hAnsi="Verdana"/>
          <w:sz w:val="20"/>
          <w:szCs w:val="20"/>
          <w:lang w:val="en-US"/>
        </w:rPr>
        <w:t>, because 85% of th</w:t>
      </w:r>
      <w:r w:rsidR="00C07DBC">
        <w:rPr>
          <w:rFonts w:ascii="Verdana" w:hAnsi="Verdana"/>
          <w:sz w:val="20"/>
          <w:szCs w:val="20"/>
          <w:lang w:val="en-US"/>
        </w:rPr>
        <w:t>e Suriname’s economy wa</w:t>
      </w:r>
      <w:r w:rsidR="000D7C04">
        <w:rPr>
          <w:rFonts w:ascii="Verdana" w:hAnsi="Verdana"/>
          <w:sz w:val="20"/>
          <w:szCs w:val="20"/>
          <w:lang w:val="en-US"/>
        </w:rPr>
        <w:t xml:space="preserve">s </w:t>
      </w:r>
      <w:r w:rsidR="000D7C04" w:rsidRPr="00C07DBC">
        <w:rPr>
          <w:rFonts w:ascii="Verdana" w:hAnsi="Verdana"/>
          <w:sz w:val="20"/>
          <w:szCs w:val="20"/>
          <w:lang w:val="en-US"/>
        </w:rPr>
        <w:t xml:space="preserve">dependent on </w:t>
      </w:r>
      <w:r w:rsidR="000D23A0" w:rsidRPr="00C07DBC">
        <w:rPr>
          <w:rFonts w:ascii="Verdana" w:hAnsi="Verdana"/>
          <w:sz w:val="20"/>
          <w:szCs w:val="20"/>
          <w:lang w:val="en-US"/>
        </w:rPr>
        <w:t>natural resources</w:t>
      </w:r>
      <w:r w:rsidR="00A91B78" w:rsidRPr="00C07DBC">
        <w:rPr>
          <w:rStyle w:val="FootnoteReference"/>
          <w:szCs w:val="20"/>
          <w:lang w:val="en-US"/>
        </w:rPr>
        <w:footnoteReference w:id="321"/>
      </w:r>
      <w:r w:rsidRPr="00C07DBC">
        <w:rPr>
          <w:rFonts w:ascii="Verdana" w:hAnsi="Verdana"/>
          <w:sz w:val="20"/>
          <w:szCs w:val="20"/>
          <w:lang w:val="en-US"/>
        </w:rPr>
        <w:t xml:space="preserve"> and</w:t>
      </w:r>
      <w:r w:rsidR="00F235F5" w:rsidRPr="00C07DBC">
        <w:rPr>
          <w:rFonts w:ascii="Verdana" w:hAnsi="Verdana"/>
          <w:sz w:val="20"/>
          <w:szCs w:val="20"/>
          <w:lang w:val="en-US"/>
        </w:rPr>
        <w:t xml:space="preserve">, therefore, it must control </w:t>
      </w:r>
      <w:r w:rsidR="000D7C04" w:rsidRPr="00C07DBC">
        <w:rPr>
          <w:rFonts w:ascii="Verdana" w:hAnsi="Verdana"/>
          <w:sz w:val="20"/>
          <w:szCs w:val="20"/>
          <w:lang w:val="en-US"/>
        </w:rPr>
        <w:t>them totally</w:t>
      </w:r>
      <w:r w:rsidR="00F235F5" w:rsidRPr="00C07DBC">
        <w:rPr>
          <w:rFonts w:ascii="Verdana" w:hAnsi="Verdana"/>
          <w:sz w:val="20"/>
          <w:szCs w:val="20"/>
          <w:lang w:val="en-US"/>
        </w:rPr>
        <w:t xml:space="preserve"> in order to provide for</w:t>
      </w:r>
      <w:r w:rsidR="000D7C04" w:rsidRPr="00C07DBC">
        <w:rPr>
          <w:rFonts w:ascii="Verdana" w:hAnsi="Verdana"/>
          <w:sz w:val="20"/>
          <w:szCs w:val="20"/>
          <w:lang w:val="en-US"/>
        </w:rPr>
        <w:t xml:space="preserve"> all its citizens and “to sustain the economy as</w:t>
      </w:r>
      <w:r w:rsidR="00F235F5" w:rsidRPr="00C07DBC">
        <w:rPr>
          <w:rFonts w:ascii="Verdana" w:hAnsi="Verdana"/>
          <w:sz w:val="20"/>
          <w:szCs w:val="20"/>
          <w:lang w:val="en-US"/>
        </w:rPr>
        <w:t xml:space="preserve"> the main </w:t>
      </w:r>
      <w:r w:rsidR="000D7C04" w:rsidRPr="00C07DBC">
        <w:rPr>
          <w:rFonts w:ascii="Verdana" w:hAnsi="Verdana"/>
          <w:sz w:val="20"/>
          <w:szCs w:val="20"/>
          <w:lang w:val="en-US"/>
        </w:rPr>
        <w:t>driver for developing</w:t>
      </w:r>
      <w:r w:rsidR="00F235F5" w:rsidRPr="00C07DBC">
        <w:rPr>
          <w:rFonts w:ascii="Verdana" w:hAnsi="Verdana"/>
          <w:sz w:val="20"/>
          <w:szCs w:val="20"/>
          <w:lang w:val="en-US"/>
        </w:rPr>
        <w:t xml:space="preserve"> the nation</w:t>
      </w:r>
      <w:r w:rsidR="00511E56" w:rsidRPr="00C07DBC">
        <w:rPr>
          <w:rFonts w:ascii="Verdana" w:hAnsi="Verdana"/>
          <w:sz w:val="20"/>
          <w:szCs w:val="20"/>
          <w:lang w:val="en-US"/>
        </w:rPr>
        <w:t>.</w:t>
      </w:r>
      <w:r w:rsidR="000D7C04" w:rsidRPr="00C07DBC">
        <w:rPr>
          <w:rFonts w:ascii="Verdana" w:hAnsi="Verdana"/>
          <w:sz w:val="20"/>
          <w:szCs w:val="20"/>
          <w:lang w:val="en-US"/>
        </w:rPr>
        <w:t>”</w:t>
      </w:r>
    </w:p>
    <w:p w14:paraId="63126ADC" w14:textId="77777777" w:rsidR="00A91B78" w:rsidRPr="00FE7BA7" w:rsidRDefault="00A91B78" w:rsidP="00A91B78">
      <w:pPr>
        <w:jc w:val="both"/>
        <w:rPr>
          <w:rFonts w:ascii="Verdana" w:hAnsi="Verdana"/>
          <w:sz w:val="20"/>
          <w:szCs w:val="20"/>
          <w:lang w:val="en-US"/>
        </w:rPr>
      </w:pPr>
      <w:r w:rsidRPr="00FE7BA7">
        <w:rPr>
          <w:rFonts w:ascii="Verdana" w:hAnsi="Verdana"/>
          <w:sz w:val="20"/>
          <w:szCs w:val="20"/>
          <w:lang w:val="en-US"/>
        </w:rPr>
        <w:t xml:space="preserve"> </w:t>
      </w:r>
    </w:p>
    <w:p w14:paraId="63126ADD" w14:textId="2B7DED9A" w:rsidR="00DB613E" w:rsidRPr="00FE7BA7" w:rsidRDefault="00511E56"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I</w:t>
      </w:r>
      <w:r w:rsidR="00A91B78" w:rsidRPr="00FE7BA7">
        <w:rPr>
          <w:rFonts w:ascii="Verdana" w:hAnsi="Verdana"/>
          <w:sz w:val="20"/>
          <w:szCs w:val="20"/>
          <w:lang w:val="en-US"/>
        </w:rPr>
        <w:t xml:space="preserve">n </w:t>
      </w:r>
      <w:r w:rsidRPr="00FE7BA7">
        <w:rPr>
          <w:rFonts w:ascii="Verdana" w:hAnsi="Verdana"/>
          <w:sz w:val="20"/>
          <w:szCs w:val="20"/>
          <w:lang w:val="en-US"/>
        </w:rPr>
        <w:t>Chapters</w:t>
      </w:r>
      <w:r w:rsidR="00A91B78" w:rsidRPr="00FE7BA7">
        <w:rPr>
          <w:rFonts w:ascii="Verdana" w:hAnsi="Verdana"/>
          <w:sz w:val="20"/>
          <w:szCs w:val="20"/>
          <w:lang w:val="en-US"/>
        </w:rPr>
        <w:t xml:space="preserve"> </w:t>
      </w:r>
      <w:r w:rsidR="005C32D8" w:rsidRPr="00FE7BA7">
        <w:rPr>
          <w:rFonts w:ascii="Verdana" w:hAnsi="Verdana"/>
          <w:sz w:val="20"/>
          <w:szCs w:val="20"/>
          <w:lang w:val="en-US"/>
        </w:rPr>
        <w:t>VI-I</w:t>
      </w:r>
      <w:r w:rsidR="002B5CCD" w:rsidRPr="00FE7BA7">
        <w:rPr>
          <w:rFonts w:ascii="Verdana" w:hAnsi="Verdana"/>
          <w:sz w:val="20"/>
          <w:szCs w:val="20"/>
          <w:lang w:val="en-US"/>
        </w:rPr>
        <w:t xml:space="preserve"> and </w:t>
      </w:r>
      <w:r w:rsidR="005C32D8" w:rsidRPr="00FE7BA7">
        <w:rPr>
          <w:rFonts w:ascii="Verdana" w:hAnsi="Verdana"/>
          <w:sz w:val="20"/>
          <w:szCs w:val="20"/>
          <w:lang w:val="en-US"/>
        </w:rPr>
        <w:t>VI-II</w:t>
      </w:r>
      <w:r w:rsidR="00A91B78" w:rsidRPr="00FE7BA7">
        <w:rPr>
          <w:rFonts w:ascii="Verdana" w:hAnsi="Verdana"/>
          <w:sz w:val="20"/>
          <w:szCs w:val="20"/>
          <w:lang w:val="en-US"/>
        </w:rPr>
        <w:t xml:space="preserve">, </w:t>
      </w:r>
      <w:r w:rsidR="002B5CCD" w:rsidRPr="00FE7BA7">
        <w:rPr>
          <w:rFonts w:ascii="Verdana" w:hAnsi="Verdana"/>
          <w:sz w:val="20"/>
          <w:szCs w:val="20"/>
          <w:lang w:val="en-US"/>
        </w:rPr>
        <w:t>the Court</w:t>
      </w:r>
      <w:r w:rsidRPr="00FE7BA7">
        <w:rPr>
          <w:rFonts w:ascii="Verdana" w:hAnsi="Verdana"/>
          <w:sz w:val="20"/>
          <w:szCs w:val="20"/>
          <w:lang w:val="en-US"/>
        </w:rPr>
        <w:t xml:space="preserve"> determined that</w:t>
      </w:r>
      <w:r w:rsidR="00A91B78" w:rsidRPr="00FE7BA7">
        <w:rPr>
          <w:rFonts w:ascii="Verdana" w:hAnsi="Verdana"/>
          <w:sz w:val="20"/>
          <w:szCs w:val="20"/>
          <w:lang w:val="en-US"/>
        </w:rPr>
        <w:t xml:space="preserve"> </w:t>
      </w:r>
      <w:r w:rsidR="002B5CCD" w:rsidRPr="00FE7BA7">
        <w:rPr>
          <w:rFonts w:ascii="Verdana" w:hAnsi="Verdana"/>
          <w:sz w:val="20"/>
          <w:szCs w:val="20"/>
          <w:lang w:val="en-US"/>
        </w:rPr>
        <w:t>the State</w:t>
      </w:r>
      <w:r w:rsidR="00A91B78" w:rsidRPr="00FE7BA7">
        <w:rPr>
          <w:rFonts w:ascii="Verdana" w:hAnsi="Verdana"/>
          <w:sz w:val="20"/>
          <w:szCs w:val="20"/>
          <w:lang w:val="en-US"/>
        </w:rPr>
        <w:t xml:space="preserve"> </w:t>
      </w:r>
      <w:r w:rsidRPr="00FE7BA7">
        <w:rPr>
          <w:rFonts w:ascii="Verdana" w:hAnsi="Verdana"/>
          <w:sz w:val="20"/>
          <w:szCs w:val="20"/>
          <w:lang w:val="en-US"/>
        </w:rPr>
        <w:t>had violated</w:t>
      </w:r>
      <w:r w:rsidR="00A91B78" w:rsidRPr="00FE7BA7">
        <w:rPr>
          <w:rFonts w:ascii="Verdana" w:hAnsi="Verdana"/>
          <w:sz w:val="20"/>
          <w:szCs w:val="20"/>
          <w:lang w:val="en-US"/>
        </w:rPr>
        <w:t xml:space="preserve"> </w:t>
      </w:r>
      <w:r w:rsidR="00C34C52" w:rsidRPr="00FE7BA7">
        <w:rPr>
          <w:rFonts w:ascii="Verdana" w:hAnsi="Verdana"/>
          <w:sz w:val="20"/>
          <w:szCs w:val="20"/>
          <w:lang w:val="en-US"/>
        </w:rPr>
        <w:t>Article</w:t>
      </w:r>
      <w:r w:rsidR="00A91B78" w:rsidRPr="00FE7BA7">
        <w:rPr>
          <w:rFonts w:ascii="Verdana" w:hAnsi="Verdana"/>
          <w:sz w:val="20"/>
          <w:szCs w:val="20"/>
          <w:lang w:val="en-US"/>
        </w:rPr>
        <w:t xml:space="preserve"> 3</w:t>
      </w:r>
      <w:r w:rsidR="00D83C12" w:rsidRPr="00FE7BA7">
        <w:rPr>
          <w:rFonts w:ascii="Verdana" w:hAnsi="Verdana"/>
          <w:sz w:val="20"/>
          <w:szCs w:val="20"/>
          <w:lang w:val="en-US"/>
        </w:rPr>
        <w:t xml:space="preserve">, </w:t>
      </w:r>
      <w:r w:rsidR="00A91B78" w:rsidRPr="00FE7BA7">
        <w:rPr>
          <w:rFonts w:ascii="Verdana" w:hAnsi="Verdana"/>
          <w:sz w:val="20"/>
          <w:szCs w:val="20"/>
          <w:lang w:val="en-US"/>
        </w:rPr>
        <w:t>21</w:t>
      </w:r>
      <w:r w:rsidR="002B5CCD" w:rsidRPr="00FE7BA7">
        <w:rPr>
          <w:rFonts w:ascii="Verdana" w:hAnsi="Verdana"/>
          <w:sz w:val="20"/>
          <w:szCs w:val="20"/>
          <w:lang w:val="en-US"/>
        </w:rPr>
        <w:t xml:space="preserve"> and </w:t>
      </w:r>
      <w:r w:rsidR="00D83C12" w:rsidRPr="00FE7BA7">
        <w:rPr>
          <w:rFonts w:ascii="Verdana" w:hAnsi="Verdana"/>
          <w:sz w:val="20"/>
          <w:lang w:val="en-US"/>
        </w:rPr>
        <w:t>23</w:t>
      </w:r>
      <w:r w:rsidR="002B5CCD" w:rsidRPr="00FE7BA7">
        <w:rPr>
          <w:rFonts w:ascii="Verdana" w:hAnsi="Verdana"/>
          <w:sz w:val="20"/>
          <w:lang w:val="en-US"/>
        </w:rPr>
        <w:t xml:space="preserve"> of the </w:t>
      </w:r>
      <w:r w:rsidR="002B5CCD" w:rsidRPr="00FE7BA7">
        <w:rPr>
          <w:rFonts w:ascii="Verdana" w:hAnsi="Verdana"/>
          <w:sz w:val="20"/>
          <w:szCs w:val="20"/>
          <w:lang w:val="en-US"/>
        </w:rPr>
        <w:t>American Convention</w:t>
      </w:r>
      <w:r w:rsidR="00A91B78" w:rsidRPr="00FE7BA7">
        <w:rPr>
          <w:rFonts w:ascii="Verdana" w:hAnsi="Verdana"/>
          <w:sz w:val="20"/>
          <w:szCs w:val="20"/>
          <w:lang w:val="en-US"/>
        </w:rPr>
        <w:t xml:space="preserve">, </w:t>
      </w:r>
      <w:r w:rsidR="00773D70" w:rsidRPr="00FE7BA7">
        <w:rPr>
          <w:rFonts w:ascii="Verdana" w:hAnsi="Verdana"/>
          <w:sz w:val="20"/>
          <w:szCs w:val="20"/>
          <w:lang w:val="en-US"/>
        </w:rPr>
        <w:t>in relation to Articles 1(1)</w:t>
      </w:r>
      <w:r w:rsidR="002B5CCD" w:rsidRPr="00FE7BA7">
        <w:rPr>
          <w:rFonts w:ascii="Verdana" w:hAnsi="Verdana"/>
          <w:sz w:val="20"/>
          <w:szCs w:val="20"/>
          <w:lang w:val="en-US"/>
        </w:rPr>
        <w:t xml:space="preserve"> and </w:t>
      </w:r>
      <w:r w:rsidR="00773D70" w:rsidRPr="00FE7BA7">
        <w:rPr>
          <w:rFonts w:ascii="Verdana" w:hAnsi="Verdana"/>
          <w:sz w:val="20"/>
          <w:szCs w:val="20"/>
          <w:lang w:val="en-US"/>
        </w:rPr>
        <w:t>2 of this instrument</w:t>
      </w:r>
      <w:r w:rsidR="00A91B78" w:rsidRPr="00FE7BA7">
        <w:rPr>
          <w:rFonts w:ascii="Verdana" w:hAnsi="Verdana"/>
          <w:sz w:val="20"/>
          <w:szCs w:val="20"/>
          <w:lang w:val="en-US"/>
        </w:rPr>
        <w:t xml:space="preserve">, </w:t>
      </w:r>
      <w:r w:rsidR="00773D70" w:rsidRPr="00FE7BA7">
        <w:rPr>
          <w:rFonts w:ascii="Verdana" w:hAnsi="Verdana"/>
          <w:sz w:val="20"/>
          <w:szCs w:val="20"/>
          <w:lang w:val="en-US"/>
        </w:rPr>
        <w:t>to the detriment of the</w:t>
      </w:r>
      <w:r w:rsidR="00635ACD" w:rsidRPr="00FE7BA7">
        <w:rPr>
          <w:rFonts w:ascii="Verdana" w:hAnsi="Verdana"/>
          <w:sz w:val="20"/>
          <w:szCs w:val="20"/>
          <w:lang w:val="en-US"/>
        </w:rPr>
        <w:t xml:space="preserve"> </w:t>
      </w:r>
      <w:r w:rsidR="004C7D14" w:rsidRPr="00FE7BA7">
        <w:rPr>
          <w:rFonts w:ascii="Verdana" w:hAnsi="Verdana"/>
          <w:sz w:val="20"/>
          <w:szCs w:val="20"/>
          <w:lang w:val="en-US"/>
        </w:rPr>
        <w:t>Kaliña and Lokono peoples</w:t>
      </w:r>
      <w:r w:rsidR="00A91B78" w:rsidRPr="00FE7BA7">
        <w:rPr>
          <w:rFonts w:ascii="Verdana" w:hAnsi="Verdana"/>
          <w:sz w:val="20"/>
          <w:lang w:val="en-US"/>
        </w:rPr>
        <w:t xml:space="preserve">, </w:t>
      </w:r>
      <w:r w:rsidRPr="00FE7BA7">
        <w:rPr>
          <w:rFonts w:ascii="Verdana" w:hAnsi="Verdana"/>
          <w:sz w:val="20"/>
          <w:lang w:val="en-US"/>
        </w:rPr>
        <w:t xml:space="preserve">for </w:t>
      </w:r>
      <w:r w:rsidR="00304121">
        <w:rPr>
          <w:rFonts w:ascii="Verdana" w:hAnsi="Verdana"/>
          <w:sz w:val="20"/>
          <w:lang w:val="en-US"/>
        </w:rPr>
        <w:t>various</w:t>
      </w:r>
      <w:r w:rsidRPr="00FE7BA7">
        <w:rPr>
          <w:rFonts w:ascii="Verdana" w:hAnsi="Verdana"/>
          <w:sz w:val="20"/>
          <w:lang w:val="en-US"/>
        </w:rPr>
        <w:t xml:space="preserve"> reasons: (a) </w:t>
      </w:r>
      <w:r w:rsidR="00F235F5" w:rsidRPr="00FE7BA7">
        <w:rPr>
          <w:rFonts w:ascii="Verdana" w:hAnsi="Verdana"/>
          <w:sz w:val="20"/>
          <w:lang w:val="en-US"/>
        </w:rPr>
        <w:t xml:space="preserve">the failure to recognize collective </w:t>
      </w:r>
      <w:r w:rsidR="00773D70" w:rsidRPr="00FE7BA7">
        <w:rPr>
          <w:rFonts w:ascii="Verdana" w:hAnsi="Verdana"/>
          <w:sz w:val="20"/>
          <w:lang w:val="en-US"/>
        </w:rPr>
        <w:t>juridical personality</w:t>
      </w:r>
      <w:r w:rsidR="00A91B78" w:rsidRPr="00FE7BA7">
        <w:rPr>
          <w:rFonts w:ascii="Verdana" w:hAnsi="Verdana"/>
          <w:sz w:val="20"/>
          <w:lang w:val="en-US"/>
        </w:rPr>
        <w:t xml:space="preserve">; </w:t>
      </w:r>
      <w:r w:rsidR="00F235F5" w:rsidRPr="00FE7BA7">
        <w:rPr>
          <w:rFonts w:ascii="Verdana" w:hAnsi="Verdana"/>
          <w:sz w:val="20"/>
          <w:lang w:val="en-US"/>
        </w:rPr>
        <w:t>(</w:t>
      </w:r>
      <w:r w:rsidR="00DB613E" w:rsidRPr="00FE7BA7">
        <w:rPr>
          <w:rFonts w:ascii="Verdana" w:hAnsi="Verdana"/>
          <w:sz w:val="20"/>
          <w:szCs w:val="20"/>
          <w:lang w:val="en-US"/>
        </w:rPr>
        <w:t xml:space="preserve">b) </w:t>
      </w:r>
      <w:r w:rsidR="00F235F5" w:rsidRPr="00FE7BA7">
        <w:rPr>
          <w:rFonts w:ascii="Verdana" w:hAnsi="Verdana"/>
          <w:sz w:val="20"/>
          <w:szCs w:val="20"/>
          <w:lang w:val="en-US"/>
        </w:rPr>
        <w:t>the failure to recognize and guarantee indigenous co</w:t>
      </w:r>
      <w:r w:rsidR="00304121">
        <w:rPr>
          <w:rFonts w:ascii="Verdana" w:hAnsi="Verdana"/>
          <w:sz w:val="20"/>
          <w:szCs w:val="20"/>
          <w:lang w:val="en-US"/>
        </w:rPr>
        <w:t>mmunal</w:t>
      </w:r>
      <w:r w:rsidR="00F235F5" w:rsidRPr="00FE7BA7">
        <w:rPr>
          <w:rFonts w:ascii="Verdana" w:hAnsi="Verdana"/>
          <w:sz w:val="20"/>
          <w:szCs w:val="20"/>
          <w:lang w:val="en-US"/>
        </w:rPr>
        <w:t xml:space="preserve"> property by </w:t>
      </w:r>
      <w:r w:rsidR="00304121">
        <w:rPr>
          <w:rFonts w:ascii="Verdana" w:hAnsi="Verdana"/>
          <w:sz w:val="20"/>
          <w:szCs w:val="20"/>
          <w:lang w:val="en-US"/>
        </w:rPr>
        <w:t>failing</w:t>
      </w:r>
      <w:r w:rsidR="00F235F5" w:rsidRPr="00FE7BA7">
        <w:rPr>
          <w:rFonts w:ascii="Verdana" w:hAnsi="Verdana"/>
          <w:sz w:val="20"/>
          <w:szCs w:val="20"/>
          <w:lang w:val="en-US"/>
        </w:rPr>
        <w:t xml:space="preserve"> to delimit, demarcate, grant title to, and guarantee use and enjoyment, as well as the adverse impacts resulting from the issue of titles to third parties, and due to different types of damage in the reserves, </w:t>
      </w:r>
      <w:r w:rsidR="002B5CCD" w:rsidRPr="00FE7BA7">
        <w:rPr>
          <w:rFonts w:ascii="Verdana" w:hAnsi="Verdana"/>
          <w:sz w:val="20"/>
          <w:szCs w:val="20"/>
          <w:lang w:val="en-US"/>
        </w:rPr>
        <w:t xml:space="preserve">and </w:t>
      </w:r>
      <w:r w:rsidR="00F235F5" w:rsidRPr="00FE7BA7">
        <w:rPr>
          <w:rFonts w:ascii="Verdana" w:hAnsi="Verdana"/>
          <w:sz w:val="20"/>
          <w:szCs w:val="20"/>
          <w:lang w:val="en-US"/>
        </w:rPr>
        <w:t>(</w:t>
      </w:r>
      <w:r w:rsidR="00DB613E" w:rsidRPr="00FE7BA7">
        <w:rPr>
          <w:rFonts w:ascii="Verdana" w:hAnsi="Verdana"/>
          <w:sz w:val="20"/>
          <w:szCs w:val="20"/>
          <w:lang w:val="en-US"/>
        </w:rPr>
        <w:t xml:space="preserve">c) </w:t>
      </w:r>
      <w:r w:rsidR="00F235F5" w:rsidRPr="00FE7BA7">
        <w:rPr>
          <w:rFonts w:ascii="Verdana" w:hAnsi="Verdana"/>
          <w:sz w:val="20"/>
          <w:szCs w:val="20"/>
          <w:lang w:val="en-US"/>
        </w:rPr>
        <w:t xml:space="preserve">the lack of effective participation in relation to </w:t>
      </w:r>
      <w:r w:rsidR="000B29B5">
        <w:rPr>
          <w:rFonts w:ascii="Verdana" w:hAnsi="Verdana"/>
          <w:sz w:val="20"/>
          <w:szCs w:val="20"/>
          <w:lang w:val="en-US"/>
        </w:rPr>
        <w:t xml:space="preserve">the </w:t>
      </w:r>
      <w:r w:rsidR="00F235F5" w:rsidRPr="00FE7BA7">
        <w:rPr>
          <w:rFonts w:ascii="Verdana" w:hAnsi="Verdana"/>
          <w:sz w:val="20"/>
          <w:szCs w:val="20"/>
          <w:lang w:val="en-US"/>
        </w:rPr>
        <w:t xml:space="preserve">exploitation project </w:t>
      </w:r>
      <w:r w:rsidR="000B29B5">
        <w:rPr>
          <w:rFonts w:ascii="Verdana" w:hAnsi="Verdana"/>
          <w:sz w:val="20"/>
          <w:szCs w:val="20"/>
          <w:lang w:val="en-US"/>
        </w:rPr>
        <w:t>within one</w:t>
      </w:r>
      <w:r w:rsidR="00F235F5" w:rsidRPr="00FE7BA7">
        <w:rPr>
          <w:rFonts w:ascii="Verdana" w:hAnsi="Verdana"/>
          <w:sz w:val="20"/>
          <w:szCs w:val="20"/>
          <w:lang w:val="en-US"/>
        </w:rPr>
        <w:t xml:space="preserve"> reserve </w:t>
      </w:r>
      <w:r w:rsidR="00DB613E" w:rsidRPr="00FE7BA7">
        <w:rPr>
          <w:rFonts w:ascii="Verdana" w:hAnsi="Verdana"/>
          <w:sz w:val="20"/>
          <w:szCs w:val="20"/>
          <w:lang w:val="en-US"/>
        </w:rPr>
        <w:t>(</w:t>
      </w:r>
      <w:r w:rsidR="00DB613E" w:rsidRPr="00FE7BA7">
        <w:rPr>
          <w:rFonts w:ascii="Verdana" w:hAnsi="Verdana"/>
          <w:i/>
          <w:sz w:val="20"/>
          <w:szCs w:val="20"/>
          <w:lang w:val="en-US"/>
        </w:rPr>
        <w:t xml:space="preserve">supra </w:t>
      </w:r>
      <w:r w:rsidR="008F798A" w:rsidRPr="00FE7BA7">
        <w:rPr>
          <w:rFonts w:ascii="Verdana" w:hAnsi="Verdana"/>
          <w:sz w:val="20"/>
          <w:szCs w:val="20"/>
          <w:lang w:val="en-US"/>
        </w:rPr>
        <w:t>paras.</w:t>
      </w:r>
      <w:r w:rsidR="000453EB" w:rsidRPr="00FE7BA7">
        <w:rPr>
          <w:rFonts w:ascii="Verdana" w:hAnsi="Verdana"/>
          <w:i/>
          <w:sz w:val="20"/>
          <w:szCs w:val="20"/>
          <w:lang w:val="en-US"/>
        </w:rPr>
        <w:t xml:space="preserve"> </w:t>
      </w:r>
      <w:r w:rsidR="00014646" w:rsidRPr="006C4E70">
        <w:rPr>
          <w:rFonts w:ascii="Verdana" w:hAnsi="Verdana"/>
          <w:sz w:val="20"/>
          <w:szCs w:val="20"/>
          <w:lang w:val="en-US"/>
        </w:rPr>
        <w:t xml:space="preserve">114, </w:t>
      </w:r>
      <w:r w:rsidR="000453EB" w:rsidRPr="00FE7BA7">
        <w:rPr>
          <w:rFonts w:ascii="Verdana" w:hAnsi="Verdana"/>
          <w:sz w:val="20"/>
          <w:szCs w:val="20"/>
          <w:lang w:val="en-US"/>
        </w:rPr>
        <w:t>142, 160, 198</w:t>
      </w:r>
      <w:r w:rsidR="002B5CCD" w:rsidRPr="00FE7BA7">
        <w:rPr>
          <w:rFonts w:ascii="Verdana" w:hAnsi="Verdana"/>
          <w:sz w:val="20"/>
          <w:szCs w:val="20"/>
          <w:lang w:val="en-US"/>
        </w:rPr>
        <w:t xml:space="preserve"> and </w:t>
      </w:r>
      <w:r w:rsidR="000453EB" w:rsidRPr="00FE7BA7">
        <w:rPr>
          <w:rFonts w:ascii="Verdana" w:hAnsi="Verdana"/>
          <w:sz w:val="20"/>
          <w:szCs w:val="20"/>
          <w:lang w:val="en-US"/>
        </w:rPr>
        <w:t>230</w:t>
      </w:r>
      <w:r w:rsidR="00DB613E" w:rsidRPr="00FE7BA7">
        <w:rPr>
          <w:rFonts w:ascii="Verdana" w:hAnsi="Verdana"/>
          <w:i/>
          <w:sz w:val="20"/>
          <w:szCs w:val="20"/>
          <w:lang w:val="en-US"/>
        </w:rPr>
        <w:t>)</w:t>
      </w:r>
      <w:r w:rsidR="00DB613E" w:rsidRPr="00FE7BA7">
        <w:rPr>
          <w:rFonts w:ascii="Verdana" w:hAnsi="Verdana"/>
          <w:sz w:val="20"/>
          <w:szCs w:val="20"/>
          <w:lang w:val="en-US"/>
        </w:rPr>
        <w:t>.</w:t>
      </w:r>
    </w:p>
    <w:p w14:paraId="63126ADE" w14:textId="77777777" w:rsidR="00A91B78" w:rsidRPr="00FE7BA7" w:rsidRDefault="00A91B78" w:rsidP="002C323A">
      <w:pPr>
        <w:contextualSpacing/>
        <w:jc w:val="both"/>
        <w:rPr>
          <w:rFonts w:ascii="Verdana" w:hAnsi="Verdana"/>
          <w:sz w:val="20"/>
          <w:szCs w:val="20"/>
          <w:lang w:val="en-US"/>
        </w:rPr>
      </w:pPr>
    </w:p>
    <w:p w14:paraId="63126ADF" w14:textId="77777777" w:rsidR="00A91B78" w:rsidRPr="00FE7BA7" w:rsidRDefault="002B5CCD" w:rsidP="00A91B78">
      <w:pPr>
        <w:numPr>
          <w:ilvl w:val="0"/>
          <w:numId w:val="2"/>
        </w:numPr>
        <w:ind w:left="0" w:hanging="11"/>
        <w:contextualSpacing/>
        <w:jc w:val="both"/>
        <w:rPr>
          <w:rFonts w:ascii="Verdana" w:hAnsi="Verdana" w:cs="Arial"/>
          <w:sz w:val="20"/>
          <w:szCs w:val="20"/>
          <w:lang w:val="en-US"/>
        </w:rPr>
      </w:pPr>
      <w:r w:rsidRPr="00FE7BA7">
        <w:rPr>
          <w:rFonts w:ascii="Verdana" w:hAnsi="Verdana"/>
          <w:sz w:val="20"/>
          <w:szCs w:val="20"/>
          <w:lang w:val="en-US"/>
        </w:rPr>
        <w:t>The Court</w:t>
      </w:r>
      <w:r w:rsidR="00A91B78" w:rsidRPr="00FE7BA7">
        <w:rPr>
          <w:rFonts w:ascii="Verdana" w:hAnsi="Verdana"/>
          <w:sz w:val="20"/>
          <w:szCs w:val="20"/>
          <w:lang w:val="en-US"/>
        </w:rPr>
        <w:t xml:space="preserve"> establ</w:t>
      </w:r>
      <w:r w:rsidR="00F235F5" w:rsidRPr="00FE7BA7">
        <w:rPr>
          <w:rFonts w:ascii="Verdana" w:hAnsi="Verdana"/>
          <w:sz w:val="20"/>
          <w:szCs w:val="20"/>
          <w:lang w:val="en-US"/>
        </w:rPr>
        <w:t>ishes that, in order to achieve integral reparation of the v</w:t>
      </w:r>
      <w:r w:rsidR="000B29B5">
        <w:rPr>
          <w:rFonts w:ascii="Verdana" w:hAnsi="Verdana"/>
          <w:sz w:val="20"/>
          <w:szCs w:val="20"/>
          <w:lang w:val="en-US"/>
        </w:rPr>
        <w:t>iolations that have been proved</w:t>
      </w:r>
      <w:r w:rsidR="00F235F5" w:rsidRPr="00FE7BA7">
        <w:rPr>
          <w:rFonts w:ascii="Verdana" w:hAnsi="Verdana"/>
          <w:sz w:val="20"/>
          <w:szCs w:val="20"/>
          <w:lang w:val="en-US"/>
        </w:rPr>
        <w:t xml:space="preserve"> by the restitution of the rights that have been violated, the State must adopt the following measures</w:t>
      </w:r>
      <w:r w:rsidR="00A91B78" w:rsidRPr="00FE7BA7">
        <w:rPr>
          <w:rFonts w:ascii="Verdana" w:hAnsi="Verdana"/>
          <w:sz w:val="20"/>
          <w:szCs w:val="20"/>
          <w:lang w:val="en-US"/>
        </w:rPr>
        <w:t>:</w:t>
      </w:r>
      <w:r w:rsidR="00A91B78" w:rsidRPr="00FE7BA7">
        <w:rPr>
          <w:rFonts w:ascii="Verdana" w:hAnsi="Verdana" w:cs="Arial"/>
          <w:sz w:val="20"/>
          <w:szCs w:val="20"/>
          <w:lang w:val="en-US"/>
        </w:rPr>
        <w:t xml:space="preserve"> </w:t>
      </w:r>
    </w:p>
    <w:p w14:paraId="63126AE0" w14:textId="77777777" w:rsidR="00A91B78" w:rsidRPr="00FE7BA7" w:rsidRDefault="00A91B78" w:rsidP="00A91B78">
      <w:pPr>
        <w:contextualSpacing/>
        <w:jc w:val="both"/>
        <w:rPr>
          <w:rFonts w:ascii="Verdana" w:hAnsi="Verdana" w:cs="Arial"/>
          <w:i/>
          <w:sz w:val="20"/>
          <w:szCs w:val="20"/>
          <w:lang w:val="en-US"/>
        </w:rPr>
      </w:pPr>
    </w:p>
    <w:p w14:paraId="63126AE1" w14:textId="7641253F" w:rsidR="00A91B78" w:rsidRPr="00FE7BA7" w:rsidRDefault="00511E56" w:rsidP="00A144BB">
      <w:pPr>
        <w:pStyle w:val="ListParagraph"/>
        <w:numPr>
          <w:ilvl w:val="0"/>
          <w:numId w:val="45"/>
        </w:numPr>
        <w:jc w:val="both"/>
        <w:rPr>
          <w:rFonts w:ascii="Verdana" w:hAnsi="Verdana"/>
          <w:i/>
          <w:sz w:val="20"/>
          <w:lang w:val="en-US"/>
        </w:rPr>
      </w:pPr>
      <w:r w:rsidRPr="00FE7BA7">
        <w:rPr>
          <w:rFonts w:ascii="Verdana" w:hAnsi="Verdana"/>
          <w:i/>
          <w:sz w:val="20"/>
          <w:lang w:val="en-US"/>
        </w:rPr>
        <w:t>Juridical personality and co</w:t>
      </w:r>
      <w:r w:rsidR="00914DC8">
        <w:rPr>
          <w:rFonts w:ascii="Verdana" w:hAnsi="Verdana"/>
          <w:i/>
          <w:sz w:val="20"/>
          <w:lang w:val="en-US"/>
        </w:rPr>
        <w:t xml:space="preserve">llective </w:t>
      </w:r>
      <w:r w:rsidRPr="00FE7BA7">
        <w:rPr>
          <w:rFonts w:ascii="Verdana" w:hAnsi="Verdana"/>
          <w:i/>
          <w:sz w:val="20"/>
          <w:lang w:val="en-US"/>
        </w:rPr>
        <w:t>property</w:t>
      </w:r>
      <w:r w:rsidR="00A144BB" w:rsidRPr="00FE7BA7">
        <w:rPr>
          <w:rFonts w:ascii="Verdana" w:hAnsi="Verdana"/>
          <w:i/>
          <w:sz w:val="20"/>
          <w:lang w:val="en-US"/>
        </w:rPr>
        <w:t xml:space="preserve"> </w:t>
      </w:r>
    </w:p>
    <w:p w14:paraId="63126AE2" w14:textId="77777777" w:rsidR="00A91B78" w:rsidRPr="00FE7BA7" w:rsidRDefault="00A91B78" w:rsidP="00A91B78">
      <w:pPr>
        <w:pStyle w:val="ListParagraph"/>
        <w:ind w:left="942"/>
        <w:jc w:val="both"/>
        <w:rPr>
          <w:rFonts w:ascii="Verdana" w:hAnsi="Verdana"/>
          <w:i/>
          <w:sz w:val="20"/>
          <w:szCs w:val="20"/>
          <w:lang w:val="en-US"/>
        </w:rPr>
      </w:pPr>
    </w:p>
    <w:p w14:paraId="63126AE3" w14:textId="77777777" w:rsidR="000C251D" w:rsidRPr="00FE7BA7" w:rsidRDefault="00430FB4" w:rsidP="000C251D">
      <w:pPr>
        <w:pStyle w:val="ListParagraph"/>
        <w:numPr>
          <w:ilvl w:val="0"/>
          <w:numId w:val="44"/>
        </w:numPr>
        <w:jc w:val="both"/>
        <w:rPr>
          <w:rFonts w:ascii="Verdana" w:hAnsi="Verdana"/>
          <w:sz w:val="20"/>
          <w:szCs w:val="20"/>
          <w:lang w:val="en-US"/>
        </w:rPr>
      </w:pPr>
      <w:r w:rsidRPr="00FE7BA7">
        <w:rPr>
          <w:rFonts w:ascii="Verdana" w:hAnsi="Verdana"/>
          <w:sz w:val="20"/>
          <w:szCs w:val="20"/>
          <w:lang w:val="en-US"/>
        </w:rPr>
        <w:t xml:space="preserve">Grant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legal recognition of the collective juridical </w:t>
      </w:r>
      <w:r w:rsidR="00FE7BA7" w:rsidRPr="00FE7BA7">
        <w:rPr>
          <w:rFonts w:ascii="Verdana" w:hAnsi="Verdana"/>
          <w:sz w:val="20"/>
          <w:szCs w:val="20"/>
          <w:lang w:val="en-US"/>
        </w:rPr>
        <w:t>personality</w:t>
      </w:r>
      <w:r w:rsidRPr="00FE7BA7">
        <w:rPr>
          <w:rFonts w:ascii="Verdana" w:hAnsi="Verdana"/>
          <w:sz w:val="20"/>
          <w:szCs w:val="20"/>
          <w:lang w:val="en-US"/>
        </w:rPr>
        <w:t xml:space="preserve"> corresponding to the comm</w:t>
      </w:r>
      <w:r w:rsidR="00914DC8">
        <w:rPr>
          <w:rFonts w:ascii="Verdana" w:hAnsi="Verdana"/>
          <w:sz w:val="20"/>
          <w:szCs w:val="20"/>
          <w:lang w:val="en-US"/>
        </w:rPr>
        <w:t>unity of which they are members</w:t>
      </w:r>
      <w:r w:rsidRPr="00FE7BA7">
        <w:rPr>
          <w:rFonts w:ascii="Verdana" w:hAnsi="Verdana"/>
          <w:sz w:val="20"/>
          <w:szCs w:val="20"/>
          <w:lang w:val="en-US"/>
        </w:rPr>
        <w:t xml:space="preserve"> in order to ensure them the exercise and full enjoyment of their right to property of a co</w:t>
      </w:r>
      <w:r w:rsidR="00C07DBC">
        <w:rPr>
          <w:rFonts w:ascii="Verdana" w:hAnsi="Verdana"/>
          <w:sz w:val="20"/>
          <w:szCs w:val="20"/>
          <w:lang w:val="en-US"/>
        </w:rPr>
        <w:t>mmunal</w:t>
      </w:r>
      <w:r w:rsidRPr="00FE7BA7">
        <w:rPr>
          <w:rFonts w:ascii="Verdana" w:hAnsi="Verdana"/>
          <w:sz w:val="20"/>
          <w:szCs w:val="20"/>
          <w:lang w:val="en-US"/>
        </w:rPr>
        <w:t xml:space="preserve"> nature, as well as </w:t>
      </w:r>
      <w:r w:rsidR="00914DC8">
        <w:rPr>
          <w:rFonts w:ascii="Verdana" w:hAnsi="Verdana"/>
          <w:sz w:val="20"/>
          <w:szCs w:val="20"/>
          <w:lang w:val="en-US"/>
        </w:rPr>
        <w:t>a</w:t>
      </w:r>
      <w:r w:rsidR="00C07DBC">
        <w:rPr>
          <w:rFonts w:ascii="Verdana" w:hAnsi="Verdana"/>
          <w:sz w:val="20"/>
          <w:szCs w:val="20"/>
          <w:lang w:val="en-US"/>
        </w:rPr>
        <w:t>ccess to justice as a community</w:t>
      </w:r>
      <w:r w:rsidRPr="00FE7BA7">
        <w:rPr>
          <w:rFonts w:ascii="Verdana" w:hAnsi="Verdana"/>
          <w:sz w:val="20"/>
          <w:szCs w:val="20"/>
          <w:lang w:val="en-US"/>
        </w:rPr>
        <w:t xml:space="preserve"> in </w:t>
      </w:r>
      <w:r w:rsidR="00FE7BA7" w:rsidRPr="00FE7BA7">
        <w:rPr>
          <w:rFonts w:ascii="Verdana" w:hAnsi="Verdana"/>
          <w:sz w:val="20"/>
          <w:szCs w:val="20"/>
          <w:lang w:val="en-US"/>
        </w:rPr>
        <w:t>keeping</w:t>
      </w:r>
      <w:r w:rsidRPr="00FE7BA7">
        <w:rPr>
          <w:rFonts w:ascii="Verdana" w:hAnsi="Verdana"/>
          <w:sz w:val="20"/>
          <w:szCs w:val="20"/>
          <w:lang w:val="en-US"/>
        </w:rPr>
        <w:t xml:space="preserve"> with their customs and traditions, as established in </w:t>
      </w:r>
      <w:r w:rsidR="00967E6B" w:rsidRPr="00FE7BA7">
        <w:rPr>
          <w:rFonts w:ascii="Verdana" w:hAnsi="Verdana"/>
          <w:sz w:val="20"/>
          <w:szCs w:val="20"/>
          <w:lang w:val="en-US"/>
        </w:rPr>
        <w:t>paragraphs</w:t>
      </w:r>
      <w:r w:rsidR="000C251D" w:rsidRPr="00FE7BA7">
        <w:rPr>
          <w:rFonts w:ascii="Verdana" w:hAnsi="Verdana"/>
          <w:sz w:val="20"/>
          <w:szCs w:val="20"/>
          <w:lang w:val="en-US"/>
        </w:rPr>
        <w:t xml:space="preserve"> </w:t>
      </w:r>
      <w:r w:rsidR="005C32D8" w:rsidRPr="00FE7BA7">
        <w:rPr>
          <w:rFonts w:ascii="Verdana" w:hAnsi="Verdana"/>
          <w:sz w:val="20"/>
          <w:szCs w:val="20"/>
          <w:lang w:val="en-US"/>
        </w:rPr>
        <w:t>1</w:t>
      </w:r>
      <w:r w:rsidR="00D02060" w:rsidRPr="00FE7BA7">
        <w:rPr>
          <w:rFonts w:ascii="Verdana" w:hAnsi="Verdana"/>
          <w:sz w:val="20"/>
          <w:szCs w:val="20"/>
          <w:lang w:val="en-US"/>
        </w:rPr>
        <w:t>0</w:t>
      </w:r>
      <w:r w:rsidR="004E48FF" w:rsidRPr="00FE7BA7">
        <w:rPr>
          <w:rFonts w:ascii="Verdana" w:hAnsi="Verdana"/>
          <w:sz w:val="20"/>
          <w:szCs w:val="20"/>
          <w:lang w:val="en-US"/>
        </w:rPr>
        <w:t>5</w:t>
      </w:r>
      <w:r w:rsidR="005C32D8" w:rsidRPr="00FE7BA7">
        <w:rPr>
          <w:rFonts w:ascii="Verdana" w:hAnsi="Verdana"/>
          <w:sz w:val="20"/>
          <w:szCs w:val="20"/>
          <w:lang w:val="en-US"/>
        </w:rPr>
        <w:t xml:space="preserve"> </w:t>
      </w:r>
      <w:r w:rsidRPr="00FE7BA7">
        <w:rPr>
          <w:rFonts w:ascii="Verdana" w:hAnsi="Verdana"/>
          <w:sz w:val="20"/>
          <w:szCs w:val="20"/>
          <w:lang w:val="en-US"/>
        </w:rPr>
        <w:t>to</w:t>
      </w:r>
      <w:r w:rsidR="005C32D8" w:rsidRPr="00FE7BA7">
        <w:rPr>
          <w:rFonts w:ascii="Verdana" w:hAnsi="Verdana"/>
          <w:sz w:val="20"/>
          <w:szCs w:val="20"/>
          <w:lang w:val="en-US"/>
        </w:rPr>
        <w:t xml:space="preserve"> </w:t>
      </w:r>
      <w:r w:rsidR="00D02060" w:rsidRPr="00FE7BA7">
        <w:rPr>
          <w:rFonts w:ascii="Verdana" w:hAnsi="Verdana"/>
          <w:sz w:val="20"/>
          <w:szCs w:val="20"/>
          <w:lang w:val="en-US"/>
        </w:rPr>
        <w:t>114</w:t>
      </w:r>
      <w:r w:rsidR="000C251D" w:rsidRPr="00FE7BA7">
        <w:rPr>
          <w:rFonts w:ascii="Verdana" w:hAnsi="Verdana"/>
          <w:sz w:val="20"/>
          <w:szCs w:val="20"/>
          <w:lang w:val="en-US"/>
        </w:rPr>
        <w:t xml:space="preserve">. </w:t>
      </w:r>
      <w:r w:rsidR="002B5CCD" w:rsidRPr="00FE7BA7">
        <w:rPr>
          <w:rFonts w:ascii="Verdana" w:hAnsi="Verdana"/>
          <w:sz w:val="20"/>
          <w:szCs w:val="20"/>
          <w:lang w:val="en-US"/>
        </w:rPr>
        <w:t>The State</w:t>
      </w:r>
      <w:r w:rsidR="000C251D" w:rsidRPr="00FE7BA7">
        <w:rPr>
          <w:rFonts w:ascii="Verdana" w:hAnsi="Verdana"/>
          <w:sz w:val="20"/>
          <w:szCs w:val="20"/>
          <w:lang w:val="en-US"/>
        </w:rPr>
        <w:t xml:space="preserve"> </w:t>
      </w:r>
      <w:r w:rsidR="00FE7BA7" w:rsidRPr="00FE7BA7">
        <w:rPr>
          <w:rFonts w:ascii="Verdana" w:hAnsi="Verdana"/>
          <w:sz w:val="20"/>
          <w:szCs w:val="20"/>
          <w:lang w:val="en-US"/>
        </w:rPr>
        <w:t>must</w:t>
      </w:r>
      <w:r w:rsidRPr="00FE7BA7">
        <w:rPr>
          <w:rFonts w:ascii="Verdana" w:hAnsi="Verdana"/>
          <w:sz w:val="20"/>
          <w:szCs w:val="20"/>
          <w:lang w:val="en-US"/>
        </w:rPr>
        <w:t xml:space="preserve"> comply with the measure of reparation within 18 months of </w:t>
      </w:r>
      <w:r w:rsidR="00CD3DC6" w:rsidRPr="00FE7BA7">
        <w:rPr>
          <w:rFonts w:ascii="Verdana" w:hAnsi="Verdana"/>
          <w:sz w:val="20"/>
          <w:szCs w:val="20"/>
          <w:lang w:val="en-US"/>
        </w:rPr>
        <w:t>notification</w:t>
      </w:r>
      <w:r w:rsidR="008B5275"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Pr="00FE7BA7">
        <w:rPr>
          <w:rFonts w:ascii="Verdana" w:hAnsi="Verdana"/>
          <w:sz w:val="20"/>
          <w:szCs w:val="20"/>
          <w:lang w:val="en-US"/>
        </w:rPr>
        <w:t>, and</w:t>
      </w:r>
    </w:p>
    <w:p w14:paraId="63126AE4" w14:textId="77777777" w:rsidR="000C251D" w:rsidRPr="00FE7BA7" w:rsidRDefault="000C251D" w:rsidP="000C251D">
      <w:pPr>
        <w:contextualSpacing/>
        <w:jc w:val="both"/>
        <w:rPr>
          <w:rFonts w:ascii="Verdana" w:hAnsi="Verdana"/>
          <w:sz w:val="20"/>
          <w:szCs w:val="20"/>
          <w:lang w:val="en-US"/>
        </w:rPr>
      </w:pPr>
    </w:p>
    <w:p w14:paraId="63126AE5" w14:textId="3C3EC6D1" w:rsidR="000C251D" w:rsidRPr="00FE7BA7" w:rsidRDefault="00430FB4" w:rsidP="000C251D">
      <w:pPr>
        <w:pStyle w:val="ListParagraph"/>
        <w:numPr>
          <w:ilvl w:val="0"/>
          <w:numId w:val="44"/>
        </w:numPr>
        <w:jc w:val="both"/>
        <w:rPr>
          <w:rFonts w:ascii="Verdana" w:hAnsi="Verdana"/>
          <w:sz w:val="20"/>
          <w:szCs w:val="20"/>
          <w:lang w:val="en-US"/>
        </w:rPr>
      </w:pPr>
      <w:r w:rsidRPr="00FE7BA7">
        <w:rPr>
          <w:rFonts w:ascii="Verdana" w:hAnsi="Verdana"/>
          <w:sz w:val="20"/>
          <w:szCs w:val="20"/>
          <w:lang w:val="en-US"/>
        </w:rPr>
        <w:t>Delimit, demarcate,</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grant collective title to </w:t>
      </w:r>
      <w:r w:rsidR="00511E56" w:rsidRPr="00FE7BA7">
        <w:rPr>
          <w:rFonts w:ascii="Verdana" w:hAnsi="Verdana"/>
          <w:sz w:val="20"/>
          <w:szCs w:val="20"/>
          <w:lang w:val="en-US"/>
        </w:rPr>
        <w:t>the territory</w:t>
      </w:r>
      <w:r w:rsidR="00DA4B96" w:rsidRPr="00FE7BA7">
        <w:rPr>
          <w:rFonts w:ascii="Verdana" w:hAnsi="Verdana"/>
          <w:sz w:val="20"/>
          <w:szCs w:val="20"/>
          <w:lang w:val="en-US"/>
        </w:rPr>
        <w:t xml:space="preserve"> of the members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67410A" w:rsidRPr="00FE7BA7">
        <w:rPr>
          <w:rFonts w:ascii="Verdana" w:hAnsi="Verdana"/>
          <w:sz w:val="20"/>
          <w:szCs w:val="20"/>
          <w:lang w:val="en-US"/>
        </w:rPr>
        <w:t>, g</w:t>
      </w:r>
      <w:r w:rsidR="00914DC8">
        <w:rPr>
          <w:rFonts w:ascii="Verdana" w:hAnsi="Verdana"/>
          <w:sz w:val="20"/>
          <w:szCs w:val="20"/>
          <w:lang w:val="en-US"/>
        </w:rPr>
        <w:t>uaranteeing the</w:t>
      </w:r>
      <w:r w:rsidRPr="00FE7BA7">
        <w:rPr>
          <w:rFonts w:ascii="Verdana" w:hAnsi="Verdana"/>
          <w:sz w:val="20"/>
          <w:szCs w:val="20"/>
          <w:lang w:val="en-US"/>
        </w:rPr>
        <w:t xml:space="preserve"> use and effective enjoyment, as established in </w:t>
      </w:r>
      <w:r w:rsidR="00967E6B" w:rsidRPr="00FE7BA7">
        <w:rPr>
          <w:rFonts w:ascii="Verdana" w:hAnsi="Verdana"/>
          <w:sz w:val="20"/>
          <w:szCs w:val="20"/>
          <w:lang w:val="en-US"/>
        </w:rPr>
        <w:t>paragraphs</w:t>
      </w:r>
      <w:r w:rsidR="000C251D" w:rsidRPr="00FE7BA7">
        <w:rPr>
          <w:rFonts w:ascii="Verdana" w:hAnsi="Verdana"/>
          <w:sz w:val="20"/>
          <w:szCs w:val="20"/>
          <w:lang w:val="en-US"/>
        </w:rPr>
        <w:t xml:space="preserve"> </w:t>
      </w:r>
      <w:r w:rsidR="001049A0" w:rsidRPr="00FE7BA7">
        <w:rPr>
          <w:rFonts w:ascii="Verdana" w:hAnsi="Verdana"/>
          <w:sz w:val="20"/>
          <w:szCs w:val="20"/>
          <w:lang w:val="en-US"/>
        </w:rPr>
        <w:t>1</w:t>
      </w:r>
      <w:r w:rsidR="00D02060" w:rsidRPr="00FE7BA7">
        <w:rPr>
          <w:rFonts w:ascii="Verdana" w:hAnsi="Verdana"/>
          <w:sz w:val="20"/>
          <w:szCs w:val="20"/>
          <w:lang w:val="en-US"/>
        </w:rPr>
        <w:t>29</w:t>
      </w:r>
      <w:r w:rsidR="001049A0" w:rsidRPr="00FE7BA7">
        <w:rPr>
          <w:rFonts w:ascii="Verdana" w:hAnsi="Verdana"/>
          <w:sz w:val="20"/>
          <w:szCs w:val="20"/>
          <w:lang w:val="en-US"/>
        </w:rPr>
        <w:t xml:space="preserve"> </w:t>
      </w:r>
      <w:r w:rsidRPr="00FE7BA7">
        <w:rPr>
          <w:rFonts w:ascii="Verdana" w:hAnsi="Verdana"/>
          <w:sz w:val="20"/>
          <w:szCs w:val="20"/>
          <w:lang w:val="en-US"/>
        </w:rPr>
        <w:t>to</w:t>
      </w:r>
      <w:r w:rsidR="001049A0" w:rsidRPr="00FE7BA7">
        <w:rPr>
          <w:rFonts w:ascii="Verdana" w:hAnsi="Verdana"/>
          <w:sz w:val="20"/>
          <w:szCs w:val="20"/>
          <w:lang w:val="en-US"/>
        </w:rPr>
        <w:t xml:space="preserve"> 1</w:t>
      </w:r>
      <w:r w:rsidR="00D02060" w:rsidRPr="00FE7BA7">
        <w:rPr>
          <w:rFonts w:ascii="Verdana" w:hAnsi="Verdana"/>
          <w:sz w:val="20"/>
          <w:szCs w:val="20"/>
          <w:lang w:val="en-US"/>
        </w:rPr>
        <w:t>42</w:t>
      </w:r>
      <w:r w:rsidR="000C251D" w:rsidRPr="00FE7BA7">
        <w:rPr>
          <w:rFonts w:ascii="Verdana" w:hAnsi="Verdana"/>
          <w:sz w:val="20"/>
          <w:szCs w:val="20"/>
          <w:lang w:val="en-US"/>
        </w:rPr>
        <w:t xml:space="preserve"> </w:t>
      </w:r>
      <w:r w:rsidRPr="00FE7BA7">
        <w:rPr>
          <w:rFonts w:ascii="Verdana" w:hAnsi="Verdana"/>
          <w:sz w:val="20"/>
          <w:szCs w:val="20"/>
          <w:lang w:val="en-US"/>
        </w:rPr>
        <w:t>of the Judgment</w:t>
      </w:r>
      <w:r w:rsidR="000C251D"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by </w:t>
      </w:r>
      <w:r w:rsidR="00914DC8">
        <w:rPr>
          <w:rFonts w:ascii="Verdana" w:hAnsi="Verdana"/>
          <w:sz w:val="20"/>
          <w:szCs w:val="20"/>
          <w:lang w:val="en-US"/>
        </w:rPr>
        <w:t>means of processes in which these peoples</w:t>
      </w:r>
      <w:r w:rsidRPr="00FE7BA7">
        <w:rPr>
          <w:rFonts w:ascii="Verdana" w:hAnsi="Verdana"/>
          <w:sz w:val="20"/>
          <w:szCs w:val="20"/>
          <w:lang w:val="en-US"/>
        </w:rPr>
        <w:t xml:space="preserve"> p</w:t>
      </w:r>
      <w:r w:rsidR="00914DC8">
        <w:rPr>
          <w:rFonts w:ascii="Verdana" w:hAnsi="Verdana"/>
          <w:sz w:val="20"/>
          <w:szCs w:val="20"/>
          <w:lang w:val="en-US"/>
        </w:rPr>
        <w:t xml:space="preserve">articipate. This should be </w:t>
      </w:r>
      <w:r w:rsidR="00C07DBC">
        <w:rPr>
          <w:rFonts w:ascii="Verdana" w:hAnsi="Verdana"/>
          <w:sz w:val="20"/>
          <w:szCs w:val="20"/>
          <w:lang w:val="en-US"/>
        </w:rPr>
        <w:t>carried out</w:t>
      </w:r>
      <w:r w:rsidRPr="00FE7BA7">
        <w:rPr>
          <w:rFonts w:ascii="Verdana" w:hAnsi="Verdana"/>
          <w:sz w:val="20"/>
          <w:szCs w:val="20"/>
          <w:lang w:val="en-US"/>
        </w:rPr>
        <w:t xml:space="preserve"> taking into account the rights of other </w:t>
      </w:r>
      <w:r w:rsidRPr="00FE7BA7">
        <w:rPr>
          <w:rFonts w:ascii="Verdana" w:hAnsi="Verdana"/>
          <w:sz w:val="20"/>
          <w:lang w:val="en-US"/>
        </w:rPr>
        <w:t xml:space="preserve">tribal peoples in the area. </w:t>
      </w:r>
    </w:p>
    <w:p w14:paraId="63126AE6" w14:textId="77777777" w:rsidR="000C251D" w:rsidRPr="00FE7BA7" w:rsidRDefault="000C251D" w:rsidP="000C251D">
      <w:pPr>
        <w:contextualSpacing/>
        <w:jc w:val="both"/>
        <w:rPr>
          <w:rFonts w:ascii="Verdana" w:hAnsi="Verdana"/>
          <w:sz w:val="20"/>
          <w:lang w:val="en-US"/>
        </w:rPr>
      </w:pPr>
    </w:p>
    <w:p w14:paraId="63126AE7" w14:textId="662C5B9A" w:rsidR="005E7791" w:rsidRPr="00FE7BA7" w:rsidRDefault="00430FB4" w:rsidP="00430FB4">
      <w:pPr>
        <w:numPr>
          <w:ilvl w:val="0"/>
          <w:numId w:val="2"/>
        </w:numPr>
        <w:ind w:left="0" w:hanging="11"/>
        <w:contextualSpacing/>
        <w:jc w:val="both"/>
        <w:rPr>
          <w:rFonts w:ascii="Verdana" w:hAnsi="Verdana"/>
          <w:sz w:val="20"/>
          <w:szCs w:val="20"/>
          <w:lang w:val="en-US"/>
        </w:rPr>
      </w:pPr>
      <w:r w:rsidRPr="00FE7BA7">
        <w:rPr>
          <w:rFonts w:ascii="Verdana" w:hAnsi="Verdana"/>
          <w:sz w:val="20"/>
          <w:lang w:val="en-US"/>
        </w:rPr>
        <w:t xml:space="preserve">In the case of the lands </w:t>
      </w:r>
      <w:r w:rsidR="00914DC8">
        <w:rPr>
          <w:rFonts w:ascii="Verdana" w:hAnsi="Verdana"/>
          <w:sz w:val="20"/>
          <w:lang w:val="en-US"/>
        </w:rPr>
        <w:t>claimed</w:t>
      </w:r>
      <w:r w:rsidRPr="00FE7BA7">
        <w:rPr>
          <w:rFonts w:ascii="Verdana" w:hAnsi="Verdana"/>
          <w:sz w:val="20"/>
          <w:lang w:val="en-US"/>
        </w:rPr>
        <w:t xml:space="preserve"> that are in the hands of non-indigenous or</w:t>
      </w:r>
      <w:r w:rsidR="00C07DBC">
        <w:rPr>
          <w:rFonts w:ascii="Verdana" w:hAnsi="Verdana"/>
          <w:sz w:val="20"/>
          <w:lang w:val="en-US"/>
        </w:rPr>
        <w:t xml:space="preserve"> non-</w:t>
      </w:r>
      <w:r w:rsidRPr="00FE7BA7">
        <w:rPr>
          <w:rFonts w:ascii="Verdana" w:hAnsi="Verdana"/>
          <w:sz w:val="20"/>
          <w:lang w:val="en-US"/>
        </w:rPr>
        <w:t xml:space="preserve">tribal third parties, whether natural or legal persons, the State must, through its competent authorities, decide whether to purchase or expropriate the territory in favor of the indigenous </w:t>
      </w:r>
      <w:r w:rsidRPr="00FE7BA7">
        <w:rPr>
          <w:rFonts w:ascii="Verdana" w:hAnsi="Verdana"/>
          <w:sz w:val="20"/>
          <w:lang w:val="en-US"/>
        </w:rPr>
        <w:lastRenderedPageBreak/>
        <w:t>peoples, by payment of compensation</w:t>
      </w:r>
      <w:r w:rsidR="00914DC8">
        <w:rPr>
          <w:rFonts w:ascii="Verdana" w:hAnsi="Verdana"/>
          <w:sz w:val="20"/>
          <w:lang w:val="en-US"/>
        </w:rPr>
        <w:t xml:space="preserve"> to those affected</w:t>
      </w:r>
      <w:r w:rsidRPr="00FE7BA7">
        <w:rPr>
          <w:rFonts w:ascii="Verdana" w:hAnsi="Verdana"/>
          <w:sz w:val="20"/>
          <w:lang w:val="en-US"/>
        </w:rPr>
        <w:t xml:space="preserve"> as established by domestic law.</w:t>
      </w:r>
      <w:r w:rsidRPr="00FE7BA7">
        <w:rPr>
          <w:rStyle w:val="FootnoteReference"/>
          <w:szCs w:val="20"/>
          <w:lang w:val="en-US"/>
        </w:rPr>
        <w:footnoteReference w:id="322"/>
      </w:r>
      <w:r w:rsidRPr="00FE7BA7">
        <w:rPr>
          <w:rFonts w:ascii="Verdana" w:hAnsi="Verdana"/>
          <w:sz w:val="20"/>
          <w:lang w:val="en-US"/>
        </w:rPr>
        <w:t xml:space="preserve"> </w:t>
      </w:r>
      <w:r w:rsidR="00914DC8">
        <w:rPr>
          <w:rFonts w:ascii="Verdana" w:hAnsi="Verdana"/>
          <w:sz w:val="20"/>
          <w:lang w:val="en-US"/>
        </w:rPr>
        <w:t>When deciding</w:t>
      </w:r>
      <w:r w:rsidRPr="00FE7BA7">
        <w:rPr>
          <w:rFonts w:ascii="Verdana" w:hAnsi="Verdana"/>
          <w:sz w:val="20"/>
          <w:lang w:val="en-US"/>
        </w:rPr>
        <w:t xml:space="preserve"> this matter, the State authorities should abide by the standards established </w:t>
      </w:r>
      <w:r w:rsidR="00BB5853" w:rsidRPr="00FE7BA7">
        <w:rPr>
          <w:rFonts w:ascii="Verdana" w:hAnsi="Verdana"/>
          <w:sz w:val="20"/>
          <w:szCs w:val="20"/>
          <w:lang w:val="en-US"/>
        </w:rPr>
        <w:t>in this Judgment</w:t>
      </w:r>
      <w:r w:rsidR="000C251D" w:rsidRPr="00FE7BA7">
        <w:rPr>
          <w:rFonts w:ascii="Verdana" w:hAnsi="Verdana"/>
          <w:sz w:val="20"/>
          <w:szCs w:val="20"/>
          <w:lang w:val="en-US"/>
        </w:rPr>
        <w:t xml:space="preserve"> (</w:t>
      </w:r>
      <w:r w:rsidR="00366D91" w:rsidRPr="00FE7BA7">
        <w:rPr>
          <w:rFonts w:ascii="Verdana" w:hAnsi="Verdana"/>
          <w:i/>
          <w:sz w:val="20"/>
          <w:szCs w:val="20"/>
          <w:lang w:val="en-US"/>
        </w:rPr>
        <w:t>supra</w:t>
      </w:r>
      <w:r w:rsidR="000C251D" w:rsidRPr="00FE7BA7">
        <w:rPr>
          <w:rFonts w:ascii="Verdana" w:hAnsi="Verdana"/>
          <w:sz w:val="20"/>
          <w:szCs w:val="20"/>
          <w:lang w:val="en-US"/>
        </w:rPr>
        <w:t xml:space="preserve"> </w:t>
      </w:r>
      <w:r w:rsidR="008F798A" w:rsidRPr="00FE7BA7">
        <w:rPr>
          <w:rFonts w:ascii="Verdana" w:hAnsi="Verdana"/>
          <w:sz w:val="20"/>
          <w:szCs w:val="20"/>
          <w:lang w:val="en-US"/>
        </w:rPr>
        <w:t>paras.</w:t>
      </w:r>
      <w:r w:rsidR="00AB443C" w:rsidRPr="00FE7BA7">
        <w:rPr>
          <w:rFonts w:ascii="Verdana" w:hAnsi="Verdana"/>
          <w:sz w:val="20"/>
          <w:szCs w:val="20"/>
          <w:lang w:val="en-US"/>
        </w:rPr>
        <w:t xml:space="preserve"> </w:t>
      </w:r>
      <w:r w:rsidR="001049A0" w:rsidRPr="00FE7BA7">
        <w:rPr>
          <w:rFonts w:ascii="Verdana" w:hAnsi="Verdana"/>
          <w:sz w:val="20"/>
          <w:szCs w:val="20"/>
          <w:lang w:val="en-US"/>
        </w:rPr>
        <w:t>1</w:t>
      </w:r>
      <w:r w:rsidR="00D02060" w:rsidRPr="00FE7BA7">
        <w:rPr>
          <w:rFonts w:ascii="Verdana" w:hAnsi="Verdana"/>
          <w:sz w:val="20"/>
          <w:szCs w:val="20"/>
          <w:lang w:val="en-US"/>
        </w:rPr>
        <w:t>55</w:t>
      </w:r>
      <w:r w:rsidR="002B5CCD" w:rsidRPr="00FE7BA7">
        <w:rPr>
          <w:rFonts w:ascii="Verdana" w:hAnsi="Verdana"/>
          <w:sz w:val="20"/>
          <w:szCs w:val="20"/>
          <w:lang w:val="en-US"/>
        </w:rPr>
        <w:t xml:space="preserve"> </w:t>
      </w:r>
      <w:r w:rsidR="002D650B">
        <w:rPr>
          <w:rFonts w:ascii="Verdana" w:hAnsi="Verdana"/>
          <w:sz w:val="20"/>
          <w:szCs w:val="20"/>
          <w:lang w:val="en-US"/>
        </w:rPr>
        <w:t>to</w:t>
      </w:r>
      <w:r w:rsidR="002B5CCD" w:rsidRPr="00FE7BA7">
        <w:rPr>
          <w:rFonts w:ascii="Verdana" w:hAnsi="Verdana"/>
          <w:sz w:val="20"/>
          <w:szCs w:val="20"/>
          <w:lang w:val="en-US"/>
        </w:rPr>
        <w:t xml:space="preserve"> </w:t>
      </w:r>
      <w:r w:rsidR="00D02060" w:rsidRPr="00FE7BA7">
        <w:rPr>
          <w:rFonts w:ascii="Verdana" w:hAnsi="Verdana"/>
          <w:sz w:val="20"/>
          <w:szCs w:val="20"/>
          <w:lang w:val="en-US"/>
        </w:rPr>
        <w:t>15</w:t>
      </w:r>
      <w:r w:rsidR="002D650B">
        <w:rPr>
          <w:rFonts w:ascii="Verdana" w:hAnsi="Verdana"/>
          <w:sz w:val="20"/>
          <w:szCs w:val="20"/>
          <w:lang w:val="en-US"/>
        </w:rPr>
        <w:t>9 and 168</w:t>
      </w:r>
      <w:r w:rsidRPr="00FE7BA7">
        <w:rPr>
          <w:rFonts w:ascii="Verdana" w:hAnsi="Verdana"/>
          <w:sz w:val="20"/>
          <w:szCs w:val="20"/>
          <w:lang w:val="en-US"/>
        </w:rPr>
        <w:t xml:space="preserve">), bearing in mind, in particular, the special relationship that the indigenous </w:t>
      </w:r>
      <w:r w:rsidR="00FE7BA7" w:rsidRPr="00FE7BA7">
        <w:rPr>
          <w:rFonts w:ascii="Verdana" w:hAnsi="Verdana"/>
          <w:sz w:val="20"/>
          <w:szCs w:val="20"/>
          <w:lang w:val="en-US"/>
        </w:rPr>
        <w:t>peoples</w:t>
      </w:r>
      <w:r w:rsidRPr="00FE7BA7">
        <w:rPr>
          <w:rFonts w:ascii="Verdana" w:hAnsi="Verdana"/>
          <w:sz w:val="20"/>
          <w:szCs w:val="20"/>
          <w:lang w:val="en-US"/>
        </w:rPr>
        <w:t xml:space="preserve"> have with their lands in order to preserve their culture and </w:t>
      </w:r>
      <w:r w:rsidR="00914DC8">
        <w:rPr>
          <w:rFonts w:ascii="Verdana" w:hAnsi="Verdana"/>
          <w:sz w:val="20"/>
          <w:szCs w:val="20"/>
          <w:lang w:val="en-US"/>
        </w:rPr>
        <w:t xml:space="preserve">ensure </w:t>
      </w:r>
      <w:r w:rsidRPr="00FE7BA7">
        <w:rPr>
          <w:rFonts w:ascii="Verdana" w:hAnsi="Verdana"/>
          <w:sz w:val="20"/>
          <w:szCs w:val="20"/>
          <w:lang w:val="en-US"/>
        </w:rPr>
        <w:t>their survival. The decision taken by the domest</w:t>
      </w:r>
      <w:r w:rsidR="00C07DBC">
        <w:rPr>
          <w:rFonts w:ascii="Verdana" w:hAnsi="Verdana"/>
          <w:sz w:val="20"/>
          <w:szCs w:val="20"/>
          <w:lang w:val="en-US"/>
        </w:rPr>
        <w:t>ic authorities should never be</w:t>
      </w:r>
      <w:r w:rsidRPr="00FE7BA7">
        <w:rPr>
          <w:rFonts w:ascii="Verdana" w:hAnsi="Verdana"/>
          <w:sz w:val="20"/>
          <w:szCs w:val="20"/>
          <w:lang w:val="en-US"/>
        </w:rPr>
        <w:t xml:space="preserve"> based exclusively on the fact that these lands are in private hands or that they are being exploited rationally.</w:t>
      </w:r>
      <w:r w:rsidR="00606243" w:rsidRPr="00FE7BA7">
        <w:rPr>
          <w:rStyle w:val="FootnoteReference"/>
          <w:szCs w:val="20"/>
          <w:lang w:val="en-US"/>
        </w:rPr>
        <w:footnoteReference w:id="323"/>
      </w:r>
    </w:p>
    <w:p w14:paraId="63126AE8" w14:textId="77777777" w:rsidR="000C251D" w:rsidRPr="00FE7BA7" w:rsidRDefault="005E7791" w:rsidP="005E7791">
      <w:pPr>
        <w:contextualSpacing/>
        <w:jc w:val="both"/>
        <w:rPr>
          <w:rFonts w:ascii="Verdana" w:hAnsi="Verdana"/>
          <w:sz w:val="20"/>
          <w:szCs w:val="20"/>
          <w:lang w:val="en-US"/>
        </w:rPr>
      </w:pPr>
      <w:r w:rsidRPr="00FE7BA7">
        <w:rPr>
          <w:rFonts w:ascii="Verdana" w:hAnsi="Verdana"/>
          <w:sz w:val="20"/>
          <w:szCs w:val="20"/>
          <w:lang w:val="en-US"/>
        </w:rPr>
        <w:t xml:space="preserve"> </w:t>
      </w:r>
    </w:p>
    <w:p w14:paraId="63126AE9" w14:textId="77777777" w:rsidR="000C251D" w:rsidRPr="00FE7BA7" w:rsidRDefault="00430FB4" w:rsidP="00430FB4">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If the State should consider that, for objective and duly justified reasons, it is not possible to grant title to the traditional lands, it must grant collective property titles to these peoples on adjoining alternative lands of the same size and quality as those that it has not granted. To implement this measure, the State must ensure the effective participation </w:t>
      </w:r>
      <w:r w:rsidR="00635ACD" w:rsidRPr="00FE7BA7">
        <w:rPr>
          <w:rFonts w:ascii="Verdana" w:hAnsi="Verdana"/>
          <w:sz w:val="20"/>
          <w:lang w:val="en-US"/>
        </w:rPr>
        <w:t xml:space="preserve">of the </w:t>
      </w:r>
      <w:r w:rsidR="004C7D14" w:rsidRPr="00FE7BA7">
        <w:rPr>
          <w:rFonts w:ascii="Verdana" w:hAnsi="Verdana"/>
          <w:sz w:val="20"/>
          <w:lang w:val="en-US"/>
        </w:rPr>
        <w:t>Kaliña and Lokono peoples</w:t>
      </w:r>
      <w:r w:rsidR="002B5CCD" w:rsidRPr="00FE7BA7">
        <w:rPr>
          <w:rFonts w:ascii="Verdana" w:hAnsi="Verdana"/>
          <w:sz w:val="20"/>
          <w:lang w:val="en-US"/>
        </w:rPr>
        <w:t xml:space="preserve"> and </w:t>
      </w:r>
      <w:r w:rsidRPr="00FE7BA7">
        <w:rPr>
          <w:rFonts w:ascii="Verdana" w:hAnsi="Verdana"/>
          <w:sz w:val="20"/>
          <w:lang w:val="en-US"/>
        </w:rPr>
        <w:t>their members, in keeping with the relevant standards.</w:t>
      </w:r>
      <w:r w:rsidR="00606243" w:rsidRPr="00FE7BA7">
        <w:rPr>
          <w:rStyle w:val="FootnoteReference"/>
          <w:lang w:val="en-US"/>
        </w:rPr>
        <w:footnoteReference w:id="324"/>
      </w:r>
      <w:r w:rsidR="000C251D" w:rsidRPr="00FE7BA7">
        <w:rPr>
          <w:rFonts w:ascii="Verdana" w:hAnsi="Verdana"/>
          <w:sz w:val="20"/>
          <w:szCs w:val="20"/>
          <w:lang w:val="en-US"/>
        </w:rPr>
        <w:t xml:space="preserve">  </w:t>
      </w:r>
    </w:p>
    <w:p w14:paraId="63126AEA" w14:textId="77777777" w:rsidR="000C251D" w:rsidRPr="00FE7BA7" w:rsidRDefault="000C251D" w:rsidP="000C251D">
      <w:pPr>
        <w:contextualSpacing/>
        <w:jc w:val="both"/>
        <w:rPr>
          <w:rFonts w:ascii="Verdana" w:hAnsi="Verdana"/>
          <w:sz w:val="20"/>
          <w:szCs w:val="20"/>
          <w:lang w:val="en-US"/>
        </w:rPr>
      </w:pPr>
    </w:p>
    <w:p w14:paraId="63126AEB" w14:textId="77777777" w:rsidR="002706DE" w:rsidRPr="00FE7BA7" w:rsidRDefault="00430FB4" w:rsidP="00190AD3">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Until these measures have been implemented, the State must ensure, immediately and effectively, that the </w:t>
      </w:r>
      <w:r w:rsidR="00914DC8">
        <w:rPr>
          <w:rFonts w:ascii="Verdana" w:hAnsi="Verdana"/>
          <w:sz w:val="20"/>
          <w:szCs w:val="20"/>
          <w:lang w:val="en-US"/>
        </w:rPr>
        <w:t>lands</w:t>
      </w:r>
      <w:r w:rsidRPr="00FE7BA7">
        <w:rPr>
          <w:rFonts w:ascii="Verdana" w:hAnsi="Verdana"/>
          <w:sz w:val="20"/>
          <w:szCs w:val="20"/>
          <w:lang w:val="en-US"/>
        </w:rPr>
        <w:t xml:space="preserve"> that are currently in possession</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do not suffer any intrusion, interference or harm by third parties or State agents that could </w:t>
      </w:r>
      <w:r w:rsidR="00914DC8">
        <w:rPr>
          <w:rFonts w:ascii="Verdana" w:hAnsi="Verdana"/>
          <w:sz w:val="20"/>
          <w:szCs w:val="20"/>
          <w:lang w:val="en-US"/>
        </w:rPr>
        <w:t>jeopardize</w:t>
      </w:r>
      <w:r w:rsidRPr="00FE7BA7">
        <w:rPr>
          <w:rFonts w:ascii="Verdana" w:hAnsi="Verdana"/>
          <w:sz w:val="20"/>
          <w:szCs w:val="20"/>
          <w:lang w:val="en-US"/>
        </w:rPr>
        <w:t xml:space="preserve"> the existence, value, use and enjoyment of their territory,</w:t>
      </w:r>
      <w:r w:rsidR="00606243" w:rsidRPr="00FE7BA7">
        <w:rPr>
          <w:rStyle w:val="FootnoteReference"/>
          <w:szCs w:val="20"/>
          <w:lang w:val="en-US"/>
        </w:rPr>
        <w:footnoteReference w:id="325"/>
      </w:r>
      <w:r w:rsidR="00914DC8">
        <w:rPr>
          <w:rFonts w:ascii="Verdana" w:hAnsi="Verdana"/>
          <w:sz w:val="20"/>
          <w:szCs w:val="20"/>
          <w:lang w:val="en-US"/>
        </w:rPr>
        <w:t xml:space="preserve"> and also</w:t>
      </w:r>
      <w:r w:rsidR="00C07DBC">
        <w:rPr>
          <w:rFonts w:ascii="Verdana" w:hAnsi="Verdana"/>
          <w:sz w:val="20"/>
          <w:szCs w:val="20"/>
          <w:lang w:val="en-US"/>
        </w:rPr>
        <w:t>, to</w:t>
      </w:r>
      <w:r w:rsidRPr="00FE7BA7">
        <w:rPr>
          <w:rFonts w:ascii="Verdana" w:hAnsi="Verdana"/>
          <w:sz w:val="20"/>
          <w:szCs w:val="20"/>
          <w:lang w:val="en-US"/>
        </w:rPr>
        <w:t xml:space="preserve"> </w:t>
      </w:r>
      <w:r w:rsidR="00C07DBC">
        <w:rPr>
          <w:rFonts w:ascii="Verdana" w:hAnsi="Verdana"/>
          <w:sz w:val="20"/>
          <w:szCs w:val="20"/>
          <w:lang w:val="en-US"/>
        </w:rPr>
        <w:t>guarantee</w:t>
      </w:r>
      <w:r w:rsidRPr="00FE7BA7">
        <w:rPr>
          <w:rFonts w:ascii="Verdana" w:hAnsi="Verdana"/>
          <w:sz w:val="20"/>
          <w:szCs w:val="20"/>
          <w:lang w:val="en-US"/>
        </w:rPr>
        <w:t xml:space="preserve"> legal certainty, </w:t>
      </w:r>
      <w:r w:rsidR="00914DC8">
        <w:rPr>
          <w:rFonts w:ascii="Verdana" w:hAnsi="Verdana"/>
          <w:sz w:val="20"/>
          <w:szCs w:val="20"/>
          <w:lang w:val="en-US"/>
        </w:rPr>
        <w:t xml:space="preserve">cease issuing </w:t>
      </w:r>
      <w:r w:rsidRPr="00FE7BA7">
        <w:rPr>
          <w:rFonts w:ascii="Verdana" w:hAnsi="Verdana"/>
          <w:sz w:val="20"/>
          <w:szCs w:val="20"/>
          <w:lang w:val="en-US"/>
        </w:rPr>
        <w:t xml:space="preserve">new property titles and leases in the </w:t>
      </w:r>
      <w:r w:rsidR="00804BD4" w:rsidRPr="00FE7BA7">
        <w:rPr>
          <w:rFonts w:ascii="Verdana" w:hAnsi="Verdana"/>
          <w:sz w:val="20"/>
          <w:szCs w:val="20"/>
          <w:lang w:val="en-US"/>
        </w:rPr>
        <w:t>territories</w:t>
      </w:r>
      <w:r w:rsidR="00635ACD" w:rsidRPr="00FE7BA7">
        <w:rPr>
          <w:rFonts w:ascii="Verdana" w:hAnsi="Verdana"/>
          <w:sz w:val="20"/>
          <w:szCs w:val="20"/>
          <w:lang w:val="en-US"/>
        </w:rPr>
        <w:t xml:space="preserve"> of the </w:t>
      </w:r>
      <w:r w:rsidR="004C7D14" w:rsidRPr="00FE7BA7">
        <w:rPr>
          <w:rFonts w:ascii="Verdana" w:hAnsi="Verdana"/>
          <w:sz w:val="20"/>
          <w:szCs w:val="20"/>
          <w:lang w:val="en-US"/>
        </w:rPr>
        <w:t>Kaliña and Lokono peoples</w:t>
      </w:r>
      <w:r w:rsidR="00CB6CFC" w:rsidRPr="00FE7BA7">
        <w:rPr>
          <w:rFonts w:ascii="Verdana" w:hAnsi="Verdana"/>
          <w:sz w:val="20"/>
          <w:szCs w:val="20"/>
          <w:lang w:val="en-US"/>
        </w:rPr>
        <w:t>.</w:t>
      </w:r>
      <w:r w:rsidR="002706DE" w:rsidRPr="00FE7BA7">
        <w:rPr>
          <w:rFonts w:ascii="Verdana" w:hAnsi="Verdana"/>
          <w:sz w:val="20"/>
          <w:szCs w:val="20"/>
          <w:lang w:val="en-US"/>
        </w:rPr>
        <w:t xml:space="preserve"> </w:t>
      </w:r>
    </w:p>
    <w:p w14:paraId="63126AEC" w14:textId="77777777" w:rsidR="002706DE" w:rsidRPr="00FE7BA7" w:rsidRDefault="002706DE" w:rsidP="00190AD3">
      <w:pPr>
        <w:contextualSpacing/>
        <w:jc w:val="both"/>
        <w:rPr>
          <w:rFonts w:ascii="Verdana" w:hAnsi="Verdana"/>
          <w:sz w:val="20"/>
          <w:szCs w:val="20"/>
          <w:lang w:val="en-US"/>
        </w:rPr>
      </w:pPr>
    </w:p>
    <w:p w14:paraId="63126AED" w14:textId="512FCF0D" w:rsidR="00CB6CFC" w:rsidRPr="00FE7BA7" w:rsidRDefault="002B5CCD" w:rsidP="00190AD3">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State</w:t>
      </w:r>
      <w:r w:rsidR="0067410A" w:rsidRPr="00FE7BA7">
        <w:rPr>
          <w:rFonts w:ascii="Verdana" w:hAnsi="Verdana"/>
          <w:sz w:val="20"/>
          <w:szCs w:val="20"/>
          <w:lang w:val="en-US"/>
        </w:rPr>
        <w:t xml:space="preserve"> </w:t>
      </w:r>
      <w:r w:rsidR="00430FB4" w:rsidRPr="00FE7BA7">
        <w:rPr>
          <w:rFonts w:ascii="Verdana" w:hAnsi="Verdana"/>
          <w:sz w:val="20"/>
          <w:szCs w:val="20"/>
          <w:lang w:val="en-US"/>
        </w:rPr>
        <w:t xml:space="preserve">must </w:t>
      </w:r>
      <w:r w:rsidR="00914DC8">
        <w:rPr>
          <w:rFonts w:ascii="Verdana" w:hAnsi="Verdana"/>
          <w:sz w:val="20"/>
          <w:szCs w:val="20"/>
          <w:lang w:val="en-US"/>
        </w:rPr>
        <w:t>draw up</w:t>
      </w:r>
      <w:r w:rsidR="00430FB4" w:rsidRPr="00FE7BA7">
        <w:rPr>
          <w:rFonts w:ascii="Verdana" w:hAnsi="Verdana"/>
          <w:sz w:val="20"/>
          <w:szCs w:val="20"/>
          <w:lang w:val="en-US"/>
        </w:rPr>
        <w:t xml:space="preserve">, by mutual agreement with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and </w:t>
      </w:r>
      <w:r w:rsidR="00430FB4" w:rsidRPr="00FE7BA7">
        <w:rPr>
          <w:rFonts w:ascii="Verdana" w:hAnsi="Verdana"/>
          <w:sz w:val="20"/>
          <w:szCs w:val="20"/>
          <w:lang w:val="en-US"/>
        </w:rPr>
        <w:t xml:space="preserve">the other tribal peoples in the area, as well as with private third parties, rules for peaceful and harmonious coexistence in </w:t>
      </w:r>
      <w:r w:rsidR="00914DC8">
        <w:rPr>
          <w:rFonts w:ascii="Verdana" w:hAnsi="Verdana"/>
          <w:sz w:val="20"/>
          <w:szCs w:val="20"/>
          <w:lang w:val="en-US"/>
        </w:rPr>
        <w:t>the territory in question that</w:t>
      </w:r>
      <w:r w:rsidR="00430FB4" w:rsidRPr="00FE7BA7">
        <w:rPr>
          <w:rFonts w:ascii="Verdana" w:hAnsi="Verdana"/>
          <w:sz w:val="20"/>
          <w:szCs w:val="20"/>
          <w:lang w:val="en-US"/>
        </w:rPr>
        <w:t xml:space="preserve"> respect the uses and customs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67410A" w:rsidRPr="00FE7BA7">
        <w:rPr>
          <w:rFonts w:ascii="Verdana" w:hAnsi="Verdana"/>
          <w:sz w:val="20"/>
          <w:szCs w:val="20"/>
          <w:lang w:val="en-US"/>
        </w:rPr>
        <w:t xml:space="preserve">, </w:t>
      </w:r>
      <w:r w:rsidR="00430FB4" w:rsidRPr="00FE7BA7">
        <w:rPr>
          <w:rFonts w:ascii="Verdana" w:hAnsi="Verdana"/>
          <w:sz w:val="20"/>
          <w:szCs w:val="20"/>
          <w:lang w:val="en-US"/>
        </w:rPr>
        <w:t xml:space="preserve">and that guarantee their relationship with their traditional areas, including the </w:t>
      </w:r>
      <w:r w:rsidR="0067410A" w:rsidRPr="00FE7BA7">
        <w:rPr>
          <w:rFonts w:ascii="Verdana" w:hAnsi="Verdana"/>
          <w:sz w:val="20"/>
          <w:szCs w:val="20"/>
          <w:lang w:val="en-US"/>
        </w:rPr>
        <w:t>Maro</w:t>
      </w:r>
      <w:r w:rsidR="00430FB4" w:rsidRPr="00FE7BA7">
        <w:rPr>
          <w:rFonts w:ascii="Verdana" w:hAnsi="Verdana"/>
          <w:sz w:val="20"/>
          <w:szCs w:val="20"/>
          <w:lang w:val="en-US"/>
        </w:rPr>
        <w:t>wij</w:t>
      </w:r>
      <w:r w:rsidR="00CB6CFC" w:rsidRPr="00FE7BA7">
        <w:rPr>
          <w:rFonts w:ascii="Verdana" w:hAnsi="Verdana"/>
          <w:sz w:val="20"/>
          <w:szCs w:val="20"/>
          <w:lang w:val="en-US"/>
        </w:rPr>
        <w:t>n</w:t>
      </w:r>
      <w:r w:rsidR="00752443" w:rsidRPr="00FE7BA7">
        <w:rPr>
          <w:rFonts w:ascii="Verdana" w:hAnsi="Verdana"/>
          <w:sz w:val="20"/>
          <w:szCs w:val="20"/>
          <w:lang w:val="en-US"/>
        </w:rPr>
        <w:t>e</w:t>
      </w:r>
      <w:r w:rsidR="00430FB4" w:rsidRPr="00FE7BA7">
        <w:rPr>
          <w:rFonts w:ascii="Verdana" w:hAnsi="Verdana"/>
          <w:sz w:val="20"/>
          <w:szCs w:val="20"/>
          <w:lang w:val="en-US"/>
        </w:rPr>
        <w:t xml:space="preserve"> River</w:t>
      </w:r>
      <w:r w:rsidR="002D650B">
        <w:rPr>
          <w:rFonts w:ascii="Verdana" w:hAnsi="Verdana"/>
          <w:sz w:val="20"/>
          <w:szCs w:val="20"/>
          <w:lang w:val="en-US"/>
        </w:rPr>
        <w:t xml:space="preserve"> (</w:t>
      </w:r>
      <w:r w:rsidR="002D650B" w:rsidRPr="006C4E70">
        <w:rPr>
          <w:rFonts w:ascii="Verdana" w:hAnsi="Verdana"/>
          <w:i/>
          <w:sz w:val="20"/>
          <w:szCs w:val="20"/>
          <w:lang w:val="en-US"/>
        </w:rPr>
        <w:t>supra</w:t>
      </w:r>
      <w:r w:rsidR="00C465BB">
        <w:rPr>
          <w:rFonts w:ascii="Verdana" w:hAnsi="Verdana"/>
          <w:sz w:val="20"/>
          <w:szCs w:val="20"/>
          <w:lang w:val="en-US"/>
        </w:rPr>
        <w:t xml:space="preserve"> pa</w:t>
      </w:r>
      <w:r w:rsidR="002D650B">
        <w:rPr>
          <w:rFonts w:ascii="Verdana" w:hAnsi="Verdana"/>
          <w:sz w:val="20"/>
          <w:szCs w:val="20"/>
          <w:lang w:val="en-US"/>
        </w:rPr>
        <w:t>ra. 159)</w:t>
      </w:r>
      <w:r w:rsidR="00CB6CFC" w:rsidRPr="00FE7BA7">
        <w:rPr>
          <w:rFonts w:ascii="Verdana" w:hAnsi="Verdana"/>
          <w:sz w:val="20"/>
          <w:szCs w:val="20"/>
          <w:lang w:val="en-US"/>
        </w:rPr>
        <w:t xml:space="preserve">. </w:t>
      </w:r>
    </w:p>
    <w:p w14:paraId="63126AEE" w14:textId="77777777" w:rsidR="0067410A" w:rsidRPr="00FE7BA7" w:rsidRDefault="0067410A" w:rsidP="000C251D">
      <w:pPr>
        <w:jc w:val="both"/>
        <w:rPr>
          <w:rFonts w:ascii="Verdana" w:hAnsi="Verdana"/>
          <w:i/>
          <w:sz w:val="20"/>
          <w:szCs w:val="20"/>
          <w:lang w:val="en-US"/>
        </w:rPr>
      </w:pPr>
    </w:p>
    <w:p w14:paraId="63126AEF" w14:textId="77777777" w:rsidR="000C251D" w:rsidRPr="00FE7BA7" w:rsidRDefault="002B5CCD" w:rsidP="000C251D">
      <w:pPr>
        <w:numPr>
          <w:ilvl w:val="0"/>
          <w:numId w:val="2"/>
        </w:numPr>
        <w:ind w:left="0" w:hanging="11"/>
        <w:contextualSpacing/>
        <w:jc w:val="both"/>
        <w:rPr>
          <w:rFonts w:ascii="Verdana" w:hAnsi="Verdana"/>
          <w:color w:val="000000"/>
          <w:sz w:val="20"/>
          <w:szCs w:val="20"/>
          <w:lang w:val="en-US"/>
        </w:rPr>
      </w:pPr>
      <w:r w:rsidRPr="00914DC8">
        <w:rPr>
          <w:rFonts w:ascii="Verdana" w:hAnsi="Verdana"/>
          <w:sz w:val="20"/>
          <w:szCs w:val="20"/>
          <w:lang w:val="en-US"/>
        </w:rPr>
        <w:t>The State</w:t>
      </w:r>
      <w:r w:rsidR="000C251D" w:rsidRPr="00914DC8">
        <w:rPr>
          <w:rFonts w:ascii="Verdana" w:hAnsi="Verdana"/>
          <w:sz w:val="20"/>
          <w:szCs w:val="20"/>
          <w:lang w:val="en-US"/>
        </w:rPr>
        <w:t xml:space="preserve"> </w:t>
      </w:r>
      <w:r w:rsidR="00430FB4" w:rsidRPr="00914DC8">
        <w:rPr>
          <w:rFonts w:ascii="Verdana" w:hAnsi="Verdana"/>
          <w:sz w:val="20"/>
          <w:szCs w:val="20"/>
          <w:lang w:val="en-US"/>
        </w:rPr>
        <w:t xml:space="preserve">has three years from </w:t>
      </w:r>
      <w:r w:rsidR="00CD3DC6" w:rsidRPr="00914DC8">
        <w:rPr>
          <w:rFonts w:ascii="Verdana" w:hAnsi="Verdana"/>
          <w:snapToGrid w:val="0"/>
          <w:sz w:val="20"/>
          <w:szCs w:val="20"/>
          <w:lang w:val="en-US"/>
        </w:rPr>
        <w:t>notification</w:t>
      </w:r>
      <w:r w:rsidR="000C251D" w:rsidRPr="00914DC8">
        <w:rPr>
          <w:rFonts w:ascii="Verdana" w:hAnsi="Verdana"/>
          <w:snapToGrid w:val="0"/>
          <w:sz w:val="20"/>
          <w:szCs w:val="20"/>
          <w:lang w:val="en-US"/>
        </w:rPr>
        <w:t xml:space="preserve"> </w:t>
      </w:r>
      <w:r w:rsidR="00430FB4" w:rsidRPr="00914DC8">
        <w:rPr>
          <w:rFonts w:ascii="Verdana" w:hAnsi="Verdana"/>
          <w:snapToGrid w:val="0"/>
          <w:sz w:val="20"/>
          <w:szCs w:val="20"/>
          <w:lang w:val="en-US"/>
        </w:rPr>
        <w:t>of the Judgment to deliver the corresponding titles</w:t>
      </w:r>
      <w:r w:rsidR="00430FB4" w:rsidRPr="00FE7BA7">
        <w:rPr>
          <w:rFonts w:ascii="Verdana" w:hAnsi="Verdana"/>
          <w:snapToGrid w:val="0"/>
          <w:sz w:val="20"/>
          <w:szCs w:val="20"/>
          <w:lang w:val="en-US"/>
        </w:rPr>
        <w:t xml:space="preserve"> to</w:t>
      </w:r>
      <w:r w:rsidR="000C251D" w:rsidRPr="00FE7BA7">
        <w:rPr>
          <w:rFonts w:ascii="Verdana" w:hAnsi="Verdana"/>
          <w:sz w:val="20"/>
          <w:szCs w:val="20"/>
          <w:lang w:val="en-US"/>
        </w:rPr>
        <w:t xml:space="preserve"> </w:t>
      </w:r>
      <w:r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430FB4" w:rsidRPr="00FE7BA7">
        <w:rPr>
          <w:rFonts w:ascii="Verdana" w:hAnsi="Verdana"/>
          <w:sz w:val="20"/>
          <w:szCs w:val="20"/>
          <w:lang w:val="en-US"/>
        </w:rPr>
        <w:t>, and these must be duly</w:t>
      </w:r>
      <w:r w:rsidR="00914DC8">
        <w:rPr>
          <w:rFonts w:ascii="Verdana" w:hAnsi="Verdana"/>
          <w:sz w:val="20"/>
          <w:szCs w:val="20"/>
          <w:lang w:val="en-US"/>
        </w:rPr>
        <w:t xml:space="preserve"> regularized </w:t>
      </w:r>
      <w:r w:rsidR="00430FB4" w:rsidRPr="00FE7BA7">
        <w:rPr>
          <w:rFonts w:ascii="Verdana" w:hAnsi="Verdana"/>
          <w:sz w:val="20"/>
          <w:szCs w:val="20"/>
          <w:lang w:val="en-US"/>
        </w:rPr>
        <w:t>to ensure the effective use and enjoyment of their property</w:t>
      </w:r>
      <w:r w:rsidR="000C251D" w:rsidRPr="00FE7BA7">
        <w:rPr>
          <w:rFonts w:ascii="Verdana" w:hAnsi="Verdana"/>
          <w:sz w:val="20"/>
          <w:szCs w:val="20"/>
          <w:lang w:val="en-US"/>
        </w:rPr>
        <w:t xml:space="preserve">.  </w:t>
      </w:r>
    </w:p>
    <w:p w14:paraId="63126AF0" w14:textId="77777777" w:rsidR="000C251D" w:rsidRPr="00FE7BA7" w:rsidRDefault="000C251D" w:rsidP="000C251D">
      <w:pPr>
        <w:jc w:val="both"/>
        <w:rPr>
          <w:rFonts w:ascii="Verdana" w:hAnsi="Verdana"/>
          <w:sz w:val="20"/>
          <w:szCs w:val="20"/>
          <w:lang w:val="en-US"/>
        </w:rPr>
      </w:pPr>
    </w:p>
    <w:p w14:paraId="63126AF1" w14:textId="77777777" w:rsidR="000C251D" w:rsidRPr="00FE7BA7" w:rsidRDefault="002B5CCD" w:rsidP="000C251D">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State</w:t>
      </w:r>
      <w:r w:rsidR="000C251D" w:rsidRPr="00FE7BA7">
        <w:rPr>
          <w:rFonts w:ascii="Verdana" w:hAnsi="Verdana"/>
          <w:sz w:val="20"/>
          <w:szCs w:val="20"/>
          <w:lang w:val="en-US"/>
        </w:rPr>
        <w:t xml:space="preserve"> </w:t>
      </w:r>
      <w:r w:rsidR="00430FB4" w:rsidRPr="00FE7BA7">
        <w:rPr>
          <w:rFonts w:ascii="Verdana" w:hAnsi="Verdana"/>
          <w:sz w:val="20"/>
          <w:szCs w:val="20"/>
          <w:lang w:val="en-US"/>
        </w:rPr>
        <w:t xml:space="preserve">must, within three months of </w:t>
      </w:r>
      <w:r w:rsidR="00CD3DC6" w:rsidRPr="00FE7BA7">
        <w:rPr>
          <w:rFonts w:ascii="Verdana" w:hAnsi="Verdana"/>
          <w:sz w:val="20"/>
          <w:szCs w:val="20"/>
          <w:lang w:val="en-US"/>
        </w:rPr>
        <w:t>notification</w:t>
      </w:r>
      <w:r w:rsidR="000C251D"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430FB4" w:rsidRPr="00FE7BA7">
        <w:rPr>
          <w:rFonts w:ascii="Verdana" w:hAnsi="Verdana"/>
          <w:sz w:val="20"/>
          <w:szCs w:val="20"/>
          <w:lang w:val="en-US"/>
        </w:rPr>
        <w:t>, implement the necessary mechanisms for</w:t>
      </w:r>
      <w:r w:rsidR="000C251D" w:rsidRPr="00FE7BA7">
        <w:rPr>
          <w:rFonts w:ascii="Verdana" w:hAnsi="Verdana"/>
          <w:sz w:val="20"/>
          <w:szCs w:val="20"/>
          <w:lang w:val="en-US"/>
        </w:rPr>
        <w:t xml:space="preserve"> </w:t>
      </w:r>
      <w:r w:rsidR="00430FB4" w:rsidRPr="00FE7BA7">
        <w:rPr>
          <w:rFonts w:ascii="Verdana" w:hAnsi="Verdana"/>
          <w:sz w:val="20"/>
          <w:szCs w:val="20"/>
          <w:lang w:val="en-US"/>
        </w:rPr>
        <w:t xml:space="preserve">coordination among the institutions that are involved in </w:t>
      </w:r>
      <w:r w:rsidR="00FE7BA7" w:rsidRPr="00FE7BA7">
        <w:rPr>
          <w:rFonts w:ascii="Verdana" w:hAnsi="Verdana"/>
          <w:sz w:val="20"/>
          <w:szCs w:val="20"/>
          <w:lang w:val="en-US"/>
        </w:rPr>
        <w:t>decision</w:t>
      </w:r>
      <w:r w:rsidR="00430FB4" w:rsidRPr="00FE7BA7">
        <w:rPr>
          <w:rFonts w:ascii="Verdana" w:hAnsi="Verdana"/>
          <w:sz w:val="20"/>
          <w:szCs w:val="20"/>
          <w:lang w:val="en-US"/>
        </w:rPr>
        <w:t>-m</w:t>
      </w:r>
      <w:r w:rsidR="00914DC8">
        <w:rPr>
          <w:rFonts w:ascii="Verdana" w:hAnsi="Verdana"/>
          <w:sz w:val="20"/>
          <w:szCs w:val="20"/>
          <w:lang w:val="en-US"/>
        </w:rPr>
        <w:t>aking and have competence in this</w:t>
      </w:r>
      <w:r w:rsidR="00430FB4" w:rsidRPr="00FE7BA7">
        <w:rPr>
          <w:rFonts w:ascii="Verdana" w:hAnsi="Verdana"/>
          <w:sz w:val="20"/>
          <w:szCs w:val="20"/>
          <w:lang w:val="en-US"/>
        </w:rPr>
        <w:t xml:space="preserve"> matter, in order to ensure the effectiveness of the measures established above.</w:t>
      </w:r>
      <w:r w:rsidR="000C251D" w:rsidRPr="00FE7BA7">
        <w:rPr>
          <w:rStyle w:val="FootnoteReference"/>
          <w:szCs w:val="20"/>
          <w:lang w:val="en-US"/>
        </w:rPr>
        <w:footnoteReference w:id="326"/>
      </w:r>
    </w:p>
    <w:p w14:paraId="63126AF2" w14:textId="77777777" w:rsidR="00A91B78" w:rsidRDefault="00A91B78" w:rsidP="00A91B78">
      <w:pPr>
        <w:jc w:val="both"/>
        <w:rPr>
          <w:rFonts w:ascii="Verdana" w:hAnsi="Verdana"/>
          <w:b/>
          <w:strike/>
          <w:sz w:val="20"/>
          <w:lang w:val="en-US"/>
        </w:rPr>
      </w:pPr>
    </w:p>
    <w:p w14:paraId="63126AF3" w14:textId="77777777" w:rsidR="00A91B78" w:rsidRPr="00FE7BA7" w:rsidRDefault="00914DC8" w:rsidP="00366D91">
      <w:pPr>
        <w:pStyle w:val="ListParagraph"/>
        <w:numPr>
          <w:ilvl w:val="0"/>
          <w:numId w:val="45"/>
        </w:numPr>
        <w:jc w:val="both"/>
        <w:rPr>
          <w:rFonts w:ascii="Verdana" w:hAnsi="Verdana"/>
          <w:i/>
          <w:sz w:val="20"/>
          <w:lang w:val="en-US"/>
        </w:rPr>
      </w:pPr>
      <w:r>
        <w:rPr>
          <w:rFonts w:ascii="Verdana" w:hAnsi="Verdana"/>
          <w:i/>
          <w:sz w:val="20"/>
          <w:lang w:val="en-US"/>
        </w:rPr>
        <w:t>R</w:t>
      </w:r>
      <w:r w:rsidR="00511E56" w:rsidRPr="00FE7BA7">
        <w:rPr>
          <w:rFonts w:ascii="Verdana" w:hAnsi="Verdana"/>
          <w:i/>
          <w:sz w:val="20"/>
          <w:lang w:val="en-US"/>
        </w:rPr>
        <w:t>estrictions in the nature reserves</w:t>
      </w:r>
    </w:p>
    <w:p w14:paraId="63126AF4" w14:textId="77777777" w:rsidR="00A91B78" w:rsidRPr="00FE7BA7" w:rsidRDefault="00A91B78" w:rsidP="00A91B78">
      <w:pPr>
        <w:jc w:val="both"/>
        <w:rPr>
          <w:rFonts w:ascii="Verdana" w:hAnsi="Verdana"/>
          <w:i/>
          <w:sz w:val="20"/>
          <w:lang w:val="en-US"/>
        </w:rPr>
      </w:pPr>
    </w:p>
    <w:p w14:paraId="63126AF5" w14:textId="77777777" w:rsidR="000C251D" w:rsidRPr="00FE7BA7" w:rsidRDefault="00430FB4" w:rsidP="00430FB4">
      <w:pPr>
        <w:numPr>
          <w:ilvl w:val="0"/>
          <w:numId w:val="2"/>
        </w:numPr>
        <w:ind w:left="0" w:hanging="11"/>
        <w:contextualSpacing/>
        <w:jc w:val="both"/>
        <w:rPr>
          <w:rFonts w:ascii="Verdana" w:hAnsi="Verdana"/>
          <w:sz w:val="20"/>
          <w:lang w:val="en-US"/>
        </w:rPr>
      </w:pPr>
      <w:r w:rsidRPr="00FE7BA7">
        <w:rPr>
          <w:rFonts w:ascii="Verdana" w:hAnsi="Verdana"/>
          <w:sz w:val="20"/>
          <w:lang w:val="en-US"/>
        </w:rPr>
        <w:t xml:space="preserve">With regard to the </w:t>
      </w:r>
      <w:r w:rsidR="000C251D" w:rsidRPr="00FE7BA7">
        <w:rPr>
          <w:rFonts w:ascii="Verdana" w:hAnsi="Verdana"/>
          <w:sz w:val="20"/>
          <w:lang w:val="en-US"/>
        </w:rPr>
        <w:t>Galibi</w:t>
      </w:r>
      <w:r w:rsidR="002B5CCD" w:rsidRPr="00FE7BA7">
        <w:rPr>
          <w:rFonts w:ascii="Verdana" w:hAnsi="Verdana"/>
          <w:sz w:val="20"/>
          <w:lang w:val="en-US"/>
        </w:rPr>
        <w:t xml:space="preserve"> and </w:t>
      </w:r>
      <w:r w:rsidR="000C251D" w:rsidRPr="00FE7BA7">
        <w:rPr>
          <w:rFonts w:ascii="Verdana" w:hAnsi="Verdana"/>
          <w:sz w:val="20"/>
          <w:lang w:val="en-US"/>
        </w:rPr>
        <w:t>Wane Kreek</w:t>
      </w:r>
      <w:r w:rsidRPr="00FE7BA7">
        <w:rPr>
          <w:rFonts w:ascii="Verdana" w:hAnsi="Verdana"/>
          <w:sz w:val="20"/>
          <w:lang w:val="en-US"/>
        </w:rPr>
        <w:t xml:space="preserve"> nature reserves</w:t>
      </w:r>
      <w:r w:rsidR="000C251D" w:rsidRPr="00FE7BA7">
        <w:rPr>
          <w:rFonts w:ascii="Verdana" w:hAnsi="Verdana"/>
          <w:sz w:val="20"/>
          <w:lang w:val="en-US"/>
        </w:rPr>
        <w:t xml:space="preserve">, </w:t>
      </w:r>
      <w:r w:rsidR="002B5CCD" w:rsidRPr="00FE7BA7">
        <w:rPr>
          <w:rFonts w:ascii="Verdana" w:hAnsi="Verdana"/>
          <w:sz w:val="20"/>
          <w:lang w:val="en-US"/>
        </w:rPr>
        <w:t>the State</w:t>
      </w:r>
      <w:r w:rsidR="000C251D" w:rsidRPr="00FE7BA7">
        <w:rPr>
          <w:rFonts w:ascii="Verdana" w:hAnsi="Verdana"/>
          <w:sz w:val="20"/>
          <w:lang w:val="en-US"/>
        </w:rPr>
        <w:t xml:space="preserve"> </w:t>
      </w:r>
      <w:r w:rsidRPr="00FE7BA7">
        <w:rPr>
          <w:rFonts w:ascii="Verdana" w:hAnsi="Verdana"/>
          <w:sz w:val="20"/>
          <w:lang w:val="en-US"/>
        </w:rPr>
        <w:t xml:space="preserve">must adopt the sufficient and necessary measures to </w:t>
      </w:r>
      <w:r w:rsidR="00914DC8">
        <w:rPr>
          <w:rFonts w:ascii="Verdana" w:hAnsi="Verdana"/>
          <w:sz w:val="20"/>
          <w:lang w:val="en-US"/>
        </w:rPr>
        <w:t>guarantee</w:t>
      </w:r>
      <w:r w:rsidRPr="00FE7BA7">
        <w:rPr>
          <w:rFonts w:ascii="Verdana" w:hAnsi="Verdana"/>
          <w:sz w:val="20"/>
          <w:lang w:val="en-US"/>
        </w:rPr>
        <w:t xml:space="preserve">, by appropriate mechanisms, the Kaliña and </w:t>
      </w:r>
      <w:r w:rsidRPr="00FE7BA7">
        <w:rPr>
          <w:rFonts w:ascii="Verdana" w:hAnsi="Verdana"/>
          <w:sz w:val="20"/>
          <w:lang w:val="en-US"/>
        </w:rPr>
        <w:lastRenderedPageBreak/>
        <w:t>Lokono peoples</w:t>
      </w:r>
      <w:r w:rsidR="00914DC8">
        <w:rPr>
          <w:rFonts w:ascii="Verdana" w:hAnsi="Verdana"/>
          <w:sz w:val="20"/>
          <w:lang w:val="en-US"/>
        </w:rPr>
        <w:t>’ effective access, use and participation</w:t>
      </w:r>
      <w:r w:rsidRPr="00FE7BA7">
        <w:rPr>
          <w:rFonts w:ascii="Verdana" w:hAnsi="Verdana"/>
          <w:sz w:val="20"/>
          <w:lang w:val="en-US"/>
        </w:rPr>
        <w:t xml:space="preserve"> in them, in order to ensure the compatibility of environmental protection and the rights of the indigenous peoples, pursuant to paragraph</w:t>
      </w:r>
      <w:r w:rsidR="00914DC8">
        <w:rPr>
          <w:rFonts w:ascii="Verdana" w:hAnsi="Verdana"/>
          <w:sz w:val="20"/>
          <w:lang w:val="en-US"/>
        </w:rPr>
        <w:t xml:space="preserve"> 181 of the Judgment, so that main</w:t>
      </w:r>
      <w:r w:rsidRPr="00FE7BA7">
        <w:rPr>
          <w:rFonts w:ascii="Verdana" w:hAnsi="Verdana"/>
          <w:sz w:val="20"/>
          <w:lang w:val="en-US"/>
        </w:rPr>
        <w:t>taining the reserves does not constitute an excessive obstacle to their rig</w:t>
      </w:r>
      <w:r w:rsidR="00C07DBC">
        <w:rPr>
          <w:rFonts w:ascii="Verdana" w:hAnsi="Verdana"/>
          <w:sz w:val="20"/>
          <w:lang w:val="en-US"/>
        </w:rPr>
        <w:t>hts.</w:t>
      </w:r>
      <w:r w:rsidR="000C251D" w:rsidRPr="00FE7BA7">
        <w:rPr>
          <w:rStyle w:val="FootnoteReference"/>
          <w:lang w:val="en-US"/>
        </w:rPr>
        <w:footnoteReference w:id="327"/>
      </w:r>
      <w:r w:rsidR="00C07DBC">
        <w:rPr>
          <w:rFonts w:ascii="Verdana" w:hAnsi="Verdana"/>
          <w:sz w:val="20"/>
          <w:lang w:val="en-US"/>
        </w:rPr>
        <w:t xml:space="preserve"> T</w:t>
      </w:r>
      <w:r w:rsidR="00914DC8">
        <w:rPr>
          <w:rFonts w:ascii="Verdana" w:hAnsi="Verdana"/>
          <w:sz w:val="20"/>
          <w:lang w:val="en-US"/>
        </w:rPr>
        <w:t xml:space="preserve">hus, </w:t>
      </w:r>
      <w:r w:rsidRPr="00FE7BA7">
        <w:rPr>
          <w:rFonts w:ascii="Verdana" w:hAnsi="Verdana"/>
          <w:sz w:val="20"/>
          <w:lang w:val="en-US"/>
        </w:rPr>
        <w:t>any restriction of their rights must comply with the requirements of l</w:t>
      </w:r>
      <w:r w:rsidR="00914DC8">
        <w:rPr>
          <w:rFonts w:ascii="Verdana" w:hAnsi="Verdana"/>
          <w:sz w:val="20"/>
          <w:lang w:val="en-US"/>
        </w:rPr>
        <w:t>egality</w:t>
      </w:r>
      <w:r w:rsidRPr="00FE7BA7">
        <w:rPr>
          <w:rFonts w:ascii="Verdana" w:hAnsi="Verdana"/>
          <w:sz w:val="20"/>
          <w:lang w:val="en-US"/>
        </w:rPr>
        <w:t xml:space="preserve">, necessity and proportionality, and the achievement of a legitimate purpose </w:t>
      </w:r>
      <w:r w:rsidR="000C251D" w:rsidRPr="00FE7BA7">
        <w:rPr>
          <w:rFonts w:ascii="Verdana" w:hAnsi="Verdana"/>
          <w:sz w:val="20"/>
          <w:lang w:val="en-US"/>
        </w:rPr>
        <w:t>(</w:t>
      </w:r>
      <w:r w:rsidR="00366D91" w:rsidRPr="00FE7BA7">
        <w:rPr>
          <w:rFonts w:ascii="Verdana" w:hAnsi="Verdana"/>
          <w:i/>
          <w:sz w:val="20"/>
          <w:lang w:val="en-US"/>
        </w:rPr>
        <w:t>supra</w:t>
      </w:r>
      <w:r w:rsidR="000C251D" w:rsidRPr="00FE7BA7">
        <w:rPr>
          <w:rFonts w:ascii="Verdana" w:hAnsi="Verdana"/>
          <w:sz w:val="20"/>
          <w:lang w:val="en-US"/>
        </w:rPr>
        <w:t xml:space="preserve"> </w:t>
      </w:r>
      <w:r w:rsidR="00810FAD" w:rsidRPr="00FE7BA7">
        <w:rPr>
          <w:rFonts w:ascii="Verdana" w:hAnsi="Verdana"/>
          <w:sz w:val="20"/>
          <w:lang w:val="en-US"/>
        </w:rPr>
        <w:t>para.</w:t>
      </w:r>
      <w:r w:rsidR="000C251D" w:rsidRPr="00FE7BA7">
        <w:rPr>
          <w:rFonts w:ascii="Verdana" w:hAnsi="Verdana"/>
          <w:sz w:val="20"/>
          <w:lang w:val="en-US"/>
        </w:rPr>
        <w:t xml:space="preserve"> </w:t>
      </w:r>
      <w:r w:rsidR="00D24B97" w:rsidRPr="00FE7BA7">
        <w:rPr>
          <w:rFonts w:ascii="Verdana" w:hAnsi="Verdana"/>
          <w:sz w:val="20"/>
          <w:lang w:val="en-US"/>
        </w:rPr>
        <w:t>155</w:t>
      </w:r>
      <w:r w:rsidR="000C251D" w:rsidRPr="00FE7BA7">
        <w:rPr>
          <w:rFonts w:ascii="Verdana" w:hAnsi="Verdana"/>
          <w:sz w:val="20"/>
          <w:lang w:val="en-US"/>
        </w:rPr>
        <w:t>).</w:t>
      </w:r>
    </w:p>
    <w:p w14:paraId="63126AF6" w14:textId="77777777" w:rsidR="00A91B78" w:rsidRPr="00FE7BA7" w:rsidRDefault="00A91B78" w:rsidP="00A91B78">
      <w:pPr>
        <w:jc w:val="both"/>
        <w:rPr>
          <w:rFonts w:ascii="Verdana" w:hAnsi="Verdana"/>
          <w:sz w:val="20"/>
          <w:szCs w:val="20"/>
          <w:lang w:val="en-US"/>
        </w:rPr>
      </w:pPr>
    </w:p>
    <w:p w14:paraId="63126AF7" w14:textId="4EC2FE22" w:rsidR="00A91B78" w:rsidRPr="00FE7BA7" w:rsidRDefault="00511E56" w:rsidP="006B3EAF">
      <w:pPr>
        <w:pStyle w:val="ListParagraph"/>
        <w:numPr>
          <w:ilvl w:val="0"/>
          <w:numId w:val="45"/>
        </w:numPr>
        <w:jc w:val="both"/>
        <w:rPr>
          <w:rFonts w:ascii="Verdana" w:hAnsi="Verdana"/>
          <w:i/>
          <w:sz w:val="20"/>
          <w:szCs w:val="20"/>
          <w:lang w:val="en-US"/>
        </w:rPr>
      </w:pPr>
      <w:r w:rsidRPr="00FE7BA7">
        <w:rPr>
          <w:rFonts w:ascii="Verdana" w:hAnsi="Verdana" w:cs="Arial"/>
          <w:i/>
          <w:sz w:val="20"/>
          <w:szCs w:val="20"/>
          <w:lang w:val="en-US"/>
        </w:rPr>
        <w:t xml:space="preserve">The concessions within the nature reserves on the </w:t>
      </w:r>
      <w:r w:rsidR="002D650B">
        <w:rPr>
          <w:rFonts w:ascii="Verdana" w:hAnsi="Verdana" w:cs="Arial"/>
          <w:i/>
          <w:sz w:val="20"/>
          <w:szCs w:val="20"/>
          <w:lang w:val="en-US"/>
        </w:rPr>
        <w:t>traditional</w:t>
      </w:r>
      <w:r w:rsidR="002D650B" w:rsidRPr="00FE7BA7">
        <w:rPr>
          <w:rFonts w:ascii="Verdana" w:hAnsi="Verdana" w:cs="Arial"/>
          <w:i/>
          <w:sz w:val="20"/>
          <w:szCs w:val="20"/>
          <w:lang w:val="en-US"/>
        </w:rPr>
        <w:t xml:space="preserve"> </w:t>
      </w:r>
      <w:r w:rsidRPr="00FE7BA7">
        <w:rPr>
          <w:rFonts w:ascii="Verdana" w:hAnsi="Verdana" w:cs="Arial"/>
          <w:i/>
          <w:sz w:val="20"/>
          <w:szCs w:val="20"/>
          <w:lang w:val="en-US"/>
        </w:rPr>
        <w:t>territory</w:t>
      </w:r>
    </w:p>
    <w:p w14:paraId="63126AF8" w14:textId="77777777" w:rsidR="006A4579" w:rsidRPr="00FE7BA7" w:rsidRDefault="006A4579" w:rsidP="0029611B">
      <w:pPr>
        <w:ind w:left="360"/>
        <w:jc w:val="both"/>
        <w:rPr>
          <w:rFonts w:ascii="Verdana" w:hAnsi="Verdana"/>
          <w:i/>
          <w:sz w:val="20"/>
          <w:szCs w:val="20"/>
          <w:lang w:val="en-US"/>
        </w:rPr>
      </w:pPr>
    </w:p>
    <w:p w14:paraId="63126AF9" w14:textId="1A7D7955" w:rsidR="00A91B78" w:rsidRPr="00DA3A98" w:rsidRDefault="00430FB4" w:rsidP="00A91B78">
      <w:pPr>
        <w:numPr>
          <w:ilvl w:val="0"/>
          <w:numId w:val="2"/>
        </w:numPr>
        <w:ind w:left="0" w:hanging="11"/>
        <w:contextualSpacing/>
        <w:jc w:val="both"/>
        <w:rPr>
          <w:rFonts w:ascii="Verdana" w:hAnsi="Verdana"/>
          <w:i/>
          <w:sz w:val="20"/>
          <w:lang w:val="en-US"/>
        </w:rPr>
      </w:pPr>
      <w:r w:rsidRPr="00DA3A98">
        <w:rPr>
          <w:rFonts w:ascii="Verdana" w:eastAsia="Times New Roman" w:hAnsi="Verdana"/>
          <w:color w:val="000000"/>
          <w:sz w:val="20"/>
          <w:lang w:val="en-US" w:eastAsia="es-CR"/>
        </w:rPr>
        <w:t>In view of</w:t>
      </w:r>
      <w:r w:rsidR="00C07DBC" w:rsidRPr="00DA3A98">
        <w:rPr>
          <w:rFonts w:ascii="Verdana" w:eastAsia="Times New Roman" w:hAnsi="Verdana"/>
          <w:color w:val="000000"/>
          <w:sz w:val="20"/>
          <w:lang w:val="en-US" w:eastAsia="es-CR"/>
        </w:rPr>
        <w:t xml:space="preserve"> the fact that activities under</w:t>
      </w:r>
      <w:r w:rsidRPr="00DA3A98">
        <w:rPr>
          <w:rFonts w:ascii="Verdana" w:eastAsia="Times New Roman" w:hAnsi="Verdana"/>
          <w:color w:val="000000"/>
          <w:sz w:val="20"/>
          <w:lang w:val="en-US" w:eastAsia="es-CR"/>
        </w:rPr>
        <w:t xml:space="preserve"> the mining concession ceased in 2009,</w:t>
      </w:r>
      <w:r w:rsidR="00A91B78" w:rsidRPr="00DA3A98">
        <w:rPr>
          <w:rStyle w:val="FootnoteReference"/>
          <w:rFonts w:eastAsia="Times New Roman"/>
          <w:color w:val="000000"/>
          <w:lang w:val="en-US" w:eastAsia="es-CR"/>
        </w:rPr>
        <w:footnoteReference w:id="328"/>
      </w:r>
      <w:r w:rsidR="00A91B78" w:rsidRPr="00DA3A98">
        <w:rPr>
          <w:rFonts w:ascii="Verdana" w:eastAsia="Times New Roman" w:hAnsi="Verdana"/>
          <w:color w:val="000000"/>
          <w:sz w:val="20"/>
          <w:lang w:val="en-US" w:eastAsia="es-CR"/>
        </w:rPr>
        <w:t xml:space="preserve"> </w:t>
      </w:r>
      <w:r w:rsidR="002B5CCD" w:rsidRPr="00DA3A98">
        <w:rPr>
          <w:rFonts w:ascii="Verdana" w:eastAsia="Times New Roman" w:hAnsi="Verdana"/>
          <w:color w:val="000000"/>
          <w:sz w:val="20"/>
          <w:lang w:val="en-US" w:eastAsia="es-CR"/>
        </w:rPr>
        <w:t>the Court</w:t>
      </w:r>
      <w:r w:rsidR="00A91B78" w:rsidRPr="00DA3A98">
        <w:rPr>
          <w:rFonts w:ascii="Verdana" w:eastAsia="Times New Roman" w:hAnsi="Verdana"/>
          <w:color w:val="000000"/>
          <w:sz w:val="20"/>
          <w:lang w:val="en-US" w:eastAsia="es-CR"/>
        </w:rPr>
        <w:t xml:space="preserve"> </w:t>
      </w:r>
      <w:r w:rsidRPr="00DA3A98">
        <w:rPr>
          <w:rFonts w:ascii="Verdana" w:eastAsia="Times New Roman" w:hAnsi="Verdana"/>
          <w:color w:val="000000"/>
          <w:sz w:val="20"/>
          <w:lang w:val="en-US" w:eastAsia="es-CR"/>
        </w:rPr>
        <w:t xml:space="preserve">finds that it is unnecessary to establish measures relating to the review and revocation of the mining concession requested by </w:t>
      </w:r>
      <w:r w:rsidR="00810FAD" w:rsidRPr="00DA3A98">
        <w:rPr>
          <w:rFonts w:ascii="Verdana" w:eastAsia="Times New Roman" w:hAnsi="Verdana"/>
          <w:color w:val="000000"/>
          <w:sz w:val="20"/>
          <w:lang w:val="en-US" w:eastAsia="es-CR"/>
        </w:rPr>
        <w:t>the representatives</w:t>
      </w:r>
      <w:r w:rsidR="00A91B78" w:rsidRPr="00DA3A98">
        <w:rPr>
          <w:rFonts w:ascii="Verdana" w:eastAsia="Times New Roman" w:hAnsi="Verdana"/>
          <w:color w:val="000000"/>
          <w:sz w:val="20"/>
          <w:lang w:val="en-US" w:eastAsia="es-CR"/>
        </w:rPr>
        <w:t xml:space="preserve">. </w:t>
      </w:r>
      <w:r w:rsidRPr="00DA3A98">
        <w:rPr>
          <w:rFonts w:ascii="Verdana" w:eastAsia="Times New Roman" w:hAnsi="Verdana"/>
          <w:color w:val="000000"/>
          <w:sz w:val="20"/>
          <w:lang w:val="en-US" w:eastAsia="es-CR"/>
        </w:rPr>
        <w:t xml:space="preserve">However, since the concession does not end until 2033, the Court notes that, in any case, </w:t>
      </w:r>
      <w:r w:rsidR="002B5CCD" w:rsidRPr="00DA3A98">
        <w:rPr>
          <w:rFonts w:ascii="Verdana" w:hAnsi="Verdana"/>
          <w:sz w:val="20"/>
          <w:lang w:val="en-US"/>
        </w:rPr>
        <w:t>the State</w:t>
      </w:r>
      <w:r w:rsidR="00A91B78" w:rsidRPr="00DA3A98">
        <w:rPr>
          <w:rFonts w:ascii="Verdana" w:hAnsi="Verdana"/>
          <w:sz w:val="20"/>
          <w:lang w:val="en-US"/>
        </w:rPr>
        <w:t xml:space="preserve"> </w:t>
      </w:r>
      <w:r w:rsidRPr="00DA3A98">
        <w:rPr>
          <w:rFonts w:ascii="Verdana" w:hAnsi="Verdana"/>
          <w:sz w:val="20"/>
          <w:lang w:val="en-US"/>
        </w:rPr>
        <w:t>must</w:t>
      </w:r>
      <w:r w:rsidR="00967E6B" w:rsidRPr="00DA3A98">
        <w:rPr>
          <w:rFonts w:ascii="Verdana" w:hAnsi="Verdana"/>
          <w:sz w:val="20"/>
          <w:lang w:val="en-US"/>
        </w:rPr>
        <w:t xml:space="preserve"> take the necessary measures to</w:t>
      </w:r>
      <w:r w:rsidRPr="00DA3A98">
        <w:rPr>
          <w:rFonts w:ascii="Verdana" w:hAnsi="Verdana"/>
          <w:sz w:val="20"/>
          <w:lang w:val="en-US"/>
        </w:rPr>
        <w:t xml:space="preserve"> ensure that no </w:t>
      </w:r>
      <w:r w:rsidR="00C07DBC" w:rsidRPr="00DA3A98">
        <w:rPr>
          <w:rFonts w:ascii="Verdana" w:hAnsi="Verdana"/>
          <w:sz w:val="20"/>
          <w:lang w:val="en-US"/>
        </w:rPr>
        <w:t>actions are taken</w:t>
      </w:r>
      <w:r w:rsidRPr="00DA3A98">
        <w:rPr>
          <w:rFonts w:ascii="Verdana" w:hAnsi="Verdana"/>
          <w:sz w:val="20"/>
          <w:lang w:val="en-US"/>
        </w:rPr>
        <w:t xml:space="preserve"> that could affect the</w:t>
      </w:r>
      <w:r w:rsidR="00077064" w:rsidRPr="00DA3A98">
        <w:rPr>
          <w:rFonts w:ascii="Verdana" w:hAnsi="Verdana"/>
          <w:sz w:val="20"/>
          <w:lang w:val="en-US"/>
        </w:rPr>
        <w:t xml:space="preserve"> </w:t>
      </w:r>
      <w:r w:rsidR="00FD14B3" w:rsidRPr="00DA3A98">
        <w:rPr>
          <w:rFonts w:ascii="Verdana" w:hAnsi="Verdana"/>
          <w:sz w:val="20"/>
          <w:lang w:val="en-US"/>
        </w:rPr>
        <w:t>traditional territory</w:t>
      </w:r>
      <w:r w:rsidRPr="00DA3A98">
        <w:rPr>
          <w:rFonts w:ascii="Verdana" w:hAnsi="Verdana"/>
          <w:sz w:val="20"/>
          <w:lang w:val="en-US"/>
        </w:rPr>
        <w:t>, in particular i</w:t>
      </w:r>
      <w:r w:rsidR="00077064" w:rsidRPr="00DA3A98">
        <w:rPr>
          <w:rFonts w:ascii="Verdana" w:hAnsi="Verdana"/>
          <w:sz w:val="20"/>
          <w:lang w:val="en-US"/>
        </w:rPr>
        <w:t xml:space="preserve">n </w:t>
      </w:r>
      <w:r w:rsidR="00BE4D11" w:rsidRPr="00DA3A98">
        <w:rPr>
          <w:rFonts w:ascii="Verdana" w:hAnsi="Verdana"/>
          <w:sz w:val="20"/>
          <w:lang w:val="en-US"/>
        </w:rPr>
        <w:t xml:space="preserve">the </w:t>
      </w:r>
      <w:r w:rsidR="00511E56" w:rsidRPr="00DA3A98">
        <w:rPr>
          <w:rFonts w:ascii="Verdana" w:hAnsi="Verdana"/>
          <w:sz w:val="20"/>
          <w:lang w:val="en-US"/>
        </w:rPr>
        <w:t>Wane Kreek</w:t>
      </w:r>
      <w:r w:rsidR="00BE4D11" w:rsidRPr="00DA3A98">
        <w:rPr>
          <w:rFonts w:ascii="Verdana" w:hAnsi="Verdana"/>
          <w:sz w:val="20"/>
          <w:lang w:val="en-US"/>
        </w:rPr>
        <w:t xml:space="preserve"> Nature Reserve</w:t>
      </w:r>
      <w:r w:rsidR="00077064" w:rsidRPr="00DA3A98">
        <w:rPr>
          <w:rFonts w:ascii="Verdana" w:hAnsi="Verdana"/>
          <w:sz w:val="20"/>
          <w:lang w:val="en-US"/>
        </w:rPr>
        <w:t xml:space="preserve">, </w:t>
      </w:r>
      <w:r w:rsidRPr="00DA3A98">
        <w:rPr>
          <w:rFonts w:ascii="Verdana" w:hAnsi="Verdana"/>
          <w:sz w:val="20"/>
          <w:lang w:val="en-US"/>
        </w:rPr>
        <w:t xml:space="preserve">while the effective participation </w:t>
      </w:r>
      <w:r w:rsidR="00635ACD" w:rsidRPr="00DA3A98">
        <w:rPr>
          <w:rFonts w:ascii="Verdana" w:hAnsi="Verdana"/>
          <w:sz w:val="20"/>
          <w:lang w:val="en-US"/>
        </w:rPr>
        <w:t xml:space="preserve">of the </w:t>
      </w:r>
      <w:r w:rsidR="004C7D14" w:rsidRPr="00DA3A98">
        <w:rPr>
          <w:rFonts w:ascii="Verdana" w:hAnsi="Verdana"/>
          <w:sz w:val="20"/>
          <w:lang w:val="en-US"/>
        </w:rPr>
        <w:t>Kaliña and Lokono peoples</w:t>
      </w:r>
      <w:r w:rsidR="00DA3A98" w:rsidRPr="006C4E70">
        <w:rPr>
          <w:rFonts w:ascii="Verdana" w:hAnsi="Verdana"/>
          <w:sz w:val="20"/>
          <w:lang w:val="en-US"/>
        </w:rPr>
        <w:t xml:space="preserve"> by means of a consultation process,</w:t>
      </w:r>
      <w:r w:rsidRPr="00DA3A98">
        <w:rPr>
          <w:rFonts w:ascii="Verdana" w:hAnsi="Verdana"/>
          <w:sz w:val="20"/>
          <w:lang w:val="en-US"/>
        </w:rPr>
        <w:t xml:space="preserve"> has not been ensured, in the terms of </w:t>
      </w:r>
      <w:r w:rsidR="00967E6B" w:rsidRPr="00DA3A98">
        <w:rPr>
          <w:rFonts w:ascii="Verdana" w:hAnsi="Verdana"/>
          <w:sz w:val="20"/>
          <w:lang w:val="en-US"/>
        </w:rPr>
        <w:t>paragraph</w:t>
      </w:r>
      <w:r w:rsidR="002D650B" w:rsidRPr="00DA3A98">
        <w:rPr>
          <w:rFonts w:ascii="Verdana" w:hAnsi="Verdana"/>
          <w:sz w:val="20"/>
          <w:lang w:val="en-US"/>
        </w:rPr>
        <w:t>s</w:t>
      </w:r>
      <w:r w:rsidR="00557E59" w:rsidRPr="00DA3A98">
        <w:rPr>
          <w:rFonts w:ascii="Verdana" w:hAnsi="Verdana"/>
          <w:sz w:val="20"/>
          <w:lang w:val="en-US"/>
        </w:rPr>
        <w:t xml:space="preserve"> </w:t>
      </w:r>
      <w:r w:rsidR="002D650B" w:rsidRPr="00DA3A98">
        <w:rPr>
          <w:rFonts w:ascii="Verdana" w:hAnsi="Verdana"/>
          <w:sz w:val="20"/>
          <w:lang w:val="en-US"/>
        </w:rPr>
        <w:t xml:space="preserve">206, </w:t>
      </w:r>
      <w:r w:rsidR="00E95007" w:rsidRPr="00DA3A98">
        <w:rPr>
          <w:rFonts w:ascii="Verdana" w:hAnsi="Verdana"/>
          <w:sz w:val="20"/>
          <w:lang w:val="en-US"/>
        </w:rPr>
        <w:t>207</w:t>
      </w:r>
      <w:r w:rsidR="002D650B" w:rsidRPr="00DA3A98">
        <w:rPr>
          <w:rFonts w:ascii="Verdana" w:hAnsi="Verdana"/>
          <w:sz w:val="20"/>
          <w:lang w:val="en-US"/>
        </w:rPr>
        <w:t xml:space="preserve"> and 212</w:t>
      </w:r>
      <w:r w:rsidR="00E95007" w:rsidRPr="00DA3A98">
        <w:rPr>
          <w:rFonts w:ascii="Verdana" w:hAnsi="Verdana"/>
          <w:sz w:val="20"/>
          <w:lang w:val="en-US"/>
        </w:rPr>
        <w:t xml:space="preserve">. </w:t>
      </w:r>
    </w:p>
    <w:p w14:paraId="63126AFA" w14:textId="77777777" w:rsidR="00A91B78" w:rsidRPr="006C4E70" w:rsidRDefault="00A91B78" w:rsidP="00A91B78">
      <w:pPr>
        <w:jc w:val="both"/>
        <w:rPr>
          <w:rFonts w:ascii="Verdana" w:hAnsi="Verdana"/>
          <w:i/>
          <w:sz w:val="20"/>
          <w:szCs w:val="20"/>
          <w:lang w:val="en-US"/>
        </w:rPr>
      </w:pPr>
    </w:p>
    <w:p w14:paraId="63126AFB" w14:textId="77777777" w:rsidR="00A91B78" w:rsidRPr="00FE7BA7" w:rsidRDefault="00511E56" w:rsidP="00A91B78">
      <w:pPr>
        <w:pStyle w:val="Heading2"/>
        <w:numPr>
          <w:ilvl w:val="0"/>
          <w:numId w:val="42"/>
        </w:numPr>
        <w:spacing w:before="0"/>
        <w:jc w:val="both"/>
        <w:rPr>
          <w:rFonts w:ascii="Verdana" w:hAnsi="Verdana"/>
          <w:bCs w:val="0"/>
          <w:i/>
          <w:color w:val="auto"/>
          <w:sz w:val="20"/>
          <w:szCs w:val="20"/>
          <w:lang w:val="en-US"/>
        </w:rPr>
      </w:pPr>
      <w:bookmarkStart w:id="87" w:name="_Toc441673229"/>
      <w:r w:rsidRPr="00FE7BA7">
        <w:rPr>
          <w:rFonts w:ascii="Verdana" w:hAnsi="Verdana"/>
          <w:bCs w:val="0"/>
          <w:i/>
          <w:color w:val="auto"/>
          <w:sz w:val="20"/>
          <w:szCs w:val="20"/>
          <w:lang w:val="en-US"/>
        </w:rPr>
        <w:t>Rehabilitation</w:t>
      </w:r>
      <w:r w:rsidR="00A91B78" w:rsidRPr="00FE7BA7">
        <w:rPr>
          <w:rFonts w:ascii="Verdana" w:hAnsi="Verdana"/>
          <w:bCs w:val="0"/>
          <w:i/>
          <w:color w:val="auto"/>
          <w:sz w:val="20"/>
          <w:szCs w:val="20"/>
          <w:lang w:val="en-US"/>
        </w:rPr>
        <w:t xml:space="preserve"> </w:t>
      </w:r>
      <w:r w:rsidRPr="00FE7BA7">
        <w:rPr>
          <w:rFonts w:ascii="Verdana" w:hAnsi="Verdana"/>
          <w:bCs w:val="0"/>
          <w:i/>
          <w:color w:val="auto"/>
          <w:sz w:val="20"/>
          <w:szCs w:val="20"/>
          <w:lang w:val="en-US"/>
        </w:rPr>
        <w:t>of the territory</w:t>
      </w:r>
      <w:bookmarkEnd w:id="87"/>
    </w:p>
    <w:p w14:paraId="63126AFC" w14:textId="77777777" w:rsidR="00A91B78" w:rsidRPr="00FE7BA7" w:rsidRDefault="00A91B78" w:rsidP="00A91B78">
      <w:pPr>
        <w:jc w:val="both"/>
        <w:rPr>
          <w:rFonts w:ascii="Verdana" w:hAnsi="Verdana"/>
          <w:sz w:val="20"/>
          <w:szCs w:val="20"/>
          <w:lang w:val="en-US"/>
        </w:rPr>
      </w:pPr>
    </w:p>
    <w:p w14:paraId="63126AFD" w14:textId="77777777" w:rsidR="00A91B78" w:rsidRPr="00FE7BA7" w:rsidRDefault="002B5CCD" w:rsidP="00511E56">
      <w:pPr>
        <w:numPr>
          <w:ilvl w:val="0"/>
          <w:numId w:val="2"/>
        </w:numPr>
        <w:ind w:left="0" w:hanging="11"/>
        <w:contextualSpacing/>
        <w:jc w:val="both"/>
        <w:rPr>
          <w:rFonts w:ascii="Verdana" w:hAnsi="Verdana"/>
          <w:sz w:val="20"/>
          <w:lang w:val="en-US"/>
        </w:rPr>
      </w:pPr>
      <w:r w:rsidRPr="00FE7BA7">
        <w:rPr>
          <w:rFonts w:ascii="Verdana" w:hAnsi="Verdana" w:cs="Arial"/>
          <w:sz w:val="20"/>
          <w:szCs w:val="20"/>
          <w:lang w:val="en-US"/>
        </w:rPr>
        <w:t xml:space="preserve">The </w:t>
      </w:r>
      <w:r w:rsidRPr="006C4E70">
        <w:rPr>
          <w:rFonts w:ascii="Verdana" w:hAnsi="Verdana" w:cs="Arial"/>
          <w:b/>
          <w:i/>
          <w:sz w:val="20"/>
          <w:szCs w:val="20"/>
          <w:lang w:val="en-US"/>
        </w:rPr>
        <w:t>Commission</w:t>
      </w:r>
      <w:r w:rsidR="00A91B78" w:rsidRPr="00FE7BA7">
        <w:rPr>
          <w:rFonts w:ascii="Verdana" w:hAnsi="Verdana" w:cs="Arial"/>
          <w:sz w:val="20"/>
          <w:szCs w:val="20"/>
          <w:lang w:val="en-US"/>
        </w:rPr>
        <w:t xml:space="preserve"> </w:t>
      </w:r>
      <w:r w:rsidR="00511E56" w:rsidRPr="00FE7BA7">
        <w:rPr>
          <w:rFonts w:ascii="Verdana" w:hAnsi="Verdana" w:cs="Arial"/>
          <w:sz w:val="20"/>
          <w:szCs w:val="20"/>
          <w:lang w:val="en-US"/>
        </w:rPr>
        <w:t xml:space="preserve">asked that measures be taken to rehabilitate the area </w:t>
      </w:r>
      <w:r w:rsidR="00914DC8">
        <w:rPr>
          <w:rFonts w:ascii="Verdana" w:hAnsi="Verdana" w:cs="Arial"/>
          <w:sz w:val="20"/>
          <w:szCs w:val="20"/>
          <w:lang w:val="en-US"/>
        </w:rPr>
        <w:t>where</w:t>
      </w:r>
      <w:r w:rsidR="00511E56" w:rsidRPr="00FE7BA7">
        <w:rPr>
          <w:rFonts w:ascii="Verdana" w:hAnsi="Verdana" w:cs="Arial"/>
          <w:sz w:val="20"/>
          <w:szCs w:val="20"/>
          <w:lang w:val="en-US"/>
        </w:rPr>
        <w:t xml:space="preserve"> the mining </w:t>
      </w:r>
      <w:r w:rsidR="00914DC8">
        <w:rPr>
          <w:rFonts w:ascii="Verdana" w:hAnsi="Verdana" w:cs="Arial"/>
          <w:sz w:val="20"/>
          <w:szCs w:val="20"/>
          <w:lang w:val="en-US"/>
        </w:rPr>
        <w:t>operations</w:t>
      </w:r>
      <w:r w:rsidR="00511E56" w:rsidRPr="00FE7BA7">
        <w:rPr>
          <w:rFonts w:ascii="Verdana" w:hAnsi="Verdana" w:cs="Arial"/>
          <w:sz w:val="20"/>
          <w:szCs w:val="20"/>
          <w:lang w:val="en-US"/>
        </w:rPr>
        <w:t xml:space="preserve"> in </w:t>
      </w:r>
      <w:r w:rsidR="00BE4D11" w:rsidRPr="00FE7BA7">
        <w:rPr>
          <w:rFonts w:ascii="Verdana" w:hAnsi="Verdana" w:cs="Arial"/>
          <w:sz w:val="20"/>
          <w:szCs w:val="20"/>
          <w:lang w:val="en-US"/>
        </w:rPr>
        <w:t xml:space="preserve">the </w:t>
      </w:r>
      <w:r w:rsidR="00511E56" w:rsidRPr="00FE7BA7">
        <w:rPr>
          <w:rFonts w:ascii="Verdana" w:hAnsi="Verdana" w:cs="Arial"/>
          <w:sz w:val="20"/>
          <w:szCs w:val="20"/>
          <w:lang w:val="en-US"/>
        </w:rPr>
        <w:t>Wane Kreek</w:t>
      </w:r>
      <w:r w:rsidR="00BE4D11" w:rsidRPr="00FE7BA7">
        <w:rPr>
          <w:rFonts w:ascii="Verdana" w:hAnsi="Verdana" w:cs="Arial"/>
          <w:sz w:val="20"/>
          <w:szCs w:val="20"/>
          <w:lang w:val="en-US"/>
        </w:rPr>
        <w:t xml:space="preserve"> Nature Reserve</w:t>
      </w:r>
      <w:r w:rsidR="00914DC8">
        <w:rPr>
          <w:rFonts w:ascii="Verdana" w:hAnsi="Verdana" w:cs="Arial"/>
          <w:sz w:val="20"/>
          <w:szCs w:val="20"/>
          <w:lang w:val="en-US"/>
        </w:rPr>
        <w:t xml:space="preserve"> took place</w:t>
      </w:r>
      <w:r w:rsidR="00A91B78" w:rsidRPr="00FE7BA7">
        <w:rPr>
          <w:rFonts w:ascii="Verdana" w:hAnsi="Verdana" w:cs="Arial"/>
          <w:sz w:val="20"/>
          <w:szCs w:val="20"/>
          <w:lang w:val="en-US"/>
        </w:rPr>
        <w:t xml:space="preserve">, </w:t>
      </w:r>
      <w:r w:rsidR="00914DC8">
        <w:rPr>
          <w:rFonts w:ascii="Verdana" w:hAnsi="Verdana" w:cs="Arial"/>
          <w:sz w:val="20"/>
          <w:szCs w:val="20"/>
          <w:lang w:val="en-US"/>
        </w:rPr>
        <w:t>in consultation with</w:t>
      </w:r>
      <w:r w:rsidR="00635ACD" w:rsidRPr="00FE7BA7">
        <w:rPr>
          <w:rFonts w:ascii="Verdana" w:hAnsi="Verdana" w:cs="Arial"/>
          <w:sz w:val="20"/>
          <w:szCs w:val="20"/>
          <w:lang w:val="en-US"/>
        </w:rPr>
        <w:t xml:space="preserve"> the </w:t>
      </w:r>
      <w:r w:rsidR="004C7D14" w:rsidRPr="00FE7BA7">
        <w:rPr>
          <w:rFonts w:ascii="Verdana" w:hAnsi="Verdana" w:cs="Arial"/>
          <w:sz w:val="20"/>
          <w:szCs w:val="20"/>
          <w:lang w:val="en-US"/>
        </w:rPr>
        <w:t>Kaliña and Lokono peoples</w:t>
      </w:r>
      <w:r w:rsidR="00A91B78" w:rsidRPr="00FE7BA7">
        <w:rPr>
          <w:rFonts w:ascii="Verdana" w:hAnsi="Verdana" w:cs="Arial"/>
          <w:sz w:val="20"/>
          <w:szCs w:val="20"/>
          <w:lang w:val="en-US"/>
        </w:rPr>
        <w:t xml:space="preserve">. </w:t>
      </w:r>
      <w:r w:rsidR="00511E56" w:rsidRPr="00FE7BA7">
        <w:rPr>
          <w:rFonts w:ascii="Verdana" w:hAnsi="Verdana" w:cs="Arial"/>
          <w:sz w:val="20"/>
          <w:szCs w:val="20"/>
          <w:lang w:val="en-US"/>
        </w:rPr>
        <w:t xml:space="preserve">It also asked that an independent </w:t>
      </w:r>
      <w:r w:rsidR="00914DC8">
        <w:rPr>
          <w:rFonts w:ascii="Verdana" w:hAnsi="Verdana" w:cs="Arial"/>
          <w:sz w:val="20"/>
          <w:szCs w:val="20"/>
          <w:lang w:val="en-US"/>
        </w:rPr>
        <w:t>study</w:t>
      </w:r>
      <w:r w:rsidR="00511E56" w:rsidRPr="00FE7BA7">
        <w:rPr>
          <w:rFonts w:ascii="Verdana" w:hAnsi="Verdana" w:cs="Arial"/>
          <w:sz w:val="20"/>
          <w:szCs w:val="20"/>
          <w:lang w:val="en-US"/>
        </w:rPr>
        <w:t xml:space="preserve"> be made of the actual impact on the </w:t>
      </w:r>
      <w:r w:rsidR="00914DC8">
        <w:rPr>
          <w:rFonts w:ascii="Verdana" w:hAnsi="Verdana" w:cs="Arial"/>
          <w:sz w:val="20"/>
          <w:szCs w:val="20"/>
          <w:lang w:val="en-US"/>
        </w:rPr>
        <w:t>soil,</w:t>
      </w:r>
      <w:r w:rsidR="00511E56" w:rsidRPr="00FE7BA7">
        <w:rPr>
          <w:rFonts w:ascii="Verdana" w:hAnsi="Verdana" w:cs="Arial"/>
          <w:sz w:val="20"/>
          <w:szCs w:val="20"/>
          <w:lang w:val="en-US"/>
        </w:rPr>
        <w:t xml:space="preserve"> forests and rivers, </w:t>
      </w:r>
      <w:r w:rsidR="00914DC8">
        <w:rPr>
          <w:rFonts w:ascii="Verdana" w:hAnsi="Verdana" w:cs="Arial"/>
          <w:sz w:val="20"/>
          <w:szCs w:val="20"/>
          <w:lang w:val="en-US"/>
        </w:rPr>
        <w:t>and a remediation</w:t>
      </w:r>
      <w:r w:rsidR="00511E56" w:rsidRPr="00FE7BA7">
        <w:rPr>
          <w:rFonts w:ascii="Verdana" w:hAnsi="Verdana" w:cs="Arial"/>
          <w:sz w:val="20"/>
          <w:szCs w:val="20"/>
          <w:lang w:val="en-US"/>
        </w:rPr>
        <w:t xml:space="preserve"> plan. The peoples must be consulted in order to achieve this objective.</w:t>
      </w:r>
      <w:r w:rsidR="00A91B78" w:rsidRPr="00FE7BA7">
        <w:rPr>
          <w:rFonts w:ascii="Verdana" w:hAnsi="Verdana"/>
          <w:sz w:val="20"/>
          <w:szCs w:val="20"/>
          <w:lang w:val="en-US"/>
        </w:rPr>
        <w:t xml:space="preserve"> </w:t>
      </w:r>
    </w:p>
    <w:p w14:paraId="63126AFE" w14:textId="77777777" w:rsidR="00A91B78" w:rsidRPr="00FE7BA7" w:rsidRDefault="00A91B78" w:rsidP="00A91B78">
      <w:pPr>
        <w:jc w:val="both"/>
        <w:rPr>
          <w:rFonts w:ascii="Verdana" w:hAnsi="Verdana" w:cs="Arial"/>
          <w:color w:val="222222"/>
          <w:sz w:val="20"/>
          <w:szCs w:val="20"/>
          <w:lang w:val="en-US"/>
        </w:rPr>
      </w:pPr>
    </w:p>
    <w:p w14:paraId="63126AFF" w14:textId="0EC4F615" w:rsidR="00C919DC" w:rsidRPr="00FE7BA7" w:rsidRDefault="00810FAD" w:rsidP="00230709">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A91B78" w:rsidRPr="00FE7BA7">
        <w:rPr>
          <w:rFonts w:ascii="Verdana" w:hAnsi="Verdana"/>
          <w:sz w:val="20"/>
          <w:szCs w:val="20"/>
          <w:lang w:val="en-US"/>
        </w:rPr>
        <w:t xml:space="preserve"> </w:t>
      </w:r>
      <w:r w:rsidR="00511E56" w:rsidRPr="00FE7BA7">
        <w:rPr>
          <w:rFonts w:ascii="Verdana" w:hAnsi="Verdana"/>
          <w:sz w:val="20"/>
          <w:szCs w:val="20"/>
          <w:lang w:val="en-US"/>
        </w:rPr>
        <w:t>called for</w:t>
      </w:r>
      <w:r w:rsidR="00A91B78" w:rsidRPr="00FE7BA7">
        <w:rPr>
          <w:rFonts w:ascii="Verdana" w:hAnsi="Verdana"/>
          <w:sz w:val="20"/>
          <w:szCs w:val="20"/>
          <w:lang w:val="en-US"/>
        </w:rPr>
        <w:t xml:space="preserve">: </w:t>
      </w:r>
      <w:r w:rsidR="00511E56" w:rsidRPr="00FE7BA7">
        <w:rPr>
          <w:rFonts w:ascii="Verdana" w:hAnsi="Verdana"/>
          <w:sz w:val="20"/>
          <w:szCs w:val="20"/>
          <w:lang w:val="en-US"/>
        </w:rPr>
        <w:t>(i) the</w:t>
      </w:r>
      <w:r w:rsidR="00A91B78" w:rsidRPr="00FE7BA7">
        <w:rPr>
          <w:rFonts w:ascii="Verdana" w:hAnsi="Verdana"/>
          <w:sz w:val="20"/>
          <w:szCs w:val="20"/>
          <w:lang w:val="en-US"/>
        </w:rPr>
        <w:t xml:space="preserve"> </w:t>
      </w:r>
      <w:r w:rsidR="00511E56" w:rsidRPr="00FE7BA7">
        <w:rPr>
          <w:rFonts w:ascii="Verdana" w:hAnsi="Verdana"/>
          <w:sz w:val="20"/>
          <w:szCs w:val="20"/>
          <w:lang w:val="en-US"/>
        </w:rPr>
        <w:t>re</w:t>
      </w:r>
      <w:r w:rsidR="00914DC8">
        <w:rPr>
          <w:rFonts w:ascii="Verdana" w:hAnsi="Verdana"/>
          <w:sz w:val="20"/>
          <w:szCs w:val="20"/>
          <w:lang w:val="en-US"/>
        </w:rPr>
        <w:t>stitution</w:t>
      </w:r>
      <w:r w:rsidR="002B5CCD" w:rsidRPr="00FE7BA7">
        <w:rPr>
          <w:rFonts w:ascii="Verdana" w:hAnsi="Verdana"/>
          <w:sz w:val="20"/>
          <w:szCs w:val="20"/>
          <w:lang w:val="en-US"/>
        </w:rPr>
        <w:t xml:space="preserve"> and </w:t>
      </w:r>
      <w:r w:rsidR="00603A69" w:rsidRPr="00FE7BA7">
        <w:rPr>
          <w:rFonts w:ascii="Verdana" w:hAnsi="Verdana"/>
          <w:sz w:val="20"/>
          <w:szCs w:val="20"/>
          <w:lang w:val="en-US"/>
        </w:rPr>
        <w:t>rest</w:t>
      </w:r>
      <w:r w:rsidR="00511E56" w:rsidRPr="00FE7BA7">
        <w:rPr>
          <w:rFonts w:ascii="Verdana" w:hAnsi="Verdana"/>
          <w:sz w:val="20"/>
          <w:szCs w:val="20"/>
          <w:lang w:val="en-US"/>
        </w:rPr>
        <w:t xml:space="preserve">oration of the lands in the hands of third parties, and of those that are within the three protected areas created in the territory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511E56" w:rsidRPr="00FE7BA7">
        <w:rPr>
          <w:rFonts w:ascii="Verdana" w:hAnsi="Verdana"/>
          <w:sz w:val="20"/>
          <w:szCs w:val="20"/>
          <w:lang w:val="en-US"/>
        </w:rPr>
        <w:t>,</w:t>
      </w:r>
      <w:r w:rsidR="00A91B78" w:rsidRPr="00FE7BA7">
        <w:rPr>
          <w:rFonts w:ascii="Verdana" w:hAnsi="Verdana"/>
          <w:sz w:val="20"/>
          <w:szCs w:val="20"/>
          <w:lang w:val="en-US"/>
        </w:rPr>
        <w:t xml:space="preserve"> </w:t>
      </w:r>
      <w:r w:rsidR="002B5CCD" w:rsidRPr="00FE7BA7">
        <w:rPr>
          <w:rFonts w:ascii="Verdana" w:hAnsi="Verdana"/>
          <w:sz w:val="20"/>
          <w:szCs w:val="20"/>
          <w:lang w:val="en-US"/>
        </w:rPr>
        <w:t xml:space="preserve">and </w:t>
      </w:r>
      <w:r w:rsidR="00511E56" w:rsidRPr="00FE7BA7">
        <w:rPr>
          <w:rFonts w:ascii="Verdana" w:hAnsi="Verdana"/>
          <w:sz w:val="20"/>
          <w:szCs w:val="20"/>
          <w:lang w:val="en-US"/>
        </w:rPr>
        <w:t>(</w:t>
      </w:r>
      <w:r w:rsidR="00A91B78" w:rsidRPr="00FE7BA7">
        <w:rPr>
          <w:rFonts w:ascii="Verdana" w:hAnsi="Verdana"/>
          <w:sz w:val="20"/>
          <w:szCs w:val="20"/>
          <w:lang w:val="en-US"/>
        </w:rPr>
        <w:t>ii)</w:t>
      </w:r>
      <w:r w:rsidR="00511E56" w:rsidRPr="00FE7BA7">
        <w:rPr>
          <w:rFonts w:ascii="Verdana" w:hAnsi="Verdana"/>
          <w:sz w:val="20"/>
          <w:szCs w:val="20"/>
          <w:lang w:val="en-US"/>
        </w:rPr>
        <w:t xml:space="preserve"> the </w:t>
      </w:r>
      <w:r w:rsidR="00914DC8">
        <w:rPr>
          <w:rFonts w:ascii="Verdana" w:hAnsi="Verdana"/>
          <w:sz w:val="20"/>
          <w:szCs w:val="20"/>
          <w:lang w:val="en-US"/>
        </w:rPr>
        <w:t>effective</w:t>
      </w:r>
      <w:r w:rsidR="00511E56" w:rsidRPr="00FE7BA7">
        <w:rPr>
          <w:rFonts w:ascii="Verdana" w:hAnsi="Verdana"/>
          <w:sz w:val="20"/>
          <w:szCs w:val="20"/>
          <w:lang w:val="en-US"/>
        </w:rPr>
        <w:t xml:space="preserve"> </w:t>
      </w:r>
      <w:r w:rsidR="00EC351A">
        <w:rPr>
          <w:rFonts w:ascii="Verdana" w:hAnsi="Verdana"/>
          <w:sz w:val="20"/>
          <w:szCs w:val="20"/>
          <w:lang w:val="en-US"/>
        </w:rPr>
        <w:t>environmental remediation</w:t>
      </w:r>
      <w:r w:rsidR="00511E56" w:rsidRPr="00FE7BA7">
        <w:rPr>
          <w:rFonts w:ascii="Verdana" w:hAnsi="Verdana"/>
          <w:sz w:val="20"/>
          <w:szCs w:val="20"/>
          <w:lang w:val="en-US"/>
        </w:rPr>
        <w:t xml:space="preserve"> and rehabilitation</w:t>
      </w:r>
      <w:r w:rsidR="00A91B78" w:rsidRPr="00FE7BA7">
        <w:rPr>
          <w:rFonts w:ascii="Verdana" w:hAnsi="Verdana"/>
          <w:sz w:val="20"/>
          <w:szCs w:val="20"/>
          <w:lang w:val="en-US"/>
        </w:rPr>
        <w:t xml:space="preserve"> </w:t>
      </w:r>
      <w:r w:rsidR="00511E56" w:rsidRPr="00FE7BA7">
        <w:rPr>
          <w:rFonts w:ascii="Verdana" w:hAnsi="Verdana"/>
          <w:sz w:val="20"/>
          <w:szCs w:val="20"/>
          <w:lang w:val="en-US"/>
        </w:rPr>
        <w:t>of the lands degraded by the mining</w:t>
      </w:r>
      <w:r w:rsidR="00C07DBC">
        <w:rPr>
          <w:rFonts w:ascii="Verdana" w:hAnsi="Verdana"/>
          <w:sz w:val="20"/>
          <w:szCs w:val="20"/>
          <w:lang w:val="en-US"/>
        </w:rPr>
        <w:t xml:space="preserve"> operations</w:t>
      </w:r>
      <w:r w:rsidR="00511E56" w:rsidRPr="00FE7BA7">
        <w:rPr>
          <w:rFonts w:ascii="Verdana" w:hAnsi="Verdana"/>
          <w:sz w:val="20"/>
          <w:szCs w:val="20"/>
          <w:lang w:val="en-US"/>
        </w:rPr>
        <w:t xml:space="preserve"> </w:t>
      </w:r>
      <w:r w:rsidR="00EC351A">
        <w:rPr>
          <w:rFonts w:ascii="Verdana" w:hAnsi="Verdana"/>
          <w:sz w:val="20"/>
          <w:szCs w:val="20"/>
          <w:lang w:val="en-US"/>
        </w:rPr>
        <w:t>with</w:t>
      </w:r>
      <w:r w:rsidR="00511E56" w:rsidRPr="00FE7BA7">
        <w:rPr>
          <w:rFonts w:ascii="Verdana" w:hAnsi="Verdana"/>
          <w:sz w:val="20"/>
          <w:szCs w:val="20"/>
          <w:lang w:val="en-US"/>
        </w:rPr>
        <w:t xml:space="preserve">in the territory of these peoples. </w:t>
      </w:r>
      <w:r w:rsidR="00A91B78" w:rsidRPr="00FE7BA7">
        <w:rPr>
          <w:rFonts w:ascii="Verdana" w:hAnsi="Verdana"/>
          <w:sz w:val="20"/>
          <w:szCs w:val="20"/>
          <w:lang w:val="en-US"/>
        </w:rPr>
        <w:t>A</w:t>
      </w:r>
      <w:r w:rsidR="00511E56" w:rsidRPr="00FE7BA7">
        <w:rPr>
          <w:rFonts w:ascii="Verdana" w:hAnsi="Verdana"/>
          <w:sz w:val="20"/>
          <w:szCs w:val="20"/>
          <w:lang w:val="en-US"/>
        </w:rPr>
        <w:t xml:space="preserve">dded to this, in their final observations, </w:t>
      </w:r>
      <w:r w:rsidRPr="00FE7BA7">
        <w:rPr>
          <w:rFonts w:ascii="Verdana" w:hAnsi="Verdana"/>
          <w:sz w:val="20"/>
          <w:szCs w:val="20"/>
          <w:lang w:val="en-US"/>
        </w:rPr>
        <w:t>the representatives</w:t>
      </w:r>
      <w:r w:rsidR="00A91B78" w:rsidRPr="00FE7BA7">
        <w:rPr>
          <w:rFonts w:ascii="Verdana" w:hAnsi="Verdana"/>
          <w:sz w:val="20"/>
          <w:szCs w:val="20"/>
          <w:lang w:val="en-US"/>
        </w:rPr>
        <w:t xml:space="preserve"> </w:t>
      </w:r>
      <w:r w:rsidR="00511E56" w:rsidRPr="00FE7BA7">
        <w:rPr>
          <w:rFonts w:ascii="Verdana" w:hAnsi="Verdana"/>
          <w:sz w:val="20"/>
          <w:szCs w:val="20"/>
          <w:lang w:val="en-US"/>
        </w:rPr>
        <w:t xml:space="preserve">emphasized that the mining </w:t>
      </w:r>
      <w:r w:rsidR="00C07DBC">
        <w:rPr>
          <w:rFonts w:ascii="Verdana" w:hAnsi="Verdana"/>
          <w:sz w:val="20"/>
          <w:szCs w:val="20"/>
          <w:lang w:val="en-US"/>
        </w:rPr>
        <w:t>activity</w:t>
      </w:r>
      <w:r w:rsidR="00511E56" w:rsidRPr="00FE7BA7">
        <w:rPr>
          <w:rFonts w:ascii="Verdana" w:hAnsi="Verdana"/>
          <w:sz w:val="20"/>
          <w:szCs w:val="20"/>
          <w:lang w:val="en-US"/>
        </w:rPr>
        <w:t xml:space="preserve"> had caused </w:t>
      </w:r>
      <w:r w:rsidR="00EC351A">
        <w:rPr>
          <w:rFonts w:ascii="Verdana" w:hAnsi="Verdana"/>
          <w:sz w:val="20"/>
          <w:szCs w:val="20"/>
          <w:lang w:val="en-US"/>
        </w:rPr>
        <w:t xml:space="preserve">extensive </w:t>
      </w:r>
      <w:r w:rsidR="00511E56" w:rsidRPr="00FE7BA7">
        <w:rPr>
          <w:rFonts w:ascii="Verdana" w:hAnsi="Verdana"/>
          <w:sz w:val="20"/>
          <w:szCs w:val="20"/>
          <w:lang w:val="en-US"/>
        </w:rPr>
        <w:t>damage and that the efforts made to rehabilitate the territory</w:t>
      </w:r>
      <w:r w:rsidR="00A91B78" w:rsidRPr="00FE7BA7">
        <w:rPr>
          <w:rFonts w:ascii="Verdana" w:hAnsi="Verdana"/>
          <w:sz w:val="20"/>
          <w:szCs w:val="20"/>
          <w:lang w:val="en-US"/>
        </w:rPr>
        <w:t xml:space="preserve"> </w:t>
      </w:r>
      <w:r w:rsidR="00511E56" w:rsidRPr="00FE7BA7">
        <w:rPr>
          <w:rFonts w:ascii="Verdana" w:hAnsi="Verdana"/>
          <w:sz w:val="20"/>
          <w:szCs w:val="20"/>
          <w:lang w:val="en-US"/>
        </w:rPr>
        <w:t>had not been effective.</w:t>
      </w:r>
      <w:r w:rsidR="00230709"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2B5CCD" w:rsidRPr="006C4E70">
        <w:rPr>
          <w:rFonts w:ascii="Verdana" w:hAnsi="Verdana"/>
          <w:b/>
          <w:i/>
          <w:sz w:val="20"/>
          <w:szCs w:val="20"/>
          <w:lang w:val="en-US"/>
        </w:rPr>
        <w:t>State</w:t>
      </w:r>
      <w:r w:rsidR="008A4ABB" w:rsidRPr="00FE7BA7">
        <w:rPr>
          <w:rFonts w:ascii="Verdana" w:hAnsi="Verdana"/>
          <w:i/>
          <w:sz w:val="20"/>
          <w:szCs w:val="20"/>
          <w:lang w:val="en-US"/>
        </w:rPr>
        <w:t xml:space="preserve"> </w:t>
      </w:r>
      <w:r w:rsidR="00511E56" w:rsidRPr="00FE7BA7">
        <w:rPr>
          <w:rFonts w:ascii="Verdana" w:hAnsi="Verdana"/>
          <w:sz w:val="20"/>
          <w:szCs w:val="20"/>
          <w:lang w:val="en-US"/>
        </w:rPr>
        <w:t xml:space="preserve">did not submit any explicit arguments in this regard; however, following the on-site procedure, the State </w:t>
      </w:r>
      <w:r w:rsidR="001030B1">
        <w:rPr>
          <w:rFonts w:ascii="Verdana" w:hAnsi="Verdana"/>
          <w:sz w:val="20"/>
          <w:szCs w:val="20"/>
          <w:lang w:val="en-US"/>
        </w:rPr>
        <w:t>submitted</w:t>
      </w:r>
      <w:r w:rsidR="001030B1" w:rsidRPr="00FE7BA7">
        <w:rPr>
          <w:rFonts w:ascii="Verdana" w:hAnsi="Verdana"/>
          <w:sz w:val="20"/>
          <w:szCs w:val="20"/>
          <w:lang w:val="en-US"/>
        </w:rPr>
        <w:t xml:space="preserve"> </w:t>
      </w:r>
      <w:r w:rsidR="00511E56" w:rsidRPr="00FE7BA7">
        <w:rPr>
          <w:rFonts w:ascii="Verdana" w:hAnsi="Verdana"/>
          <w:sz w:val="20"/>
          <w:szCs w:val="20"/>
          <w:lang w:val="en-US"/>
        </w:rPr>
        <w:t>a memora</w:t>
      </w:r>
      <w:r w:rsidR="008A4ABB" w:rsidRPr="00FE7BA7">
        <w:rPr>
          <w:rFonts w:ascii="Verdana" w:hAnsi="Verdana"/>
          <w:sz w:val="20"/>
          <w:szCs w:val="20"/>
          <w:lang w:val="en-US"/>
        </w:rPr>
        <w:t xml:space="preserve">ndum </w:t>
      </w:r>
      <w:r w:rsidR="00511E56" w:rsidRPr="00FE7BA7">
        <w:rPr>
          <w:rFonts w:ascii="Verdana" w:hAnsi="Verdana"/>
          <w:sz w:val="20"/>
          <w:szCs w:val="20"/>
          <w:lang w:val="en-US"/>
        </w:rPr>
        <w:t xml:space="preserve">of the </w:t>
      </w:r>
      <w:r w:rsidR="008A4ABB" w:rsidRPr="00FE7BA7">
        <w:rPr>
          <w:rFonts w:ascii="Verdana" w:hAnsi="Verdana"/>
          <w:sz w:val="20"/>
          <w:szCs w:val="20"/>
          <w:lang w:val="en-US"/>
        </w:rPr>
        <w:t>Director</w:t>
      </w:r>
      <w:r w:rsidR="00511E56" w:rsidRPr="00FE7BA7">
        <w:rPr>
          <w:rFonts w:ascii="Verdana" w:hAnsi="Verdana"/>
          <w:sz w:val="20"/>
          <w:szCs w:val="20"/>
          <w:lang w:val="en-US"/>
        </w:rPr>
        <w:t xml:space="preserve"> of the </w:t>
      </w:r>
      <w:r w:rsidR="00BE4D11" w:rsidRPr="00FE7BA7">
        <w:rPr>
          <w:rFonts w:ascii="Verdana" w:hAnsi="Verdana"/>
          <w:sz w:val="20"/>
          <w:szCs w:val="20"/>
          <w:lang w:val="en-US"/>
        </w:rPr>
        <w:t>Bauxite Institute of Suriname</w:t>
      </w:r>
      <w:r w:rsidR="00430FB4" w:rsidRPr="00FE7BA7">
        <w:rPr>
          <w:rFonts w:ascii="Verdana" w:hAnsi="Verdana"/>
          <w:sz w:val="20"/>
          <w:szCs w:val="20"/>
          <w:lang w:val="en-US"/>
        </w:rPr>
        <w:t xml:space="preserve"> dated August 27, 2015,</w:t>
      </w:r>
      <w:r w:rsidR="002B5CCD" w:rsidRPr="00FE7BA7">
        <w:rPr>
          <w:rFonts w:ascii="Verdana" w:hAnsi="Verdana"/>
          <w:sz w:val="20"/>
          <w:szCs w:val="20"/>
          <w:lang w:val="en-US"/>
        </w:rPr>
        <w:t xml:space="preserve"> </w:t>
      </w:r>
      <w:r w:rsidR="00511E56" w:rsidRPr="00FE7BA7">
        <w:rPr>
          <w:rFonts w:ascii="Verdana" w:hAnsi="Verdana"/>
          <w:sz w:val="20"/>
          <w:szCs w:val="20"/>
          <w:lang w:val="en-US"/>
        </w:rPr>
        <w:t xml:space="preserve">which indicated that various actions had been taken to rehabilitate the territory that had been damaged by the mining </w:t>
      </w:r>
      <w:r w:rsidR="00EC351A">
        <w:rPr>
          <w:rFonts w:ascii="Verdana" w:hAnsi="Verdana"/>
          <w:sz w:val="20"/>
          <w:szCs w:val="20"/>
          <w:lang w:val="en-US"/>
        </w:rPr>
        <w:t>operations</w:t>
      </w:r>
      <w:r w:rsidR="00511E56" w:rsidRPr="00FE7BA7">
        <w:rPr>
          <w:rFonts w:ascii="Verdana" w:hAnsi="Verdana"/>
          <w:sz w:val="20"/>
          <w:szCs w:val="20"/>
          <w:lang w:val="en-US"/>
        </w:rPr>
        <w:t>, without providing any further evidence in this regard.</w:t>
      </w:r>
    </w:p>
    <w:p w14:paraId="63126B00" w14:textId="77777777" w:rsidR="009B781F" w:rsidRPr="00FE7BA7" w:rsidRDefault="009B781F" w:rsidP="007E20F9">
      <w:pPr>
        <w:pStyle w:val="ListParagraph"/>
        <w:rPr>
          <w:rFonts w:ascii="Verdana" w:hAnsi="Verdana"/>
          <w:sz w:val="20"/>
          <w:szCs w:val="20"/>
          <w:lang w:val="en-US"/>
        </w:rPr>
      </w:pPr>
    </w:p>
    <w:p w14:paraId="63126B01" w14:textId="77777777" w:rsidR="00A91B78" w:rsidRPr="00FE7BA7" w:rsidRDefault="00511E56"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In view of the fact that the State was found </w:t>
      </w:r>
      <w:r w:rsidR="00FE7BA7" w:rsidRPr="00FE7BA7">
        <w:rPr>
          <w:rFonts w:ascii="Verdana" w:hAnsi="Verdana"/>
          <w:sz w:val="20"/>
          <w:szCs w:val="20"/>
          <w:lang w:val="en-US"/>
        </w:rPr>
        <w:t>responsible</w:t>
      </w:r>
      <w:r w:rsidRPr="00FE7BA7">
        <w:rPr>
          <w:rFonts w:ascii="Verdana" w:hAnsi="Verdana"/>
          <w:sz w:val="20"/>
          <w:szCs w:val="20"/>
          <w:lang w:val="en-US"/>
        </w:rPr>
        <w:t xml:space="preserve"> for the violation </w:t>
      </w:r>
      <w:r w:rsidR="00773D70" w:rsidRPr="00FE7BA7">
        <w:rPr>
          <w:rFonts w:ascii="Verdana" w:hAnsi="Verdana"/>
          <w:sz w:val="20"/>
          <w:szCs w:val="20"/>
          <w:lang w:val="en-US"/>
        </w:rPr>
        <w:t>of Article</w:t>
      </w:r>
      <w:r w:rsidR="00A91B78" w:rsidRPr="00FE7BA7">
        <w:rPr>
          <w:rFonts w:ascii="Verdana" w:hAnsi="Verdana"/>
          <w:sz w:val="20"/>
          <w:szCs w:val="20"/>
          <w:lang w:val="en-US"/>
        </w:rPr>
        <w:t xml:space="preserve"> 21</w:t>
      </w:r>
      <w:r w:rsidR="002B5CCD" w:rsidRPr="00FE7BA7">
        <w:rPr>
          <w:rFonts w:ascii="Verdana" w:hAnsi="Verdana"/>
          <w:sz w:val="20"/>
          <w:szCs w:val="20"/>
          <w:lang w:val="en-US"/>
        </w:rPr>
        <w:t xml:space="preserve"> of the Convention</w:t>
      </w:r>
      <w:r w:rsidR="00761A5E" w:rsidRPr="00FE7BA7">
        <w:rPr>
          <w:rFonts w:ascii="Verdana" w:hAnsi="Verdana"/>
          <w:sz w:val="20"/>
          <w:szCs w:val="20"/>
          <w:lang w:val="en-US"/>
        </w:rPr>
        <w:t xml:space="preserve"> </w:t>
      </w:r>
      <w:r w:rsidR="00EC351A">
        <w:rPr>
          <w:rFonts w:ascii="Verdana" w:hAnsi="Verdana"/>
          <w:sz w:val="20"/>
          <w:szCs w:val="20"/>
          <w:lang w:val="en-US"/>
        </w:rPr>
        <w:t>because of</w:t>
      </w:r>
      <w:r w:rsidRPr="00FE7BA7">
        <w:rPr>
          <w:rFonts w:ascii="Verdana" w:hAnsi="Verdana"/>
          <w:sz w:val="20"/>
          <w:szCs w:val="20"/>
          <w:lang w:val="en-US"/>
        </w:rPr>
        <w:t xml:space="preserve"> the damage caused to the environment and the lands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A91B78" w:rsidRPr="00FE7BA7">
        <w:rPr>
          <w:rFonts w:ascii="Verdana" w:hAnsi="Verdana"/>
          <w:sz w:val="20"/>
          <w:szCs w:val="20"/>
          <w:lang w:val="en-US"/>
        </w:rPr>
        <w:t xml:space="preserve"> </w:t>
      </w:r>
      <w:r w:rsidRPr="00FE7BA7">
        <w:rPr>
          <w:rFonts w:ascii="Verdana" w:hAnsi="Verdana"/>
          <w:sz w:val="20"/>
          <w:szCs w:val="20"/>
          <w:lang w:val="en-US"/>
        </w:rPr>
        <w:t xml:space="preserve">owing to the </w:t>
      </w:r>
      <w:r w:rsidR="00EC351A">
        <w:rPr>
          <w:rFonts w:ascii="Verdana" w:hAnsi="Verdana"/>
          <w:sz w:val="20"/>
          <w:szCs w:val="20"/>
          <w:lang w:val="en-US"/>
        </w:rPr>
        <w:t xml:space="preserve">bauxite </w:t>
      </w:r>
      <w:r w:rsidRPr="00FE7BA7">
        <w:rPr>
          <w:rFonts w:ascii="Verdana" w:hAnsi="Verdana"/>
          <w:sz w:val="20"/>
          <w:szCs w:val="20"/>
          <w:lang w:val="en-US"/>
        </w:rPr>
        <w:t xml:space="preserve">mining </w:t>
      </w:r>
      <w:r w:rsidR="00EC351A">
        <w:rPr>
          <w:rFonts w:ascii="Verdana" w:hAnsi="Verdana"/>
          <w:sz w:val="20"/>
          <w:szCs w:val="20"/>
          <w:lang w:val="en-US"/>
        </w:rPr>
        <w:t>operations</w:t>
      </w:r>
      <w:r w:rsidRPr="00FE7BA7">
        <w:rPr>
          <w:rFonts w:ascii="Verdana" w:hAnsi="Verdana"/>
          <w:sz w:val="20"/>
          <w:szCs w:val="20"/>
          <w:lang w:val="en-US"/>
        </w:rPr>
        <w:t xml:space="preserve"> in</w:t>
      </w:r>
      <w:r w:rsidR="00A91B78" w:rsidRPr="00FE7BA7">
        <w:rPr>
          <w:rFonts w:ascii="Verdana" w:hAnsi="Verdana"/>
          <w:sz w:val="20"/>
          <w:szCs w:val="20"/>
          <w:lang w:val="en-US"/>
        </w:rPr>
        <w:t xml:space="preserve"> </w:t>
      </w:r>
      <w:r w:rsidRPr="00FE7BA7">
        <w:rPr>
          <w:rFonts w:ascii="Verdana" w:hAnsi="Verdana"/>
          <w:sz w:val="20"/>
          <w:szCs w:val="20"/>
          <w:lang w:val="en-US"/>
        </w:rPr>
        <w:t>the Wane Kreek</w:t>
      </w:r>
      <w:r w:rsidR="00BE4D11" w:rsidRPr="00FE7BA7">
        <w:rPr>
          <w:rFonts w:ascii="Verdana" w:hAnsi="Verdana"/>
          <w:sz w:val="20"/>
          <w:szCs w:val="20"/>
          <w:lang w:val="en-US"/>
        </w:rPr>
        <w:t xml:space="preserve"> Nature Reserve</w:t>
      </w:r>
      <w:r w:rsidR="00761A5E" w:rsidRPr="00FE7BA7">
        <w:rPr>
          <w:rFonts w:ascii="Verdana" w:hAnsi="Verdana"/>
          <w:sz w:val="20"/>
          <w:szCs w:val="20"/>
          <w:lang w:val="en-US"/>
        </w:rPr>
        <w:t xml:space="preserve"> (</w:t>
      </w:r>
      <w:r w:rsidR="00761A5E" w:rsidRPr="00FE7BA7">
        <w:rPr>
          <w:rFonts w:ascii="Verdana" w:hAnsi="Verdana"/>
          <w:i/>
          <w:sz w:val="20"/>
          <w:szCs w:val="20"/>
          <w:lang w:val="en-US"/>
        </w:rPr>
        <w:t>supra</w:t>
      </w:r>
      <w:r w:rsidR="00761A5E" w:rsidRPr="00FE7BA7">
        <w:rPr>
          <w:rFonts w:ascii="Verdana" w:hAnsi="Verdana"/>
          <w:sz w:val="20"/>
          <w:szCs w:val="20"/>
          <w:lang w:val="en-US"/>
        </w:rPr>
        <w:t xml:space="preserve"> </w:t>
      </w:r>
      <w:r w:rsidR="00810FAD" w:rsidRPr="00FE7BA7">
        <w:rPr>
          <w:rFonts w:ascii="Verdana" w:hAnsi="Verdana"/>
          <w:sz w:val="20"/>
          <w:szCs w:val="20"/>
          <w:lang w:val="en-US"/>
        </w:rPr>
        <w:t>para.</w:t>
      </w:r>
      <w:r w:rsidR="00761A5E" w:rsidRPr="00FE7BA7">
        <w:rPr>
          <w:rFonts w:ascii="Verdana" w:hAnsi="Verdana"/>
          <w:sz w:val="20"/>
          <w:szCs w:val="20"/>
          <w:lang w:val="en-US"/>
        </w:rPr>
        <w:t xml:space="preserve"> 230)</w:t>
      </w:r>
      <w:r w:rsidR="00A91B78" w:rsidRPr="00FE7BA7">
        <w:rPr>
          <w:rFonts w:ascii="Verdana" w:hAnsi="Verdana"/>
          <w:sz w:val="20"/>
          <w:szCs w:val="20"/>
          <w:lang w:val="en-US"/>
        </w:rPr>
        <w:t>,</w:t>
      </w:r>
      <w:r w:rsidR="002B5CCD" w:rsidRPr="00FE7BA7">
        <w:rPr>
          <w:rFonts w:ascii="Verdana" w:hAnsi="Verdana"/>
          <w:sz w:val="20"/>
          <w:szCs w:val="20"/>
          <w:lang w:val="en-US"/>
        </w:rPr>
        <w:t xml:space="preserve"> and</w:t>
      </w:r>
      <w:r w:rsidRPr="00FE7BA7">
        <w:rPr>
          <w:rFonts w:ascii="Verdana" w:hAnsi="Verdana"/>
          <w:sz w:val="20"/>
          <w:szCs w:val="20"/>
          <w:lang w:val="en-US"/>
        </w:rPr>
        <w:t xml:space="preserve"> since</w:t>
      </w:r>
      <w:r w:rsidR="00EC351A">
        <w:rPr>
          <w:rFonts w:ascii="Verdana" w:hAnsi="Verdana"/>
          <w:sz w:val="20"/>
          <w:szCs w:val="20"/>
          <w:lang w:val="en-US"/>
        </w:rPr>
        <w:t>, to date,</w:t>
      </w:r>
      <w:r w:rsidRPr="00FE7BA7">
        <w:rPr>
          <w:rFonts w:ascii="Verdana" w:hAnsi="Verdana"/>
          <w:sz w:val="20"/>
          <w:szCs w:val="20"/>
          <w:lang w:val="en-US"/>
        </w:rPr>
        <w:t xml:space="preserve"> the re</w:t>
      </w:r>
      <w:r w:rsidR="00EC351A">
        <w:rPr>
          <w:rFonts w:ascii="Verdana" w:hAnsi="Verdana"/>
          <w:sz w:val="20"/>
          <w:szCs w:val="20"/>
          <w:lang w:val="en-US"/>
        </w:rPr>
        <w:t>mediation</w:t>
      </w:r>
      <w:r w:rsidR="00A91B78" w:rsidRPr="00FE7BA7">
        <w:rPr>
          <w:rFonts w:ascii="Verdana" w:hAnsi="Verdana"/>
          <w:sz w:val="20"/>
          <w:szCs w:val="20"/>
          <w:lang w:val="en-US"/>
        </w:rPr>
        <w:t xml:space="preserve"> </w:t>
      </w:r>
      <w:r w:rsidRPr="00FE7BA7">
        <w:rPr>
          <w:rFonts w:ascii="Verdana" w:hAnsi="Verdana"/>
          <w:sz w:val="20"/>
          <w:szCs w:val="20"/>
          <w:lang w:val="en-US"/>
        </w:rPr>
        <w:t xml:space="preserve">work carried out by the company has been </w:t>
      </w:r>
      <w:r w:rsidR="00EC351A">
        <w:rPr>
          <w:rFonts w:ascii="Verdana" w:hAnsi="Verdana"/>
          <w:sz w:val="20"/>
          <w:szCs w:val="20"/>
          <w:lang w:val="en-US"/>
        </w:rPr>
        <w:t xml:space="preserve">neither effective nor </w:t>
      </w:r>
      <w:r w:rsidR="00965219">
        <w:rPr>
          <w:rFonts w:ascii="Verdana" w:hAnsi="Verdana"/>
          <w:sz w:val="20"/>
          <w:szCs w:val="20"/>
          <w:lang w:val="en-US"/>
        </w:rPr>
        <w:t>sufficient</w:t>
      </w:r>
      <w:r w:rsidRPr="00FE7BA7">
        <w:rPr>
          <w:rFonts w:ascii="Verdana" w:hAnsi="Verdana"/>
          <w:sz w:val="20"/>
          <w:szCs w:val="20"/>
          <w:lang w:val="en-US"/>
        </w:rPr>
        <w:t>, the Court establishes that the State must</w:t>
      </w:r>
      <w:r w:rsidR="00A91B78" w:rsidRPr="00FE7BA7">
        <w:rPr>
          <w:rFonts w:ascii="Verdana" w:hAnsi="Verdana"/>
          <w:sz w:val="20"/>
          <w:szCs w:val="20"/>
          <w:lang w:val="en-US"/>
        </w:rPr>
        <w:t xml:space="preserve">: </w:t>
      </w:r>
    </w:p>
    <w:p w14:paraId="63126B02" w14:textId="77777777" w:rsidR="00A91B78" w:rsidRPr="00FE7BA7" w:rsidRDefault="00A91B78" w:rsidP="00A91B78">
      <w:pPr>
        <w:jc w:val="both"/>
        <w:rPr>
          <w:rFonts w:ascii="Verdana" w:hAnsi="Verdana"/>
          <w:sz w:val="20"/>
          <w:szCs w:val="20"/>
          <w:lang w:val="en-US"/>
        </w:rPr>
      </w:pPr>
    </w:p>
    <w:p w14:paraId="63126B03" w14:textId="77777777" w:rsidR="00A144BB" w:rsidRPr="00FE7BA7" w:rsidRDefault="00430FB4" w:rsidP="00430FB4">
      <w:pPr>
        <w:pStyle w:val="ListParagraph"/>
        <w:numPr>
          <w:ilvl w:val="0"/>
          <w:numId w:val="46"/>
        </w:numPr>
        <w:jc w:val="both"/>
        <w:rPr>
          <w:rFonts w:ascii="Verdana" w:hAnsi="Verdana"/>
          <w:sz w:val="20"/>
          <w:szCs w:val="20"/>
          <w:lang w:val="en-US"/>
        </w:rPr>
      </w:pPr>
      <w:r w:rsidRPr="00FE7BA7">
        <w:rPr>
          <w:rFonts w:ascii="Verdana" w:hAnsi="Verdana"/>
          <w:sz w:val="20"/>
          <w:szCs w:val="20"/>
          <w:lang w:val="en-US"/>
        </w:rPr>
        <w:t>Implement</w:t>
      </w:r>
      <w:r w:rsidR="000C251D" w:rsidRPr="00FE7BA7">
        <w:rPr>
          <w:rFonts w:ascii="Verdana" w:hAnsi="Verdana"/>
          <w:sz w:val="20"/>
          <w:szCs w:val="20"/>
          <w:lang w:val="en-US"/>
        </w:rPr>
        <w:t xml:space="preserve"> </w:t>
      </w:r>
      <w:r w:rsidRPr="00FE7BA7">
        <w:rPr>
          <w:rFonts w:ascii="Verdana" w:hAnsi="Verdana"/>
          <w:sz w:val="20"/>
          <w:szCs w:val="20"/>
          <w:lang w:val="en-US"/>
        </w:rPr>
        <w:t>the sufficient and necessary actions to rehabilitate th</w:t>
      </w:r>
      <w:r w:rsidR="00EC351A">
        <w:rPr>
          <w:rFonts w:ascii="Verdana" w:hAnsi="Verdana"/>
          <w:sz w:val="20"/>
          <w:szCs w:val="20"/>
          <w:lang w:val="en-US"/>
        </w:rPr>
        <w:t xml:space="preserve">e area affected. To this end, an </w:t>
      </w:r>
      <w:r w:rsidRPr="00FE7BA7">
        <w:rPr>
          <w:rFonts w:ascii="Verdana" w:hAnsi="Verdana"/>
          <w:sz w:val="20"/>
          <w:szCs w:val="20"/>
          <w:lang w:val="en-US"/>
        </w:rPr>
        <w:t>action</w:t>
      </w:r>
      <w:r w:rsidR="00EC351A">
        <w:rPr>
          <w:rFonts w:ascii="Verdana" w:hAnsi="Verdana"/>
          <w:sz w:val="20"/>
          <w:szCs w:val="20"/>
          <w:lang w:val="en-US"/>
        </w:rPr>
        <w:t xml:space="preserve"> plan</w:t>
      </w:r>
      <w:r w:rsidRPr="00FE7BA7">
        <w:rPr>
          <w:rFonts w:ascii="Verdana" w:hAnsi="Verdana"/>
          <w:sz w:val="20"/>
          <w:szCs w:val="20"/>
          <w:lang w:val="en-US"/>
        </w:rPr>
        <w:t xml:space="preserve"> for the effective rehabilitation of the area must be drawn up, in conjunction with the company that has been in charge of this rehabilitation, and with </w:t>
      </w:r>
      <w:r w:rsidRPr="00FE7BA7">
        <w:rPr>
          <w:rFonts w:ascii="Verdana" w:hAnsi="Verdana"/>
          <w:sz w:val="20"/>
          <w:szCs w:val="20"/>
          <w:lang w:val="en-US"/>
        </w:rPr>
        <w:lastRenderedPageBreak/>
        <w:t xml:space="preserve">the participation of a representative </w:t>
      </w:r>
      <w:r w:rsidRPr="00FE7BA7">
        <w:rPr>
          <w:rFonts w:ascii="Verdana" w:hAnsi="Verdana"/>
          <w:sz w:val="20"/>
          <w:lang w:val="en-US"/>
        </w:rPr>
        <w:t>of the Kaliña and Lokono peoples.</w:t>
      </w:r>
      <w:r w:rsidRPr="00FE7BA7">
        <w:rPr>
          <w:rStyle w:val="FootnoteReference"/>
          <w:szCs w:val="20"/>
          <w:lang w:val="en-US"/>
        </w:rPr>
        <w:footnoteReference w:id="329"/>
      </w:r>
      <w:r w:rsidRPr="00FE7BA7">
        <w:rPr>
          <w:rFonts w:ascii="Verdana" w:hAnsi="Verdana"/>
          <w:sz w:val="20"/>
          <w:lang w:val="en-US"/>
        </w:rPr>
        <w:t xml:space="preserve"> This plan must include: (i) a complete updated </w:t>
      </w:r>
      <w:r w:rsidR="00EC351A">
        <w:rPr>
          <w:rFonts w:ascii="Verdana" w:hAnsi="Verdana"/>
          <w:sz w:val="20"/>
          <w:lang w:val="en-US"/>
        </w:rPr>
        <w:t xml:space="preserve">evaluation </w:t>
      </w:r>
      <w:r w:rsidRPr="00FE7BA7">
        <w:rPr>
          <w:rFonts w:ascii="Verdana" w:hAnsi="Verdana"/>
          <w:sz w:val="20"/>
          <w:lang w:val="en-US"/>
        </w:rPr>
        <w:t xml:space="preserve">of the area affected, by </w:t>
      </w:r>
      <w:r w:rsidR="00EC351A">
        <w:rPr>
          <w:rFonts w:ascii="Verdana" w:hAnsi="Verdana"/>
          <w:sz w:val="20"/>
          <w:lang w:val="en-US"/>
        </w:rPr>
        <w:t>an assessment</w:t>
      </w:r>
      <w:r w:rsidRPr="00FE7BA7">
        <w:rPr>
          <w:rFonts w:ascii="Verdana" w:hAnsi="Verdana"/>
          <w:sz w:val="20"/>
          <w:lang w:val="en-US"/>
        </w:rPr>
        <w:t xml:space="preserve"> prepared by independent experts; (ii) a timetable for the work; (iii) the necessary </w:t>
      </w:r>
      <w:r w:rsidR="00FE7BA7" w:rsidRPr="00FE7BA7">
        <w:rPr>
          <w:rFonts w:ascii="Verdana" w:hAnsi="Verdana"/>
          <w:sz w:val="20"/>
          <w:lang w:val="en-US"/>
        </w:rPr>
        <w:t>measures</w:t>
      </w:r>
      <w:r w:rsidR="00EC351A">
        <w:rPr>
          <w:rFonts w:ascii="Verdana" w:hAnsi="Verdana"/>
          <w:sz w:val="20"/>
          <w:lang w:val="en-US"/>
        </w:rPr>
        <w:t xml:space="preserve"> to remediate</w:t>
      </w:r>
      <w:r w:rsidRPr="00FE7BA7">
        <w:rPr>
          <w:rFonts w:ascii="Verdana" w:hAnsi="Verdana"/>
          <w:sz w:val="20"/>
          <w:lang w:val="en-US"/>
        </w:rPr>
        <w:t xml:space="preserve"> any adverse effects of the mining </w:t>
      </w:r>
      <w:r w:rsidR="00EC351A">
        <w:rPr>
          <w:rFonts w:ascii="Verdana" w:hAnsi="Verdana"/>
          <w:sz w:val="20"/>
          <w:lang w:val="en-US"/>
        </w:rPr>
        <w:t xml:space="preserve">operations, and (iv) </w:t>
      </w:r>
      <w:r w:rsidRPr="00FE7BA7">
        <w:rPr>
          <w:rFonts w:ascii="Verdana" w:hAnsi="Verdana"/>
          <w:sz w:val="20"/>
          <w:lang w:val="en-US"/>
        </w:rPr>
        <w:t>measures to reforest the area</w:t>
      </w:r>
      <w:r w:rsidR="00EC351A">
        <w:rPr>
          <w:rFonts w:ascii="Verdana" w:hAnsi="Verdana"/>
          <w:sz w:val="20"/>
          <w:lang w:val="en-US"/>
        </w:rPr>
        <w:t>s that are still affected by tho</w:t>
      </w:r>
      <w:r w:rsidRPr="00FE7BA7">
        <w:rPr>
          <w:rFonts w:ascii="Verdana" w:hAnsi="Verdana"/>
          <w:sz w:val="20"/>
          <w:lang w:val="en-US"/>
        </w:rPr>
        <w:t xml:space="preserve">se </w:t>
      </w:r>
      <w:r w:rsidR="00EC351A">
        <w:rPr>
          <w:rFonts w:ascii="Verdana" w:hAnsi="Verdana"/>
          <w:sz w:val="20"/>
          <w:lang w:val="en-US"/>
        </w:rPr>
        <w:t>operations</w:t>
      </w:r>
      <w:r w:rsidRPr="00FE7BA7">
        <w:rPr>
          <w:rFonts w:ascii="Verdana" w:hAnsi="Verdana"/>
          <w:sz w:val="20"/>
          <w:lang w:val="en-US"/>
        </w:rPr>
        <w:t>, all of this taking into account the opinion of the peoples that have been affected,</w:t>
      </w:r>
      <w:r w:rsidR="000C251D" w:rsidRPr="00FE7BA7">
        <w:rPr>
          <w:rStyle w:val="FootnoteReference"/>
          <w:szCs w:val="20"/>
          <w:lang w:val="en-US"/>
        </w:rPr>
        <w:footnoteReference w:id="330"/>
      </w:r>
      <w:r w:rsidRPr="00FE7BA7">
        <w:rPr>
          <w:rFonts w:ascii="Verdana" w:hAnsi="Verdana"/>
          <w:sz w:val="20"/>
          <w:szCs w:val="20"/>
          <w:lang w:val="en-US"/>
        </w:rPr>
        <w:t xml:space="preserve"> and</w:t>
      </w:r>
    </w:p>
    <w:p w14:paraId="63126B04" w14:textId="77777777" w:rsidR="00A144BB" w:rsidRPr="00FE7BA7" w:rsidRDefault="00A144BB" w:rsidP="009E77BD">
      <w:pPr>
        <w:pStyle w:val="ListParagraph"/>
        <w:ind w:left="927"/>
        <w:jc w:val="both"/>
        <w:rPr>
          <w:rFonts w:ascii="Verdana" w:hAnsi="Verdana"/>
          <w:sz w:val="20"/>
          <w:szCs w:val="20"/>
          <w:lang w:val="en-US"/>
        </w:rPr>
      </w:pPr>
    </w:p>
    <w:p w14:paraId="63126B05" w14:textId="77777777" w:rsidR="000C251D" w:rsidRPr="00FE7BA7" w:rsidRDefault="00430FB4" w:rsidP="000C251D">
      <w:pPr>
        <w:pStyle w:val="ListParagraph"/>
        <w:numPr>
          <w:ilvl w:val="0"/>
          <w:numId w:val="46"/>
        </w:numPr>
        <w:jc w:val="both"/>
        <w:rPr>
          <w:rFonts w:ascii="Verdana" w:hAnsi="Verdana"/>
          <w:sz w:val="20"/>
          <w:szCs w:val="20"/>
          <w:lang w:val="en-US"/>
        </w:rPr>
      </w:pPr>
      <w:r w:rsidRPr="00FE7BA7">
        <w:rPr>
          <w:rFonts w:ascii="Verdana" w:hAnsi="Verdana"/>
          <w:sz w:val="20"/>
          <w:szCs w:val="20"/>
          <w:lang w:val="en-US"/>
        </w:rPr>
        <w:t>Establish the necessary mechanisms to monitor and supervise the execution of the rehabilitation by the company. To this end, the State must appoint an expert in such matters in order to ensure total compliance with the rehabilitation of the area</w:t>
      </w:r>
      <w:r w:rsidR="000C251D" w:rsidRPr="00FE7BA7">
        <w:rPr>
          <w:rFonts w:ascii="Verdana" w:hAnsi="Verdana"/>
          <w:sz w:val="20"/>
          <w:szCs w:val="20"/>
          <w:lang w:val="en-US"/>
        </w:rPr>
        <w:t xml:space="preserve">. </w:t>
      </w:r>
    </w:p>
    <w:p w14:paraId="63126B06" w14:textId="77777777" w:rsidR="00A91B78" w:rsidRPr="00FE7BA7" w:rsidRDefault="00A91B78" w:rsidP="00A91B78">
      <w:pPr>
        <w:ind w:left="567"/>
        <w:jc w:val="both"/>
        <w:rPr>
          <w:rFonts w:ascii="Verdana" w:hAnsi="Verdana"/>
          <w:sz w:val="20"/>
          <w:szCs w:val="20"/>
          <w:lang w:val="en-US"/>
        </w:rPr>
      </w:pPr>
    </w:p>
    <w:p w14:paraId="63126B07" w14:textId="77777777" w:rsidR="00A91B78" w:rsidRPr="00C07DBC" w:rsidRDefault="00430FB4" w:rsidP="00A91B78">
      <w:pPr>
        <w:numPr>
          <w:ilvl w:val="0"/>
          <w:numId w:val="2"/>
        </w:numPr>
        <w:ind w:left="0" w:hanging="11"/>
        <w:contextualSpacing/>
        <w:jc w:val="both"/>
        <w:rPr>
          <w:rFonts w:ascii="Verdana" w:hAnsi="Verdana"/>
          <w:sz w:val="20"/>
          <w:szCs w:val="20"/>
          <w:lang w:val="en-US"/>
        </w:rPr>
      </w:pPr>
      <w:r w:rsidRPr="00C07DBC">
        <w:rPr>
          <w:rFonts w:ascii="Verdana" w:hAnsi="Verdana"/>
          <w:sz w:val="20"/>
          <w:szCs w:val="20"/>
          <w:lang w:val="en-US"/>
        </w:rPr>
        <w:t xml:space="preserve">Compliance with </w:t>
      </w:r>
      <w:r w:rsidR="00C07DBC">
        <w:rPr>
          <w:rFonts w:ascii="Verdana" w:hAnsi="Verdana"/>
          <w:sz w:val="20"/>
          <w:szCs w:val="20"/>
          <w:lang w:val="en-US"/>
        </w:rPr>
        <w:t>this measure of reparation is a State</w:t>
      </w:r>
      <w:r w:rsidRPr="00C07DBC">
        <w:rPr>
          <w:rFonts w:ascii="Verdana" w:hAnsi="Verdana"/>
          <w:sz w:val="20"/>
          <w:szCs w:val="20"/>
          <w:lang w:val="en-US"/>
        </w:rPr>
        <w:t xml:space="preserve"> obligation that must be completed within three years. During this period, the State must provide an annual report on the steps taken to complete the </w:t>
      </w:r>
      <w:r w:rsidR="00EC351A" w:rsidRPr="00C07DBC">
        <w:rPr>
          <w:rFonts w:ascii="Verdana" w:hAnsi="Verdana"/>
          <w:sz w:val="20"/>
          <w:szCs w:val="20"/>
          <w:lang w:val="en-US"/>
        </w:rPr>
        <w:t>action</w:t>
      </w:r>
      <w:r w:rsidRPr="00C07DBC">
        <w:rPr>
          <w:rFonts w:ascii="Verdana" w:hAnsi="Verdana"/>
          <w:sz w:val="20"/>
          <w:szCs w:val="20"/>
          <w:lang w:val="en-US"/>
        </w:rPr>
        <w:t xml:space="preserve"> plan, following its adoption.</w:t>
      </w:r>
      <w:r w:rsidR="00A91B78" w:rsidRPr="00C07DBC">
        <w:rPr>
          <w:rStyle w:val="FootnoteReference"/>
          <w:szCs w:val="20"/>
          <w:lang w:val="en-US"/>
        </w:rPr>
        <w:footnoteReference w:id="331"/>
      </w:r>
    </w:p>
    <w:p w14:paraId="63126B08" w14:textId="77777777" w:rsidR="00A91B78" w:rsidRPr="00C07DBC" w:rsidRDefault="00A91B78">
      <w:pPr>
        <w:pStyle w:val="PrrafodeSentencia"/>
        <w:rPr>
          <w:lang w:val="en-US"/>
        </w:rPr>
      </w:pPr>
    </w:p>
    <w:p w14:paraId="63126B09" w14:textId="77777777" w:rsidR="00A91B78" w:rsidRPr="00C07DBC" w:rsidRDefault="00C34C52" w:rsidP="00A91B78">
      <w:pPr>
        <w:pStyle w:val="Heading2"/>
        <w:numPr>
          <w:ilvl w:val="0"/>
          <w:numId w:val="42"/>
        </w:numPr>
        <w:spacing w:before="0"/>
        <w:jc w:val="both"/>
        <w:rPr>
          <w:rFonts w:ascii="Verdana" w:hAnsi="Verdana"/>
          <w:bCs w:val="0"/>
          <w:i/>
          <w:color w:val="auto"/>
          <w:sz w:val="20"/>
          <w:szCs w:val="20"/>
          <w:lang w:val="en-US"/>
        </w:rPr>
      </w:pPr>
      <w:bookmarkStart w:id="88" w:name="_Toc441673230"/>
      <w:r w:rsidRPr="00C07DBC">
        <w:rPr>
          <w:rFonts w:ascii="Verdana" w:hAnsi="Verdana"/>
          <w:bCs w:val="0"/>
          <w:i/>
          <w:color w:val="auto"/>
          <w:sz w:val="20"/>
          <w:szCs w:val="20"/>
          <w:lang w:val="en-US"/>
        </w:rPr>
        <w:t>Creation of a community development fund</w:t>
      </w:r>
      <w:bookmarkEnd w:id="88"/>
    </w:p>
    <w:p w14:paraId="63126B0A" w14:textId="77777777" w:rsidR="00A91B78" w:rsidRPr="00C07DBC" w:rsidRDefault="00A91B78" w:rsidP="00A91B78">
      <w:pPr>
        <w:tabs>
          <w:tab w:val="left" w:pos="1100"/>
          <w:tab w:val="right" w:leader="dot" w:pos="9350"/>
        </w:tabs>
        <w:ind w:left="360"/>
        <w:jc w:val="both"/>
        <w:rPr>
          <w:rFonts w:ascii="Verdana" w:eastAsia="Times New Roman" w:hAnsi="Verdana"/>
          <w:b/>
          <w:noProof/>
          <w:sz w:val="20"/>
          <w:szCs w:val="20"/>
          <w:lang w:val="en-US"/>
        </w:rPr>
      </w:pPr>
    </w:p>
    <w:p w14:paraId="63126B0B" w14:textId="35212C8A" w:rsidR="00A91B78" w:rsidRPr="00C07DBC" w:rsidRDefault="00810FAD" w:rsidP="00511E56">
      <w:pPr>
        <w:numPr>
          <w:ilvl w:val="0"/>
          <w:numId w:val="2"/>
        </w:numPr>
        <w:ind w:left="0" w:hanging="11"/>
        <w:contextualSpacing/>
        <w:jc w:val="both"/>
        <w:rPr>
          <w:rFonts w:ascii="Verdana" w:hAnsi="Verdana"/>
          <w:sz w:val="20"/>
          <w:szCs w:val="20"/>
          <w:lang w:val="en-US"/>
        </w:rPr>
      </w:pPr>
      <w:r w:rsidRPr="00C07DBC">
        <w:rPr>
          <w:rFonts w:ascii="Verdana" w:hAnsi="Verdana"/>
          <w:sz w:val="20"/>
          <w:szCs w:val="20"/>
          <w:lang w:val="en-US"/>
        </w:rPr>
        <w:t xml:space="preserve">The </w:t>
      </w:r>
      <w:r w:rsidRPr="006C4E70">
        <w:rPr>
          <w:rFonts w:ascii="Verdana" w:hAnsi="Verdana"/>
          <w:b/>
          <w:i/>
          <w:sz w:val="20"/>
          <w:szCs w:val="20"/>
          <w:lang w:val="en-US"/>
        </w:rPr>
        <w:t>representatives</w:t>
      </w:r>
      <w:r w:rsidR="00A91B78" w:rsidRPr="00C07DBC">
        <w:rPr>
          <w:rFonts w:ascii="Verdana" w:hAnsi="Verdana"/>
          <w:sz w:val="20"/>
          <w:szCs w:val="20"/>
          <w:lang w:val="en-US"/>
        </w:rPr>
        <w:t xml:space="preserve"> </w:t>
      </w:r>
      <w:r w:rsidR="00511E56" w:rsidRPr="00C07DBC">
        <w:rPr>
          <w:rFonts w:ascii="Verdana" w:hAnsi="Verdana"/>
          <w:sz w:val="20"/>
          <w:szCs w:val="20"/>
          <w:lang w:val="en-US"/>
        </w:rPr>
        <w:t>asked</w:t>
      </w:r>
      <w:r w:rsidR="00A91B78" w:rsidRPr="00C07DBC">
        <w:rPr>
          <w:rFonts w:ascii="Verdana" w:hAnsi="Verdana"/>
          <w:sz w:val="20"/>
          <w:szCs w:val="20"/>
          <w:lang w:val="en-US"/>
        </w:rPr>
        <w:t xml:space="preserve"> </w:t>
      </w:r>
      <w:r w:rsidR="005F33DA">
        <w:rPr>
          <w:rFonts w:ascii="Verdana" w:hAnsi="Verdana"/>
          <w:sz w:val="20"/>
          <w:szCs w:val="20"/>
          <w:lang w:val="en-US"/>
        </w:rPr>
        <w:t xml:space="preserve">that </w:t>
      </w:r>
      <w:r w:rsidR="002B5CCD" w:rsidRPr="00C07DBC">
        <w:rPr>
          <w:rFonts w:ascii="Verdana" w:hAnsi="Verdana"/>
          <w:sz w:val="20"/>
          <w:szCs w:val="20"/>
          <w:lang w:val="en-US"/>
        </w:rPr>
        <w:t>the Court</w:t>
      </w:r>
      <w:r w:rsidR="00A91B78" w:rsidRPr="00C07DBC">
        <w:rPr>
          <w:rFonts w:ascii="Verdana" w:hAnsi="Verdana"/>
          <w:sz w:val="20"/>
          <w:szCs w:val="20"/>
          <w:lang w:val="en-US"/>
        </w:rPr>
        <w:t xml:space="preserve"> </w:t>
      </w:r>
      <w:r w:rsidR="00511E56" w:rsidRPr="00C07DBC">
        <w:rPr>
          <w:rFonts w:ascii="Verdana" w:hAnsi="Verdana"/>
          <w:sz w:val="20"/>
          <w:szCs w:val="20"/>
          <w:lang w:val="en-US"/>
        </w:rPr>
        <w:t xml:space="preserve">order the State to establish a development fund as a </w:t>
      </w:r>
      <w:r w:rsidR="00EC351A" w:rsidRPr="00C07DBC">
        <w:rPr>
          <w:rFonts w:ascii="Verdana" w:hAnsi="Verdana"/>
          <w:sz w:val="20"/>
          <w:szCs w:val="20"/>
          <w:lang w:val="en-US"/>
        </w:rPr>
        <w:t>repository for the funds awarded for</w:t>
      </w:r>
      <w:r w:rsidR="00511E56" w:rsidRPr="00C07DBC">
        <w:rPr>
          <w:rFonts w:ascii="Verdana" w:hAnsi="Verdana"/>
          <w:sz w:val="20"/>
          <w:szCs w:val="20"/>
          <w:lang w:val="en-US"/>
        </w:rPr>
        <w:t xml:space="preserve"> </w:t>
      </w:r>
      <w:r w:rsidR="00EC351A" w:rsidRPr="00C07DBC">
        <w:rPr>
          <w:rFonts w:ascii="Verdana" w:hAnsi="Verdana"/>
          <w:sz w:val="20"/>
          <w:szCs w:val="20"/>
          <w:lang w:val="en-US"/>
        </w:rPr>
        <w:t xml:space="preserve">the </w:t>
      </w:r>
      <w:r w:rsidR="00511E56" w:rsidRPr="00C07DBC">
        <w:rPr>
          <w:rFonts w:ascii="Verdana" w:hAnsi="Verdana"/>
          <w:sz w:val="20"/>
          <w:szCs w:val="20"/>
          <w:lang w:val="en-US"/>
        </w:rPr>
        <w:t>pecuniary and non-pecuniary damage</w:t>
      </w:r>
      <w:r w:rsidR="00EC351A" w:rsidRPr="00C07DBC">
        <w:rPr>
          <w:rFonts w:ascii="Verdana" w:hAnsi="Verdana"/>
          <w:sz w:val="20"/>
          <w:szCs w:val="20"/>
          <w:lang w:val="en-US"/>
        </w:rPr>
        <w:t xml:space="preserve"> caused by the violation</w:t>
      </w:r>
      <w:r w:rsidR="00511E56" w:rsidRPr="00C07DBC">
        <w:rPr>
          <w:rFonts w:ascii="Verdana" w:hAnsi="Verdana"/>
          <w:sz w:val="20"/>
          <w:szCs w:val="20"/>
          <w:lang w:val="en-US"/>
        </w:rPr>
        <w:t xml:space="preserve"> of the rights </w:t>
      </w:r>
      <w:r w:rsidR="00635ACD" w:rsidRPr="00C07DBC">
        <w:rPr>
          <w:rFonts w:ascii="Verdana" w:hAnsi="Verdana"/>
          <w:sz w:val="20"/>
          <w:szCs w:val="20"/>
          <w:lang w:val="en-US"/>
        </w:rPr>
        <w:t xml:space="preserve">of the </w:t>
      </w:r>
      <w:r w:rsidR="004C7D14" w:rsidRPr="00C07DBC">
        <w:rPr>
          <w:rFonts w:ascii="Verdana" w:hAnsi="Verdana"/>
          <w:sz w:val="20"/>
          <w:szCs w:val="20"/>
          <w:lang w:val="en-US"/>
        </w:rPr>
        <w:t>Kaliña and Lokono peoples</w:t>
      </w:r>
      <w:r w:rsidR="00A91B78" w:rsidRPr="00C07DBC">
        <w:rPr>
          <w:rFonts w:ascii="Verdana" w:hAnsi="Verdana"/>
          <w:sz w:val="20"/>
          <w:szCs w:val="20"/>
          <w:lang w:val="en-US"/>
        </w:rPr>
        <w:t xml:space="preserve">. </w:t>
      </w:r>
      <w:r w:rsidR="00511E56" w:rsidRPr="00C07DBC">
        <w:rPr>
          <w:rFonts w:ascii="Verdana" w:hAnsi="Verdana"/>
          <w:sz w:val="20"/>
          <w:szCs w:val="20"/>
          <w:lang w:val="en-US"/>
        </w:rPr>
        <w:t xml:space="preserve">In this regard, </w:t>
      </w:r>
      <w:r w:rsidRPr="00C07DBC">
        <w:rPr>
          <w:rFonts w:ascii="Verdana" w:hAnsi="Verdana"/>
          <w:sz w:val="20"/>
          <w:szCs w:val="20"/>
          <w:lang w:val="en-US"/>
        </w:rPr>
        <w:t>the representatives</w:t>
      </w:r>
      <w:r w:rsidR="00A91B78" w:rsidRPr="00C07DBC">
        <w:rPr>
          <w:rFonts w:ascii="Verdana" w:hAnsi="Verdana"/>
          <w:b/>
          <w:i/>
          <w:sz w:val="20"/>
          <w:szCs w:val="20"/>
          <w:lang w:val="en-US"/>
        </w:rPr>
        <w:t xml:space="preserve"> </w:t>
      </w:r>
      <w:r w:rsidR="00A91B78" w:rsidRPr="00C07DBC">
        <w:rPr>
          <w:rFonts w:ascii="Verdana" w:hAnsi="Verdana"/>
          <w:sz w:val="20"/>
          <w:szCs w:val="20"/>
          <w:lang w:val="en-US"/>
        </w:rPr>
        <w:t>argu</w:t>
      </w:r>
      <w:r w:rsidR="00511E56" w:rsidRPr="00C07DBC">
        <w:rPr>
          <w:rFonts w:ascii="Verdana" w:hAnsi="Verdana"/>
          <w:sz w:val="20"/>
          <w:szCs w:val="20"/>
          <w:lang w:val="en-US"/>
        </w:rPr>
        <w:t>ed that this commun</w:t>
      </w:r>
      <w:r w:rsidR="00430FB4" w:rsidRPr="00C07DBC">
        <w:rPr>
          <w:rFonts w:ascii="Verdana" w:hAnsi="Verdana"/>
          <w:sz w:val="20"/>
          <w:szCs w:val="20"/>
          <w:lang w:val="en-US"/>
        </w:rPr>
        <w:t xml:space="preserve">ity development fund should </w:t>
      </w:r>
      <w:r w:rsidR="00511E56" w:rsidRPr="00C07DBC">
        <w:rPr>
          <w:rFonts w:ascii="Verdana" w:hAnsi="Verdana"/>
          <w:sz w:val="20"/>
          <w:szCs w:val="20"/>
          <w:lang w:val="en-US"/>
        </w:rPr>
        <w:t>be set up</w:t>
      </w:r>
      <w:r w:rsidR="00430FB4" w:rsidRPr="00C07DBC">
        <w:rPr>
          <w:rFonts w:ascii="Verdana" w:hAnsi="Verdana"/>
          <w:sz w:val="20"/>
          <w:szCs w:val="20"/>
          <w:lang w:val="en-US"/>
        </w:rPr>
        <w:t xml:space="preserve"> in a different way to</w:t>
      </w:r>
      <w:r w:rsidR="00511E56" w:rsidRPr="00C07DBC">
        <w:rPr>
          <w:rFonts w:ascii="Verdana" w:hAnsi="Verdana"/>
          <w:sz w:val="20"/>
          <w:szCs w:val="20"/>
          <w:lang w:val="en-US"/>
        </w:rPr>
        <w:t xml:space="preserve"> </w:t>
      </w:r>
      <w:r w:rsidR="00430FB4" w:rsidRPr="00C07DBC">
        <w:rPr>
          <w:rFonts w:ascii="Verdana" w:hAnsi="Verdana"/>
          <w:sz w:val="20"/>
          <w:szCs w:val="20"/>
          <w:lang w:val="en-US"/>
        </w:rPr>
        <w:t>the funds</w:t>
      </w:r>
      <w:r w:rsidR="00511E56" w:rsidRPr="00C07DBC">
        <w:rPr>
          <w:rFonts w:ascii="Verdana" w:hAnsi="Verdana"/>
          <w:sz w:val="20"/>
          <w:szCs w:val="20"/>
          <w:lang w:val="en-US"/>
        </w:rPr>
        <w:t xml:space="preserve"> established in the case</w:t>
      </w:r>
      <w:r w:rsidR="00A91B78" w:rsidRPr="00C07DBC">
        <w:rPr>
          <w:rFonts w:ascii="Verdana" w:hAnsi="Verdana"/>
          <w:sz w:val="20"/>
          <w:szCs w:val="20"/>
          <w:lang w:val="en-US"/>
        </w:rPr>
        <w:t>s</w:t>
      </w:r>
      <w:r w:rsidR="00511E56" w:rsidRPr="00C07DBC">
        <w:rPr>
          <w:rFonts w:ascii="Verdana" w:hAnsi="Verdana"/>
          <w:sz w:val="20"/>
          <w:szCs w:val="20"/>
          <w:lang w:val="en-US"/>
        </w:rPr>
        <w:t xml:space="preserve"> of</w:t>
      </w:r>
      <w:r w:rsidR="00A91B78" w:rsidRPr="00C07DBC">
        <w:rPr>
          <w:rFonts w:ascii="Verdana" w:hAnsi="Verdana"/>
          <w:sz w:val="20"/>
          <w:szCs w:val="20"/>
          <w:lang w:val="en-US"/>
        </w:rPr>
        <w:t xml:space="preserve"> </w:t>
      </w:r>
      <w:r w:rsidR="00863A9E" w:rsidRPr="00C07DBC">
        <w:rPr>
          <w:rFonts w:ascii="Verdana" w:hAnsi="Verdana"/>
          <w:sz w:val="20"/>
          <w:szCs w:val="20"/>
          <w:lang w:val="en-US"/>
        </w:rPr>
        <w:t xml:space="preserve">the </w:t>
      </w:r>
      <w:r w:rsidR="00863A9E" w:rsidRPr="00C07DBC">
        <w:rPr>
          <w:rFonts w:ascii="Verdana" w:hAnsi="Verdana"/>
          <w:i/>
          <w:sz w:val="20"/>
          <w:szCs w:val="20"/>
          <w:lang w:val="en-US"/>
        </w:rPr>
        <w:t>Moiwana Community</w:t>
      </w:r>
      <w:r w:rsidR="00A91B78" w:rsidRPr="00C07DBC">
        <w:rPr>
          <w:rFonts w:ascii="Verdana" w:hAnsi="Verdana"/>
          <w:sz w:val="20"/>
          <w:szCs w:val="20"/>
          <w:vertAlign w:val="superscript"/>
          <w:lang w:val="en-US"/>
        </w:rPr>
        <w:footnoteReference w:id="332"/>
      </w:r>
      <w:r w:rsidR="002B5CCD" w:rsidRPr="00C07DBC">
        <w:rPr>
          <w:rFonts w:ascii="Verdana" w:hAnsi="Verdana"/>
          <w:sz w:val="20"/>
          <w:szCs w:val="20"/>
          <w:lang w:val="en-US"/>
        </w:rPr>
        <w:t xml:space="preserve"> and </w:t>
      </w:r>
      <w:r w:rsidR="00511E56" w:rsidRPr="00C07DBC">
        <w:rPr>
          <w:rFonts w:ascii="Verdana" w:hAnsi="Verdana"/>
          <w:sz w:val="20"/>
          <w:szCs w:val="20"/>
          <w:lang w:val="en-US"/>
        </w:rPr>
        <w:t>the</w:t>
      </w:r>
      <w:r w:rsidR="00A91B78" w:rsidRPr="00C07DBC">
        <w:rPr>
          <w:rFonts w:ascii="Verdana" w:hAnsi="Verdana"/>
          <w:sz w:val="20"/>
          <w:szCs w:val="20"/>
          <w:lang w:val="en-US"/>
        </w:rPr>
        <w:t xml:space="preserve"> </w:t>
      </w:r>
      <w:r w:rsidR="00A91B78" w:rsidRPr="00C07DBC">
        <w:rPr>
          <w:rFonts w:ascii="Verdana" w:hAnsi="Verdana"/>
          <w:i/>
          <w:sz w:val="20"/>
          <w:szCs w:val="20"/>
          <w:lang w:val="en-US"/>
        </w:rPr>
        <w:t>Saramaka</w:t>
      </w:r>
      <w:r w:rsidR="00511E56" w:rsidRPr="00C07DBC">
        <w:rPr>
          <w:rFonts w:ascii="Verdana" w:hAnsi="Verdana"/>
          <w:i/>
          <w:sz w:val="20"/>
          <w:szCs w:val="20"/>
          <w:lang w:val="en-US"/>
        </w:rPr>
        <w:t xml:space="preserve"> People,</w:t>
      </w:r>
      <w:r w:rsidR="00A91B78" w:rsidRPr="00C07DBC">
        <w:rPr>
          <w:rFonts w:ascii="Verdana" w:hAnsi="Verdana"/>
          <w:sz w:val="20"/>
          <w:szCs w:val="20"/>
          <w:vertAlign w:val="superscript"/>
          <w:lang w:val="en-US"/>
        </w:rPr>
        <w:footnoteReference w:id="333"/>
      </w:r>
      <w:r w:rsidR="00511E56" w:rsidRPr="00C07DBC">
        <w:rPr>
          <w:rFonts w:ascii="Verdana" w:hAnsi="Verdana"/>
          <w:sz w:val="20"/>
          <w:szCs w:val="20"/>
          <w:lang w:val="en-US"/>
        </w:rPr>
        <w:t xml:space="preserve"> both against</w:t>
      </w:r>
      <w:r w:rsidR="00A91B78" w:rsidRPr="00C07DBC">
        <w:rPr>
          <w:rFonts w:ascii="Verdana" w:hAnsi="Verdana"/>
          <w:sz w:val="20"/>
          <w:szCs w:val="20"/>
          <w:lang w:val="en-US"/>
        </w:rPr>
        <w:t xml:space="preserve"> </w:t>
      </w:r>
      <w:r w:rsidR="004C7D14" w:rsidRPr="00C07DBC">
        <w:rPr>
          <w:rFonts w:ascii="Verdana" w:hAnsi="Verdana"/>
          <w:sz w:val="20"/>
          <w:szCs w:val="20"/>
          <w:lang w:val="en-US"/>
        </w:rPr>
        <w:t>Suriname,</w:t>
      </w:r>
      <w:r w:rsidR="00A91B78" w:rsidRPr="00C07DBC">
        <w:rPr>
          <w:rFonts w:ascii="Verdana" w:hAnsi="Verdana"/>
          <w:sz w:val="20"/>
          <w:szCs w:val="20"/>
          <w:lang w:val="en-US"/>
        </w:rPr>
        <w:t xml:space="preserve"> </w:t>
      </w:r>
      <w:r w:rsidR="00511E56" w:rsidRPr="00C07DBC">
        <w:rPr>
          <w:rFonts w:ascii="Verdana" w:hAnsi="Verdana"/>
          <w:sz w:val="20"/>
          <w:szCs w:val="20"/>
          <w:lang w:val="en-US"/>
        </w:rPr>
        <w:t xml:space="preserve">because, in their </w:t>
      </w:r>
      <w:r w:rsidR="00FE7BA7" w:rsidRPr="00C07DBC">
        <w:rPr>
          <w:rFonts w:ascii="Verdana" w:hAnsi="Verdana"/>
          <w:sz w:val="20"/>
          <w:szCs w:val="20"/>
          <w:lang w:val="en-US"/>
        </w:rPr>
        <w:t>opinion</w:t>
      </w:r>
      <w:r w:rsidR="00511E56" w:rsidRPr="00C07DBC">
        <w:rPr>
          <w:rFonts w:ascii="Verdana" w:hAnsi="Verdana"/>
          <w:sz w:val="20"/>
          <w:szCs w:val="20"/>
          <w:lang w:val="en-US"/>
        </w:rPr>
        <w:t xml:space="preserve">, these have not functioned satisfactorily. Thus, </w:t>
      </w:r>
      <w:r w:rsidRPr="00C07DBC">
        <w:rPr>
          <w:rFonts w:ascii="Verdana" w:hAnsi="Verdana"/>
          <w:sz w:val="20"/>
          <w:szCs w:val="20"/>
          <w:lang w:val="en-US"/>
        </w:rPr>
        <w:t>the representatives</w:t>
      </w:r>
      <w:r w:rsidR="00A91B78" w:rsidRPr="00C07DBC">
        <w:rPr>
          <w:rFonts w:ascii="Verdana" w:hAnsi="Verdana"/>
          <w:sz w:val="20"/>
          <w:szCs w:val="20"/>
          <w:lang w:val="en-US"/>
        </w:rPr>
        <w:t xml:space="preserve"> </w:t>
      </w:r>
      <w:r w:rsidR="00511E56" w:rsidRPr="00C07DBC">
        <w:rPr>
          <w:rFonts w:ascii="Verdana" w:hAnsi="Verdana"/>
          <w:sz w:val="20"/>
          <w:szCs w:val="20"/>
          <w:lang w:val="en-US"/>
        </w:rPr>
        <w:t xml:space="preserve">asked that the </w:t>
      </w:r>
      <w:r w:rsidR="00FE7BA7" w:rsidRPr="00C07DBC">
        <w:rPr>
          <w:rFonts w:ascii="Verdana" w:hAnsi="Verdana"/>
          <w:sz w:val="20"/>
          <w:szCs w:val="20"/>
          <w:lang w:val="en-US"/>
        </w:rPr>
        <w:t>Court</w:t>
      </w:r>
      <w:r w:rsidR="00511E56" w:rsidRPr="00C07DBC">
        <w:rPr>
          <w:rFonts w:ascii="Verdana" w:hAnsi="Verdana"/>
          <w:sz w:val="20"/>
          <w:szCs w:val="20"/>
          <w:lang w:val="en-US"/>
        </w:rPr>
        <w:t xml:space="preserve"> order the State to transfer any compensation </w:t>
      </w:r>
      <w:r w:rsidR="00EC351A" w:rsidRPr="00C07DBC">
        <w:rPr>
          <w:rFonts w:ascii="Verdana" w:hAnsi="Verdana"/>
          <w:sz w:val="20"/>
          <w:szCs w:val="20"/>
          <w:lang w:val="en-US"/>
        </w:rPr>
        <w:t>awarded</w:t>
      </w:r>
      <w:r w:rsidR="00511E56" w:rsidRPr="00C07DBC">
        <w:rPr>
          <w:rFonts w:ascii="Verdana" w:hAnsi="Verdana"/>
          <w:sz w:val="20"/>
          <w:szCs w:val="20"/>
          <w:lang w:val="en-US"/>
        </w:rPr>
        <w:t xml:space="preserve"> to an entity </w:t>
      </w:r>
      <w:r w:rsidR="00EC351A" w:rsidRPr="00C07DBC">
        <w:rPr>
          <w:rFonts w:ascii="Verdana" w:hAnsi="Verdana"/>
          <w:sz w:val="20"/>
          <w:szCs w:val="20"/>
          <w:lang w:val="en-US"/>
        </w:rPr>
        <w:t xml:space="preserve">to be </w:t>
      </w:r>
      <w:r w:rsidR="00511E56" w:rsidRPr="00C07DBC">
        <w:rPr>
          <w:rFonts w:ascii="Verdana" w:hAnsi="Verdana"/>
          <w:sz w:val="20"/>
          <w:szCs w:val="20"/>
          <w:lang w:val="en-US"/>
        </w:rPr>
        <w:t xml:space="preserve">freely </w:t>
      </w:r>
      <w:r w:rsidR="00EC351A" w:rsidRPr="00C07DBC">
        <w:rPr>
          <w:rFonts w:ascii="Verdana" w:hAnsi="Verdana"/>
          <w:sz w:val="20"/>
          <w:szCs w:val="20"/>
          <w:lang w:val="en-US"/>
        </w:rPr>
        <w:t>identified</w:t>
      </w:r>
      <w:r w:rsidR="00511E56" w:rsidRPr="00C07DBC">
        <w:rPr>
          <w:rFonts w:ascii="Verdana" w:hAnsi="Verdana"/>
          <w:sz w:val="20"/>
          <w:szCs w:val="20"/>
          <w:lang w:val="en-US"/>
        </w:rPr>
        <w:t xml:space="preserve"> by the vi</w:t>
      </w:r>
      <w:r w:rsidR="00EC351A" w:rsidRPr="00C07DBC">
        <w:rPr>
          <w:rFonts w:ascii="Verdana" w:hAnsi="Verdana"/>
          <w:sz w:val="20"/>
          <w:szCs w:val="20"/>
          <w:lang w:val="en-US"/>
        </w:rPr>
        <w:t>ctims and</w:t>
      </w:r>
      <w:r w:rsidR="00511E56" w:rsidRPr="00C07DBC">
        <w:rPr>
          <w:rFonts w:ascii="Verdana" w:hAnsi="Verdana"/>
          <w:sz w:val="20"/>
          <w:szCs w:val="20"/>
          <w:lang w:val="en-US"/>
        </w:rPr>
        <w:t xml:space="preserve"> controlled and autonomously </w:t>
      </w:r>
      <w:r w:rsidR="00EC351A" w:rsidRPr="00C07DBC">
        <w:rPr>
          <w:rFonts w:ascii="Verdana" w:hAnsi="Verdana"/>
          <w:sz w:val="20"/>
          <w:szCs w:val="20"/>
          <w:lang w:val="en-US"/>
        </w:rPr>
        <w:t xml:space="preserve">managed </w:t>
      </w:r>
      <w:r w:rsidR="00511E56" w:rsidRPr="00C07DBC">
        <w:rPr>
          <w:rFonts w:ascii="Verdana" w:hAnsi="Verdana"/>
          <w:sz w:val="20"/>
          <w:szCs w:val="20"/>
          <w:lang w:val="en-US"/>
        </w:rPr>
        <w:t>by the victims themselves, and that the funds could be used at their discretion to invest, for example, in health, education, resource management, and other projects in their territory.</w:t>
      </w:r>
      <w:r w:rsidR="00A91B78" w:rsidRPr="00C07DBC">
        <w:rPr>
          <w:rFonts w:ascii="Verdana" w:hAnsi="Verdana"/>
          <w:sz w:val="20"/>
          <w:szCs w:val="20"/>
          <w:lang w:val="en-US"/>
        </w:rPr>
        <w:t xml:space="preserve"> A</w:t>
      </w:r>
      <w:r w:rsidR="00511E56" w:rsidRPr="00C07DBC">
        <w:rPr>
          <w:rFonts w:ascii="Verdana" w:hAnsi="Verdana"/>
          <w:sz w:val="20"/>
          <w:szCs w:val="20"/>
          <w:lang w:val="en-US"/>
        </w:rPr>
        <w:t xml:space="preserve">dded to this, </w:t>
      </w:r>
      <w:r w:rsidRPr="00C07DBC">
        <w:rPr>
          <w:rFonts w:ascii="Verdana" w:hAnsi="Verdana"/>
          <w:sz w:val="20"/>
          <w:szCs w:val="20"/>
          <w:lang w:val="en-US"/>
        </w:rPr>
        <w:t>the representatives</w:t>
      </w:r>
      <w:r w:rsidR="00511E56" w:rsidRPr="00C07DBC">
        <w:rPr>
          <w:rFonts w:ascii="Verdana" w:hAnsi="Verdana"/>
          <w:sz w:val="20"/>
          <w:szCs w:val="20"/>
          <w:lang w:val="en-US"/>
        </w:rPr>
        <w:t xml:space="preserve"> underlined that </w:t>
      </w:r>
      <w:r w:rsidR="002B5CCD" w:rsidRPr="00C07DBC">
        <w:rPr>
          <w:rFonts w:ascii="Verdana" w:hAnsi="Verdana"/>
          <w:sz w:val="20"/>
          <w:szCs w:val="20"/>
          <w:lang w:val="en-US"/>
        </w:rPr>
        <w:t xml:space="preserve">the </w:t>
      </w:r>
      <w:r w:rsidR="004C7D14" w:rsidRPr="00C07DBC">
        <w:rPr>
          <w:rFonts w:ascii="Verdana" w:hAnsi="Verdana"/>
          <w:sz w:val="20"/>
          <w:szCs w:val="20"/>
          <w:lang w:val="en-US"/>
        </w:rPr>
        <w:t>Kaliña and Lokono peoples</w:t>
      </w:r>
      <w:r w:rsidR="00A91B78" w:rsidRPr="00C07DBC">
        <w:rPr>
          <w:rFonts w:ascii="Verdana" w:hAnsi="Verdana"/>
          <w:sz w:val="20"/>
          <w:szCs w:val="20"/>
          <w:lang w:val="en-US"/>
        </w:rPr>
        <w:t xml:space="preserve"> </w:t>
      </w:r>
      <w:r w:rsidR="00EC351A" w:rsidRPr="00C07DBC">
        <w:rPr>
          <w:rFonts w:ascii="Verdana" w:hAnsi="Verdana"/>
          <w:sz w:val="20"/>
          <w:szCs w:val="20"/>
          <w:lang w:val="en-US"/>
        </w:rPr>
        <w:t>were fully</w:t>
      </w:r>
      <w:r w:rsidR="00511E56" w:rsidRPr="00C07DBC">
        <w:rPr>
          <w:rFonts w:ascii="Verdana" w:hAnsi="Verdana"/>
          <w:sz w:val="20"/>
          <w:szCs w:val="20"/>
          <w:lang w:val="en-US"/>
        </w:rPr>
        <w:t xml:space="preserve"> capable of </w:t>
      </w:r>
      <w:r w:rsidR="00EC351A" w:rsidRPr="00C07DBC">
        <w:rPr>
          <w:rFonts w:ascii="Verdana" w:hAnsi="Verdana"/>
          <w:sz w:val="20"/>
          <w:szCs w:val="20"/>
          <w:lang w:val="en-US"/>
        </w:rPr>
        <w:t>managing the fund, because they had</w:t>
      </w:r>
      <w:r w:rsidR="00511E56" w:rsidRPr="00C07DBC">
        <w:rPr>
          <w:rFonts w:ascii="Verdana" w:hAnsi="Verdana"/>
          <w:sz w:val="20"/>
          <w:szCs w:val="20"/>
          <w:lang w:val="en-US"/>
        </w:rPr>
        <w:t xml:space="preserve"> been </w:t>
      </w:r>
      <w:r w:rsidR="00EC351A" w:rsidRPr="00C07DBC">
        <w:rPr>
          <w:rFonts w:ascii="Verdana" w:hAnsi="Verdana"/>
          <w:sz w:val="20"/>
          <w:szCs w:val="20"/>
          <w:lang w:val="en-US"/>
        </w:rPr>
        <w:t>managing</w:t>
      </w:r>
      <w:r w:rsidR="00511E56" w:rsidRPr="00C07DBC">
        <w:rPr>
          <w:rFonts w:ascii="Verdana" w:hAnsi="Verdana"/>
          <w:sz w:val="20"/>
          <w:szCs w:val="20"/>
          <w:lang w:val="en-US"/>
        </w:rPr>
        <w:t xml:space="preserve"> funds through their traditional institutions and representative organizations for decades. Consequently, they </w:t>
      </w:r>
      <w:r w:rsidR="00C07DBC">
        <w:rPr>
          <w:rFonts w:ascii="Verdana" w:hAnsi="Verdana"/>
          <w:sz w:val="20"/>
          <w:szCs w:val="20"/>
          <w:lang w:val="en-US"/>
        </w:rPr>
        <w:t>indicated that they did</w:t>
      </w:r>
      <w:r w:rsidR="00511E56" w:rsidRPr="00C07DBC">
        <w:rPr>
          <w:rFonts w:ascii="Verdana" w:hAnsi="Verdana"/>
          <w:sz w:val="20"/>
          <w:szCs w:val="20"/>
          <w:lang w:val="en-US"/>
        </w:rPr>
        <w:t xml:space="preserve"> not want the State to be involve</w:t>
      </w:r>
      <w:r w:rsidR="00EC351A" w:rsidRPr="00C07DBC">
        <w:rPr>
          <w:rFonts w:ascii="Verdana" w:hAnsi="Verdana"/>
          <w:sz w:val="20"/>
          <w:szCs w:val="20"/>
          <w:lang w:val="en-US"/>
        </w:rPr>
        <w:t>d</w:t>
      </w:r>
      <w:r w:rsidR="00C07DBC">
        <w:rPr>
          <w:rFonts w:ascii="Verdana" w:hAnsi="Verdana"/>
          <w:sz w:val="20"/>
          <w:szCs w:val="20"/>
          <w:lang w:val="en-US"/>
        </w:rPr>
        <w:t xml:space="preserve"> in </w:t>
      </w:r>
      <w:r w:rsidR="00EC351A" w:rsidRPr="00C07DBC">
        <w:rPr>
          <w:rFonts w:ascii="Verdana" w:hAnsi="Verdana"/>
          <w:sz w:val="20"/>
          <w:szCs w:val="20"/>
          <w:lang w:val="en-US"/>
        </w:rPr>
        <w:t xml:space="preserve">making decisions about or managing </w:t>
      </w:r>
      <w:r w:rsidR="00511E56" w:rsidRPr="00C07DBC">
        <w:rPr>
          <w:rFonts w:ascii="Verdana" w:hAnsi="Verdana"/>
          <w:sz w:val="20"/>
          <w:szCs w:val="20"/>
          <w:lang w:val="en-US"/>
        </w:rPr>
        <w:t>the fund in question</w:t>
      </w:r>
      <w:r w:rsidR="00EC351A" w:rsidRPr="00C07DBC">
        <w:rPr>
          <w:rFonts w:ascii="Verdana" w:hAnsi="Verdana"/>
          <w:sz w:val="20"/>
          <w:szCs w:val="20"/>
          <w:lang w:val="en-US"/>
        </w:rPr>
        <w:t>.</w:t>
      </w:r>
    </w:p>
    <w:p w14:paraId="63126B0C" w14:textId="77777777" w:rsidR="00A91B78" w:rsidRPr="00C07DBC" w:rsidRDefault="00A91B78" w:rsidP="00A91B78">
      <w:pPr>
        <w:jc w:val="both"/>
        <w:rPr>
          <w:rFonts w:ascii="Verdana" w:hAnsi="Verdana"/>
          <w:sz w:val="20"/>
          <w:szCs w:val="20"/>
          <w:lang w:val="en-US"/>
        </w:rPr>
      </w:pPr>
    </w:p>
    <w:p w14:paraId="63126B0D" w14:textId="299C3A5D" w:rsidR="00A91B78" w:rsidRPr="001D1D78" w:rsidRDefault="00511E56" w:rsidP="00511E56">
      <w:pPr>
        <w:numPr>
          <w:ilvl w:val="0"/>
          <w:numId w:val="2"/>
        </w:numPr>
        <w:ind w:left="0" w:hanging="11"/>
        <w:contextualSpacing/>
        <w:jc w:val="both"/>
        <w:rPr>
          <w:rFonts w:ascii="Verdana" w:hAnsi="Verdana"/>
          <w:sz w:val="20"/>
          <w:szCs w:val="20"/>
          <w:lang w:val="en-US"/>
        </w:rPr>
      </w:pPr>
      <w:r w:rsidRPr="00C07DBC">
        <w:rPr>
          <w:rFonts w:ascii="Verdana" w:hAnsi="Verdana"/>
          <w:sz w:val="20"/>
          <w:szCs w:val="20"/>
          <w:lang w:val="en-US"/>
        </w:rPr>
        <w:t>In its final writte</w:t>
      </w:r>
      <w:r w:rsidR="00430FB4" w:rsidRPr="00C07DBC">
        <w:rPr>
          <w:rFonts w:ascii="Verdana" w:hAnsi="Verdana"/>
          <w:sz w:val="20"/>
          <w:szCs w:val="20"/>
          <w:lang w:val="en-US"/>
        </w:rPr>
        <w:t>n</w:t>
      </w:r>
      <w:r w:rsidRPr="00C07DBC">
        <w:rPr>
          <w:rFonts w:ascii="Verdana" w:hAnsi="Verdana"/>
          <w:sz w:val="20"/>
          <w:szCs w:val="20"/>
          <w:lang w:val="en-US"/>
        </w:rPr>
        <w:t xml:space="preserve"> arguments</w:t>
      </w:r>
      <w:r w:rsidR="00A91B78" w:rsidRPr="00C07DBC">
        <w:rPr>
          <w:rFonts w:ascii="Verdana" w:hAnsi="Verdana"/>
          <w:sz w:val="20"/>
          <w:szCs w:val="20"/>
          <w:lang w:val="en-US"/>
        </w:rPr>
        <w:t xml:space="preserve">, </w:t>
      </w:r>
      <w:r w:rsidR="002B5CCD" w:rsidRPr="00C07DBC">
        <w:rPr>
          <w:rFonts w:ascii="Verdana" w:hAnsi="Verdana"/>
          <w:sz w:val="20"/>
          <w:szCs w:val="20"/>
          <w:lang w:val="en-US"/>
        </w:rPr>
        <w:t>the Stat</w:t>
      </w:r>
      <w:r w:rsidRPr="00C07DBC">
        <w:rPr>
          <w:rFonts w:ascii="Verdana" w:hAnsi="Verdana"/>
          <w:sz w:val="20"/>
          <w:szCs w:val="20"/>
          <w:lang w:val="en-US"/>
        </w:rPr>
        <w:t xml:space="preserve">e </w:t>
      </w:r>
      <w:r w:rsidR="00EC351A" w:rsidRPr="00C07DBC">
        <w:rPr>
          <w:rFonts w:ascii="Verdana" w:hAnsi="Verdana"/>
          <w:sz w:val="20"/>
          <w:szCs w:val="20"/>
          <w:lang w:val="en-US"/>
        </w:rPr>
        <w:t>disputed</w:t>
      </w:r>
      <w:r w:rsidRPr="00C07DBC">
        <w:rPr>
          <w:rFonts w:ascii="Verdana" w:hAnsi="Verdana"/>
          <w:sz w:val="20"/>
          <w:szCs w:val="20"/>
          <w:lang w:val="en-US"/>
        </w:rPr>
        <w:t xml:space="preserve"> th</w:t>
      </w:r>
      <w:r w:rsidR="00EC351A" w:rsidRPr="00C07DBC">
        <w:rPr>
          <w:rFonts w:ascii="Verdana" w:hAnsi="Verdana"/>
          <w:sz w:val="20"/>
          <w:szCs w:val="20"/>
          <w:lang w:val="en-US"/>
        </w:rPr>
        <w:t>e necessity</w:t>
      </w:r>
      <w:r w:rsidRPr="00C07DBC">
        <w:rPr>
          <w:rFonts w:ascii="Verdana" w:hAnsi="Verdana"/>
          <w:sz w:val="20"/>
          <w:szCs w:val="20"/>
          <w:lang w:val="en-US"/>
        </w:rPr>
        <w:t xml:space="preserve"> and importance of establishing any type of development fund for indigenous peoples, be</w:t>
      </w:r>
      <w:r w:rsidR="00EC351A" w:rsidRPr="00C07DBC">
        <w:rPr>
          <w:rFonts w:ascii="Verdana" w:hAnsi="Verdana"/>
          <w:sz w:val="20"/>
          <w:szCs w:val="20"/>
          <w:lang w:val="en-US"/>
        </w:rPr>
        <w:t>cause the Government’s policy was</w:t>
      </w:r>
      <w:r w:rsidRPr="00C07DBC">
        <w:rPr>
          <w:rFonts w:ascii="Verdana" w:hAnsi="Verdana"/>
          <w:sz w:val="20"/>
          <w:szCs w:val="20"/>
          <w:lang w:val="en-US"/>
        </w:rPr>
        <w:t xml:space="preserve"> to develop the country equitably in order to improve the quality of life of all Surinamese</w:t>
      </w:r>
      <w:r w:rsidR="00EC351A" w:rsidRPr="00C07DBC">
        <w:rPr>
          <w:rFonts w:ascii="Verdana" w:hAnsi="Verdana"/>
          <w:sz w:val="20"/>
          <w:szCs w:val="20"/>
          <w:lang w:val="en-US"/>
        </w:rPr>
        <w:t xml:space="preserve"> peoples</w:t>
      </w:r>
      <w:r w:rsidRPr="00C07DBC">
        <w:rPr>
          <w:rFonts w:ascii="Verdana" w:hAnsi="Verdana"/>
          <w:sz w:val="20"/>
          <w:szCs w:val="20"/>
          <w:lang w:val="en-US"/>
        </w:rPr>
        <w:t>, including the indigenous peoples and the Maroons. Nevertheless, the State affirmed that, if the Court decided to establish a development fund, the State’s participation in the fund was essential to ensure that the funds were not used inappropriately</w:t>
      </w:r>
      <w:r w:rsidRPr="001D1D78">
        <w:rPr>
          <w:rFonts w:ascii="Verdana" w:hAnsi="Verdana"/>
          <w:sz w:val="20"/>
          <w:szCs w:val="20"/>
          <w:lang w:val="en-US"/>
        </w:rPr>
        <w:t xml:space="preserve">. It also stated that its participation </w:t>
      </w:r>
      <w:r w:rsidR="00DA3A98" w:rsidRPr="006C4E70">
        <w:rPr>
          <w:rFonts w:ascii="Verdana" w:hAnsi="Verdana"/>
          <w:sz w:val="20"/>
          <w:szCs w:val="20"/>
          <w:lang w:val="en-US"/>
        </w:rPr>
        <w:t xml:space="preserve">in the </w:t>
      </w:r>
      <w:r w:rsidRPr="001D1D78">
        <w:rPr>
          <w:rFonts w:ascii="Verdana" w:hAnsi="Verdana"/>
          <w:sz w:val="20"/>
          <w:szCs w:val="20"/>
          <w:lang w:val="en-US"/>
        </w:rPr>
        <w:t xml:space="preserve">development funds </w:t>
      </w:r>
      <w:r w:rsidR="00DA3A98" w:rsidRPr="006C4E70">
        <w:rPr>
          <w:rFonts w:ascii="Verdana" w:hAnsi="Verdana"/>
          <w:sz w:val="20"/>
          <w:szCs w:val="20"/>
          <w:lang w:val="en-US"/>
        </w:rPr>
        <w:t xml:space="preserve">of the </w:t>
      </w:r>
      <w:r w:rsidR="00DA3A98" w:rsidRPr="006C4E70">
        <w:rPr>
          <w:rFonts w:ascii="Verdana" w:hAnsi="Verdana"/>
          <w:i/>
          <w:sz w:val="20"/>
          <w:szCs w:val="20"/>
          <w:lang w:val="en-US"/>
        </w:rPr>
        <w:t xml:space="preserve">Moiwana </w:t>
      </w:r>
      <w:r w:rsidR="00DA3A98" w:rsidRPr="001D1D78">
        <w:rPr>
          <w:rStyle w:val="Strong"/>
          <w:rFonts w:ascii="Verdana" w:hAnsi="Verdana"/>
          <w:b w:val="0"/>
          <w:i/>
          <w:sz w:val="20"/>
          <w:szCs w:val="20"/>
          <w:lang w:val="en-US"/>
        </w:rPr>
        <w:t>Community</w:t>
      </w:r>
      <w:r w:rsidR="00DA3A98" w:rsidRPr="006C4E70">
        <w:rPr>
          <w:rFonts w:ascii="Verdana" w:hAnsi="Verdana"/>
          <w:sz w:val="20"/>
          <w:szCs w:val="20"/>
          <w:lang w:val="en-US"/>
        </w:rPr>
        <w:t xml:space="preserve"> and </w:t>
      </w:r>
      <w:r w:rsidR="001D1D78" w:rsidRPr="006C4E70">
        <w:rPr>
          <w:rFonts w:ascii="Verdana" w:hAnsi="Verdana"/>
          <w:sz w:val="20"/>
          <w:szCs w:val="20"/>
          <w:lang w:val="en-US"/>
        </w:rPr>
        <w:t xml:space="preserve">the </w:t>
      </w:r>
      <w:r w:rsidR="00DA3A98" w:rsidRPr="006C4E70">
        <w:rPr>
          <w:rFonts w:ascii="Verdana" w:hAnsi="Verdana"/>
          <w:i/>
          <w:sz w:val="20"/>
          <w:szCs w:val="20"/>
          <w:lang w:val="en-US"/>
        </w:rPr>
        <w:t>Saramaka</w:t>
      </w:r>
      <w:r w:rsidR="001D1D78" w:rsidRPr="006C4E70">
        <w:rPr>
          <w:rFonts w:ascii="Verdana" w:hAnsi="Verdana"/>
          <w:i/>
          <w:sz w:val="20"/>
          <w:szCs w:val="20"/>
          <w:lang w:val="en-US"/>
        </w:rPr>
        <w:t xml:space="preserve"> People</w:t>
      </w:r>
      <w:r w:rsidR="00DA3A98" w:rsidRPr="006C4E70">
        <w:rPr>
          <w:rFonts w:ascii="Verdana" w:hAnsi="Verdana"/>
          <w:sz w:val="20"/>
          <w:szCs w:val="20"/>
          <w:lang w:val="en-US"/>
        </w:rPr>
        <w:t xml:space="preserve"> cases </w:t>
      </w:r>
      <w:r w:rsidRPr="001D1D78">
        <w:rPr>
          <w:rFonts w:ascii="Verdana" w:hAnsi="Verdana"/>
          <w:sz w:val="20"/>
          <w:szCs w:val="20"/>
          <w:lang w:val="en-US"/>
        </w:rPr>
        <w:t xml:space="preserve">had not </w:t>
      </w:r>
      <w:r w:rsidR="00EC351A" w:rsidRPr="001D1D78">
        <w:rPr>
          <w:rFonts w:ascii="Verdana" w:hAnsi="Verdana"/>
          <w:sz w:val="20"/>
          <w:szCs w:val="20"/>
          <w:lang w:val="en-US"/>
        </w:rPr>
        <w:t>been an obstacle for the allocation of</w:t>
      </w:r>
      <w:r w:rsidRPr="001D1D78">
        <w:rPr>
          <w:rFonts w:ascii="Verdana" w:hAnsi="Verdana"/>
          <w:sz w:val="20"/>
          <w:szCs w:val="20"/>
          <w:lang w:val="en-US"/>
        </w:rPr>
        <w:t xml:space="preserve"> the capital.</w:t>
      </w:r>
    </w:p>
    <w:p w14:paraId="63126B0E" w14:textId="77777777" w:rsidR="00A91B78" w:rsidRPr="00C07DBC" w:rsidRDefault="00A91B78" w:rsidP="00A91B78">
      <w:pPr>
        <w:jc w:val="both"/>
        <w:rPr>
          <w:rFonts w:ascii="Verdana" w:hAnsi="Verdana"/>
          <w:sz w:val="20"/>
          <w:szCs w:val="20"/>
          <w:lang w:val="en-US"/>
        </w:rPr>
      </w:pPr>
    </w:p>
    <w:p w14:paraId="63126B0F" w14:textId="77777777" w:rsidR="00A91B78" w:rsidRPr="00C07DBC" w:rsidRDefault="002B5CCD" w:rsidP="00A91B78">
      <w:pPr>
        <w:numPr>
          <w:ilvl w:val="0"/>
          <w:numId w:val="2"/>
        </w:numPr>
        <w:ind w:left="0" w:hanging="11"/>
        <w:contextualSpacing/>
        <w:jc w:val="both"/>
        <w:rPr>
          <w:rFonts w:ascii="Verdana" w:hAnsi="Verdana"/>
          <w:sz w:val="20"/>
          <w:szCs w:val="20"/>
          <w:lang w:val="en-US"/>
        </w:rPr>
      </w:pPr>
      <w:r w:rsidRPr="00C07DBC">
        <w:rPr>
          <w:rFonts w:ascii="Verdana" w:hAnsi="Verdana"/>
          <w:sz w:val="20"/>
          <w:szCs w:val="20"/>
          <w:lang w:val="en-US"/>
        </w:rPr>
        <w:t>The Commission</w:t>
      </w:r>
      <w:r w:rsidR="00A91B78" w:rsidRPr="00C07DBC">
        <w:rPr>
          <w:rFonts w:ascii="Verdana" w:hAnsi="Verdana"/>
          <w:sz w:val="20"/>
          <w:szCs w:val="20"/>
          <w:lang w:val="en-US"/>
        </w:rPr>
        <w:t xml:space="preserve"> </w:t>
      </w:r>
      <w:r w:rsidR="00511E56" w:rsidRPr="00C07DBC">
        <w:rPr>
          <w:rFonts w:ascii="Verdana" w:hAnsi="Verdana"/>
          <w:sz w:val="20"/>
          <w:szCs w:val="20"/>
          <w:lang w:val="en-US"/>
        </w:rPr>
        <w:t>did not make any explicit comments in this regard, although it asked that the Kaliña and Lokono peoples be redressed, both individually and collectively, for the different violations of their rights claimed in this case</w:t>
      </w:r>
      <w:r w:rsidR="00230709" w:rsidRPr="00C07DBC">
        <w:rPr>
          <w:rFonts w:ascii="Verdana" w:hAnsi="Verdana"/>
          <w:sz w:val="20"/>
          <w:szCs w:val="20"/>
          <w:lang w:val="en-US"/>
        </w:rPr>
        <w:t>.</w:t>
      </w:r>
    </w:p>
    <w:p w14:paraId="63126B10" w14:textId="77777777" w:rsidR="00A91B78" w:rsidRPr="00C07DBC" w:rsidRDefault="00A91B78" w:rsidP="00A91B78">
      <w:pPr>
        <w:jc w:val="both"/>
        <w:rPr>
          <w:rFonts w:ascii="Verdana" w:hAnsi="Verdana"/>
          <w:sz w:val="20"/>
          <w:szCs w:val="20"/>
          <w:lang w:val="en-US"/>
        </w:rPr>
      </w:pPr>
    </w:p>
    <w:p w14:paraId="63126B11" w14:textId="3681D72D" w:rsidR="00A91B78" w:rsidRPr="00C07DBC" w:rsidRDefault="00411F9C" w:rsidP="00A91B78">
      <w:pPr>
        <w:numPr>
          <w:ilvl w:val="0"/>
          <w:numId w:val="2"/>
        </w:numPr>
        <w:ind w:left="0" w:hanging="11"/>
        <w:contextualSpacing/>
        <w:jc w:val="both"/>
        <w:rPr>
          <w:rFonts w:ascii="Verdana" w:hAnsi="Verdana"/>
          <w:sz w:val="20"/>
          <w:szCs w:val="20"/>
          <w:lang w:val="en-US"/>
        </w:rPr>
      </w:pPr>
      <w:r w:rsidRPr="00C07DBC">
        <w:rPr>
          <w:rFonts w:ascii="Verdana" w:hAnsi="Verdana"/>
          <w:sz w:val="20"/>
          <w:szCs w:val="20"/>
          <w:lang w:val="en-US"/>
        </w:rPr>
        <w:t xml:space="preserve">In view of the fact that </w:t>
      </w:r>
      <w:r w:rsidR="002B5CCD" w:rsidRPr="00C07DBC">
        <w:rPr>
          <w:rFonts w:ascii="Verdana" w:hAnsi="Verdana"/>
          <w:sz w:val="20"/>
          <w:szCs w:val="20"/>
          <w:lang w:val="en-US"/>
        </w:rPr>
        <w:t>the State</w:t>
      </w:r>
      <w:r w:rsidRPr="00C07DBC">
        <w:rPr>
          <w:rFonts w:ascii="Verdana" w:hAnsi="Verdana"/>
          <w:sz w:val="20"/>
          <w:szCs w:val="20"/>
          <w:lang w:val="en-US"/>
        </w:rPr>
        <w:t xml:space="preserve"> has been found internationally responsible </w:t>
      </w:r>
      <w:r w:rsidR="00511E56" w:rsidRPr="00C07DBC">
        <w:rPr>
          <w:rFonts w:ascii="Verdana" w:hAnsi="Verdana"/>
          <w:sz w:val="20"/>
          <w:szCs w:val="20"/>
          <w:lang w:val="en-US"/>
        </w:rPr>
        <w:t>for the violation of</w:t>
      </w:r>
      <w:r w:rsidR="00A91B78" w:rsidRPr="00C07DBC">
        <w:rPr>
          <w:rFonts w:ascii="Verdana" w:hAnsi="Verdana"/>
          <w:sz w:val="20"/>
          <w:szCs w:val="20"/>
          <w:lang w:val="en-US"/>
        </w:rPr>
        <w:t xml:space="preserve"> </w:t>
      </w:r>
      <w:r w:rsidR="00773D70" w:rsidRPr="00C07DBC">
        <w:rPr>
          <w:rFonts w:ascii="Verdana" w:hAnsi="Verdana"/>
          <w:sz w:val="20"/>
          <w:szCs w:val="20"/>
          <w:lang w:val="en-US"/>
        </w:rPr>
        <w:t>Articles 1(1)</w:t>
      </w:r>
      <w:r w:rsidR="000C251D" w:rsidRPr="00C07DBC">
        <w:rPr>
          <w:rFonts w:ascii="Verdana" w:hAnsi="Verdana"/>
          <w:sz w:val="20"/>
          <w:szCs w:val="20"/>
          <w:lang w:val="en-US"/>
        </w:rPr>
        <w:t xml:space="preserve">, </w:t>
      </w:r>
      <w:r w:rsidR="00A91B78" w:rsidRPr="00C07DBC">
        <w:rPr>
          <w:rFonts w:ascii="Verdana" w:hAnsi="Verdana"/>
          <w:sz w:val="20"/>
          <w:szCs w:val="20"/>
          <w:lang w:val="en-US"/>
        </w:rPr>
        <w:t>2, 3, 21</w:t>
      </w:r>
      <w:r w:rsidR="00D83C12" w:rsidRPr="00C07DBC">
        <w:rPr>
          <w:rFonts w:ascii="Verdana" w:hAnsi="Verdana"/>
          <w:sz w:val="20"/>
          <w:lang w:val="en-US"/>
        </w:rPr>
        <w:t>, 23</w:t>
      </w:r>
      <w:r w:rsidR="002B5CCD" w:rsidRPr="00C07DBC">
        <w:rPr>
          <w:rFonts w:ascii="Verdana" w:hAnsi="Verdana"/>
          <w:sz w:val="20"/>
          <w:szCs w:val="20"/>
          <w:lang w:val="en-US"/>
        </w:rPr>
        <w:t xml:space="preserve"> and </w:t>
      </w:r>
      <w:r w:rsidR="00A91B78" w:rsidRPr="00C07DBC">
        <w:rPr>
          <w:rFonts w:ascii="Verdana" w:hAnsi="Verdana"/>
          <w:sz w:val="20"/>
          <w:szCs w:val="20"/>
          <w:lang w:val="en-US"/>
        </w:rPr>
        <w:t>25</w:t>
      </w:r>
      <w:r w:rsidR="002B5CCD" w:rsidRPr="00C07DBC">
        <w:rPr>
          <w:rFonts w:ascii="Verdana" w:hAnsi="Verdana"/>
          <w:sz w:val="20"/>
          <w:szCs w:val="20"/>
          <w:lang w:val="en-US"/>
        </w:rPr>
        <w:t xml:space="preserve"> of the Convention</w:t>
      </w:r>
      <w:r w:rsidR="00A91B78" w:rsidRPr="00C07DBC">
        <w:rPr>
          <w:rFonts w:ascii="Verdana" w:hAnsi="Verdana"/>
          <w:sz w:val="20"/>
          <w:szCs w:val="20"/>
          <w:lang w:val="en-US"/>
        </w:rPr>
        <w:t xml:space="preserve">, </w:t>
      </w:r>
      <w:r w:rsidRPr="00C07DBC">
        <w:rPr>
          <w:rFonts w:ascii="Verdana" w:hAnsi="Verdana"/>
          <w:sz w:val="20"/>
          <w:szCs w:val="20"/>
          <w:lang w:val="en-US"/>
        </w:rPr>
        <w:t xml:space="preserve">which has resulted in the harm to </w:t>
      </w:r>
      <w:r w:rsidR="00A65908" w:rsidRPr="00C07DBC">
        <w:rPr>
          <w:rFonts w:ascii="Verdana" w:hAnsi="Verdana"/>
          <w:sz w:val="20"/>
          <w:szCs w:val="20"/>
          <w:lang w:val="en-US"/>
        </w:rPr>
        <w:t>extremel</w:t>
      </w:r>
      <w:r w:rsidRPr="00C07DBC">
        <w:rPr>
          <w:rFonts w:ascii="Verdana" w:hAnsi="Verdana"/>
          <w:sz w:val="20"/>
          <w:szCs w:val="20"/>
          <w:lang w:val="en-US"/>
        </w:rPr>
        <w:t xml:space="preserve">y </w:t>
      </w:r>
      <w:r w:rsidR="00FE7BA7" w:rsidRPr="00C07DBC">
        <w:rPr>
          <w:rFonts w:ascii="Verdana" w:hAnsi="Verdana"/>
          <w:sz w:val="20"/>
          <w:szCs w:val="20"/>
          <w:lang w:val="en-US"/>
        </w:rPr>
        <w:t>representative</w:t>
      </w:r>
      <w:r w:rsidRPr="00C07DBC">
        <w:rPr>
          <w:rFonts w:ascii="Verdana" w:hAnsi="Verdana"/>
          <w:sz w:val="20"/>
          <w:szCs w:val="20"/>
          <w:lang w:val="en-US"/>
        </w:rPr>
        <w:t xml:space="preserve"> values of </w:t>
      </w:r>
      <w:r w:rsidR="00DA4B96" w:rsidRPr="00C07DBC">
        <w:rPr>
          <w:rFonts w:ascii="Verdana" w:hAnsi="Verdana"/>
          <w:sz w:val="20"/>
          <w:szCs w:val="20"/>
          <w:lang w:val="en-US"/>
        </w:rPr>
        <w:t>the members</w:t>
      </w:r>
      <w:r w:rsidR="00635ACD" w:rsidRPr="00C07DBC">
        <w:rPr>
          <w:rFonts w:ascii="Verdana" w:hAnsi="Verdana"/>
          <w:sz w:val="20"/>
          <w:szCs w:val="20"/>
          <w:lang w:val="en-US"/>
        </w:rPr>
        <w:t xml:space="preserve"> of the </w:t>
      </w:r>
      <w:r w:rsidR="004C7D14" w:rsidRPr="00C07DBC">
        <w:rPr>
          <w:rFonts w:ascii="Verdana" w:hAnsi="Verdana"/>
          <w:sz w:val="20"/>
          <w:szCs w:val="20"/>
          <w:lang w:val="en-US"/>
        </w:rPr>
        <w:t>Kaliña and Lokono peoples</w:t>
      </w:r>
      <w:r w:rsidR="00A91B78" w:rsidRPr="00C07DBC">
        <w:rPr>
          <w:rFonts w:ascii="Verdana" w:hAnsi="Verdana"/>
          <w:sz w:val="20"/>
          <w:szCs w:val="20"/>
          <w:lang w:val="en-US"/>
        </w:rPr>
        <w:t xml:space="preserve"> </w:t>
      </w:r>
      <w:r w:rsidRPr="00C07DBC">
        <w:rPr>
          <w:rFonts w:ascii="Verdana" w:hAnsi="Verdana"/>
          <w:sz w:val="20"/>
          <w:szCs w:val="20"/>
          <w:lang w:val="en-US"/>
        </w:rPr>
        <w:t>that have an impact</w:t>
      </w:r>
      <w:r w:rsidR="00FE7BA7" w:rsidRPr="00C07DBC">
        <w:rPr>
          <w:rFonts w:ascii="Verdana" w:hAnsi="Verdana"/>
          <w:sz w:val="20"/>
          <w:szCs w:val="20"/>
          <w:lang w:val="en-US"/>
        </w:rPr>
        <w:t xml:space="preserve"> o</w:t>
      </w:r>
      <w:r w:rsidRPr="00C07DBC">
        <w:rPr>
          <w:rFonts w:ascii="Verdana" w:hAnsi="Verdana"/>
          <w:sz w:val="20"/>
          <w:szCs w:val="20"/>
          <w:lang w:val="en-US"/>
        </w:rPr>
        <w:t>n their cultural identity and on the cultural heritage to be transmitted to future generations, the Court finds it appropriate, as it has in previous cases,</w:t>
      </w:r>
      <w:r w:rsidR="00A91B78" w:rsidRPr="00C07DBC">
        <w:rPr>
          <w:rFonts w:ascii="Verdana" w:hAnsi="Verdana"/>
          <w:sz w:val="20"/>
          <w:szCs w:val="20"/>
          <w:vertAlign w:val="superscript"/>
          <w:lang w:val="en-US"/>
        </w:rPr>
        <w:footnoteReference w:id="334"/>
      </w:r>
      <w:r w:rsidRPr="00C07DBC">
        <w:rPr>
          <w:rFonts w:ascii="Verdana" w:hAnsi="Verdana"/>
          <w:sz w:val="20"/>
          <w:szCs w:val="20"/>
          <w:lang w:val="en-US"/>
        </w:rPr>
        <w:t xml:space="preserve"> to establish the creation </w:t>
      </w:r>
      <w:r w:rsidR="00C34C52" w:rsidRPr="00C07DBC">
        <w:rPr>
          <w:rFonts w:ascii="Verdana" w:hAnsi="Verdana"/>
          <w:sz w:val="20"/>
          <w:szCs w:val="20"/>
          <w:lang w:val="en-US"/>
        </w:rPr>
        <w:t>of a community development fund</w:t>
      </w:r>
      <w:r w:rsidR="00A91B78" w:rsidRPr="00C07DBC">
        <w:rPr>
          <w:rFonts w:ascii="Verdana" w:hAnsi="Verdana"/>
          <w:sz w:val="20"/>
          <w:szCs w:val="20"/>
          <w:lang w:val="en-US"/>
        </w:rPr>
        <w:t xml:space="preserve"> </w:t>
      </w:r>
      <w:r w:rsidRPr="00C07DBC">
        <w:rPr>
          <w:rFonts w:ascii="Verdana" w:hAnsi="Verdana"/>
          <w:sz w:val="20"/>
          <w:szCs w:val="20"/>
          <w:lang w:val="en-US"/>
        </w:rPr>
        <w:t xml:space="preserve">as compensation for the pecuniary and non-pecuniary damage suffered by </w:t>
      </w:r>
      <w:r w:rsidR="00DA4B96" w:rsidRPr="00C07DBC">
        <w:rPr>
          <w:rFonts w:ascii="Verdana" w:hAnsi="Verdana"/>
          <w:sz w:val="20"/>
          <w:szCs w:val="20"/>
          <w:lang w:val="en-US"/>
        </w:rPr>
        <w:t>the members</w:t>
      </w:r>
      <w:r w:rsidR="00A91B78" w:rsidRPr="00C07DBC">
        <w:rPr>
          <w:rFonts w:ascii="Verdana" w:hAnsi="Verdana"/>
          <w:sz w:val="20"/>
          <w:szCs w:val="20"/>
          <w:lang w:val="en-US"/>
        </w:rPr>
        <w:t xml:space="preserve"> </w:t>
      </w:r>
      <w:r w:rsidRPr="00C07DBC">
        <w:rPr>
          <w:rFonts w:ascii="Verdana" w:hAnsi="Verdana"/>
          <w:sz w:val="20"/>
          <w:szCs w:val="20"/>
          <w:lang w:val="en-US"/>
        </w:rPr>
        <w:t xml:space="preserve">of these peoples. </w:t>
      </w:r>
      <w:r w:rsidR="00FE7BA7" w:rsidRPr="00C07DBC">
        <w:rPr>
          <w:rFonts w:ascii="Verdana" w:hAnsi="Verdana"/>
          <w:sz w:val="20"/>
          <w:szCs w:val="20"/>
          <w:lang w:val="en-US"/>
        </w:rPr>
        <w:t>Furthermore</w:t>
      </w:r>
      <w:r w:rsidRPr="00C07DBC">
        <w:rPr>
          <w:rFonts w:ascii="Verdana" w:hAnsi="Verdana"/>
          <w:sz w:val="20"/>
          <w:szCs w:val="20"/>
          <w:lang w:val="en-US"/>
        </w:rPr>
        <w:t xml:space="preserve">, this fund is in addition to any other present or future benefit that might correspond to </w:t>
      </w:r>
      <w:r w:rsidR="002B5CCD" w:rsidRPr="00C07DBC">
        <w:rPr>
          <w:rFonts w:ascii="Verdana" w:hAnsi="Verdana"/>
          <w:sz w:val="20"/>
          <w:szCs w:val="20"/>
          <w:lang w:val="en-US"/>
        </w:rPr>
        <w:t xml:space="preserve">the </w:t>
      </w:r>
      <w:r w:rsidR="004C7D14" w:rsidRPr="00C07DBC">
        <w:rPr>
          <w:rFonts w:ascii="Verdana" w:hAnsi="Verdana"/>
          <w:sz w:val="20"/>
          <w:szCs w:val="20"/>
          <w:lang w:val="en-US"/>
        </w:rPr>
        <w:t>Kaliña and Lokono peoples</w:t>
      </w:r>
      <w:r w:rsidR="00A91B78" w:rsidRPr="00C07DBC">
        <w:rPr>
          <w:rFonts w:ascii="Verdana" w:hAnsi="Verdana"/>
          <w:sz w:val="20"/>
          <w:szCs w:val="20"/>
          <w:lang w:val="en-US"/>
        </w:rPr>
        <w:t xml:space="preserve"> </w:t>
      </w:r>
      <w:r w:rsidRPr="00C07DBC">
        <w:rPr>
          <w:rFonts w:ascii="Verdana" w:hAnsi="Verdana"/>
          <w:sz w:val="20"/>
          <w:szCs w:val="20"/>
          <w:lang w:val="en-US"/>
        </w:rPr>
        <w:t>as a result of the State’s general development obligations.</w:t>
      </w:r>
      <w:r w:rsidR="00AE264D" w:rsidRPr="00C07DBC">
        <w:rPr>
          <w:rStyle w:val="FootnoteReference"/>
          <w:szCs w:val="20"/>
          <w:lang w:val="en-US"/>
        </w:rPr>
        <w:footnoteReference w:id="335"/>
      </w:r>
      <w:r w:rsidR="00A91B78" w:rsidRPr="00C07DBC">
        <w:rPr>
          <w:rFonts w:ascii="Verdana" w:hAnsi="Verdana"/>
          <w:sz w:val="20"/>
          <w:szCs w:val="20"/>
          <w:lang w:val="en-US"/>
        </w:rPr>
        <w:t xml:space="preserve"> </w:t>
      </w:r>
    </w:p>
    <w:p w14:paraId="63126B12" w14:textId="77777777" w:rsidR="00A91B78" w:rsidRPr="00C07DBC" w:rsidRDefault="00A91B78" w:rsidP="00A91B78">
      <w:pPr>
        <w:jc w:val="both"/>
        <w:rPr>
          <w:rFonts w:ascii="Verdana" w:hAnsi="Verdana"/>
          <w:sz w:val="20"/>
          <w:szCs w:val="20"/>
          <w:lang w:val="en-US"/>
        </w:rPr>
      </w:pPr>
    </w:p>
    <w:p w14:paraId="63126B13" w14:textId="77777777" w:rsidR="00A91B78" w:rsidRPr="00FE7BA7" w:rsidRDefault="00A06F84" w:rsidP="00A91B78">
      <w:pPr>
        <w:numPr>
          <w:ilvl w:val="0"/>
          <w:numId w:val="2"/>
        </w:numPr>
        <w:ind w:left="0" w:hanging="11"/>
        <w:contextualSpacing/>
        <w:jc w:val="both"/>
        <w:rPr>
          <w:rFonts w:ascii="Verdana" w:hAnsi="Verdana"/>
          <w:sz w:val="20"/>
          <w:szCs w:val="20"/>
          <w:lang w:val="en-US"/>
        </w:rPr>
      </w:pPr>
      <w:r w:rsidRPr="00C07DBC">
        <w:rPr>
          <w:rFonts w:ascii="Verdana" w:hAnsi="Verdana"/>
          <w:sz w:val="20"/>
          <w:szCs w:val="20"/>
          <w:lang w:val="en-US"/>
        </w:rPr>
        <w:t xml:space="preserve">Bearing in mind that “indigenous peoples have the right to the conservation and protection of the environment and the productive capacity of their lands or </w:t>
      </w:r>
      <w:r w:rsidR="00FE7BA7" w:rsidRPr="00C07DBC">
        <w:rPr>
          <w:rFonts w:ascii="Verdana" w:hAnsi="Verdana"/>
          <w:sz w:val="20"/>
          <w:szCs w:val="20"/>
          <w:lang w:val="en-US"/>
        </w:rPr>
        <w:t>territories</w:t>
      </w:r>
      <w:r w:rsidRPr="00C07DBC">
        <w:rPr>
          <w:rFonts w:ascii="Verdana" w:hAnsi="Verdana"/>
          <w:sz w:val="20"/>
          <w:szCs w:val="20"/>
          <w:lang w:val="en-US"/>
        </w:rPr>
        <w:t xml:space="preserve"> and resources,</w:t>
      </w:r>
      <w:r w:rsidR="00A91B78" w:rsidRPr="00C07DBC">
        <w:rPr>
          <w:rFonts w:ascii="Verdana" w:hAnsi="Verdana"/>
          <w:sz w:val="20"/>
          <w:szCs w:val="20"/>
          <w:vertAlign w:val="superscript"/>
          <w:lang w:val="en-US"/>
        </w:rPr>
        <w:footnoteReference w:id="336"/>
      </w:r>
      <w:r w:rsidR="00A91B78" w:rsidRPr="00C07DBC">
        <w:rPr>
          <w:rFonts w:ascii="Verdana" w:hAnsi="Verdana"/>
          <w:sz w:val="20"/>
          <w:szCs w:val="20"/>
          <w:lang w:val="en-US"/>
        </w:rPr>
        <w:t xml:space="preserve"> as</w:t>
      </w:r>
      <w:r w:rsidRPr="00C07DBC">
        <w:rPr>
          <w:rFonts w:ascii="Verdana" w:hAnsi="Verdana"/>
          <w:sz w:val="20"/>
          <w:szCs w:val="20"/>
          <w:lang w:val="en-US"/>
        </w:rPr>
        <w:t xml:space="preserve"> well as the observations of </w:t>
      </w:r>
      <w:r w:rsidR="00810FAD" w:rsidRPr="00C07DBC">
        <w:rPr>
          <w:rFonts w:ascii="Verdana" w:hAnsi="Verdana"/>
          <w:sz w:val="20"/>
          <w:szCs w:val="20"/>
          <w:lang w:val="en-US"/>
        </w:rPr>
        <w:t>the representatives</w:t>
      </w:r>
      <w:r w:rsidR="00A91B78" w:rsidRPr="00C07DBC">
        <w:rPr>
          <w:rFonts w:ascii="Verdana" w:hAnsi="Verdana"/>
          <w:sz w:val="20"/>
          <w:szCs w:val="20"/>
          <w:lang w:val="en-US"/>
        </w:rPr>
        <w:t xml:space="preserve"> </w:t>
      </w:r>
      <w:r w:rsidRPr="00C07DBC">
        <w:rPr>
          <w:rFonts w:ascii="Verdana" w:hAnsi="Verdana"/>
          <w:sz w:val="20"/>
          <w:szCs w:val="20"/>
          <w:lang w:val="en-US"/>
        </w:rPr>
        <w:t>concerning the</w:t>
      </w:r>
      <w:r w:rsidR="00A65908" w:rsidRPr="00C07DBC">
        <w:rPr>
          <w:rFonts w:ascii="Verdana" w:hAnsi="Verdana"/>
          <w:sz w:val="20"/>
          <w:szCs w:val="20"/>
          <w:lang w:val="en-US"/>
        </w:rPr>
        <w:t xml:space="preserve"> requested</w:t>
      </w:r>
      <w:r w:rsidRPr="00C07DBC">
        <w:rPr>
          <w:rFonts w:ascii="Verdana" w:hAnsi="Verdana"/>
          <w:sz w:val="20"/>
          <w:szCs w:val="20"/>
          <w:lang w:val="en-US"/>
        </w:rPr>
        <w:t xml:space="preserve"> investment projects, the Court finds th</w:t>
      </w:r>
      <w:r w:rsidRPr="00FE7BA7">
        <w:rPr>
          <w:rFonts w:ascii="Verdana" w:hAnsi="Verdana"/>
          <w:sz w:val="20"/>
          <w:szCs w:val="20"/>
          <w:lang w:val="en-US"/>
        </w:rPr>
        <w:t>at the purpose of the community development fund must be to develop projects in the areas of health, education, food security, resource management, and others that</w:t>
      </w:r>
      <w:r w:rsidR="00A91B78" w:rsidRPr="00FE7BA7">
        <w:rPr>
          <w:rFonts w:ascii="Verdana" w:hAnsi="Verdana"/>
          <w:sz w:val="20"/>
          <w:szCs w:val="20"/>
          <w:lang w:val="en-US"/>
        </w:rPr>
        <w:t xml:space="preserve">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consider</w:t>
      </w:r>
      <w:r w:rsidR="00A91B78" w:rsidRPr="00FE7BA7">
        <w:rPr>
          <w:rFonts w:ascii="Verdana" w:hAnsi="Verdana"/>
          <w:sz w:val="20"/>
          <w:szCs w:val="20"/>
          <w:lang w:val="en-US"/>
        </w:rPr>
        <w:t xml:space="preserve"> pertinen</w:t>
      </w:r>
      <w:r w:rsidRPr="00FE7BA7">
        <w:rPr>
          <w:rFonts w:ascii="Verdana" w:hAnsi="Verdana"/>
          <w:sz w:val="20"/>
          <w:szCs w:val="20"/>
          <w:lang w:val="en-US"/>
        </w:rPr>
        <w:t xml:space="preserve">t for their </w:t>
      </w:r>
      <w:r w:rsidR="00511E56" w:rsidRPr="00FE7BA7">
        <w:rPr>
          <w:rFonts w:ascii="Verdana" w:hAnsi="Verdana"/>
          <w:sz w:val="20"/>
          <w:szCs w:val="20"/>
          <w:lang w:val="en-US"/>
        </w:rPr>
        <w:t>development.</w:t>
      </w:r>
    </w:p>
    <w:p w14:paraId="63126B14" w14:textId="77777777" w:rsidR="00205771" w:rsidRPr="00FE7BA7" w:rsidRDefault="00205771" w:rsidP="00205771">
      <w:pPr>
        <w:contextualSpacing/>
        <w:jc w:val="both"/>
        <w:rPr>
          <w:rFonts w:ascii="Verdana" w:hAnsi="Verdana"/>
          <w:sz w:val="20"/>
          <w:szCs w:val="20"/>
          <w:lang w:val="en-US"/>
        </w:rPr>
      </w:pPr>
    </w:p>
    <w:p w14:paraId="63126B15" w14:textId="2E28B270" w:rsidR="00A91B78" w:rsidRPr="00FE7BA7" w:rsidRDefault="002B5CCD" w:rsidP="00A06F84">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State</w:t>
      </w:r>
      <w:r w:rsidR="00A91B78" w:rsidRPr="00FE7BA7">
        <w:rPr>
          <w:rFonts w:ascii="Verdana" w:hAnsi="Verdana"/>
          <w:sz w:val="20"/>
          <w:szCs w:val="20"/>
          <w:lang w:val="en-US"/>
        </w:rPr>
        <w:t xml:space="preserve"> </w:t>
      </w:r>
      <w:r w:rsidR="00A06F84" w:rsidRPr="00FE7BA7">
        <w:rPr>
          <w:rFonts w:ascii="Verdana" w:hAnsi="Verdana"/>
          <w:sz w:val="20"/>
          <w:szCs w:val="20"/>
          <w:lang w:val="en-US"/>
        </w:rPr>
        <w:t xml:space="preserve">must take all the necessary administrative, legislative, financial and human resource measures to </w:t>
      </w:r>
      <w:r w:rsidR="00A65908">
        <w:rPr>
          <w:rFonts w:ascii="Verdana" w:hAnsi="Verdana"/>
          <w:sz w:val="20"/>
          <w:szCs w:val="20"/>
          <w:lang w:val="en-US"/>
        </w:rPr>
        <w:t>create</w:t>
      </w:r>
      <w:r w:rsidR="00C07DBC">
        <w:rPr>
          <w:rFonts w:ascii="Verdana" w:hAnsi="Verdana"/>
          <w:sz w:val="20"/>
          <w:szCs w:val="20"/>
          <w:lang w:val="en-US"/>
        </w:rPr>
        <w:t xml:space="preserve"> and implement this f</w:t>
      </w:r>
      <w:r w:rsidR="00A06F84" w:rsidRPr="00FE7BA7">
        <w:rPr>
          <w:rFonts w:ascii="Verdana" w:hAnsi="Verdana"/>
          <w:sz w:val="20"/>
          <w:szCs w:val="20"/>
          <w:lang w:val="en-US"/>
        </w:rPr>
        <w:t xml:space="preserve">und and, to this end, within three months of notification of this Judgment, it must appoint an authority with competence in this matter, to administer the Fund. Meanwhile, the Kaliña and Lokono peoples </w:t>
      </w:r>
      <w:r w:rsidR="00A65908">
        <w:rPr>
          <w:rFonts w:ascii="Verdana" w:hAnsi="Verdana"/>
          <w:sz w:val="20"/>
          <w:szCs w:val="20"/>
          <w:lang w:val="en-US"/>
        </w:rPr>
        <w:t>must</w:t>
      </w:r>
      <w:r w:rsidR="00A06F84" w:rsidRPr="00FE7BA7">
        <w:rPr>
          <w:rFonts w:ascii="Verdana" w:hAnsi="Verdana"/>
          <w:sz w:val="20"/>
          <w:szCs w:val="20"/>
          <w:lang w:val="en-US"/>
        </w:rPr>
        <w:t xml:space="preserve"> </w:t>
      </w:r>
      <w:r w:rsidR="00A65908">
        <w:rPr>
          <w:rFonts w:ascii="Verdana" w:hAnsi="Verdana"/>
          <w:sz w:val="20"/>
          <w:szCs w:val="20"/>
          <w:lang w:val="en-US"/>
        </w:rPr>
        <w:t>choose</w:t>
      </w:r>
      <w:r w:rsidR="00A06F84" w:rsidRPr="00FE7BA7">
        <w:rPr>
          <w:rFonts w:ascii="Verdana" w:hAnsi="Verdana"/>
          <w:sz w:val="20"/>
          <w:szCs w:val="20"/>
          <w:lang w:val="en-US"/>
        </w:rPr>
        <w:t xml:space="preserve"> a representative for the dialog</w:t>
      </w:r>
      <w:r w:rsidR="00C07DBC">
        <w:rPr>
          <w:rFonts w:ascii="Verdana" w:hAnsi="Verdana"/>
          <w:sz w:val="20"/>
          <w:szCs w:val="20"/>
          <w:lang w:val="en-US"/>
        </w:rPr>
        <w:t>ue with the State, so that the f</w:t>
      </w:r>
      <w:r w:rsidR="00A06F84" w:rsidRPr="00FE7BA7">
        <w:rPr>
          <w:rFonts w:ascii="Verdana" w:hAnsi="Verdana"/>
          <w:sz w:val="20"/>
          <w:szCs w:val="20"/>
          <w:lang w:val="en-US"/>
        </w:rPr>
        <w:t xml:space="preserve">und is implemented in accordance with the </w:t>
      </w:r>
      <w:r w:rsidR="00C24FB8">
        <w:rPr>
          <w:rFonts w:ascii="Verdana" w:hAnsi="Verdana"/>
          <w:sz w:val="20"/>
          <w:szCs w:val="20"/>
          <w:lang w:val="en-US"/>
        </w:rPr>
        <w:t>will</w:t>
      </w:r>
      <w:r w:rsidR="00C24FB8" w:rsidRPr="00FE7BA7">
        <w:rPr>
          <w:rFonts w:ascii="Verdana" w:hAnsi="Verdana"/>
          <w:sz w:val="20"/>
          <w:szCs w:val="20"/>
          <w:lang w:val="en-US"/>
        </w:rPr>
        <w:t xml:space="preserve"> </w:t>
      </w:r>
      <w:r w:rsidR="00A06F84" w:rsidRPr="00FE7BA7">
        <w:rPr>
          <w:rFonts w:ascii="Verdana" w:hAnsi="Verdana"/>
          <w:sz w:val="20"/>
          <w:szCs w:val="20"/>
          <w:lang w:val="en-US"/>
        </w:rPr>
        <w:t>of the peoples.</w:t>
      </w:r>
      <w:r w:rsidR="00AE264D" w:rsidRPr="00FE7BA7">
        <w:rPr>
          <w:rStyle w:val="FootnoteReference"/>
          <w:szCs w:val="20"/>
          <w:lang w:val="en-US"/>
        </w:rPr>
        <w:footnoteReference w:id="337"/>
      </w:r>
      <w:r w:rsidR="00A91B78" w:rsidRPr="00FE7BA7">
        <w:rPr>
          <w:rFonts w:ascii="Verdana" w:hAnsi="Verdana"/>
          <w:sz w:val="20"/>
          <w:szCs w:val="20"/>
          <w:lang w:val="en-US"/>
        </w:rPr>
        <w:t xml:space="preserve"> </w:t>
      </w:r>
    </w:p>
    <w:p w14:paraId="63126B16" w14:textId="77777777" w:rsidR="00A91B78" w:rsidRPr="00FE7BA7" w:rsidRDefault="00A91B78" w:rsidP="00A91B78">
      <w:pPr>
        <w:jc w:val="both"/>
        <w:rPr>
          <w:rFonts w:ascii="Verdana" w:hAnsi="Verdana"/>
          <w:sz w:val="20"/>
          <w:szCs w:val="20"/>
          <w:lang w:val="en-US"/>
        </w:rPr>
      </w:pPr>
    </w:p>
    <w:p w14:paraId="63126B17" w14:textId="77777777" w:rsidR="00A91B78" w:rsidRPr="00FE7BA7" w:rsidRDefault="00A06F84"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State must allocate the sum of US$</w:t>
      </w:r>
      <w:r w:rsidR="00A91B78" w:rsidRPr="00FE7BA7">
        <w:rPr>
          <w:rFonts w:ascii="Verdana" w:hAnsi="Verdana"/>
          <w:sz w:val="20"/>
          <w:lang w:val="en-US"/>
        </w:rPr>
        <w:t>1,</w:t>
      </w:r>
      <w:r w:rsidR="001D25DC" w:rsidRPr="00FE7BA7">
        <w:rPr>
          <w:rFonts w:ascii="Verdana" w:hAnsi="Verdana"/>
          <w:sz w:val="20"/>
          <w:lang w:val="en-US"/>
        </w:rPr>
        <w:t>0</w:t>
      </w:r>
      <w:r w:rsidR="00A91B78" w:rsidRPr="00FE7BA7">
        <w:rPr>
          <w:rFonts w:ascii="Verdana" w:hAnsi="Verdana"/>
          <w:sz w:val="20"/>
          <w:lang w:val="en-US"/>
        </w:rPr>
        <w:t>00,000.00</w:t>
      </w:r>
      <w:r w:rsidR="00A91B78" w:rsidRPr="00FE7BA7">
        <w:rPr>
          <w:rFonts w:ascii="Verdana" w:hAnsi="Verdana"/>
          <w:sz w:val="20"/>
          <w:szCs w:val="20"/>
          <w:lang w:val="en-US"/>
        </w:rPr>
        <w:t xml:space="preserve"> (</w:t>
      </w:r>
      <w:r w:rsidRPr="00FE7BA7">
        <w:rPr>
          <w:rFonts w:ascii="Verdana" w:hAnsi="Verdana"/>
          <w:sz w:val="20"/>
          <w:szCs w:val="20"/>
          <w:lang w:val="en-US"/>
        </w:rPr>
        <w:t xml:space="preserve">one million </w:t>
      </w:r>
      <w:r w:rsidR="00C34C52" w:rsidRPr="00FE7BA7">
        <w:rPr>
          <w:rFonts w:ascii="Verdana" w:hAnsi="Verdana"/>
          <w:sz w:val="20"/>
          <w:szCs w:val="20"/>
          <w:lang w:val="en-US"/>
        </w:rPr>
        <w:t>United States dollars</w:t>
      </w:r>
      <w:r w:rsidR="00A91B78" w:rsidRPr="00FE7BA7">
        <w:rPr>
          <w:rFonts w:ascii="Verdana" w:hAnsi="Verdana"/>
          <w:sz w:val="20"/>
          <w:szCs w:val="20"/>
          <w:lang w:val="en-US"/>
        </w:rPr>
        <w:t>)</w:t>
      </w:r>
      <w:r w:rsidR="00C07DBC">
        <w:rPr>
          <w:rFonts w:ascii="Verdana" w:hAnsi="Verdana"/>
          <w:sz w:val="20"/>
          <w:szCs w:val="20"/>
          <w:lang w:val="en-US"/>
        </w:rPr>
        <w:t xml:space="preserve"> to this f</w:t>
      </w:r>
      <w:r w:rsidRPr="00FE7BA7">
        <w:rPr>
          <w:rFonts w:ascii="Verdana" w:hAnsi="Verdana"/>
          <w:sz w:val="20"/>
          <w:szCs w:val="20"/>
          <w:lang w:val="en-US"/>
        </w:rPr>
        <w:t xml:space="preserve">und, </w:t>
      </w:r>
      <w:r w:rsidR="00411F9C" w:rsidRPr="00FE7BA7">
        <w:rPr>
          <w:rFonts w:ascii="Verdana" w:hAnsi="Verdana"/>
          <w:sz w:val="20"/>
          <w:szCs w:val="20"/>
          <w:lang w:val="en-US"/>
        </w:rPr>
        <w:t>to</w:t>
      </w:r>
      <w:r w:rsidRPr="00FE7BA7">
        <w:rPr>
          <w:rFonts w:ascii="Verdana" w:hAnsi="Verdana"/>
          <w:sz w:val="20"/>
          <w:szCs w:val="20"/>
          <w:lang w:val="en-US"/>
        </w:rPr>
        <w:t xml:space="preserve"> be invested and implemented in keeping with the proposed objectives, within no more than three years of </w:t>
      </w:r>
      <w:r w:rsidR="00CD3DC6" w:rsidRPr="00FE7BA7">
        <w:rPr>
          <w:rFonts w:ascii="Verdana" w:hAnsi="Verdana"/>
          <w:sz w:val="20"/>
          <w:szCs w:val="20"/>
          <w:lang w:val="en-US"/>
        </w:rPr>
        <w:t>notification</w:t>
      </w:r>
      <w:r w:rsidR="00A91B78"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A91B78" w:rsidRPr="00FE7BA7">
        <w:rPr>
          <w:rFonts w:ascii="Verdana" w:hAnsi="Verdana"/>
          <w:sz w:val="20"/>
          <w:szCs w:val="20"/>
          <w:lang w:val="en-US"/>
        </w:rPr>
        <w:t>.</w:t>
      </w:r>
    </w:p>
    <w:p w14:paraId="63126B18" w14:textId="77777777" w:rsidR="00A91B78" w:rsidRPr="00FE7BA7" w:rsidRDefault="00A91B78" w:rsidP="00A91B78">
      <w:pPr>
        <w:jc w:val="both"/>
        <w:rPr>
          <w:rFonts w:ascii="Verdana" w:hAnsi="Verdana"/>
          <w:sz w:val="20"/>
          <w:szCs w:val="20"/>
          <w:lang w:val="en-US"/>
        </w:rPr>
      </w:pPr>
      <w:r w:rsidRPr="00FE7BA7">
        <w:rPr>
          <w:rFonts w:ascii="Verdana" w:hAnsi="Verdana"/>
          <w:sz w:val="20"/>
          <w:szCs w:val="20"/>
          <w:lang w:val="en-US"/>
        </w:rPr>
        <w:t xml:space="preserve"> </w:t>
      </w:r>
    </w:p>
    <w:p w14:paraId="63126B19" w14:textId="77777777" w:rsidR="00A91B78" w:rsidRPr="00C07DBC" w:rsidRDefault="00A06F84" w:rsidP="00C07DBC">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Lastly</w:t>
      </w:r>
      <w:r w:rsidR="00A91B78" w:rsidRPr="00FE7BA7">
        <w:rPr>
          <w:rFonts w:ascii="Verdana" w:hAnsi="Verdana"/>
          <w:sz w:val="20"/>
          <w:szCs w:val="20"/>
          <w:lang w:val="en-US"/>
        </w:rPr>
        <w:t xml:space="preserve">, </w:t>
      </w:r>
      <w:r w:rsidR="002B5CCD" w:rsidRPr="00FE7BA7">
        <w:rPr>
          <w:rFonts w:ascii="Verdana" w:hAnsi="Verdana"/>
          <w:sz w:val="20"/>
          <w:szCs w:val="20"/>
          <w:lang w:val="en-US"/>
        </w:rPr>
        <w:t>the Court</w:t>
      </w:r>
      <w:r w:rsidR="00A91B78" w:rsidRPr="00FE7BA7">
        <w:rPr>
          <w:rFonts w:ascii="Verdana" w:hAnsi="Verdana"/>
          <w:sz w:val="20"/>
          <w:szCs w:val="20"/>
          <w:lang w:val="en-US"/>
        </w:rPr>
        <w:t xml:space="preserve"> establ</w:t>
      </w:r>
      <w:r w:rsidRPr="00FE7BA7">
        <w:rPr>
          <w:rFonts w:ascii="Verdana" w:hAnsi="Verdana"/>
          <w:sz w:val="20"/>
          <w:szCs w:val="20"/>
          <w:lang w:val="en-US"/>
        </w:rPr>
        <w:t>ishes that</w:t>
      </w:r>
      <w:r w:rsidR="00A65908">
        <w:rPr>
          <w:rFonts w:ascii="Verdana" w:hAnsi="Verdana"/>
          <w:sz w:val="20"/>
          <w:szCs w:val="20"/>
          <w:lang w:val="en-US"/>
        </w:rPr>
        <w:t>,</w:t>
      </w:r>
      <w:r w:rsidR="00A65908" w:rsidRPr="00A65908">
        <w:rPr>
          <w:rFonts w:ascii="Verdana" w:hAnsi="Verdana"/>
          <w:sz w:val="20"/>
          <w:szCs w:val="20"/>
          <w:lang w:val="en-US"/>
        </w:rPr>
        <w:t xml:space="preserve"> </w:t>
      </w:r>
      <w:r w:rsidR="00A65908" w:rsidRPr="00FE7BA7">
        <w:rPr>
          <w:rFonts w:ascii="Verdana" w:hAnsi="Verdana"/>
          <w:sz w:val="20"/>
          <w:szCs w:val="20"/>
          <w:lang w:val="en-US"/>
        </w:rPr>
        <w:t xml:space="preserve">during the </w:t>
      </w:r>
      <w:r w:rsidR="00A65908">
        <w:rPr>
          <w:rFonts w:ascii="Verdana" w:hAnsi="Verdana"/>
          <w:sz w:val="20"/>
          <w:szCs w:val="20"/>
          <w:lang w:val="en-US"/>
        </w:rPr>
        <w:t>implementation period,</w:t>
      </w:r>
      <w:r w:rsidRPr="00FE7BA7">
        <w:rPr>
          <w:rFonts w:ascii="Verdana" w:hAnsi="Verdana"/>
          <w:sz w:val="20"/>
          <w:szCs w:val="20"/>
          <w:lang w:val="en-US"/>
        </w:rPr>
        <w:t xml:space="preserve"> the parties must provi</w:t>
      </w:r>
      <w:r w:rsidR="00411F9C" w:rsidRPr="00FE7BA7">
        <w:rPr>
          <w:rFonts w:ascii="Verdana" w:hAnsi="Verdana"/>
          <w:sz w:val="20"/>
          <w:szCs w:val="20"/>
          <w:lang w:val="en-US"/>
        </w:rPr>
        <w:t>de</w:t>
      </w:r>
      <w:r w:rsidR="003231F8" w:rsidRPr="00FE7BA7">
        <w:rPr>
          <w:rFonts w:ascii="Verdana" w:hAnsi="Verdana"/>
          <w:sz w:val="20"/>
          <w:szCs w:val="20"/>
          <w:lang w:val="en-US"/>
        </w:rPr>
        <w:t xml:space="preserve"> the</w:t>
      </w:r>
      <w:r w:rsidR="00411F9C" w:rsidRPr="00FE7BA7">
        <w:rPr>
          <w:rFonts w:ascii="Verdana" w:hAnsi="Verdana"/>
          <w:sz w:val="20"/>
          <w:szCs w:val="20"/>
          <w:lang w:val="en-US"/>
        </w:rPr>
        <w:t xml:space="preserve"> </w:t>
      </w:r>
      <w:r w:rsidRPr="00FE7BA7">
        <w:rPr>
          <w:rFonts w:ascii="Verdana" w:hAnsi="Verdana"/>
          <w:sz w:val="20"/>
          <w:szCs w:val="20"/>
          <w:lang w:val="en-US"/>
        </w:rPr>
        <w:t xml:space="preserve">Court with an </w:t>
      </w:r>
      <w:r w:rsidR="00FE7BA7" w:rsidRPr="00FE7BA7">
        <w:rPr>
          <w:rFonts w:ascii="Verdana" w:hAnsi="Verdana"/>
          <w:sz w:val="20"/>
          <w:szCs w:val="20"/>
          <w:lang w:val="en-US"/>
        </w:rPr>
        <w:t>annual</w:t>
      </w:r>
      <w:r w:rsidRPr="00FE7BA7">
        <w:rPr>
          <w:rFonts w:ascii="Verdana" w:hAnsi="Verdana"/>
          <w:sz w:val="20"/>
          <w:szCs w:val="20"/>
          <w:lang w:val="en-US"/>
        </w:rPr>
        <w:t xml:space="preserve"> report describing the projects in </w:t>
      </w:r>
      <w:r w:rsidR="00C07DBC">
        <w:rPr>
          <w:rFonts w:ascii="Verdana" w:hAnsi="Verdana"/>
          <w:sz w:val="20"/>
          <w:szCs w:val="20"/>
          <w:lang w:val="en-US"/>
        </w:rPr>
        <w:t>which the sum allocated to the f</w:t>
      </w:r>
      <w:r w:rsidRPr="00C07DBC">
        <w:rPr>
          <w:rFonts w:ascii="Verdana" w:hAnsi="Verdana"/>
          <w:sz w:val="20"/>
          <w:szCs w:val="20"/>
          <w:lang w:val="en-US"/>
        </w:rPr>
        <w:t>und is invested</w:t>
      </w:r>
      <w:r w:rsidR="00A91B78" w:rsidRPr="00C07DBC">
        <w:rPr>
          <w:rFonts w:ascii="Verdana" w:hAnsi="Verdana"/>
          <w:sz w:val="20"/>
          <w:szCs w:val="20"/>
          <w:lang w:val="en-US"/>
        </w:rPr>
        <w:t>.</w:t>
      </w:r>
    </w:p>
    <w:p w14:paraId="63126B1A" w14:textId="77777777" w:rsidR="00A91B78" w:rsidRPr="00FE7BA7" w:rsidRDefault="00A91B78" w:rsidP="00A91B78">
      <w:pPr>
        <w:jc w:val="both"/>
        <w:rPr>
          <w:rFonts w:ascii="Verdana" w:hAnsi="Verdana"/>
          <w:sz w:val="20"/>
          <w:szCs w:val="20"/>
          <w:lang w:val="en-US"/>
        </w:rPr>
      </w:pPr>
    </w:p>
    <w:p w14:paraId="63126B1B" w14:textId="77777777" w:rsidR="00A91B78" w:rsidRPr="00FE7BA7" w:rsidRDefault="00C34C52" w:rsidP="00A91B78">
      <w:pPr>
        <w:pStyle w:val="Heading2"/>
        <w:numPr>
          <w:ilvl w:val="0"/>
          <w:numId w:val="42"/>
        </w:numPr>
        <w:spacing w:before="0"/>
        <w:jc w:val="both"/>
        <w:rPr>
          <w:rFonts w:ascii="Verdana" w:hAnsi="Verdana"/>
          <w:bCs w:val="0"/>
          <w:i/>
          <w:color w:val="auto"/>
          <w:sz w:val="20"/>
          <w:szCs w:val="20"/>
          <w:lang w:val="en-US"/>
        </w:rPr>
      </w:pPr>
      <w:bookmarkStart w:id="89" w:name="_Toc441673231"/>
      <w:r w:rsidRPr="00FE7BA7">
        <w:rPr>
          <w:rFonts w:ascii="Verdana" w:hAnsi="Verdana"/>
          <w:bCs w:val="0"/>
          <w:i/>
          <w:color w:val="auto"/>
          <w:sz w:val="20"/>
          <w:szCs w:val="20"/>
          <w:lang w:val="en-US"/>
        </w:rPr>
        <w:t>Guarantees of non-repetition</w:t>
      </w:r>
      <w:bookmarkEnd w:id="89"/>
    </w:p>
    <w:p w14:paraId="63126B1C" w14:textId="77777777" w:rsidR="00A91B78" w:rsidRPr="00FE7BA7" w:rsidRDefault="00A91B78" w:rsidP="00A91B78">
      <w:pPr>
        <w:jc w:val="both"/>
        <w:rPr>
          <w:rFonts w:ascii="Verdana" w:hAnsi="Verdana"/>
          <w:snapToGrid w:val="0"/>
          <w:sz w:val="20"/>
          <w:szCs w:val="20"/>
          <w:lang w:val="en-US"/>
        </w:rPr>
      </w:pPr>
    </w:p>
    <w:p w14:paraId="63126B1D" w14:textId="77777777" w:rsidR="00A91B78" w:rsidRPr="00FE7BA7" w:rsidRDefault="00411F9C"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In cases such as this one, in which repeated violations of the human rights of</w:t>
      </w:r>
      <w:r w:rsidR="00511E56" w:rsidRPr="00FE7BA7">
        <w:rPr>
          <w:rFonts w:ascii="Verdana" w:hAnsi="Verdana"/>
          <w:sz w:val="20"/>
          <w:szCs w:val="20"/>
          <w:lang w:val="en-US"/>
        </w:rPr>
        <w:t xml:space="preserve"> </w:t>
      </w:r>
      <w:r w:rsidR="00967E6B" w:rsidRPr="00FE7BA7">
        <w:rPr>
          <w:rFonts w:ascii="Verdana" w:hAnsi="Verdana"/>
          <w:sz w:val="20"/>
          <w:szCs w:val="20"/>
          <w:lang w:val="en-US"/>
        </w:rPr>
        <w:t xml:space="preserve">indigenous and </w:t>
      </w:r>
      <w:r w:rsidR="00F32607" w:rsidRPr="00FE7BA7">
        <w:rPr>
          <w:rFonts w:ascii="Verdana" w:hAnsi="Verdana"/>
          <w:sz w:val="20"/>
          <w:szCs w:val="20"/>
          <w:lang w:val="en-US"/>
        </w:rPr>
        <w:t>tribal peoples</w:t>
      </w:r>
      <w:r w:rsidRPr="00FE7BA7">
        <w:rPr>
          <w:rFonts w:ascii="Verdana" w:hAnsi="Verdana"/>
          <w:sz w:val="20"/>
          <w:szCs w:val="20"/>
          <w:lang w:val="en-US"/>
        </w:rPr>
        <w:t xml:space="preserve"> have been committed, the</w:t>
      </w:r>
      <w:r w:rsidR="00A91B78" w:rsidRPr="00FE7BA7">
        <w:rPr>
          <w:rFonts w:ascii="Verdana" w:hAnsi="Verdana"/>
          <w:sz w:val="20"/>
          <w:szCs w:val="20"/>
          <w:lang w:val="en-US"/>
        </w:rPr>
        <w:t xml:space="preserve"> </w:t>
      </w:r>
      <w:r w:rsidRPr="00FE7BA7">
        <w:rPr>
          <w:rFonts w:ascii="Verdana" w:hAnsi="Verdana"/>
          <w:sz w:val="20"/>
          <w:szCs w:val="20"/>
          <w:lang w:val="en-US"/>
        </w:rPr>
        <w:t>g</w:t>
      </w:r>
      <w:r w:rsidR="00C34C52" w:rsidRPr="00FE7BA7">
        <w:rPr>
          <w:rFonts w:ascii="Verdana" w:hAnsi="Verdana"/>
          <w:sz w:val="20"/>
          <w:szCs w:val="20"/>
          <w:lang w:val="en-US"/>
        </w:rPr>
        <w:t>uarantees of non-repetition</w:t>
      </w:r>
      <w:r w:rsidR="00A91B78" w:rsidRPr="00FE7BA7">
        <w:rPr>
          <w:rFonts w:ascii="Verdana" w:hAnsi="Verdana"/>
          <w:sz w:val="20"/>
          <w:szCs w:val="20"/>
          <w:lang w:val="en-US"/>
        </w:rPr>
        <w:t xml:space="preserve"> a</w:t>
      </w:r>
      <w:r w:rsidRPr="00FE7BA7">
        <w:rPr>
          <w:rFonts w:ascii="Verdana" w:hAnsi="Verdana"/>
          <w:sz w:val="20"/>
          <w:szCs w:val="20"/>
          <w:lang w:val="en-US"/>
        </w:rPr>
        <w:t>cquire greater relevance as a measure of reparation, so that similar acts are not repeated and also to contribute to prevention.</w:t>
      </w:r>
      <w:r w:rsidR="00A91B78" w:rsidRPr="00FE7BA7">
        <w:rPr>
          <w:rStyle w:val="FootnoteReference"/>
          <w:rFonts w:eastAsia="MS Gothic"/>
          <w:szCs w:val="20"/>
          <w:lang w:val="en-US"/>
        </w:rPr>
        <w:footnoteReference w:id="338"/>
      </w:r>
      <w:r w:rsidR="00A91B78" w:rsidRPr="00FE7BA7">
        <w:rPr>
          <w:rFonts w:ascii="Verdana" w:hAnsi="Verdana"/>
          <w:sz w:val="20"/>
          <w:szCs w:val="20"/>
          <w:lang w:val="en-US"/>
        </w:rPr>
        <w:t xml:space="preserve"> </w:t>
      </w:r>
      <w:r w:rsidR="00226A46" w:rsidRPr="00FE7BA7">
        <w:rPr>
          <w:rFonts w:ascii="Verdana" w:hAnsi="Verdana"/>
          <w:sz w:val="20"/>
          <w:szCs w:val="20"/>
          <w:lang w:val="en-US"/>
        </w:rPr>
        <w:t xml:space="preserve">In this regard, the Court recalls that the State must adopt any legal, </w:t>
      </w:r>
      <w:r w:rsidR="00226A46" w:rsidRPr="00FE7BA7">
        <w:rPr>
          <w:rFonts w:ascii="Verdana" w:hAnsi="Verdana"/>
          <w:sz w:val="20"/>
          <w:szCs w:val="20"/>
          <w:lang w:val="en-US"/>
        </w:rPr>
        <w:lastRenderedPageBreak/>
        <w:t>administrative or other type of measures necessary to ensure effective exercise of the rights</w:t>
      </w:r>
      <w:r w:rsidR="00A91B78" w:rsidRPr="00FE7BA7">
        <w:rPr>
          <w:rStyle w:val="FootnoteReference"/>
          <w:rFonts w:eastAsia="MS Gothic"/>
          <w:szCs w:val="20"/>
          <w:lang w:val="en-US"/>
        </w:rPr>
        <w:footnoteReference w:id="339"/>
      </w:r>
      <w:r w:rsidR="00511E56" w:rsidRPr="00FE7BA7">
        <w:rPr>
          <w:rFonts w:ascii="Verdana" w:hAnsi="Verdana"/>
          <w:sz w:val="20"/>
          <w:szCs w:val="20"/>
          <w:lang w:val="en-US"/>
        </w:rPr>
        <w:t xml:space="preserve"> of the </w:t>
      </w:r>
      <w:r w:rsidR="00967E6B" w:rsidRPr="00FE7BA7">
        <w:rPr>
          <w:rFonts w:ascii="Verdana" w:hAnsi="Verdana"/>
          <w:sz w:val="20"/>
          <w:szCs w:val="20"/>
          <w:lang w:val="en-US"/>
        </w:rPr>
        <w:t xml:space="preserve">indigenous and </w:t>
      </w:r>
      <w:r w:rsidR="00F32607" w:rsidRPr="00FE7BA7">
        <w:rPr>
          <w:rFonts w:ascii="Verdana" w:hAnsi="Verdana"/>
          <w:sz w:val="20"/>
          <w:szCs w:val="20"/>
          <w:lang w:val="en-US"/>
        </w:rPr>
        <w:t>tribal peoples</w:t>
      </w:r>
      <w:r w:rsidR="00A91B78" w:rsidRPr="00FE7BA7">
        <w:rPr>
          <w:rFonts w:ascii="Verdana" w:hAnsi="Verdana"/>
          <w:sz w:val="20"/>
          <w:szCs w:val="20"/>
          <w:lang w:val="en-US"/>
        </w:rPr>
        <w:t xml:space="preserve">, </w:t>
      </w:r>
      <w:r w:rsidR="00226A46" w:rsidRPr="00FE7BA7">
        <w:rPr>
          <w:rFonts w:ascii="Verdana" w:hAnsi="Verdana"/>
          <w:sz w:val="20"/>
          <w:szCs w:val="20"/>
          <w:lang w:val="en-US"/>
        </w:rPr>
        <w:t>pursuant to its obligation to respect and ensure rights established in</w:t>
      </w:r>
      <w:r w:rsidR="00A91B78" w:rsidRPr="00FE7BA7">
        <w:rPr>
          <w:rFonts w:ascii="Verdana" w:hAnsi="Verdana"/>
          <w:sz w:val="20"/>
          <w:szCs w:val="20"/>
          <w:lang w:val="en-US"/>
        </w:rPr>
        <w:t xml:space="preserve"> </w:t>
      </w:r>
      <w:r w:rsidR="00773D70" w:rsidRPr="00FE7BA7">
        <w:rPr>
          <w:rFonts w:ascii="Verdana" w:hAnsi="Verdana"/>
          <w:sz w:val="20"/>
          <w:szCs w:val="20"/>
          <w:lang w:val="en-US"/>
        </w:rPr>
        <w:t>Articles 1(1)</w:t>
      </w:r>
      <w:r w:rsidR="002B5CCD" w:rsidRPr="00FE7BA7">
        <w:rPr>
          <w:rFonts w:ascii="Verdana" w:hAnsi="Verdana"/>
          <w:sz w:val="20"/>
          <w:szCs w:val="20"/>
          <w:lang w:val="en-US"/>
        </w:rPr>
        <w:t xml:space="preserve"> and </w:t>
      </w:r>
      <w:r w:rsidR="00A91B78" w:rsidRPr="00FE7BA7">
        <w:rPr>
          <w:rFonts w:ascii="Verdana" w:hAnsi="Verdana"/>
          <w:sz w:val="20"/>
          <w:szCs w:val="20"/>
          <w:lang w:val="en-US"/>
        </w:rPr>
        <w:t>2</w:t>
      </w:r>
      <w:r w:rsidR="002B5CCD" w:rsidRPr="00FE7BA7">
        <w:rPr>
          <w:rFonts w:ascii="Verdana" w:hAnsi="Verdana"/>
          <w:sz w:val="20"/>
          <w:szCs w:val="20"/>
          <w:lang w:val="en-US"/>
        </w:rPr>
        <w:t xml:space="preserve"> of the Convention</w:t>
      </w:r>
      <w:r w:rsidR="00A91B78" w:rsidRPr="00FE7BA7">
        <w:rPr>
          <w:rFonts w:ascii="Verdana" w:hAnsi="Verdana"/>
          <w:sz w:val="20"/>
          <w:szCs w:val="20"/>
          <w:lang w:val="en-US"/>
        </w:rPr>
        <w:t xml:space="preserve">. </w:t>
      </w:r>
    </w:p>
    <w:p w14:paraId="63126B1E" w14:textId="77777777" w:rsidR="00A91B78" w:rsidRPr="00FE7BA7" w:rsidRDefault="00A91B78" w:rsidP="00A91B78">
      <w:pPr>
        <w:pStyle w:val="ListParagraph"/>
        <w:ind w:left="0"/>
        <w:jc w:val="both"/>
        <w:rPr>
          <w:rFonts w:ascii="Verdana" w:hAnsi="Verdana"/>
          <w:b/>
          <w:sz w:val="20"/>
          <w:szCs w:val="20"/>
          <w:lang w:val="en-US"/>
        </w:rPr>
      </w:pPr>
    </w:p>
    <w:p w14:paraId="63126B1F" w14:textId="54B68AB7" w:rsidR="006465E1" w:rsidRPr="00FE7BA7" w:rsidRDefault="006465E1" w:rsidP="009E77BD">
      <w:pPr>
        <w:pStyle w:val="Heading3"/>
        <w:spacing w:before="0"/>
        <w:ind w:left="360"/>
        <w:jc w:val="both"/>
        <w:rPr>
          <w:rFonts w:ascii="Verdana" w:hAnsi="Verdana"/>
          <w:i/>
          <w:color w:val="auto"/>
          <w:sz w:val="20"/>
          <w:szCs w:val="20"/>
          <w:lang w:val="en-US"/>
        </w:rPr>
      </w:pPr>
      <w:bookmarkStart w:id="90" w:name="_Toc441673232"/>
      <w:r w:rsidRPr="00FE7BA7">
        <w:rPr>
          <w:rFonts w:ascii="Verdana" w:hAnsi="Verdana"/>
          <w:i/>
          <w:color w:val="auto"/>
          <w:sz w:val="20"/>
          <w:szCs w:val="20"/>
          <w:lang w:val="en-US"/>
        </w:rPr>
        <w:t>E</w:t>
      </w:r>
      <w:r w:rsidR="00A91B78" w:rsidRPr="00FE7BA7">
        <w:rPr>
          <w:rFonts w:ascii="Verdana" w:hAnsi="Verdana"/>
          <w:i/>
          <w:color w:val="auto"/>
          <w:sz w:val="20"/>
          <w:szCs w:val="20"/>
          <w:lang w:val="en-US"/>
        </w:rPr>
        <w:t xml:space="preserve">.1 </w:t>
      </w:r>
      <w:r w:rsidR="00C34C52" w:rsidRPr="00FE7BA7">
        <w:rPr>
          <w:rFonts w:ascii="Verdana" w:hAnsi="Verdana"/>
          <w:i/>
          <w:color w:val="auto"/>
          <w:sz w:val="20"/>
          <w:szCs w:val="20"/>
          <w:lang w:val="en-US"/>
        </w:rPr>
        <w:t>Measures for the</w:t>
      </w:r>
      <w:r w:rsidR="007E0A8B" w:rsidRPr="00FE7BA7">
        <w:rPr>
          <w:rFonts w:ascii="Verdana" w:hAnsi="Verdana"/>
          <w:i/>
          <w:color w:val="auto"/>
          <w:sz w:val="20"/>
          <w:szCs w:val="20"/>
          <w:lang w:val="en-US"/>
        </w:rPr>
        <w:t xml:space="preserve"> </w:t>
      </w:r>
      <w:r w:rsidR="00773D70" w:rsidRPr="00FE7BA7">
        <w:rPr>
          <w:rFonts w:ascii="Verdana" w:hAnsi="Verdana"/>
          <w:i/>
          <w:color w:val="auto"/>
          <w:sz w:val="20"/>
          <w:szCs w:val="20"/>
          <w:lang w:val="en-US"/>
        </w:rPr>
        <w:t>recognition of juridical personality</w:t>
      </w:r>
      <w:r w:rsidR="007E0A8B" w:rsidRPr="00FE7BA7">
        <w:rPr>
          <w:rFonts w:ascii="Verdana" w:hAnsi="Verdana"/>
          <w:i/>
          <w:color w:val="auto"/>
          <w:sz w:val="20"/>
          <w:szCs w:val="20"/>
          <w:lang w:val="en-US"/>
        </w:rPr>
        <w:t xml:space="preserve">, </w:t>
      </w:r>
      <w:r w:rsidR="00896A30">
        <w:rPr>
          <w:rFonts w:ascii="Verdana" w:hAnsi="Verdana"/>
          <w:i/>
          <w:color w:val="auto"/>
          <w:sz w:val="20"/>
          <w:szCs w:val="20"/>
          <w:lang w:val="en-US"/>
        </w:rPr>
        <w:t xml:space="preserve">and </w:t>
      </w:r>
      <w:r w:rsidR="00C34C52" w:rsidRPr="00FE7BA7">
        <w:rPr>
          <w:rFonts w:ascii="Verdana" w:hAnsi="Verdana"/>
          <w:i/>
          <w:color w:val="auto"/>
          <w:sz w:val="20"/>
          <w:szCs w:val="20"/>
          <w:lang w:val="en-US"/>
        </w:rPr>
        <w:t>guarantees of collective property, participation, and access to justice</w:t>
      </w:r>
      <w:bookmarkEnd w:id="90"/>
    </w:p>
    <w:p w14:paraId="63126B20" w14:textId="77777777" w:rsidR="006465E1" w:rsidRPr="00FE7BA7" w:rsidRDefault="006465E1" w:rsidP="006465E1">
      <w:pPr>
        <w:jc w:val="both"/>
        <w:rPr>
          <w:rFonts w:ascii="Verdana" w:hAnsi="Verdana"/>
          <w:sz w:val="20"/>
          <w:szCs w:val="20"/>
          <w:lang w:val="en-US"/>
        </w:rPr>
      </w:pPr>
    </w:p>
    <w:p w14:paraId="63126B21" w14:textId="2FE789CA" w:rsidR="006465E1" w:rsidRDefault="00226A46" w:rsidP="00226A46">
      <w:pPr>
        <w:numPr>
          <w:ilvl w:val="0"/>
          <w:numId w:val="2"/>
        </w:numPr>
        <w:ind w:left="0" w:hanging="11"/>
        <w:contextualSpacing/>
        <w:jc w:val="both"/>
        <w:rPr>
          <w:rFonts w:ascii="Verdana" w:hAnsi="Verdana"/>
          <w:sz w:val="20"/>
          <w:szCs w:val="20"/>
          <w:lang w:val="en-US"/>
        </w:rPr>
      </w:pPr>
      <w:r w:rsidRPr="00FE7BA7">
        <w:rPr>
          <w:rFonts w:ascii="Verdana" w:hAnsi="Verdana"/>
          <w:sz w:val="20"/>
          <w:lang w:val="en-US"/>
        </w:rPr>
        <w:t>In addition</w:t>
      </w:r>
      <w:r w:rsidR="004D41B7" w:rsidRPr="00FE7BA7">
        <w:rPr>
          <w:rFonts w:ascii="Verdana" w:hAnsi="Verdana"/>
          <w:sz w:val="20"/>
          <w:lang w:val="en-US"/>
        </w:rPr>
        <w:t xml:space="preserve"> </w:t>
      </w:r>
      <w:r w:rsidRPr="00FE7BA7">
        <w:rPr>
          <w:rFonts w:ascii="Verdana" w:hAnsi="Verdana"/>
          <w:sz w:val="20"/>
          <w:lang w:val="en-US"/>
        </w:rPr>
        <w:t xml:space="preserve">to the measures requested for </w:t>
      </w:r>
      <w:r w:rsidR="00635ACD" w:rsidRPr="00FE7BA7">
        <w:rPr>
          <w:rFonts w:ascii="Verdana" w:hAnsi="Verdana"/>
          <w:sz w:val="20"/>
          <w:lang w:val="en-US"/>
        </w:rPr>
        <w:t xml:space="preserve">the </w:t>
      </w:r>
      <w:r w:rsidR="004C7D14" w:rsidRPr="00FE7BA7">
        <w:rPr>
          <w:rFonts w:ascii="Verdana" w:hAnsi="Verdana"/>
          <w:sz w:val="20"/>
          <w:lang w:val="en-US"/>
        </w:rPr>
        <w:t>Kaliña and Lokono peoples</w:t>
      </w:r>
      <w:r w:rsidR="004D41B7" w:rsidRPr="00FE7BA7">
        <w:rPr>
          <w:rFonts w:ascii="Verdana" w:hAnsi="Verdana"/>
          <w:sz w:val="20"/>
          <w:lang w:val="en-US"/>
        </w:rPr>
        <w:t xml:space="preserve"> (</w:t>
      </w:r>
      <w:r w:rsidR="004D41B7" w:rsidRPr="00FE7BA7">
        <w:rPr>
          <w:rFonts w:ascii="Verdana" w:hAnsi="Verdana"/>
          <w:i/>
          <w:sz w:val="20"/>
          <w:lang w:val="en-US"/>
        </w:rPr>
        <w:t>supra</w:t>
      </w:r>
      <w:r w:rsidR="004D41B7" w:rsidRPr="00FE7BA7">
        <w:rPr>
          <w:rFonts w:ascii="Verdana" w:hAnsi="Verdana"/>
          <w:sz w:val="20"/>
          <w:lang w:val="en-US"/>
        </w:rPr>
        <w:t xml:space="preserve"> </w:t>
      </w:r>
      <w:r w:rsidR="008F798A" w:rsidRPr="00FE7BA7">
        <w:rPr>
          <w:rFonts w:ascii="Verdana" w:hAnsi="Verdana"/>
          <w:sz w:val="20"/>
          <w:lang w:val="en-US"/>
        </w:rPr>
        <w:t>paras.</w:t>
      </w:r>
      <w:r w:rsidR="004D41B7" w:rsidRPr="00FE7BA7">
        <w:rPr>
          <w:rFonts w:ascii="Verdana" w:hAnsi="Verdana"/>
          <w:sz w:val="20"/>
          <w:lang w:val="en-US"/>
        </w:rPr>
        <w:t xml:space="preserve"> </w:t>
      </w:r>
      <w:r w:rsidR="00E95007" w:rsidRPr="00FE7BA7">
        <w:rPr>
          <w:rFonts w:ascii="Verdana" w:hAnsi="Verdana"/>
          <w:sz w:val="20"/>
          <w:lang w:val="en-US"/>
        </w:rPr>
        <w:t>274</w:t>
      </w:r>
      <w:r w:rsidR="002B5CCD" w:rsidRPr="00FE7BA7">
        <w:rPr>
          <w:rFonts w:ascii="Verdana" w:hAnsi="Verdana"/>
          <w:sz w:val="20"/>
          <w:lang w:val="en-US"/>
        </w:rPr>
        <w:t xml:space="preserve"> and </w:t>
      </w:r>
      <w:r w:rsidR="00790F7E" w:rsidRPr="00FE7BA7">
        <w:rPr>
          <w:rFonts w:ascii="Verdana" w:hAnsi="Verdana"/>
          <w:sz w:val="20"/>
          <w:lang w:val="en-US"/>
        </w:rPr>
        <w:t>275</w:t>
      </w:r>
      <w:r w:rsidR="00E95007" w:rsidRPr="00FE7BA7">
        <w:rPr>
          <w:rFonts w:ascii="Verdana" w:hAnsi="Verdana"/>
          <w:sz w:val="20"/>
          <w:lang w:val="en-US"/>
        </w:rPr>
        <w:t xml:space="preserve">), </w:t>
      </w:r>
      <w:r w:rsidR="002B5CCD" w:rsidRPr="00FE7BA7">
        <w:rPr>
          <w:rFonts w:ascii="Verdana" w:hAnsi="Verdana"/>
          <w:sz w:val="20"/>
          <w:szCs w:val="20"/>
          <w:lang w:val="en-US"/>
        </w:rPr>
        <w:t xml:space="preserve">the </w:t>
      </w:r>
      <w:r w:rsidR="002B5CCD" w:rsidRPr="006C4E70">
        <w:rPr>
          <w:rFonts w:ascii="Verdana" w:hAnsi="Verdana"/>
          <w:b/>
          <w:i/>
          <w:sz w:val="20"/>
          <w:szCs w:val="20"/>
          <w:lang w:val="en-US"/>
        </w:rPr>
        <w:t>Commission</w:t>
      </w:r>
      <w:r w:rsidR="006465E1" w:rsidRPr="00FE7BA7">
        <w:rPr>
          <w:rFonts w:ascii="Verdana" w:hAnsi="Verdana"/>
          <w:sz w:val="20"/>
          <w:szCs w:val="20"/>
          <w:lang w:val="en-US"/>
        </w:rPr>
        <w:t xml:space="preserve"> </w:t>
      </w:r>
      <w:r w:rsidRPr="00FE7BA7">
        <w:rPr>
          <w:rFonts w:ascii="Verdana" w:hAnsi="Verdana"/>
          <w:sz w:val="20"/>
          <w:szCs w:val="20"/>
          <w:lang w:val="en-US"/>
        </w:rPr>
        <w:t>also asked</w:t>
      </w:r>
      <w:r w:rsidR="005F33DA">
        <w:rPr>
          <w:rFonts w:ascii="Verdana" w:hAnsi="Verdana"/>
          <w:sz w:val="20"/>
          <w:szCs w:val="20"/>
          <w:lang w:val="en-US"/>
        </w:rPr>
        <w:t xml:space="preserve"> that</w:t>
      </w:r>
      <w:r w:rsidRPr="00FE7BA7">
        <w:rPr>
          <w:rFonts w:ascii="Verdana" w:hAnsi="Verdana"/>
          <w:sz w:val="20"/>
          <w:szCs w:val="20"/>
          <w:lang w:val="en-US"/>
        </w:rPr>
        <w:t xml:space="preserve"> the Court order the State to take the legislative, administrative and any other measures necessary to recognize to the </w:t>
      </w:r>
      <w:r w:rsidRPr="00FE7BA7">
        <w:rPr>
          <w:rFonts w:ascii="Verdana" w:hAnsi="Verdana" w:cs="Arial"/>
          <w:color w:val="222222"/>
          <w:sz w:val="20"/>
          <w:szCs w:val="20"/>
          <w:lang w:val="en-US"/>
        </w:rPr>
        <w:t>indigenous peoples: (a) juridical personality; (b) the right to collective property;</w:t>
      </w:r>
      <w:r w:rsidR="00A65908">
        <w:rPr>
          <w:rFonts w:ascii="Verdana" w:hAnsi="Verdana" w:cs="Arial"/>
          <w:color w:val="222222"/>
          <w:sz w:val="20"/>
          <w:szCs w:val="20"/>
          <w:lang w:val="en-US"/>
        </w:rPr>
        <w:t xml:space="preserve"> </w:t>
      </w:r>
      <w:r w:rsidRPr="00FE7BA7">
        <w:rPr>
          <w:rFonts w:ascii="Verdana" w:hAnsi="Verdana" w:cs="Arial"/>
          <w:color w:val="222222"/>
          <w:sz w:val="20"/>
          <w:szCs w:val="20"/>
          <w:lang w:val="en-US"/>
        </w:rPr>
        <w:t xml:space="preserve">(c) the right to </w:t>
      </w:r>
      <w:r w:rsidR="00A65908">
        <w:rPr>
          <w:rFonts w:ascii="Verdana" w:hAnsi="Verdana" w:cs="Arial"/>
          <w:color w:val="222222"/>
          <w:sz w:val="20"/>
          <w:szCs w:val="20"/>
          <w:lang w:val="en-US"/>
        </w:rPr>
        <w:t>be consulted</w:t>
      </w:r>
      <w:r w:rsidRPr="00FE7BA7">
        <w:rPr>
          <w:rFonts w:ascii="Verdana" w:hAnsi="Verdana" w:cs="Arial"/>
          <w:color w:val="222222"/>
          <w:sz w:val="20"/>
          <w:szCs w:val="20"/>
          <w:lang w:val="en-US"/>
        </w:rPr>
        <w:t xml:space="preserve"> with regard to any development, investment or conservation project</w:t>
      </w:r>
      <w:r w:rsidR="00A65908">
        <w:rPr>
          <w:rFonts w:ascii="Verdana" w:hAnsi="Verdana" w:cs="Arial"/>
          <w:color w:val="222222"/>
          <w:sz w:val="20"/>
          <w:szCs w:val="20"/>
          <w:lang w:val="en-US"/>
        </w:rPr>
        <w:t>s</w:t>
      </w:r>
      <w:r w:rsidRPr="00FE7BA7">
        <w:rPr>
          <w:rFonts w:ascii="Verdana" w:hAnsi="Verdana" w:cs="Arial"/>
          <w:color w:val="222222"/>
          <w:sz w:val="20"/>
          <w:szCs w:val="20"/>
          <w:lang w:val="en-US"/>
        </w:rPr>
        <w:t>, and (d) the right to judicial prot</w:t>
      </w:r>
      <w:r w:rsidR="00A65908">
        <w:rPr>
          <w:rFonts w:ascii="Verdana" w:hAnsi="Verdana" w:cs="Arial"/>
          <w:color w:val="222222"/>
          <w:sz w:val="20"/>
          <w:szCs w:val="20"/>
          <w:lang w:val="en-US"/>
        </w:rPr>
        <w:t>ect</w:t>
      </w:r>
      <w:r w:rsidR="00C07DBC">
        <w:rPr>
          <w:rFonts w:ascii="Verdana" w:hAnsi="Verdana" w:cs="Arial"/>
          <w:color w:val="222222"/>
          <w:sz w:val="20"/>
          <w:szCs w:val="20"/>
          <w:lang w:val="en-US"/>
        </w:rPr>
        <w:t xml:space="preserve">ion to defend their rights </w:t>
      </w:r>
      <w:r w:rsidR="00C07DBC" w:rsidRPr="00C07DBC">
        <w:rPr>
          <w:rFonts w:ascii="Verdana" w:hAnsi="Verdana" w:cs="Arial"/>
          <w:color w:val="222222"/>
          <w:sz w:val="20"/>
          <w:szCs w:val="20"/>
          <w:lang w:val="en-US"/>
        </w:rPr>
        <w:t>vis-</w:t>
      </w:r>
      <w:r w:rsidR="00C07DBC" w:rsidRPr="00C07DBC">
        <w:rPr>
          <w:rFonts w:ascii="Verdana" w:hAnsi="Verdana"/>
          <w:sz w:val="20"/>
          <w:szCs w:val="20"/>
          <w:lang w:val="en-US"/>
        </w:rPr>
        <w:t>à</w:t>
      </w:r>
      <w:r w:rsidR="00A65908" w:rsidRPr="00C07DBC">
        <w:rPr>
          <w:rFonts w:ascii="Verdana" w:hAnsi="Verdana" w:cs="Arial"/>
          <w:color w:val="222222"/>
          <w:sz w:val="20"/>
          <w:szCs w:val="20"/>
          <w:lang w:val="en-US"/>
        </w:rPr>
        <w:t>-vis</w:t>
      </w:r>
      <w:r w:rsidRPr="00FE7BA7">
        <w:rPr>
          <w:rFonts w:ascii="Verdana" w:hAnsi="Verdana"/>
          <w:sz w:val="20"/>
          <w:szCs w:val="20"/>
          <w:lang w:val="en-US"/>
        </w:rPr>
        <w:t xml:space="preserve"> </w:t>
      </w:r>
      <w:r w:rsidR="00DA4B96" w:rsidRPr="00FE7BA7">
        <w:rPr>
          <w:rFonts w:ascii="Verdana" w:hAnsi="Verdana"/>
          <w:sz w:val="20"/>
          <w:szCs w:val="20"/>
          <w:lang w:val="en-US"/>
        </w:rPr>
        <w:t xml:space="preserve">their traditional </w:t>
      </w:r>
      <w:r w:rsidR="00FE7BA7" w:rsidRPr="00FE7BA7">
        <w:rPr>
          <w:rFonts w:ascii="Verdana" w:hAnsi="Verdana"/>
          <w:sz w:val="20"/>
          <w:szCs w:val="20"/>
          <w:lang w:val="en-US"/>
        </w:rPr>
        <w:t>territories</w:t>
      </w:r>
      <w:r w:rsidRPr="00FE7BA7">
        <w:rPr>
          <w:rFonts w:ascii="Verdana" w:hAnsi="Verdana"/>
          <w:sz w:val="20"/>
          <w:szCs w:val="20"/>
          <w:lang w:val="en-US"/>
        </w:rPr>
        <w:t>.</w:t>
      </w:r>
      <w:r w:rsidR="00BC47E7" w:rsidRPr="00FE7BA7">
        <w:rPr>
          <w:rFonts w:ascii="Verdana" w:hAnsi="Verdana"/>
          <w:sz w:val="20"/>
          <w:szCs w:val="20"/>
          <w:lang w:val="en-US"/>
        </w:rPr>
        <w:t xml:space="preserve"> </w:t>
      </w:r>
      <w:r w:rsidRPr="00FE7BA7">
        <w:rPr>
          <w:rFonts w:ascii="Verdana" w:hAnsi="Verdana"/>
          <w:sz w:val="20"/>
          <w:szCs w:val="20"/>
          <w:lang w:val="en-US"/>
        </w:rPr>
        <w:t>T</w:t>
      </w:r>
      <w:r w:rsidR="002B5CCD" w:rsidRPr="00FE7BA7">
        <w:rPr>
          <w:rFonts w:ascii="Verdana" w:hAnsi="Verdana"/>
          <w:sz w:val="20"/>
          <w:szCs w:val="20"/>
          <w:lang w:val="en-US"/>
        </w:rPr>
        <w:t>he Commission</w:t>
      </w:r>
      <w:r w:rsidR="008A455A" w:rsidRPr="00FE7BA7">
        <w:rPr>
          <w:rFonts w:ascii="Verdana" w:hAnsi="Verdana"/>
          <w:sz w:val="20"/>
          <w:szCs w:val="20"/>
          <w:lang w:val="en-US"/>
        </w:rPr>
        <w:t xml:space="preserve"> </w:t>
      </w:r>
      <w:r w:rsidRPr="00FE7BA7">
        <w:rPr>
          <w:rFonts w:ascii="Verdana" w:hAnsi="Verdana"/>
          <w:sz w:val="20"/>
          <w:szCs w:val="20"/>
          <w:lang w:val="en-US"/>
        </w:rPr>
        <w:t>also considered that the State should eliminate the</w:t>
      </w:r>
      <w:r w:rsidR="00A65908">
        <w:rPr>
          <w:rFonts w:ascii="Verdana" w:hAnsi="Verdana"/>
          <w:sz w:val="20"/>
          <w:szCs w:val="20"/>
          <w:lang w:val="en-US"/>
        </w:rPr>
        <w:t xml:space="preserve"> legal provisions that </w:t>
      </w:r>
      <w:r w:rsidR="00C07DBC">
        <w:rPr>
          <w:rFonts w:ascii="Verdana" w:hAnsi="Verdana"/>
          <w:sz w:val="20"/>
          <w:szCs w:val="20"/>
          <w:lang w:val="en-US"/>
        </w:rPr>
        <w:t>prevented</w:t>
      </w:r>
      <w:r w:rsidRPr="00FE7BA7">
        <w:rPr>
          <w:rFonts w:ascii="Verdana" w:hAnsi="Verdana"/>
          <w:sz w:val="20"/>
          <w:szCs w:val="20"/>
          <w:lang w:val="en-US"/>
        </w:rPr>
        <w:t xml:space="preserve"> protection of the right to property, </w:t>
      </w:r>
      <w:r w:rsidR="002B5CCD" w:rsidRPr="00FE7BA7">
        <w:rPr>
          <w:rFonts w:ascii="Verdana" w:hAnsi="Verdana" w:cs="Arial"/>
          <w:color w:val="222222"/>
          <w:sz w:val="20"/>
          <w:szCs w:val="20"/>
          <w:lang w:val="en-US"/>
        </w:rPr>
        <w:t>and</w:t>
      </w:r>
      <w:r w:rsidR="002B5CCD" w:rsidRPr="00FE7BA7">
        <w:rPr>
          <w:rFonts w:ascii="Verdana" w:hAnsi="Verdana" w:cs="Arial"/>
          <w:b/>
          <w:color w:val="222222"/>
          <w:sz w:val="20"/>
          <w:szCs w:val="20"/>
          <w:lang w:val="en-US"/>
        </w:rPr>
        <w:t xml:space="preserve"> </w:t>
      </w:r>
      <w:r w:rsidR="00A65908">
        <w:rPr>
          <w:rFonts w:ascii="Verdana" w:hAnsi="Verdana"/>
          <w:sz w:val="20"/>
          <w:szCs w:val="20"/>
          <w:lang w:val="en-US"/>
        </w:rPr>
        <w:t>should r</w:t>
      </w:r>
      <w:r w:rsidR="008A455A" w:rsidRPr="00FE7BA7">
        <w:rPr>
          <w:rFonts w:ascii="Verdana" w:hAnsi="Verdana"/>
          <w:sz w:val="20"/>
          <w:szCs w:val="20"/>
          <w:lang w:val="en-US"/>
        </w:rPr>
        <w:t>ev</w:t>
      </w:r>
      <w:r w:rsidRPr="00FE7BA7">
        <w:rPr>
          <w:rFonts w:ascii="Verdana" w:hAnsi="Verdana"/>
          <w:sz w:val="20"/>
          <w:szCs w:val="20"/>
          <w:lang w:val="en-US"/>
        </w:rPr>
        <w:t>iew the existing legal framework in order to amend any provisions that were contrary to the rights of the people</w:t>
      </w:r>
      <w:r w:rsidR="00A65908">
        <w:rPr>
          <w:rFonts w:ascii="Verdana" w:hAnsi="Verdana"/>
          <w:sz w:val="20"/>
          <w:szCs w:val="20"/>
          <w:lang w:val="en-US"/>
        </w:rPr>
        <w:t>s</w:t>
      </w:r>
      <w:r w:rsidRPr="00FE7BA7">
        <w:rPr>
          <w:rFonts w:ascii="Verdana" w:hAnsi="Verdana"/>
          <w:sz w:val="20"/>
          <w:szCs w:val="20"/>
          <w:lang w:val="en-US"/>
        </w:rPr>
        <w:t xml:space="preserve"> </w:t>
      </w:r>
      <w:r w:rsidR="00A65908">
        <w:rPr>
          <w:rFonts w:ascii="Verdana" w:hAnsi="Verdana"/>
          <w:sz w:val="20"/>
          <w:szCs w:val="20"/>
          <w:lang w:val="en-US"/>
        </w:rPr>
        <w:t xml:space="preserve">which have been </w:t>
      </w:r>
      <w:r w:rsidRPr="00FE7BA7">
        <w:rPr>
          <w:rFonts w:ascii="Verdana" w:hAnsi="Verdana"/>
          <w:sz w:val="20"/>
          <w:szCs w:val="20"/>
          <w:lang w:val="en-US"/>
        </w:rPr>
        <w:t>examined in this case</w:t>
      </w:r>
      <w:r w:rsidR="00123C6C" w:rsidRPr="00FE7BA7">
        <w:rPr>
          <w:rFonts w:ascii="Verdana" w:hAnsi="Verdana"/>
          <w:sz w:val="20"/>
          <w:szCs w:val="20"/>
          <w:lang w:val="en-US"/>
        </w:rPr>
        <w:t>.</w:t>
      </w:r>
    </w:p>
    <w:p w14:paraId="63126B22" w14:textId="77777777" w:rsidR="00C14A02" w:rsidRDefault="00C14A02" w:rsidP="00C14A02">
      <w:pPr>
        <w:contextualSpacing/>
        <w:jc w:val="both"/>
        <w:rPr>
          <w:rFonts w:ascii="Verdana" w:hAnsi="Verdana"/>
          <w:sz w:val="20"/>
          <w:szCs w:val="20"/>
          <w:lang w:val="en-US"/>
        </w:rPr>
      </w:pPr>
    </w:p>
    <w:p w14:paraId="63126B23" w14:textId="609DD310" w:rsidR="00CB6F1E" w:rsidRPr="00C14A02" w:rsidRDefault="00226A46" w:rsidP="00C14A02">
      <w:pPr>
        <w:numPr>
          <w:ilvl w:val="0"/>
          <w:numId w:val="2"/>
        </w:numPr>
        <w:ind w:left="0" w:hanging="11"/>
        <w:contextualSpacing/>
        <w:jc w:val="both"/>
        <w:rPr>
          <w:rFonts w:ascii="Verdana" w:hAnsi="Verdana"/>
          <w:sz w:val="20"/>
          <w:szCs w:val="20"/>
          <w:lang w:val="en-US"/>
        </w:rPr>
      </w:pPr>
      <w:r w:rsidRPr="00C14A02">
        <w:rPr>
          <w:rFonts w:ascii="Verdana" w:hAnsi="Verdana"/>
          <w:sz w:val="20"/>
          <w:lang w:val="en-US"/>
        </w:rPr>
        <w:t xml:space="preserve">In addition to the measures requested in favor </w:t>
      </w:r>
      <w:r w:rsidR="00635ACD" w:rsidRPr="00C14A02">
        <w:rPr>
          <w:rFonts w:ascii="Verdana" w:hAnsi="Verdana"/>
          <w:sz w:val="20"/>
          <w:lang w:val="en-US"/>
        </w:rPr>
        <w:t xml:space="preserve">of the </w:t>
      </w:r>
      <w:r w:rsidR="004C7D14" w:rsidRPr="00C14A02">
        <w:rPr>
          <w:rFonts w:ascii="Verdana" w:hAnsi="Verdana"/>
          <w:sz w:val="20"/>
          <w:lang w:val="en-US"/>
        </w:rPr>
        <w:t>Kaliña and Lokono peoples</w:t>
      </w:r>
      <w:r w:rsidR="00906685" w:rsidRPr="00C14A02">
        <w:rPr>
          <w:rFonts w:ascii="Verdana" w:hAnsi="Verdana"/>
          <w:sz w:val="20"/>
          <w:lang w:val="en-US"/>
        </w:rPr>
        <w:t xml:space="preserve"> (</w:t>
      </w:r>
      <w:r w:rsidR="00906685" w:rsidRPr="00C14A02">
        <w:rPr>
          <w:rFonts w:ascii="Verdana" w:hAnsi="Verdana"/>
          <w:i/>
          <w:sz w:val="20"/>
          <w:lang w:val="en-US"/>
        </w:rPr>
        <w:t>supra</w:t>
      </w:r>
      <w:r w:rsidR="00906685" w:rsidRPr="00C14A02">
        <w:rPr>
          <w:rFonts w:ascii="Verdana" w:hAnsi="Verdana"/>
          <w:sz w:val="20"/>
          <w:lang w:val="en-US"/>
        </w:rPr>
        <w:t xml:space="preserve"> </w:t>
      </w:r>
      <w:r w:rsidR="00810FAD" w:rsidRPr="00C14A02">
        <w:rPr>
          <w:rFonts w:ascii="Verdana" w:hAnsi="Verdana"/>
          <w:sz w:val="20"/>
          <w:lang w:val="en-US"/>
        </w:rPr>
        <w:t>para.</w:t>
      </w:r>
      <w:r w:rsidR="00906685" w:rsidRPr="00C14A02">
        <w:rPr>
          <w:rFonts w:ascii="Verdana" w:hAnsi="Verdana"/>
          <w:sz w:val="20"/>
          <w:lang w:val="en-US"/>
        </w:rPr>
        <w:t xml:space="preserve"> </w:t>
      </w:r>
      <w:r w:rsidR="004E5140" w:rsidRPr="00C14A02">
        <w:rPr>
          <w:rFonts w:ascii="Verdana" w:hAnsi="Verdana"/>
          <w:sz w:val="20"/>
          <w:lang w:val="en-US"/>
        </w:rPr>
        <w:t>276</w:t>
      </w:r>
      <w:r w:rsidR="00906685" w:rsidRPr="00C14A02">
        <w:rPr>
          <w:rFonts w:ascii="Verdana" w:hAnsi="Verdana"/>
          <w:sz w:val="20"/>
          <w:lang w:val="en-US"/>
        </w:rPr>
        <w:t>),</w:t>
      </w:r>
      <w:r w:rsidR="00906685" w:rsidRPr="00C14A02">
        <w:rPr>
          <w:rFonts w:ascii="Verdana" w:hAnsi="Verdana"/>
          <w:sz w:val="20"/>
          <w:szCs w:val="20"/>
          <w:lang w:val="en-US"/>
        </w:rPr>
        <w:t xml:space="preserve"> </w:t>
      </w:r>
      <w:r w:rsidR="00810FAD" w:rsidRPr="00C14A02">
        <w:rPr>
          <w:rFonts w:ascii="Verdana" w:hAnsi="Verdana"/>
          <w:sz w:val="20"/>
          <w:szCs w:val="20"/>
          <w:lang w:val="en-US"/>
        </w:rPr>
        <w:t xml:space="preserve">the </w:t>
      </w:r>
      <w:r w:rsidR="00810FAD" w:rsidRPr="006C4E70">
        <w:rPr>
          <w:rFonts w:ascii="Verdana" w:hAnsi="Verdana"/>
          <w:b/>
          <w:i/>
          <w:sz w:val="20"/>
          <w:szCs w:val="20"/>
          <w:lang w:val="en-US"/>
        </w:rPr>
        <w:t>representatives</w:t>
      </w:r>
      <w:r w:rsidR="006465E1" w:rsidRPr="00C14A02">
        <w:rPr>
          <w:rFonts w:ascii="Verdana" w:hAnsi="Verdana"/>
          <w:sz w:val="20"/>
          <w:szCs w:val="20"/>
          <w:lang w:val="en-US"/>
        </w:rPr>
        <w:t xml:space="preserve"> </w:t>
      </w:r>
      <w:r w:rsidR="00FE7BA7" w:rsidRPr="00C14A02">
        <w:rPr>
          <w:rFonts w:ascii="Verdana" w:hAnsi="Verdana"/>
          <w:sz w:val="20"/>
          <w:szCs w:val="20"/>
          <w:lang w:val="en-US"/>
        </w:rPr>
        <w:t>asked</w:t>
      </w:r>
      <w:r w:rsidRPr="00C14A02">
        <w:rPr>
          <w:rFonts w:ascii="Verdana" w:hAnsi="Verdana"/>
          <w:sz w:val="20"/>
          <w:szCs w:val="20"/>
          <w:lang w:val="en-US"/>
        </w:rPr>
        <w:t xml:space="preserve"> </w:t>
      </w:r>
      <w:r w:rsidR="005F33DA">
        <w:rPr>
          <w:rFonts w:ascii="Verdana" w:hAnsi="Verdana"/>
          <w:sz w:val="20"/>
          <w:szCs w:val="20"/>
          <w:lang w:val="en-US"/>
        </w:rPr>
        <w:t xml:space="preserve">that </w:t>
      </w:r>
      <w:r w:rsidRPr="00C14A02">
        <w:rPr>
          <w:rFonts w:ascii="Verdana" w:hAnsi="Verdana"/>
          <w:sz w:val="20"/>
          <w:szCs w:val="20"/>
          <w:lang w:val="en-US"/>
        </w:rPr>
        <w:t>the Court order the State to take all the legislative, administra</w:t>
      </w:r>
      <w:r w:rsidR="00C07DBC" w:rsidRPr="00C14A02">
        <w:rPr>
          <w:rFonts w:ascii="Verdana" w:hAnsi="Verdana"/>
          <w:sz w:val="20"/>
          <w:szCs w:val="20"/>
          <w:lang w:val="en-US"/>
        </w:rPr>
        <w:t>tive or</w:t>
      </w:r>
      <w:r w:rsidRPr="00C14A02">
        <w:rPr>
          <w:rFonts w:ascii="Verdana" w:hAnsi="Verdana"/>
          <w:sz w:val="20"/>
          <w:szCs w:val="20"/>
          <w:lang w:val="en-US"/>
        </w:rPr>
        <w:t xml:space="preserve"> any other measures necessary to recognize and ensure collective access to justice (legal standing) and the right to effective judicial remedies to </w:t>
      </w:r>
      <w:r w:rsidR="00BD40EF" w:rsidRPr="00C14A02">
        <w:rPr>
          <w:rFonts w:ascii="Verdana" w:hAnsi="Verdana"/>
          <w:sz w:val="20"/>
          <w:szCs w:val="20"/>
          <w:lang w:val="en-US"/>
        </w:rPr>
        <w:t>the indigenous peoples</w:t>
      </w:r>
      <w:r w:rsidRPr="00C14A02">
        <w:rPr>
          <w:rFonts w:ascii="Verdana" w:hAnsi="Verdana"/>
          <w:sz w:val="20"/>
          <w:szCs w:val="20"/>
          <w:lang w:val="en-US"/>
        </w:rPr>
        <w:t>.</w:t>
      </w:r>
      <w:r w:rsidR="00DF7AA9" w:rsidRPr="00C14A02">
        <w:rPr>
          <w:rFonts w:ascii="Verdana" w:hAnsi="Verdana"/>
          <w:sz w:val="20"/>
          <w:szCs w:val="20"/>
          <w:lang w:val="en-US"/>
        </w:rPr>
        <w:t xml:space="preserve"> </w:t>
      </w:r>
      <w:r w:rsidRPr="00C14A02">
        <w:rPr>
          <w:rFonts w:ascii="Verdana" w:hAnsi="Verdana"/>
          <w:sz w:val="20"/>
          <w:szCs w:val="20"/>
          <w:lang w:val="en-US"/>
        </w:rPr>
        <w:t>The</w:t>
      </w:r>
      <w:r w:rsidR="00810FAD" w:rsidRPr="00C14A02">
        <w:rPr>
          <w:rFonts w:ascii="Verdana" w:hAnsi="Verdana"/>
          <w:sz w:val="20"/>
          <w:szCs w:val="20"/>
          <w:lang w:val="en-US"/>
        </w:rPr>
        <w:t xml:space="preserve"> representatives</w:t>
      </w:r>
      <w:r w:rsidR="006465E1" w:rsidRPr="00C14A02">
        <w:rPr>
          <w:rFonts w:ascii="Verdana" w:hAnsi="Verdana"/>
          <w:sz w:val="20"/>
          <w:szCs w:val="20"/>
          <w:lang w:val="en-US"/>
        </w:rPr>
        <w:t xml:space="preserve"> </w:t>
      </w:r>
      <w:r w:rsidRPr="00C14A02">
        <w:rPr>
          <w:rFonts w:ascii="Verdana" w:hAnsi="Verdana"/>
          <w:sz w:val="20"/>
          <w:szCs w:val="20"/>
          <w:lang w:val="en-US"/>
        </w:rPr>
        <w:t>also requested the review, ad</w:t>
      </w:r>
      <w:r w:rsidR="00A65908" w:rsidRPr="00C14A02">
        <w:rPr>
          <w:rFonts w:ascii="Verdana" w:hAnsi="Verdana"/>
          <w:sz w:val="20"/>
          <w:szCs w:val="20"/>
          <w:lang w:val="en-US"/>
        </w:rPr>
        <w:t>option or amendment of the legislation related to</w:t>
      </w:r>
      <w:r w:rsidRPr="00C14A02">
        <w:rPr>
          <w:rFonts w:ascii="Verdana" w:hAnsi="Verdana"/>
          <w:sz w:val="20"/>
          <w:szCs w:val="20"/>
          <w:lang w:val="en-US"/>
        </w:rPr>
        <w:t xml:space="preserve"> protected areas, mining, logging, </w:t>
      </w:r>
      <w:r w:rsidR="00FE7BA7" w:rsidRPr="00C14A02">
        <w:rPr>
          <w:rFonts w:ascii="Verdana" w:hAnsi="Verdana"/>
          <w:sz w:val="20"/>
          <w:szCs w:val="20"/>
          <w:lang w:val="en-US"/>
        </w:rPr>
        <w:t>hunting</w:t>
      </w:r>
      <w:r w:rsidR="00A65908" w:rsidRPr="00C14A02">
        <w:rPr>
          <w:rFonts w:ascii="Verdana" w:hAnsi="Verdana"/>
          <w:sz w:val="20"/>
          <w:szCs w:val="20"/>
          <w:lang w:val="en-US"/>
        </w:rPr>
        <w:t xml:space="preserve"> and forests</w:t>
      </w:r>
      <w:r w:rsidRPr="00C14A02">
        <w:rPr>
          <w:rFonts w:ascii="Verdana" w:hAnsi="Verdana"/>
          <w:sz w:val="20"/>
          <w:szCs w:val="20"/>
          <w:lang w:val="en-US"/>
        </w:rPr>
        <w:t xml:space="preserve"> to ensure their </w:t>
      </w:r>
      <w:r w:rsidR="00965219" w:rsidRPr="00C14A02">
        <w:rPr>
          <w:rFonts w:ascii="Verdana" w:hAnsi="Verdana"/>
          <w:sz w:val="20"/>
          <w:szCs w:val="20"/>
          <w:lang w:val="en-US"/>
        </w:rPr>
        <w:t>consistency</w:t>
      </w:r>
      <w:r w:rsidRPr="00C14A02">
        <w:rPr>
          <w:rFonts w:ascii="Verdana" w:hAnsi="Verdana"/>
          <w:sz w:val="20"/>
          <w:szCs w:val="20"/>
          <w:lang w:val="en-US"/>
        </w:rPr>
        <w:t xml:space="preserve"> with th</w:t>
      </w:r>
      <w:r w:rsidR="00A65908" w:rsidRPr="00C14A02">
        <w:rPr>
          <w:rFonts w:ascii="Verdana" w:hAnsi="Verdana"/>
          <w:sz w:val="20"/>
          <w:szCs w:val="20"/>
          <w:lang w:val="en-US"/>
        </w:rPr>
        <w:t>e victims’</w:t>
      </w:r>
      <w:r w:rsidRPr="00C14A02">
        <w:rPr>
          <w:rFonts w:ascii="Verdana" w:hAnsi="Verdana"/>
          <w:sz w:val="20"/>
          <w:szCs w:val="20"/>
          <w:lang w:val="en-US"/>
        </w:rPr>
        <w:t xml:space="preserve"> rights.</w:t>
      </w:r>
    </w:p>
    <w:p w14:paraId="63126B24" w14:textId="77777777" w:rsidR="00DF7AA9" w:rsidRPr="00FE7BA7" w:rsidRDefault="00DF7AA9" w:rsidP="00DF7AA9">
      <w:pPr>
        <w:contextualSpacing/>
        <w:jc w:val="both"/>
        <w:rPr>
          <w:rFonts w:ascii="Verdana" w:hAnsi="Verdana"/>
          <w:color w:val="222222"/>
          <w:sz w:val="20"/>
          <w:lang w:val="en-US"/>
        </w:rPr>
      </w:pPr>
    </w:p>
    <w:p w14:paraId="63126B25" w14:textId="0F3073F7" w:rsidR="000E1E3F" w:rsidRPr="00FE7BA7" w:rsidRDefault="002B5CCD" w:rsidP="00226A46">
      <w:pPr>
        <w:numPr>
          <w:ilvl w:val="0"/>
          <w:numId w:val="2"/>
        </w:numPr>
        <w:ind w:left="0" w:hanging="11"/>
        <w:contextualSpacing/>
        <w:jc w:val="both"/>
        <w:rPr>
          <w:rFonts w:ascii="Verdana" w:hAnsi="Verdana"/>
          <w:sz w:val="20"/>
          <w:lang w:val="en-US"/>
        </w:rPr>
      </w:pPr>
      <w:r w:rsidRPr="00FE7BA7">
        <w:rPr>
          <w:rFonts w:ascii="Verdana" w:hAnsi="Verdana"/>
          <w:sz w:val="20"/>
          <w:lang w:val="en-US"/>
        </w:rPr>
        <w:t xml:space="preserve">The </w:t>
      </w:r>
      <w:r w:rsidRPr="006C4E70">
        <w:rPr>
          <w:rFonts w:ascii="Verdana" w:hAnsi="Verdana"/>
          <w:b/>
          <w:i/>
          <w:sz w:val="20"/>
          <w:lang w:val="en-US"/>
        </w:rPr>
        <w:t>State</w:t>
      </w:r>
      <w:r w:rsidR="000E1E3F" w:rsidRPr="00FE7BA7">
        <w:rPr>
          <w:rFonts w:ascii="Verdana" w:hAnsi="Verdana"/>
          <w:sz w:val="20"/>
          <w:lang w:val="en-US"/>
        </w:rPr>
        <w:t xml:space="preserve"> </w:t>
      </w:r>
      <w:r w:rsidR="00226A46" w:rsidRPr="00FE7BA7">
        <w:rPr>
          <w:rFonts w:ascii="Verdana" w:hAnsi="Verdana"/>
          <w:sz w:val="20"/>
          <w:lang w:val="en-US"/>
        </w:rPr>
        <w:t>indicated that</w:t>
      </w:r>
      <w:r w:rsidR="001B0124" w:rsidRPr="00FE7BA7">
        <w:rPr>
          <w:rFonts w:ascii="Verdana" w:hAnsi="Verdana"/>
          <w:sz w:val="20"/>
          <w:szCs w:val="20"/>
          <w:lang w:val="en-US"/>
        </w:rPr>
        <w:t xml:space="preserve">: </w:t>
      </w:r>
      <w:r w:rsidR="00C07DBC">
        <w:rPr>
          <w:rFonts w:ascii="Verdana" w:hAnsi="Verdana"/>
          <w:sz w:val="20"/>
          <w:szCs w:val="20"/>
          <w:lang w:val="en-US"/>
        </w:rPr>
        <w:t xml:space="preserve">(a) </w:t>
      </w:r>
      <w:r w:rsidR="00226A46" w:rsidRPr="00FE7BA7">
        <w:rPr>
          <w:rFonts w:ascii="Verdana" w:hAnsi="Verdana"/>
          <w:sz w:val="20"/>
          <w:szCs w:val="20"/>
          <w:lang w:val="en-US"/>
        </w:rPr>
        <w:t>Suriname</w:t>
      </w:r>
      <w:r w:rsidR="00A65908">
        <w:rPr>
          <w:rFonts w:ascii="Verdana" w:hAnsi="Verdana"/>
          <w:sz w:val="20"/>
          <w:szCs w:val="20"/>
          <w:lang w:val="en-US"/>
        </w:rPr>
        <w:t>se law was unfamiliar</w:t>
      </w:r>
      <w:r w:rsidR="00226A46" w:rsidRPr="00FE7BA7">
        <w:rPr>
          <w:rFonts w:ascii="Verdana" w:hAnsi="Verdana"/>
          <w:sz w:val="20"/>
          <w:szCs w:val="20"/>
          <w:lang w:val="en-US"/>
        </w:rPr>
        <w:t xml:space="preserve"> with the concept of attributing </w:t>
      </w:r>
      <w:r w:rsidR="00A65908">
        <w:rPr>
          <w:rFonts w:ascii="Verdana" w:hAnsi="Verdana"/>
          <w:sz w:val="20"/>
          <w:szCs w:val="20"/>
          <w:lang w:val="en-US"/>
        </w:rPr>
        <w:t>legal personality as a</w:t>
      </w:r>
      <w:r w:rsidR="00226A46" w:rsidRPr="00FE7BA7">
        <w:rPr>
          <w:rFonts w:ascii="Verdana" w:hAnsi="Verdana"/>
          <w:sz w:val="20"/>
          <w:szCs w:val="20"/>
          <w:lang w:val="en-US"/>
        </w:rPr>
        <w:t xml:space="preserve"> collective</w:t>
      </w:r>
      <w:r w:rsidR="00A65908">
        <w:rPr>
          <w:rFonts w:ascii="Verdana" w:hAnsi="Verdana"/>
          <w:sz w:val="20"/>
          <w:szCs w:val="20"/>
          <w:lang w:val="en-US"/>
        </w:rPr>
        <w:t xml:space="preserve"> to ethnic groups; thus, </w:t>
      </w:r>
      <w:r w:rsidR="00226A46" w:rsidRPr="00FE7BA7">
        <w:rPr>
          <w:rFonts w:ascii="Verdana" w:hAnsi="Verdana"/>
          <w:sz w:val="20"/>
          <w:szCs w:val="20"/>
          <w:lang w:val="en-US"/>
        </w:rPr>
        <w:t>the fact that this was not regulated in the Civil Code</w:t>
      </w:r>
      <w:r w:rsidR="00A65908">
        <w:rPr>
          <w:rFonts w:ascii="Verdana" w:hAnsi="Verdana"/>
          <w:sz w:val="20"/>
          <w:szCs w:val="20"/>
          <w:lang w:val="en-US"/>
        </w:rPr>
        <w:t xml:space="preserve"> could not be attributed to the State</w:t>
      </w:r>
      <w:r w:rsidR="00226A46" w:rsidRPr="00FE7BA7">
        <w:rPr>
          <w:rFonts w:ascii="Verdana" w:hAnsi="Verdana"/>
          <w:sz w:val="20"/>
          <w:szCs w:val="20"/>
          <w:lang w:val="en-US"/>
        </w:rPr>
        <w:t xml:space="preserve">. Nevertheless, it indicated that, in the context of examining the impact that this recognition would have on the Surinamese legal system, the State was in the process of enacting the traditional authorities act, which would provide a solution to the problem of </w:t>
      </w:r>
      <w:r w:rsidR="00773D70" w:rsidRPr="00FE7BA7">
        <w:rPr>
          <w:rFonts w:ascii="Verdana" w:hAnsi="Verdana"/>
          <w:sz w:val="20"/>
          <w:szCs w:val="20"/>
          <w:lang w:val="en-US"/>
        </w:rPr>
        <w:t>recognition of juridical personality</w:t>
      </w:r>
      <w:r w:rsidR="00226A46" w:rsidRPr="00FE7BA7">
        <w:rPr>
          <w:rFonts w:ascii="Verdana" w:hAnsi="Verdana"/>
          <w:sz w:val="20"/>
          <w:szCs w:val="20"/>
          <w:lang w:val="en-US"/>
        </w:rPr>
        <w:t>;</w:t>
      </w:r>
      <w:r w:rsidR="00166C9C" w:rsidRPr="00FE7BA7">
        <w:rPr>
          <w:rFonts w:ascii="Verdana" w:hAnsi="Verdana"/>
          <w:sz w:val="20"/>
          <w:szCs w:val="20"/>
          <w:lang w:val="en-US"/>
        </w:rPr>
        <w:t xml:space="preserve"> </w:t>
      </w:r>
      <w:r w:rsidR="00226A46" w:rsidRPr="00FE7BA7">
        <w:rPr>
          <w:rFonts w:ascii="Verdana" w:hAnsi="Verdana"/>
          <w:sz w:val="20"/>
          <w:szCs w:val="20"/>
          <w:lang w:val="en-US"/>
        </w:rPr>
        <w:t>(</w:t>
      </w:r>
      <w:r w:rsidR="00166C9C" w:rsidRPr="00FE7BA7">
        <w:rPr>
          <w:rFonts w:ascii="Verdana" w:hAnsi="Verdana"/>
          <w:sz w:val="20"/>
          <w:szCs w:val="20"/>
          <w:lang w:val="en-US"/>
        </w:rPr>
        <w:t xml:space="preserve">b) </w:t>
      </w:r>
      <w:r w:rsidR="00C07DBC">
        <w:rPr>
          <w:rFonts w:ascii="Verdana" w:hAnsi="Verdana"/>
          <w:sz w:val="20"/>
          <w:szCs w:val="20"/>
          <w:lang w:val="en-US"/>
        </w:rPr>
        <w:t xml:space="preserve">regarding </w:t>
      </w:r>
      <w:r w:rsidR="00226A46" w:rsidRPr="00FE7BA7">
        <w:rPr>
          <w:rFonts w:ascii="Verdana" w:hAnsi="Verdana"/>
          <w:sz w:val="20"/>
          <w:szCs w:val="20"/>
          <w:lang w:val="en-US"/>
        </w:rPr>
        <w:t xml:space="preserve">the claim </w:t>
      </w:r>
      <w:r w:rsidR="00C07DBC">
        <w:rPr>
          <w:rFonts w:ascii="Verdana" w:hAnsi="Verdana"/>
          <w:sz w:val="20"/>
          <w:szCs w:val="20"/>
          <w:lang w:val="en-US"/>
        </w:rPr>
        <w:t>to</w:t>
      </w:r>
      <w:r w:rsidR="00FE7BA7" w:rsidRPr="00FE7BA7">
        <w:rPr>
          <w:rFonts w:ascii="Verdana" w:hAnsi="Verdana"/>
          <w:sz w:val="20"/>
          <w:szCs w:val="20"/>
          <w:lang w:val="en-US"/>
        </w:rPr>
        <w:t xml:space="preserve"> lands</w:t>
      </w:r>
      <w:r w:rsidR="00A65908">
        <w:rPr>
          <w:rFonts w:ascii="Verdana" w:hAnsi="Verdana"/>
          <w:sz w:val="20"/>
          <w:szCs w:val="20"/>
          <w:lang w:val="en-US"/>
        </w:rPr>
        <w:t>,</w:t>
      </w:r>
      <w:r w:rsidRPr="00FE7BA7">
        <w:rPr>
          <w:rFonts w:ascii="Verdana" w:hAnsi="Verdana"/>
          <w:sz w:val="20"/>
          <w:szCs w:val="20"/>
          <w:lang w:val="en-US"/>
        </w:rPr>
        <w:t xml:space="preserve"> </w:t>
      </w:r>
      <w:r w:rsidR="00A65908">
        <w:rPr>
          <w:rFonts w:ascii="Verdana" w:hAnsi="Verdana"/>
          <w:sz w:val="20"/>
          <w:szCs w:val="20"/>
          <w:lang w:val="en-US"/>
        </w:rPr>
        <w:t>control over them</w:t>
      </w:r>
      <w:r w:rsidR="00226A46" w:rsidRPr="00FE7BA7">
        <w:rPr>
          <w:rFonts w:ascii="Verdana" w:hAnsi="Verdana"/>
          <w:sz w:val="20"/>
          <w:szCs w:val="20"/>
          <w:lang w:val="en-US"/>
        </w:rPr>
        <w:t xml:space="preserve"> and the</w:t>
      </w:r>
      <w:r w:rsidR="00A65908">
        <w:rPr>
          <w:rFonts w:ascii="Verdana" w:hAnsi="Verdana"/>
          <w:sz w:val="20"/>
          <w:szCs w:val="20"/>
          <w:lang w:val="en-US"/>
        </w:rPr>
        <w:t>ir</w:t>
      </w:r>
      <w:r w:rsidR="00226A46" w:rsidRPr="00FE7BA7">
        <w:rPr>
          <w:rFonts w:ascii="Verdana" w:hAnsi="Verdana"/>
          <w:sz w:val="20"/>
          <w:szCs w:val="20"/>
          <w:lang w:val="en-US"/>
        </w:rPr>
        <w:t xml:space="preserve"> </w:t>
      </w:r>
      <w:r w:rsidR="000D23A0" w:rsidRPr="00FE7BA7">
        <w:rPr>
          <w:rFonts w:ascii="Verdana" w:hAnsi="Verdana"/>
          <w:sz w:val="20"/>
          <w:szCs w:val="20"/>
          <w:lang w:val="en-US"/>
        </w:rPr>
        <w:t>natural resources</w:t>
      </w:r>
      <w:r w:rsidR="00166C9C" w:rsidRPr="00FE7BA7">
        <w:rPr>
          <w:rFonts w:ascii="Verdana" w:hAnsi="Verdana"/>
          <w:sz w:val="20"/>
          <w:szCs w:val="20"/>
          <w:lang w:val="en-US"/>
        </w:rPr>
        <w:t xml:space="preserve"> </w:t>
      </w:r>
      <w:r w:rsidR="00226A46" w:rsidRPr="00FE7BA7">
        <w:rPr>
          <w:rFonts w:ascii="Verdana" w:hAnsi="Verdana"/>
          <w:sz w:val="20"/>
          <w:szCs w:val="20"/>
          <w:lang w:val="en-US"/>
        </w:rPr>
        <w:t xml:space="preserve">could not be handed over to all </w:t>
      </w:r>
      <w:r w:rsidR="00967E6B" w:rsidRPr="00FE7BA7">
        <w:rPr>
          <w:rFonts w:ascii="Verdana" w:hAnsi="Verdana"/>
          <w:sz w:val="20"/>
          <w:szCs w:val="20"/>
          <w:lang w:val="en-US"/>
        </w:rPr>
        <w:t xml:space="preserve">the indigenous and </w:t>
      </w:r>
      <w:r w:rsidR="00F32607" w:rsidRPr="00FE7BA7">
        <w:rPr>
          <w:rFonts w:ascii="Verdana" w:hAnsi="Verdana"/>
          <w:sz w:val="20"/>
          <w:szCs w:val="20"/>
          <w:lang w:val="en-US"/>
        </w:rPr>
        <w:t>tribal peoples</w:t>
      </w:r>
      <w:r w:rsidR="002F0F93" w:rsidRPr="00FE7BA7">
        <w:rPr>
          <w:rFonts w:ascii="Verdana" w:hAnsi="Verdana"/>
          <w:sz w:val="20"/>
          <w:szCs w:val="20"/>
          <w:lang w:val="en-US"/>
        </w:rPr>
        <w:t xml:space="preserve"> of Suriname</w:t>
      </w:r>
      <w:r w:rsidR="00226A46" w:rsidRPr="00FE7BA7">
        <w:rPr>
          <w:rFonts w:ascii="Verdana" w:hAnsi="Verdana"/>
          <w:sz w:val="20"/>
          <w:szCs w:val="20"/>
          <w:lang w:val="en-US"/>
        </w:rPr>
        <w:t xml:space="preserve"> </w:t>
      </w:r>
      <w:r w:rsidR="00A65908">
        <w:rPr>
          <w:rFonts w:ascii="Verdana" w:hAnsi="Verdana"/>
          <w:sz w:val="20"/>
          <w:szCs w:val="20"/>
          <w:lang w:val="en-US"/>
        </w:rPr>
        <w:t>as</w:t>
      </w:r>
      <w:r w:rsidR="00226A46" w:rsidRPr="00FE7BA7">
        <w:rPr>
          <w:rFonts w:ascii="Verdana" w:hAnsi="Verdana"/>
          <w:sz w:val="20"/>
          <w:szCs w:val="20"/>
          <w:lang w:val="en-US"/>
        </w:rPr>
        <w:t xml:space="preserve"> this would </w:t>
      </w:r>
      <w:r w:rsidR="00A65908">
        <w:rPr>
          <w:rFonts w:ascii="Verdana" w:hAnsi="Verdana"/>
          <w:sz w:val="20"/>
          <w:szCs w:val="20"/>
          <w:lang w:val="en-US"/>
        </w:rPr>
        <w:t>have a</w:t>
      </w:r>
      <w:r w:rsidR="00226A46" w:rsidRPr="00FE7BA7">
        <w:rPr>
          <w:rFonts w:ascii="Verdana" w:hAnsi="Verdana"/>
          <w:sz w:val="20"/>
          <w:szCs w:val="20"/>
          <w:lang w:val="en-US"/>
        </w:rPr>
        <w:t xml:space="preserve"> </w:t>
      </w:r>
      <w:r w:rsidR="00A65908">
        <w:rPr>
          <w:rFonts w:ascii="Verdana" w:hAnsi="Verdana"/>
          <w:sz w:val="20"/>
          <w:szCs w:val="20"/>
          <w:lang w:val="en-US"/>
        </w:rPr>
        <w:t>disastrous effect on the country’s economy;</w:t>
      </w:r>
      <w:r w:rsidR="00166C9C" w:rsidRPr="00FE7BA7">
        <w:rPr>
          <w:rFonts w:ascii="Verdana" w:hAnsi="Verdana"/>
          <w:b/>
          <w:sz w:val="20"/>
          <w:szCs w:val="20"/>
          <w:lang w:val="en-US"/>
        </w:rPr>
        <w:t xml:space="preserve"> </w:t>
      </w:r>
      <w:r w:rsidR="00226A46" w:rsidRPr="00FE7BA7">
        <w:rPr>
          <w:rFonts w:ascii="Verdana" w:hAnsi="Verdana"/>
          <w:sz w:val="20"/>
          <w:szCs w:val="20"/>
          <w:lang w:val="en-US"/>
        </w:rPr>
        <w:t>(</w:t>
      </w:r>
      <w:r w:rsidR="00166C9C" w:rsidRPr="00FE7BA7">
        <w:rPr>
          <w:rFonts w:ascii="Verdana" w:hAnsi="Verdana"/>
          <w:sz w:val="20"/>
          <w:szCs w:val="20"/>
          <w:lang w:val="en-US"/>
        </w:rPr>
        <w:t>c)</w:t>
      </w:r>
      <w:r w:rsidR="00EA554C" w:rsidRPr="00FE7BA7">
        <w:rPr>
          <w:rFonts w:ascii="Verdana" w:hAnsi="Verdana"/>
          <w:sz w:val="20"/>
          <w:szCs w:val="20"/>
          <w:lang w:val="en-US"/>
        </w:rPr>
        <w:t xml:space="preserve"> under the laws of</w:t>
      </w:r>
      <w:r w:rsidR="000E1E3F" w:rsidRPr="00FE7BA7">
        <w:rPr>
          <w:rFonts w:ascii="Verdana" w:hAnsi="Verdana"/>
          <w:sz w:val="20"/>
          <w:lang w:val="en-US"/>
        </w:rPr>
        <w:t xml:space="preserve"> </w:t>
      </w:r>
      <w:r w:rsidR="004C7D14" w:rsidRPr="00FE7BA7">
        <w:rPr>
          <w:rFonts w:ascii="Verdana" w:hAnsi="Verdana"/>
          <w:sz w:val="20"/>
          <w:lang w:val="en-US"/>
        </w:rPr>
        <w:t>Suriname,</w:t>
      </w:r>
      <w:r w:rsidR="00EA554C" w:rsidRPr="00FE7BA7">
        <w:rPr>
          <w:rFonts w:ascii="Verdana" w:hAnsi="Verdana"/>
          <w:sz w:val="20"/>
          <w:lang w:val="en-US"/>
        </w:rPr>
        <w:t xml:space="preserve"> the rights and the interests of the indigenous peoples and the Maroons were taken into consideration when the State took a decision to grant a concession, and referred to article 41 of the </w:t>
      </w:r>
      <w:r w:rsidR="00F32607" w:rsidRPr="00FE7BA7">
        <w:rPr>
          <w:rFonts w:ascii="Verdana" w:hAnsi="Verdana"/>
          <w:sz w:val="20"/>
          <w:lang w:val="en-US"/>
        </w:rPr>
        <w:t>Forestry Management Act</w:t>
      </w:r>
      <w:r w:rsidRPr="00FE7BA7">
        <w:rPr>
          <w:rFonts w:ascii="Verdana" w:hAnsi="Verdana"/>
          <w:sz w:val="20"/>
          <w:lang w:val="en-US"/>
        </w:rPr>
        <w:t xml:space="preserve"> and </w:t>
      </w:r>
      <w:r w:rsidR="00EA554C" w:rsidRPr="00FE7BA7">
        <w:rPr>
          <w:rFonts w:ascii="Verdana" w:hAnsi="Verdana"/>
          <w:sz w:val="20"/>
          <w:lang w:val="en-US"/>
        </w:rPr>
        <w:t>to</w:t>
      </w:r>
      <w:r w:rsidR="000E1E3F" w:rsidRPr="00FE7BA7">
        <w:rPr>
          <w:rFonts w:ascii="Verdana" w:hAnsi="Verdana"/>
          <w:sz w:val="20"/>
          <w:lang w:val="en-US"/>
        </w:rPr>
        <w:t xml:space="preserve"> </w:t>
      </w:r>
      <w:r w:rsidR="00EA554C" w:rsidRPr="00FE7BA7">
        <w:rPr>
          <w:rFonts w:ascii="Verdana" w:hAnsi="Verdana"/>
          <w:sz w:val="20"/>
          <w:lang w:val="en-US"/>
        </w:rPr>
        <w:t>a</w:t>
      </w:r>
      <w:r w:rsidR="00C34C52" w:rsidRPr="00FE7BA7">
        <w:rPr>
          <w:rFonts w:ascii="Verdana" w:hAnsi="Verdana"/>
          <w:sz w:val="20"/>
          <w:lang w:val="en-US"/>
        </w:rPr>
        <w:t>rticle</w:t>
      </w:r>
      <w:r w:rsidR="00EA554C" w:rsidRPr="00FE7BA7">
        <w:rPr>
          <w:rFonts w:ascii="Verdana" w:hAnsi="Verdana"/>
          <w:sz w:val="20"/>
          <w:lang w:val="en-US"/>
        </w:rPr>
        <w:t xml:space="preserve"> 25(</w:t>
      </w:r>
      <w:r w:rsidR="008B5275" w:rsidRPr="00FE7BA7">
        <w:rPr>
          <w:rFonts w:ascii="Verdana" w:hAnsi="Verdana"/>
          <w:sz w:val="20"/>
          <w:lang w:val="en-US"/>
        </w:rPr>
        <w:t>1</w:t>
      </w:r>
      <w:r w:rsidR="00C24FB8">
        <w:rPr>
          <w:rFonts w:ascii="Verdana" w:hAnsi="Verdana"/>
          <w:sz w:val="20"/>
          <w:lang w:val="en-US"/>
        </w:rPr>
        <w:t>)</w:t>
      </w:r>
      <w:r w:rsidR="008B5275" w:rsidRPr="00FE7BA7">
        <w:rPr>
          <w:rFonts w:ascii="Verdana" w:hAnsi="Verdana"/>
          <w:sz w:val="20"/>
          <w:lang w:val="en-US"/>
        </w:rPr>
        <w:t xml:space="preserve"> </w:t>
      </w:r>
      <w:r w:rsidR="00A65908">
        <w:rPr>
          <w:rFonts w:ascii="Verdana" w:hAnsi="Verdana"/>
          <w:sz w:val="20"/>
          <w:lang w:val="en-US"/>
        </w:rPr>
        <w:t>of the Mining Decree</w:t>
      </w:r>
      <w:r w:rsidR="000E1E3F" w:rsidRPr="00FE7BA7">
        <w:rPr>
          <w:rFonts w:ascii="Verdana" w:hAnsi="Verdana"/>
          <w:b/>
          <w:sz w:val="20"/>
          <w:lang w:val="en-US"/>
        </w:rPr>
        <w:t xml:space="preserve"> </w:t>
      </w:r>
      <w:r w:rsidR="000E1E3F" w:rsidRPr="00FE7BA7">
        <w:rPr>
          <w:rFonts w:ascii="Verdana" w:hAnsi="Verdana"/>
          <w:sz w:val="20"/>
          <w:lang w:val="en-US"/>
        </w:rPr>
        <w:t>(</w:t>
      </w:r>
      <w:r w:rsidR="000E1E3F" w:rsidRPr="00FE7BA7">
        <w:rPr>
          <w:rFonts w:ascii="Verdana" w:hAnsi="Verdana"/>
          <w:i/>
          <w:sz w:val="20"/>
          <w:lang w:val="en-US"/>
        </w:rPr>
        <w:t>supra</w:t>
      </w:r>
      <w:r w:rsidR="000E1E3F" w:rsidRPr="00FE7BA7">
        <w:rPr>
          <w:rFonts w:ascii="Verdana" w:hAnsi="Verdana"/>
          <w:sz w:val="20"/>
          <w:lang w:val="en-US"/>
        </w:rPr>
        <w:t xml:space="preserve"> </w:t>
      </w:r>
      <w:r w:rsidR="00810FAD" w:rsidRPr="00FE7BA7">
        <w:rPr>
          <w:rFonts w:ascii="Verdana" w:hAnsi="Verdana"/>
          <w:sz w:val="20"/>
          <w:lang w:val="en-US"/>
        </w:rPr>
        <w:t>para.</w:t>
      </w:r>
      <w:r w:rsidR="000E1E3F" w:rsidRPr="00FE7BA7">
        <w:rPr>
          <w:rFonts w:ascii="Verdana" w:hAnsi="Verdana"/>
          <w:sz w:val="20"/>
          <w:lang w:val="en-US"/>
        </w:rPr>
        <w:t xml:space="preserve"> </w:t>
      </w:r>
      <w:r w:rsidR="00FF1B4B" w:rsidRPr="00FE7BA7">
        <w:rPr>
          <w:rFonts w:ascii="Verdana" w:hAnsi="Verdana"/>
          <w:sz w:val="20"/>
          <w:szCs w:val="20"/>
          <w:lang w:val="en-US"/>
        </w:rPr>
        <w:t>209</w:t>
      </w:r>
      <w:r w:rsidR="000E1E3F" w:rsidRPr="00FE7BA7">
        <w:rPr>
          <w:rFonts w:ascii="Verdana" w:hAnsi="Verdana"/>
          <w:sz w:val="20"/>
          <w:szCs w:val="20"/>
          <w:lang w:val="en-US"/>
        </w:rPr>
        <w:t>)</w:t>
      </w:r>
      <w:r w:rsidR="00166C9C" w:rsidRPr="00FE7BA7">
        <w:rPr>
          <w:rFonts w:ascii="Verdana" w:hAnsi="Verdana"/>
          <w:sz w:val="20"/>
          <w:szCs w:val="20"/>
          <w:lang w:val="en-US"/>
        </w:rPr>
        <w:t>,</w:t>
      </w:r>
      <w:r w:rsidRPr="00FE7BA7">
        <w:rPr>
          <w:rFonts w:ascii="Verdana" w:hAnsi="Verdana"/>
          <w:sz w:val="20"/>
          <w:szCs w:val="20"/>
          <w:lang w:val="en-US"/>
        </w:rPr>
        <w:t xml:space="preserve"> and </w:t>
      </w:r>
      <w:r w:rsidR="00CD3DC6" w:rsidRPr="00FE7BA7">
        <w:rPr>
          <w:rFonts w:ascii="Verdana" w:hAnsi="Verdana"/>
          <w:sz w:val="20"/>
          <w:szCs w:val="20"/>
          <w:lang w:val="en-US"/>
        </w:rPr>
        <w:t>(</w:t>
      </w:r>
      <w:r w:rsidR="00166C9C" w:rsidRPr="00FE7BA7">
        <w:rPr>
          <w:rFonts w:ascii="Verdana" w:hAnsi="Verdana"/>
          <w:sz w:val="20"/>
          <w:szCs w:val="20"/>
          <w:lang w:val="en-US"/>
        </w:rPr>
        <w:t>d)</w:t>
      </w:r>
      <w:r w:rsidR="000E1E3F" w:rsidRPr="00FE7BA7">
        <w:rPr>
          <w:rFonts w:ascii="Verdana" w:hAnsi="Verdana"/>
          <w:sz w:val="20"/>
          <w:lang w:val="en-US"/>
        </w:rPr>
        <w:t xml:space="preserve"> </w:t>
      </w:r>
      <w:r w:rsidR="00CD3DC6" w:rsidRPr="00FE7BA7">
        <w:rPr>
          <w:rFonts w:ascii="Verdana" w:hAnsi="Verdana"/>
          <w:sz w:val="20"/>
          <w:lang w:val="en-US"/>
        </w:rPr>
        <w:t>starting on September 27,</w:t>
      </w:r>
      <w:r w:rsidR="000E1E3F" w:rsidRPr="00FE7BA7">
        <w:rPr>
          <w:rFonts w:ascii="Verdana" w:hAnsi="Verdana"/>
          <w:sz w:val="20"/>
          <w:lang w:val="en-US"/>
        </w:rPr>
        <w:t xml:space="preserve"> 2013</w:t>
      </w:r>
      <w:r w:rsidR="00CD3DC6" w:rsidRPr="00FE7BA7">
        <w:rPr>
          <w:rFonts w:ascii="Verdana" w:hAnsi="Verdana"/>
          <w:sz w:val="20"/>
          <w:lang w:val="en-US"/>
        </w:rPr>
        <w:t>, various measures were being taken to adopt a</w:t>
      </w:r>
      <w:r w:rsidR="00A65908">
        <w:rPr>
          <w:rFonts w:ascii="Verdana" w:hAnsi="Verdana"/>
          <w:sz w:val="20"/>
          <w:lang w:val="en-US"/>
        </w:rPr>
        <w:t xml:space="preserve"> protocol on</w:t>
      </w:r>
      <w:r w:rsidR="00CD3DC6" w:rsidRPr="00FE7BA7">
        <w:rPr>
          <w:rFonts w:ascii="Verdana" w:hAnsi="Verdana"/>
          <w:sz w:val="20"/>
          <w:lang w:val="en-US"/>
        </w:rPr>
        <w:t xml:space="preserve"> free</w:t>
      </w:r>
      <w:r w:rsidR="00A65908">
        <w:rPr>
          <w:rFonts w:ascii="Verdana" w:hAnsi="Verdana"/>
          <w:sz w:val="20"/>
          <w:lang w:val="en-US"/>
        </w:rPr>
        <w:t xml:space="preserve">, </w:t>
      </w:r>
      <w:r w:rsidR="00CD3DC6" w:rsidRPr="00FE7BA7">
        <w:rPr>
          <w:rFonts w:ascii="Verdana" w:hAnsi="Verdana"/>
          <w:sz w:val="20"/>
          <w:lang w:val="en-US"/>
        </w:rPr>
        <w:t>prior and informed consent,</w:t>
      </w:r>
      <w:r w:rsidR="000E1E3F" w:rsidRPr="00FE7BA7">
        <w:rPr>
          <w:rFonts w:ascii="Verdana" w:hAnsi="Verdana"/>
          <w:sz w:val="20"/>
          <w:lang w:val="en-US"/>
        </w:rPr>
        <w:t xml:space="preserve"> </w:t>
      </w:r>
      <w:r w:rsidR="00EA554C" w:rsidRPr="00FE7BA7">
        <w:rPr>
          <w:rFonts w:ascii="Verdana" w:hAnsi="Verdana"/>
          <w:sz w:val="20"/>
          <w:lang w:val="en-US"/>
        </w:rPr>
        <w:t>but delays had</w:t>
      </w:r>
      <w:r w:rsidR="00CD3DC6" w:rsidRPr="00FE7BA7">
        <w:rPr>
          <w:rFonts w:ascii="Verdana" w:hAnsi="Verdana"/>
          <w:sz w:val="20"/>
          <w:lang w:val="en-US"/>
        </w:rPr>
        <w:t xml:space="preserve"> occurred owing to factors that can be attributed to both the State</w:t>
      </w:r>
      <w:r w:rsidR="00A65908">
        <w:rPr>
          <w:rFonts w:ascii="Verdana" w:hAnsi="Verdana"/>
          <w:sz w:val="20"/>
          <w:lang w:val="en-US"/>
        </w:rPr>
        <w:t xml:space="preserve"> and the indigenous communities</w:t>
      </w:r>
      <w:r w:rsidR="000E1E3F" w:rsidRPr="00FE7BA7">
        <w:rPr>
          <w:rFonts w:ascii="Verdana" w:hAnsi="Verdana"/>
          <w:sz w:val="20"/>
          <w:lang w:val="en-US"/>
        </w:rPr>
        <w:t xml:space="preserve"> (</w:t>
      </w:r>
      <w:r w:rsidR="000E1E3F" w:rsidRPr="00FE7BA7">
        <w:rPr>
          <w:rFonts w:ascii="Verdana" w:hAnsi="Verdana"/>
          <w:i/>
          <w:sz w:val="20"/>
          <w:lang w:val="en-US"/>
        </w:rPr>
        <w:t>supra</w:t>
      </w:r>
      <w:r w:rsidR="000E1E3F" w:rsidRPr="00FE7BA7">
        <w:rPr>
          <w:rFonts w:ascii="Verdana" w:hAnsi="Verdana"/>
          <w:sz w:val="20"/>
          <w:lang w:val="en-US"/>
        </w:rPr>
        <w:t xml:space="preserve"> </w:t>
      </w:r>
      <w:r w:rsidR="00810FAD" w:rsidRPr="00FE7BA7">
        <w:rPr>
          <w:rFonts w:ascii="Verdana" w:hAnsi="Verdana"/>
          <w:sz w:val="20"/>
          <w:lang w:val="en-US"/>
        </w:rPr>
        <w:t>para.</w:t>
      </w:r>
      <w:r w:rsidR="000E1E3F" w:rsidRPr="00FE7BA7">
        <w:rPr>
          <w:rFonts w:ascii="Verdana" w:hAnsi="Verdana"/>
          <w:sz w:val="20"/>
          <w:lang w:val="en-US"/>
        </w:rPr>
        <w:t xml:space="preserve"> </w:t>
      </w:r>
      <w:r w:rsidR="00FF1B4B" w:rsidRPr="00FE7BA7">
        <w:rPr>
          <w:rFonts w:ascii="Verdana" w:hAnsi="Verdana"/>
          <w:sz w:val="20"/>
          <w:lang w:val="en-US"/>
        </w:rPr>
        <w:t>210</w:t>
      </w:r>
      <w:r w:rsidR="000E1E3F" w:rsidRPr="00FE7BA7">
        <w:rPr>
          <w:rFonts w:ascii="Verdana" w:hAnsi="Verdana"/>
          <w:sz w:val="20"/>
          <w:lang w:val="en-US"/>
        </w:rPr>
        <w:t xml:space="preserve">). </w:t>
      </w:r>
      <w:r w:rsidR="00CD3DC6" w:rsidRPr="00FE7BA7">
        <w:rPr>
          <w:rFonts w:ascii="Verdana" w:hAnsi="Verdana"/>
          <w:sz w:val="20"/>
          <w:lang w:val="en-US"/>
        </w:rPr>
        <w:t>Nevertheless, it expressed its willingness to continue working to improve consultations</w:t>
      </w:r>
      <w:r w:rsidR="00A65908">
        <w:rPr>
          <w:rFonts w:ascii="Verdana" w:hAnsi="Verdana"/>
          <w:sz w:val="20"/>
          <w:lang w:val="en-US"/>
        </w:rPr>
        <w:t xml:space="preserve"> with the indigenous communities.</w:t>
      </w:r>
    </w:p>
    <w:p w14:paraId="63126B26" w14:textId="77777777" w:rsidR="006465E1" w:rsidRPr="00FE7BA7" w:rsidRDefault="006465E1" w:rsidP="006465E1">
      <w:pPr>
        <w:contextualSpacing/>
        <w:jc w:val="both"/>
        <w:rPr>
          <w:rFonts w:ascii="Verdana" w:hAnsi="Verdana"/>
          <w:sz w:val="20"/>
          <w:szCs w:val="20"/>
          <w:lang w:val="en-US"/>
        </w:rPr>
      </w:pPr>
    </w:p>
    <w:p w14:paraId="63126B27" w14:textId="77777777" w:rsidR="006465E1" w:rsidRPr="00FE7BA7" w:rsidRDefault="002B5CCD" w:rsidP="00CD3DC6">
      <w:pPr>
        <w:numPr>
          <w:ilvl w:val="0"/>
          <w:numId w:val="2"/>
        </w:numPr>
        <w:ind w:left="0" w:hanging="11"/>
        <w:contextualSpacing/>
        <w:jc w:val="both"/>
        <w:rPr>
          <w:rFonts w:ascii="Verdana" w:hAnsi="Verdana"/>
          <w:sz w:val="20"/>
          <w:szCs w:val="20"/>
          <w:lang w:val="en-US"/>
        </w:rPr>
      </w:pPr>
      <w:r w:rsidRPr="00C14A02">
        <w:rPr>
          <w:rFonts w:ascii="Verdana" w:hAnsi="Verdana"/>
          <w:sz w:val="20"/>
          <w:szCs w:val="20"/>
          <w:lang w:val="en-US"/>
        </w:rPr>
        <w:t>The Court</w:t>
      </w:r>
      <w:r w:rsidR="006465E1" w:rsidRPr="00C14A02">
        <w:rPr>
          <w:rFonts w:ascii="Verdana" w:hAnsi="Verdana"/>
          <w:sz w:val="20"/>
          <w:szCs w:val="20"/>
          <w:lang w:val="en-US"/>
        </w:rPr>
        <w:t xml:space="preserve"> </w:t>
      </w:r>
      <w:r w:rsidR="00A65908" w:rsidRPr="00C14A02">
        <w:rPr>
          <w:rFonts w:ascii="Verdana" w:hAnsi="Verdana"/>
          <w:sz w:val="20"/>
          <w:szCs w:val="20"/>
          <w:lang w:val="en-US"/>
        </w:rPr>
        <w:t xml:space="preserve">has </w:t>
      </w:r>
      <w:r w:rsidR="00CD3DC6" w:rsidRPr="00C14A02">
        <w:rPr>
          <w:rFonts w:ascii="Verdana" w:hAnsi="Verdana"/>
          <w:sz w:val="20"/>
          <w:szCs w:val="20"/>
          <w:lang w:val="en-US"/>
        </w:rPr>
        <w:t xml:space="preserve">found the State </w:t>
      </w:r>
      <w:r w:rsidR="00FE7BA7" w:rsidRPr="00C14A02">
        <w:rPr>
          <w:rFonts w:ascii="Verdana" w:hAnsi="Verdana"/>
          <w:sz w:val="20"/>
          <w:szCs w:val="20"/>
          <w:lang w:val="en-US"/>
        </w:rPr>
        <w:t>responsible</w:t>
      </w:r>
      <w:r w:rsidR="00CD3DC6" w:rsidRPr="00C14A02">
        <w:rPr>
          <w:rFonts w:ascii="Verdana" w:hAnsi="Verdana"/>
          <w:sz w:val="20"/>
          <w:szCs w:val="20"/>
          <w:lang w:val="en-US"/>
        </w:rPr>
        <w:t xml:space="preserve"> for the violation of the rights recognized in</w:t>
      </w:r>
      <w:r w:rsidR="006465E1" w:rsidRPr="00C14A02">
        <w:rPr>
          <w:rFonts w:ascii="Verdana" w:hAnsi="Verdana"/>
          <w:sz w:val="20"/>
          <w:szCs w:val="20"/>
          <w:lang w:val="en-US"/>
        </w:rPr>
        <w:t xml:space="preserve"> </w:t>
      </w:r>
      <w:r w:rsidRPr="00C14A02">
        <w:rPr>
          <w:rFonts w:ascii="Verdana" w:hAnsi="Verdana"/>
          <w:sz w:val="20"/>
          <w:szCs w:val="20"/>
          <w:lang w:val="en-US"/>
        </w:rPr>
        <w:t>Articles</w:t>
      </w:r>
      <w:r w:rsidR="006465E1" w:rsidRPr="00C14A02">
        <w:rPr>
          <w:rFonts w:ascii="Verdana" w:hAnsi="Verdana"/>
          <w:sz w:val="20"/>
          <w:szCs w:val="20"/>
          <w:lang w:val="en-US"/>
        </w:rPr>
        <w:t xml:space="preserve"> </w:t>
      </w:r>
      <w:r w:rsidR="00962EC7" w:rsidRPr="00C14A02">
        <w:rPr>
          <w:rFonts w:ascii="Verdana" w:hAnsi="Verdana"/>
          <w:sz w:val="20"/>
          <w:szCs w:val="20"/>
          <w:lang w:val="en-US"/>
        </w:rPr>
        <w:t xml:space="preserve">3, </w:t>
      </w:r>
      <w:r w:rsidR="006465E1" w:rsidRPr="00C14A02">
        <w:rPr>
          <w:rFonts w:ascii="Verdana" w:hAnsi="Verdana"/>
          <w:sz w:val="20"/>
          <w:szCs w:val="20"/>
          <w:lang w:val="en-US"/>
        </w:rPr>
        <w:t>21</w:t>
      </w:r>
      <w:r w:rsidR="001D25DC" w:rsidRPr="00C14A02">
        <w:rPr>
          <w:rFonts w:ascii="Verdana" w:hAnsi="Verdana"/>
          <w:sz w:val="20"/>
          <w:lang w:val="en-US"/>
        </w:rPr>
        <w:t>, 23</w:t>
      </w:r>
      <w:r w:rsidRPr="00C14A02">
        <w:rPr>
          <w:rFonts w:ascii="Verdana" w:hAnsi="Verdana"/>
          <w:sz w:val="20"/>
          <w:szCs w:val="20"/>
          <w:lang w:val="en-US"/>
        </w:rPr>
        <w:t xml:space="preserve"> and </w:t>
      </w:r>
      <w:r w:rsidR="006465E1" w:rsidRPr="00C14A02">
        <w:rPr>
          <w:rFonts w:ascii="Verdana" w:hAnsi="Verdana"/>
          <w:sz w:val="20"/>
          <w:szCs w:val="20"/>
          <w:lang w:val="en-US"/>
        </w:rPr>
        <w:t xml:space="preserve">25, </w:t>
      </w:r>
      <w:r w:rsidR="00773D70" w:rsidRPr="00C14A02">
        <w:rPr>
          <w:rFonts w:ascii="Verdana" w:hAnsi="Verdana"/>
          <w:sz w:val="20"/>
          <w:szCs w:val="20"/>
          <w:lang w:val="en-US"/>
        </w:rPr>
        <w:t>in relation to Articles 1(1)</w:t>
      </w:r>
      <w:r w:rsidR="00F617C9" w:rsidRPr="00C14A02">
        <w:rPr>
          <w:rFonts w:ascii="Verdana" w:hAnsi="Verdana"/>
          <w:sz w:val="20"/>
          <w:szCs w:val="20"/>
          <w:lang w:val="en-US"/>
        </w:rPr>
        <w:t xml:space="preserve">, </w:t>
      </w:r>
      <w:r w:rsidR="006465E1" w:rsidRPr="00C14A02">
        <w:rPr>
          <w:rFonts w:ascii="Verdana" w:hAnsi="Verdana"/>
          <w:sz w:val="20"/>
          <w:szCs w:val="20"/>
          <w:lang w:val="en-US"/>
        </w:rPr>
        <w:t>2</w:t>
      </w:r>
      <w:r w:rsidRPr="00C14A02">
        <w:rPr>
          <w:rFonts w:ascii="Verdana" w:hAnsi="Verdana"/>
          <w:sz w:val="20"/>
          <w:szCs w:val="20"/>
          <w:lang w:val="en-US"/>
        </w:rPr>
        <w:t xml:space="preserve"> and </w:t>
      </w:r>
      <w:r w:rsidR="00F617C9" w:rsidRPr="00C14A02">
        <w:rPr>
          <w:rFonts w:ascii="Verdana" w:hAnsi="Verdana"/>
          <w:sz w:val="20"/>
          <w:szCs w:val="20"/>
          <w:lang w:val="en-US"/>
        </w:rPr>
        <w:t>13</w:t>
      </w:r>
      <w:r w:rsidRPr="00C14A02">
        <w:rPr>
          <w:rFonts w:ascii="Verdana" w:hAnsi="Verdana"/>
          <w:sz w:val="20"/>
          <w:szCs w:val="20"/>
          <w:lang w:val="en-US"/>
        </w:rPr>
        <w:t xml:space="preserve"> of the Convention</w:t>
      </w:r>
      <w:r w:rsidR="006465E1" w:rsidRPr="00C14A02">
        <w:rPr>
          <w:rFonts w:ascii="Verdana" w:hAnsi="Verdana"/>
          <w:sz w:val="20"/>
          <w:szCs w:val="20"/>
          <w:lang w:val="en-US"/>
        </w:rPr>
        <w:t xml:space="preserve">, </w:t>
      </w:r>
      <w:r w:rsidR="00C14A02">
        <w:rPr>
          <w:rFonts w:ascii="Verdana" w:hAnsi="Verdana"/>
          <w:sz w:val="20"/>
          <w:szCs w:val="20"/>
          <w:lang w:val="en-US"/>
        </w:rPr>
        <w:t>owing to</w:t>
      </w:r>
      <w:r w:rsidR="006465E1" w:rsidRPr="00C14A02">
        <w:rPr>
          <w:rFonts w:ascii="Verdana" w:hAnsi="Verdana"/>
          <w:sz w:val="20"/>
          <w:szCs w:val="20"/>
          <w:lang w:val="en-US"/>
        </w:rPr>
        <w:t xml:space="preserve">: </w:t>
      </w:r>
      <w:r w:rsidR="00CD3DC6" w:rsidRPr="00C14A02">
        <w:rPr>
          <w:rFonts w:ascii="Verdana" w:hAnsi="Verdana"/>
          <w:sz w:val="20"/>
          <w:szCs w:val="20"/>
          <w:lang w:val="en-US"/>
        </w:rPr>
        <w:t>(</w:t>
      </w:r>
      <w:r w:rsidR="00962EC7" w:rsidRPr="00C14A02">
        <w:rPr>
          <w:rFonts w:ascii="Verdana" w:hAnsi="Verdana"/>
          <w:sz w:val="20"/>
          <w:szCs w:val="20"/>
          <w:lang w:val="en-US"/>
        </w:rPr>
        <w:t xml:space="preserve">a) </w:t>
      </w:r>
      <w:r w:rsidR="00CD3DC6" w:rsidRPr="00C14A02">
        <w:rPr>
          <w:rFonts w:ascii="Verdana" w:hAnsi="Verdana"/>
          <w:sz w:val="20"/>
          <w:szCs w:val="20"/>
          <w:lang w:val="en-US"/>
        </w:rPr>
        <w:t>its domestic</w:t>
      </w:r>
      <w:r w:rsidR="00CD3DC6" w:rsidRPr="00FE7BA7">
        <w:rPr>
          <w:rFonts w:ascii="Verdana" w:hAnsi="Verdana"/>
          <w:sz w:val="20"/>
          <w:szCs w:val="20"/>
          <w:lang w:val="en-US"/>
        </w:rPr>
        <w:t xml:space="preserve"> law </w:t>
      </w:r>
      <w:r w:rsidR="00C14A02">
        <w:rPr>
          <w:rFonts w:ascii="Verdana" w:hAnsi="Verdana"/>
          <w:sz w:val="20"/>
          <w:szCs w:val="20"/>
          <w:lang w:val="en-US"/>
        </w:rPr>
        <w:t>not</w:t>
      </w:r>
      <w:r w:rsidR="00CD3DC6" w:rsidRPr="00FE7BA7">
        <w:rPr>
          <w:rFonts w:ascii="Verdana" w:hAnsi="Verdana"/>
          <w:sz w:val="20"/>
          <w:szCs w:val="20"/>
          <w:lang w:val="en-US"/>
        </w:rPr>
        <w:t xml:space="preserve"> </w:t>
      </w:r>
      <w:r w:rsidR="00C14A02">
        <w:rPr>
          <w:rFonts w:ascii="Verdana" w:hAnsi="Verdana"/>
          <w:sz w:val="20"/>
          <w:szCs w:val="20"/>
          <w:lang w:val="en-US"/>
        </w:rPr>
        <w:t>recognizing</w:t>
      </w:r>
      <w:r w:rsidR="00CD3DC6" w:rsidRPr="00FE7BA7">
        <w:rPr>
          <w:rFonts w:ascii="Verdana" w:hAnsi="Verdana"/>
          <w:sz w:val="20"/>
          <w:szCs w:val="20"/>
          <w:lang w:val="en-US"/>
        </w:rPr>
        <w:t xml:space="preserve"> collective juridical personality; (b) the failure to recognize </w:t>
      </w:r>
      <w:r w:rsidR="00CD3DC6" w:rsidRPr="00A65908">
        <w:rPr>
          <w:rFonts w:ascii="Verdana" w:hAnsi="Verdana"/>
          <w:sz w:val="20"/>
          <w:szCs w:val="20"/>
          <w:lang w:val="en-US"/>
        </w:rPr>
        <w:t xml:space="preserve">collective </w:t>
      </w:r>
      <w:r w:rsidR="00A65908" w:rsidRPr="00A65908">
        <w:rPr>
          <w:rFonts w:ascii="Verdana" w:hAnsi="Verdana"/>
          <w:sz w:val="20"/>
          <w:szCs w:val="20"/>
          <w:lang w:val="en-US"/>
        </w:rPr>
        <w:t>property</w:t>
      </w:r>
      <w:r w:rsidR="00CD3DC6" w:rsidRPr="00A65908">
        <w:rPr>
          <w:rFonts w:ascii="Verdana" w:hAnsi="Verdana"/>
          <w:sz w:val="20"/>
          <w:szCs w:val="20"/>
          <w:lang w:val="en-US"/>
        </w:rPr>
        <w:t>;</w:t>
      </w:r>
      <w:r w:rsidR="00CD3DC6" w:rsidRPr="00FE7BA7">
        <w:rPr>
          <w:rFonts w:ascii="Verdana" w:hAnsi="Verdana"/>
          <w:sz w:val="20"/>
          <w:szCs w:val="20"/>
          <w:lang w:val="en-US"/>
        </w:rPr>
        <w:t xml:space="preserve"> (c) the absence of mechanisms for the </w:t>
      </w:r>
      <w:r w:rsidR="00FE7BA7" w:rsidRPr="00FE7BA7">
        <w:rPr>
          <w:rFonts w:ascii="Verdana" w:hAnsi="Verdana"/>
          <w:sz w:val="20"/>
          <w:szCs w:val="20"/>
          <w:lang w:val="en-US"/>
        </w:rPr>
        <w:t>delimitation</w:t>
      </w:r>
      <w:r w:rsidR="00CD3DC6" w:rsidRPr="00FE7BA7">
        <w:rPr>
          <w:rFonts w:ascii="Verdana" w:hAnsi="Verdana"/>
          <w:sz w:val="20"/>
          <w:szCs w:val="20"/>
          <w:lang w:val="en-US"/>
        </w:rPr>
        <w:t>, demarcation and titling of territories; (d) the la</w:t>
      </w:r>
      <w:r w:rsidR="00A65908">
        <w:rPr>
          <w:rFonts w:ascii="Verdana" w:hAnsi="Verdana"/>
          <w:sz w:val="20"/>
          <w:szCs w:val="20"/>
          <w:lang w:val="en-US"/>
        </w:rPr>
        <w:t>ck of mechanisms that ensure</w:t>
      </w:r>
      <w:r w:rsidR="00CD3DC6" w:rsidRPr="00FE7BA7">
        <w:rPr>
          <w:rFonts w:ascii="Verdana" w:hAnsi="Verdana"/>
          <w:sz w:val="20"/>
          <w:szCs w:val="20"/>
          <w:lang w:val="en-US"/>
        </w:rPr>
        <w:t xml:space="preserve"> effective participation, by a consultation </w:t>
      </w:r>
      <w:r w:rsidR="00CD3DC6" w:rsidRPr="00FE7BA7">
        <w:rPr>
          <w:rFonts w:ascii="Verdana" w:hAnsi="Verdana"/>
          <w:sz w:val="20"/>
          <w:szCs w:val="20"/>
          <w:lang w:val="en-US"/>
        </w:rPr>
        <w:lastRenderedPageBreak/>
        <w:t xml:space="preserve">process, and (e) the absence of adequate and effective remedies to </w:t>
      </w:r>
      <w:r w:rsidR="00C14A02">
        <w:rPr>
          <w:rFonts w:ascii="Verdana" w:hAnsi="Verdana"/>
          <w:sz w:val="20"/>
          <w:szCs w:val="20"/>
          <w:lang w:val="en-US"/>
        </w:rPr>
        <w:t>secure</w:t>
      </w:r>
      <w:r w:rsidR="00CD3DC6" w:rsidRPr="00FE7BA7">
        <w:rPr>
          <w:rFonts w:ascii="Verdana" w:hAnsi="Verdana"/>
          <w:sz w:val="20"/>
          <w:szCs w:val="20"/>
          <w:lang w:val="en-US"/>
        </w:rPr>
        <w:t xml:space="preserve"> access to collective justice to </w:t>
      </w:r>
      <w:r w:rsidR="00967E6B" w:rsidRPr="00FE7BA7">
        <w:rPr>
          <w:rFonts w:ascii="Verdana" w:hAnsi="Verdana"/>
          <w:sz w:val="20"/>
          <w:szCs w:val="20"/>
          <w:lang w:val="en-US"/>
        </w:rPr>
        <w:t xml:space="preserve">the indigenous and </w:t>
      </w:r>
      <w:r w:rsidR="00F32607" w:rsidRPr="00FE7BA7">
        <w:rPr>
          <w:rFonts w:ascii="Verdana" w:hAnsi="Verdana"/>
          <w:sz w:val="20"/>
          <w:szCs w:val="20"/>
          <w:lang w:val="en-US"/>
        </w:rPr>
        <w:t>tribal peoples</w:t>
      </w:r>
      <w:r w:rsidR="00906685" w:rsidRPr="00FE7BA7">
        <w:rPr>
          <w:rFonts w:ascii="Verdana" w:hAnsi="Verdana"/>
          <w:sz w:val="20"/>
          <w:szCs w:val="20"/>
          <w:lang w:val="en-US"/>
        </w:rPr>
        <w:t xml:space="preserve"> </w:t>
      </w:r>
      <w:r w:rsidR="006465E1" w:rsidRPr="00FE7BA7">
        <w:rPr>
          <w:rFonts w:ascii="Verdana" w:hAnsi="Verdana"/>
          <w:spacing w:val="-2"/>
          <w:sz w:val="20"/>
          <w:szCs w:val="20"/>
          <w:lang w:val="en-US"/>
        </w:rPr>
        <w:t>(</w:t>
      </w:r>
      <w:r w:rsidR="00366D91" w:rsidRPr="00FE7BA7">
        <w:rPr>
          <w:rFonts w:ascii="Verdana" w:hAnsi="Verdana"/>
          <w:i/>
          <w:spacing w:val="-2"/>
          <w:sz w:val="20"/>
          <w:szCs w:val="20"/>
          <w:lang w:val="en-US"/>
        </w:rPr>
        <w:t>supra</w:t>
      </w:r>
      <w:r w:rsidR="006465E1" w:rsidRPr="00FE7BA7">
        <w:rPr>
          <w:rFonts w:ascii="Verdana" w:hAnsi="Verdana"/>
          <w:spacing w:val="-2"/>
          <w:sz w:val="20"/>
          <w:szCs w:val="20"/>
          <w:lang w:val="en-US"/>
        </w:rPr>
        <w:t xml:space="preserve"> </w:t>
      </w:r>
      <w:r w:rsidR="008F798A" w:rsidRPr="00FE7BA7">
        <w:rPr>
          <w:rFonts w:ascii="Verdana" w:hAnsi="Verdana"/>
          <w:spacing w:val="-2"/>
          <w:sz w:val="20"/>
          <w:szCs w:val="20"/>
          <w:lang w:val="en-US"/>
        </w:rPr>
        <w:t>paras.</w:t>
      </w:r>
      <w:r w:rsidR="006465E1" w:rsidRPr="00FE7BA7">
        <w:rPr>
          <w:rFonts w:ascii="Verdana" w:hAnsi="Verdana"/>
          <w:spacing w:val="-2"/>
          <w:sz w:val="20"/>
          <w:szCs w:val="20"/>
          <w:lang w:val="en-US"/>
        </w:rPr>
        <w:t xml:space="preserve"> </w:t>
      </w:r>
      <w:r w:rsidR="00FF1B4B" w:rsidRPr="00FE7BA7">
        <w:rPr>
          <w:rFonts w:ascii="Verdana" w:hAnsi="Verdana"/>
          <w:spacing w:val="-2"/>
          <w:sz w:val="20"/>
          <w:szCs w:val="20"/>
          <w:lang w:val="en-US"/>
        </w:rPr>
        <w:t xml:space="preserve">114, </w:t>
      </w:r>
      <w:r w:rsidR="00CB4310" w:rsidRPr="00FE7BA7">
        <w:rPr>
          <w:rFonts w:ascii="Verdana" w:hAnsi="Verdana"/>
          <w:spacing w:val="-2"/>
          <w:sz w:val="20"/>
          <w:szCs w:val="20"/>
          <w:lang w:val="en-US"/>
        </w:rPr>
        <w:t xml:space="preserve">142, 160, </w:t>
      </w:r>
      <w:r w:rsidR="00FF1B4B" w:rsidRPr="00FE7BA7">
        <w:rPr>
          <w:rFonts w:ascii="Verdana" w:hAnsi="Verdana"/>
          <w:spacing w:val="-2"/>
          <w:sz w:val="20"/>
          <w:szCs w:val="20"/>
          <w:lang w:val="en-US"/>
        </w:rPr>
        <w:t>230</w:t>
      </w:r>
      <w:r w:rsidRPr="00FE7BA7">
        <w:rPr>
          <w:rFonts w:ascii="Verdana" w:hAnsi="Verdana"/>
          <w:spacing w:val="-2"/>
          <w:sz w:val="20"/>
          <w:szCs w:val="20"/>
          <w:lang w:val="en-US"/>
        </w:rPr>
        <w:t xml:space="preserve"> and </w:t>
      </w:r>
      <w:r w:rsidR="00FF1B4B" w:rsidRPr="00FE7BA7">
        <w:rPr>
          <w:rFonts w:ascii="Verdana" w:hAnsi="Verdana"/>
          <w:spacing w:val="-2"/>
          <w:sz w:val="20"/>
          <w:szCs w:val="20"/>
          <w:lang w:val="en-US"/>
        </w:rPr>
        <w:t>268</w:t>
      </w:r>
      <w:r w:rsidR="006465E1" w:rsidRPr="00FE7BA7">
        <w:rPr>
          <w:rFonts w:ascii="Verdana" w:hAnsi="Verdana"/>
          <w:spacing w:val="-2"/>
          <w:sz w:val="20"/>
          <w:szCs w:val="20"/>
          <w:lang w:val="en-US"/>
        </w:rPr>
        <w:t>)</w:t>
      </w:r>
      <w:r w:rsidR="006465E1" w:rsidRPr="00FE7BA7">
        <w:rPr>
          <w:rFonts w:ascii="Verdana" w:hAnsi="Verdana"/>
          <w:sz w:val="20"/>
          <w:szCs w:val="20"/>
          <w:lang w:val="en-US"/>
        </w:rPr>
        <w:t>.</w:t>
      </w:r>
    </w:p>
    <w:p w14:paraId="63126B28" w14:textId="77777777" w:rsidR="006465E1" w:rsidRPr="00FE7BA7" w:rsidRDefault="006465E1" w:rsidP="006465E1">
      <w:pPr>
        <w:contextualSpacing/>
        <w:jc w:val="both"/>
        <w:rPr>
          <w:rFonts w:ascii="Verdana" w:hAnsi="Verdana"/>
          <w:sz w:val="20"/>
          <w:szCs w:val="20"/>
          <w:lang w:val="en-US"/>
        </w:rPr>
      </w:pPr>
    </w:p>
    <w:p w14:paraId="63126B29" w14:textId="77777777" w:rsidR="006465E1" w:rsidRPr="00FE7BA7" w:rsidRDefault="00CD3DC6" w:rsidP="006465E1">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Consequently, taking into account the obligations arising from </w:t>
      </w:r>
      <w:r w:rsidR="00773D70" w:rsidRPr="00FE7BA7">
        <w:rPr>
          <w:rFonts w:ascii="Verdana" w:hAnsi="Verdana"/>
          <w:sz w:val="20"/>
          <w:szCs w:val="20"/>
          <w:lang w:val="en-US"/>
        </w:rPr>
        <w:t>Article</w:t>
      </w:r>
      <w:r w:rsidR="006465E1" w:rsidRPr="00FE7BA7">
        <w:rPr>
          <w:rFonts w:ascii="Verdana" w:hAnsi="Verdana"/>
          <w:sz w:val="20"/>
          <w:szCs w:val="20"/>
          <w:lang w:val="en-US"/>
        </w:rPr>
        <w:t xml:space="preserve"> 2</w:t>
      </w:r>
      <w:r w:rsidR="002B5CCD" w:rsidRPr="00FE7BA7">
        <w:rPr>
          <w:rFonts w:ascii="Verdana" w:hAnsi="Verdana"/>
          <w:sz w:val="20"/>
          <w:szCs w:val="20"/>
          <w:lang w:val="en-US"/>
        </w:rPr>
        <w:t xml:space="preserve"> of the Convention</w:t>
      </w:r>
      <w:r w:rsidR="006465E1" w:rsidRPr="00FE7BA7">
        <w:rPr>
          <w:rFonts w:ascii="Verdana" w:hAnsi="Verdana"/>
          <w:sz w:val="20"/>
          <w:szCs w:val="20"/>
          <w:lang w:val="en-US"/>
        </w:rPr>
        <w:t xml:space="preserve">, </w:t>
      </w:r>
      <w:r w:rsidR="002B5CCD" w:rsidRPr="00FE7BA7">
        <w:rPr>
          <w:rFonts w:ascii="Verdana" w:hAnsi="Verdana"/>
          <w:sz w:val="20"/>
          <w:szCs w:val="20"/>
          <w:lang w:val="en-US"/>
        </w:rPr>
        <w:t>the Court</w:t>
      </w:r>
      <w:r w:rsidR="006465E1" w:rsidRPr="00FE7BA7">
        <w:rPr>
          <w:rFonts w:ascii="Verdana" w:hAnsi="Verdana"/>
          <w:sz w:val="20"/>
          <w:szCs w:val="20"/>
          <w:lang w:val="en-US"/>
        </w:rPr>
        <w:t xml:space="preserve"> </w:t>
      </w:r>
      <w:r w:rsidRPr="00FE7BA7">
        <w:rPr>
          <w:rFonts w:ascii="Verdana" w:hAnsi="Verdana"/>
          <w:sz w:val="20"/>
          <w:szCs w:val="20"/>
          <w:lang w:val="en-US"/>
        </w:rPr>
        <w:t>establishes that the State shall adopt all the necessary legislative, administrative or other measures to:</w:t>
      </w:r>
    </w:p>
    <w:p w14:paraId="63126B2A" w14:textId="77777777" w:rsidR="006465E1" w:rsidRPr="00FE7BA7" w:rsidRDefault="006465E1" w:rsidP="00366D91">
      <w:pPr>
        <w:contextualSpacing/>
        <w:jc w:val="both"/>
        <w:rPr>
          <w:rFonts w:ascii="Verdana" w:hAnsi="Verdana"/>
          <w:sz w:val="20"/>
          <w:szCs w:val="20"/>
          <w:lang w:val="en-US"/>
        </w:rPr>
      </w:pPr>
    </w:p>
    <w:p w14:paraId="63126B2B" w14:textId="77777777" w:rsidR="006465E1" w:rsidRPr="00FE7BA7" w:rsidRDefault="00CD3DC6" w:rsidP="006465E1">
      <w:pPr>
        <w:numPr>
          <w:ilvl w:val="0"/>
          <w:numId w:val="39"/>
        </w:numPr>
        <w:contextualSpacing/>
        <w:jc w:val="both"/>
        <w:rPr>
          <w:rFonts w:ascii="Verdana" w:hAnsi="Verdana"/>
          <w:sz w:val="20"/>
          <w:szCs w:val="20"/>
          <w:lang w:val="en-US"/>
        </w:rPr>
      </w:pPr>
      <w:r w:rsidRPr="00FE7BA7">
        <w:rPr>
          <w:rFonts w:ascii="Verdana" w:hAnsi="Verdana"/>
          <w:sz w:val="20"/>
          <w:szCs w:val="20"/>
          <w:lang w:val="en-US"/>
        </w:rPr>
        <w:t>Grant</w:t>
      </w:r>
      <w:r w:rsidR="006465E1" w:rsidRPr="00FE7BA7">
        <w:rPr>
          <w:rFonts w:ascii="Verdana" w:hAnsi="Verdana"/>
          <w:sz w:val="20"/>
          <w:szCs w:val="20"/>
          <w:lang w:val="en-US"/>
        </w:rPr>
        <w:t xml:space="preserve"> </w:t>
      </w:r>
      <w:r w:rsidR="00967E6B" w:rsidRPr="00FE7BA7">
        <w:rPr>
          <w:rFonts w:ascii="Verdana" w:hAnsi="Verdana"/>
          <w:sz w:val="20"/>
          <w:szCs w:val="20"/>
          <w:lang w:val="en-US"/>
        </w:rPr>
        <w:t>the indigenous and tribal peoples in</w:t>
      </w:r>
      <w:r w:rsidR="006465E1" w:rsidRPr="00FE7BA7">
        <w:rPr>
          <w:rFonts w:ascii="Verdana" w:hAnsi="Verdana"/>
          <w:sz w:val="20"/>
          <w:szCs w:val="20"/>
          <w:lang w:val="en-US"/>
        </w:rPr>
        <w:t xml:space="preserve"> </w:t>
      </w:r>
      <w:r w:rsidR="002B5CCD" w:rsidRPr="00FE7BA7">
        <w:rPr>
          <w:rFonts w:ascii="Verdana" w:hAnsi="Verdana"/>
          <w:sz w:val="20"/>
          <w:szCs w:val="20"/>
          <w:lang w:val="en-US"/>
        </w:rPr>
        <w:t xml:space="preserve">Suriname </w:t>
      </w:r>
      <w:r w:rsidRPr="00FE7BA7">
        <w:rPr>
          <w:rFonts w:ascii="Verdana" w:hAnsi="Verdana"/>
          <w:sz w:val="20"/>
          <w:szCs w:val="20"/>
          <w:lang w:val="en-US"/>
        </w:rPr>
        <w:t xml:space="preserve">legal </w:t>
      </w:r>
      <w:r w:rsidR="00FE7BA7" w:rsidRPr="00FE7BA7">
        <w:rPr>
          <w:rFonts w:ascii="Verdana" w:hAnsi="Verdana"/>
          <w:sz w:val="20"/>
          <w:szCs w:val="20"/>
          <w:lang w:val="en-US"/>
        </w:rPr>
        <w:t>recognition</w:t>
      </w:r>
      <w:r w:rsidRPr="00FE7BA7">
        <w:rPr>
          <w:rFonts w:ascii="Verdana" w:hAnsi="Verdana"/>
          <w:sz w:val="20"/>
          <w:szCs w:val="20"/>
          <w:lang w:val="en-US"/>
        </w:rPr>
        <w:t xml:space="preserve"> of collective juridical personality in order to ensure them the exercise and full enjoy</w:t>
      </w:r>
      <w:r w:rsidR="00A65908">
        <w:rPr>
          <w:rFonts w:ascii="Verdana" w:hAnsi="Verdana"/>
          <w:sz w:val="20"/>
          <w:szCs w:val="20"/>
          <w:lang w:val="en-US"/>
        </w:rPr>
        <w:t>ment of their right to property</w:t>
      </w:r>
      <w:r w:rsidRPr="00FE7BA7">
        <w:rPr>
          <w:rFonts w:ascii="Verdana" w:hAnsi="Verdana"/>
          <w:sz w:val="20"/>
          <w:szCs w:val="20"/>
          <w:lang w:val="en-US"/>
        </w:rPr>
        <w:t xml:space="preserve"> in accordance with their customs and traditions, as established in </w:t>
      </w:r>
      <w:r w:rsidR="00967E6B" w:rsidRPr="00FE7BA7">
        <w:rPr>
          <w:rFonts w:ascii="Verdana" w:hAnsi="Verdana"/>
          <w:sz w:val="20"/>
          <w:szCs w:val="20"/>
          <w:lang w:val="en-US"/>
        </w:rPr>
        <w:t>paragraphs</w:t>
      </w:r>
      <w:r w:rsidR="006465E1" w:rsidRPr="00FE7BA7">
        <w:rPr>
          <w:rFonts w:ascii="Verdana" w:hAnsi="Verdana"/>
          <w:sz w:val="20"/>
          <w:szCs w:val="20"/>
          <w:lang w:val="en-US"/>
        </w:rPr>
        <w:t xml:space="preserve"> </w:t>
      </w:r>
      <w:r w:rsidR="00D24B97" w:rsidRPr="00FE7BA7">
        <w:rPr>
          <w:rFonts w:ascii="Verdana" w:hAnsi="Verdana"/>
          <w:sz w:val="20"/>
          <w:szCs w:val="20"/>
          <w:lang w:val="en-US"/>
        </w:rPr>
        <w:t>10</w:t>
      </w:r>
      <w:r w:rsidR="009E6C07" w:rsidRPr="00FE7BA7">
        <w:rPr>
          <w:rFonts w:ascii="Verdana" w:hAnsi="Verdana"/>
          <w:sz w:val="20"/>
          <w:szCs w:val="20"/>
          <w:lang w:val="en-US"/>
        </w:rPr>
        <w:t>5</w:t>
      </w:r>
      <w:r w:rsidR="00D24B97" w:rsidRPr="00FE7BA7">
        <w:rPr>
          <w:rFonts w:ascii="Verdana" w:hAnsi="Verdana"/>
          <w:sz w:val="20"/>
          <w:szCs w:val="20"/>
          <w:lang w:val="en-US"/>
        </w:rPr>
        <w:t xml:space="preserve"> </w:t>
      </w:r>
      <w:r w:rsidRPr="00FE7BA7">
        <w:rPr>
          <w:rFonts w:ascii="Verdana" w:hAnsi="Verdana"/>
          <w:sz w:val="20"/>
          <w:szCs w:val="20"/>
          <w:lang w:val="en-US"/>
        </w:rPr>
        <w:t>to</w:t>
      </w:r>
      <w:r w:rsidR="00D24B97" w:rsidRPr="00FE7BA7">
        <w:rPr>
          <w:rFonts w:ascii="Verdana" w:hAnsi="Verdana"/>
          <w:sz w:val="20"/>
          <w:szCs w:val="20"/>
          <w:lang w:val="en-US"/>
        </w:rPr>
        <w:t xml:space="preserve"> 114</w:t>
      </w:r>
      <w:r w:rsidR="006465E1" w:rsidRPr="00FE7BA7">
        <w:rPr>
          <w:rFonts w:ascii="Verdana" w:hAnsi="Verdana"/>
          <w:sz w:val="20"/>
          <w:szCs w:val="20"/>
          <w:lang w:val="en-US"/>
        </w:rPr>
        <w:t xml:space="preserve">. </w:t>
      </w:r>
      <w:r w:rsidR="002B5CCD" w:rsidRPr="00FE7BA7">
        <w:rPr>
          <w:rFonts w:ascii="Verdana" w:hAnsi="Verdana"/>
          <w:sz w:val="20"/>
          <w:szCs w:val="20"/>
          <w:lang w:val="en-US"/>
        </w:rPr>
        <w:t>The State</w:t>
      </w:r>
      <w:r w:rsidR="006465E1" w:rsidRPr="00FE7BA7">
        <w:rPr>
          <w:rFonts w:ascii="Verdana" w:hAnsi="Verdana"/>
          <w:sz w:val="20"/>
          <w:szCs w:val="20"/>
          <w:lang w:val="en-US"/>
        </w:rPr>
        <w:t xml:space="preserve"> </w:t>
      </w:r>
      <w:r w:rsidRPr="00FE7BA7">
        <w:rPr>
          <w:rFonts w:ascii="Verdana" w:hAnsi="Verdana"/>
          <w:sz w:val="20"/>
          <w:szCs w:val="20"/>
          <w:lang w:val="en-US"/>
        </w:rPr>
        <w:t xml:space="preserve">must comply with the measures of reparation with two years of notification </w:t>
      </w:r>
      <w:r w:rsidR="000739A7" w:rsidRPr="00FE7BA7">
        <w:rPr>
          <w:rFonts w:ascii="Verdana" w:hAnsi="Verdana"/>
          <w:sz w:val="20"/>
          <w:szCs w:val="20"/>
          <w:lang w:val="en-US"/>
        </w:rPr>
        <w:t>of this Judgmen</w:t>
      </w:r>
      <w:r w:rsidRPr="00FE7BA7">
        <w:rPr>
          <w:rFonts w:ascii="Verdana" w:hAnsi="Verdana"/>
          <w:sz w:val="20"/>
          <w:szCs w:val="20"/>
          <w:lang w:val="en-US"/>
        </w:rPr>
        <w:t>t</w:t>
      </w:r>
      <w:r w:rsidR="00A65908">
        <w:rPr>
          <w:rFonts w:ascii="Verdana" w:hAnsi="Verdana"/>
          <w:sz w:val="20"/>
          <w:szCs w:val="20"/>
          <w:lang w:val="en-US"/>
        </w:rPr>
        <w:t>, at the latest</w:t>
      </w:r>
      <w:r w:rsidR="006465E1" w:rsidRPr="00FE7BA7">
        <w:rPr>
          <w:rFonts w:ascii="Verdana" w:hAnsi="Verdana"/>
          <w:sz w:val="20"/>
          <w:szCs w:val="20"/>
          <w:lang w:val="en-US"/>
        </w:rPr>
        <w:t>;</w:t>
      </w:r>
    </w:p>
    <w:p w14:paraId="63126B2C" w14:textId="77777777" w:rsidR="006465E1" w:rsidRPr="00FE7BA7" w:rsidRDefault="006465E1" w:rsidP="006465E1">
      <w:pPr>
        <w:ind w:left="720"/>
        <w:jc w:val="both"/>
        <w:rPr>
          <w:rFonts w:ascii="Verdana" w:hAnsi="Verdana"/>
          <w:sz w:val="20"/>
          <w:szCs w:val="20"/>
          <w:lang w:val="en-US"/>
        </w:rPr>
      </w:pPr>
    </w:p>
    <w:p w14:paraId="63126B2D" w14:textId="77777777" w:rsidR="006465E1" w:rsidRPr="00FE7BA7" w:rsidRDefault="00CD3DC6" w:rsidP="006465E1">
      <w:pPr>
        <w:numPr>
          <w:ilvl w:val="0"/>
          <w:numId w:val="39"/>
        </w:numPr>
        <w:jc w:val="both"/>
        <w:rPr>
          <w:rFonts w:ascii="Verdana" w:hAnsi="Verdana"/>
          <w:sz w:val="20"/>
          <w:szCs w:val="20"/>
          <w:lang w:val="en-US"/>
        </w:rPr>
      </w:pPr>
      <w:r w:rsidRPr="00FE7BA7">
        <w:rPr>
          <w:rFonts w:ascii="Verdana" w:hAnsi="Verdana"/>
          <w:sz w:val="20"/>
          <w:szCs w:val="20"/>
          <w:lang w:val="en-US"/>
        </w:rPr>
        <w:t>Establish an effective me</w:t>
      </w:r>
      <w:r w:rsidR="00EA554C" w:rsidRPr="00FE7BA7">
        <w:rPr>
          <w:rFonts w:ascii="Verdana" w:hAnsi="Verdana"/>
          <w:sz w:val="20"/>
          <w:szCs w:val="20"/>
          <w:lang w:val="en-US"/>
        </w:rPr>
        <w:t>chanism</w:t>
      </w:r>
      <w:r w:rsidRPr="00FE7BA7">
        <w:rPr>
          <w:rFonts w:ascii="Verdana" w:hAnsi="Verdana"/>
          <w:sz w:val="20"/>
          <w:szCs w:val="20"/>
          <w:lang w:val="en-US"/>
        </w:rPr>
        <w:t xml:space="preserve"> for the </w:t>
      </w:r>
      <w:r w:rsidR="00FE7BA7" w:rsidRPr="00FE7BA7">
        <w:rPr>
          <w:rFonts w:ascii="Verdana" w:hAnsi="Verdana"/>
          <w:sz w:val="20"/>
          <w:szCs w:val="20"/>
          <w:lang w:val="en-US"/>
        </w:rPr>
        <w:t>delimitation</w:t>
      </w:r>
      <w:r w:rsidRPr="00FE7BA7">
        <w:rPr>
          <w:rFonts w:ascii="Verdana" w:hAnsi="Verdana"/>
          <w:sz w:val="20"/>
          <w:szCs w:val="20"/>
          <w:lang w:val="en-US"/>
        </w:rPr>
        <w:t xml:space="preserve">, demarcation and titling of the territories of </w:t>
      </w:r>
      <w:r w:rsidR="00967E6B" w:rsidRPr="00FE7BA7">
        <w:rPr>
          <w:rFonts w:ascii="Verdana" w:hAnsi="Verdana"/>
          <w:sz w:val="20"/>
          <w:szCs w:val="20"/>
          <w:lang w:val="en-US"/>
        </w:rPr>
        <w:t>the indigenous and tribal peoples in</w:t>
      </w:r>
      <w:r w:rsidR="00962EC7" w:rsidRPr="00FE7BA7">
        <w:rPr>
          <w:rFonts w:ascii="Verdana" w:hAnsi="Verdana"/>
          <w:sz w:val="20"/>
          <w:szCs w:val="20"/>
          <w:lang w:val="en-US"/>
        </w:rPr>
        <w:t xml:space="preserve"> </w:t>
      </w:r>
      <w:r w:rsidR="00563E11" w:rsidRPr="00FE7BA7">
        <w:rPr>
          <w:rFonts w:ascii="Verdana" w:hAnsi="Verdana"/>
          <w:sz w:val="20"/>
          <w:szCs w:val="20"/>
          <w:lang w:val="en-US"/>
        </w:rPr>
        <w:t>Surinam</w:t>
      </w:r>
      <w:r w:rsidRPr="00FE7BA7">
        <w:rPr>
          <w:rFonts w:ascii="Verdana" w:hAnsi="Verdana"/>
          <w:sz w:val="20"/>
          <w:szCs w:val="20"/>
          <w:lang w:val="en-US"/>
        </w:rPr>
        <w:t>e</w:t>
      </w:r>
      <w:r w:rsidR="006465E1" w:rsidRPr="00FE7BA7">
        <w:rPr>
          <w:rFonts w:ascii="Verdana" w:hAnsi="Verdana"/>
          <w:sz w:val="20"/>
          <w:szCs w:val="20"/>
          <w:lang w:val="en-US"/>
        </w:rPr>
        <w:t xml:space="preserve">. </w:t>
      </w:r>
      <w:r w:rsidR="002B5CCD" w:rsidRPr="00FE7BA7">
        <w:rPr>
          <w:rFonts w:ascii="Verdana" w:hAnsi="Verdana"/>
          <w:sz w:val="20"/>
          <w:szCs w:val="20"/>
          <w:lang w:val="en-US"/>
        </w:rPr>
        <w:t>The State</w:t>
      </w:r>
      <w:r w:rsidR="006465E1" w:rsidRPr="00FE7BA7">
        <w:rPr>
          <w:rFonts w:ascii="Verdana" w:hAnsi="Verdana"/>
          <w:sz w:val="20"/>
          <w:szCs w:val="20"/>
          <w:lang w:val="en-US"/>
        </w:rPr>
        <w:t xml:space="preserve"> </w:t>
      </w:r>
      <w:r w:rsidRPr="00FE7BA7">
        <w:rPr>
          <w:rFonts w:ascii="Verdana" w:hAnsi="Verdana"/>
          <w:sz w:val="20"/>
          <w:szCs w:val="20"/>
          <w:lang w:val="en-US"/>
        </w:rPr>
        <w:t xml:space="preserve">must adopt </w:t>
      </w:r>
      <w:r w:rsidR="00FE7BA7" w:rsidRPr="00FE7BA7">
        <w:rPr>
          <w:rFonts w:ascii="Verdana" w:hAnsi="Verdana"/>
          <w:sz w:val="20"/>
          <w:szCs w:val="20"/>
          <w:lang w:val="en-US"/>
        </w:rPr>
        <w:t>these measures</w:t>
      </w:r>
      <w:r w:rsidRPr="00FE7BA7">
        <w:rPr>
          <w:rFonts w:ascii="Verdana" w:hAnsi="Verdana"/>
          <w:sz w:val="20"/>
          <w:szCs w:val="20"/>
          <w:lang w:val="en-US"/>
        </w:rPr>
        <w:t xml:space="preserve"> with the effective participation of these peoples, in accordance with their customary law, values, practices and customs,</w:t>
      </w:r>
      <w:r w:rsidR="006465E1" w:rsidRPr="00FE7BA7">
        <w:rPr>
          <w:rStyle w:val="FootnoteReference"/>
          <w:szCs w:val="20"/>
          <w:lang w:val="en-US"/>
        </w:rPr>
        <w:footnoteReference w:id="340"/>
      </w:r>
      <w:r w:rsidRPr="00FE7BA7">
        <w:rPr>
          <w:rFonts w:ascii="Verdana" w:hAnsi="Verdana"/>
          <w:sz w:val="20"/>
          <w:szCs w:val="20"/>
          <w:lang w:val="en-US"/>
        </w:rPr>
        <w:t xml:space="preserve"> and also in light of the standards established </w:t>
      </w:r>
      <w:r w:rsidR="00BB5853" w:rsidRPr="00FE7BA7">
        <w:rPr>
          <w:rFonts w:ascii="Verdana" w:hAnsi="Verdana"/>
          <w:sz w:val="20"/>
          <w:szCs w:val="20"/>
          <w:lang w:val="en-US"/>
        </w:rPr>
        <w:t>in this Judgment</w:t>
      </w:r>
      <w:r w:rsidR="00A611F5" w:rsidRPr="00FE7BA7">
        <w:rPr>
          <w:rFonts w:ascii="Verdana" w:hAnsi="Verdana"/>
          <w:sz w:val="20"/>
          <w:szCs w:val="20"/>
          <w:lang w:val="en-US"/>
        </w:rPr>
        <w:t xml:space="preserve"> (</w:t>
      </w:r>
      <w:r w:rsidR="00A611F5" w:rsidRPr="00FE7BA7">
        <w:rPr>
          <w:rFonts w:ascii="Verdana" w:hAnsi="Verdana"/>
          <w:i/>
          <w:sz w:val="20"/>
          <w:szCs w:val="20"/>
          <w:lang w:val="en-US"/>
        </w:rPr>
        <w:t>supra</w:t>
      </w:r>
      <w:r w:rsidR="00A611F5" w:rsidRPr="00FE7BA7">
        <w:rPr>
          <w:rFonts w:ascii="Verdana" w:hAnsi="Verdana"/>
          <w:sz w:val="20"/>
          <w:szCs w:val="20"/>
          <w:lang w:val="en-US"/>
        </w:rPr>
        <w:t xml:space="preserve"> </w:t>
      </w:r>
      <w:r w:rsidR="008F798A" w:rsidRPr="00FE7BA7">
        <w:rPr>
          <w:rFonts w:ascii="Verdana" w:hAnsi="Verdana"/>
          <w:sz w:val="20"/>
          <w:szCs w:val="20"/>
          <w:lang w:val="en-US"/>
        </w:rPr>
        <w:t>paras.</w:t>
      </w:r>
      <w:r w:rsidR="00A611F5" w:rsidRPr="00FE7BA7">
        <w:rPr>
          <w:rFonts w:ascii="Verdana" w:hAnsi="Verdana"/>
          <w:sz w:val="20"/>
          <w:szCs w:val="20"/>
          <w:lang w:val="en-US"/>
        </w:rPr>
        <w:t xml:space="preserve"> </w:t>
      </w:r>
      <w:r w:rsidRPr="00FE7BA7">
        <w:rPr>
          <w:rFonts w:ascii="Verdana" w:hAnsi="Verdana"/>
          <w:sz w:val="20"/>
          <w:szCs w:val="20"/>
          <w:lang w:val="en-US"/>
        </w:rPr>
        <w:t>129 to</w:t>
      </w:r>
      <w:r w:rsidR="00A611F5" w:rsidRPr="00FE7BA7">
        <w:rPr>
          <w:rFonts w:ascii="Verdana" w:hAnsi="Verdana"/>
          <w:sz w:val="20"/>
          <w:szCs w:val="20"/>
          <w:lang w:val="en-US"/>
        </w:rPr>
        <w:t xml:space="preserve"> 142)</w:t>
      </w:r>
      <w:r w:rsidR="006465E1" w:rsidRPr="00FE7BA7">
        <w:rPr>
          <w:rFonts w:ascii="Verdana" w:hAnsi="Verdana"/>
          <w:sz w:val="20"/>
          <w:szCs w:val="20"/>
          <w:lang w:val="en-US"/>
        </w:rPr>
        <w:t xml:space="preserve">, </w:t>
      </w:r>
      <w:r w:rsidRPr="00FE7BA7">
        <w:rPr>
          <w:rFonts w:ascii="Verdana" w:hAnsi="Verdana"/>
          <w:sz w:val="20"/>
          <w:szCs w:val="20"/>
          <w:lang w:val="en-US"/>
        </w:rPr>
        <w:t>within three years of its notification, at the latest;</w:t>
      </w:r>
    </w:p>
    <w:p w14:paraId="63126B2E" w14:textId="77777777" w:rsidR="006465E1" w:rsidRPr="00FE7BA7" w:rsidRDefault="006465E1" w:rsidP="006465E1">
      <w:pPr>
        <w:ind w:left="720"/>
        <w:jc w:val="both"/>
        <w:rPr>
          <w:rFonts w:ascii="Verdana" w:hAnsi="Verdana"/>
          <w:sz w:val="20"/>
          <w:szCs w:val="20"/>
          <w:lang w:val="en-US"/>
        </w:rPr>
      </w:pPr>
    </w:p>
    <w:p w14:paraId="63126B2F" w14:textId="6A524B66" w:rsidR="005D516B" w:rsidRPr="00FE7BA7" w:rsidRDefault="00CD3DC6" w:rsidP="006465E1">
      <w:pPr>
        <w:numPr>
          <w:ilvl w:val="0"/>
          <w:numId w:val="39"/>
        </w:numPr>
        <w:jc w:val="both"/>
        <w:rPr>
          <w:rFonts w:ascii="Verdana" w:hAnsi="Verdana"/>
          <w:sz w:val="20"/>
          <w:szCs w:val="20"/>
          <w:lang w:val="en-US"/>
        </w:rPr>
      </w:pPr>
      <w:r w:rsidRPr="00FE7BA7">
        <w:rPr>
          <w:rFonts w:ascii="Verdana" w:hAnsi="Verdana"/>
          <w:sz w:val="20"/>
          <w:szCs w:val="20"/>
          <w:lang w:val="en-US"/>
        </w:rPr>
        <w:t xml:space="preserve">Adapt its domestic remedies in order to ensure effective collective access to justice for </w:t>
      </w:r>
      <w:r w:rsidR="00967E6B" w:rsidRPr="00FE7BA7">
        <w:rPr>
          <w:rFonts w:ascii="Verdana" w:hAnsi="Verdana"/>
          <w:sz w:val="20"/>
          <w:szCs w:val="20"/>
          <w:lang w:val="en-US"/>
        </w:rPr>
        <w:t>the indigenous and tribal peoples</w:t>
      </w:r>
      <w:r w:rsidRPr="00FE7BA7">
        <w:rPr>
          <w:rFonts w:ascii="Verdana" w:hAnsi="Verdana"/>
          <w:sz w:val="20"/>
          <w:szCs w:val="20"/>
          <w:lang w:val="en-US"/>
        </w:rPr>
        <w:t xml:space="preserve">, and also to ensure access to the necessary information to exercise this right. To this end, the State must apply and interpret such remedies taking into account the standards for indigenous matters </w:t>
      </w:r>
      <w:r w:rsidR="006465E1" w:rsidRPr="00FE7BA7">
        <w:rPr>
          <w:rFonts w:ascii="Verdana" w:hAnsi="Verdana"/>
          <w:sz w:val="20"/>
          <w:szCs w:val="20"/>
          <w:lang w:val="en-US"/>
        </w:rPr>
        <w:t>men</w:t>
      </w:r>
      <w:r w:rsidRPr="00FE7BA7">
        <w:rPr>
          <w:rFonts w:ascii="Verdana" w:hAnsi="Verdana"/>
          <w:sz w:val="20"/>
          <w:szCs w:val="20"/>
          <w:lang w:val="en-US"/>
        </w:rPr>
        <w:t xml:space="preserve">tioned in </w:t>
      </w:r>
      <w:r w:rsidR="00967E6B" w:rsidRPr="00FE7BA7">
        <w:rPr>
          <w:rFonts w:ascii="Verdana" w:hAnsi="Verdana"/>
          <w:sz w:val="20"/>
          <w:szCs w:val="20"/>
          <w:lang w:val="en-US"/>
        </w:rPr>
        <w:t>paragraph</w:t>
      </w:r>
      <w:r w:rsidR="006465E1" w:rsidRPr="00FE7BA7">
        <w:rPr>
          <w:rFonts w:ascii="Verdana" w:hAnsi="Verdana"/>
          <w:sz w:val="20"/>
          <w:szCs w:val="20"/>
          <w:lang w:val="en-US"/>
        </w:rPr>
        <w:t xml:space="preserve"> </w:t>
      </w:r>
      <w:r w:rsidR="00D24B97" w:rsidRPr="00FE7BA7">
        <w:rPr>
          <w:rFonts w:ascii="Verdana" w:hAnsi="Verdana"/>
          <w:sz w:val="20"/>
          <w:szCs w:val="20"/>
          <w:lang w:val="en-US"/>
        </w:rPr>
        <w:t>2</w:t>
      </w:r>
      <w:r w:rsidR="00CB4310" w:rsidRPr="00FE7BA7">
        <w:rPr>
          <w:rFonts w:ascii="Verdana" w:hAnsi="Verdana"/>
          <w:sz w:val="20"/>
          <w:szCs w:val="20"/>
          <w:lang w:val="en-US"/>
        </w:rPr>
        <w:t>51</w:t>
      </w:r>
      <w:r w:rsidR="002D650B">
        <w:rPr>
          <w:rFonts w:ascii="Verdana" w:hAnsi="Verdana"/>
          <w:sz w:val="20"/>
          <w:szCs w:val="20"/>
          <w:lang w:val="en-US"/>
        </w:rPr>
        <w:t xml:space="preserve"> of this decis</w:t>
      </w:r>
      <w:r w:rsidR="00EF7F6A">
        <w:rPr>
          <w:rFonts w:ascii="Verdana" w:hAnsi="Verdana"/>
          <w:sz w:val="20"/>
          <w:szCs w:val="20"/>
          <w:lang w:val="en-US"/>
        </w:rPr>
        <w:t>ion</w:t>
      </w:r>
      <w:r w:rsidR="006465E1" w:rsidRPr="00FE7BA7">
        <w:rPr>
          <w:rFonts w:ascii="Verdana" w:hAnsi="Verdana"/>
          <w:sz w:val="20"/>
          <w:szCs w:val="20"/>
          <w:lang w:val="en-US"/>
        </w:rPr>
        <w:t>,</w:t>
      </w:r>
      <w:r w:rsidRPr="00FE7BA7">
        <w:rPr>
          <w:rFonts w:ascii="Verdana" w:hAnsi="Verdana"/>
          <w:sz w:val="20"/>
          <w:szCs w:val="20"/>
          <w:lang w:val="en-US"/>
        </w:rPr>
        <w:t xml:space="preserve"> within no more than two years of notification </w:t>
      </w:r>
      <w:r w:rsidR="000739A7" w:rsidRPr="00FE7BA7">
        <w:rPr>
          <w:rFonts w:ascii="Verdana" w:hAnsi="Verdana"/>
          <w:sz w:val="20"/>
          <w:szCs w:val="20"/>
          <w:lang w:val="en-US"/>
        </w:rPr>
        <w:t>of this Judgment</w:t>
      </w:r>
      <w:r w:rsidRPr="00FE7BA7">
        <w:rPr>
          <w:rFonts w:ascii="Verdana" w:hAnsi="Verdana"/>
          <w:sz w:val="20"/>
          <w:szCs w:val="20"/>
          <w:lang w:val="en-US"/>
        </w:rPr>
        <w:t>, and</w:t>
      </w:r>
    </w:p>
    <w:p w14:paraId="63126B30" w14:textId="77777777" w:rsidR="005D516B" w:rsidRPr="00FE7BA7" w:rsidRDefault="005D516B" w:rsidP="009E77BD">
      <w:pPr>
        <w:pStyle w:val="ListParagraph"/>
        <w:rPr>
          <w:rFonts w:ascii="Verdana" w:hAnsi="Verdana"/>
          <w:sz w:val="20"/>
          <w:szCs w:val="20"/>
          <w:lang w:val="en-US"/>
        </w:rPr>
      </w:pPr>
    </w:p>
    <w:p w14:paraId="63126B31" w14:textId="77777777" w:rsidR="006465E1" w:rsidRPr="00FE7BA7" w:rsidRDefault="00CD3DC6" w:rsidP="00CD3DC6">
      <w:pPr>
        <w:numPr>
          <w:ilvl w:val="0"/>
          <w:numId w:val="39"/>
        </w:numPr>
        <w:jc w:val="both"/>
        <w:rPr>
          <w:rFonts w:ascii="Verdana" w:hAnsi="Verdana"/>
          <w:sz w:val="20"/>
          <w:szCs w:val="20"/>
          <w:lang w:val="en-US"/>
        </w:rPr>
      </w:pPr>
      <w:r w:rsidRPr="00FE7BA7">
        <w:rPr>
          <w:rFonts w:ascii="Verdana" w:hAnsi="Verdana"/>
          <w:sz w:val="20"/>
          <w:szCs w:val="20"/>
          <w:lang w:val="en-US"/>
        </w:rPr>
        <w:t>Guarantee</w:t>
      </w:r>
      <w:r w:rsidR="005D516B" w:rsidRPr="00FE7BA7">
        <w:rPr>
          <w:rFonts w:ascii="Verdana" w:hAnsi="Verdana"/>
          <w:sz w:val="20"/>
          <w:szCs w:val="20"/>
          <w:lang w:val="en-US"/>
        </w:rPr>
        <w:t xml:space="preserve">: </w:t>
      </w:r>
      <w:r w:rsidRPr="00FE7BA7">
        <w:rPr>
          <w:rFonts w:ascii="Verdana" w:hAnsi="Verdana"/>
          <w:sz w:val="20"/>
          <w:szCs w:val="20"/>
          <w:lang w:val="en-US"/>
        </w:rPr>
        <w:t>(</w:t>
      </w:r>
      <w:r w:rsidR="005D516B" w:rsidRPr="00FE7BA7">
        <w:rPr>
          <w:rFonts w:ascii="Verdana" w:hAnsi="Verdana"/>
          <w:sz w:val="20"/>
          <w:lang w:val="en-US"/>
        </w:rPr>
        <w:t xml:space="preserve">i) </w:t>
      </w:r>
      <w:r w:rsidRPr="00FE7BA7">
        <w:rPr>
          <w:rFonts w:ascii="Verdana" w:hAnsi="Verdana"/>
          <w:sz w:val="20"/>
          <w:lang w:val="en-US"/>
        </w:rPr>
        <w:t>the effective participation, by means of a</w:t>
      </w:r>
      <w:r w:rsidR="00077064" w:rsidRPr="00FE7BA7">
        <w:rPr>
          <w:rFonts w:ascii="Verdana" w:hAnsi="Verdana"/>
          <w:sz w:val="20"/>
          <w:lang w:val="en-US"/>
        </w:rPr>
        <w:t xml:space="preserve"> </w:t>
      </w:r>
      <w:r w:rsidR="00BE4D11" w:rsidRPr="00FE7BA7">
        <w:rPr>
          <w:rFonts w:ascii="Verdana" w:hAnsi="Verdana"/>
          <w:sz w:val="20"/>
          <w:lang w:val="en-US"/>
        </w:rPr>
        <w:t>consultation process</w:t>
      </w:r>
      <w:r w:rsidRPr="00FE7BA7">
        <w:rPr>
          <w:rFonts w:ascii="Verdana" w:hAnsi="Verdana"/>
          <w:sz w:val="20"/>
          <w:lang w:val="en-US"/>
        </w:rPr>
        <w:t xml:space="preserve">, of </w:t>
      </w:r>
      <w:r w:rsidR="00967E6B" w:rsidRPr="00FE7BA7">
        <w:rPr>
          <w:rFonts w:ascii="Verdana" w:hAnsi="Verdana"/>
          <w:sz w:val="20"/>
          <w:lang w:val="en-US"/>
        </w:rPr>
        <w:t xml:space="preserve">the indigenous and tribal peoples </w:t>
      </w:r>
      <w:r w:rsidRPr="00FE7BA7">
        <w:rPr>
          <w:rFonts w:ascii="Verdana" w:hAnsi="Verdana"/>
          <w:sz w:val="20"/>
          <w:lang w:val="en-US"/>
        </w:rPr>
        <w:t>of</w:t>
      </w:r>
      <w:r w:rsidR="005D516B" w:rsidRPr="00FE7BA7">
        <w:rPr>
          <w:rFonts w:ascii="Verdana" w:hAnsi="Verdana"/>
          <w:sz w:val="20"/>
          <w:lang w:val="en-US"/>
        </w:rPr>
        <w:t xml:space="preserve"> </w:t>
      </w:r>
      <w:r w:rsidR="004C7D14" w:rsidRPr="00FE7BA7">
        <w:rPr>
          <w:rFonts w:ascii="Verdana" w:hAnsi="Verdana"/>
          <w:sz w:val="20"/>
          <w:lang w:val="en-US"/>
        </w:rPr>
        <w:t>Suriname,</w:t>
      </w:r>
      <w:r w:rsidR="005D516B" w:rsidRPr="00FE7BA7">
        <w:rPr>
          <w:rFonts w:ascii="Verdana" w:hAnsi="Verdana"/>
          <w:sz w:val="20"/>
          <w:lang w:val="en-US"/>
        </w:rPr>
        <w:t xml:space="preserve"> </w:t>
      </w:r>
      <w:r w:rsidRPr="00FE7BA7">
        <w:rPr>
          <w:rFonts w:ascii="Verdana" w:hAnsi="Verdana"/>
          <w:sz w:val="20"/>
          <w:lang w:val="en-US"/>
        </w:rPr>
        <w:t xml:space="preserve">according to their </w:t>
      </w:r>
      <w:r w:rsidR="00A65908">
        <w:rPr>
          <w:rFonts w:ascii="Verdana" w:hAnsi="Verdana"/>
          <w:sz w:val="20"/>
          <w:lang w:val="en-US"/>
        </w:rPr>
        <w:t>traditions and customs, in any p</w:t>
      </w:r>
      <w:r w:rsidRPr="00FE7BA7">
        <w:rPr>
          <w:rFonts w:ascii="Verdana" w:hAnsi="Verdana"/>
          <w:sz w:val="20"/>
          <w:lang w:val="en-US"/>
        </w:rPr>
        <w:t>roject, investment, nature reserve or activity that could have an impact</w:t>
      </w:r>
      <w:r w:rsidR="00EA554C" w:rsidRPr="00FE7BA7">
        <w:rPr>
          <w:rFonts w:ascii="Verdana" w:hAnsi="Verdana"/>
          <w:sz w:val="20"/>
          <w:lang w:val="en-US"/>
        </w:rPr>
        <w:t xml:space="preserve"> o</w:t>
      </w:r>
      <w:r w:rsidRPr="00FE7BA7">
        <w:rPr>
          <w:rFonts w:ascii="Verdana" w:hAnsi="Verdana"/>
          <w:sz w:val="20"/>
          <w:lang w:val="en-US"/>
        </w:rPr>
        <w:t xml:space="preserve">n their territory; (ii) the </w:t>
      </w:r>
      <w:r w:rsidR="00A65908">
        <w:rPr>
          <w:rFonts w:ascii="Verdana" w:hAnsi="Verdana"/>
          <w:sz w:val="20"/>
          <w:lang w:val="en-US"/>
        </w:rPr>
        <w:t>preparation</w:t>
      </w:r>
      <w:r w:rsidRPr="00FE7BA7">
        <w:rPr>
          <w:rFonts w:ascii="Verdana" w:hAnsi="Verdana"/>
          <w:sz w:val="20"/>
          <w:lang w:val="en-US"/>
        </w:rPr>
        <w:t xml:space="preserve"> of social and environmental impact assessments by independent and </w:t>
      </w:r>
      <w:r w:rsidR="00A65908">
        <w:rPr>
          <w:rFonts w:ascii="Verdana" w:hAnsi="Verdana"/>
          <w:sz w:val="20"/>
          <w:lang w:val="en-US"/>
        </w:rPr>
        <w:t>technically-</w:t>
      </w:r>
      <w:r w:rsidR="00C5163A" w:rsidRPr="00FE7BA7">
        <w:rPr>
          <w:rFonts w:ascii="Verdana" w:hAnsi="Verdana"/>
          <w:sz w:val="20"/>
          <w:lang w:val="en-US"/>
        </w:rPr>
        <w:t xml:space="preserve">qualified entities, </w:t>
      </w:r>
      <w:r w:rsidR="00C14A02">
        <w:rPr>
          <w:rFonts w:ascii="Verdana" w:hAnsi="Verdana"/>
          <w:sz w:val="20"/>
          <w:szCs w:val="20"/>
          <w:lang w:val="en-US"/>
        </w:rPr>
        <w:t xml:space="preserve">prior to </w:t>
      </w:r>
      <w:r w:rsidRPr="00FE7BA7">
        <w:rPr>
          <w:rFonts w:ascii="Verdana" w:hAnsi="Verdana"/>
          <w:sz w:val="20"/>
          <w:szCs w:val="20"/>
          <w:lang w:val="en-US"/>
        </w:rPr>
        <w:t xml:space="preserve">agreement to any investment or development project within the traditional territory of the </w:t>
      </w:r>
      <w:r w:rsidR="00F32607" w:rsidRPr="00FE7BA7">
        <w:rPr>
          <w:rFonts w:ascii="Verdana" w:hAnsi="Verdana"/>
          <w:sz w:val="20"/>
          <w:szCs w:val="20"/>
          <w:lang w:val="en-US"/>
        </w:rPr>
        <w:t>indigenous and tribal peoples</w:t>
      </w:r>
      <w:r w:rsidRPr="00FE7BA7">
        <w:rPr>
          <w:rFonts w:ascii="Verdana" w:hAnsi="Verdana"/>
          <w:sz w:val="20"/>
          <w:szCs w:val="20"/>
          <w:lang w:val="en-US"/>
        </w:rPr>
        <w:t xml:space="preserve">, and </w:t>
      </w:r>
      <w:r w:rsidR="00A65908">
        <w:rPr>
          <w:rFonts w:ascii="Verdana" w:hAnsi="Verdana"/>
          <w:sz w:val="20"/>
          <w:szCs w:val="20"/>
          <w:lang w:val="en-US"/>
        </w:rPr>
        <w:t>(</w:t>
      </w:r>
      <w:r w:rsidRPr="00FE7BA7">
        <w:rPr>
          <w:rFonts w:ascii="Verdana" w:hAnsi="Verdana"/>
          <w:sz w:val="20"/>
          <w:lang w:val="en-US"/>
        </w:rPr>
        <w:t>iii) the sharing of benefits res</w:t>
      </w:r>
      <w:r w:rsidR="00EA554C" w:rsidRPr="00FE7BA7">
        <w:rPr>
          <w:rFonts w:ascii="Verdana" w:hAnsi="Verdana"/>
          <w:sz w:val="20"/>
          <w:lang w:val="en-US"/>
        </w:rPr>
        <w:t xml:space="preserve">ulting from such projects </w:t>
      </w:r>
      <w:r w:rsidRPr="00FE7BA7">
        <w:rPr>
          <w:rFonts w:ascii="Verdana" w:hAnsi="Verdana"/>
          <w:sz w:val="20"/>
          <w:lang w:val="en-US"/>
        </w:rPr>
        <w:t xml:space="preserve">with </w:t>
      </w:r>
      <w:r w:rsidR="00967E6B" w:rsidRPr="00FE7BA7">
        <w:rPr>
          <w:rFonts w:ascii="Verdana" w:hAnsi="Verdana"/>
          <w:sz w:val="20"/>
          <w:lang w:val="en-US"/>
        </w:rPr>
        <w:t>the indigenous and tribal peoples</w:t>
      </w:r>
      <w:r w:rsidRPr="00FE7BA7">
        <w:rPr>
          <w:rFonts w:ascii="Verdana" w:hAnsi="Verdana"/>
          <w:sz w:val="20"/>
          <w:lang w:val="en-US"/>
        </w:rPr>
        <w:t xml:space="preserve">, </w:t>
      </w:r>
      <w:r w:rsidR="00C14A02">
        <w:rPr>
          <w:rFonts w:ascii="Verdana" w:hAnsi="Verdana"/>
          <w:sz w:val="20"/>
          <w:lang w:val="en-US"/>
        </w:rPr>
        <w:t>as</w:t>
      </w:r>
      <w:r w:rsidR="00A65908">
        <w:rPr>
          <w:rFonts w:ascii="Verdana" w:hAnsi="Verdana"/>
          <w:sz w:val="20"/>
          <w:lang w:val="en-US"/>
        </w:rPr>
        <w:t xml:space="preserve"> appropriate</w:t>
      </w:r>
      <w:r w:rsidRPr="00FE7BA7">
        <w:rPr>
          <w:rFonts w:ascii="Verdana" w:hAnsi="Verdana"/>
          <w:sz w:val="20"/>
          <w:lang w:val="en-US"/>
        </w:rPr>
        <w:t xml:space="preserve"> </w:t>
      </w:r>
      <w:r w:rsidR="00790F7E" w:rsidRPr="00FE7BA7">
        <w:rPr>
          <w:rFonts w:ascii="Verdana" w:hAnsi="Verdana"/>
          <w:sz w:val="20"/>
          <w:lang w:val="en-US"/>
        </w:rPr>
        <w:t>(</w:t>
      </w:r>
      <w:r w:rsidR="00790F7E" w:rsidRPr="00FE7BA7">
        <w:rPr>
          <w:rFonts w:ascii="Verdana" w:hAnsi="Verdana"/>
          <w:i/>
          <w:sz w:val="20"/>
          <w:lang w:val="en-US"/>
        </w:rPr>
        <w:t>supra</w:t>
      </w:r>
      <w:r w:rsidR="00790F7E" w:rsidRPr="00FE7BA7">
        <w:rPr>
          <w:rFonts w:ascii="Verdana" w:hAnsi="Verdana"/>
          <w:sz w:val="20"/>
          <w:lang w:val="en-US"/>
        </w:rPr>
        <w:t xml:space="preserve"> </w:t>
      </w:r>
      <w:r w:rsidR="00810FAD" w:rsidRPr="00FE7BA7">
        <w:rPr>
          <w:rFonts w:ascii="Verdana" w:hAnsi="Verdana"/>
          <w:sz w:val="20"/>
          <w:lang w:val="en-US"/>
        </w:rPr>
        <w:t>para.</w:t>
      </w:r>
      <w:r w:rsidR="00790F7E" w:rsidRPr="00FE7BA7">
        <w:rPr>
          <w:rFonts w:ascii="Verdana" w:hAnsi="Verdana"/>
          <w:sz w:val="20"/>
          <w:lang w:val="en-US"/>
        </w:rPr>
        <w:t xml:space="preserve"> 201)</w:t>
      </w:r>
      <w:r w:rsidR="005D516B" w:rsidRPr="00FE7BA7">
        <w:rPr>
          <w:rFonts w:ascii="Verdana" w:hAnsi="Verdana"/>
          <w:sz w:val="20"/>
          <w:lang w:val="en-US"/>
        </w:rPr>
        <w:t xml:space="preserve">. </w:t>
      </w:r>
      <w:r w:rsidRPr="00FE7BA7">
        <w:rPr>
          <w:rFonts w:ascii="Verdana" w:hAnsi="Verdana"/>
          <w:sz w:val="20"/>
          <w:lang w:val="en-US"/>
        </w:rPr>
        <w:t>All of this, in keeping with the standards indicated in this Judgment</w:t>
      </w:r>
      <w:r w:rsidR="005D516B" w:rsidRPr="00FE7BA7">
        <w:rPr>
          <w:rStyle w:val="FootnoteReference"/>
          <w:szCs w:val="20"/>
          <w:lang w:val="en-US"/>
        </w:rPr>
        <w:footnoteReference w:id="341"/>
      </w:r>
      <w:r w:rsidR="00790F7E" w:rsidRPr="00FE7BA7">
        <w:rPr>
          <w:rFonts w:ascii="Verdana" w:hAnsi="Verdana"/>
          <w:sz w:val="20"/>
          <w:lang w:val="en-US"/>
        </w:rPr>
        <w:t xml:space="preserve"> (</w:t>
      </w:r>
      <w:r w:rsidR="00790F7E" w:rsidRPr="00FE7BA7">
        <w:rPr>
          <w:rFonts w:ascii="Verdana" w:hAnsi="Verdana"/>
          <w:i/>
          <w:sz w:val="20"/>
          <w:lang w:val="en-US"/>
        </w:rPr>
        <w:t>supra</w:t>
      </w:r>
      <w:r w:rsidR="00790F7E" w:rsidRPr="00FE7BA7">
        <w:rPr>
          <w:rFonts w:ascii="Verdana" w:hAnsi="Verdana"/>
          <w:sz w:val="20"/>
          <w:lang w:val="en-US"/>
        </w:rPr>
        <w:t xml:space="preserve"> </w:t>
      </w:r>
      <w:r w:rsidR="008F798A" w:rsidRPr="00FE7BA7">
        <w:rPr>
          <w:rFonts w:ascii="Verdana" w:hAnsi="Verdana"/>
          <w:sz w:val="20"/>
          <w:lang w:val="en-US"/>
        </w:rPr>
        <w:t>paras.</w:t>
      </w:r>
      <w:r w:rsidR="00A611F5" w:rsidRPr="00FE7BA7">
        <w:rPr>
          <w:rFonts w:ascii="Verdana" w:hAnsi="Verdana"/>
          <w:sz w:val="20"/>
          <w:lang w:val="en-US"/>
        </w:rPr>
        <w:t xml:space="preserve"> </w:t>
      </w:r>
      <w:r w:rsidRPr="00FE7BA7">
        <w:rPr>
          <w:rFonts w:ascii="Verdana" w:hAnsi="Verdana"/>
          <w:sz w:val="20"/>
          <w:lang w:val="en-US"/>
        </w:rPr>
        <w:t>201 to</w:t>
      </w:r>
      <w:r w:rsidR="00A611F5" w:rsidRPr="00FE7BA7">
        <w:rPr>
          <w:rFonts w:ascii="Verdana" w:hAnsi="Verdana"/>
          <w:sz w:val="20"/>
          <w:lang w:val="en-US"/>
        </w:rPr>
        <w:t xml:space="preserve"> 229)</w:t>
      </w:r>
      <w:r w:rsidR="002B5CCD" w:rsidRPr="00FE7BA7">
        <w:rPr>
          <w:rFonts w:ascii="Verdana" w:hAnsi="Verdana"/>
          <w:sz w:val="20"/>
          <w:szCs w:val="20"/>
          <w:lang w:val="en-US"/>
        </w:rPr>
        <w:t xml:space="preserve"> and </w:t>
      </w:r>
      <w:r w:rsidRPr="00FE7BA7">
        <w:rPr>
          <w:rFonts w:ascii="Verdana" w:hAnsi="Verdana"/>
          <w:sz w:val="20"/>
          <w:szCs w:val="20"/>
          <w:lang w:val="en-US"/>
        </w:rPr>
        <w:t>within no more than t</w:t>
      </w:r>
      <w:r w:rsidR="00A65908">
        <w:rPr>
          <w:rFonts w:ascii="Verdana" w:hAnsi="Verdana"/>
          <w:sz w:val="20"/>
          <w:szCs w:val="20"/>
          <w:lang w:val="en-US"/>
        </w:rPr>
        <w:t>wo years of notification of the</w:t>
      </w:r>
      <w:r w:rsidRPr="00FE7BA7">
        <w:rPr>
          <w:rFonts w:ascii="Verdana" w:hAnsi="Verdana"/>
          <w:sz w:val="20"/>
          <w:szCs w:val="20"/>
          <w:lang w:val="en-US"/>
        </w:rPr>
        <w:t xml:space="preserve"> Judgment</w:t>
      </w:r>
      <w:r w:rsidR="00077064" w:rsidRPr="00FE7BA7">
        <w:rPr>
          <w:rFonts w:ascii="Verdana" w:hAnsi="Verdana"/>
          <w:sz w:val="20"/>
          <w:szCs w:val="20"/>
          <w:lang w:val="en-US"/>
        </w:rPr>
        <w:t>.</w:t>
      </w:r>
    </w:p>
    <w:p w14:paraId="63126B32" w14:textId="77777777" w:rsidR="006465E1" w:rsidRPr="00FE7BA7" w:rsidRDefault="006465E1" w:rsidP="006465E1">
      <w:pPr>
        <w:jc w:val="both"/>
        <w:rPr>
          <w:rFonts w:ascii="Verdana" w:hAnsi="Verdana"/>
          <w:sz w:val="20"/>
          <w:szCs w:val="20"/>
          <w:lang w:val="en-US"/>
        </w:rPr>
      </w:pPr>
    </w:p>
    <w:p w14:paraId="63126B33" w14:textId="72238AA7" w:rsidR="00C5163A" w:rsidRPr="00EF7F6A" w:rsidRDefault="00C5163A" w:rsidP="006465E1">
      <w:pPr>
        <w:numPr>
          <w:ilvl w:val="0"/>
          <w:numId w:val="2"/>
        </w:numPr>
        <w:ind w:left="0" w:hanging="11"/>
        <w:contextualSpacing/>
        <w:jc w:val="both"/>
        <w:rPr>
          <w:rFonts w:ascii="Verdana" w:hAnsi="Verdana"/>
          <w:sz w:val="20"/>
          <w:szCs w:val="20"/>
          <w:lang w:val="en-US"/>
        </w:rPr>
      </w:pPr>
      <w:r w:rsidRPr="004A22CF">
        <w:rPr>
          <w:rFonts w:ascii="Verdana" w:hAnsi="Verdana"/>
          <w:sz w:val="20"/>
          <w:szCs w:val="20"/>
          <w:lang w:val="en-US"/>
        </w:rPr>
        <w:t xml:space="preserve">In addition, </w:t>
      </w:r>
      <w:r w:rsidR="002B5CCD" w:rsidRPr="004A22CF">
        <w:rPr>
          <w:rFonts w:ascii="Verdana" w:hAnsi="Verdana"/>
          <w:sz w:val="20"/>
          <w:szCs w:val="20"/>
          <w:lang w:val="en-US"/>
        </w:rPr>
        <w:t xml:space="preserve">the Commission and </w:t>
      </w:r>
      <w:r w:rsidR="00810FAD" w:rsidRPr="004A22CF">
        <w:rPr>
          <w:rFonts w:ascii="Verdana" w:hAnsi="Verdana"/>
          <w:sz w:val="20"/>
          <w:szCs w:val="20"/>
          <w:lang w:val="en-US"/>
        </w:rPr>
        <w:t>the representatives</w:t>
      </w:r>
      <w:r w:rsidR="006465E1" w:rsidRPr="004A22CF">
        <w:rPr>
          <w:rFonts w:ascii="Verdana" w:hAnsi="Verdana"/>
          <w:sz w:val="20"/>
          <w:szCs w:val="20"/>
          <w:lang w:val="en-US"/>
        </w:rPr>
        <w:t xml:space="preserve"> </w:t>
      </w:r>
      <w:r w:rsidRPr="004A22CF">
        <w:rPr>
          <w:rFonts w:ascii="Verdana" w:hAnsi="Verdana"/>
          <w:sz w:val="20"/>
          <w:szCs w:val="20"/>
          <w:lang w:val="en-US"/>
        </w:rPr>
        <w:t xml:space="preserve">asked, in general, for the review and amendment of the domestic legislation on mining, </w:t>
      </w:r>
      <w:r w:rsidR="00646530" w:rsidRPr="004A22CF">
        <w:rPr>
          <w:rFonts w:ascii="Verdana" w:hAnsi="Verdana"/>
          <w:sz w:val="20"/>
          <w:szCs w:val="20"/>
          <w:lang w:val="en-US"/>
        </w:rPr>
        <w:t>logging, hunting, and on any other matter that could be contrary to the rights of the indigenous peoples, without stipul</w:t>
      </w:r>
      <w:r w:rsidR="00A65908" w:rsidRPr="004A22CF">
        <w:rPr>
          <w:rFonts w:ascii="Verdana" w:hAnsi="Verdana"/>
          <w:sz w:val="20"/>
          <w:szCs w:val="20"/>
          <w:lang w:val="en-US"/>
        </w:rPr>
        <w:t>ating clearing the laws or the respective</w:t>
      </w:r>
      <w:r w:rsidR="00646530" w:rsidRPr="004A22CF">
        <w:rPr>
          <w:rFonts w:ascii="Verdana" w:hAnsi="Verdana"/>
          <w:sz w:val="20"/>
          <w:szCs w:val="20"/>
          <w:lang w:val="en-US"/>
        </w:rPr>
        <w:t xml:space="preserve"> articles, or how this would be contrary to the said rights. </w:t>
      </w:r>
      <w:r w:rsidR="00646530" w:rsidRPr="00EF7F6A">
        <w:rPr>
          <w:rFonts w:ascii="Verdana" w:hAnsi="Verdana"/>
          <w:sz w:val="20"/>
          <w:szCs w:val="20"/>
          <w:lang w:val="en-US"/>
        </w:rPr>
        <w:t xml:space="preserve">Accordingly, and since no </w:t>
      </w:r>
      <w:r w:rsidR="00EF7F6A" w:rsidRPr="006C4E70">
        <w:rPr>
          <w:rFonts w:ascii="Verdana" w:hAnsi="Verdana"/>
          <w:sz w:val="20"/>
          <w:szCs w:val="20"/>
          <w:lang w:val="en-US"/>
        </w:rPr>
        <w:t xml:space="preserve">particular </w:t>
      </w:r>
      <w:r w:rsidR="00646530" w:rsidRPr="00EF7F6A">
        <w:rPr>
          <w:rFonts w:ascii="Verdana" w:hAnsi="Verdana"/>
          <w:sz w:val="20"/>
          <w:szCs w:val="20"/>
          <w:lang w:val="en-US"/>
        </w:rPr>
        <w:t xml:space="preserve">violation has been proved in the </w:t>
      </w:r>
      <w:r w:rsidR="00A65908" w:rsidRPr="00EF7F6A">
        <w:rPr>
          <w:rFonts w:ascii="Verdana" w:hAnsi="Verdana"/>
          <w:sz w:val="20"/>
          <w:szCs w:val="20"/>
          <w:lang w:val="en-US"/>
        </w:rPr>
        <w:t>merits</w:t>
      </w:r>
      <w:r w:rsidR="00C14A02" w:rsidRPr="00EF7F6A">
        <w:rPr>
          <w:rFonts w:ascii="Verdana" w:hAnsi="Verdana"/>
          <w:sz w:val="20"/>
          <w:szCs w:val="20"/>
          <w:lang w:val="en-US"/>
        </w:rPr>
        <w:t xml:space="preserve"> section</w:t>
      </w:r>
      <w:r w:rsidR="00A65908" w:rsidRPr="00EF7F6A">
        <w:rPr>
          <w:rFonts w:ascii="Verdana" w:hAnsi="Verdana"/>
          <w:sz w:val="20"/>
          <w:szCs w:val="20"/>
          <w:lang w:val="en-US"/>
        </w:rPr>
        <w:t xml:space="preserve"> </w:t>
      </w:r>
      <w:r w:rsidR="00646530" w:rsidRPr="00EF7F6A">
        <w:rPr>
          <w:rFonts w:ascii="Verdana" w:hAnsi="Verdana"/>
          <w:sz w:val="20"/>
          <w:szCs w:val="20"/>
          <w:lang w:val="en-US"/>
        </w:rPr>
        <w:t>of this Judgment, these requests have no causal nexus, and therefore it is not in order to adopt a measure</w:t>
      </w:r>
      <w:r w:rsidR="00646530" w:rsidRPr="004A22CF">
        <w:rPr>
          <w:rFonts w:ascii="Verdana" w:hAnsi="Verdana"/>
          <w:sz w:val="20"/>
          <w:szCs w:val="20"/>
          <w:lang w:val="en-US"/>
        </w:rPr>
        <w:t xml:space="preserve"> of reparation.</w:t>
      </w:r>
    </w:p>
    <w:p w14:paraId="63126B34" w14:textId="77777777" w:rsidR="00A91B78" w:rsidRDefault="00A91B78" w:rsidP="00A91B78">
      <w:pPr>
        <w:jc w:val="both"/>
        <w:rPr>
          <w:rFonts w:ascii="Verdana" w:hAnsi="Verdana"/>
          <w:sz w:val="20"/>
          <w:szCs w:val="20"/>
          <w:lang w:val="en-US"/>
        </w:rPr>
      </w:pPr>
    </w:p>
    <w:p w14:paraId="2626F5E1" w14:textId="77777777" w:rsidR="00BB6389" w:rsidRDefault="00BB6389" w:rsidP="00A91B78">
      <w:pPr>
        <w:jc w:val="both"/>
        <w:rPr>
          <w:rFonts w:ascii="Verdana" w:hAnsi="Verdana"/>
          <w:sz w:val="20"/>
          <w:szCs w:val="20"/>
          <w:lang w:val="en-US"/>
        </w:rPr>
      </w:pPr>
    </w:p>
    <w:p w14:paraId="3FB37222" w14:textId="77777777" w:rsidR="00BB6389" w:rsidRPr="00FE7BA7" w:rsidRDefault="00BB6389" w:rsidP="00A91B78">
      <w:pPr>
        <w:jc w:val="both"/>
        <w:rPr>
          <w:rFonts w:ascii="Verdana" w:hAnsi="Verdana"/>
          <w:sz w:val="20"/>
          <w:szCs w:val="20"/>
          <w:lang w:val="en-US"/>
        </w:rPr>
      </w:pPr>
    </w:p>
    <w:p w14:paraId="63126B35" w14:textId="77777777" w:rsidR="00A91B78" w:rsidRPr="00FE7BA7" w:rsidRDefault="00DE7693" w:rsidP="00A91B78">
      <w:pPr>
        <w:pStyle w:val="Heading3"/>
        <w:spacing w:before="0"/>
        <w:ind w:left="360"/>
        <w:jc w:val="both"/>
        <w:rPr>
          <w:rFonts w:ascii="Verdana" w:hAnsi="Verdana"/>
          <w:i/>
          <w:color w:val="auto"/>
          <w:sz w:val="20"/>
          <w:szCs w:val="20"/>
          <w:lang w:val="en-US"/>
        </w:rPr>
      </w:pPr>
      <w:bookmarkStart w:id="91" w:name="_Toc441673233"/>
      <w:r w:rsidRPr="00FE7BA7">
        <w:rPr>
          <w:rFonts w:ascii="Verdana" w:hAnsi="Verdana"/>
          <w:i/>
          <w:color w:val="auto"/>
          <w:sz w:val="20"/>
          <w:szCs w:val="20"/>
          <w:lang w:val="en-US"/>
        </w:rPr>
        <w:lastRenderedPageBreak/>
        <w:t>E</w:t>
      </w:r>
      <w:r w:rsidR="00A91B78" w:rsidRPr="00FE7BA7">
        <w:rPr>
          <w:rFonts w:ascii="Verdana" w:hAnsi="Verdana"/>
          <w:i/>
          <w:color w:val="auto"/>
          <w:sz w:val="20"/>
          <w:szCs w:val="20"/>
          <w:lang w:val="en-US"/>
        </w:rPr>
        <w:t xml:space="preserve">.2 </w:t>
      </w:r>
      <w:r w:rsidR="00C34C52" w:rsidRPr="00FE7BA7">
        <w:rPr>
          <w:rFonts w:ascii="Verdana" w:hAnsi="Verdana"/>
          <w:i/>
          <w:color w:val="auto"/>
          <w:sz w:val="20"/>
          <w:szCs w:val="20"/>
          <w:lang w:val="en-US"/>
        </w:rPr>
        <w:t>Training measures</w:t>
      </w:r>
      <w:bookmarkEnd w:id="91"/>
    </w:p>
    <w:p w14:paraId="63126B36" w14:textId="77777777" w:rsidR="00A91B78" w:rsidRPr="00FE7BA7" w:rsidRDefault="00A91B78" w:rsidP="00A91B78">
      <w:pPr>
        <w:jc w:val="both"/>
        <w:rPr>
          <w:rFonts w:ascii="Verdana" w:hAnsi="Verdana"/>
          <w:sz w:val="20"/>
          <w:szCs w:val="20"/>
          <w:lang w:val="en-US"/>
        </w:rPr>
      </w:pPr>
    </w:p>
    <w:p w14:paraId="63126B37" w14:textId="588B1982" w:rsidR="00A91B78" w:rsidRPr="00FE7BA7" w:rsidRDefault="00810FAD" w:rsidP="00EA554C">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A91B78" w:rsidRPr="00FE7BA7">
        <w:rPr>
          <w:rFonts w:ascii="Verdana" w:hAnsi="Verdana"/>
          <w:b/>
          <w:sz w:val="20"/>
          <w:szCs w:val="20"/>
          <w:lang w:val="en-US"/>
        </w:rPr>
        <w:t xml:space="preserve"> </w:t>
      </w:r>
      <w:r w:rsidR="00A91B78" w:rsidRPr="00FE7BA7">
        <w:rPr>
          <w:rFonts w:ascii="Verdana" w:hAnsi="Verdana"/>
          <w:sz w:val="20"/>
          <w:szCs w:val="20"/>
          <w:lang w:val="en-US"/>
        </w:rPr>
        <w:t>req</w:t>
      </w:r>
      <w:r w:rsidR="00EA554C" w:rsidRPr="00FE7BA7">
        <w:rPr>
          <w:rFonts w:ascii="Verdana" w:hAnsi="Verdana"/>
          <w:sz w:val="20"/>
          <w:szCs w:val="20"/>
          <w:lang w:val="en-US"/>
        </w:rPr>
        <w:t xml:space="preserve">uested the </w:t>
      </w:r>
      <w:r w:rsidR="00FE7BA7" w:rsidRPr="00FE7BA7">
        <w:rPr>
          <w:rFonts w:ascii="Verdana" w:hAnsi="Verdana"/>
          <w:sz w:val="20"/>
          <w:szCs w:val="20"/>
          <w:lang w:val="en-US"/>
        </w:rPr>
        <w:t>implementation</w:t>
      </w:r>
      <w:r w:rsidR="00EA554C" w:rsidRPr="00FE7BA7">
        <w:rPr>
          <w:rFonts w:ascii="Verdana" w:hAnsi="Verdana"/>
          <w:sz w:val="20"/>
          <w:szCs w:val="20"/>
          <w:lang w:val="en-US"/>
        </w:rPr>
        <w:t xml:space="preserve"> of </w:t>
      </w:r>
      <w:r w:rsidR="00A65908">
        <w:rPr>
          <w:rFonts w:ascii="Verdana" w:hAnsi="Verdana"/>
          <w:sz w:val="20"/>
          <w:szCs w:val="20"/>
          <w:lang w:val="en-US"/>
        </w:rPr>
        <w:t>mandatory</w:t>
      </w:r>
      <w:r w:rsidR="00EA554C" w:rsidRPr="00FE7BA7">
        <w:rPr>
          <w:rFonts w:ascii="Verdana" w:hAnsi="Verdana"/>
          <w:sz w:val="20"/>
          <w:szCs w:val="20"/>
          <w:lang w:val="en-US"/>
        </w:rPr>
        <w:t xml:space="preserve"> training programs or courses that included modules on </w:t>
      </w:r>
      <w:r w:rsidR="00A65908">
        <w:rPr>
          <w:rFonts w:ascii="Verdana" w:hAnsi="Verdana"/>
          <w:sz w:val="20"/>
          <w:szCs w:val="20"/>
          <w:lang w:val="en-US"/>
        </w:rPr>
        <w:t>domestic</w:t>
      </w:r>
      <w:r w:rsidR="00EA554C" w:rsidRPr="00FE7BA7">
        <w:rPr>
          <w:rFonts w:ascii="Verdana" w:hAnsi="Verdana"/>
          <w:sz w:val="20"/>
          <w:szCs w:val="20"/>
          <w:lang w:val="en-US"/>
        </w:rPr>
        <w:t xml:space="preserve"> and</w:t>
      </w:r>
      <w:r w:rsidR="00A65908">
        <w:rPr>
          <w:rFonts w:ascii="Verdana" w:hAnsi="Verdana"/>
          <w:sz w:val="20"/>
          <w:szCs w:val="20"/>
          <w:lang w:val="en-US"/>
        </w:rPr>
        <w:t xml:space="preserve"> international human rights standards</w:t>
      </w:r>
      <w:r w:rsidR="00EA554C" w:rsidRPr="00FE7BA7">
        <w:rPr>
          <w:rFonts w:ascii="Verdana" w:hAnsi="Verdana"/>
          <w:sz w:val="20"/>
          <w:szCs w:val="20"/>
          <w:lang w:val="en-US"/>
        </w:rPr>
        <w:t xml:space="preserve"> </w:t>
      </w:r>
      <w:r w:rsidR="00A65908">
        <w:rPr>
          <w:rFonts w:ascii="Verdana" w:hAnsi="Verdana"/>
          <w:sz w:val="20"/>
          <w:szCs w:val="20"/>
          <w:lang w:val="en-US"/>
        </w:rPr>
        <w:t>concerning</w:t>
      </w:r>
      <w:r w:rsidR="00EA554C" w:rsidRPr="00FE7BA7">
        <w:rPr>
          <w:rFonts w:ascii="Verdana" w:hAnsi="Verdana"/>
          <w:sz w:val="20"/>
          <w:szCs w:val="20"/>
          <w:lang w:val="en-US"/>
        </w:rPr>
        <w:t xml:space="preserve"> </w:t>
      </w:r>
      <w:r w:rsidR="00967E6B" w:rsidRPr="00FE7BA7">
        <w:rPr>
          <w:rFonts w:ascii="Verdana" w:hAnsi="Verdana"/>
          <w:sz w:val="20"/>
          <w:szCs w:val="20"/>
          <w:lang w:val="en-US"/>
        </w:rPr>
        <w:t xml:space="preserve">indigenous and </w:t>
      </w:r>
      <w:r w:rsidR="00F32607" w:rsidRPr="00FE7BA7">
        <w:rPr>
          <w:rFonts w:ascii="Verdana" w:hAnsi="Verdana"/>
          <w:sz w:val="20"/>
          <w:szCs w:val="20"/>
          <w:lang w:val="en-US"/>
        </w:rPr>
        <w:t>tribal peoples</w:t>
      </w:r>
      <w:r w:rsidR="00EA554C" w:rsidRPr="00FE7BA7">
        <w:rPr>
          <w:rFonts w:ascii="Verdana" w:hAnsi="Verdana"/>
          <w:sz w:val="20"/>
          <w:szCs w:val="20"/>
          <w:lang w:val="en-US"/>
        </w:rPr>
        <w:t xml:space="preserve"> for </w:t>
      </w:r>
      <w:r w:rsidR="00A65908">
        <w:rPr>
          <w:rFonts w:ascii="Verdana" w:hAnsi="Verdana"/>
          <w:sz w:val="20"/>
          <w:szCs w:val="20"/>
          <w:lang w:val="en-US"/>
        </w:rPr>
        <w:t>law enforcement officials, civil servants and</w:t>
      </w:r>
      <w:r w:rsidR="00EA554C" w:rsidRPr="00FE7BA7">
        <w:rPr>
          <w:rFonts w:ascii="Verdana" w:hAnsi="Verdana"/>
          <w:sz w:val="20"/>
          <w:szCs w:val="20"/>
          <w:lang w:val="en-US"/>
        </w:rPr>
        <w:t xml:space="preserve"> other</w:t>
      </w:r>
      <w:r w:rsidR="00A65908">
        <w:rPr>
          <w:rFonts w:ascii="Verdana" w:hAnsi="Verdana"/>
          <w:sz w:val="20"/>
          <w:szCs w:val="20"/>
          <w:lang w:val="en-US"/>
        </w:rPr>
        <w:t>s whose functions i</w:t>
      </w:r>
      <w:r w:rsidR="00EA554C" w:rsidRPr="00FE7BA7">
        <w:rPr>
          <w:rFonts w:ascii="Verdana" w:hAnsi="Verdana"/>
          <w:sz w:val="20"/>
          <w:szCs w:val="20"/>
          <w:lang w:val="en-US"/>
        </w:rPr>
        <w:t>nvolve</w:t>
      </w:r>
      <w:r w:rsidR="00A65908">
        <w:rPr>
          <w:rFonts w:ascii="Verdana" w:hAnsi="Verdana"/>
          <w:sz w:val="20"/>
          <w:szCs w:val="20"/>
          <w:lang w:val="en-US"/>
        </w:rPr>
        <w:t>d</w:t>
      </w:r>
      <w:r w:rsidR="00EA554C" w:rsidRPr="00FE7BA7">
        <w:rPr>
          <w:rFonts w:ascii="Verdana" w:hAnsi="Verdana"/>
          <w:sz w:val="20"/>
          <w:szCs w:val="20"/>
          <w:lang w:val="en-US"/>
        </w:rPr>
        <w:t xml:space="preserve"> relations with </w:t>
      </w:r>
      <w:r w:rsidR="00A65908">
        <w:rPr>
          <w:rFonts w:ascii="Verdana" w:hAnsi="Verdana"/>
          <w:sz w:val="20"/>
          <w:szCs w:val="20"/>
          <w:lang w:val="en-US"/>
        </w:rPr>
        <w:t xml:space="preserve">indigenous </w:t>
      </w:r>
      <w:proofErr w:type="gramStart"/>
      <w:r w:rsidR="00A65908">
        <w:rPr>
          <w:rFonts w:ascii="Verdana" w:hAnsi="Verdana"/>
          <w:sz w:val="20"/>
          <w:szCs w:val="20"/>
          <w:lang w:val="en-US"/>
        </w:rPr>
        <w:t>peoples</w:t>
      </w:r>
      <w:proofErr w:type="gramEnd"/>
      <w:r w:rsidR="00EA554C" w:rsidRPr="00FE7BA7">
        <w:rPr>
          <w:rFonts w:ascii="Verdana" w:hAnsi="Verdana"/>
          <w:sz w:val="20"/>
          <w:szCs w:val="20"/>
          <w:lang w:val="en-US"/>
        </w:rPr>
        <w:t xml:space="preserve"> at </w:t>
      </w:r>
      <w:r w:rsidR="00EA554C" w:rsidRPr="00A65908">
        <w:rPr>
          <w:rFonts w:ascii="Verdana" w:hAnsi="Verdana"/>
          <w:sz w:val="20"/>
          <w:szCs w:val="20"/>
          <w:lang w:val="en-US"/>
        </w:rPr>
        <w:t>all hierarchical levels</w:t>
      </w:r>
      <w:r w:rsidR="00EA554C" w:rsidRPr="00FE7BA7">
        <w:rPr>
          <w:rFonts w:ascii="Verdana" w:hAnsi="Verdana"/>
          <w:sz w:val="20"/>
          <w:szCs w:val="20"/>
          <w:lang w:val="en-US"/>
        </w:rPr>
        <w:t xml:space="preserve">. All of this within a reasonable time and </w:t>
      </w:r>
      <w:r w:rsidR="00A65908">
        <w:rPr>
          <w:rFonts w:ascii="Verdana" w:hAnsi="Verdana"/>
          <w:sz w:val="20"/>
          <w:szCs w:val="20"/>
          <w:lang w:val="en-US"/>
        </w:rPr>
        <w:t>with</w:t>
      </w:r>
      <w:r w:rsidR="00EA554C" w:rsidRPr="00FE7BA7">
        <w:rPr>
          <w:rFonts w:ascii="Verdana" w:hAnsi="Verdana"/>
          <w:sz w:val="20"/>
          <w:szCs w:val="20"/>
          <w:lang w:val="en-US"/>
        </w:rPr>
        <w:t xml:space="preserve"> the corresponding budgetary </w:t>
      </w:r>
      <w:r w:rsidR="00A65908">
        <w:rPr>
          <w:rFonts w:ascii="Verdana" w:hAnsi="Verdana"/>
          <w:sz w:val="20"/>
          <w:szCs w:val="20"/>
          <w:lang w:val="en-US"/>
        </w:rPr>
        <w:t>provisions</w:t>
      </w:r>
      <w:r w:rsidR="00EA554C" w:rsidRPr="00FE7BA7">
        <w:rPr>
          <w:rFonts w:ascii="Verdana" w:hAnsi="Verdana"/>
          <w:sz w:val="20"/>
          <w:szCs w:val="20"/>
          <w:lang w:val="en-US"/>
        </w:rPr>
        <w:t>. In addition, they indicated that th</w:t>
      </w:r>
      <w:r w:rsidR="00882E5A">
        <w:rPr>
          <w:rFonts w:ascii="Verdana" w:hAnsi="Verdana"/>
          <w:sz w:val="20"/>
          <w:szCs w:val="20"/>
          <w:lang w:val="en-US"/>
        </w:rPr>
        <w:t>e</w:t>
      </w:r>
      <w:r w:rsidR="00EA554C" w:rsidRPr="00FE7BA7">
        <w:rPr>
          <w:rFonts w:ascii="Verdana" w:hAnsi="Verdana"/>
          <w:sz w:val="20"/>
          <w:szCs w:val="20"/>
          <w:lang w:val="en-US"/>
        </w:rPr>
        <w:t>s</w:t>
      </w:r>
      <w:r w:rsidR="00882E5A">
        <w:rPr>
          <w:rFonts w:ascii="Verdana" w:hAnsi="Verdana"/>
          <w:sz w:val="20"/>
          <w:szCs w:val="20"/>
          <w:lang w:val="en-US"/>
        </w:rPr>
        <w:t>e</w:t>
      </w:r>
      <w:r w:rsidR="00EA554C" w:rsidRPr="00FE7BA7">
        <w:rPr>
          <w:rFonts w:ascii="Verdana" w:hAnsi="Verdana"/>
          <w:sz w:val="20"/>
          <w:szCs w:val="20"/>
          <w:lang w:val="en-US"/>
        </w:rPr>
        <w:t xml:space="preserve"> measures should ensure the effective participation and the free, prior and informed consent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A91B78" w:rsidRPr="00FE7BA7">
        <w:rPr>
          <w:rFonts w:ascii="Verdana" w:hAnsi="Verdana"/>
          <w:sz w:val="20"/>
          <w:szCs w:val="20"/>
          <w:lang w:val="en-US"/>
        </w:rPr>
        <w:t>, expres</w:t>
      </w:r>
      <w:r w:rsidR="00EA554C" w:rsidRPr="00FE7BA7">
        <w:rPr>
          <w:rFonts w:ascii="Verdana" w:hAnsi="Verdana"/>
          <w:sz w:val="20"/>
          <w:szCs w:val="20"/>
          <w:lang w:val="en-US"/>
        </w:rPr>
        <w:t>sed through their</w:t>
      </w:r>
      <w:r w:rsidR="00A65908">
        <w:rPr>
          <w:rFonts w:ascii="Verdana" w:hAnsi="Verdana"/>
          <w:sz w:val="20"/>
          <w:szCs w:val="20"/>
          <w:lang w:val="en-US"/>
        </w:rPr>
        <w:t xml:space="preserve"> freely chosen representatives.</w:t>
      </w:r>
    </w:p>
    <w:p w14:paraId="63126B38" w14:textId="77777777" w:rsidR="00A91B78" w:rsidRPr="00FE7BA7" w:rsidRDefault="00A91B78" w:rsidP="00A91B78">
      <w:pPr>
        <w:jc w:val="both"/>
        <w:rPr>
          <w:rFonts w:ascii="Verdana" w:hAnsi="Verdana"/>
          <w:sz w:val="20"/>
          <w:szCs w:val="20"/>
          <w:lang w:val="en-US"/>
        </w:rPr>
      </w:pPr>
    </w:p>
    <w:p w14:paraId="63126B39" w14:textId="77777777" w:rsidR="00A91B78" w:rsidRPr="00FE7BA7" w:rsidRDefault="000739A7"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Neither the </w:t>
      </w:r>
      <w:r w:rsidRPr="006C4E70">
        <w:rPr>
          <w:rFonts w:ascii="Verdana" w:hAnsi="Verdana"/>
          <w:b/>
          <w:i/>
          <w:sz w:val="20"/>
          <w:szCs w:val="20"/>
          <w:lang w:val="en-US"/>
        </w:rPr>
        <w:t>Commission</w:t>
      </w:r>
      <w:r w:rsidRPr="00FE7BA7">
        <w:rPr>
          <w:rFonts w:ascii="Verdana" w:hAnsi="Verdana"/>
          <w:sz w:val="20"/>
          <w:szCs w:val="20"/>
          <w:lang w:val="en-US"/>
        </w:rPr>
        <w:t xml:space="preserve"> nor the </w:t>
      </w:r>
      <w:r w:rsidRPr="006C4E70">
        <w:rPr>
          <w:rFonts w:ascii="Verdana" w:hAnsi="Verdana"/>
          <w:b/>
          <w:i/>
          <w:sz w:val="20"/>
          <w:szCs w:val="20"/>
          <w:lang w:val="en-US"/>
        </w:rPr>
        <w:t>State</w:t>
      </w:r>
      <w:r w:rsidRPr="00FE7BA7">
        <w:rPr>
          <w:rFonts w:ascii="Verdana" w:hAnsi="Verdana"/>
          <w:sz w:val="20"/>
          <w:szCs w:val="20"/>
          <w:lang w:val="en-US"/>
        </w:rPr>
        <w:t xml:space="preserve"> commented in this regard.</w:t>
      </w:r>
    </w:p>
    <w:p w14:paraId="63126B3A" w14:textId="77777777" w:rsidR="00A91B78" w:rsidRPr="00FE7BA7" w:rsidRDefault="00A91B78" w:rsidP="00A91B78">
      <w:pPr>
        <w:jc w:val="both"/>
        <w:rPr>
          <w:rFonts w:ascii="Verdana" w:hAnsi="Verdana"/>
          <w:sz w:val="20"/>
          <w:szCs w:val="20"/>
          <w:lang w:val="en-US"/>
        </w:rPr>
      </w:pPr>
    </w:p>
    <w:p w14:paraId="63126B3B" w14:textId="77777777" w:rsidR="00A91B78" w:rsidRPr="00FE7BA7" w:rsidRDefault="00EA554C" w:rsidP="00EA554C">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Based on the violations that have been proved, the Court establishes that the State must implement, within a reasonable time and with the respective budgetary </w:t>
      </w:r>
      <w:r w:rsidR="00BB3478">
        <w:rPr>
          <w:rFonts w:ascii="Verdana" w:hAnsi="Verdana"/>
          <w:sz w:val="20"/>
          <w:szCs w:val="20"/>
          <w:lang w:val="en-US"/>
        </w:rPr>
        <w:t>provision</w:t>
      </w:r>
      <w:r w:rsidRPr="00FE7BA7">
        <w:rPr>
          <w:rFonts w:ascii="Verdana" w:hAnsi="Verdana"/>
          <w:sz w:val="20"/>
          <w:szCs w:val="20"/>
          <w:lang w:val="en-US"/>
        </w:rPr>
        <w:t xml:space="preserve">, permanent </w:t>
      </w:r>
      <w:r w:rsidR="00BB3478">
        <w:rPr>
          <w:rFonts w:ascii="Verdana" w:hAnsi="Verdana"/>
          <w:sz w:val="20"/>
          <w:szCs w:val="20"/>
          <w:lang w:val="en-US"/>
        </w:rPr>
        <w:t>mandatory</w:t>
      </w:r>
      <w:r w:rsidRPr="00FE7BA7">
        <w:rPr>
          <w:rFonts w:ascii="Verdana" w:hAnsi="Verdana"/>
          <w:sz w:val="20"/>
          <w:szCs w:val="20"/>
          <w:lang w:val="en-US"/>
        </w:rPr>
        <w:t xml:space="preserve"> programs or courses that include modules on nationa</w:t>
      </w:r>
      <w:r w:rsidR="00BB3478">
        <w:rPr>
          <w:rFonts w:ascii="Verdana" w:hAnsi="Verdana"/>
          <w:sz w:val="20"/>
          <w:szCs w:val="20"/>
          <w:lang w:val="en-US"/>
        </w:rPr>
        <w:t xml:space="preserve">l and international standards concerning the </w:t>
      </w:r>
      <w:r w:rsidRPr="00FE7BA7">
        <w:rPr>
          <w:rFonts w:ascii="Verdana" w:hAnsi="Verdana"/>
          <w:sz w:val="20"/>
          <w:szCs w:val="20"/>
          <w:lang w:val="en-US"/>
        </w:rPr>
        <w:t>human rights of the indigenous and tri</w:t>
      </w:r>
      <w:r w:rsidR="00BB3478">
        <w:rPr>
          <w:rFonts w:ascii="Verdana" w:hAnsi="Verdana"/>
          <w:sz w:val="20"/>
          <w:szCs w:val="20"/>
          <w:lang w:val="en-US"/>
        </w:rPr>
        <w:t>bal peoples; in particular, concerning</w:t>
      </w:r>
      <w:r w:rsidRPr="00FE7BA7">
        <w:rPr>
          <w:rFonts w:ascii="Verdana" w:hAnsi="Verdana"/>
          <w:sz w:val="20"/>
          <w:szCs w:val="20"/>
          <w:lang w:val="en-US"/>
        </w:rPr>
        <w:t xml:space="preserve"> the respect, protection and guarantee of the right to collective property. These courses must be addressed at </w:t>
      </w:r>
      <w:r w:rsidR="00BB3478">
        <w:rPr>
          <w:rFonts w:ascii="Verdana" w:hAnsi="Verdana"/>
          <w:sz w:val="20"/>
          <w:szCs w:val="20"/>
          <w:lang w:val="en-US"/>
        </w:rPr>
        <w:t>law enforcement officials, and those whose functions relate</w:t>
      </w:r>
      <w:r w:rsidRPr="00FE7BA7">
        <w:rPr>
          <w:rFonts w:ascii="Verdana" w:hAnsi="Verdana"/>
          <w:sz w:val="20"/>
          <w:szCs w:val="20"/>
          <w:lang w:val="en-US"/>
        </w:rPr>
        <w:t xml:space="preserve"> to this issue, as part of the general and continuing training of the officials at all hierarchical levels</w:t>
      </w:r>
      <w:r w:rsidR="00C14A02" w:rsidRPr="00C14A02">
        <w:rPr>
          <w:rFonts w:ascii="Verdana" w:hAnsi="Verdana"/>
          <w:sz w:val="20"/>
          <w:szCs w:val="20"/>
          <w:lang w:val="en-US"/>
        </w:rPr>
        <w:t xml:space="preserve"> </w:t>
      </w:r>
      <w:r w:rsidR="00C14A02" w:rsidRPr="00FE7BA7">
        <w:rPr>
          <w:rFonts w:ascii="Verdana" w:hAnsi="Verdana"/>
          <w:sz w:val="20"/>
          <w:szCs w:val="20"/>
          <w:lang w:val="en-US"/>
        </w:rPr>
        <w:t>in their respective institutions</w:t>
      </w:r>
      <w:r w:rsidRPr="00FE7BA7">
        <w:rPr>
          <w:rFonts w:ascii="Verdana" w:hAnsi="Verdana"/>
          <w:sz w:val="20"/>
          <w:szCs w:val="20"/>
          <w:lang w:val="en-US"/>
        </w:rPr>
        <w:t>.</w:t>
      </w:r>
      <w:r w:rsidR="00C271B5" w:rsidRPr="00FE7BA7">
        <w:rPr>
          <w:rStyle w:val="FootnoteReference"/>
          <w:szCs w:val="20"/>
          <w:lang w:val="en-US"/>
        </w:rPr>
        <w:footnoteReference w:id="342"/>
      </w:r>
    </w:p>
    <w:p w14:paraId="63126B3C" w14:textId="77777777" w:rsidR="00A91B78" w:rsidRPr="00FE7BA7" w:rsidRDefault="00A91B78" w:rsidP="00A91B78">
      <w:pPr>
        <w:jc w:val="both"/>
        <w:rPr>
          <w:rFonts w:ascii="Verdana" w:hAnsi="Verdana"/>
          <w:b/>
          <w:sz w:val="20"/>
          <w:szCs w:val="20"/>
          <w:lang w:val="en-US"/>
        </w:rPr>
      </w:pPr>
    </w:p>
    <w:p w14:paraId="63126B3D" w14:textId="77777777" w:rsidR="00A91B78" w:rsidRPr="00FE7BA7" w:rsidRDefault="00C34C52" w:rsidP="00A91B78">
      <w:pPr>
        <w:pStyle w:val="Heading2"/>
        <w:numPr>
          <w:ilvl w:val="0"/>
          <w:numId w:val="42"/>
        </w:numPr>
        <w:spacing w:before="0"/>
        <w:jc w:val="both"/>
        <w:rPr>
          <w:rFonts w:ascii="Verdana" w:hAnsi="Verdana"/>
          <w:bCs w:val="0"/>
          <w:i/>
          <w:color w:val="auto"/>
          <w:sz w:val="20"/>
          <w:szCs w:val="20"/>
          <w:lang w:val="en-US"/>
        </w:rPr>
      </w:pPr>
      <w:bookmarkStart w:id="92" w:name="_Toc441673234"/>
      <w:r w:rsidRPr="00FE7BA7">
        <w:rPr>
          <w:rFonts w:ascii="Verdana" w:hAnsi="Verdana"/>
          <w:bCs w:val="0"/>
          <w:i/>
          <w:color w:val="auto"/>
          <w:sz w:val="20"/>
          <w:szCs w:val="20"/>
          <w:lang w:val="en-US"/>
        </w:rPr>
        <w:t>Satisfaction</w:t>
      </w:r>
      <w:bookmarkEnd w:id="92"/>
    </w:p>
    <w:p w14:paraId="63126B3E" w14:textId="77777777" w:rsidR="00A91B78" w:rsidRPr="00FE7BA7" w:rsidRDefault="00A91B78" w:rsidP="00A91B78">
      <w:pPr>
        <w:pStyle w:val="Heading2"/>
        <w:spacing w:before="0"/>
        <w:jc w:val="both"/>
        <w:rPr>
          <w:rFonts w:ascii="Verdana" w:hAnsi="Verdana"/>
          <w:i/>
          <w:sz w:val="20"/>
          <w:szCs w:val="20"/>
          <w:lang w:val="en-US"/>
        </w:rPr>
      </w:pPr>
    </w:p>
    <w:p w14:paraId="63126B3F" w14:textId="262D7976" w:rsidR="00A91B78" w:rsidRPr="00FE7BA7" w:rsidRDefault="00DE7693" w:rsidP="00A91B78">
      <w:pPr>
        <w:pStyle w:val="Heading3"/>
        <w:spacing w:before="0"/>
        <w:ind w:left="360"/>
        <w:jc w:val="both"/>
        <w:rPr>
          <w:rFonts w:ascii="Verdana" w:hAnsi="Verdana"/>
          <w:i/>
          <w:color w:val="auto"/>
          <w:sz w:val="20"/>
          <w:szCs w:val="20"/>
          <w:lang w:val="en-US"/>
        </w:rPr>
      </w:pPr>
      <w:bookmarkStart w:id="93" w:name="_Toc441673235"/>
      <w:r w:rsidRPr="00FE7BA7">
        <w:rPr>
          <w:rFonts w:ascii="Verdana" w:hAnsi="Verdana"/>
          <w:i/>
          <w:color w:val="auto"/>
          <w:sz w:val="20"/>
          <w:szCs w:val="20"/>
          <w:lang w:val="en-US"/>
        </w:rPr>
        <w:t>F</w:t>
      </w:r>
      <w:r w:rsidR="00A91B78" w:rsidRPr="00FE7BA7">
        <w:rPr>
          <w:rFonts w:ascii="Verdana" w:hAnsi="Verdana"/>
          <w:i/>
          <w:color w:val="auto"/>
          <w:sz w:val="20"/>
          <w:szCs w:val="20"/>
          <w:lang w:val="en-US"/>
        </w:rPr>
        <w:t xml:space="preserve">.1 </w:t>
      </w:r>
      <w:r w:rsidR="00C34C52" w:rsidRPr="00FE7BA7">
        <w:rPr>
          <w:rFonts w:ascii="Verdana" w:hAnsi="Verdana"/>
          <w:i/>
          <w:color w:val="auto"/>
          <w:sz w:val="20"/>
          <w:szCs w:val="20"/>
          <w:lang w:val="en-US"/>
        </w:rPr>
        <w:t>Publication and</w:t>
      </w:r>
      <w:r w:rsidR="00A71354">
        <w:rPr>
          <w:rFonts w:ascii="Verdana" w:hAnsi="Verdana"/>
          <w:i/>
          <w:color w:val="auto"/>
          <w:sz w:val="20"/>
          <w:szCs w:val="20"/>
          <w:lang w:val="en-US"/>
        </w:rPr>
        <w:t xml:space="preserve"> radio</w:t>
      </w:r>
      <w:r w:rsidR="00C34C52" w:rsidRPr="00FE7BA7">
        <w:rPr>
          <w:rFonts w:ascii="Verdana" w:hAnsi="Verdana"/>
          <w:i/>
          <w:color w:val="auto"/>
          <w:sz w:val="20"/>
          <w:szCs w:val="20"/>
          <w:lang w:val="en-US"/>
        </w:rPr>
        <w:t xml:space="preserve"> broadcast of the Judgment</w:t>
      </w:r>
      <w:bookmarkEnd w:id="93"/>
    </w:p>
    <w:p w14:paraId="63126B40" w14:textId="77777777" w:rsidR="00A91B78" w:rsidRPr="00FE7BA7" w:rsidRDefault="00A91B78" w:rsidP="00A91B78">
      <w:pPr>
        <w:pStyle w:val="Heading2"/>
        <w:spacing w:before="0"/>
        <w:jc w:val="both"/>
        <w:rPr>
          <w:rFonts w:ascii="Verdana" w:hAnsi="Verdana"/>
          <w:i/>
          <w:sz w:val="20"/>
          <w:szCs w:val="20"/>
          <w:lang w:val="en-US"/>
        </w:rPr>
      </w:pPr>
    </w:p>
    <w:p w14:paraId="63126B41" w14:textId="77777777" w:rsidR="00A91B78" w:rsidRPr="00FE7BA7" w:rsidRDefault="00810FAD"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A91B78" w:rsidRPr="00FE7BA7">
        <w:rPr>
          <w:rFonts w:ascii="Verdana" w:hAnsi="Verdana"/>
          <w:b/>
          <w:sz w:val="20"/>
          <w:szCs w:val="20"/>
          <w:lang w:val="en-US"/>
        </w:rPr>
        <w:t xml:space="preserve"> </w:t>
      </w:r>
      <w:r w:rsidR="00EA554C" w:rsidRPr="00FE7BA7">
        <w:rPr>
          <w:rFonts w:ascii="Verdana" w:hAnsi="Verdana"/>
          <w:sz w:val="20"/>
          <w:szCs w:val="20"/>
          <w:lang w:val="en-US"/>
        </w:rPr>
        <w:t xml:space="preserve">requested that the State be required to translate the Judgment into </w:t>
      </w:r>
      <w:r w:rsidR="00FE7BA7" w:rsidRPr="00FE7BA7">
        <w:rPr>
          <w:rFonts w:ascii="Verdana" w:hAnsi="Verdana"/>
          <w:sz w:val="20"/>
          <w:szCs w:val="20"/>
          <w:lang w:val="en-US"/>
        </w:rPr>
        <w:t>Dutch and</w:t>
      </w:r>
      <w:r w:rsidR="00BB3478">
        <w:rPr>
          <w:rFonts w:ascii="Verdana" w:hAnsi="Verdana"/>
          <w:sz w:val="20"/>
          <w:szCs w:val="20"/>
          <w:lang w:val="en-US"/>
        </w:rPr>
        <w:t xml:space="preserve"> to publish it in the State’s O</w:t>
      </w:r>
      <w:r w:rsidR="00EA554C" w:rsidRPr="00FE7BA7">
        <w:rPr>
          <w:rFonts w:ascii="Verdana" w:hAnsi="Verdana"/>
          <w:sz w:val="20"/>
          <w:szCs w:val="20"/>
          <w:lang w:val="en-US"/>
        </w:rPr>
        <w:t xml:space="preserve">fficial </w:t>
      </w:r>
      <w:r w:rsidR="00BB3478">
        <w:rPr>
          <w:rFonts w:ascii="Verdana" w:hAnsi="Verdana"/>
          <w:sz w:val="20"/>
          <w:szCs w:val="20"/>
          <w:lang w:val="en-US"/>
        </w:rPr>
        <w:t>G</w:t>
      </w:r>
      <w:r w:rsidR="00EA554C" w:rsidRPr="00FE7BA7">
        <w:rPr>
          <w:rFonts w:ascii="Verdana" w:hAnsi="Verdana"/>
          <w:sz w:val="20"/>
          <w:szCs w:val="20"/>
          <w:lang w:val="en-US"/>
        </w:rPr>
        <w:t xml:space="preserve">azette and in a national </w:t>
      </w:r>
      <w:r w:rsidR="00BB3478">
        <w:rPr>
          <w:rFonts w:ascii="Verdana" w:hAnsi="Verdana"/>
          <w:sz w:val="20"/>
          <w:szCs w:val="20"/>
          <w:lang w:val="en-US"/>
        </w:rPr>
        <w:t xml:space="preserve">daily </w:t>
      </w:r>
      <w:r w:rsidR="00EA554C" w:rsidRPr="00FE7BA7">
        <w:rPr>
          <w:rFonts w:ascii="Verdana" w:hAnsi="Verdana"/>
          <w:sz w:val="20"/>
          <w:szCs w:val="20"/>
          <w:lang w:val="en-US"/>
        </w:rPr>
        <w:t>newspaper.</w:t>
      </w:r>
    </w:p>
    <w:p w14:paraId="63126B42" w14:textId="77777777" w:rsidR="00A91B78" w:rsidRPr="00FE7BA7" w:rsidRDefault="00A91B78" w:rsidP="00A91B78">
      <w:pPr>
        <w:jc w:val="both"/>
        <w:rPr>
          <w:rFonts w:ascii="Verdana" w:hAnsi="Verdana"/>
          <w:sz w:val="20"/>
          <w:szCs w:val="20"/>
          <w:lang w:val="en-US"/>
        </w:rPr>
      </w:pPr>
    </w:p>
    <w:p w14:paraId="63126B43" w14:textId="77777777" w:rsidR="00A91B78" w:rsidRPr="00FE7BA7" w:rsidRDefault="000739A7"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Neither the </w:t>
      </w:r>
      <w:r w:rsidRPr="006C4E70">
        <w:rPr>
          <w:rFonts w:ascii="Verdana" w:hAnsi="Verdana"/>
          <w:b/>
          <w:i/>
          <w:sz w:val="20"/>
          <w:szCs w:val="20"/>
          <w:lang w:val="en-US"/>
        </w:rPr>
        <w:t>Commission</w:t>
      </w:r>
      <w:r w:rsidRPr="00FE7BA7">
        <w:rPr>
          <w:rFonts w:ascii="Verdana" w:hAnsi="Verdana"/>
          <w:sz w:val="20"/>
          <w:szCs w:val="20"/>
          <w:lang w:val="en-US"/>
        </w:rPr>
        <w:t xml:space="preserve"> nor the </w:t>
      </w:r>
      <w:r w:rsidRPr="006C4E70">
        <w:rPr>
          <w:rFonts w:ascii="Verdana" w:hAnsi="Verdana"/>
          <w:b/>
          <w:i/>
          <w:sz w:val="20"/>
          <w:szCs w:val="20"/>
          <w:lang w:val="en-US"/>
        </w:rPr>
        <w:t>State</w:t>
      </w:r>
      <w:r w:rsidRPr="00FE7BA7">
        <w:rPr>
          <w:rFonts w:ascii="Verdana" w:hAnsi="Verdana"/>
          <w:sz w:val="20"/>
          <w:szCs w:val="20"/>
          <w:lang w:val="en-US"/>
        </w:rPr>
        <w:t xml:space="preserve"> commented in this regard.</w:t>
      </w:r>
    </w:p>
    <w:p w14:paraId="63126B44" w14:textId="77777777" w:rsidR="009E6C07" w:rsidRPr="00FE7BA7" w:rsidRDefault="009E6C07" w:rsidP="009E6C07">
      <w:pPr>
        <w:contextualSpacing/>
        <w:jc w:val="both"/>
        <w:rPr>
          <w:rFonts w:ascii="Verdana" w:hAnsi="Verdana"/>
          <w:sz w:val="20"/>
          <w:szCs w:val="20"/>
          <w:lang w:val="en-US"/>
        </w:rPr>
      </w:pPr>
    </w:p>
    <w:p w14:paraId="63126B45" w14:textId="77777777" w:rsidR="00EA554C" w:rsidRPr="00FE7BA7" w:rsidRDefault="00EA554C"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Based on the violations declared in this Judgment, the Court deems it pertinent to o</w:t>
      </w:r>
      <w:r w:rsidR="00BB3478">
        <w:rPr>
          <w:rFonts w:ascii="Verdana" w:hAnsi="Verdana"/>
          <w:sz w:val="20"/>
          <w:szCs w:val="20"/>
          <w:lang w:val="en-US"/>
        </w:rPr>
        <w:t>rder, as it has in other cases,</w:t>
      </w:r>
      <w:r w:rsidR="00A91B78" w:rsidRPr="00FE7BA7">
        <w:rPr>
          <w:rStyle w:val="FootnoteReference"/>
          <w:szCs w:val="20"/>
          <w:lang w:val="en-US"/>
        </w:rPr>
        <w:footnoteReference w:id="343"/>
      </w:r>
      <w:r w:rsidRPr="00FE7BA7">
        <w:rPr>
          <w:rFonts w:ascii="Verdana" w:hAnsi="Verdana"/>
          <w:sz w:val="20"/>
          <w:szCs w:val="20"/>
          <w:lang w:val="en-US"/>
        </w:rPr>
        <w:t xml:space="preserve"> that</w:t>
      </w:r>
      <w:r w:rsidR="00A91B78" w:rsidRPr="00FE7BA7">
        <w:rPr>
          <w:rFonts w:ascii="Verdana" w:hAnsi="Verdana"/>
          <w:sz w:val="20"/>
          <w:szCs w:val="20"/>
          <w:lang w:val="en-US"/>
        </w:rPr>
        <w:t xml:space="preserve"> </w:t>
      </w:r>
      <w:r w:rsidR="002B5CCD" w:rsidRPr="00FE7BA7">
        <w:rPr>
          <w:rFonts w:ascii="Verdana" w:hAnsi="Verdana"/>
          <w:sz w:val="20"/>
          <w:szCs w:val="20"/>
          <w:lang w:val="en-US"/>
        </w:rPr>
        <w:t>the State</w:t>
      </w:r>
      <w:r w:rsidR="00A91B78" w:rsidRPr="00FE7BA7">
        <w:rPr>
          <w:rFonts w:ascii="Verdana" w:hAnsi="Verdana"/>
          <w:sz w:val="20"/>
          <w:szCs w:val="20"/>
          <w:lang w:val="en-US"/>
        </w:rPr>
        <w:t>,</w:t>
      </w:r>
      <w:r w:rsidRPr="00FE7BA7">
        <w:rPr>
          <w:rFonts w:ascii="Verdana" w:hAnsi="Verdana"/>
          <w:sz w:val="20"/>
          <w:szCs w:val="20"/>
          <w:lang w:val="en-US"/>
        </w:rPr>
        <w:t xml:space="preserve"> within six months of</w:t>
      </w:r>
      <w:r w:rsidR="00A91B78" w:rsidRPr="00FE7BA7">
        <w:rPr>
          <w:rFonts w:ascii="Verdana" w:hAnsi="Verdana"/>
          <w:sz w:val="20"/>
          <w:szCs w:val="20"/>
          <w:lang w:val="en-US"/>
        </w:rPr>
        <w:t xml:space="preserve"> </w:t>
      </w:r>
      <w:r w:rsidR="00CD3DC6" w:rsidRPr="00FE7BA7">
        <w:rPr>
          <w:rFonts w:ascii="Verdana" w:hAnsi="Verdana"/>
          <w:sz w:val="20"/>
          <w:szCs w:val="20"/>
          <w:lang w:val="en-US"/>
        </w:rPr>
        <w:t>notification</w:t>
      </w:r>
      <w:r w:rsidR="00A91B78"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A91B78" w:rsidRPr="00FE7BA7">
        <w:rPr>
          <w:rFonts w:ascii="Verdana" w:hAnsi="Verdana"/>
          <w:sz w:val="20"/>
          <w:szCs w:val="20"/>
          <w:lang w:val="en-US"/>
        </w:rPr>
        <w:t xml:space="preserve">, </w:t>
      </w:r>
      <w:r w:rsidRPr="00FE7BA7">
        <w:rPr>
          <w:rFonts w:ascii="Verdana" w:hAnsi="Verdana"/>
          <w:sz w:val="20"/>
          <w:szCs w:val="20"/>
          <w:lang w:val="en-US"/>
        </w:rPr>
        <w:t>make the following publications: (a) the official summary of this Judgment prepared by the Court in English, which must be translated into Dutch and Surinamese by the State</w:t>
      </w:r>
      <w:r w:rsidRPr="00FE7BA7">
        <w:rPr>
          <w:rStyle w:val="FootnoteReference"/>
          <w:szCs w:val="20"/>
          <w:lang w:val="en-US"/>
        </w:rPr>
        <w:footnoteReference w:id="344"/>
      </w:r>
      <w:r w:rsidRPr="00FE7BA7">
        <w:rPr>
          <w:rFonts w:ascii="Verdana" w:hAnsi="Verdana"/>
          <w:sz w:val="20"/>
          <w:szCs w:val="20"/>
          <w:lang w:val="en-US"/>
        </w:rPr>
        <w:t xml:space="preserve"> and published in the resp</w:t>
      </w:r>
      <w:r w:rsidR="00BB3478">
        <w:rPr>
          <w:rFonts w:ascii="Verdana" w:hAnsi="Verdana"/>
          <w:sz w:val="20"/>
          <w:szCs w:val="20"/>
          <w:lang w:val="en-US"/>
        </w:rPr>
        <w:t>ective languages, once, in the Official G</w:t>
      </w:r>
      <w:r w:rsidRPr="00FE7BA7">
        <w:rPr>
          <w:rFonts w:ascii="Verdana" w:hAnsi="Verdana"/>
          <w:sz w:val="20"/>
          <w:szCs w:val="20"/>
          <w:lang w:val="en-US"/>
        </w:rPr>
        <w:t>azette and in a national newspaper with widespread circulation in Suriname, and (b) this Judgment in its entirety in English, as well as the official summary of the Judgment translated into Dutch, available for one year on an official website of the State.</w:t>
      </w:r>
    </w:p>
    <w:p w14:paraId="63126B46" w14:textId="77777777" w:rsidR="00A91B78" w:rsidRPr="00FE7BA7" w:rsidRDefault="00A91B78" w:rsidP="00A91B78">
      <w:pPr>
        <w:jc w:val="both"/>
        <w:rPr>
          <w:rFonts w:ascii="Verdana" w:hAnsi="Verdana"/>
          <w:sz w:val="20"/>
          <w:szCs w:val="20"/>
          <w:lang w:val="en-US"/>
        </w:rPr>
      </w:pPr>
    </w:p>
    <w:p w14:paraId="63126B47" w14:textId="6B5E7F31" w:rsidR="00A91B78" w:rsidRPr="00FE7BA7" w:rsidRDefault="00EA554C"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In addition, the Court finds it appropriate, as it has in other cases,</w:t>
      </w:r>
      <w:r w:rsidR="00A91B78" w:rsidRPr="00FE7BA7">
        <w:rPr>
          <w:rStyle w:val="FootnoteReference"/>
          <w:szCs w:val="20"/>
          <w:lang w:val="en-US"/>
        </w:rPr>
        <w:footnoteReference w:id="345"/>
      </w:r>
      <w:r w:rsidRPr="00FE7BA7">
        <w:rPr>
          <w:rFonts w:ascii="Verdana" w:hAnsi="Verdana"/>
          <w:sz w:val="20"/>
          <w:szCs w:val="20"/>
          <w:lang w:val="en-US"/>
        </w:rPr>
        <w:t xml:space="preserve"> that the State </w:t>
      </w:r>
      <w:r w:rsidR="0050357C">
        <w:rPr>
          <w:rFonts w:ascii="Verdana" w:hAnsi="Verdana"/>
          <w:sz w:val="20"/>
          <w:szCs w:val="20"/>
          <w:lang w:val="en-US"/>
        </w:rPr>
        <w:t>broadcast</w:t>
      </w:r>
      <w:r w:rsidR="0050357C" w:rsidRPr="00FE7BA7">
        <w:rPr>
          <w:rFonts w:ascii="Verdana" w:hAnsi="Verdana"/>
          <w:sz w:val="20"/>
          <w:szCs w:val="20"/>
          <w:lang w:val="en-US"/>
        </w:rPr>
        <w:t xml:space="preserve"> the official press </w:t>
      </w:r>
      <w:r w:rsidR="00F46731">
        <w:rPr>
          <w:rFonts w:ascii="Verdana" w:hAnsi="Verdana"/>
          <w:sz w:val="20"/>
          <w:szCs w:val="20"/>
          <w:lang w:val="en-US"/>
        </w:rPr>
        <w:t xml:space="preserve">release </w:t>
      </w:r>
      <w:r w:rsidR="0050357C" w:rsidRPr="00FE7BA7">
        <w:rPr>
          <w:rFonts w:ascii="Verdana" w:hAnsi="Verdana"/>
          <w:sz w:val="20"/>
          <w:szCs w:val="20"/>
          <w:lang w:val="en-US"/>
        </w:rPr>
        <w:t>of the Judgment, in Dutch and</w:t>
      </w:r>
      <w:r w:rsidR="002D650B">
        <w:rPr>
          <w:rFonts w:ascii="Verdana" w:hAnsi="Verdana"/>
          <w:sz w:val="20"/>
          <w:szCs w:val="20"/>
          <w:lang w:val="en-US"/>
        </w:rPr>
        <w:t>/or</w:t>
      </w:r>
      <w:r w:rsidR="0050357C" w:rsidRPr="00FE7BA7">
        <w:rPr>
          <w:rFonts w:ascii="Verdana" w:hAnsi="Verdana"/>
          <w:sz w:val="20"/>
          <w:szCs w:val="20"/>
          <w:lang w:val="en-US"/>
        </w:rPr>
        <w:t xml:space="preserve"> in Surinamese</w:t>
      </w:r>
      <w:r w:rsidRPr="00FE7BA7">
        <w:rPr>
          <w:rFonts w:ascii="Verdana" w:hAnsi="Verdana"/>
          <w:sz w:val="20"/>
          <w:szCs w:val="20"/>
          <w:lang w:val="en-US"/>
        </w:rPr>
        <w:t xml:space="preserve">, by one or more radio stations with widespread coverage among </w:t>
      </w:r>
      <w:r w:rsidR="002B5C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Pr="00FE7BA7">
        <w:rPr>
          <w:rFonts w:ascii="Verdana" w:hAnsi="Verdana"/>
          <w:sz w:val="20"/>
          <w:szCs w:val="20"/>
          <w:lang w:val="en-US"/>
        </w:rPr>
        <w:t xml:space="preserve">. The radio </w:t>
      </w:r>
      <w:r w:rsidRPr="00FE7BA7">
        <w:rPr>
          <w:rFonts w:ascii="Verdana" w:hAnsi="Verdana"/>
          <w:sz w:val="20"/>
          <w:szCs w:val="20"/>
          <w:lang w:val="en-US"/>
        </w:rPr>
        <w:lastRenderedPageBreak/>
        <w:t xml:space="preserve">broadcast must be made on the first Sunday of the month on at least four occasions. </w:t>
      </w:r>
      <w:r w:rsidR="002B5CCD" w:rsidRPr="00FE7BA7">
        <w:rPr>
          <w:rFonts w:ascii="Verdana" w:hAnsi="Verdana"/>
          <w:sz w:val="20"/>
          <w:szCs w:val="20"/>
          <w:lang w:val="en-US"/>
        </w:rPr>
        <w:t>The State</w:t>
      </w:r>
      <w:r w:rsidR="00A91B78" w:rsidRPr="00FE7BA7">
        <w:rPr>
          <w:rFonts w:ascii="Verdana" w:hAnsi="Verdana"/>
          <w:sz w:val="20"/>
          <w:szCs w:val="20"/>
          <w:lang w:val="en-US"/>
        </w:rPr>
        <w:t xml:space="preserve"> </w:t>
      </w:r>
      <w:r w:rsidRPr="00FE7BA7">
        <w:rPr>
          <w:rFonts w:ascii="Verdana" w:hAnsi="Verdana"/>
          <w:sz w:val="20"/>
          <w:szCs w:val="20"/>
          <w:lang w:val="en-US"/>
        </w:rPr>
        <w:t xml:space="preserve">must previously advise </w:t>
      </w:r>
      <w:r w:rsidR="00810FAD" w:rsidRPr="00FE7BA7">
        <w:rPr>
          <w:rFonts w:ascii="Verdana" w:hAnsi="Verdana"/>
          <w:sz w:val="20"/>
          <w:szCs w:val="20"/>
          <w:lang w:val="en-US"/>
        </w:rPr>
        <w:t>the representatives</w:t>
      </w:r>
      <w:r w:rsidR="00A91B78" w:rsidRPr="00FE7BA7">
        <w:rPr>
          <w:rFonts w:ascii="Verdana" w:hAnsi="Verdana"/>
          <w:sz w:val="20"/>
          <w:szCs w:val="20"/>
          <w:lang w:val="en-US"/>
        </w:rPr>
        <w:t xml:space="preserve">, </w:t>
      </w:r>
      <w:r w:rsidRPr="00FE7BA7">
        <w:rPr>
          <w:rFonts w:ascii="Verdana" w:hAnsi="Verdana"/>
          <w:sz w:val="20"/>
          <w:szCs w:val="20"/>
          <w:lang w:val="en-US"/>
        </w:rPr>
        <w:t xml:space="preserve">with at least two </w:t>
      </w:r>
      <w:r w:rsidR="00FE7BA7" w:rsidRPr="00FE7BA7">
        <w:rPr>
          <w:rFonts w:ascii="Verdana" w:hAnsi="Verdana"/>
          <w:sz w:val="20"/>
          <w:szCs w:val="20"/>
          <w:lang w:val="en-US"/>
        </w:rPr>
        <w:t>weeks’ notice</w:t>
      </w:r>
      <w:r w:rsidRPr="00FE7BA7">
        <w:rPr>
          <w:rFonts w:ascii="Verdana" w:hAnsi="Verdana"/>
          <w:sz w:val="20"/>
          <w:szCs w:val="20"/>
          <w:lang w:val="en-US"/>
        </w:rPr>
        <w:t xml:space="preserve">, of the radio station and the date and time </w:t>
      </w:r>
      <w:r w:rsidR="00167074" w:rsidRPr="00FE7BA7">
        <w:rPr>
          <w:rFonts w:ascii="Verdana" w:hAnsi="Verdana"/>
          <w:sz w:val="20"/>
          <w:szCs w:val="20"/>
          <w:lang w:val="en-US"/>
        </w:rPr>
        <w:t>of this broadcast</w:t>
      </w:r>
      <w:r w:rsidRPr="00FE7BA7">
        <w:rPr>
          <w:rFonts w:ascii="Verdana" w:hAnsi="Verdana"/>
          <w:sz w:val="20"/>
          <w:szCs w:val="20"/>
          <w:lang w:val="en-US"/>
        </w:rPr>
        <w:t xml:space="preserve">. </w:t>
      </w:r>
      <w:r w:rsidR="002B5CCD" w:rsidRPr="00FE7BA7">
        <w:rPr>
          <w:rFonts w:ascii="Verdana" w:hAnsi="Verdana"/>
          <w:sz w:val="20"/>
          <w:szCs w:val="20"/>
          <w:lang w:val="en-US"/>
        </w:rPr>
        <w:t>The State</w:t>
      </w:r>
      <w:r w:rsidR="00A91B78" w:rsidRPr="00FE7BA7">
        <w:rPr>
          <w:rFonts w:ascii="Verdana" w:hAnsi="Verdana"/>
          <w:sz w:val="20"/>
          <w:szCs w:val="20"/>
          <w:lang w:val="en-US"/>
        </w:rPr>
        <w:t xml:space="preserve"> </w:t>
      </w:r>
      <w:r w:rsidRPr="00FE7BA7">
        <w:rPr>
          <w:rFonts w:ascii="Verdana" w:hAnsi="Verdana"/>
          <w:sz w:val="20"/>
          <w:szCs w:val="20"/>
          <w:lang w:val="en-US"/>
        </w:rPr>
        <w:t xml:space="preserve">must comply with this </w:t>
      </w:r>
      <w:r w:rsidR="00FE7BA7" w:rsidRPr="00FE7BA7">
        <w:rPr>
          <w:rFonts w:ascii="Verdana" w:hAnsi="Verdana"/>
          <w:sz w:val="20"/>
          <w:szCs w:val="20"/>
          <w:lang w:val="en-US"/>
        </w:rPr>
        <w:t>measure</w:t>
      </w:r>
      <w:r w:rsidRPr="00FE7BA7">
        <w:rPr>
          <w:rFonts w:ascii="Verdana" w:hAnsi="Verdana"/>
          <w:sz w:val="20"/>
          <w:szCs w:val="20"/>
          <w:lang w:val="en-US"/>
        </w:rPr>
        <w:t xml:space="preserve"> within six months of </w:t>
      </w:r>
      <w:r w:rsidR="00CD3DC6" w:rsidRPr="00FE7BA7">
        <w:rPr>
          <w:rFonts w:ascii="Verdana" w:hAnsi="Verdana"/>
          <w:sz w:val="20"/>
          <w:szCs w:val="20"/>
          <w:lang w:val="en-US"/>
        </w:rPr>
        <w:t>notification</w:t>
      </w:r>
      <w:r w:rsidR="00A91B78"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A91B78" w:rsidRPr="00FE7BA7">
        <w:rPr>
          <w:rFonts w:ascii="Verdana" w:hAnsi="Verdana"/>
          <w:sz w:val="20"/>
          <w:szCs w:val="20"/>
          <w:lang w:val="en-US"/>
        </w:rPr>
        <w:t xml:space="preserve">. </w:t>
      </w:r>
    </w:p>
    <w:p w14:paraId="63126B48" w14:textId="77777777" w:rsidR="00A91B78" w:rsidRPr="00FE7BA7" w:rsidRDefault="00A91B78" w:rsidP="00A91B78">
      <w:pPr>
        <w:pStyle w:val="ListParagraph"/>
        <w:ind w:left="0"/>
        <w:rPr>
          <w:rFonts w:ascii="Verdana" w:hAnsi="Verdana"/>
          <w:b/>
          <w:sz w:val="20"/>
          <w:szCs w:val="20"/>
          <w:u w:val="single"/>
          <w:lang w:val="en-US"/>
        </w:rPr>
      </w:pPr>
    </w:p>
    <w:p w14:paraId="63126B49" w14:textId="77777777" w:rsidR="00A91B78" w:rsidRPr="00FE7BA7" w:rsidRDefault="00DE7693" w:rsidP="00A91B78">
      <w:pPr>
        <w:pStyle w:val="Heading3"/>
        <w:spacing w:before="0"/>
        <w:ind w:left="360"/>
        <w:jc w:val="both"/>
        <w:rPr>
          <w:rFonts w:ascii="Verdana" w:hAnsi="Verdana"/>
          <w:i/>
          <w:color w:val="auto"/>
          <w:sz w:val="20"/>
          <w:szCs w:val="20"/>
          <w:lang w:val="en-US"/>
        </w:rPr>
      </w:pPr>
      <w:bookmarkStart w:id="94" w:name="_Toc441673236"/>
      <w:r w:rsidRPr="00FE7BA7">
        <w:rPr>
          <w:rFonts w:ascii="Verdana" w:hAnsi="Verdana"/>
          <w:i/>
          <w:color w:val="auto"/>
          <w:sz w:val="20"/>
          <w:szCs w:val="20"/>
          <w:lang w:val="en-US"/>
        </w:rPr>
        <w:t>F</w:t>
      </w:r>
      <w:r w:rsidR="00A91B78" w:rsidRPr="00FE7BA7">
        <w:rPr>
          <w:rFonts w:ascii="Verdana" w:hAnsi="Verdana"/>
          <w:i/>
          <w:color w:val="auto"/>
          <w:sz w:val="20"/>
          <w:szCs w:val="20"/>
          <w:lang w:val="en-US"/>
        </w:rPr>
        <w:t xml:space="preserve">.2 </w:t>
      </w:r>
      <w:r w:rsidR="00C34C52" w:rsidRPr="00FE7BA7">
        <w:rPr>
          <w:rFonts w:ascii="Verdana" w:hAnsi="Verdana"/>
          <w:i/>
          <w:color w:val="auto"/>
          <w:sz w:val="20"/>
          <w:szCs w:val="20"/>
          <w:lang w:val="en-US"/>
        </w:rPr>
        <w:t>Another measure that was requested: public act to acknowledge the State’s responsibility</w:t>
      </w:r>
      <w:bookmarkEnd w:id="94"/>
    </w:p>
    <w:p w14:paraId="63126B4A" w14:textId="77777777" w:rsidR="00A91B78" w:rsidRPr="00FE7BA7" w:rsidRDefault="00A91B78" w:rsidP="00A91B78">
      <w:pPr>
        <w:jc w:val="both"/>
        <w:rPr>
          <w:rStyle w:val="Hyperlink"/>
          <w:rFonts w:ascii="Verdana" w:hAnsi="Verdana"/>
          <w:sz w:val="20"/>
          <w:szCs w:val="20"/>
          <w:lang w:val="en-US"/>
        </w:rPr>
      </w:pPr>
    </w:p>
    <w:p w14:paraId="63126B4B" w14:textId="77777777" w:rsidR="00A91B78" w:rsidRPr="00FE7BA7" w:rsidRDefault="00810FAD"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A91B78" w:rsidRPr="00FE7BA7">
        <w:rPr>
          <w:rFonts w:ascii="Verdana" w:hAnsi="Verdana"/>
          <w:b/>
          <w:sz w:val="20"/>
          <w:szCs w:val="20"/>
          <w:lang w:val="en-US"/>
        </w:rPr>
        <w:t xml:space="preserve"> </w:t>
      </w:r>
      <w:r w:rsidR="00A91B78" w:rsidRPr="00FE7BA7">
        <w:rPr>
          <w:rFonts w:ascii="Verdana" w:hAnsi="Verdana"/>
          <w:sz w:val="20"/>
          <w:szCs w:val="20"/>
          <w:lang w:val="en-US"/>
        </w:rPr>
        <w:t>requ</w:t>
      </w:r>
      <w:r w:rsidR="00167074" w:rsidRPr="00FE7BA7">
        <w:rPr>
          <w:rFonts w:ascii="Verdana" w:hAnsi="Verdana"/>
          <w:sz w:val="20"/>
          <w:szCs w:val="20"/>
          <w:lang w:val="en-US"/>
        </w:rPr>
        <w:t xml:space="preserve">ested that the State make an official, public apology for violating the rights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2B5CCD" w:rsidRPr="00FE7BA7">
        <w:rPr>
          <w:rFonts w:ascii="Verdana" w:hAnsi="Verdana"/>
          <w:sz w:val="20"/>
          <w:szCs w:val="20"/>
          <w:lang w:val="en-US"/>
        </w:rPr>
        <w:t xml:space="preserve"> and </w:t>
      </w:r>
      <w:r w:rsidR="00167074" w:rsidRPr="00FE7BA7">
        <w:rPr>
          <w:rFonts w:ascii="Verdana" w:hAnsi="Verdana"/>
          <w:sz w:val="20"/>
          <w:szCs w:val="20"/>
          <w:lang w:val="en-US"/>
        </w:rPr>
        <w:t>that, in public, it undertake that, in future, such</w:t>
      </w:r>
      <w:r w:rsidR="00BB3478">
        <w:rPr>
          <w:rFonts w:ascii="Verdana" w:hAnsi="Verdana"/>
          <w:sz w:val="20"/>
          <w:szCs w:val="20"/>
          <w:lang w:val="en-US"/>
        </w:rPr>
        <w:t xml:space="preserve"> rights would be respected. The</w:t>
      </w:r>
      <w:r w:rsidR="00167074" w:rsidRPr="00FE7BA7">
        <w:rPr>
          <w:rFonts w:ascii="Verdana" w:hAnsi="Verdana"/>
          <w:sz w:val="20"/>
          <w:szCs w:val="20"/>
          <w:lang w:val="en-US"/>
        </w:rPr>
        <w:t xml:space="preserve"> apology</w:t>
      </w:r>
      <w:r w:rsidR="00BB3478">
        <w:rPr>
          <w:rFonts w:ascii="Verdana" w:hAnsi="Verdana"/>
          <w:sz w:val="20"/>
          <w:szCs w:val="20"/>
          <w:lang w:val="en-US"/>
        </w:rPr>
        <w:t xml:space="preserve"> should</w:t>
      </w:r>
      <w:r w:rsidR="00167074" w:rsidRPr="00FE7BA7">
        <w:rPr>
          <w:rFonts w:ascii="Verdana" w:hAnsi="Verdana"/>
          <w:sz w:val="20"/>
          <w:szCs w:val="20"/>
          <w:lang w:val="en-US"/>
        </w:rPr>
        <w:t xml:space="preserve"> be made in a formal ceremony, organized and </w:t>
      </w:r>
      <w:r w:rsidR="00BB3478">
        <w:rPr>
          <w:rFonts w:ascii="Verdana" w:hAnsi="Verdana"/>
          <w:sz w:val="20"/>
          <w:szCs w:val="20"/>
          <w:lang w:val="en-US"/>
        </w:rPr>
        <w:t>conducted</w:t>
      </w:r>
      <w:r w:rsidR="00167074" w:rsidRPr="00FE7BA7">
        <w:rPr>
          <w:rFonts w:ascii="Verdana" w:hAnsi="Verdana"/>
          <w:sz w:val="20"/>
          <w:szCs w:val="20"/>
          <w:lang w:val="en-US"/>
        </w:rPr>
        <w:t xml:space="preserve"> with the full and effective participation </w:t>
      </w:r>
      <w:r w:rsidR="008F798A" w:rsidRPr="00FE7BA7">
        <w:rPr>
          <w:rFonts w:ascii="Verdana" w:hAnsi="Verdana"/>
          <w:sz w:val="20"/>
          <w:szCs w:val="20"/>
          <w:lang w:val="en-US"/>
        </w:rPr>
        <w:t>of the</w:t>
      </w:r>
      <w:r w:rsidR="00167074" w:rsidRPr="00FE7BA7">
        <w:rPr>
          <w:rFonts w:ascii="Verdana" w:hAnsi="Verdana"/>
          <w:sz w:val="20"/>
          <w:szCs w:val="20"/>
          <w:lang w:val="en-US"/>
        </w:rPr>
        <w:t xml:space="preserve"> freely chosen</w:t>
      </w:r>
      <w:r w:rsidR="008F798A" w:rsidRPr="00FE7BA7">
        <w:rPr>
          <w:rFonts w:ascii="Verdana" w:hAnsi="Verdana"/>
          <w:sz w:val="20"/>
          <w:szCs w:val="20"/>
          <w:lang w:val="en-US"/>
        </w:rPr>
        <w:t xml:space="preserve"> </w:t>
      </w:r>
      <w:r w:rsidRPr="00FE7BA7">
        <w:rPr>
          <w:rFonts w:ascii="Verdana" w:hAnsi="Verdana"/>
          <w:sz w:val="20"/>
          <w:szCs w:val="20"/>
          <w:lang w:val="en-US"/>
        </w:rPr>
        <w:t>representatives</w:t>
      </w:r>
      <w:r w:rsidR="00A91B78" w:rsidRPr="00FE7BA7">
        <w:rPr>
          <w:rFonts w:ascii="Verdana" w:hAnsi="Verdana"/>
          <w:sz w:val="20"/>
          <w:szCs w:val="20"/>
          <w:lang w:val="en-US"/>
        </w:rPr>
        <w:t xml:space="preserve">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167074" w:rsidRPr="00FE7BA7">
        <w:rPr>
          <w:rFonts w:ascii="Verdana" w:hAnsi="Verdana"/>
          <w:sz w:val="20"/>
          <w:szCs w:val="20"/>
          <w:lang w:val="en-US"/>
        </w:rPr>
        <w:t xml:space="preserve">. Also, all </w:t>
      </w:r>
      <w:r w:rsidR="00DA4B96" w:rsidRPr="00FE7BA7">
        <w:rPr>
          <w:rFonts w:ascii="Verdana" w:hAnsi="Verdana"/>
          <w:sz w:val="20"/>
          <w:szCs w:val="20"/>
          <w:lang w:val="en-US"/>
        </w:rPr>
        <w:t>the members</w:t>
      </w:r>
      <w:r w:rsidR="00167074" w:rsidRPr="00FE7BA7">
        <w:rPr>
          <w:rFonts w:ascii="Verdana" w:hAnsi="Verdana"/>
          <w:sz w:val="20"/>
          <w:szCs w:val="20"/>
          <w:lang w:val="en-US"/>
        </w:rPr>
        <w:t xml:space="preserve"> of the</w:t>
      </w:r>
      <w:r w:rsidR="00BB3478">
        <w:rPr>
          <w:rFonts w:ascii="Verdana" w:hAnsi="Verdana"/>
          <w:sz w:val="20"/>
          <w:szCs w:val="20"/>
          <w:lang w:val="en-US"/>
        </w:rPr>
        <w:t xml:space="preserve"> victims’</w:t>
      </w:r>
      <w:r w:rsidR="00167074" w:rsidRPr="00FE7BA7">
        <w:rPr>
          <w:rFonts w:ascii="Verdana" w:hAnsi="Verdana"/>
          <w:sz w:val="20"/>
          <w:szCs w:val="20"/>
          <w:lang w:val="en-US"/>
        </w:rPr>
        <w:t xml:space="preserve"> communities must be invited, and it must be </w:t>
      </w:r>
      <w:r w:rsidR="00965219">
        <w:rPr>
          <w:rFonts w:ascii="Verdana" w:hAnsi="Verdana"/>
          <w:sz w:val="20"/>
          <w:szCs w:val="20"/>
          <w:lang w:val="en-US"/>
        </w:rPr>
        <w:t>broadcast</w:t>
      </w:r>
      <w:r w:rsidR="00BB3478">
        <w:rPr>
          <w:rFonts w:ascii="Verdana" w:hAnsi="Verdana"/>
          <w:sz w:val="20"/>
          <w:szCs w:val="20"/>
          <w:lang w:val="en-US"/>
        </w:rPr>
        <w:t xml:space="preserve"> in the media.</w:t>
      </w:r>
    </w:p>
    <w:p w14:paraId="63126B4C" w14:textId="77777777" w:rsidR="00A91B78" w:rsidRPr="00FE7BA7" w:rsidRDefault="00A91B78" w:rsidP="00A91B78">
      <w:pPr>
        <w:jc w:val="both"/>
        <w:rPr>
          <w:rFonts w:ascii="Verdana" w:hAnsi="Verdana"/>
          <w:sz w:val="20"/>
          <w:szCs w:val="20"/>
          <w:lang w:val="en-US"/>
        </w:rPr>
      </w:pPr>
    </w:p>
    <w:p w14:paraId="63126B4D" w14:textId="77777777" w:rsidR="00077064" w:rsidRPr="00FE7BA7" w:rsidRDefault="000739A7"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Neither the </w:t>
      </w:r>
      <w:r w:rsidRPr="006C4E70">
        <w:rPr>
          <w:rFonts w:ascii="Verdana" w:hAnsi="Verdana"/>
          <w:b/>
          <w:i/>
          <w:sz w:val="20"/>
          <w:szCs w:val="20"/>
          <w:lang w:val="en-US"/>
        </w:rPr>
        <w:t>Commission</w:t>
      </w:r>
      <w:r w:rsidRPr="00FE7BA7">
        <w:rPr>
          <w:rFonts w:ascii="Verdana" w:hAnsi="Verdana"/>
          <w:sz w:val="20"/>
          <w:szCs w:val="20"/>
          <w:lang w:val="en-US"/>
        </w:rPr>
        <w:t xml:space="preserve"> nor the </w:t>
      </w:r>
      <w:r w:rsidRPr="006C4E70">
        <w:rPr>
          <w:rFonts w:ascii="Verdana" w:hAnsi="Verdana"/>
          <w:b/>
          <w:i/>
          <w:sz w:val="20"/>
          <w:szCs w:val="20"/>
          <w:lang w:val="en-US"/>
        </w:rPr>
        <w:t>State</w:t>
      </w:r>
      <w:r w:rsidRPr="00FE7BA7">
        <w:rPr>
          <w:rFonts w:ascii="Verdana" w:hAnsi="Verdana"/>
          <w:sz w:val="20"/>
          <w:szCs w:val="20"/>
          <w:lang w:val="en-US"/>
        </w:rPr>
        <w:t xml:space="preserve"> commented in this regard.</w:t>
      </w:r>
      <w:r w:rsidR="00077064" w:rsidRPr="00FE7BA7">
        <w:rPr>
          <w:rFonts w:ascii="Verdana" w:hAnsi="Verdana"/>
          <w:sz w:val="20"/>
          <w:szCs w:val="20"/>
          <w:lang w:val="en-US"/>
        </w:rPr>
        <w:t xml:space="preserve"> </w:t>
      </w:r>
    </w:p>
    <w:p w14:paraId="63126B4E" w14:textId="77777777" w:rsidR="00077064" w:rsidRPr="00FE7BA7" w:rsidRDefault="00077064" w:rsidP="00190AD3">
      <w:pPr>
        <w:contextualSpacing/>
        <w:jc w:val="both"/>
        <w:rPr>
          <w:rFonts w:ascii="Verdana" w:hAnsi="Verdana"/>
          <w:sz w:val="20"/>
          <w:szCs w:val="20"/>
          <w:lang w:val="en-US"/>
        </w:rPr>
      </w:pPr>
    </w:p>
    <w:p w14:paraId="63126B4F" w14:textId="77777777" w:rsidR="0062526A" w:rsidRPr="00FE7BA7" w:rsidRDefault="00167074" w:rsidP="00190AD3">
      <w:pPr>
        <w:numPr>
          <w:ilvl w:val="0"/>
          <w:numId w:val="2"/>
        </w:numPr>
        <w:ind w:left="0" w:hanging="11"/>
        <w:contextualSpacing/>
        <w:jc w:val="both"/>
        <w:rPr>
          <w:lang w:val="en-US"/>
        </w:rPr>
      </w:pPr>
      <w:r w:rsidRPr="00FE7BA7">
        <w:rPr>
          <w:rFonts w:ascii="Verdana" w:hAnsi="Verdana"/>
          <w:sz w:val="20"/>
          <w:lang w:val="en-US"/>
        </w:rPr>
        <w:t xml:space="preserve">In this regard, the Court considers that the delivery </w:t>
      </w:r>
      <w:r w:rsidR="000739A7" w:rsidRPr="00FE7BA7">
        <w:rPr>
          <w:rFonts w:ascii="Verdana" w:hAnsi="Verdana"/>
          <w:sz w:val="20"/>
          <w:lang w:val="en-US"/>
        </w:rPr>
        <w:t>of this Judgment</w:t>
      </w:r>
      <w:r w:rsidR="002B5CCD" w:rsidRPr="00FE7BA7">
        <w:rPr>
          <w:rFonts w:ascii="Verdana" w:hAnsi="Verdana"/>
          <w:sz w:val="20"/>
          <w:lang w:val="en-US"/>
        </w:rPr>
        <w:t xml:space="preserve"> and </w:t>
      </w:r>
      <w:r w:rsidRPr="00FE7BA7">
        <w:rPr>
          <w:rFonts w:ascii="Verdana" w:hAnsi="Verdana"/>
          <w:sz w:val="20"/>
          <w:lang w:val="en-US"/>
        </w:rPr>
        <w:t xml:space="preserve">the </w:t>
      </w:r>
      <w:r w:rsidR="00FE7BA7" w:rsidRPr="00FE7BA7">
        <w:rPr>
          <w:rFonts w:ascii="Verdana" w:hAnsi="Verdana"/>
          <w:sz w:val="20"/>
          <w:lang w:val="en-US"/>
        </w:rPr>
        <w:t>reparations</w:t>
      </w:r>
      <w:r w:rsidRPr="00FE7BA7">
        <w:rPr>
          <w:rFonts w:ascii="Verdana" w:hAnsi="Verdana"/>
          <w:sz w:val="20"/>
          <w:lang w:val="en-US"/>
        </w:rPr>
        <w:t xml:space="preserve"> ordered herein are sufficient and appropriate measure in this case; consequently, it does not find it necessary to order the holding of a public ceremony to acknowledge responsibility.</w:t>
      </w:r>
    </w:p>
    <w:p w14:paraId="63126B50" w14:textId="77777777" w:rsidR="0062526A" w:rsidRPr="00FE7BA7" w:rsidRDefault="0062526A" w:rsidP="00A91B78">
      <w:pPr>
        <w:jc w:val="both"/>
        <w:rPr>
          <w:rFonts w:ascii="Verdana" w:hAnsi="Verdana"/>
          <w:sz w:val="20"/>
          <w:szCs w:val="20"/>
          <w:lang w:val="en-US"/>
        </w:rPr>
      </w:pPr>
    </w:p>
    <w:p w14:paraId="63126B51" w14:textId="77777777" w:rsidR="00A91B78" w:rsidRPr="00FE7BA7" w:rsidRDefault="00C34C52" w:rsidP="00A91B78">
      <w:pPr>
        <w:pStyle w:val="Heading2"/>
        <w:numPr>
          <w:ilvl w:val="0"/>
          <w:numId w:val="42"/>
        </w:numPr>
        <w:spacing w:before="0"/>
        <w:jc w:val="both"/>
        <w:rPr>
          <w:rFonts w:ascii="Verdana" w:hAnsi="Verdana"/>
          <w:bCs w:val="0"/>
          <w:i/>
          <w:color w:val="auto"/>
          <w:sz w:val="20"/>
          <w:szCs w:val="20"/>
          <w:lang w:val="en-US"/>
        </w:rPr>
      </w:pPr>
      <w:bookmarkStart w:id="95" w:name="_Toc441673237"/>
      <w:r w:rsidRPr="00FE7BA7">
        <w:rPr>
          <w:rFonts w:ascii="Verdana" w:hAnsi="Verdana"/>
          <w:bCs w:val="0"/>
          <w:i/>
          <w:color w:val="auto"/>
          <w:sz w:val="20"/>
          <w:szCs w:val="20"/>
          <w:lang w:val="en-US"/>
        </w:rPr>
        <w:t>Costs and expenses</w:t>
      </w:r>
      <w:bookmarkEnd w:id="95"/>
    </w:p>
    <w:p w14:paraId="63126B52" w14:textId="77777777" w:rsidR="00A91B78" w:rsidRPr="00FE7BA7" w:rsidRDefault="00A91B78" w:rsidP="00A91B78">
      <w:pPr>
        <w:jc w:val="both"/>
        <w:rPr>
          <w:rFonts w:ascii="Verdana" w:hAnsi="Verdana"/>
          <w:sz w:val="20"/>
          <w:szCs w:val="20"/>
          <w:lang w:val="en-US"/>
        </w:rPr>
      </w:pPr>
    </w:p>
    <w:p w14:paraId="63126B53" w14:textId="39954408" w:rsidR="002206AC" w:rsidRPr="00FE7BA7" w:rsidRDefault="00810FAD" w:rsidP="002206AC">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The </w:t>
      </w:r>
      <w:r w:rsidRPr="006C4E70">
        <w:rPr>
          <w:rFonts w:ascii="Verdana" w:hAnsi="Verdana"/>
          <w:b/>
          <w:i/>
          <w:sz w:val="20"/>
          <w:szCs w:val="20"/>
          <w:lang w:val="en-US"/>
        </w:rPr>
        <w:t>representatives</w:t>
      </w:r>
      <w:r w:rsidR="002206AC" w:rsidRPr="00FE7BA7">
        <w:rPr>
          <w:rFonts w:ascii="Verdana" w:hAnsi="Verdana"/>
          <w:sz w:val="20"/>
          <w:szCs w:val="20"/>
          <w:lang w:val="en-US"/>
        </w:rPr>
        <w:t xml:space="preserve"> </w:t>
      </w:r>
      <w:r w:rsidR="00167074" w:rsidRPr="00FE7BA7">
        <w:rPr>
          <w:rFonts w:ascii="Verdana" w:hAnsi="Verdana"/>
          <w:sz w:val="20"/>
          <w:szCs w:val="20"/>
          <w:lang w:val="en-US"/>
        </w:rPr>
        <w:t xml:space="preserve">indicated in their </w:t>
      </w:r>
      <w:r w:rsidR="007F6AA0">
        <w:rPr>
          <w:rFonts w:ascii="Verdana" w:hAnsi="Verdana"/>
          <w:sz w:val="20"/>
          <w:szCs w:val="20"/>
          <w:lang w:val="en-US"/>
        </w:rPr>
        <w:t>pleadings and motions brief</w:t>
      </w:r>
      <w:r w:rsidR="00167074" w:rsidRPr="00FE7BA7">
        <w:rPr>
          <w:rFonts w:ascii="Verdana" w:hAnsi="Verdana"/>
          <w:sz w:val="20"/>
          <w:szCs w:val="20"/>
          <w:lang w:val="en-US"/>
        </w:rPr>
        <w:t xml:space="preserve"> that</w:t>
      </w:r>
      <w:r w:rsidR="002206AC" w:rsidRPr="00FE7BA7">
        <w:rPr>
          <w:rFonts w:ascii="Verdana" w:hAnsi="Verdana"/>
          <w:sz w:val="20"/>
          <w:szCs w:val="20"/>
          <w:lang w:val="en-US"/>
        </w:rPr>
        <w:t xml:space="preserve"> </w:t>
      </w:r>
      <w:r w:rsidR="002B5CCD" w:rsidRPr="00FE7BA7">
        <w:rPr>
          <w:rFonts w:ascii="Verdana" w:hAnsi="Verdana"/>
          <w:sz w:val="20"/>
          <w:szCs w:val="20"/>
          <w:lang w:val="en-US"/>
        </w:rPr>
        <w:t>the State</w:t>
      </w:r>
      <w:r w:rsidR="002206AC" w:rsidRPr="00FE7BA7">
        <w:rPr>
          <w:rFonts w:ascii="Verdana" w:hAnsi="Verdana"/>
          <w:sz w:val="20"/>
          <w:szCs w:val="20"/>
          <w:lang w:val="en-US"/>
        </w:rPr>
        <w:t xml:space="preserve"> </w:t>
      </w:r>
      <w:r w:rsidR="00167074" w:rsidRPr="00FE7BA7">
        <w:rPr>
          <w:rFonts w:ascii="Verdana" w:hAnsi="Verdana"/>
          <w:sz w:val="20"/>
          <w:szCs w:val="20"/>
          <w:lang w:val="en-US"/>
        </w:rPr>
        <w:t xml:space="preserve">should reimburse the </w:t>
      </w:r>
      <w:r w:rsidR="00C34C52" w:rsidRPr="00FE7BA7">
        <w:rPr>
          <w:rFonts w:ascii="Verdana" w:hAnsi="Verdana"/>
          <w:sz w:val="20"/>
          <w:szCs w:val="20"/>
          <w:lang w:val="en-US"/>
        </w:rPr>
        <w:t>costs and expenses</w:t>
      </w:r>
      <w:r w:rsidR="00167074" w:rsidRPr="00FE7BA7">
        <w:rPr>
          <w:rFonts w:ascii="Verdana" w:hAnsi="Verdana"/>
          <w:sz w:val="20"/>
          <w:szCs w:val="20"/>
          <w:lang w:val="en-US"/>
        </w:rPr>
        <w:t xml:space="preserve"> incurred by</w:t>
      </w:r>
      <w:r w:rsidR="002206AC" w:rsidRPr="00FE7BA7">
        <w:rPr>
          <w:rFonts w:ascii="Verdana" w:hAnsi="Verdana"/>
          <w:sz w:val="20"/>
          <w:szCs w:val="20"/>
          <w:lang w:val="en-US"/>
        </w:rPr>
        <w:t xml:space="preserve"> </w:t>
      </w:r>
      <w:r w:rsidR="00DA4B96" w:rsidRPr="00FE7BA7">
        <w:rPr>
          <w:rFonts w:ascii="Verdana" w:hAnsi="Verdana"/>
          <w:sz w:val="20"/>
          <w:szCs w:val="20"/>
          <w:lang w:val="en-US"/>
        </w:rPr>
        <w:t>the members</w:t>
      </w:r>
      <w:r w:rsidR="002206AC" w:rsidRPr="00FE7BA7">
        <w:rPr>
          <w:rFonts w:ascii="Verdana" w:hAnsi="Verdana"/>
          <w:sz w:val="20"/>
          <w:szCs w:val="20"/>
          <w:lang w:val="en-US"/>
        </w:rPr>
        <w:t xml:space="preserve"> </w:t>
      </w:r>
      <w:r w:rsidR="00167074" w:rsidRPr="00FE7BA7">
        <w:rPr>
          <w:rFonts w:ascii="Verdana" w:hAnsi="Verdana"/>
          <w:sz w:val="20"/>
          <w:szCs w:val="20"/>
          <w:lang w:val="en-US"/>
        </w:rPr>
        <w:t xml:space="preserve">of the peoples in </w:t>
      </w:r>
      <w:r w:rsidR="00BB3478">
        <w:rPr>
          <w:rFonts w:ascii="Verdana" w:hAnsi="Verdana"/>
          <w:sz w:val="20"/>
          <w:szCs w:val="20"/>
          <w:lang w:val="en-US"/>
        </w:rPr>
        <w:t>prosecuting</w:t>
      </w:r>
      <w:r w:rsidR="00167074" w:rsidRPr="00FE7BA7">
        <w:rPr>
          <w:rFonts w:ascii="Verdana" w:hAnsi="Verdana"/>
          <w:sz w:val="20"/>
          <w:szCs w:val="20"/>
          <w:lang w:val="en-US"/>
        </w:rPr>
        <w:t xml:space="preserve"> the case before </w:t>
      </w:r>
      <w:r w:rsidR="002B5CCD" w:rsidRPr="00FE7BA7">
        <w:rPr>
          <w:rFonts w:ascii="Verdana" w:hAnsi="Verdana"/>
          <w:sz w:val="20"/>
          <w:szCs w:val="20"/>
          <w:lang w:val="en-US"/>
        </w:rPr>
        <w:t>the Commission and the Court</w:t>
      </w:r>
      <w:r w:rsidR="002206AC" w:rsidRPr="00FE7BA7">
        <w:rPr>
          <w:rFonts w:ascii="Verdana" w:hAnsi="Verdana"/>
          <w:sz w:val="20"/>
          <w:szCs w:val="20"/>
          <w:lang w:val="en-US"/>
        </w:rPr>
        <w:t>, as</w:t>
      </w:r>
      <w:r w:rsidR="00167074" w:rsidRPr="00FE7BA7">
        <w:rPr>
          <w:rFonts w:ascii="Verdana" w:hAnsi="Verdana"/>
          <w:sz w:val="20"/>
          <w:szCs w:val="20"/>
          <w:lang w:val="en-US"/>
        </w:rPr>
        <w:t xml:space="preserve"> well as in the domestic sphere. To this end, t</w:t>
      </w:r>
      <w:r w:rsidR="00BB3478">
        <w:rPr>
          <w:rFonts w:ascii="Verdana" w:hAnsi="Verdana"/>
          <w:sz w:val="20"/>
          <w:szCs w:val="20"/>
          <w:lang w:val="en-US"/>
        </w:rPr>
        <w:t>hey indicated that the costs of</w:t>
      </w:r>
      <w:r w:rsidR="002206AC" w:rsidRPr="00FE7BA7">
        <w:rPr>
          <w:rFonts w:ascii="Verdana" w:hAnsi="Verdana"/>
          <w:sz w:val="20"/>
          <w:szCs w:val="20"/>
          <w:lang w:val="en-US"/>
        </w:rPr>
        <w:t xml:space="preserve"> VIDS</w:t>
      </w:r>
      <w:r w:rsidR="002B5CCD" w:rsidRPr="00FE7BA7">
        <w:rPr>
          <w:rFonts w:ascii="Verdana" w:hAnsi="Verdana"/>
          <w:sz w:val="20"/>
          <w:szCs w:val="20"/>
          <w:lang w:val="en-US"/>
        </w:rPr>
        <w:t xml:space="preserve"> and </w:t>
      </w:r>
      <w:r w:rsidR="002206AC" w:rsidRPr="00FE7BA7">
        <w:rPr>
          <w:rFonts w:ascii="Verdana" w:hAnsi="Verdana"/>
          <w:sz w:val="20"/>
          <w:szCs w:val="20"/>
          <w:lang w:val="en-US"/>
        </w:rPr>
        <w:t xml:space="preserve">KLIM </w:t>
      </w:r>
      <w:r w:rsidR="00167074" w:rsidRPr="00FE7BA7">
        <w:rPr>
          <w:rFonts w:ascii="Verdana" w:hAnsi="Verdana"/>
          <w:sz w:val="20"/>
          <w:szCs w:val="20"/>
          <w:lang w:val="en-US"/>
        </w:rPr>
        <w:t>amounted to</w:t>
      </w:r>
      <w:r w:rsidR="00BB3478">
        <w:rPr>
          <w:rFonts w:ascii="Verdana" w:hAnsi="Verdana"/>
          <w:sz w:val="20"/>
          <w:szCs w:val="20"/>
          <w:lang w:val="en-US"/>
        </w:rPr>
        <w:t xml:space="preserve"> US$</w:t>
      </w:r>
      <w:r w:rsidR="002206AC" w:rsidRPr="00FE7BA7">
        <w:rPr>
          <w:rFonts w:ascii="Verdana" w:hAnsi="Verdana"/>
          <w:sz w:val="20"/>
          <w:szCs w:val="20"/>
          <w:lang w:val="en-US"/>
        </w:rPr>
        <w:t>179,970.94 (</w:t>
      </w:r>
      <w:r w:rsidR="00167074" w:rsidRPr="00FE7BA7">
        <w:rPr>
          <w:rFonts w:ascii="Verdana" w:hAnsi="Verdana"/>
          <w:sz w:val="20"/>
          <w:szCs w:val="20"/>
          <w:lang w:val="en-US"/>
        </w:rPr>
        <w:t xml:space="preserve">one hundred and seventy nine </w:t>
      </w:r>
      <w:r w:rsidR="00167074" w:rsidRPr="006C4E70">
        <w:rPr>
          <w:rFonts w:ascii="Verdana" w:hAnsi="Verdana"/>
          <w:sz w:val="20"/>
          <w:szCs w:val="20"/>
          <w:lang w:val="en-US"/>
        </w:rPr>
        <w:t xml:space="preserve">thousand nine hundred and seventy United States dollars and ninety-four cents), and that the expenses of </w:t>
      </w:r>
      <w:r w:rsidR="006C4E70" w:rsidRPr="006C4E70">
        <w:rPr>
          <w:rFonts w:ascii="Verdana" w:hAnsi="Verdana"/>
          <w:sz w:val="20"/>
          <w:szCs w:val="20"/>
          <w:lang w:val="en-US"/>
        </w:rPr>
        <w:t xml:space="preserve">the </w:t>
      </w:r>
      <w:r w:rsidR="002206AC" w:rsidRPr="006C4E70">
        <w:rPr>
          <w:rFonts w:ascii="Verdana" w:hAnsi="Verdana"/>
          <w:iCs/>
          <w:sz w:val="20"/>
          <w:szCs w:val="20"/>
          <w:lang w:val="en-US"/>
        </w:rPr>
        <w:t>Forest</w:t>
      </w:r>
      <w:r w:rsidR="002206AC" w:rsidRPr="00FE7BA7">
        <w:rPr>
          <w:rFonts w:ascii="Verdana" w:hAnsi="Verdana"/>
          <w:iCs/>
          <w:sz w:val="20"/>
          <w:szCs w:val="20"/>
          <w:lang w:val="en-US"/>
        </w:rPr>
        <w:t xml:space="preserve"> Peoples Programme,</w:t>
      </w:r>
      <w:r w:rsidR="00167074" w:rsidRPr="00FE7BA7">
        <w:rPr>
          <w:rFonts w:ascii="Verdana" w:hAnsi="Verdana"/>
          <w:sz w:val="20"/>
          <w:szCs w:val="20"/>
          <w:lang w:val="en-US"/>
        </w:rPr>
        <w:t xml:space="preserve"> over the last 15 years, amount to </w:t>
      </w:r>
      <w:r w:rsidR="000739A7" w:rsidRPr="00FE7BA7">
        <w:rPr>
          <w:rFonts w:ascii="Verdana" w:hAnsi="Verdana"/>
          <w:sz w:val="20"/>
          <w:szCs w:val="20"/>
          <w:lang w:val="en-US"/>
        </w:rPr>
        <w:t>US$</w:t>
      </w:r>
      <w:r w:rsidR="002206AC" w:rsidRPr="00FE7BA7">
        <w:rPr>
          <w:rFonts w:ascii="Verdana" w:hAnsi="Verdana"/>
          <w:sz w:val="20"/>
          <w:szCs w:val="20"/>
          <w:lang w:val="en-US"/>
        </w:rPr>
        <w:t>15,000.00 (</w:t>
      </w:r>
      <w:r w:rsidR="00FE7BA7" w:rsidRPr="00FE7BA7">
        <w:rPr>
          <w:rFonts w:ascii="Verdana" w:hAnsi="Verdana"/>
          <w:sz w:val="20"/>
          <w:szCs w:val="20"/>
          <w:lang w:val="en-US"/>
        </w:rPr>
        <w:t>fifteen</w:t>
      </w:r>
      <w:r w:rsidR="002206AC" w:rsidRPr="00FE7BA7">
        <w:rPr>
          <w:rFonts w:ascii="Verdana" w:hAnsi="Verdana"/>
          <w:sz w:val="20"/>
          <w:szCs w:val="20"/>
          <w:lang w:val="en-US"/>
        </w:rPr>
        <w:t xml:space="preserve"> </w:t>
      </w:r>
      <w:r w:rsidR="00C34C52" w:rsidRPr="00FE7BA7">
        <w:rPr>
          <w:rFonts w:ascii="Verdana" w:hAnsi="Verdana"/>
          <w:sz w:val="20"/>
          <w:szCs w:val="20"/>
          <w:lang w:val="en-US"/>
        </w:rPr>
        <w:t>thousand United States dollars</w:t>
      </w:r>
      <w:r w:rsidR="002206AC" w:rsidRPr="00FE7BA7">
        <w:rPr>
          <w:rFonts w:ascii="Verdana" w:hAnsi="Verdana"/>
          <w:sz w:val="20"/>
          <w:szCs w:val="20"/>
          <w:lang w:val="en-US"/>
        </w:rPr>
        <w:t>)</w:t>
      </w:r>
      <w:r w:rsidR="00167074" w:rsidRPr="00FE7BA7">
        <w:rPr>
          <w:rFonts w:ascii="Verdana" w:hAnsi="Verdana"/>
          <w:sz w:val="20"/>
          <w:szCs w:val="20"/>
          <w:lang w:val="en-US"/>
        </w:rPr>
        <w:t>.</w:t>
      </w:r>
      <w:r w:rsidR="002206AC" w:rsidRPr="00FE7BA7">
        <w:rPr>
          <w:rFonts w:ascii="Verdana" w:hAnsi="Verdana"/>
          <w:i/>
          <w:iCs/>
          <w:sz w:val="20"/>
          <w:szCs w:val="20"/>
          <w:lang w:val="en-US"/>
        </w:rPr>
        <w:t xml:space="preserve"> </w:t>
      </w:r>
      <w:r w:rsidR="00FE7BA7" w:rsidRPr="00FE7BA7">
        <w:rPr>
          <w:rFonts w:ascii="Verdana" w:hAnsi="Verdana"/>
          <w:sz w:val="20"/>
          <w:szCs w:val="20"/>
          <w:lang w:val="en-US"/>
        </w:rPr>
        <w:t>Additionally</w:t>
      </w:r>
      <w:r w:rsidR="00167074" w:rsidRPr="00FE7BA7">
        <w:rPr>
          <w:rFonts w:ascii="Verdana" w:hAnsi="Verdana"/>
          <w:sz w:val="20"/>
          <w:szCs w:val="20"/>
          <w:lang w:val="en-US"/>
        </w:rPr>
        <w:t xml:space="preserve">, in their final observations, </w:t>
      </w:r>
      <w:r w:rsidRPr="00FE7BA7">
        <w:rPr>
          <w:rFonts w:ascii="Verdana" w:hAnsi="Verdana"/>
          <w:sz w:val="20"/>
          <w:szCs w:val="20"/>
          <w:lang w:val="en-US"/>
        </w:rPr>
        <w:t>the representatives</w:t>
      </w:r>
      <w:r w:rsidR="002206AC" w:rsidRPr="00FE7BA7">
        <w:rPr>
          <w:rFonts w:ascii="Verdana" w:hAnsi="Verdana"/>
          <w:sz w:val="20"/>
          <w:szCs w:val="20"/>
          <w:lang w:val="en-US"/>
        </w:rPr>
        <w:t xml:space="preserve"> </w:t>
      </w:r>
      <w:r w:rsidR="00167074" w:rsidRPr="00FE7BA7">
        <w:rPr>
          <w:rFonts w:ascii="Verdana" w:hAnsi="Verdana"/>
          <w:sz w:val="20"/>
          <w:szCs w:val="20"/>
          <w:lang w:val="en-US"/>
        </w:rPr>
        <w:t xml:space="preserve">also requested the reimbursement of the expenses incurred by </w:t>
      </w:r>
      <w:r w:rsidR="002206AC" w:rsidRPr="00FE7BA7">
        <w:rPr>
          <w:rFonts w:ascii="Verdana" w:hAnsi="Verdana"/>
          <w:iCs/>
          <w:sz w:val="20"/>
          <w:szCs w:val="20"/>
          <w:lang w:val="en-US"/>
        </w:rPr>
        <w:t>Forest Peoples Programme</w:t>
      </w:r>
      <w:r w:rsidR="00167074" w:rsidRPr="00FE7BA7">
        <w:rPr>
          <w:rFonts w:ascii="Verdana" w:hAnsi="Verdana"/>
          <w:sz w:val="20"/>
          <w:szCs w:val="20"/>
          <w:lang w:val="en-US"/>
        </w:rPr>
        <w:t xml:space="preserve"> owing to </w:t>
      </w:r>
      <w:r w:rsidR="008F798A" w:rsidRPr="00FE7BA7">
        <w:rPr>
          <w:rFonts w:ascii="Verdana" w:hAnsi="Verdana"/>
          <w:sz w:val="20"/>
          <w:szCs w:val="20"/>
          <w:lang w:val="en-US"/>
        </w:rPr>
        <w:t xml:space="preserve">the </w:t>
      </w:r>
      <w:r w:rsidRPr="00FE7BA7">
        <w:rPr>
          <w:rFonts w:ascii="Verdana" w:hAnsi="Verdana"/>
          <w:sz w:val="20"/>
          <w:szCs w:val="20"/>
          <w:lang w:val="en-US"/>
        </w:rPr>
        <w:t>public hearing</w:t>
      </w:r>
      <w:r w:rsidR="002206AC" w:rsidRPr="00FE7BA7">
        <w:rPr>
          <w:rFonts w:ascii="Verdana" w:hAnsi="Verdana"/>
          <w:sz w:val="20"/>
          <w:szCs w:val="20"/>
          <w:lang w:val="en-US"/>
        </w:rPr>
        <w:t xml:space="preserve"> </w:t>
      </w:r>
      <w:r w:rsidR="00167074" w:rsidRPr="00FE7BA7">
        <w:rPr>
          <w:rFonts w:ascii="Verdana" w:hAnsi="Verdana"/>
          <w:sz w:val="20"/>
          <w:szCs w:val="20"/>
          <w:lang w:val="en-US"/>
        </w:rPr>
        <w:t>in this case, which amounted to</w:t>
      </w:r>
      <w:r w:rsidR="000739A7" w:rsidRPr="00FE7BA7">
        <w:rPr>
          <w:rFonts w:ascii="Verdana" w:hAnsi="Verdana"/>
          <w:sz w:val="20"/>
          <w:szCs w:val="20"/>
          <w:lang w:val="en-US"/>
        </w:rPr>
        <w:t xml:space="preserve"> US$</w:t>
      </w:r>
      <w:r w:rsidR="00C51AA0" w:rsidRPr="00FE7BA7">
        <w:rPr>
          <w:rFonts w:ascii="Verdana" w:hAnsi="Verdana"/>
          <w:sz w:val="20"/>
          <w:szCs w:val="20"/>
          <w:lang w:val="en-US"/>
        </w:rPr>
        <w:t>13,294.25 (</w:t>
      </w:r>
      <w:r w:rsidR="000739A7" w:rsidRPr="00FE7BA7">
        <w:rPr>
          <w:rFonts w:ascii="Verdana" w:hAnsi="Verdana"/>
          <w:sz w:val="20"/>
          <w:szCs w:val="20"/>
          <w:lang w:val="en-US"/>
        </w:rPr>
        <w:t>thirteen thousand two hundred and ninety-four United States dollars and twenty-five cents</w:t>
      </w:r>
      <w:r w:rsidR="00BB3478">
        <w:rPr>
          <w:rFonts w:ascii="Verdana" w:hAnsi="Verdana"/>
          <w:sz w:val="20"/>
          <w:szCs w:val="20"/>
          <w:lang w:val="en-US"/>
        </w:rPr>
        <w:t xml:space="preserve">). </w:t>
      </w:r>
      <w:r w:rsidR="00167074" w:rsidRPr="00FE7BA7">
        <w:rPr>
          <w:rFonts w:ascii="Verdana" w:hAnsi="Verdana"/>
          <w:sz w:val="20"/>
          <w:szCs w:val="20"/>
          <w:lang w:val="en-US"/>
        </w:rPr>
        <w:t>Lastly</w:t>
      </w:r>
      <w:r w:rsidR="002206AC" w:rsidRPr="00FE7BA7">
        <w:rPr>
          <w:rFonts w:ascii="Verdana" w:hAnsi="Verdana"/>
          <w:sz w:val="20"/>
          <w:szCs w:val="20"/>
          <w:lang w:val="en-US"/>
        </w:rPr>
        <w:t xml:space="preserve">, </w:t>
      </w:r>
      <w:r w:rsidRPr="00FE7BA7">
        <w:rPr>
          <w:rFonts w:ascii="Verdana" w:hAnsi="Verdana"/>
          <w:sz w:val="20"/>
          <w:szCs w:val="20"/>
          <w:lang w:val="en-US"/>
        </w:rPr>
        <w:t>the representatives</w:t>
      </w:r>
      <w:r w:rsidR="002206AC" w:rsidRPr="00FE7BA7">
        <w:rPr>
          <w:rFonts w:ascii="Verdana" w:hAnsi="Verdana"/>
          <w:sz w:val="20"/>
          <w:szCs w:val="20"/>
          <w:lang w:val="en-US"/>
        </w:rPr>
        <w:t xml:space="preserve"> </w:t>
      </w:r>
      <w:r w:rsidR="00167074" w:rsidRPr="00FE7BA7">
        <w:rPr>
          <w:rFonts w:ascii="Verdana" w:hAnsi="Verdana"/>
          <w:sz w:val="20"/>
          <w:szCs w:val="20"/>
          <w:lang w:val="en-US"/>
        </w:rPr>
        <w:t xml:space="preserve">requested the payment of the expenditure that was incurred owing to </w:t>
      </w:r>
      <w:r w:rsidR="003231F8" w:rsidRPr="00FE7BA7">
        <w:rPr>
          <w:rFonts w:ascii="Verdana" w:hAnsi="Verdana"/>
          <w:sz w:val="20"/>
          <w:szCs w:val="20"/>
          <w:lang w:val="en-US"/>
        </w:rPr>
        <w:t>the</w:t>
      </w:r>
      <w:r w:rsidR="00167074" w:rsidRPr="00FE7BA7">
        <w:rPr>
          <w:rFonts w:ascii="Verdana" w:hAnsi="Verdana"/>
          <w:sz w:val="20"/>
          <w:szCs w:val="20"/>
          <w:lang w:val="en-US"/>
        </w:rPr>
        <w:t xml:space="preserve"> </w:t>
      </w:r>
      <w:r w:rsidR="003F59F5" w:rsidRPr="00FE7BA7">
        <w:rPr>
          <w:rFonts w:ascii="Verdana" w:hAnsi="Verdana"/>
          <w:sz w:val="20"/>
          <w:szCs w:val="20"/>
          <w:lang w:val="en-US"/>
        </w:rPr>
        <w:t>on-site procedure</w:t>
      </w:r>
      <w:r w:rsidR="00167074" w:rsidRPr="00FE7BA7">
        <w:rPr>
          <w:rFonts w:ascii="Verdana" w:hAnsi="Verdana"/>
          <w:sz w:val="20"/>
          <w:szCs w:val="20"/>
          <w:lang w:val="en-US"/>
        </w:rPr>
        <w:t xml:space="preserve">, which amounted to </w:t>
      </w:r>
      <w:r w:rsidR="000739A7" w:rsidRPr="00FE7BA7">
        <w:rPr>
          <w:rFonts w:ascii="Verdana" w:hAnsi="Verdana"/>
          <w:sz w:val="20"/>
          <w:szCs w:val="20"/>
          <w:lang w:val="en-US"/>
        </w:rPr>
        <w:t>US$</w:t>
      </w:r>
      <w:r w:rsidR="002206AC" w:rsidRPr="00FE7BA7">
        <w:rPr>
          <w:rFonts w:ascii="Verdana" w:hAnsi="Verdana"/>
          <w:sz w:val="20"/>
          <w:szCs w:val="20"/>
          <w:lang w:val="en-US"/>
        </w:rPr>
        <w:t>4,847.40 (</w:t>
      </w:r>
      <w:r w:rsidR="000739A7" w:rsidRPr="00FE7BA7">
        <w:rPr>
          <w:rFonts w:ascii="Verdana" w:hAnsi="Verdana"/>
          <w:sz w:val="20"/>
          <w:szCs w:val="20"/>
          <w:lang w:val="en-US"/>
        </w:rPr>
        <w:t>four thousand eight hundred and forty-seven United States dollars</w:t>
      </w:r>
      <w:r w:rsidR="00C34C52" w:rsidRPr="00FE7BA7">
        <w:rPr>
          <w:rFonts w:ascii="Verdana" w:hAnsi="Verdana"/>
          <w:sz w:val="20"/>
          <w:szCs w:val="20"/>
          <w:lang w:val="en-US"/>
        </w:rPr>
        <w:t xml:space="preserve"> and </w:t>
      </w:r>
      <w:r w:rsidR="000739A7" w:rsidRPr="00FE7BA7">
        <w:rPr>
          <w:rFonts w:ascii="Verdana" w:hAnsi="Verdana"/>
          <w:sz w:val="20"/>
          <w:szCs w:val="20"/>
          <w:lang w:val="en-US"/>
        </w:rPr>
        <w:t>forty</w:t>
      </w:r>
      <w:r w:rsidR="00C34C52" w:rsidRPr="00FE7BA7">
        <w:rPr>
          <w:rFonts w:ascii="Verdana" w:hAnsi="Verdana"/>
          <w:sz w:val="20"/>
          <w:szCs w:val="20"/>
          <w:lang w:val="en-US"/>
        </w:rPr>
        <w:t xml:space="preserve"> </w:t>
      </w:r>
      <w:r w:rsidR="000739A7" w:rsidRPr="00FE7BA7">
        <w:rPr>
          <w:rFonts w:ascii="Verdana" w:hAnsi="Verdana"/>
          <w:sz w:val="20"/>
          <w:szCs w:val="20"/>
          <w:lang w:val="en-US"/>
        </w:rPr>
        <w:t>cents</w:t>
      </w:r>
      <w:r w:rsidR="00167074" w:rsidRPr="00FE7BA7">
        <w:rPr>
          <w:rFonts w:ascii="Verdana" w:hAnsi="Verdana"/>
          <w:sz w:val="20"/>
          <w:szCs w:val="20"/>
          <w:lang w:val="en-US"/>
        </w:rPr>
        <w:t>.</w:t>
      </w:r>
    </w:p>
    <w:p w14:paraId="63126B54" w14:textId="77777777" w:rsidR="00A91B78" w:rsidRPr="00FE7BA7" w:rsidRDefault="00A91B78" w:rsidP="00A91B78">
      <w:pPr>
        <w:jc w:val="both"/>
        <w:rPr>
          <w:rFonts w:ascii="Verdana" w:hAnsi="Verdana"/>
          <w:sz w:val="20"/>
          <w:szCs w:val="20"/>
          <w:lang w:val="en-US"/>
        </w:rPr>
      </w:pPr>
    </w:p>
    <w:p w14:paraId="63126B55" w14:textId="77777777" w:rsidR="00A91B78" w:rsidRPr="00FE7BA7" w:rsidRDefault="000739A7"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Neither the Commission nor the State commented in this regard.</w:t>
      </w:r>
    </w:p>
    <w:p w14:paraId="63126B56" w14:textId="77777777" w:rsidR="00A91B78" w:rsidRPr="00FE7BA7" w:rsidRDefault="00A91B78" w:rsidP="00A91B78">
      <w:pPr>
        <w:pStyle w:val="ListParagraph"/>
        <w:ind w:left="0"/>
        <w:rPr>
          <w:rFonts w:ascii="Verdana" w:hAnsi="Verdana"/>
          <w:sz w:val="20"/>
          <w:szCs w:val="20"/>
          <w:lang w:val="en-US"/>
        </w:rPr>
      </w:pPr>
    </w:p>
    <w:p w14:paraId="63126B57" w14:textId="23427B61" w:rsidR="00A91B78" w:rsidRPr="00FE7BA7" w:rsidRDefault="002B5CCD"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Court</w:t>
      </w:r>
      <w:r w:rsidR="00A91B78" w:rsidRPr="00FE7BA7">
        <w:rPr>
          <w:rFonts w:ascii="Verdana" w:hAnsi="Verdana"/>
          <w:sz w:val="20"/>
          <w:szCs w:val="20"/>
          <w:lang w:val="en-US"/>
        </w:rPr>
        <w:t xml:space="preserve"> reitera</w:t>
      </w:r>
      <w:r w:rsidR="00167074" w:rsidRPr="00FE7BA7">
        <w:rPr>
          <w:rFonts w:ascii="Verdana" w:hAnsi="Verdana"/>
          <w:sz w:val="20"/>
          <w:szCs w:val="20"/>
          <w:lang w:val="en-US"/>
        </w:rPr>
        <w:t>tes that, pursuant to its case law,</w:t>
      </w:r>
      <w:r w:rsidR="00A91B78" w:rsidRPr="00FE7BA7">
        <w:rPr>
          <w:rFonts w:ascii="Verdana" w:hAnsi="Verdana"/>
          <w:sz w:val="20"/>
          <w:szCs w:val="20"/>
          <w:vertAlign w:val="superscript"/>
          <w:lang w:val="en-US"/>
        </w:rPr>
        <w:footnoteReference w:id="346"/>
      </w:r>
      <w:r w:rsidR="00167074" w:rsidRPr="00FE7BA7">
        <w:rPr>
          <w:rFonts w:ascii="Verdana" w:hAnsi="Verdana"/>
          <w:sz w:val="20"/>
          <w:szCs w:val="20"/>
          <w:lang w:val="en-US"/>
        </w:rPr>
        <w:t xml:space="preserve"> </w:t>
      </w:r>
      <w:r w:rsidR="00C34C52" w:rsidRPr="00FE7BA7">
        <w:rPr>
          <w:rFonts w:ascii="Verdana" w:hAnsi="Verdana"/>
          <w:sz w:val="20"/>
          <w:szCs w:val="20"/>
          <w:lang w:val="en-US"/>
        </w:rPr>
        <w:t>costs and expenses</w:t>
      </w:r>
      <w:r w:rsidR="00167074" w:rsidRPr="00FE7BA7">
        <w:rPr>
          <w:rFonts w:ascii="Verdana" w:hAnsi="Verdana"/>
          <w:sz w:val="20"/>
          <w:szCs w:val="20"/>
          <w:lang w:val="en-US"/>
        </w:rPr>
        <w:t xml:space="preserve"> are part of the concept of </w:t>
      </w:r>
      <w:r w:rsidR="00FE7BA7" w:rsidRPr="00FE7BA7">
        <w:rPr>
          <w:rFonts w:ascii="Verdana" w:hAnsi="Verdana"/>
          <w:sz w:val="20"/>
          <w:szCs w:val="20"/>
          <w:lang w:val="en-US"/>
        </w:rPr>
        <w:t>reparation</w:t>
      </w:r>
      <w:r w:rsidR="00167074" w:rsidRPr="00FE7BA7">
        <w:rPr>
          <w:rFonts w:ascii="Verdana" w:hAnsi="Verdana"/>
          <w:sz w:val="20"/>
          <w:szCs w:val="20"/>
          <w:lang w:val="en-US"/>
        </w:rPr>
        <w:t xml:space="preserve">, because the actions taken by the victims to obtain justice, in both the </w:t>
      </w:r>
      <w:r w:rsidR="00BB3478">
        <w:rPr>
          <w:rFonts w:ascii="Verdana" w:hAnsi="Verdana"/>
          <w:sz w:val="20"/>
          <w:szCs w:val="20"/>
          <w:lang w:val="en-US"/>
        </w:rPr>
        <w:t>domestic</w:t>
      </w:r>
      <w:r w:rsidR="00167074" w:rsidRPr="00FE7BA7">
        <w:rPr>
          <w:rFonts w:ascii="Verdana" w:hAnsi="Verdana"/>
          <w:sz w:val="20"/>
          <w:szCs w:val="20"/>
          <w:lang w:val="en-US"/>
        </w:rPr>
        <w:t xml:space="preserve"> and the international </w:t>
      </w:r>
      <w:proofErr w:type="gramStart"/>
      <w:r w:rsidR="00167074" w:rsidRPr="00FE7BA7">
        <w:rPr>
          <w:rFonts w:ascii="Verdana" w:hAnsi="Verdana"/>
          <w:sz w:val="20"/>
          <w:szCs w:val="20"/>
          <w:lang w:val="en-US"/>
        </w:rPr>
        <w:t>sphere</w:t>
      </w:r>
      <w:r w:rsidR="0050357C">
        <w:rPr>
          <w:rFonts w:ascii="Verdana" w:hAnsi="Verdana"/>
          <w:sz w:val="20"/>
          <w:szCs w:val="20"/>
          <w:lang w:val="en-US"/>
        </w:rPr>
        <w:t>s</w:t>
      </w:r>
      <w:r w:rsidR="00167074" w:rsidRPr="00FE7BA7">
        <w:rPr>
          <w:rFonts w:ascii="Verdana" w:hAnsi="Verdana"/>
          <w:sz w:val="20"/>
          <w:szCs w:val="20"/>
          <w:lang w:val="en-US"/>
        </w:rPr>
        <w:t>,</w:t>
      </w:r>
      <w:proofErr w:type="gramEnd"/>
      <w:r w:rsidR="00167074" w:rsidRPr="00FE7BA7">
        <w:rPr>
          <w:rFonts w:ascii="Verdana" w:hAnsi="Verdana"/>
          <w:sz w:val="20"/>
          <w:szCs w:val="20"/>
          <w:lang w:val="en-US"/>
        </w:rPr>
        <w:t xml:space="preserve"> entail disbursements that should be compensated when the international responsibility of the State has been declared in a judgment against it. Regarding the reimbursement of expenses, it is for the Court to assess their scope prudently, and this includes the expenses generated during the proceedings before the </w:t>
      </w:r>
      <w:r w:rsidR="00F46731">
        <w:rPr>
          <w:rFonts w:ascii="Verdana" w:hAnsi="Verdana"/>
          <w:sz w:val="20"/>
          <w:szCs w:val="20"/>
          <w:lang w:val="en-US"/>
        </w:rPr>
        <w:t>I</w:t>
      </w:r>
      <w:r w:rsidR="00167074" w:rsidRPr="00FE7BA7">
        <w:rPr>
          <w:rFonts w:ascii="Verdana" w:hAnsi="Verdana"/>
          <w:sz w:val="20"/>
          <w:szCs w:val="20"/>
          <w:lang w:val="en-US"/>
        </w:rPr>
        <w:t xml:space="preserve">nter-American system, taking into account the circumstances of the specific case and the nature of the international jurisdiction for the protection of human rights. This assessment may be made based </w:t>
      </w:r>
      <w:r w:rsidR="00167074" w:rsidRPr="00FE7BA7">
        <w:rPr>
          <w:rFonts w:ascii="Verdana" w:hAnsi="Verdana"/>
          <w:sz w:val="20"/>
          <w:szCs w:val="20"/>
          <w:lang w:val="en-US"/>
        </w:rPr>
        <w:lastRenderedPageBreak/>
        <w:t xml:space="preserve">on the equity principle </w:t>
      </w:r>
      <w:r w:rsidRPr="00FE7BA7">
        <w:rPr>
          <w:rFonts w:ascii="Verdana" w:hAnsi="Verdana"/>
          <w:sz w:val="20"/>
          <w:szCs w:val="20"/>
          <w:lang w:val="en-US"/>
        </w:rPr>
        <w:t xml:space="preserve">and </w:t>
      </w:r>
      <w:r w:rsidR="00A91B78" w:rsidRPr="00FE7BA7">
        <w:rPr>
          <w:rFonts w:ascii="Verdana" w:hAnsi="Verdana"/>
          <w:sz w:val="20"/>
          <w:szCs w:val="20"/>
          <w:lang w:val="en-US"/>
        </w:rPr>
        <w:t>t</w:t>
      </w:r>
      <w:r w:rsidR="00167074" w:rsidRPr="00FE7BA7">
        <w:rPr>
          <w:rFonts w:ascii="Verdana" w:hAnsi="Verdana"/>
          <w:sz w:val="20"/>
          <w:szCs w:val="20"/>
          <w:lang w:val="en-US"/>
        </w:rPr>
        <w:t xml:space="preserve">aking into account the expenses indicated by the parties, provided their </w:t>
      </w:r>
      <w:r w:rsidR="00A91B78" w:rsidRPr="00FE7BA7">
        <w:rPr>
          <w:rFonts w:ascii="Verdana" w:hAnsi="Verdana"/>
          <w:i/>
          <w:sz w:val="20"/>
          <w:szCs w:val="20"/>
          <w:lang w:val="en-US"/>
        </w:rPr>
        <w:t>quantum</w:t>
      </w:r>
      <w:r w:rsidR="00A91B78" w:rsidRPr="00FE7BA7">
        <w:rPr>
          <w:rFonts w:ascii="Verdana" w:hAnsi="Verdana"/>
          <w:sz w:val="20"/>
          <w:szCs w:val="20"/>
          <w:lang w:val="en-US"/>
        </w:rPr>
        <w:t xml:space="preserve"> </w:t>
      </w:r>
      <w:r w:rsidR="00167074" w:rsidRPr="00FE7BA7">
        <w:rPr>
          <w:rFonts w:ascii="Verdana" w:hAnsi="Verdana"/>
          <w:sz w:val="20"/>
          <w:szCs w:val="20"/>
          <w:lang w:val="en-US"/>
        </w:rPr>
        <w:t>is reasonable.</w:t>
      </w:r>
      <w:r w:rsidR="00A91B78" w:rsidRPr="00FE7BA7">
        <w:rPr>
          <w:rFonts w:ascii="Verdana" w:hAnsi="Verdana"/>
          <w:sz w:val="20"/>
          <w:szCs w:val="20"/>
          <w:vertAlign w:val="superscript"/>
          <w:lang w:val="en-US"/>
        </w:rPr>
        <w:footnoteReference w:id="347"/>
      </w:r>
      <w:r w:rsidR="00A91B78" w:rsidRPr="00FE7BA7">
        <w:rPr>
          <w:rFonts w:ascii="Verdana" w:hAnsi="Verdana"/>
          <w:sz w:val="20"/>
          <w:szCs w:val="20"/>
          <w:lang w:val="en-US"/>
        </w:rPr>
        <w:t xml:space="preserve"> </w:t>
      </w:r>
    </w:p>
    <w:p w14:paraId="63126B58" w14:textId="77777777" w:rsidR="00A91B78" w:rsidRPr="00FE7BA7" w:rsidRDefault="00A91B78" w:rsidP="00A91B78">
      <w:pPr>
        <w:pStyle w:val="ListParagraph"/>
        <w:rPr>
          <w:rFonts w:ascii="Verdana" w:hAnsi="Verdana"/>
          <w:sz w:val="20"/>
          <w:szCs w:val="20"/>
          <w:lang w:val="en-US"/>
        </w:rPr>
      </w:pPr>
    </w:p>
    <w:p w14:paraId="63126B59" w14:textId="48840663" w:rsidR="00A91B78" w:rsidRPr="00FE7BA7" w:rsidRDefault="004B6D93" w:rsidP="004B6D93">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In addition, </w:t>
      </w:r>
      <w:r w:rsidR="002B5CCD" w:rsidRPr="00FE7BA7">
        <w:rPr>
          <w:rFonts w:ascii="Verdana" w:hAnsi="Verdana"/>
          <w:sz w:val="20"/>
          <w:szCs w:val="20"/>
          <w:lang w:val="en-US"/>
        </w:rPr>
        <w:t>the Court</w:t>
      </w:r>
      <w:r w:rsidRPr="00FE7BA7">
        <w:rPr>
          <w:rFonts w:ascii="Verdana" w:hAnsi="Verdana"/>
          <w:sz w:val="20"/>
          <w:szCs w:val="20"/>
          <w:lang w:val="en-US"/>
        </w:rPr>
        <w:t xml:space="preserve"> reiterates that it is not sufficient</w:t>
      </w:r>
      <w:r w:rsidR="00BB3478">
        <w:rPr>
          <w:rFonts w:ascii="Verdana" w:hAnsi="Verdana"/>
          <w:sz w:val="20"/>
          <w:szCs w:val="20"/>
          <w:lang w:val="en-US"/>
        </w:rPr>
        <w:t xml:space="preserve"> merely</w:t>
      </w:r>
      <w:r w:rsidRPr="00FE7BA7">
        <w:rPr>
          <w:rFonts w:ascii="Verdana" w:hAnsi="Verdana"/>
          <w:sz w:val="20"/>
          <w:szCs w:val="20"/>
          <w:lang w:val="en-US"/>
        </w:rPr>
        <w:t xml:space="preserve"> to </w:t>
      </w:r>
      <w:r w:rsidR="00BB3478">
        <w:rPr>
          <w:rFonts w:ascii="Verdana" w:hAnsi="Verdana"/>
          <w:sz w:val="20"/>
          <w:szCs w:val="20"/>
          <w:lang w:val="en-US"/>
        </w:rPr>
        <w:t>forward probative documents; rather</w:t>
      </w:r>
      <w:r w:rsidRPr="00FE7BA7">
        <w:rPr>
          <w:rFonts w:ascii="Verdana" w:hAnsi="Verdana"/>
          <w:sz w:val="20"/>
          <w:szCs w:val="20"/>
          <w:lang w:val="en-US"/>
        </w:rPr>
        <w:t xml:space="preserve"> the parties must include arguments that relate the evidence to the fact it is meant to represent and, in the case of alleged financial disbursements, the items and their justification must be clearly established.</w:t>
      </w:r>
      <w:r w:rsidR="00A91B78" w:rsidRPr="00FE7BA7">
        <w:rPr>
          <w:rFonts w:ascii="Verdana" w:hAnsi="Verdana"/>
          <w:sz w:val="20"/>
          <w:szCs w:val="20"/>
          <w:vertAlign w:val="superscript"/>
          <w:lang w:val="en-US"/>
        </w:rPr>
        <w:footnoteReference w:id="348"/>
      </w:r>
      <w:r w:rsidRPr="00FE7BA7">
        <w:rPr>
          <w:rFonts w:ascii="Verdana" w:hAnsi="Verdana"/>
          <w:sz w:val="20"/>
          <w:szCs w:val="20"/>
          <w:lang w:val="en-US"/>
        </w:rPr>
        <w:t xml:space="preserve"> The Court has also indicated that “the claims of the victims or their representatives for </w:t>
      </w:r>
      <w:r w:rsidR="00C34C52" w:rsidRPr="00FE7BA7">
        <w:rPr>
          <w:rFonts w:ascii="Verdana" w:hAnsi="Verdana"/>
          <w:sz w:val="20"/>
          <w:szCs w:val="20"/>
          <w:lang w:val="en-US"/>
        </w:rPr>
        <w:t>costs and expenses</w:t>
      </w:r>
      <w:r w:rsidR="00A91B78"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 xml:space="preserve">the evidence that supports them, must be presented to the Court on the first procedural occasion granted to them; that is, in the </w:t>
      </w:r>
      <w:r w:rsidR="007F6AA0">
        <w:rPr>
          <w:rFonts w:ascii="Verdana" w:hAnsi="Verdana"/>
          <w:sz w:val="20"/>
          <w:szCs w:val="20"/>
          <w:lang w:val="en-US"/>
        </w:rPr>
        <w:t>pleadings and motions brief</w:t>
      </w:r>
      <w:r w:rsidR="00A91B78" w:rsidRPr="00FE7BA7">
        <w:rPr>
          <w:rFonts w:ascii="Verdana" w:hAnsi="Verdana"/>
          <w:sz w:val="20"/>
          <w:szCs w:val="20"/>
          <w:lang w:val="en-US"/>
        </w:rPr>
        <w:t xml:space="preserve">, </w:t>
      </w:r>
      <w:r w:rsidRPr="00FE7BA7">
        <w:rPr>
          <w:rFonts w:ascii="Verdana" w:hAnsi="Verdana"/>
          <w:sz w:val="20"/>
          <w:szCs w:val="20"/>
          <w:lang w:val="en-US"/>
        </w:rPr>
        <w:t xml:space="preserve">without prejudice to such claims being updated subsequently in keeping with the new </w:t>
      </w:r>
      <w:r w:rsidR="00C34C52" w:rsidRPr="00FE7BA7">
        <w:rPr>
          <w:rFonts w:ascii="Verdana" w:hAnsi="Verdana"/>
          <w:sz w:val="20"/>
          <w:szCs w:val="20"/>
          <w:lang w:val="en-US"/>
        </w:rPr>
        <w:t>costs and expenses</w:t>
      </w:r>
      <w:r w:rsidR="00A91B78" w:rsidRPr="00FE7BA7">
        <w:rPr>
          <w:rFonts w:ascii="Verdana" w:hAnsi="Verdana"/>
          <w:sz w:val="20"/>
          <w:szCs w:val="20"/>
          <w:lang w:val="en-US"/>
        </w:rPr>
        <w:t xml:space="preserve"> </w:t>
      </w:r>
      <w:r w:rsidRPr="00FE7BA7">
        <w:rPr>
          <w:rFonts w:ascii="Verdana" w:hAnsi="Verdana"/>
          <w:sz w:val="20"/>
          <w:szCs w:val="20"/>
          <w:lang w:val="en-US"/>
        </w:rPr>
        <w:t>incurred owing to the proceedings before this Court.</w:t>
      </w:r>
      <w:r w:rsidR="002D650B">
        <w:rPr>
          <w:rFonts w:ascii="Verdana" w:hAnsi="Verdana"/>
          <w:sz w:val="20"/>
          <w:szCs w:val="20"/>
          <w:lang w:val="en-US"/>
        </w:rPr>
        <w:t>”</w:t>
      </w:r>
      <w:r w:rsidR="00A91B78" w:rsidRPr="00FE7BA7">
        <w:rPr>
          <w:rFonts w:ascii="Verdana" w:hAnsi="Verdana"/>
          <w:sz w:val="20"/>
          <w:szCs w:val="20"/>
          <w:vertAlign w:val="superscript"/>
          <w:lang w:val="en-US"/>
        </w:rPr>
        <w:footnoteReference w:id="349"/>
      </w:r>
    </w:p>
    <w:p w14:paraId="63126B5A" w14:textId="77777777" w:rsidR="00A91B78" w:rsidRPr="00FE7BA7" w:rsidRDefault="00A91B78" w:rsidP="00A91B78">
      <w:pPr>
        <w:jc w:val="both"/>
        <w:rPr>
          <w:rFonts w:ascii="Verdana" w:hAnsi="Verdana"/>
          <w:sz w:val="20"/>
          <w:szCs w:val="20"/>
          <w:lang w:val="en-US"/>
        </w:rPr>
      </w:pPr>
    </w:p>
    <w:p w14:paraId="63126B5B" w14:textId="77777777" w:rsidR="00002891" w:rsidRPr="00FE7BA7" w:rsidRDefault="004B6D93" w:rsidP="004B6D93">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With regard to the</w:t>
      </w:r>
      <w:r w:rsidR="00924F00" w:rsidRPr="00FE7BA7">
        <w:rPr>
          <w:rFonts w:ascii="Verdana" w:hAnsi="Verdana"/>
          <w:sz w:val="20"/>
          <w:szCs w:val="20"/>
          <w:lang w:val="en-US"/>
        </w:rPr>
        <w:t xml:space="preserve"> </w:t>
      </w:r>
      <w:r w:rsidR="00C34C52" w:rsidRPr="00FE7BA7">
        <w:rPr>
          <w:rFonts w:ascii="Verdana" w:hAnsi="Verdana"/>
          <w:sz w:val="20"/>
          <w:szCs w:val="20"/>
          <w:lang w:val="en-US"/>
        </w:rPr>
        <w:t>costs and expenses</w:t>
      </w:r>
      <w:r w:rsidRPr="00FE7BA7">
        <w:rPr>
          <w:rFonts w:ascii="Verdana" w:hAnsi="Verdana"/>
          <w:sz w:val="20"/>
          <w:szCs w:val="20"/>
          <w:lang w:val="en-US"/>
        </w:rPr>
        <w:t xml:space="preserve"> of</w:t>
      </w:r>
      <w:r w:rsidR="00924F00" w:rsidRPr="00FE7BA7">
        <w:rPr>
          <w:rFonts w:ascii="Verdana" w:hAnsi="Verdana"/>
          <w:sz w:val="20"/>
          <w:szCs w:val="20"/>
          <w:lang w:val="en-US"/>
        </w:rPr>
        <w:t xml:space="preserve"> VIDS</w:t>
      </w:r>
      <w:r w:rsidR="002B5CCD" w:rsidRPr="00FE7BA7">
        <w:rPr>
          <w:rFonts w:ascii="Verdana" w:hAnsi="Verdana"/>
          <w:sz w:val="20"/>
          <w:szCs w:val="20"/>
          <w:lang w:val="en-US"/>
        </w:rPr>
        <w:t xml:space="preserve"> and </w:t>
      </w:r>
      <w:r w:rsidR="00924F00" w:rsidRPr="00FE7BA7">
        <w:rPr>
          <w:rFonts w:ascii="Verdana" w:hAnsi="Verdana"/>
          <w:sz w:val="20"/>
          <w:szCs w:val="20"/>
          <w:lang w:val="en-US"/>
        </w:rPr>
        <w:t xml:space="preserve">KLIM, </w:t>
      </w:r>
      <w:r w:rsidR="00810FAD" w:rsidRPr="00FE7BA7">
        <w:rPr>
          <w:rFonts w:ascii="Verdana" w:hAnsi="Verdana"/>
          <w:sz w:val="20"/>
          <w:szCs w:val="20"/>
          <w:lang w:val="en-US"/>
        </w:rPr>
        <w:t>the representatives</w:t>
      </w:r>
      <w:r w:rsidR="00924F00" w:rsidRPr="00FE7BA7">
        <w:rPr>
          <w:rFonts w:ascii="Verdana" w:hAnsi="Verdana"/>
          <w:sz w:val="20"/>
          <w:szCs w:val="20"/>
          <w:lang w:val="en-US"/>
        </w:rPr>
        <w:t xml:space="preserve"> </w:t>
      </w:r>
      <w:r w:rsidRPr="00FE7BA7">
        <w:rPr>
          <w:rFonts w:ascii="Verdana" w:hAnsi="Verdana"/>
          <w:sz w:val="20"/>
          <w:szCs w:val="20"/>
          <w:lang w:val="en-US"/>
        </w:rPr>
        <w:t xml:space="preserve">argued that the activities carried out related to investigations into the ancestral lands </w:t>
      </w:r>
      <w:r w:rsidR="00635ACD" w:rsidRPr="00FE7BA7">
        <w:rPr>
          <w:rFonts w:ascii="Verdana" w:hAnsi="Verdana"/>
          <w:sz w:val="20"/>
          <w:szCs w:val="20"/>
          <w:lang w:val="en-US"/>
        </w:rPr>
        <w:t xml:space="preserve">of the </w:t>
      </w:r>
      <w:r w:rsidR="004C7D14" w:rsidRPr="00FE7BA7">
        <w:rPr>
          <w:rFonts w:ascii="Verdana" w:hAnsi="Verdana"/>
          <w:sz w:val="20"/>
          <w:szCs w:val="20"/>
          <w:lang w:val="en-US"/>
        </w:rPr>
        <w:t>Kaliña and Lokono peoples</w:t>
      </w:r>
      <w:r w:rsidR="00924F00" w:rsidRPr="00FE7BA7">
        <w:rPr>
          <w:rFonts w:ascii="Verdana" w:hAnsi="Verdana"/>
          <w:sz w:val="20"/>
          <w:szCs w:val="20"/>
          <w:lang w:val="en-US"/>
        </w:rPr>
        <w:t xml:space="preserve">, </w:t>
      </w:r>
      <w:r w:rsidRPr="00FE7BA7">
        <w:rPr>
          <w:rFonts w:ascii="Verdana" w:hAnsi="Verdana"/>
          <w:sz w:val="20"/>
          <w:szCs w:val="20"/>
          <w:lang w:val="en-US"/>
        </w:rPr>
        <w:t xml:space="preserve">the mapping of the area claimed, KLIM meetings, meetings with State authorities, preparation of land and resources management plans, visits of experts and Maroon authorities, the hiring of two employees for KLIM, the rent of an office and the purchase of the respective office supplies. However, the Court has verified that the vouchers provided do not prove that the amounts indicated were effectively disbursed, because most of them were issued by VIDS and KLIM themselves, without any substantiation by the person or entity that received the alleged payment. Also, the justifications indicated on those vouchers do not establish clearly the relationship between the presumed expenditure and the processing of the proceedings in the domestic or the international sphere. Furthermore, the amounts included on the list of expenses do not coincide with those requested by </w:t>
      </w:r>
      <w:r w:rsidR="00810FAD" w:rsidRPr="00FE7BA7">
        <w:rPr>
          <w:rFonts w:ascii="Verdana" w:hAnsi="Verdana"/>
          <w:sz w:val="20"/>
          <w:szCs w:val="20"/>
          <w:lang w:val="en-US"/>
        </w:rPr>
        <w:t>the representatives</w:t>
      </w:r>
      <w:r w:rsidR="0062724A" w:rsidRPr="00FE7BA7">
        <w:rPr>
          <w:rFonts w:ascii="Verdana" w:hAnsi="Verdana"/>
          <w:sz w:val="20"/>
          <w:szCs w:val="20"/>
          <w:lang w:val="en-US"/>
        </w:rPr>
        <w:t>.</w:t>
      </w:r>
      <w:r w:rsidR="00924F00" w:rsidRPr="00FE7BA7">
        <w:rPr>
          <w:rFonts w:ascii="Verdana" w:hAnsi="Verdana"/>
          <w:sz w:val="20"/>
          <w:szCs w:val="20"/>
          <w:lang w:val="en-US"/>
        </w:rPr>
        <w:t xml:space="preserve"> </w:t>
      </w:r>
      <w:r w:rsidRPr="00FE7BA7">
        <w:rPr>
          <w:rFonts w:ascii="Verdana" w:hAnsi="Verdana"/>
          <w:sz w:val="20"/>
          <w:szCs w:val="20"/>
          <w:lang w:val="en-US"/>
        </w:rPr>
        <w:t>In addition</w:t>
      </w:r>
      <w:r w:rsidR="00924F00" w:rsidRPr="00FE7BA7">
        <w:rPr>
          <w:rFonts w:ascii="Verdana" w:hAnsi="Verdana"/>
          <w:sz w:val="20"/>
          <w:szCs w:val="20"/>
          <w:lang w:val="en-US"/>
        </w:rPr>
        <w:t xml:space="preserve">, </w:t>
      </w:r>
      <w:r w:rsidR="00810FAD" w:rsidRPr="00FE7BA7">
        <w:rPr>
          <w:rFonts w:ascii="Verdana" w:hAnsi="Verdana"/>
          <w:sz w:val="20"/>
          <w:szCs w:val="20"/>
          <w:lang w:val="en-US"/>
        </w:rPr>
        <w:t>the representatives</w:t>
      </w:r>
      <w:r w:rsidR="00924F00" w:rsidRPr="00FE7BA7">
        <w:rPr>
          <w:rFonts w:ascii="Verdana" w:hAnsi="Verdana"/>
          <w:sz w:val="20"/>
          <w:szCs w:val="20"/>
          <w:lang w:val="en-US"/>
        </w:rPr>
        <w:t xml:space="preserve"> </w:t>
      </w:r>
      <w:r w:rsidRPr="00FE7BA7">
        <w:rPr>
          <w:rFonts w:ascii="Verdana" w:hAnsi="Verdana"/>
          <w:sz w:val="20"/>
          <w:szCs w:val="20"/>
          <w:lang w:val="en-US"/>
        </w:rPr>
        <w:t xml:space="preserve">did not provide any evidence with regard to the </w:t>
      </w:r>
      <w:r w:rsidR="00C34C52" w:rsidRPr="00FE7BA7">
        <w:rPr>
          <w:rFonts w:ascii="Verdana" w:hAnsi="Verdana"/>
          <w:sz w:val="20"/>
          <w:szCs w:val="20"/>
          <w:lang w:val="en-US"/>
        </w:rPr>
        <w:t>costs and expenses</w:t>
      </w:r>
      <w:r w:rsidR="00924F00" w:rsidRPr="00FE7BA7">
        <w:rPr>
          <w:rFonts w:ascii="Verdana" w:hAnsi="Verdana"/>
          <w:sz w:val="20"/>
          <w:szCs w:val="20"/>
          <w:lang w:val="en-US"/>
        </w:rPr>
        <w:t xml:space="preserve"> </w:t>
      </w:r>
      <w:r w:rsidRPr="00FE7BA7">
        <w:rPr>
          <w:rFonts w:ascii="Verdana" w:hAnsi="Verdana"/>
          <w:sz w:val="20"/>
          <w:szCs w:val="20"/>
          <w:lang w:val="en-US"/>
        </w:rPr>
        <w:t xml:space="preserve">incurred by the </w:t>
      </w:r>
      <w:r w:rsidR="00924F00" w:rsidRPr="00FE7BA7">
        <w:rPr>
          <w:rFonts w:ascii="Verdana" w:hAnsi="Verdana"/>
          <w:sz w:val="20"/>
          <w:szCs w:val="20"/>
          <w:lang w:val="en-US"/>
        </w:rPr>
        <w:t xml:space="preserve">Forest Peoples Programme. </w:t>
      </w:r>
      <w:r w:rsidRPr="00FE7BA7">
        <w:rPr>
          <w:rFonts w:ascii="Verdana" w:hAnsi="Verdana"/>
          <w:sz w:val="20"/>
          <w:szCs w:val="20"/>
          <w:lang w:val="en-US"/>
        </w:rPr>
        <w:t xml:space="preserve">However, the Court finds it reasonable to suppose that these </w:t>
      </w:r>
      <w:r w:rsidR="00FE7BA7" w:rsidRPr="00FE7BA7">
        <w:rPr>
          <w:rFonts w:ascii="Verdana" w:hAnsi="Verdana"/>
          <w:sz w:val="20"/>
          <w:szCs w:val="20"/>
          <w:lang w:val="en-US"/>
        </w:rPr>
        <w:t>organizations</w:t>
      </w:r>
      <w:r w:rsidRPr="00FE7BA7">
        <w:rPr>
          <w:rFonts w:ascii="Verdana" w:hAnsi="Verdana"/>
          <w:sz w:val="20"/>
          <w:szCs w:val="20"/>
          <w:lang w:val="en-US"/>
        </w:rPr>
        <w:t xml:space="preserve"> incurred expenses </w:t>
      </w:r>
      <w:r w:rsidR="00BB3478">
        <w:rPr>
          <w:rFonts w:ascii="Verdana" w:hAnsi="Verdana"/>
          <w:sz w:val="20"/>
          <w:szCs w:val="20"/>
          <w:lang w:val="en-US"/>
        </w:rPr>
        <w:t>based on</w:t>
      </w:r>
      <w:r w:rsidRPr="00FE7BA7">
        <w:rPr>
          <w:rFonts w:ascii="Verdana" w:hAnsi="Verdana"/>
          <w:sz w:val="20"/>
          <w:szCs w:val="20"/>
          <w:lang w:val="en-US"/>
        </w:rPr>
        <w:t xml:space="preserve"> their representation of the victims.</w:t>
      </w:r>
    </w:p>
    <w:p w14:paraId="63126B5C" w14:textId="77777777" w:rsidR="00002891" w:rsidRPr="00FE7BA7" w:rsidRDefault="00002891" w:rsidP="00190AD3">
      <w:pPr>
        <w:contextualSpacing/>
        <w:jc w:val="both"/>
        <w:rPr>
          <w:rFonts w:ascii="Verdana" w:hAnsi="Verdana"/>
          <w:sz w:val="20"/>
          <w:szCs w:val="20"/>
          <w:lang w:val="en-US"/>
        </w:rPr>
      </w:pPr>
      <w:r w:rsidRPr="00FE7BA7">
        <w:rPr>
          <w:rFonts w:ascii="Verdana" w:hAnsi="Verdana"/>
          <w:sz w:val="20"/>
          <w:szCs w:val="20"/>
          <w:lang w:val="en-US"/>
        </w:rPr>
        <w:t xml:space="preserve"> </w:t>
      </w:r>
    </w:p>
    <w:p w14:paraId="63126B5D" w14:textId="77777777" w:rsidR="00924F00" w:rsidRPr="00FE7BA7" w:rsidRDefault="00EE0714" w:rsidP="00190AD3">
      <w:pPr>
        <w:numPr>
          <w:ilvl w:val="0"/>
          <w:numId w:val="2"/>
        </w:numPr>
        <w:ind w:left="0" w:hanging="11"/>
        <w:contextualSpacing/>
        <w:jc w:val="both"/>
        <w:rPr>
          <w:rFonts w:eastAsiaTheme="minorHAnsi"/>
          <w:lang w:val="en-US" w:eastAsia="es-CR"/>
        </w:rPr>
      </w:pPr>
      <w:r w:rsidRPr="00FE7BA7">
        <w:rPr>
          <w:rFonts w:ascii="Verdana" w:hAnsi="Verdana"/>
          <w:sz w:val="20"/>
          <w:szCs w:val="20"/>
          <w:lang w:val="en-US"/>
        </w:rPr>
        <w:t>With regard to the expenses relating to</w:t>
      </w:r>
      <w:r w:rsidR="00924F00" w:rsidRPr="00FE7BA7">
        <w:rPr>
          <w:rFonts w:ascii="Verdana" w:hAnsi="Verdana"/>
          <w:sz w:val="20"/>
          <w:szCs w:val="20"/>
          <w:lang w:val="en-US"/>
        </w:rPr>
        <w:t xml:space="preserve"> </w:t>
      </w:r>
      <w:r w:rsidR="00810FAD" w:rsidRPr="00FE7BA7">
        <w:rPr>
          <w:rFonts w:ascii="Verdana" w:hAnsi="Verdana"/>
          <w:sz w:val="20"/>
          <w:szCs w:val="20"/>
          <w:lang w:val="en-US"/>
        </w:rPr>
        <w:t>the public hearing</w:t>
      </w:r>
      <w:r w:rsidR="002B5CCD" w:rsidRPr="00FE7BA7">
        <w:rPr>
          <w:rFonts w:ascii="Verdana" w:hAnsi="Verdana"/>
          <w:sz w:val="20"/>
          <w:szCs w:val="20"/>
          <w:lang w:val="en-US"/>
        </w:rPr>
        <w:t xml:space="preserve"> and </w:t>
      </w:r>
      <w:r w:rsidR="003F59F5" w:rsidRPr="00FE7BA7">
        <w:rPr>
          <w:rFonts w:ascii="Verdana" w:hAnsi="Verdana"/>
          <w:sz w:val="20"/>
          <w:szCs w:val="20"/>
          <w:lang w:val="en-US"/>
        </w:rPr>
        <w:t>the on-site procedure</w:t>
      </w:r>
      <w:r w:rsidR="00924F00" w:rsidRPr="00FE7BA7">
        <w:rPr>
          <w:rFonts w:ascii="Verdana" w:hAnsi="Verdana"/>
          <w:sz w:val="20"/>
          <w:szCs w:val="20"/>
          <w:lang w:val="en-US"/>
        </w:rPr>
        <w:t xml:space="preserve"> </w:t>
      </w:r>
      <w:r w:rsidRPr="00FE7BA7">
        <w:rPr>
          <w:rFonts w:ascii="Verdana" w:hAnsi="Verdana"/>
          <w:sz w:val="20"/>
          <w:szCs w:val="20"/>
          <w:lang w:val="en-US"/>
        </w:rPr>
        <w:t xml:space="preserve">held in this case, which correspond to air fares, accommodation, food and internal transportation, the Court notes that the vouchers provided prove the expenses incurred by </w:t>
      </w:r>
      <w:r w:rsidR="00810FAD" w:rsidRPr="00FE7BA7">
        <w:rPr>
          <w:rFonts w:ascii="Verdana" w:hAnsi="Verdana"/>
          <w:sz w:val="20"/>
          <w:szCs w:val="20"/>
          <w:lang w:val="en-US"/>
        </w:rPr>
        <w:t>the representatives</w:t>
      </w:r>
      <w:r w:rsidR="00924F00" w:rsidRPr="00FE7BA7">
        <w:rPr>
          <w:rFonts w:ascii="Verdana" w:hAnsi="Verdana"/>
          <w:sz w:val="20"/>
          <w:szCs w:val="20"/>
          <w:lang w:val="en-US"/>
        </w:rPr>
        <w:t xml:space="preserve"> </w:t>
      </w:r>
      <w:r w:rsidRPr="00FE7BA7">
        <w:rPr>
          <w:rFonts w:ascii="Verdana" w:hAnsi="Verdana"/>
          <w:sz w:val="20"/>
          <w:szCs w:val="20"/>
          <w:lang w:val="en-US"/>
        </w:rPr>
        <w:t>owing to those activities.</w:t>
      </w:r>
      <w:r w:rsidR="00924F00" w:rsidRPr="00FE7BA7">
        <w:rPr>
          <w:rStyle w:val="FootnoteReference"/>
          <w:szCs w:val="20"/>
          <w:lang w:val="en-US"/>
        </w:rPr>
        <w:footnoteReference w:id="350"/>
      </w:r>
      <w:r w:rsidR="00924F00" w:rsidRPr="00FE7BA7">
        <w:rPr>
          <w:rFonts w:ascii="Verdana" w:hAnsi="Verdana"/>
          <w:sz w:val="20"/>
          <w:szCs w:val="20"/>
          <w:lang w:val="en-US"/>
        </w:rPr>
        <w:t xml:space="preserve"> </w:t>
      </w:r>
    </w:p>
    <w:p w14:paraId="63126B5E" w14:textId="77777777" w:rsidR="00924F00" w:rsidRPr="00FE7BA7" w:rsidRDefault="00924F00" w:rsidP="00A91B78">
      <w:pPr>
        <w:jc w:val="both"/>
        <w:rPr>
          <w:rFonts w:ascii="Verdana" w:hAnsi="Verdana"/>
          <w:sz w:val="20"/>
          <w:szCs w:val="20"/>
          <w:lang w:val="en-US"/>
        </w:rPr>
      </w:pPr>
    </w:p>
    <w:p w14:paraId="63126B5F" w14:textId="21B6EDFF" w:rsidR="00A91B78" w:rsidRPr="00FE7BA7" w:rsidRDefault="00EE0714"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Consequently, as </w:t>
      </w:r>
      <w:r w:rsidR="00FE7BA7" w:rsidRPr="00FE7BA7">
        <w:rPr>
          <w:rFonts w:ascii="Verdana" w:hAnsi="Verdana"/>
          <w:sz w:val="20"/>
          <w:szCs w:val="20"/>
          <w:lang w:val="en-US"/>
        </w:rPr>
        <w:t>reimbursement</w:t>
      </w:r>
      <w:r w:rsidRPr="00FE7BA7">
        <w:rPr>
          <w:rFonts w:ascii="Verdana" w:hAnsi="Verdana"/>
          <w:sz w:val="20"/>
          <w:szCs w:val="20"/>
          <w:lang w:val="en-US"/>
        </w:rPr>
        <w:t xml:space="preserve"> of </w:t>
      </w:r>
      <w:r w:rsidR="00C34C52" w:rsidRPr="00FE7BA7">
        <w:rPr>
          <w:rFonts w:ascii="Verdana" w:hAnsi="Verdana"/>
          <w:sz w:val="20"/>
          <w:szCs w:val="20"/>
          <w:lang w:val="en-US"/>
        </w:rPr>
        <w:t>costs and expenses</w:t>
      </w:r>
      <w:r w:rsidR="00924F00" w:rsidRPr="00FE7BA7">
        <w:rPr>
          <w:rFonts w:ascii="Verdana" w:hAnsi="Verdana"/>
          <w:sz w:val="20"/>
          <w:szCs w:val="20"/>
          <w:lang w:val="en-US"/>
        </w:rPr>
        <w:t xml:space="preserve"> </w:t>
      </w:r>
      <w:r w:rsidRPr="00FE7BA7">
        <w:rPr>
          <w:rFonts w:ascii="Verdana" w:hAnsi="Verdana"/>
          <w:sz w:val="20"/>
          <w:szCs w:val="20"/>
          <w:lang w:val="en-US"/>
        </w:rPr>
        <w:t xml:space="preserve">for the work carried out in the litigation of the case in the </w:t>
      </w:r>
      <w:r w:rsidR="00BB3478">
        <w:rPr>
          <w:rFonts w:ascii="Verdana" w:hAnsi="Verdana"/>
          <w:sz w:val="20"/>
          <w:szCs w:val="20"/>
          <w:lang w:val="en-US"/>
        </w:rPr>
        <w:t>domestic</w:t>
      </w:r>
      <w:r w:rsidRPr="00FE7BA7">
        <w:rPr>
          <w:rFonts w:ascii="Verdana" w:hAnsi="Verdana"/>
          <w:sz w:val="20"/>
          <w:szCs w:val="20"/>
          <w:lang w:val="en-US"/>
        </w:rPr>
        <w:t xml:space="preserve"> and international sphere</w:t>
      </w:r>
      <w:r w:rsidR="00BB3478">
        <w:rPr>
          <w:rFonts w:ascii="Verdana" w:hAnsi="Verdana"/>
          <w:sz w:val="20"/>
          <w:szCs w:val="20"/>
          <w:lang w:val="en-US"/>
        </w:rPr>
        <w:t>s</w:t>
      </w:r>
      <w:r w:rsidRPr="00FE7BA7">
        <w:rPr>
          <w:rFonts w:ascii="Verdana" w:hAnsi="Verdana"/>
          <w:sz w:val="20"/>
          <w:szCs w:val="20"/>
          <w:lang w:val="en-US"/>
        </w:rPr>
        <w:t xml:space="preserve">, the Court finds it in order to grant the reasonable sum of </w:t>
      </w:r>
      <w:r w:rsidR="00924F00" w:rsidRPr="00FE7BA7">
        <w:rPr>
          <w:rFonts w:ascii="Verdana" w:hAnsi="Verdana"/>
          <w:sz w:val="20"/>
          <w:szCs w:val="20"/>
          <w:lang w:val="en-US"/>
        </w:rPr>
        <w:t>US$</w:t>
      </w:r>
      <w:r w:rsidR="00924F00" w:rsidRPr="00FE7BA7">
        <w:rPr>
          <w:rFonts w:ascii="Verdana" w:hAnsi="Verdana"/>
          <w:sz w:val="20"/>
          <w:lang w:val="en-US"/>
        </w:rPr>
        <w:t>1</w:t>
      </w:r>
      <w:r w:rsidR="0062526A" w:rsidRPr="00FE7BA7">
        <w:rPr>
          <w:rFonts w:ascii="Verdana" w:hAnsi="Verdana"/>
          <w:sz w:val="20"/>
          <w:lang w:val="en-US"/>
        </w:rPr>
        <w:t>5</w:t>
      </w:r>
      <w:r w:rsidRPr="00FE7BA7">
        <w:rPr>
          <w:rFonts w:ascii="Verdana" w:hAnsi="Verdana"/>
          <w:sz w:val="20"/>
          <w:lang w:val="en-US"/>
        </w:rPr>
        <w:t>,</w:t>
      </w:r>
      <w:r w:rsidR="00924F00" w:rsidRPr="00FE7BA7">
        <w:rPr>
          <w:rFonts w:ascii="Verdana" w:hAnsi="Verdana"/>
          <w:sz w:val="20"/>
          <w:lang w:val="en-US"/>
        </w:rPr>
        <w:t>000</w:t>
      </w:r>
      <w:r w:rsidRPr="00FE7BA7">
        <w:rPr>
          <w:rFonts w:ascii="Verdana" w:hAnsi="Verdana"/>
          <w:sz w:val="20"/>
          <w:lang w:val="en-US"/>
        </w:rPr>
        <w:t>.00</w:t>
      </w:r>
      <w:r w:rsidR="00924F00" w:rsidRPr="00FE7BA7">
        <w:rPr>
          <w:rFonts w:ascii="Verdana" w:hAnsi="Verdana"/>
          <w:sz w:val="20"/>
          <w:szCs w:val="20"/>
          <w:lang w:val="en-US"/>
        </w:rPr>
        <w:t xml:space="preserve"> (</w:t>
      </w:r>
      <w:r w:rsidR="00FE7BA7" w:rsidRPr="00FE7BA7">
        <w:rPr>
          <w:rFonts w:ascii="Verdana" w:hAnsi="Verdana"/>
          <w:sz w:val="20"/>
          <w:szCs w:val="20"/>
          <w:lang w:val="en-US"/>
        </w:rPr>
        <w:t>fifteen</w:t>
      </w:r>
      <w:r w:rsidR="0062526A" w:rsidRPr="00FE7BA7">
        <w:rPr>
          <w:rFonts w:ascii="Verdana" w:hAnsi="Verdana"/>
          <w:sz w:val="20"/>
          <w:szCs w:val="20"/>
          <w:lang w:val="en-US"/>
        </w:rPr>
        <w:t xml:space="preserve"> </w:t>
      </w:r>
      <w:r w:rsidR="00C34C52" w:rsidRPr="00FE7BA7">
        <w:rPr>
          <w:rFonts w:ascii="Verdana" w:hAnsi="Verdana"/>
          <w:sz w:val="20"/>
          <w:szCs w:val="20"/>
          <w:lang w:val="en-US"/>
        </w:rPr>
        <w:t>thousand United States dollars</w:t>
      </w:r>
      <w:r w:rsidRPr="00FE7BA7">
        <w:rPr>
          <w:rFonts w:ascii="Verdana" w:hAnsi="Verdana"/>
          <w:sz w:val="20"/>
          <w:szCs w:val="20"/>
          <w:lang w:val="en-US"/>
        </w:rPr>
        <w:t xml:space="preserve">) to </w:t>
      </w:r>
      <w:r w:rsidR="00924F00" w:rsidRPr="00FE7BA7">
        <w:rPr>
          <w:rFonts w:ascii="Verdana" w:hAnsi="Verdana"/>
          <w:sz w:val="20"/>
          <w:szCs w:val="20"/>
          <w:lang w:val="en-US"/>
        </w:rPr>
        <w:t>VIDS</w:t>
      </w:r>
      <w:r w:rsidR="002B5CCD" w:rsidRPr="00FE7BA7">
        <w:rPr>
          <w:rFonts w:ascii="Verdana" w:hAnsi="Verdana"/>
          <w:sz w:val="20"/>
          <w:szCs w:val="20"/>
          <w:lang w:val="en-US"/>
        </w:rPr>
        <w:t xml:space="preserve"> and </w:t>
      </w:r>
      <w:r w:rsidR="00924F00" w:rsidRPr="00FE7BA7">
        <w:rPr>
          <w:rFonts w:ascii="Verdana" w:hAnsi="Verdana"/>
          <w:sz w:val="20"/>
          <w:szCs w:val="20"/>
          <w:lang w:val="en-US"/>
        </w:rPr>
        <w:t>KLIM,</w:t>
      </w:r>
      <w:r w:rsidR="0062526A" w:rsidRPr="00FE7BA7">
        <w:rPr>
          <w:rFonts w:ascii="Verdana" w:hAnsi="Verdana"/>
          <w:sz w:val="20"/>
          <w:szCs w:val="20"/>
          <w:lang w:val="en-US"/>
        </w:rPr>
        <w:t xml:space="preserve"> </w:t>
      </w:r>
      <w:r w:rsidRPr="00FE7BA7">
        <w:rPr>
          <w:rFonts w:ascii="Verdana" w:hAnsi="Verdana"/>
          <w:sz w:val="20"/>
          <w:szCs w:val="20"/>
          <w:lang w:val="en-US"/>
        </w:rPr>
        <w:t>in conjunction</w:t>
      </w:r>
      <w:r w:rsidR="0062526A" w:rsidRPr="00FE7BA7">
        <w:rPr>
          <w:rFonts w:ascii="Verdana" w:hAnsi="Verdana"/>
          <w:sz w:val="20"/>
          <w:szCs w:val="20"/>
          <w:lang w:val="en-US"/>
        </w:rPr>
        <w:t>,</w:t>
      </w:r>
      <w:r w:rsidR="002B5CCD" w:rsidRPr="00FE7BA7">
        <w:rPr>
          <w:rFonts w:ascii="Verdana" w:hAnsi="Verdana"/>
          <w:sz w:val="20"/>
          <w:szCs w:val="20"/>
          <w:lang w:val="en-US"/>
        </w:rPr>
        <w:t xml:space="preserve"> and </w:t>
      </w:r>
      <w:r w:rsidRPr="00FE7BA7">
        <w:rPr>
          <w:rFonts w:ascii="Verdana" w:hAnsi="Verdana"/>
          <w:sz w:val="20"/>
          <w:szCs w:val="20"/>
          <w:lang w:val="en-US"/>
        </w:rPr>
        <w:t>the sum of</w:t>
      </w:r>
      <w:r w:rsidR="00924F00" w:rsidRPr="00FE7BA7">
        <w:rPr>
          <w:rFonts w:ascii="Verdana" w:hAnsi="Verdana"/>
          <w:sz w:val="20"/>
          <w:szCs w:val="20"/>
          <w:lang w:val="en-US"/>
        </w:rPr>
        <w:t xml:space="preserve"> US$1</w:t>
      </w:r>
      <w:r w:rsidR="0062526A" w:rsidRPr="00FE7BA7">
        <w:rPr>
          <w:rFonts w:ascii="Verdana" w:hAnsi="Verdana"/>
          <w:sz w:val="20"/>
          <w:szCs w:val="20"/>
          <w:lang w:val="en-US"/>
        </w:rPr>
        <w:t>0</w:t>
      </w:r>
      <w:r w:rsidRPr="00FE7BA7">
        <w:rPr>
          <w:rFonts w:ascii="Verdana" w:hAnsi="Verdana"/>
          <w:sz w:val="20"/>
          <w:szCs w:val="20"/>
          <w:lang w:val="en-US"/>
        </w:rPr>
        <w:t>,</w:t>
      </w:r>
      <w:r w:rsidR="00924F00" w:rsidRPr="00FE7BA7">
        <w:rPr>
          <w:rFonts w:ascii="Verdana" w:hAnsi="Verdana"/>
          <w:sz w:val="20"/>
          <w:szCs w:val="20"/>
          <w:lang w:val="en-US"/>
        </w:rPr>
        <w:t>000</w:t>
      </w:r>
      <w:r w:rsidRPr="00FE7BA7">
        <w:rPr>
          <w:rFonts w:ascii="Verdana" w:hAnsi="Verdana"/>
          <w:sz w:val="20"/>
          <w:szCs w:val="20"/>
          <w:lang w:val="en-US"/>
        </w:rPr>
        <w:t>.00</w:t>
      </w:r>
      <w:r w:rsidR="00924F00" w:rsidRPr="00FE7BA7">
        <w:rPr>
          <w:rFonts w:ascii="Verdana" w:hAnsi="Verdana"/>
          <w:sz w:val="20"/>
          <w:szCs w:val="20"/>
          <w:lang w:val="en-US"/>
        </w:rPr>
        <w:t xml:space="preserve"> (</w:t>
      </w:r>
      <w:r w:rsidRPr="00FE7BA7">
        <w:rPr>
          <w:rFonts w:ascii="Verdana" w:hAnsi="Verdana"/>
          <w:sz w:val="20"/>
          <w:szCs w:val="20"/>
          <w:lang w:val="en-US"/>
        </w:rPr>
        <w:t>ten</w:t>
      </w:r>
      <w:r w:rsidR="0062526A" w:rsidRPr="00FE7BA7">
        <w:rPr>
          <w:rFonts w:ascii="Verdana" w:hAnsi="Verdana"/>
          <w:sz w:val="20"/>
          <w:szCs w:val="20"/>
          <w:lang w:val="en-US"/>
        </w:rPr>
        <w:t xml:space="preserve"> </w:t>
      </w:r>
      <w:r w:rsidR="00C34C52" w:rsidRPr="00FE7BA7">
        <w:rPr>
          <w:rFonts w:ascii="Verdana" w:hAnsi="Verdana"/>
          <w:sz w:val="20"/>
          <w:szCs w:val="20"/>
          <w:lang w:val="en-US"/>
        </w:rPr>
        <w:t>thousand United States dollars</w:t>
      </w:r>
      <w:r w:rsidRPr="00FE7BA7">
        <w:rPr>
          <w:rFonts w:ascii="Verdana" w:hAnsi="Verdana"/>
          <w:sz w:val="20"/>
          <w:szCs w:val="20"/>
          <w:lang w:val="en-US"/>
        </w:rPr>
        <w:t>) to</w:t>
      </w:r>
      <w:r w:rsidR="00924F00" w:rsidRPr="00FE7BA7">
        <w:rPr>
          <w:rFonts w:ascii="Verdana" w:hAnsi="Verdana"/>
          <w:sz w:val="20"/>
          <w:szCs w:val="20"/>
          <w:lang w:val="en-US"/>
        </w:rPr>
        <w:t xml:space="preserve"> </w:t>
      </w:r>
      <w:r w:rsidR="00924F00" w:rsidRPr="00FE7BA7">
        <w:rPr>
          <w:rFonts w:ascii="Verdana" w:hAnsi="Verdana"/>
          <w:iCs/>
          <w:sz w:val="20"/>
          <w:szCs w:val="20"/>
          <w:lang w:val="en-US"/>
        </w:rPr>
        <w:t>Forest Peoples Programme</w:t>
      </w:r>
      <w:r w:rsidR="00924F00" w:rsidRPr="00FE7BA7">
        <w:rPr>
          <w:rFonts w:ascii="Verdana" w:hAnsi="Verdana"/>
          <w:i/>
          <w:iCs/>
          <w:sz w:val="20"/>
          <w:szCs w:val="20"/>
          <w:lang w:val="en-US"/>
        </w:rPr>
        <w:t xml:space="preserve">. </w:t>
      </w:r>
      <w:r w:rsidRPr="00FE7BA7">
        <w:rPr>
          <w:rFonts w:ascii="Verdana" w:hAnsi="Verdana"/>
          <w:iCs/>
          <w:sz w:val="20"/>
          <w:szCs w:val="20"/>
          <w:lang w:val="en-US"/>
        </w:rPr>
        <w:t xml:space="preserve">In addition, </w:t>
      </w:r>
      <w:r w:rsidR="002B5CCD" w:rsidRPr="00FE7BA7">
        <w:rPr>
          <w:rFonts w:ascii="Verdana" w:hAnsi="Verdana"/>
          <w:iCs/>
          <w:sz w:val="20"/>
          <w:szCs w:val="20"/>
          <w:lang w:val="en-US"/>
        </w:rPr>
        <w:t>the Court</w:t>
      </w:r>
      <w:r w:rsidR="00924F00" w:rsidRPr="00FE7BA7">
        <w:rPr>
          <w:rFonts w:ascii="Verdana" w:hAnsi="Verdana"/>
          <w:iCs/>
          <w:sz w:val="20"/>
          <w:szCs w:val="20"/>
          <w:lang w:val="en-US"/>
        </w:rPr>
        <w:t xml:space="preserve"> orde</w:t>
      </w:r>
      <w:r w:rsidRPr="00FE7BA7">
        <w:rPr>
          <w:rFonts w:ascii="Verdana" w:hAnsi="Verdana"/>
          <w:iCs/>
          <w:sz w:val="20"/>
          <w:szCs w:val="20"/>
          <w:lang w:val="en-US"/>
        </w:rPr>
        <w:t xml:space="preserve">rs the State to pay </w:t>
      </w:r>
      <w:r w:rsidR="00810FAD" w:rsidRPr="00FE7BA7">
        <w:rPr>
          <w:rFonts w:ascii="Verdana" w:hAnsi="Verdana"/>
          <w:iCs/>
          <w:sz w:val="20"/>
          <w:szCs w:val="20"/>
          <w:lang w:val="en-US"/>
        </w:rPr>
        <w:t>the representatives</w:t>
      </w:r>
      <w:r w:rsidR="00924F00" w:rsidRPr="00FE7BA7">
        <w:rPr>
          <w:rFonts w:ascii="Verdana" w:hAnsi="Verdana"/>
          <w:iCs/>
          <w:sz w:val="20"/>
          <w:szCs w:val="20"/>
          <w:lang w:val="en-US"/>
        </w:rPr>
        <w:t xml:space="preserve"> </w:t>
      </w:r>
      <w:r w:rsidRPr="00FE7BA7">
        <w:rPr>
          <w:rFonts w:ascii="Verdana" w:hAnsi="Verdana"/>
          <w:iCs/>
          <w:sz w:val="20"/>
          <w:szCs w:val="20"/>
          <w:lang w:val="en-US"/>
        </w:rPr>
        <w:t>the sum of US$</w:t>
      </w:r>
      <w:r w:rsidR="00924F00" w:rsidRPr="00FE7BA7">
        <w:rPr>
          <w:rFonts w:ascii="Verdana" w:hAnsi="Verdana"/>
          <w:iCs/>
          <w:sz w:val="20"/>
          <w:szCs w:val="20"/>
          <w:lang w:val="en-US"/>
        </w:rPr>
        <w:t>18,141.65 (</w:t>
      </w:r>
      <w:r w:rsidRPr="00FE7BA7">
        <w:rPr>
          <w:rFonts w:ascii="Verdana" w:hAnsi="Verdana"/>
          <w:iCs/>
          <w:sz w:val="20"/>
          <w:szCs w:val="20"/>
          <w:lang w:val="en-US"/>
        </w:rPr>
        <w:t xml:space="preserve">eighteen thousand one hundred and forty-one </w:t>
      </w:r>
      <w:r w:rsidR="00FE7BA7">
        <w:rPr>
          <w:rFonts w:ascii="Verdana" w:hAnsi="Verdana"/>
          <w:iCs/>
          <w:sz w:val="20"/>
          <w:szCs w:val="20"/>
          <w:lang w:val="en-US"/>
        </w:rPr>
        <w:t>United State dollars and sixty-f</w:t>
      </w:r>
      <w:r w:rsidRPr="00FE7BA7">
        <w:rPr>
          <w:rFonts w:ascii="Verdana" w:hAnsi="Verdana"/>
          <w:iCs/>
          <w:sz w:val="20"/>
          <w:szCs w:val="20"/>
          <w:lang w:val="en-US"/>
        </w:rPr>
        <w:t xml:space="preserve">ive cents) for the expenses incurred by </w:t>
      </w:r>
      <w:r w:rsidR="00810FAD" w:rsidRPr="00FE7BA7">
        <w:rPr>
          <w:rFonts w:ascii="Verdana" w:hAnsi="Verdana"/>
          <w:iCs/>
          <w:sz w:val="20"/>
          <w:szCs w:val="20"/>
          <w:lang w:val="en-US"/>
        </w:rPr>
        <w:t>the representatives</w:t>
      </w:r>
      <w:r w:rsidR="00FD14B3" w:rsidRPr="00FE7BA7">
        <w:rPr>
          <w:rFonts w:ascii="Verdana" w:hAnsi="Verdana"/>
          <w:iCs/>
          <w:sz w:val="20"/>
          <w:szCs w:val="20"/>
          <w:lang w:val="en-US"/>
        </w:rPr>
        <w:t xml:space="preserve"> during </w:t>
      </w:r>
      <w:r w:rsidR="00810FAD" w:rsidRPr="00FE7BA7">
        <w:rPr>
          <w:rFonts w:ascii="Verdana" w:hAnsi="Verdana"/>
          <w:iCs/>
          <w:sz w:val="20"/>
          <w:szCs w:val="20"/>
          <w:lang w:val="en-US"/>
        </w:rPr>
        <w:t>the public hearing</w:t>
      </w:r>
      <w:r w:rsidR="002B5CCD" w:rsidRPr="00FE7BA7">
        <w:rPr>
          <w:rFonts w:ascii="Verdana" w:hAnsi="Verdana"/>
          <w:iCs/>
          <w:sz w:val="20"/>
          <w:szCs w:val="20"/>
          <w:lang w:val="en-US"/>
        </w:rPr>
        <w:t xml:space="preserve"> and </w:t>
      </w:r>
      <w:r w:rsidR="003F59F5" w:rsidRPr="00FE7BA7">
        <w:rPr>
          <w:rFonts w:ascii="Verdana" w:hAnsi="Verdana"/>
          <w:iCs/>
          <w:sz w:val="20"/>
          <w:szCs w:val="20"/>
          <w:lang w:val="en-US"/>
        </w:rPr>
        <w:t>the on-site procedure</w:t>
      </w:r>
      <w:r w:rsidR="00924F00" w:rsidRPr="00FE7BA7">
        <w:rPr>
          <w:rFonts w:ascii="Verdana" w:hAnsi="Verdana"/>
          <w:i/>
          <w:iCs/>
          <w:sz w:val="20"/>
          <w:szCs w:val="20"/>
          <w:lang w:val="en-US"/>
        </w:rPr>
        <w:t xml:space="preserve"> </w:t>
      </w:r>
      <w:r w:rsidRPr="00FE7BA7">
        <w:rPr>
          <w:rFonts w:ascii="Verdana" w:hAnsi="Verdana"/>
          <w:iCs/>
          <w:sz w:val="20"/>
          <w:szCs w:val="20"/>
          <w:lang w:val="en-US"/>
        </w:rPr>
        <w:t xml:space="preserve">held in this case. The amounts indicated must be paid by the State to </w:t>
      </w:r>
      <w:r w:rsidR="00810FAD" w:rsidRPr="00FE7BA7">
        <w:rPr>
          <w:rFonts w:ascii="Verdana" w:hAnsi="Verdana"/>
          <w:sz w:val="20"/>
          <w:szCs w:val="20"/>
          <w:lang w:val="en-US"/>
        </w:rPr>
        <w:t>the representatives</w:t>
      </w:r>
      <w:r w:rsidR="00924F00" w:rsidRPr="00FE7BA7">
        <w:rPr>
          <w:rFonts w:ascii="Verdana" w:hAnsi="Verdana"/>
          <w:sz w:val="20"/>
          <w:szCs w:val="20"/>
          <w:lang w:val="en-US"/>
        </w:rPr>
        <w:t xml:space="preserve"> </w:t>
      </w:r>
      <w:r w:rsidRPr="00FE7BA7">
        <w:rPr>
          <w:rFonts w:ascii="Verdana" w:hAnsi="Verdana"/>
          <w:sz w:val="20"/>
          <w:szCs w:val="20"/>
          <w:lang w:val="en-US"/>
        </w:rPr>
        <w:t xml:space="preserve">within six months of </w:t>
      </w:r>
      <w:r w:rsidR="00CD3DC6" w:rsidRPr="00FE7BA7">
        <w:rPr>
          <w:rFonts w:ascii="Verdana" w:hAnsi="Verdana"/>
          <w:sz w:val="20"/>
          <w:szCs w:val="20"/>
          <w:lang w:val="en-US"/>
        </w:rPr>
        <w:t>notification</w:t>
      </w:r>
      <w:r w:rsidR="00924F00" w:rsidRPr="00FE7BA7">
        <w:rPr>
          <w:rFonts w:ascii="Verdana" w:hAnsi="Verdana"/>
          <w:sz w:val="20"/>
          <w:szCs w:val="20"/>
          <w:lang w:val="en-US"/>
        </w:rPr>
        <w:t xml:space="preserve"> </w:t>
      </w:r>
      <w:r w:rsidRPr="00FE7BA7">
        <w:rPr>
          <w:rFonts w:ascii="Verdana" w:hAnsi="Verdana"/>
          <w:sz w:val="20"/>
          <w:szCs w:val="20"/>
          <w:lang w:val="en-US"/>
        </w:rPr>
        <w:t xml:space="preserve">of this Judgment. Lastly, the Court considers </w:t>
      </w:r>
      <w:r w:rsidRPr="00FE7BA7">
        <w:rPr>
          <w:rFonts w:ascii="Verdana" w:hAnsi="Verdana"/>
          <w:sz w:val="20"/>
          <w:szCs w:val="20"/>
          <w:lang w:val="en-US"/>
        </w:rPr>
        <w:lastRenderedPageBreak/>
        <w:t>that during the proceeding on monitoring compliance with</w:t>
      </w:r>
      <w:r w:rsidR="000739A7" w:rsidRPr="00FE7BA7">
        <w:rPr>
          <w:rFonts w:ascii="Verdana" w:hAnsi="Verdana"/>
          <w:sz w:val="20"/>
          <w:szCs w:val="20"/>
          <w:lang w:val="en-US"/>
        </w:rPr>
        <w:t xml:space="preserve"> this Judgment</w:t>
      </w:r>
      <w:r w:rsidR="00A91B78" w:rsidRPr="00FE7BA7">
        <w:rPr>
          <w:rFonts w:ascii="Verdana" w:hAnsi="Verdana"/>
          <w:sz w:val="20"/>
          <w:szCs w:val="20"/>
          <w:lang w:val="en-US"/>
        </w:rPr>
        <w:t xml:space="preserve">, </w:t>
      </w:r>
      <w:r w:rsidRPr="00FE7BA7">
        <w:rPr>
          <w:rFonts w:ascii="Verdana" w:hAnsi="Verdana"/>
          <w:sz w:val="20"/>
          <w:szCs w:val="20"/>
          <w:lang w:val="en-US"/>
        </w:rPr>
        <w:t xml:space="preserve">it may establish that the State should reimburse the victims of their representatives any reasonable expenses incurred during that procedural stage. </w:t>
      </w:r>
    </w:p>
    <w:p w14:paraId="63126B60" w14:textId="77777777" w:rsidR="00A91B78" w:rsidRPr="00FE7BA7" w:rsidRDefault="00A91B78" w:rsidP="00A91B78">
      <w:pPr>
        <w:jc w:val="both"/>
        <w:rPr>
          <w:rFonts w:ascii="Verdana" w:hAnsi="Verdana"/>
          <w:sz w:val="20"/>
          <w:szCs w:val="20"/>
          <w:lang w:val="en-US"/>
        </w:rPr>
      </w:pPr>
    </w:p>
    <w:p w14:paraId="63126B61" w14:textId="77777777" w:rsidR="00A91B78" w:rsidRPr="00FE7BA7" w:rsidRDefault="000739A7" w:rsidP="00A91B78">
      <w:pPr>
        <w:pStyle w:val="Heading2"/>
        <w:numPr>
          <w:ilvl w:val="0"/>
          <w:numId w:val="42"/>
        </w:numPr>
        <w:spacing w:before="0"/>
        <w:jc w:val="both"/>
        <w:rPr>
          <w:rFonts w:ascii="Verdana" w:hAnsi="Verdana"/>
          <w:bCs w:val="0"/>
          <w:i/>
          <w:color w:val="auto"/>
          <w:sz w:val="20"/>
          <w:szCs w:val="20"/>
          <w:lang w:val="en-US"/>
        </w:rPr>
      </w:pPr>
      <w:bookmarkStart w:id="96" w:name="_Toc441673238"/>
      <w:r w:rsidRPr="00FE7BA7">
        <w:rPr>
          <w:rFonts w:ascii="Verdana" w:hAnsi="Verdana"/>
          <w:bCs w:val="0"/>
          <w:i/>
          <w:color w:val="auto"/>
          <w:sz w:val="20"/>
          <w:szCs w:val="20"/>
          <w:lang w:val="en-US"/>
        </w:rPr>
        <w:t>Method of complying with the payments ordered</w:t>
      </w:r>
      <w:bookmarkEnd w:id="96"/>
    </w:p>
    <w:p w14:paraId="63126B62" w14:textId="77777777" w:rsidR="00A91B78" w:rsidRPr="00FE7BA7" w:rsidRDefault="00A91B78" w:rsidP="00A91B78">
      <w:pPr>
        <w:jc w:val="both"/>
        <w:rPr>
          <w:rFonts w:ascii="Verdana" w:hAnsi="Verdana"/>
          <w:sz w:val="20"/>
          <w:szCs w:val="20"/>
          <w:lang w:val="en-US"/>
        </w:rPr>
      </w:pPr>
    </w:p>
    <w:p w14:paraId="63126B63" w14:textId="19E9DF77" w:rsidR="00A91B78" w:rsidRPr="00FE7BA7" w:rsidRDefault="002B5CCD" w:rsidP="00967E6B">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 State</w:t>
      </w:r>
      <w:r w:rsidR="00A91B78" w:rsidRPr="00FE7BA7">
        <w:rPr>
          <w:rFonts w:ascii="Verdana" w:hAnsi="Verdana"/>
          <w:sz w:val="20"/>
          <w:szCs w:val="20"/>
          <w:lang w:val="en-US"/>
        </w:rPr>
        <w:t xml:space="preserve"> </w:t>
      </w:r>
      <w:r w:rsidR="00967E6B" w:rsidRPr="00FE7BA7">
        <w:rPr>
          <w:rFonts w:ascii="Verdana" w:hAnsi="Verdana"/>
          <w:sz w:val="20"/>
          <w:szCs w:val="20"/>
          <w:lang w:val="en-US"/>
        </w:rPr>
        <w:t xml:space="preserve">shall </w:t>
      </w:r>
      <w:r w:rsidR="00FE7BA7" w:rsidRPr="00FE7BA7">
        <w:rPr>
          <w:rFonts w:ascii="Verdana" w:hAnsi="Verdana"/>
          <w:sz w:val="20"/>
          <w:szCs w:val="20"/>
          <w:lang w:val="en-US"/>
        </w:rPr>
        <w:t>comply</w:t>
      </w:r>
      <w:r w:rsidR="00967E6B" w:rsidRPr="00FE7BA7">
        <w:rPr>
          <w:rFonts w:ascii="Verdana" w:hAnsi="Verdana"/>
          <w:sz w:val="20"/>
          <w:szCs w:val="20"/>
          <w:lang w:val="en-US"/>
        </w:rPr>
        <w:t xml:space="preserve"> with the monetary obligation by payment in </w:t>
      </w:r>
      <w:r w:rsidR="00D54E7C" w:rsidRPr="00FE7BA7">
        <w:rPr>
          <w:rFonts w:ascii="Verdana" w:hAnsi="Verdana"/>
          <w:sz w:val="20"/>
          <w:szCs w:val="20"/>
          <w:lang w:val="en-US"/>
        </w:rPr>
        <w:t xml:space="preserve">United States dollars </w:t>
      </w:r>
      <w:r w:rsidR="00967E6B" w:rsidRPr="00FE7BA7">
        <w:rPr>
          <w:rFonts w:ascii="Verdana" w:hAnsi="Verdana"/>
          <w:sz w:val="20"/>
          <w:szCs w:val="20"/>
          <w:lang w:val="en-US"/>
        </w:rPr>
        <w:t>or the equivalent in</w:t>
      </w:r>
      <w:r w:rsidR="00D54E7C" w:rsidRPr="00D54E7C">
        <w:rPr>
          <w:rFonts w:ascii="Verdana" w:hAnsi="Verdana"/>
          <w:sz w:val="20"/>
          <w:szCs w:val="20"/>
          <w:lang w:val="en-US"/>
        </w:rPr>
        <w:t xml:space="preserve"> </w:t>
      </w:r>
      <w:r w:rsidR="00D54E7C" w:rsidRPr="00FE7BA7">
        <w:rPr>
          <w:rFonts w:ascii="Verdana" w:hAnsi="Verdana"/>
          <w:sz w:val="20"/>
          <w:szCs w:val="20"/>
          <w:lang w:val="en-US"/>
        </w:rPr>
        <w:t>Surinamese dollars</w:t>
      </w:r>
      <w:r w:rsidR="00A91B78" w:rsidRPr="00FE7BA7">
        <w:rPr>
          <w:rFonts w:ascii="Verdana" w:hAnsi="Verdana"/>
          <w:sz w:val="20"/>
          <w:szCs w:val="20"/>
          <w:lang w:val="en-US"/>
        </w:rPr>
        <w:t>, u</w:t>
      </w:r>
      <w:r w:rsidR="00967E6B" w:rsidRPr="00FE7BA7">
        <w:rPr>
          <w:rFonts w:ascii="Verdana" w:hAnsi="Verdana"/>
          <w:sz w:val="20"/>
          <w:szCs w:val="20"/>
          <w:lang w:val="en-US"/>
        </w:rPr>
        <w:t>sing the exchange rate in force on the New York Stock Exchange (United States of America) the day before the payment to make the calculation. If, for reasons that can be attributed to the beneficiaries of</w:t>
      </w:r>
      <w:r w:rsidR="00EE0714" w:rsidRPr="00FE7BA7">
        <w:rPr>
          <w:rFonts w:ascii="Verdana" w:hAnsi="Verdana"/>
          <w:sz w:val="20"/>
          <w:szCs w:val="20"/>
          <w:lang w:val="en-US"/>
        </w:rPr>
        <w:t xml:space="preserve"> reimbursements</w:t>
      </w:r>
      <w:r w:rsidR="00967E6B" w:rsidRPr="00FE7BA7">
        <w:rPr>
          <w:rFonts w:ascii="Verdana" w:hAnsi="Verdana"/>
          <w:sz w:val="20"/>
          <w:szCs w:val="20"/>
          <w:lang w:val="en-US"/>
        </w:rPr>
        <w:t xml:space="preserve"> </w:t>
      </w:r>
      <w:r w:rsidR="00A91B78" w:rsidRPr="00FE7BA7">
        <w:rPr>
          <w:rFonts w:ascii="Verdana" w:hAnsi="Verdana"/>
          <w:sz w:val="20"/>
          <w:szCs w:val="20"/>
          <w:lang w:val="en-US"/>
        </w:rPr>
        <w:t>o</w:t>
      </w:r>
      <w:r w:rsidR="00967E6B" w:rsidRPr="00FE7BA7">
        <w:rPr>
          <w:rFonts w:ascii="Verdana" w:hAnsi="Verdana"/>
          <w:sz w:val="20"/>
          <w:szCs w:val="20"/>
          <w:lang w:val="en-US"/>
        </w:rPr>
        <w:t xml:space="preserve">r their heirs, it is not possible to pay the amounts established within the indicated time frame, the State shall deposit those amounts in their favor in a deposit account or certificate in a solvent Surinamese financial institution, </w:t>
      </w:r>
      <w:r w:rsidR="00BB3478">
        <w:rPr>
          <w:rFonts w:ascii="Verdana" w:hAnsi="Verdana"/>
          <w:sz w:val="20"/>
          <w:szCs w:val="20"/>
          <w:lang w:val="en-US"/>
        </w:rPr>
        <w:t>in United States dollars, and under</w:t>
      </w:r>
      <w:r w:rsidR="00BB5853" w:rsidRPr="00FE7BA7">
        <w:rPr>
          <w:rFonts w:ascii="Verdana" w:hAnsi="Verdana"/>
          <w:sz w:val="20"/>
          <w:szCs w:val="20"/>
          <w:lang w:val="en-US"/>
        </w:rPr>
        <w:t xml:space="preserve"> the most favorable financial conditions allowed by banking law and practice. If the corresponding amounts are not claimed, after 10 years, the amounts shall be returned to the State with the interest accrued</w:t>
      </w:r>
      <w:r w:rsidR="00A91B78" w:rsidRPr="00FE7BA7">
        <w:rPr>
          <w:rFonts w:ascii="Verdana" w:hAnsi="Verdana"/>
          <w:sz w:val="20"/>
          <w:szCs w:val="20"/>
          <w:lang w:val="en-US"/>
        </w:rPr>
        <w:t>.</w:t>
      </w:r>
    </w:p>
    <w:p w14:paraId="63126B64" w14:textId="77777777" w:rsidR="00A91B78" w:rsidRPr="00FE7BA7" w:rsidRDefault="00A91B78" w:rsidP="00A91B78">
      <w:pPr>
        <w:jc w:val="both"/>
        <w:rPr>
          <w:rFonts w:ascii="Verdana" w:hAnsi="Verdana"/>
          <w:sz w:val="20"/>
          <w:szCs w:val="20"/>
          <w:lang w:val="en-US"/>
        </w:rPr>
      </w:pPr>
    </w:p>
    <w:p w14:paraId="63126B65" w14:textId="77777777" w:rsidR="00A91B78" w:rsidRPr="00FE7BA7" w:rsidRDefault="00BB5853"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The amounts allocated in this Judgment to reimburse </w:t>
      </w:r>
      <w:r w:rsidR="00C34C52" w:rsidRPr="00FE7BA7">
        <w:rPr>
          <w:rFonts w:ascii="Verdana" w:hAnsi="Verdana"/>
          <w:sz w:val="20"/>
          <w:szCs w:val="20"/>
          <w:lang w:val="en-US"/>
        </w:rPr>
        <w:t>costs and expenses</w:t>
      </w:r>
      <w:r w:rsidR="00A91B78" w:rsidRPr="00FE7BA7">
        <w:rPr>
          <w:rFonts w:ascii="Verdana" w:hAnsi="Verdana"/>
          <w:sz w:val="20"/>
          <w:szCs w:val="20"/>
          <w:lang w:val="en-US"/>
        </w:rPr>
        <w:t xml:space="preserve"> </w:t>
      </w:r>
      <w:r w:rsidRPr="00FE7BA7">
        <w:rPr>
          <w:rFonts w:ascii="Verdana" w:hAnsi="Verdana"/>
          <w:sz w:val="20"/>
          <w:szCs w:val="20"/>
          <w:lang w:val="en-US"/>
        </w:rPr>
        <w:t xml:space="preserve">shall be delivered to </w:t>
      </w:r>
      <w:r w:rsidR="00810FAD" w:rsidRPr="00FE7BA7">
        <w:rPr>
          <w:rFonts w:ascii="Verdana" w:hAnsi="Verdana"/>
          <w:sz w:val="20"/>
          <w:szCs w:val="20"/>
          <w:lang w:val="en-US"/>
        </w:rPr>
        <w:t>the representatives</w:t>
      </w:r>
      <w:r w:rsidR="00A91B78" w:rsidRPr="00FE7BA7">
        <w:rPr>
          <w:rFonts w:ascii="Verdana" w:hAnsi="Verdana"/>
          <w:sz w:val="20"/>
          <w:szCs w:val="20"/>
          <w:lang w:val="en-US"/>
        </w:rPr>
        <w:t xml:space="preserve"> </w:t>
      </w:r>
      <w:r w:rsidRPr="00FE7BA7">
        <w:rPr>
          <w:rFonts w:ascii="Verdana" w:hAnsi="Verdana"/>
          <w:sz w:val="20"/>
          <w:szCs w:val="20"/>
          <w:lang w:val="en-US"/>
        </w:rPr>
        <w:t>in full, as established in this Judgment</w:t>
      </w:r>
      <w:r w:rsidR="00A91B78" w:rsidRPr="00FE7BA7">
        <w:rPr>
          <w:rFonts w:ascii="Verdana" w:hAnsi="Verdana"/>
          <w:sz w:val="20"/>
          <w:szCs w:val="20"/>
          <w:lang w:val="en-US"/>
        </w:rPr>
        <w:t xml:space="preserve">, </w:t>
      </w:r>
      <w:r w:rsidRPr="00FE7BA7">
        <w:rPr>
          <w:rFonts w:ascii="Verdana" w:hAnsi="Verdana"/>
          <w:sz w:val="20"/>
          <w:szCs w:val="20"/>
          <w:lang w:val="en-US"/>
        </w:rPr>
        <w:t>without any deductions arising from possible taxes or charges.</w:t>
      </w:r>
    </w:p>
    <w:p w14:paraId="63126B66" w14:textId="77777777" w:rsidR="00A91B78" w:rsidRPr="00FE7BA7" w:rsidRDefault="00A91B78" w:rsidP="00A91B78">
      <w:pPr>
        <w:jc w:val="both"/>
        <w:rPr>
          <w:rFonts w:ascii="Verdana" w:hAnsi="Verdana"/>
          <w:sz w:val="20"/>
          <w:szCs w:val="20"/>
          <w:lang w:val="en-US"/>
        </w:rPr>
      </w:pPr>
    </w:p>
    <w:p w14:paraId="63126B67" w14:textId="77777777" w:rsidR="00A91B78" w:rsidRPr="00FE7BA7" w:rsidRDefault="00BB5853"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If the State should fall in arrears with regard to the Community Development Fund, or the payment of the </w:t>
      </w:r>
      <w:r w:rsidR="00C34C52" w:rsidRPr="00FE7BA7">
        <w:rPr>
          <w:rFonts w:ascii="Verdana" w:hAnsi="Verdana"/>
          <w:sz w:val="20"/>
          <w:szCs w:val="20"/>
          <w:lang w:val="en-US"/>
        </w:rPr>
        <w:t>costs and expenses</w:t>
      </w:r>
      <w:r w:rsidR="00A91B78" w:rsidRPr="00FE7BA7">
        <w:rPr>
          <w:rFonts w:ascii="Verdana" w:hAnsi="Verdana"/>
          <w:sz w:val="20"/>
          <w:szCs w:val="20"/>
          <w:lang w:val="en-US"/>
        </w:rPr>
        <w:t xml:space="preserve">, </w:t>
      </w:r>
      <w:r w:rsidRPr="00FE7BA7">
        <w:rPr>
          <w:rFonts w:ascii="Verdana" w:hAnsi="Verdana"/>
          <w:sz w:val="20"/>
          <w:szCs w:val="20"/>
          <w:lang w:val="en-US"/>
        </w:rPr>
        <w:t xml:space="preserve">it shall pay interest on the amount owed corresponding to banking interest on arrears in </w:t>
      </w:r>
      <w:r w:rsidR="002B5CCD" w:rsidRPr="00FE7BA7">
        <w:rPr>
          <w:rFonts w:ascii="Verdana" w:hAnsi="Verdana"/>
          <w:sz w:val="20"/>
          <w:szCs w:val="20"/>
          <w:lang w:val="en-US"/>
        </w:rPr>
        <w:t>the Republic of</w:t>
      </w:r>
      <w:r w:rsidR="00A91B78" w:rsidRPr="00FE7BA7">
        <w:rPr>
          <w:rFonts w:ascii="Verdana" w:hAnsi="Verdana"/>
          <w:sz w:val="20"/>
          <w:szCs w:val="20"/>
          <w:lang w:val="en-US"/>
        </w:rPr>
        <w:t xml:space="preserve"> </w:t>
      </w:r>
      <w:r w:rsidR="00563E11" w:rsidRPr="00FE7BA7">
        <w:rPr>
          <w:rFonts w:ascii="Verdana" w:hAnsi="Verdana"/>
          <w:sz w:val="20"/>
          <w:szCs w:val="20"/>
          <w:lang w:val="en-US"/>
        </w:rPr>
        <w:t>Surinam</w:t>
      </w:r>
      <w:r w:rsidRPr="00FE7BA7">
        <w:rPr>
          <w:rFonts w:ascii="Verdana" w:hAnsi="Verdana"/>
          <w:sz w:val="20"/>
          <w:szCs w:val="20"/>
          <w:lang w:val="en-US"/>
        </w:rPr>
        <w:t>e</w:t>
      </w:r>
      <w:r w:rsidR="00A91B78" w:rsidRPr="00FE7BA7">
        <w:rPr>
          <w:rFonts w:ascii="Verdana" w:hAnsi="Verdana"/>
          <w:sz w:val="20"/>
          <w:szCs w:val="20"/>
          <w:lang w:val="en-US"/>
        </w:rPr>
        <w:t>.</w:t>
      </w:r>
    </w:p>
    <w:p w14:paraId="63126B68" w14:textId="77777777" w:rsidR="00A91B78" w:rsidRPr="00FE7BA7" w:rsidRDefault="00A91B78" w:rsidP="00A91B78">
      <w:pPr>
        <w:jc w:val="both"/>
        <w:rPr>
          <w:rFonts w:ascii="Verdana" w:hAnsi="Verdana"/>
          <w:sz w:val="20"/>
          <w:szCs w:val="20"/>
          <w:lang w:val="en-US"/>
        </w:rPr>
      </w:pPr>
    </w:p>
    <w:p w14:paraId="63126B69" w14:textId="77777777" w:rsidR="00A91B78" w:rsidRPr="00FE7BA7" w:rsidRDefault="00BB5853"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Pursuant to its consistent practice, the Court reserves the right, inherent in its a</w:t>
      </w:r>
      <w:r w:rsidR="0050357C">
        <w:rPr>
          <w:rFonts w:ascii="Verdana" w:hAnsi="Verdana"/>
          <w:sz w:val="20"/>
          <w:szCs w:val="20"/>
          <w:lang w:val="en-US"/>
        </w:rPr>
        <w:t xml:space="preserve">uthority </w:t>
      </w:r>
      <w:r w:rsidRPr="00FE7BA7">
        <w:rPr>
          <w:rFonts w:ascii="Verdana" w:hAnsi="Verdana"/>
          <w:sz w:val="20"/>
          <w:szCs w:val="20"/>
          <w:lang w:val="en-US"/>
        </w:rPr>
        <w:t xml:space="preserve">and also arising from </w:t>
      </w:r>
      <w:r w:rsidR="00773D70" w:rsidRPr="00FE7BA7">
        <w:rPr>
          <w:rFonts w:ascii="Verdana" w:hAnsi="Verdana"/>
          <w:sz w:val="20"/>
          <w:szCs w:val="20"/>
          <w:lang w:val="en-US"/>
        </w:rPr>
        <w:t>Article</w:t>
      </w:r>
      <w:r w:rsidR="00A91B78" w:rsidRPr="00FE7BA7">
        <w:rPr>
          <w:rFonts w:ascii="Verdana" w:hAnsi="Verdana"/>
          <w:sz w:val="20"/>
          <w:szCs w:val="20"/>
          <w:lang w:val="en-US"/>
        </w:rPr>
        <w:t xml:space="preserve"> 65</w:t>
      </w:r>
      <w:r w:rsidR="002B5CCD" w:rsidRPr="00FE7BA7">
        <w:rPr>
          <w:rFonts w:ascii="Verdana" w:hAnsi="Verdana"/>
          <w:sz w:val="20"/>
          <w:szCs w:val="20"/>
          <w:lang w:val="en-US"/>
        </w:rPr>
        <w:t xml:space="preserve"> of the American Convention</w:t>
      </w:r>
      <w:r w:rsidR="00A91B78" w:rsidRPr="00FE7BA7">
        <w:rPr>
          <w:rFonts w:ascii="Verdana" w:hAnsi="Verdana"/>
          <w:sz w:val="20"/>
          <w:szCs w:val="20"/>
          <w:lang w:val="en-US"/>
        </w:rPr>
        <w:t xml:space="preserve">, </w:t>
      </w:r>
      <w:r w:rsidRPr="00FE7BA7">
        <w:rPr>
          <w:rFonts w:ascii="Verdana" w:hAnsi="Verdana"/>
          <w:sz w:val="20"/>
          <w:szCs w:val="20"/>
          <w:lang w:val="en-US"/>
        </w:rPr>
        <w:t xml:space="preserve">to monitor full compliance with the Judgment. The case </w:t>
      </w:r>
      <w:r w:rsidR="0050357C">
        <w:rPr>
          <w:rFonts w:ascii="Verdana" w:hAnsi="Verdana"/>
          <w:sz w:val="20"/>
          <w:szCs w:val="20"/>
          <w:lang w:val="en-US"/>
        </w:rPr>
        <w:t>will</w:t>
      </w:r>
      <w:r w:rsidRPr="00FE7BA7">
        <w:rPr>
          <w:rFonts w:ascii="Verdana" w:hAnsi="Verdana"/>
          <w:sz w:val="20"/>
          <w:szCs w:val="20"/>
          <w:lang w:val="en-US"/>
        </w:rPr>
        <w:t xml:space="preserve"> be considered concluded when the State has complied fully with the provisions of this Judgment</w:t>
      </w:r>
      <w:r w:rsidR="00A91B78" w:rsidRPr="00FE7BA7">
        <w:rPr>
          <w:rFonts w:ascii="Verdana" w:hAnsi="Verdana"/>
          <w:sz w:val="20"/>
          <w:szCs w:val="20"/>
          <w:lang w:val="en-US"/>
        </w:rPr>
        <w:t xml:space="preserve">. </w:t>
      </w:r>
    </w:p>
    <w:p w14:paraId="63126B6A" w14:textId="77777777" w:rsidR="00A91B78" w:rsidRPr="00FE7BA7" w:rsidRDefault="00A91B78" w:rsidP="00A91B78">
      <w:pPr>
        <w:ind w:left="720"/>
        <w:contextualSpacing/>
        <w:rPr>
          <w:rFonts w:ascii="Verdana" w:hAnsi="Verdana"/>
          <w:sz w:val="20"/>
          <w:szCs w:val="20"/>
          <w:lang w:val="en-US"/>
        </w:rPr>
      </w:pPr>
    </w:p>
    <w:p w14:paraId="63126B6B" w14:textId="77777777" w:rsidR="00A91B78" w:rsidRPr="00FE7BA7" w:rsidRDefault="00BB5853" w:rsidP="00A91B78">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 xml:space="preserve">Within one year of notification </w:t>
      </w:r>
      <w:r w:rsidR="000739A7" w:rsidRPr="00FE7BA7">
        <w:rPr>
          <w:rFonts w:ascii="Verdana" w:hAnsi="Verdana"/>
          <w:sz w:val="20"/>
          <w:szCs w:val="20"/>
          <w:lang w:val="en-US"/>
        </w:rPr>
        <w:t>of this Judgment</w:t>
      </w:r>
      <w:r w:rsidR="00A91B78" w:rsidRPr="00FE7BA7">
        <w:rPr>
          <w:rFonts w:ascii="Verdana" w:hAnsi="Verdana"/>
          <w:sz w:val="20"/>
          <w:szCs w:val="20"/>
          <w:lang w:val="en-US"/>
        </w:rPr>
        <w:t xml:space="preserve">, </w:t>
      </w:r>
      <w:r w:rsidR="002B5CCD" w:rsidRPr="00FE7BA7">
        <w:rPr>
          <w:rFonts w:ascii="Verdana" w:hAnsi="Verdana"/>
          <w:sz w:val="20"/>
          <w:szCs w:val="20"/>
          <w:lang w:val="en-US"/>
        </w:rPr>
        <w:t>the State</w:t>
      </w:r>
      <w:r w:rsidR="00A91B78" w:rsidRPr="00FE7BA7">
        <w:rPr>
          <w:rFonts w:ascii="Verdana" w:hAnsi="Verdana"/>
          <w:sz w:val="20"/>
          <w:szCs w:val="20"/>
          <w:lang w:val="en-US"/>
        </w:rPr>
        <w:t xml:space="preserve"> </w:t>
      </w:r>
      <w:r w:rsidRPr="00FE7BA7">
        <w:rPr>
          <w:rFonts w:ascii="Verdana" w:hAnsi="Verdana"/>
          <w:sz w:val="20"/>
          <w:szCs w:val="20"/>
          <w:lang w:val="en-US"/>
        </w:rPr>
        <w:t>shall provi</w:t>
      </w:r>
      <w:r w:rsidR="00FE7BA7">
        <w:rPr>
          <w:rFonts w:ascii="Verdana" w:hAnsi="Verdana"/>
          <w:sz w:val="20"/>
          <w:szCs w:val="20"/>
          <w:lang w:val="en-US"/>
        </w:rPr>
        <w:t>de</w:t>
      </w:r>
      <w:r w:rsidR="003231F8" w:rsidRPr="00FE7BA7">
        <w:rPr>
          <w:rFonts w:ascii="Verdana" w:hAnsi="Verdana"/>
          <w:sz w:val="20"/>
          <w:szCs w:val="20"/>
          <w:lang w:val="en-US"/>
        </w:rPr>
        <w:t xml:space="preserve"> </w:t>
      </w:r>
      <w:r w:rsidR="00FE7BA7" w:rsidRPr="00FE7BA7">
        <w:rPr>
          <w:rFonts w:ascii="Verdana" w:hAnsi="Verdana"/>
          <w:sz w:val="20"/>
          <w:szCs w:val="20"/>
          <w:lang w:val="en-US"/>
        </w:rPr>
        <w:t>the Court</w:t>
      </w:r>
      <w:r w:rsidRPr="00FE7BA7">
        <w:rPr>
          <w:rFonts w:ascii="Verdana" w:hAnsi="Verdana"/>
          <w:sz w:val="20"/>
          <w:szCs w:val="20"/>
          <w:lang w:val="en-US"/>
        </w:rPr>
        <w:t xml:space="preserve"> with a report on the measures taken to comply with it.</w:t>
      </w:r>
    </w:p>
    <w:p w14:paraId="63126B6C" w14:textId="77777777" w:rsidR="005E7791" w:rsidRPr="00FE7BA7" w:rsidRDefault="005E7791">
      <w:pPr>
        <w:rPr>
          <w:lang w:val="en-US"/>
        </w:rPr>
      </w:pPr>
    </w:p>
    <w:p w14:paraId="63126B6D" w14:textId="77777777" w:rsidR="001863DB" w:rsidRPr="00FE7BA7" w:rsidRDefault="001863DB" w:rsidP="001863DB">
      <w:pPr>
        <w:pStyle w:val="Heading1"/>
        <w:tabs>
          <w:tab w:val="left" w:pos="851"/>
        </w:tabs>
        <w:spacing w:before="0"/>
        <w:jc w:val="center"/>
        <w:rPr>
          <w:rFonts w:ascii="Verdana" w:hAnsi="Verdana" w:cs="Verdana"/>
          <w:caps/>
          <w:snapToGrid w:val="0"/>
          <w:color w:val="auto"/>
          <w:sz w:val="20"/>
          <w:szCs w:val="20"/>
          <w:lang w:val="en-US"/>
        </w:rPr>
      </w:pPr>
      <w:bookmarkStart w:id="97" w:name="_Toc441673239"/>
      <w:r w:rsidRPr="00FE7BA7">
        <w:rPr>
          <w:rFonts w:ascii="Verdana" w:hAnsi="Verdana" w:cs="Verdana"/>
          <w:caps/>
          <w:snapToGrid w:val="0"/>
          <w:color w:val="auto"/>
          <w:sz w:val="20"/>
          <w:szCs w:val="20"/>
          <w:lang w:val="en-US"/>
        </w:rPr>
        <w:t>VII</w:t>
      </w:r>
      <w:r w:rsidR="00BA5FB7" w:rsidRPr="00FE7BA7">
        <w:rPr>
          <w:rFonts w:ascii="Verdana" w:hAnsi="Verdana" w:cs="Verdana"/>
          <w:caps/>
          <w:snapToGrid w:val="0"/>
          <w:color w:val="auto"/>
          <w:sz w:val="20"/>
          <w:szCs w:val="20"/>
          <w:lang w:val="en-US"/>
        </w:rPr>
        <w:t>I</w:t>
      </w:r>
      <w:r w:rsidRPr="00FE7BA7">
        <w:rPr>
          <w:rFonts w:ascii="Verdana" w:hAnsi="Verdana" w:cs="Verdana"/>
          <w:caps/>
          <w:snapToGrid w:val="0"/>
          <w:color w:val="auto"/>
          <w:sz w:val="20"/>
          <w:szCs w:val="20"/>
          <w:lang w:val="en-US"/>
        </w:rPr>
        <w:br/>
      </w:r>
      <w:r w:rsidR="000739A7" w:rsidRPr="00FE7BA7">
        <w:rPr>
          <w:rFonts w:ascii="Verdana" w:hAnsi="Verdana" w:cs="Verdana"/>
          <w:caps/>
          <w:snapToGrid w:val="0"/>
          <w:color w:val="auto"/>
          <w:sz w:val="20"/>
          <w:szCs w:val="20"/>
          <w:lang w:val="en-US"/>
        </w:rPr>
        <w:t>OPERATIVE PARAGRAPHS</w:t>
      </w:r>
      <w:bookmarkEnd w:id="97"/>
    </w:p>
    <w:p w14:paraId="63126B6E" w14:textId="77777777" w:rsidR="001863DB" w:rsidRPr="00FE7BA7" w:rsidRDefault="001863DB" w:rsidP="001863DB">
      <w:pPr>
        <w:contextualSpacing/>
        <w:rPr>
          <w:rFonts w:ascii="Verdana" w:hAnsi="Verdana"/>
          <w:sz w:val="20"/>
          <w:szCs w:val="20"/>
          <w:lang w:val="en-US"/>
        </w:rPr>
      </w:pPr>
    </w:p>
    <w:p w14:paraId="63126B6F" w14:textId="77777777" w:rsidR="001863DB" w:rsidRPr="00FE7BA7" w:rsidRDefault="000739A7" w:rsidP="001863DB">
      <w:pPr>
        <w:numPr>
          <w:ilvl w:val="0"/>
          <w:numId w:val="2"/>
        </w:numPr>
        <w:ind w:left="0" w:hanging="11"/>
        <w:contextualSpacing/>
        <w:jc w:val="both"/>
        <w:rPr>
          <w:rFonts w:ascii="Verdana" w:hAnsi="Verdana"/>
          <w:sz w:val="20"/>
          <w:szCs w:val="20"/>
          <w:lang w:val="en-US"/>
        </w:rPr>
      </w:pPr>
      <w:r w:rsidRPr="00FE7BA7">
        <w:rPr>
          <w:rFonts w:ascii="Verdana" w:hAnsi="Verdana"/>
          <w:sz w:val="20"/>
          <w:szCs w:val="20"/>
          <w:lang w:val="en-US"/>
        </w:rPr>
        <w:t>Therefore</w:t>
      </w:r>
      <w:r w:rsidR="001863DB" w:rsidRPr="00FE7BA7">
        <w:rPr>
          <w:rFonts w:ascii="Verdana" w:hAnsi="Verdana"/>
          <w:sz w:val="20"/>
          <w:szCs w:val="20"/>
          <w:lang w:val="en-US"/>
        </w:rPr>
        <w:t xml:space="preserve">, </w:t>
      </w:r>
    </w:p>
    <w:p w14:paraId="63126B70" w14:textId="77777777" w:rsidR="00C1694E" w:rsidRPr="00FE7BA7" w:rsidRDefault="00C1694E" w:rsidP="00C1694E">
      <w:pPr>
        <w:jc w:val="both"/>
        <w:rPr>
          <w:rFonts w:ascii="Verdana" w:hAnsi="Verdana"/>
          <w:sz w:val="20"/>
          <w:szCs w:val="20"/>
          <w:lang w:val="en-US"/>
        </w:rPr>
      </w:pPr>
      <w:bookmarkStart w:id="98" w:name="_Toc432072843"/>
    </w:p>
    <w:p w14:paraId="63126B71" w14:textId="77777777" w:rsidR="00C1694E" w:rsidRPr="00FE7BA7" w:rsidRDefault="002B5CCD" w:rsidP="00C1694E">
      <w:pPr>
        <w:tabs>
          <w:tab w:val="left" w:pos="3669"/>
        </w:tabs>
        <w:rPr>
          <w:rFonts w:ascii="Verdana" w:hAnsi="Verdana"/>
          <w:b/>
          <w:smallCaps/>
          <w:sz w:val="20"/>
          <w:szCs w:val="20"/>
          <w:lang w:val="en-US"/>
        </w:rPr>
      </w:pPr>
      <w:r w:rsidRPr="00FE7BA7">
        <w:rPr>
          <w:rFonts w:ascii="Verdana" w:hAnsi="Verdana"/>
          <w:b/>
          <w:smallCaps/>
          <w:sz w:val="20"/>
          <w:szCs w:val="20"/>
          <w:lang w:val="en-US"/>
        </w:rPr>
        <w:t>THE COURT</w:t>
      </w:r>
      <w:r w:rsidR="00C1694E" w:rsidRPr="00FE7BA7">
        <w:rPr>
          <w:rFonts w:ascii="Verdana" w:hAnsi="Verdana"/>
          <w:b/>
          <w:smallCaps/>
          <w:sz w:val="20"/>
          <w:szCs w:val="20"/>
          <w:lang w:val="en-US"/>
        </w:rPr>
        <w:tab/>
      </w:r>
    </w:p>
    <w:p w14:paraId="63126B72" w14:textId="77777777" w:rsidR="00C1694E" w:rsidRPr="0050357C" w:rsidRDefault="00C1694E" w:rsidP="0050357C">
      <w:pPr>
        <w:rPr>
          <w:rFonts w:ascii="Verdana" w:hAnsi="Verdana" w:cs="Verdana"/>
          <w:sz w:val="20"/>
          <w:szCs w:val="20"/>
          <w:lang w:val="en-US"/>
        </w:rPr>
      </w:pPr>
    </w:p>
    <w:p w14:paraId="63126B73" w14:textId="77777777" w:rsidR="00C1694E" w:rsidRPr="00FE7BA7" w:rsidRDefault="000739A7" w:rsidP="00C1694E">
      <w:pPr>
        <w:tabs>
          <w:tab w:val="num" w:pos="630"/>
          <w:tab w:val="left" w:pos="720"/>
        </w:tabs>
        <w:rPr>
          <w:rFonts w:ascii="Verdana" w:hAnsi="Verdana" w:cs="Verdana"/>
          <w:b/>
          <w:color w:val="000000"/>
          <w:spacing w:val="-2"/>
          <w:sz w:val="20"/>
          <w:szCs w:val="20"/>
          <w:lang w:val="en-US"/>
        </w:rPr>
      </w:pPr>
      <w:r w:rsidRPr="00FE7BA7">
        <w:rPr>
          <w:rFonts w:ascii="Verdana" w:hAnsi="Verdana" w:cs="Verdana"/>
          <w:b/>
          <w:color w:val="000000"/>
          <w:spacing w:val="-2"/>
          <w:sz w:val="20"/>
          <w:szCs w:val="20"/>
          <w:lang w:val="en-US"/>
        </w:rPr>
        <w:t>DECLARES</w:t>
      </w:r>
      <w:r w:rsidR="00C1694E" w:rsidRPr="00FE7BA7">
        <w:rPr>
          <w:rFonts w:ascii="Verdana" w:hAnsi="Verdana" w:cs="Verdana"/>
          <w:b/>
          <w:color w:val="000000"/>
          <w:spacing w:val="-2"/>
          <w:sz w:val="20"/>
          <w:szCs w:val="20"/>
          <w:lang w:val="en-US"/>
        </w:rPr>
        <w:t>,</w:t>
      </w:r>
    </w:p>
    <w:p w14:paraId="63126B74" w14:textId="77777777" w:rsidR="00C1694E" w:rsidRPr="00FE7BA7" w:rsidRDefault="00C1694E" w:rsidP="00C1694E">
      <w:pPr>
        <w:tabs>
          <w:tab w:val="num" w:pos="630"/>
          <w:tab w:val="left" w:pos="720"/>
        </w:tabs>
        <w:rPr>
          <w:rFonts w:ascii="Verdana" w:hAnsi="Verdana" w:cs="Verdana"/>
          <w:b/>
          <w:color w:val="000000"/>
          <w:spacing w:val="-2"/>
          <w:sz w:val="20"/>
          <w:szCs w:val="20"/>
          <w:lang w:val="en-US"/>
        </w:rPr>
      </w:pPr>
    </w:p>
    <w:p w14:paraId="63126B75" w14:textId="77777777" w:rsidR="00C1694E" w:rsidRPr="00FE7BA7" w:rsidRDefault="000739A7" w:rsidP="00C1694E">
      <w:pPr>
        <w:autoSpaceDE w:val="0"/>
        <w:autoSpaceDN w:val="0"/>
        <w:adjustRightInd w:val="0"/>
        <w:jc w:val="both"/>
        <w:rPr>
          <w:rFonts w:ascii="Verdana" w:eastAsiaTheme="minorHAnsi" w:hAnsi="Verdana" w:cs="Verdana"/>
          <w:color w:val="000000"/>
          <w:spacing w:val="-2"/>
          <w:sz w:val="20"/>
          <w:szCs w:val="20"/>
          <w:lang w:val="en-US"/>
        </w:rPr>
      </w:pPr>
      <w:r w:rsidRPr="00FE7BA7">
        <w:rPr>
          <w:rFonts w:ascii="Verdana" w:eastAsiaTheme="minorHAnsi" w:hAnsi="Verdana" w:cs="Verdana"/>
          <w:color w:val="000000"/>
          <w:spacing w:val="-2"/>
          <w:sz w:val="20"/>
          <w:szCs w:val="20"/>
          <w:lang w:val="en-US"/>
        </w:rPr>
        <w:t xml:space="preserve">By six votes to one, that </w:t>
      </w:r>
    </w:p>
    <w:p w14:paraId="63126B76" w14:textId="77777777" w:rsidR="00C1694E" w:rsidRPr="00FE7BA7" w:rsidRDefault="00C1694E" w:rsidP="00C1694E">
      <w:pPr>
        <w:ind w:right="11"/>
        <w:jc w:val="both"/>
        <w:rPr>
          <w:rFonts w:ascii="Verdana" w:hAnsi="Verdana" w:cs="Verdana"/>
          <w:sz w:val="20"/>
          <w:szCs w:val="20"/>
          <w:lang w:val="en-US"/>
        </w:rPr>
      </w:pPr>
    </w:p>
    <w:p w14:paraId="63126B77" w14:textId="77777777"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eastAsia="es-CR"/>
        </w:rPr>
        <w:t>The State</w:t>
      </w:r>
      <w:r w:rsidR="00C1694E" w:rsidRPr="00FE7BA7">
        <w:rPr>
          <w:rFonts w:ascii="Verdana" w:hAnsi="Verdana"/>
          <w:sz w:val="20"/>
          <w:szCs w:val="20"/>
          <w:lang w:val="en-US" w:eastAsia="es-CR"/>
        </w:rPr>
        <w:t xml:space="preserve"> </w:t>
      </w:r>
      <w:r w:rsidR="000739A7" w:rsidRPr="00FE7BA7">
        <w:rPr>
          <w:rFonts w:ascii="Verdana" w:hAnsi="Verdana"/>
          <w:sz w:val="20"/>
          <w:szCs w:val="20"/>
          <w:lang w:val="en-US" w:eastAsia="es-CR"/>
        </w:rPr>
        <w:t>is responsible for the violation of the right</w:t>
      </w:r>
      <w:r w:rsidR="00967E6B" w:rsidRPr="00FE7BA7">
        <w:rPr>
          <w:rFonts w:ascii="Verdana" w:hAnsi="Verdana"/>
          <w:sz w:val="20"/>
          <w:szCs w:val="20"/>
          <w:lang w:val="en-US" w:eastAsia="es-CR"/>
        </w:rPr>
        <w:t xml:space="preserve"> to</w:t>
      </w:r>
      <w:r w:rsidR="00C1694E" w:rsidRPr="00FE7BA7">
        <w:rPr>
          <w:rFonts w:ascii="Verdana" w:hAnsi="Verdana"/>
          <w:sz w:val="20"/>
          <w:szCs w:val="20"/>
          <w:lang w:val="en-US" w:eastAsia="es-CR"/>
        </w:rPr>
        <w:t xml:space="preserve"> </w:t>
      </w:r>
      <w:r w:rsidR="00773D70" w:rsidRPr="00FE7BA7">
        <w:rPr>
          <w:rFonts w:ascii="Verdana" w:hAnsi="Verdana"/>
          <w:sz w:val="20"/>
          <w:szCs w:val="20"/>
          <w:lang w:val="en-US" w:eastAsia="es-CR"/>
        </w:rPr>
        <w:t>recognition of juridical personality</w:t>
      </w:r>
      <w:r w:rsidR="00C1694E" w:rsidRPr="00FE7BA7">
        <w:rPr>
          <w:rFonts w:ascii="Verdana" w:hAnsi="Verdana"/>
          <w:sz w:val="20"/>
          <w:szCs w:val="20"/>
          <w:lang w:val="en-US" w:eastAsia="es-CR"/>
        </w:rPr>
        <w:t xml:space="preserve">, </w:t>
      </w:r>
      <w:r w:rsidR="00967E6B" w:rsidRPr="00FE7BA7">
        <w:rPr>
          <w:rFonts w:ascii="Verdana" w:hAnsi="Verdana"/>
          <w:sz w:val="20"/>
          <w:szCs w:val="20"/>
          <w:lang w:val="en-US" w:eastAsia="es-CR"/>
        </w:rPr>
        <w:t>recognized in</w:t>
      </w:r>
      <w:r w:rsidR="00C1694E" w:rsidRPr="00FE7BA7">
        <w:rPr>
          <w:rFonts w:ascii="Verdana" w:hAnsi="Verdana"/>
          <w:sz w:val="20"/>
          <w:szCs w:val="20"/>
          <w:lang w:val="en-US" w:eastAsia="es-CR"/>
        </w:rPr>
        <w:t xml:space="preserve"> </w:t>
      </w:r>
      <w:r w:rsidRPr="00FE7BA7">
        <w:rPr>
          <w:rFonts w:ascii="Verdana" w:hAnsi="Verdana"/>
          <w:sz w:val="20"/>
          <w:szCs w:val="20"/>
          <w:lang w:val="en-US" w:eastAsia="es-CR"/>
        </w:rPr>
        <w:t>Article</w:t>
      </w:r>
      <w:r w:rsidR="00C1694E" w:rsidRPr="00FE7BA7">
        <w:rPr>
          <w:rFonts w:ascii="Verdana" w:hAnsi="Verdana"/>
          <w:sz w:val="20"/>
          <w:szCs w:val="20"/>
          <w:lang w:val="en-US" w:eastAsia="es-CR"/>
        </w:rPr>
        <w:t xml:space="preserve"> 3</w:t>
      </w:r>
      <w:r w:rsidRPr="00FE7BA7">
        <w:rPr>
          <w:rFonts w:ascii="Verdana" w:hAnsi="Verdana"/>
          <w:sz w:val="20"/>
          <w:szCs w:val="20"/>
          <w:lang w:val="en-US" w:eastAsia="es-CR"/>
        </w:rPr>
        <w:t xml:space="preserve"> of the American Convention</w:t>
      </w:r>
      <w:r w:rsidR="00C1694E" w:rsidRPr="00FE7BA7">
        <w:rPr>
          <w:rFonts w:ascii="Verdana" w:hAnsi="Verdana"/>
          <w:sz w:val="20"/>
          <w:szCs w:val="20"/>
          <w:lang w:val="en-US" w:eastAsia="es-CR"/>
        </w:rPr>
        <w:t xml:space="preserve">, </w:t>
      </w:r>
      <w:r w:rsidR="00773D70" w:rsidRPr="00FE7BA7">
        <w:rPr>
          <w:rFonts w:ascii="Verdana" w:hAnsi="Verdana"/>
          <w:sz w:val="20"/>
          <w:szCs w:val="20"/>
          <w:lang w:val="en-US" w:eastAsia="es-CR"/>
        </w:rPr>
        <w:t>in relation to Articles 1(1)</w:t>
      </w:r>
      <w:r w:rsidR="00C1694E" w:rsidRPr="00FE7BA7">
        <w:rPr>
          <w:rFonts w:ascii="Verdana" w:hAnsi="Verdana"/>
          <w:sz w:val="20"/>
          <w:szCs w:val="20"/>
          <w:lang w:val="en-US"/>
        </w:rPr>
        <w:t>, 2, 21</w:t>
      </w:r>
      <w:r w:rsidRPr="00FE7BA7">
        <w:rPr>
          <w:rFonts w:ascii="Verdana" w:hAnsi="Verdana"/>
          <w:sz w:val="20"/>
          <w:szCs w:val="20"/>
          <w:lang w:val="en-US"/>
        </w:rPr>
        <w:t xml:space="preserve"> and </w:t>
      </w:r>
      <w:r w:rsidR="00C1694E" w:rsidRPr="00FE7BA7">
        <w:rPr>
          <w:rFonts w:ascii="Verdana" w:hAnsi="Verdana"/>
          <w:sz w:val="20"/>
          <w:szCs w:val="20"/>
          <w:lang w:val="en-US"/>
        </w:rPr>
        <w:t>25</w:t>
      </w:r>
      <w:r w:rsidR="00C1694E" w:rsidRPr="00FE7BA7">
        <w:rPr>
          <w:rFonts w:ascii="Verdana" w:hAnsi="Verdana"/>
          <w:sz w:val="20"/>
          <w:szCs w:val="20"/>
          <w:lang w:val="en-US" w:eastAsia="es-CR"/>
        </w:rPr>
        <w:t xml:space="preserve"> </w:t>
      </w:r>
      <w:r w:rsidR="00967E6B" w:rsidRPr="00FE7BA7">
        <w:rPr>
          <w:rFonts w:ascii="Verdana" w:hAnsi="Verdana"/>
          <w:sz w:val="20"/>
          <w:szCs w:val="20"/>
          <w:lang w:val="en-US" w:eastAsia="es-CR"/>
        </w:rPr>
        <w:t xml:space="preserve">thereof, </w:t>
      </w:r>
      <w:r w:rsidR="00773D70" w:rsidRPr="00FE7BA7">
        <w:rPr>
          <w:rFonts w:ascii="Verdana" w:hAnsi="Verdana"/>
          <w:sz w:val="20"/>
          <w:szCs w:val="20"/>
          <w:lang w:val="en-US"/>
        </w:rPr>
        <w:t>to the detriment of the</w:t>
      </w:r>
      <w:r w:rsidR="00635ACD" w:rsidRPr="00FE7BA7">
        <w:rPr>
          <w:rFonts w:ascii="Verdana" w:hAnsi="Verdana"/>
          <w:sz w:val="20"/>
          <w:szCs w:val="20"/>
          <w:lang w:val="en-US"/>
        </w:rPr>
        <w:t xml:space="preserve"> </w:t>
      </w:r>
      <w:r w:rsidR="004C7D14" w:rsidRPr="00FE7BA7">
        <w:rPr>
          <w:rFonts w:ascii="Verdana" w:hAnsi="Verdana"/>
          <w:sz w:val="20"/>
          <w:szCs w:val="20"/>
          <w:lang w:val="en-US"/>
        </w:rPr>
        <w:t xml:space="preserve">Kaliña and Lokono </w:t>
      </w:r>
      <w:r w:rsidR="004C7D14" w:rsidRPr="00BB3478">
        <w:rPr>
          <w:rFonts w:ascii="Verdana" w:hAnsi="Verdana"/>
          <w:sz w:val="20"/>
          <w:szCs w:val="20"/>
          <w:lang w:val="en-US"/>
        </w:rPr>
        <w:t>peoples</w:t>
      </w:r>
      <w:r w:rsidRPr="00BB3478">
        <w:rPr>
          <w:rFonts w:ascii="Verdana" w:hAnsi="Verdana"/>
          <w:sz w:val="20"/>
          <w:szCs w:val="20"/>
          <w:lang w:val="en-US"/>
        </w:rPr>
        <w:t xml:space="preserve"> and </w:t>
      </w:r>
      <w:r w:rsidR="00D40098" w:rsidRPr="00BB3478">
        <w:rPr>
          <w:rFonts w:ascii="Verdana" w:hAnsi="Verdana"/>
          <w:sz w:val="20"/>
          <w:szCs w:val="20"/>
          <w:lang w:val="en-US"/>
        </w:rPr>
        <w:t>their members</w:t>
      </w:r>
      <w:r w:rsidR="00C1694E" w:rsidRPr="00FE7BA7">
        <w:rPr>
          <w:rFonts w:ascii="Verdana" w:hAnsi="Verdana"/>
          <w:sz w:val="20"/>
          <w:szCs w:val="20"/>
          <w:lang w:val="en-US"/>
        </w:rPr>
        <w:t xml:space="preserve">, </w:t>
      </w:r>
      <w:r w:rsidR="000739A7" w:rsidRPr="00FE7BA7">
        <w:rPr>
          <w:rFonts w:ascii="Verdana" w:hAnsi="Verdana"/>
          <w:sz w:val="20"/>
          <w:szCs w:val="20"/>
          <w:lang w:val="en-US"/>
        </w:rPr>
        <w:t>pursuant to paragraphs 105 to</w:t>
      </w:r>
      <w:r w:rsidR="00C1694E" w:rsidRPr="00FE7BA7">
        <w:rPr>
          <w:rFonts w:ascii="Verdana" w:hAnsi="Verdana"/>
          <w:sz w:val="20"/>
          <w:szCs w:val="20"/>
          <w:lang w:val="en-US"/>
        </w:rPr>
        <w:t xml:space="preserve"> 114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78" w14:textId="77777777" w:rsidR="00C1694E" w:rsidRPr="00FE7BA7" w:rsidRDefault="00C1694E" w:rsidP="00C1694E">
      <w:pPr>
        <w:ind w:right="11"/>
        <w:jc w:val="both"/>
        <w:rPr>
          <w:rFonts w:ascii="Verdana" w:hAnsi="Verdana"/>
          <w:sz w:val="20"/>
          <w:szCs w:val="20"/>
          <w:lang w:val="en-US"/>
        </w:rPr>
      </w:pPr>
    </w:p>
    <w:p w14:paraId="63126B79" w14:textId="77777777" w:rsidR="00C1694E" w:rsidRPr="00FE7BA7" w:rsidRDefault="002B5CCD" w:rsidP="00C1694E">
      <w:pPr>
        <w:ind w:right="11"/>
        <w:jc w:val="both"/>
        <w:rPr>
          <w:rFonts w:ascii="Verdana" w:hAnsi="Verdana" w:cs="Verdana"/>
          <w:sz w:val="20"/>
          <w:szCs w:val="20"/>
          <w:lang w:val="en-US"/>
        </w:rPr>
      </w:pPr>
      <w:proofErr w:type="gramStart"/>
      <w:r w:rsidRPr="00FE7BA7">
        <w:rPr>
          <w:rFonts w:ascii="Verdana" w:hAnsi="Verdana" w:cs="Verdana"/>
          <w:sz w:val="20"/>
          <w:szCs w:val="20"/>
          <w:lang w:val="en-US"/>
        </w:rPr>
        <w:t>Judge</w:t>
      </w:r>
      <w:r w:rsidR="00C1694E" w:rsidRPr="00FE7BA7">
        <w:rPr>
          <w:rFonts w:ascii="Verdana" w:hAnsi="Verdana" w:cs="Verdana"/>
          <w:sz w:val="20"/>
          <w:szCs w:val="20"/>
          <w:lang w:val="en-US"/>
        </w:rPr>
        <w:t xml:space="preserve"> Pérez Pérez</w:t>
      </w:r>
      <w:r w:rsidR="000739A7" w:rsidRPr="00FE7BA7">
        <w:rPr>
          <w:rFonts w:ascii="Verdana" w:hAnsi="Verdana" w:cs="Verdana"/>
          <w:sz w:val="20"/>
          <w:szCs w:val="20"/>
          <w:lang w:val="en-US"/>
        </w:rPr>
        <w:t xml:space="preserve"> dissenting</w:t>
      </w:r>
      <w:r w:rsidR="00C1694E" w:rsidRPr="00FE7BA7">
        <w:rPr>
          <w:rFonts w:ascii="Verdana" w:hAnsi="Verdana" w:cs="Verdana"/>
          <w:sz w:val="20"/>
          <w:szCs w:val="20"/>
          <w:lang w:val="en-US"/>
        </w:rPr>
        <w:t>.</w:t>
      </w:r>
      <w:proofErr w:type="gramEnd"/>
    </w:p>
    <w:p w14:paraId="63126B7A" w14:textId="77777777" w:rsidR="00C1694E" w:rsidRPr="00FE7BA7" w:rsidRDefault="00C1694E" w:rsidP="00C1694E">
      <w:pPr>
        <w:ind w:right="11"/>
        <w:jc w:val="both"/>
        <w:rPr>
          <w:rFonts w:ascii="Verdana" w:hAnsi="Verdana" w:cs="Verdana"/>
          <w:sz w:val="20"/>
          <w:szCs w:val="20"/>
          <w:lang w:val="en-US"/>
        </w:rPr>
      </w:pPr>
    </w:p>
    <w:p w14:paraId="63126B7B" w14:textId="77777777" w:rsidR="000739A7" w:rsidRPr="00FE7BA7" w:rsidRDefault="000739A7" w:rsidP="000739A7">
      <w:pPr>
        <w:autoSpaceDE w:val="0"/>
        <w:autoSpaceDN w:val="0"/>
        <w:adjustRightInd w:val="0"/>
        <w:jc w:val="both"/>
        <w:rPr>
          <w:rFonts w:ascii="Verdana" w:eastAsiaTheme="minorHAnsi" w:hAnsi="Verdana" w:cs="Verdana"/>
          <w:color w:val="000000"/>
          <w:spacing w:val="-2"/>
          <w:sz w:val="20"/>
          <w:szCs w:val="20"/>
          <w:lang w:val="en-US"/>
        </w:rPr>
      </w:pPr>
      <w:r w:rsidRPr="00FE7BA7">
        <w:rPr>
          <w:rFonts w:ascii="Verdana" w:eastAsiaTheme="minorHAnsi" w:hAnsi="Verdana" w:cs="Verdana"/>
          <w:color w:val="000000"/>
          <w:spacing w:val="-2"/>
          <w:sz w:val="20"/>
          <w:szCs w:val="20"/>
          <w:lang w:val="en-US"/>
        </w:rPr>
        <w:t xml:space="preserve">By six votes to one, that </w:t>
      </w:r>
    </w:p>
    <w:p w14:paraId="63126B7C" w14:textId="77777777" w:rsidR="00C1694E" w:rsidRPr="00FE7BA7" w:rsidRDefault="00C1694E" w:rsidP="000739A7">
      <w:pPr>
        <w:autoSpaceDE w:val="0"/>
        <w:autoSpaceDN w:val="0"/>
        <w:adjustRightInd w:val="0"/>
        <w:jc w:val="both"/>
        <w:rPr>
          <w:rFonts w:ascii="Verdana" w:hAnsi="Verdana" w:cs="Verdana"/>
          <w:sz w:val="20"/>
          <w:szCs w:val="20"/>
          <w:lang w:val="en-US"/>
        </w:rPr>
      </w:pPr>
    </w:p>
    <w:p w14:paraId="63126B7D" w14:textId="77777777"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eastAsia="es-CR"/>
        </w:rPr>
        <w:lastRenderedPageBreak/>
        <w:t>The State</w:t>
      </w:r>
      <w:r w:rsidR="00C1694E" w:rsidRPr="00FE7BA7">
        <w:rPr>
          <w:rFonts w:ascii="Verdana" w:hAnsi="Verdana"/>
          <w:sz w:val="20"/>
          <w:szCs w:val="20"/>
          <w:lang w:val="en-US" w:eastAsia="es-CR"/>
        </w:rPr>
        <w:t xml:space="preserve"> </w:t>
      </w:r>
      <w:r w:rsidR="000739A7" w:rsidRPr="00FE7BA7">
        <w:rPr>
          <w:rFonts w:ascii="Verdana" w:hAnsi="Verdana"/>
          <w:sz w:val="20"/>
          <w:szCs w:val="20"/>
          <w:lang w:val="en-US" w:eastAsia="es-CR"/>
        </w:rPr>
        <w:t>is responsible for the violation of the right</w:t>
      </w:r>
      <w:r w:rsidR="00C1694E" w:rsidRPr="00FE7BA7">
        <w:rPr>
          <w:rFonts w:ascii="Verdana" w:hAnsi="Verdana"/>
          <w:sz w:val="20"/>
          <w:szCs w:val="20"/>
          <w:lang w:val="en-US" w:eastAsia="es-CR"/>
        </w:rPr>
        <w:t xml:space="preserve"> </w:t>
      </w:r>
      <w:r w:rsidR="00967E6B" w:rsidRPr="00FE7BA7">
        <w:rPr>
          <w:rFonts w:ascii="Verdana" w:hAnsi="Verdana"/>
          <w:sz w:val="20"/>
          <w:szCs w:val="20"/>
          <w:lang w:val="en-US" w:eastAsia="es-CR"/>
        </w:rPr>
        <w:t xml:space="preserve">to collective property and political rights, recognized in </w:t>
      </w:r>
      <w:r w:rsidRPr="00FE7BA7">
        <w:rPr>
          <w:rFonts w:ascii="Verdana" w:hAnsi="Verdana"/>
          <w:sz w:val="20"/>
          <w:szCs w:val="20"/>
          <w:lang w:val="en-US" w:eastAsia="es-CR"/>
        </w:rPr>
        <w:t>Articles</w:t>
      </w:r>
      <w:r w:rsidR="00C1694E" w:rsidRPr="00FE7BA7">
        <w:rPr>
          <w:rFonts w:ascii="Verdana" w:hAnsi="Verdana"/>
          <w:sz w:val="20"/>
          <w:szCs w:val="20"/>
          <w:lang w:val="en-US" w:eastAsia="es-CR"/>
        </w:rPr>
        <w:t xml:space="preserve"> 21</w:t>
      </w:r>
      <w:r w:rsidRPr="00FE7BA7">
        <w:rPr>
          <w:rFonts w:ascii="Verdana" w:hAnsi="Verdana"/>
          <w:sz w:val="20"/>
          <w:szCs w:val="20"/>
          <w:lang w:val="en-US" w:eastAsia="es-CR"/>
        </w:rPr>
        <w:t xml:space="preserve"> and </w:t>
      </w:r>
      <w:r w:rsidR="00C1694E" w:rsidRPr="00FE7BA7">
        <w:rPr>
          <w:rFonts w:ascii="Verdana" w:hAnsi="Verdana"/>
          <w:sz w:val="20"/>
          <w:szCs w:val="20"/>
          <w:lang w:val="en-US" w:eastAsia="es-CR"/>
        </w:rPr>
        <w:t>23</w:t>
      </w:r>
      <w:r w:rsidRPr="00FE7BA7">
        <w:rPr>
          <w:rFonts w:ascii="Verdana" w:hAnsi="Verdana"/>
          <w:sz w:val="20"/>
          <w:szCs w:val="20"/>
          <w:lang w:val="en-US" w:eastAsia="es-CR"/>
        </w:rPr>
        <w:t xml:space="preserve"> of the American Convention</w:t>
      </w:r>
      <w:r w:rsidR="00C1694E" w:rsidRPr="00FE7BA7">
        <w:rPr>
          <w:rFonts w:ascii="Verdana" w:hAnsi="Verdana"/>
          <w:sz w:val="20"/>
          <w:szCs w:val="20"/>
          <w:lang w:val="en-US" w:eastAsia="es-CR"/>
        </w:rPr>
        <w:t xml:space="preserve">, </w:t>
      </w:r>
      <w:r w:rsidR="00773D70" w:rsidRPr="00FE7BA7">
        <w:rPr>
          <w:rFonts w:ascii="Verdana" w:hAnsi="Verdana"/>
          <w:sz w:val="20"/>
          <w:szCs w:val="20"/>
          <w:lang w:val="en-US" w:eastAsia="es-CR"/>
        </w:rPr>
        <w:t>in relation to Articles 1(1)</w:t>
      </w:r>
      <w:r w:rsidRPr="00FE7BA7">
        <w:rPr>
          <w:rFonts w:ascii="Verdana" w:hAnsi="Verdana"/>
          <w:sz w:val="20"/>
          <w:szCs w:val="20"/>
          <w:lang w:val="en-US" w:eastAsia="es-CR"/>
        </w:rPr>
        <w:t xml:space="preserve"> and </w:t>
      </w:r>
      <w:r w:rsidR="00773D70" w:rsidRPr="00FE7BA7">
        <w:rPr>
          <w:rFonts w:ascii="Verdana" w:hAnsi="Verdana"/>
          <w:sz w:val="20"/>
          <w:szCs w:val="20"/>
          <w:lang w:val="en-US" w:eastAsia="es-CR"/>
        </w:rPr>
        <w:t>2 of this instrument</w:t>
      </w:r>
      <w:r w:rsidR="00C1694E" w:rsidRPr="00FE7BA7">
        <w:rPr>
          <w:rFonts w:ascii="Verdana" w:hAnsi="Verdana"/>
          <w:sz w:val="20"/>
          <w:szCs w:val="20"/>
          <w:lang w:val="en-US" w:eastAsia="es-CR"/>
        </w:rPr>
        <w:t xml:space="preserve">, </w:t>
      </w:r>
      <w:r w:rsidR="00773D70" w:rsidRPr="00FE7BA7">
        <w:rPr>
          <w:rFonts w:ascii="Verdana" w:hAnsi="Verdana"/>
          <w:sz w:val="20"/>
          <w:szCs w:val="20"/>
          <w:lang w:val="en-US"/>
        </w:rPr>
        <w:t>to the detriment of the</w:t>
      </w:r>
      <w:r w:rsidR="00635ACD" w:rsidRPr="00FE7BA7">
        <w:rPr>
          <w:rFonts w:ascii="Verdana" w:hAnsi="Verdana"/>
          <w:sz w:val="20"/>
          <w:szCs w:val="20"/>
          <w:lang w:val="en-US"/>
        </w:rPr>
        <w:t xml:space="preserve"> </w:t>
      </w:r>
      <w:r w:rsidR="004C7D14" w:rsidRPr="00FE7BA7">
        <w:rPr>
          <w:rFonts w:ascii="Verdana" w:hAnsi="Verdana"/>
          <w:sz w:val="20"/>
          <w:szCs w:val="20"/>
          <w:lang w:val="en-US"/>
        </w:rPr>
        <w:t xml:space="preserve">Kaliña and Lokono </w:t>
      </w:r>
      <w:r w:rsidR="004C7D14" w:rsidRPr="00BB3478">
        <w:rPr>
          <w:rFonts w:ascii="Verdana" w:hAnsi="Verdana"/>
          <w:sz w:val="20"/>
          <w:szCs w:val="20"/>
          <w:lang w:val="en-US"/>
        </w:rPr>
        <w:t>peoples</w:t>
      </w:r>
      <w:r w:rsidRPr="00BB3478">
        <w:rPr>
          <w:rFonts w:ascii="Verdana" w:hAnsi="Verdana"/>
          <w:sz w:val="20"/>
          <w:szCs w:val="20"/>
          <w:lang w:val="en-US"/>
        </w:rPr>
        <w:t xml:space="preserve"> and </w:t>
      </w:r>
      <w:r w:rsidR="00D40098" w:rsidRPr="00BB3478">
        <w:rPr>
          <w:rFonts w:ascii="Verdana" w:hAnsi="Verdana"/>
          <w:sz w:val="20"/>
          <w:szCs w:val="20"/>
          <w:lang w:val="en-US"/>
        </w:rPr>
        <w:t>their</w:t>
      </w:r>
      <w:r w:rsidR="00D40098" w:rsidRPr="00FE7BA7">
        <w:rPr>
          <w:rFonts w:ascii="Verdana" w:hAnsi="Verdana"/>
          <w:sz w:val="20"/>
          <w:szCs w:val="20"/>
          <w:lang w:val="en-US"/>
        </w:rPr>
        <w:t xml:space="preserve"> members</w:t>
      </w:r>
      <w:r w:rsidR="00C1694E" w:rsidRPr="00FE7BA7">
        <w:rPr>
          <w:rFonts w:ascii="Verdana" w:hAnsi="Verdana"/>
          <w:sz w:val="20"/>
          <w:szCs w:val="20"/>
          <w:lang w:val="en-US"/>
        </w:rPr>
        <w:t xml:space="preserve">, </w:t>
      </w:r>
      <w:r w:rsidR="000739A7" w:rsidRPr="00FE7BA7">
        <w:rPr>
          <w:rFonts w:ascii="Verdana" w:hAnsi="Verdana"/>
          <w:sz w:val="20"/>
          <w:szCs w:val="20"/>
          <w:lang w:val="en-US"/>
        </w:rPr>
        <w:t>pursuant to paragraphs</w:t>
      </w:r>
      <w:r w:rsidR="00967E6B" w:rsidRPr="00FE7BA7">
        <w:rPr>
          <w:rFonts w:ascii="Verdana" w:hAnsi="Verdana"/>
          <w:sz w:val="20"/>
          <w:szCs w:val="20"/>
          <w:lang w:val="en-US"/>
        </w:rPr>
        <w:t xml:space="preserve"> 122 to</w:t>
      </w:r>
      <w:r w:rsidR="00C1694E" w:rsidRPr="00FE7BA7">
        <w:rPr>
          <w:rFonts w:ascii="Verdana" w:hAnsi="Verdana"/>
          <w:sz w:val="20"/>
          <w:szCs w:val="20"/>
          <w:lang w:val="en-US"/>
        </w:rPr>
        <w:t xml:space="preserve"> 230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7E" w14:textId="77777777" w:rsidR="00C1694E" w:rsidRPr="00FE7BA7" w:rsidRDefault="00C1694E" w:rsidP="00C1694E">
      <w:pPr>
        <w:ind w:right="11"/>
        <w:jc w:val="both"/>
        <w:rPr>
          <w:rFonts w:ascii="Verdana" w:hAnsi="Verdana" w:cs="Verdana"/>
          <w:sz w:val="20"/>
          <w:szCs w:val="20"/>
          <w:lang w:val="en-US"/>
        </w:rPr>
      </w:pPr>
    </w:p>
    <w:p w14:paraId="63126B7F" w14:textId="77777777" w:rsidR="00C1694E" w:rsidRPr="00FE7BA7" w:rsidRDefault="002B5CCD" w:rsidP="00C1694E">
      <w:pPr>
        <w:ind w:right="11"/>
        <w:jc w:val="both"/>
        <w:rPr>
          <w:rFonts w:ascii="Verdana" w:hAnsi="Verdana" w:cs="Verdana"/>
          <w:sz w:val="20"/>
          <w:szCs w:val="20"/>
          <w:lang w:val="en-US"/>
        </w:rPr>
      </w:pPr>
      <w:proofErr w:type="gramStart"/>
      <w:r w:rsidRPr="00FE7BA7">
        <w:rPr>
          <w:rFonts w:ascii="Verdana" w:hAnsi="Verdana" w:cs="Verdana"/>
          <w:sz w:val="20"/>
          <w:szCs w:val="20"/>
          <w:lang w:val="en-US"/>
        </w:rPr>
        <w:t>Judge</w:t>
      </w:r>
      <w:r w:rsidR="00C1694E" w:rsidRPr="00FE7BA7">
        <w:rPr>
          <w:rFonts w:ascii="Verdana" w:hAnsi="Verdana" w:cs="Verdana"/>
          <w:sz w:val="20"/>
          <w:szCs w:val="20"/>
          <w:lang w:val="en-US"/>
        </w:rPr>
        <w:t xml:space="preserve"> Pérez Pérez</w:t>
      </w:r>
      <w:r w:rsidR="000739A7" w:rsidRPr="00FE7BA7">
        <w:rPr>
          <w:rFonts w:ascii="Verdana" w:hAnsi="Verdana" w:cs="Verdana"/>
          <w:sz w:val="20"/>
          <w:szCs w:val="20"/>
          <w:lang w:val="en-US"/>
        </w:rPr>
        <w:t xml:space="preserve"> dissenting</w:t>
      </w:r>
      <w:r w:rsidR="00C1694E" w:rsidRPr="00FE7BA7">
        <w:rPr>
          <w:rFonts w:ascii="Verdana" w:hAnsi="Verdana" w:cs="Verdana"/>
          <w:sz w:val="20"/>
          <w:szCs w:val="20"/>
          <w:lang w:val="en-US"/>
        </w:rPr>
        <w:t>.</w:t>
      </w:r>
      <w:proofErr w:type="gramEnd"/>
    </w:p>
    <w:p w14:paraId="63126B80" w14:textId="77777777" w:rsidR="00C1694E" w:rsidRPr="00FE7BA7" w:rsidRDefault="00C1694E" w:rsidP="00C1694E">
      <w:pPr>
        <w:ind w:right="11"/>
        <w:jc w:val="both"/>
        <w:rPr>
          <w:rFonts w:ascii="Verdana" w:hAnsi="Verdana" w:cs="Verdana"/>
          <w:sz w:val="20"/>
          <w:szCs w:val="20"/>
          <w:lang w:val="en-US"/>
        </w:rPr>
      </w:pPr>
    </w:p>
    <w:p w14:paraId="63126B81" w14:textId="77777777" w:rsidR="000739A7" w:rsidRPr="00FE7BA7" w:rsidRDefault="000739A7" w:rsidP="000739A7">
      <w:pPr>
        <w:autoSpaceDE w:val="0"/>
        <w:autoSpaceDN w:val="0"/>
        <w:adjustRightInd w:val="0"/>
        <w:jc w:val="both"/>
        <w:rPr>
          <w:rFonts w:ascii="Verdana" w:eastAsiaTheme="minorHAnsi" w:hAnsi="Verdana" w:cs="Verdana"/>
          <w:color w:val="000000"/>
          <w:spacing w:val="-2"/>
          <w:sz w:val="20"/>
          <w:szCs w:val="20"/>
          <w:lang w:val="en-US"/>
        </w:rPr>
      </w:pPr>
      <w:r w:rsidRPr="00FE7BA7">
        <w:rPr>
          <w:rFonts w:ascii="Verdana" w:eastAsiaTheme="minorHAnsi" w:hAnsi="Verdana" w:cs="Verdana"/>
          <w:color w:val="000000"/>
          <w:spacing w:val="-2"/>
          <w:sz w:val="20"/>
          <w:szCs w:val="20"/>
          <w:lang w:val="en-US"/>
        </w:rPr>
        <w:t xml:space="preserve">By six votes to one, that </w:t>
      </w:r>
    </w:p>
    <w:p w14:paraId="63126B82" w14:textId="77777777" w:rsidR="00C1694E" w:rsidRPr="00FE7BA7" w:rsidRDefault="00C1694E" w:rsidP="000739A7">
      <w:pPr>
        <w:autoSpaceDE w:val="0"/>
        <w:autoSpaceDN w:val="0"/>
        <w:adjustRightInd w:val="0"/>
        <w:jc w:val="both"/>
        <w:rPr>
          <w:rFonts w:ascii="Verdana" w:hAnsi="Verdana" w:cs="Verdana"/>
          <w:sz w:val="20"/>
          <w:szCs w:val="20"/>
          <w:lang w:val="en-US"/>
        </w:rPr>
      </w:pPr>
    </w:p>
    <w:p w14:paraId="63126B83" w14:textId="77777777"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eastAsia="es-CR"/>
        </w:rPr>
        <w:t>The State</w:t>
      </w:r>
      <w:r w:rsidR="00C1694E" w:rsidRPr="00FE7BA7">
        <w:rPr>
          <w:rFonts w:ascii="Verdana" w:hAnsi="Verdana"/>
          <w:sz w:val="20"/>
          <w:szCs w:val="20"/>
          <w:lang w:val="en-US" w:eastAsia="es-CR"/>
        </w:rPr>
        <w:t xml:space="preserve"> </w:t>
      </w:r>
      <w:r w:rsidR="000739A7" w:rsidRPr="00FE7BA7">
        <w:rPr>
          <w:rFonts w:ascii="Verdana" w:hAnsi="Verdana"/>
          <w:sz w:val="20"/>
          <w:szCs w:val="20"/>
          <w:lang w:val="en-US" w:eastAsia="es-CR"/>
        </w:rPr>
        <w:t>is responsible for the violation of the right</w:t>
      </w:r>
      <w:r w:rsidR="00967E6B" w:rsidRPr="00FE7BA7">
        <w:rPr>
          <w:rFonts w:ascii="Verdana" w:hAnsi="Verdana"/>
          <w:sz w:val="20"/>
          <w:szCs w:val="20"/>
          <w:lang w:val="en-US" w:eastAsia="es-CR"/>
        </w:rPr>
        <w:t xml:space="preserve"> to</w:t>
      </w:r>
      <w:r w:rsidR="00C1694E" w:rsidRPr="00FE7BA7">
        <w:rPr>
          <w:rFonts w:ascii="Verdana" w:hAnsi="Verdana"/>
          <w:sz w:val="20"/>
          <w:szCs w:val="20"/>
          <w:lang w:val="en-US" w:eastAsia="es-CR"/>
        </w:rPr>
        <w:t xml:space="preserve"> </w:t>
      </w:r>
      <w:r w:rsidR="00B257B6" w:rsidRPr="00FE7BA7">
        <w:rPr>
          <w:rFonts w:ascii="Verdana" w:hAnsi="Verdana"/>
          <w:sz w:val="20"/>
          <w:szCs w:val="20"/>
          <w:lang w:val="en-US" w:eastAsia="es-CR"/>
        </w:rPr>
        <w:t>judicial protection</w:t>
      </w:r>
      <w:r w:rsidR="00C1694E" w:rsidRPr="00FE7BA7">
        <w:rPr>
          <w:rFonts w:ascii="Verdana" w:hAnsi="Verdana"/>
          <w:sz w:val="20"/>
          <w:szCs w:val="20"/>
          <w:lang w:val="en-US" w:eastAsia="es-CR"/>
        </w:rPr>
        <w:t xml:space="preserve">, </w:t>
      </w:r>
      <w:r w:rsidR="00967E6B" w:rsidRPr="00FE7BA7">
        <w:rPr>
          <w:rFonts w:ascii="Verdana" w:hAnsi="Verdana"/>
          <w:sz w:val="20"/>
          <w:szCs w:val="20"/>
          <w:lang w:val="en-US" w:eastAsia="es-CR"/>
        </w:rPr>
        <w:t xml:space="preserve">recognized in </w:t>
      </w:r>
      <w:r w:rsidRPr="00FE7BA7">
        <w:rPr>
          <w:rFonts w:ascii="Verdana" w:hAnsi="Verdana"/>
          <w:sz w:val="20"/>
          <w:szCs w:val="20"/>
          <w:lang w:val="en-US" w:eastAsia="es-CR"/>
        </w:rPr>
        <w:t>Article</w:t>
      </w:r>
      <w:r w:rsidR="00C1694E" w:rsidRPr="00FE7BA7">
        <w:rPr>
          <w:rFonts w:ascii="Verdana" w:hAnsi="Verdana"/>
          <w:sz w:val="20"/>
          <w:szCs w:val="20"/>
          <w:lang w:val="en-US" w:eastAsia="es-CR"/>
        </w:rPr>
        <w:t xml:space="preserve"> 25</w:t>
      </w:r>
      <w:r w:rsidRPr="00FE7BA7">
        <w:rPr>
          <w:rFonts w:ascii="Verdana" w:hAnsi="Verdana"/>
          <w:sz w:val="20"/>
          <w:szCs w:val="20"/>
          <w:lang w:val="en-US" w:eastAsia="es-CR"/>
        </w:rPr>
        <w:t xml:space="preserve"> of the American Convention</w:t>
      </w:r>
      <w:r w:rsidR="00C1694E" w:rsidRPr="00FE7BA7">
        <w:rPr>
          <w:rFonts w:ascii="Verdana" w:hAnsi="Verdana"/>
          <w:sz w:val="20"/>
          <w:szCs w:val="20"/>
          <w:lang w:val="en-US" w:eastAsia="es-CR"/>
        </w:rPr>
        <w:t xml:space="preserve">, </w:t>
      </w:r>
      <w:r w:rsidR="00773D70" w:rsidRPr="00FE7BA7">
        <w:rPr>
          <w:rFonts w:ascii="Verdana" w:hAnsi="Verdana"/>
          <w:sz w:val="20"/>
          <w:szCs w:val="20"/>
          <w:lang w:val="en-US" w:eastAsia="es-CR"/>
        </w:rPr>
        <w:t>in relation to Articles 1(1)</w:t>
      </w:r>
      <w:r w:rsidR="00C1694E" w:rsidRPr="00FE7BA7">
        <w:rPr>
          <w:rFonts w:ascii="Verdana" w:hAnsi="Verdana"/>
          <w:sz w:val="20"/>
          <w:szCs w:val="20"/>
          <w:lang w:val="en-US" w:eastAsia="es-CR"/>
        </w:rPr>
        <w:t>, 2</w:t>
      </w:r>
      <w:r w:rsidRPr="00FE7BA7">
        <w:rPr>
          <w:rFonts w:ascii="Verdana" w:hAnsi="Verdana"/>
          <w:sz w:val="20"/>
          <w:szCs w:val="20"/>
          <w:lang w:val="en-US" w:eastAsia="es-CR"/>
        </w:rPr>
        <w:t xml:space="preserve"> and </w:t>
      </w:r>
      <w:r w:rsidR="00C1694E" w:rsidRPr="00FE7BA7">
        <w:rPr>
          <w:rFonts w:ascii="Verdana" w:hAnsi="Verdana"/>
          <w:sz w:val="20"/>
          <w:szCs w:val="20"/>
          <w:lang w:val="en-US" w:eastAsia="es-CR"/>
        </w:rPr>
        <w:t xml:space="preserve">13 </w:t>
      </w:r>
      <w:r w:rsidR="00967E6B" w:rsidRPr="00FE7BA7">
        <w:rPr>
          <w:rFonts w:ascii="Verdana" w:hAnsi="Verdana"/>
          <w:sz w:val="20"/>
          <w:szCs w:val="20"/>
          <w:lang w:val="en-US" w:eastAsia="es-CR"/>
        </w:rPr>
        <w:t>thereof</w:t>
      </w:r>
      <w:r w:rsidR="00C1694E" w:rsidRPr="00FE7BA7">
        <w:rPr>
          <w:rFonts w:ascii="Verdana" w:hAnsi="Verdana"/>
          <w:sz w:val="20"/>
          <w:szCs w:val="20"/>
          <w:lang w:val="en-US" w:eastAsia="es-CR"/>
        </w:rPr>
        <w:t xml:space="preserve">, </w:t>
      </w:r>
      <w:r w:rsidR="00773D70" w:rsidRPr="00FE7BA7">
        <w:rPr>
          <w:rFonts w:ascii="Verdana" w:hAnsi="Verdana"/>
          <w:sz w:val="20"/>
          <w:szCs w:val="20"/>
          <w:lang w:val="en-US"/>
        </w:rPr>
        <w:t>to the detriment of the</w:t>
      </w:r>
      <w:r w:rsidR="00635ACD" w:rsidRPr="00FE7BA7">
        <w:rPr>
          <w:rFonts w:ascii="Verdana" w:hAnsi="Verdana"/>
          <w:sz w:val="20"/>
          <w:szCs w:val="20"/>
          <w:lang w:val="en-US"/>
        </w:rPr>
        <w:t xml:space="preserve"> </w:t>
      </w:r>
      <w:r w:rsidR="004C7D14" w:rsidRPr="00FE7BA7">
        <w:rPr>
          <w:rFonts w:ascii="Verdana" w:hAnsi="Verdana"/>
          <w:sz w:val="20"/>
          <w:szCs w:val="20"/>
          <w:lang w:val="en-US"/>
        </w:rPr>
        <w:t xml:space="preserve">Kaliña and Lokono </w:t>
      </w:r>
      <w:r w:rsidR="004C7D14" w:rsidRPr="00BB3478">
        <w:rPr>
          <w:rFonts w:ascii="Verdana" w:hAnsi="Verdana"/>
          <w:sz w:val="20"/>
          <w:szCs w:val="20"/>
          <w:lang w:val="en-US"/>
        </w:rPr>
        <w:t>peoples</w:t>
      </w:r>
      <w:r w:rsidRPr="00BB3478">
        <w:rPr>
          <w:rFonts w:ascii="Verdana" w:hAnsi="Verdana"/>
          <w:sz w:val="20"/>
          <w:szCs w:val="20"/>
          <w:lang w:val="en-US"/>
        </w:rPr>
        <w:t xml:space="preserve"> and </w:t>
      </w:r>
      <w:r w:rsidR="00D40098" w:rsidRPr="00BB3478">
        <w:rPr>
          <w:rFonts w:ascii="Verdana" w:hAnsi="Verdana"/>
          <w:sz w:val="20"/>
          <w:szCs w:val="20"/>
          <w:lang w:val="en-US"/>
        </w:rPr>
        <w:t>their</w:t>
      </w:r>
      <w:r w:rsidR="00D40098" w:rsidRPr="00FE7BA7">
        <w:rPr>
          <w:rFonts w:ascii="Verdana" w:hAnsi="Verdana"/>
          <w:sz w:val="20"/>
          <w:szCs w:val="20"/>
          <w:lang w:val="en-US"/>
        </w:rPr>
        <w:t xml:space="preserve"> members</w:t>
      </w:r>
      <w:r w:rsidR="00C1694E" w:rsidRPr="00FE7BA7">
        <w:rPr>
          <w:rFonts w:ascii="Verdana" w:hAnsi="Verdana"/>
          <w:sz w:val="20"/>
          <w:szCs w:val="20"/>
          <w:lang w:val="en-US"/>
        </w:rPr>
        <w:t xml:space="preserve">, </w:t>
      </w:r>
      <w:r w:rsidR="000739A7" w:rsidRPr="00FE7BA7">
        <w:rPr>
          <w:rFonts w:ascii="Verdana" w:hAnsi="Verdana"/>
          <w:sz w:val="20"/>
          <w:szCs w:val="20"/>
          <w:lang w:val="en-US"/>
        </w:rPr>
        <w:t>pursuant to paragraphs</w:t>
      </w:r>
      <w:r w:rsidR="00967E6B" w:rsidRPr="00FE7BA7">
        <w:rPr>
          <w:rFonts w:ascii="Verdana" w:hAnsi="Verdana"/>
          <w:sz w:val="20"/>
          <w:szCs w:val="20"/>
          <w:lang w:val="en-US"/>
        </w:rPr>
        <w:t xml:space="preserve"> 237 to</w:t>
      </w:r>
      <w:r w:rsidR="00C1694E" w:rsidRPr="00FE7BA7">
        <w:rPr>
          <w:rFonts w:ascii="Verdana" w:hAnsi="Verdana"/>
          <w:sz w:val="20"/>
          <w:szCs w:val="20"/>
          <w:lang w:val="en-US"/>
        </w:rPr>
        <w:t xml:space="preserve"> 268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84" w14:textId="77777777" w:rsidR="00C1694E" w:rsidRPr="00FE7BA7" w:rsidRDefault="00C1694E" w:rsidP="00C1694E">
      <w:pPr>
        <w:ind w:right="11"/>
        <w:jc w:val="both"/>
        <w:rPr>
          <w:rFonts w:ascii="Verdana" w:hAnsi="Verdana" w:cs="Verdana"/>
          <w:sz w:val="20"/>
          <w:szCs w:val="20"/>
          <w:lang w:val="en-US"/>
        </w:rPr>
      </w:pPr>
    </w:p>
    <w:p w14:paraId="63126B85" w14:textId="77777777" w:rsidR="00C1694E" w:rsidRPr="00FE7BA7" w:rsidRDefault="002B5CCD" w:rsidP="00C1694E">
      <w:pPr>
        <w:ind w:right="11"/>
        <w:jc w:val="both"/>
        <w:rPr>
          <w:rFonts w:ascii="Verdana" w:hAnsi="Verdana" w:cs="Verdana"/>
          <w:sz w:val="20"/>
          <w:szCs w:val="20"/>
          <w:lang w:val="en-US"/>
        </w:rPr>
      </w:pPr>
      <w:proofErr w:type="gramStart"/>
      <w:r w:rsidRPr="00FE7BA7">
        <w:rPr>
          <w:rFonts w:ascii="Verdana" w:hAnsi="Verdana" w:cs="Verdana"/>
          <w:sz w:val="20"/>
          <w:szCs w:val="20"/>
          <w:lang w:val="en-US"/>
        </w:rPr>
        <w:t>Judge</w:t>
      </w:r>
      <w:r w:rsidR="00C1694E" w:rsidRPr="00FE7BA7">
        <w:rPr>
          <w:rFonts w:ascii="Verdana" w:hAnsi="Verdana" w:cs="Verdana"/>
          <w:sz w:val="20"/>
          <w:szCs w:val="20"/>
          <w:lang w:val="en-US"/>
        </w:rPr>
        <w:t xml:space="preserve"> Pérez Pérez</w:t>
      </w:r>
      <w:r w:rsidR="000739A7" w:rsidRPr="00FE7BA7">
        <w:rPr>
          <w:rFonts w:ascii="Verdana" w:hAnsi="Verdana" w:cs="Verdana"/>
          <w:sz w:val="20"/>
          <w:szCs w:val="20"/>
          <w:lang w:val="en-US"/>
        </w:rPr>
        <w:t xml:space="preserve"> dissenting</w:t>
      </w:r>
      <w:r w:rsidR="00C1694E" w:rsidRPr="00FE7BA7">
        <w:rPr>
          <w:rFonts w:ascii="Verdana" w:hAnsi="Verdana" w:cs="Verdana"/>
          <w:sz w:val="20"/>
          <w:szCs w:val="20"/>
          <w:lang w:val="en-US"/>
        </w:rPr>
        <w:t>.</w:t>
      </w:r>
      <w:proofErr w:type="gramEnd"/>
    </w:p>
    <w:p w14:paraId="63126B86" w14:textId="77777777" w:rsidR="00C1694E" w:rsidRPr="00FE7BA7" w:rsidRDefault="00C1694E" w:rsidP="00C1694E">
      <w:pPr>
        <w:ind w:right="11"/>
        <w:jc w:val="both"/>
        <w:rPr>
          <w:rFonts w:ascii="Verdana" w:hAnsi="Verdana" w:cs="Verdana"/>
          <w:sz w:val="20"/>
          <w:szCs w:val="20"/>
          <w:lang w:val="en-US"/>
        </w:rPr>
      </w:pPr>
    </w:p>
    <w:p w14:paraId="63126B87" w14:textId="77777777" w:rsidR="00C1694E" w:rsidRPr="00FE7BA7" w:rsidRDefault="000739A7" w:rsidP="00C1694E">
      <w:pPr>
        <w:ind w:right="11"/>
        <w:jc w:val="both"/>
        <w:rPr>
          <w:rFonts w:ascii="Verdana" w:hAnsi="Verdana"/>
          <w:b/>
          <w:sz w:val="20"/>
          <w:lang w:val="en-US"/>
        </w:rPr>
      </w:pPr>
      <w:r w:rsidRPr="00FE7BA7">
        <w:rPr>
          <w:rFonts w:ascii="Verdana" w:hAnsi="Verdana"/>
          <w:b/>
          <w:sz w:val="20"/>
          <w:lang w:val="en-US"/>
        </w:rPr>
        <w:t>AND ESTABLISHES,</w:t>
      </w:r>
    </w:p>
    <w:p w14:paraId="63126B88" w14:textId="77777777" w:rsidR="00C1694E" w:rsidRPr="00FE7BA7" w:rsidRDefault="00C1694E" w:rsidP="00C1694E">
      <w:pPr>
        <w:ind w:right="11"/>
        <w:jc w:val="both"/>
        <w:rPr>
          <w:rFonts w:ascii="Verdana" w:hAnsi="Verdana" w:cs="Verdana"/>
          <w:sz w:val="20"/>
          <w:szCs w:val="20"/>
          <w:lang w:val="en-US"/>
        </w:rPr>
      </w:pPr>
    </w:p>
    <w:p w14:paraId="63126B89" w14:textId="77777777" w:rsidR="00C1694E" w:rsidRPr="00FE7BA7" w:rsidRDefault="000739A7" w:rsidP="00C1694E">
      <w:pPr>
        <w:rPr>
          <w:rFonts w:ascii="Verdana" w:hAnsi="Verdana" w:cs="Verdana"/>
          <w:sz w:val="20"/>
          <w:szCs w:val="20"/>
          <w:lang w:val="en-US"/>
        </w:rPr>
      </w:pPr>
      <w:r w:rsidRPr="00FE7BA7">
        <w:rPr>
          <w:rFonts w:ascii="Verdana" w:hAnsi="Verdana" w:cs="Verdana"/>
          <w:sz w:val="20"/>
          <w:szCs w:val="20"/>
          <w:lang w:val="en-US"/>
        </w:rPr>
        <w:t>Unanimously, that</w:t>
      </w:r>
      <w:r w:rsidR="00C1694E" w:rsidRPr="00FE7BA7">
        <w:rPr>
          <w:rFonts w:ascii="Verdana" w:hAnsi="Verdana" w:cs="Verdana"/>
          <w:sz w:val="20"/>
          <w:szCs w:val="20"/>
          <w:lang w:val="en-US"/>
        </w:rPr>
        <w:t>:</w:t>
      </w:r>
    </w:p>
    <w:p w14:paraId="63126B8A" w14:textId="77777777" w:rsidR="00C1694E" w:rsidRPr="00FE7BA7" w:rsidRDefault="00C1694E" w:rsidP="00C1694E">
      <w:pPr>
        <w:rPr>
          <w:rFonts w:ascii="Verdana" w:hAnsi="Verdana" w:cs="Verdana"/>
          <w:strike/>
          <w:sz w:val="20"/>
          <w:szCs w:val="20"/>
          <w:lang w:val="en-US"/>
        </w:rPr>
      </w:pPr>
    </w:p>
    <w:p w14:paraId="63126B8B" w14:textId="77777777" w:rsidR="00C1694E" w:rsidRPr="00EF7F6A" w:rsidRDefault="00967E6B" w:rsidP="00C1694E">
      <w:pPr>
        <w:numPr>
          <w:ilvl w:val="0"/>
          <w:numId w:val="48"/>
        </w:numPr>
        <w:ind w:left="0" w:right="11" w:firstLine="0"/>
        <w:jc w:val="both"/>
        <w:rPr>
          <w:rFonts w:ascii="Verdana" w:hAnsi="Verdana" w:cs="Verdana"/>
          <w:sz w:val="20"/>
          <w:szCs w:val="20"/>
          <w:lang w:val="en-US"/>
        </w:rPr>
      </w:pPr>
      <w:r w:rsidRPr="00EF7F6A">
        <w:rPr>
          <w:rFonts w:ascii="Verdana" w:hAnsi="Verdana"/>
          <w:sz w:val="20"/>
          <w:szCs w:val="20"/>
          <w:lang w:val="en-US"/>
        </w:rPr>
        <w:t xml:space="preserve">This Judgment constitutes, </w:t>
      </w:r>
      <w:r w:rsidRPr="00EF7F6A">
        <w:rPr>
          <w:rFonts w:ascii="Verdana" w:hAnsi="Verdana"/>
          <w:i/>
          <w:sz w:val="20"/>
          <w:szCs w:val="20"/>
          <w:lang w:val="en-US"/>
        </w:rPr>
        <w:t>per se,</w:t>
      </w:r>
      <w:r w:rsidRPr="00EF7F6A">
        <w:rPr>
          <w:rFonts w:ascii="Verdana" w:hAnsi="Verdana"/>
          <w:sz w:val="20"/>
          <w:szCs w:val="20"/>
          <w:lang w:val="en-US"/>
        </w:rPr>
        <w:t xml:space="preserve"> a form of reparation.</w:t>
      </w:r>
    </w:p>
    <w:p w14:paraId="63126B8C" w14:textId="77777777" w:rsidR="00C1694E" w:rsidRPr="00EF7F6A" w:rsidRDefault="00C1694E" w:rsidP="00C1694E">
      <w:pPr>
        <w:ind w:right="11"/>
        <w:jc w:val="both"/>
        <w:rPr>
          <w:rFonts w:ascii="Verdana" w:hAnsi="Verdana" w:cs="Verdana"/>
          <w:sz w:val="20"/>
          <w:szCs w:val="20"/>
          <w:lang w:val="en-US"/>
        </w:rPr>
      </w:pPr>
    </w:p>
    <w:p w14:paraId="63126B8D" w14:textId="77777777" w:rsidR="00C1694E" w:rsidRPr="00EF7F6A" w:rsidRDefault="002B5CCD" w:rsidP="00C1694E">
      <w:pPr>
        <w:numPr>
          <w:ilvl w:val="0"/>
          <w:numId w:val="48"/>
        </w:numPr>
        <w:ind w:left="0" w:right="11" w:firstLine="0"/>
        <w:jc w:val="both"/>
        <w:rPr>
          <w:rFonts w:ascii="Verdana" w:hAnsi="Verdana" w:cs="Verdana"/>
          <w:sz w:val="20"/>
          <w:szCs w:val="20"/>
          <w:lang w:val="en-US"/>
        </w:rPr>
      </w:pPr>
      <w:r w:rsidRPr="00EF7F6A">
        <w:rPr>
          <w:rFonts w:ascii="Verdana" w:eastAsia="MS Mincho" w:hAnsi="Verdana" w:cs="Verdana"/>
          <w:w w:val="95"/>
          <w:sz w:val="20"/>
          <w:szCs w:val="20"/>
          <w:lang w:val="en-US"/>
        </w:rPr>
        <w:t>The State</w:t>
      </w:r>
      <w:r w:rsidR="00C1694E" w:rsidRPr="00EF7F6A">
        <w:rPr>
          <w:rFonts w:ascii="Verdana" w:eastAsia="MS Mincho" w:hAnsi="Verdana" w:cs="Verdana"/>
          <w:w w:val="95"/>
          <w:sz w:val="20"/>
          <w:szCs w:val="20"/>
          <w:lang w:val="en-US"/>
        </w:rPr>
        <w:t xml:space="preserve"> </w:t>
      </w:r>
      <w:r w:rsidR="00967E6B" w:rsidRPr="00EF7F6A">
        <w:rPr>
          <w:rFonts w:ascii="Verdana" w:eastAsia="MS Mincho" w:hAnsi="Verdana" w:cs="Verdana"/>
          <w:w w:val="95"/>
          <w:sz w:val="20"/>
          <w:szCs w:val="20"/>
          <w:lang w:val="en-US"/>
        </w:rPr>
        <w:t xml:space="preserve">shall grant </w:t>
      </w:r>
      <w:r w:rsidRPr="00EF7F6A">
        <w:rPr>
          <w:rFonts w:ascii="Verdana" w:hAnsi="Verdana"/>
          <w:sz w:val="20"/>
          <w:szCs w:val="20"/>
          <w:lang w:val="en-US"/>
        </w:rPr>
        <w:t xml:space="preserve">the </w:t>
      </w:r>
      <w:r w:rsidR="004C7D14" w:rsidRPr="00EF7F6A">
        <w:rPr>
          <w:rFonts w:ascii="Verdana" w:hAnsi="Verdana"/>
          <w:sz w:val="20"/>
          <w:szCs w:val="20"/>
          <w:lang w:val="en-US"/>
        </w:rPr>
        <w:t xml:space="preserve">Kaliña and Lokono </w:t>
      </w:r>
      <w:proofErr w:type="gramStart"/>
      <w:r w:rsidR="004C7D14" w:rsidRPr="00EF7F6A">
        <w:rPr>
          <w:rFonts w:ascii="Verdana" w:hAnsi="Verdana"/>
          <w:sz w:val="20"/>
          <w:szCs w:val="20"/>
          <w:lang w:val="en-US"/>
        </w:rPr>
        <w:t>peoples</w:t>
      </w:r>
      <w:proofErr w:type="gramEnd"/>
      <w:r w:rsidR="00C1694E" w:rsidRPr="00EF7F6A">
        <w:rPr>
          <w:rFonts w:ascii="Verdana" w:hAnsi="Verdana"/>
          <w:sz w:val="20"/>
          <w:szCs w:val="20"/>
          <w:lang w:val="en-US"/>
        </w:rPr>
        <w:t xml:space="preserve"> </w:t>
      </w:r>
      <w:r w:rsidR="00967E6B" w:rsidRPr="00EF7F6A">
        <w:rPr>
          <w:rFonts w:ascii="Verdana" w:hAnsi="Verdana"/>
          <w:sz w:val="20"/>
          <w:szCs w:val="20"/>
          <w:lang w:val="en-US"/>
        </w:rPr>
        <w:t>legal recognition of collective juridical personal</w:t>
      </w:r>
      <w:r w:rsidR="00BB3478" w:rsidRPr="00EF7F6A">
        <w:rPr>
          <w:rFonts w:ascii="Verdana" w:hAnsi="Verdana"/>
          <w:sz w:val="20"/>
          <w:szCs w:val="20"/>
          <w:lang w:val="en-US"/>
        </w:rPr>
        <w:t>ity</w:t>
      </w:r>
      <w:r w:rsidR="00967E6B" w:rsidRPr="00EF7F6A">
        <w:rPr>
          <w:rFonts w:ascii="Verdana" w:hAnsi="Verdana"/>
          <w:sz w:val="20"/>
          <w:szCs w:val="20"/>
          <w:lang w:val="en-US"/>
        </w:rPr>
        <w:t>, as established in paragraph</w:t>
      </w:r>
      <w:r w:rsidR="00C1694E" w:rsidRPr="00EF7F6A">
        <w:rPr>
          <w:rFonts w:ascii="Verdana" w:hAnsi="Verdana"/>
          <w:sz w:val="20"/>
          <w:szCs w:val="20"/>
          <w:lang w:val="en-US"/>
        </w:rPr>
        <w:t xml:space="preserve"> 279</w:t>
      </w:r>
      <w:r w:rsidR="00FF1704" w:rsidRPr="00EF7F6A">
        <w:rPr>
          <w:rFonts w:ascii="Verdana" w:hAnsi="Verdana"/>
          <w:sz w:val="20"/>
          <w:szCs w:val="20"/>
          <w:lang w:val="en-US"/>
        </w:rPr>
        <w:t>.i.a</w:t>
      </w:r>
      <w:r w:rsidR="00C1694E" w:rsidRPr="00EF7F6A">
        <w:rPr>
          <w:rFonts w:ascii="Verdana" w:hAnsi="Verdana"/>
          <w:sz w:val="20"/>
          <w:szCs w:val="20"/>
          <w:lang w:val="en-US"/>
        </w:rPr>
        <w:t xml:space="preserve"> </w:t>
      </w:r>
      <w:r w:rsidR="000739A7" w:rsidRPr="00EF7F6A">
        <w:rPr>
          <w:rFonts w:ascii="Verdana" w:hAnsi="Verdana"/>
          <w:sz w:val="20"/>
          <w:szCs w:val="20"/>
          <w:lang w:val="en-US"/>
        </w:rPr>
        <w:t>of this Judgment</w:t>
      </w:r>
      <w:r w:rsidR="00C1694E" w:rsidRPr="00EF7F6A">
        <w:rPr>
          <w:rFonts w:ascii="Verdana" w:hAnsi="Verdana"/>
          <w:sz w:val="20"/>
          <w:szCs w:val="20"/>
          <w:lang w:val="en-US"/>
        </w:rPr>
        <w:t>.</w:t>
      </w:r>
    </w:p>
    <w:p w14:paraId="593C3ADF" w14:textId="77777777" w:rsidR="00EF7F6A" w:rsidRPr="00EF7F6A" w:rsidRDefault="00EF7F6A" w:rsidP="006C4E70">
      <w:pPr>
        <w:ind w:right="11"/>
        <w:jc w:val="both"/>
        <w:rPr>
          <w:rFonts w:ascii="Verdana" w:hAnsi="Verdana" w:cs="Verdana"/>
          <w:sz w:val="20"/>
          <w:szCs w:val="20"/>
          <w:lang w:val="en-US"/>
        </w:rPr>
      </w:pPr>
    </w:p>
    <w:p w14:paraId="63126B8F" w14:textId="5F939F16" w:rsidR="00C1694E" w:rsidRPr="00EF7F6A" w:rsidRDefault="002B5CCD" w:rsidP="00C1694E">
      <w:pPr>
        <w:numPr>
          <w:ilvl w:val="0"/>
          <w:numId w:val="48"/>
        </w:numPr>
        <w:ind w:left="0" w:right="11" w:firstLine="0"/>
        <w:jc w:val="both"/>
        <w:rPr>
          <w:rFonts w:ascii="Verdana" w:hAnsi="Verdana" w:cs="Verdana"/>
          <w:sz w:val="20"/>
          <w:szCs w:val="20"/>
          <w:lang w:val="en-US"/>
        </w:rPr>
      </w:pPr>
      <w:r w:rsidRPr="006C4E70">
        <w:rPr>
          <w:rFonts w:ascii="Verdana" w:eastAsia="MS Mincho" w:hAnsi="Verdana" w:cs="Arial"/>
          <w:w w:val="95"/>
          <w:sz w:val="20"/>
          <w:szCs w:val="20"/>
          <w:lang w:val="en-US"/>
        </w:rPr>
        <w:t>The State</w:t>
      </w:r>
      <w:r w:rsidR="00C1694E" w:rsidRPr="006C4E70">
        <w:rPr>
          <w:rFonts w:ascii="Verdana" w:eastAsia="MS Mincho" w:hAnsi="Verdana" w:cs="Arial"/>
          <w:w w:val="95"/>
          <w:sz w:val="20"/>
          <w:szCs w:val="20"/>
          <w:lang w:val="en-US"/>
        </w:rPr>
        <w:t xml:space="preserve"> </w:t>
      </w:r>
      <w:r w:rsidR="00967E6B" w:rsidRPr="006C4E70">
        <w:rPr>
          <w:rFonts w:ascii="Verdana" w:eastAsia="MS Mincho" w:hAnsi="Verdana" w:cs="Arial"/>
          <w:w w:val="95"/>
          <w:sz w:val="20"/>
          <w:szCs w:val="20"/>
          <w:lang w:val="en-US"/>
        </w:rPr>
        <w:t>shall delimit</w:t>
      </w:r>
      <w:r w:rsidR="00631438">
        <w:rPr>
          <w:rFonts w:ascii="Verdana" w:eastAsia="MS Mincho" w:hAnsi="Verdana" w:cs="Arial"/>
          <w:w w:val="95"/>
          <w:sz w:val="20"/>
          <w:szCs w:val="20"/>
          <w:lang w:val="en-US"/>
        </w:rPr>
        <w:t xml:space="preserve"> and</w:t>
      </w:r>
      <w:r w:rsidR="00967E6B" w:rsidRPr="006C4E70">
        <w:rPr>
          <w:rFonts w:ascii="Verdana" w:eastAsia="MS Mincho" w:hAnsi="Verdana" w:cs="Arial"/>
          <w:w w:val="95"/>
          <w:sz w:val="20"/>
          <w:szCs w:val="20"/>
          <w:lang w:val="en-US"/>
        </w:rPr>
        <w:t xml:space="preserve"> demarcate </w:t>
      </w:r>
      <w:r w:rsidR="00631438">
        <w:rPr>
          <w:rFonts w:ascii="Verdana" w:eastAsia="MS Mincho" w:hAnsi="Verdana" w:cs="Arial"/>
          <w:w w:val="95"/>
          <w:sz w:val="20"/>
          <w:szCs w:val="20"/>
          <w:lang w:val="en-US"/>
        </w:rPr>
        <w:t>the tradition</w:t>
      </w:r>
      <w:r w:rsidR="00092A2C">
        <w:rPr>
          <w:rFonts w:ascii="Verdana" w:eastAsia="MS Mincho" w:hAnsi="Verdana" w:cs="Arial"/>
          <w:w w:val="95"/>
          <w:sz w:val="20"/>
          <w:szCs w:val="20"/>
          <w:lang w:val="en-US"/>
        </w:rPr>
        <w:t>a</w:t>
      </w:r>
      <w:r w:rsidR="00631438">
        <w:rPr>
          <w:rFonts w:ascii="Verdana" w:eastAsia="MS Mincho" w:hAnsi="Verdana" w:cs="Arial"/>
          <w:w w:val="95"/>
          <w:sz w:val="20"/>
          <w:szCs w:val="20"/>
          <w:lang w:val="en-US"/>
        </w:rPr>
        <w:t xml:space="preserve">l territory of </w:t>
      </w:r>
      <w:r w:rsidR="00DA4B96" w:rsidRPr="00EF7F6A">
        <w:rPr>
          <w:rFonts w:ascii="Verdana" w:hAnsi="Verdana"/>
          <w:sz w:val="20"/>
          <w:szCs w:val="20"/>
          <w:lang w:val="en-US"/>
        </w:rPr>
        <w:t>the members</w:t>
      </w:r>
      <w:r w:rsidR="00635ACD" w:rsidRPr="00EF7F6A">
        <w:rPr>
          <w:rFonts w:ascii="Verdana" w:hAnsi="Verdana"/>
          <w:sz w:val="20"/>
          <w:szCs w:val="20"/>
          <w:lang w:val="en-US"/>
        </w:rPr>
        <w:t xml:space="preserve"> of the </w:t>
      </w:r>
      <w:r w:rsidR="004C7D14" w:rsidRPr="00EF7F6A">
        <w:rPr>
          <w:rFonts w:ascii="Verdana" w:hAnsi="Verdana"/>
          <w:sz w:val="20"/>
          <w:szCs w:val="20"/>
          <w:lang w:val="en-US"/>
        </w:rPr>
        <w:t>Kaliña and Lokono peoples</w:t>
      </w:r>
      <w:r w:rsidR="00C1694E" w:rsidRPr="00EF7F6A">
        <w:rPr>
          <w:rFonts w:ascii="Verdana" w:hAnsi="Verdana"/>
          <w:sz w:val="20"/>
          <w:szCs w:val="20"/>
          <w:lang w:val="en-US"/>
        </w:rPr>
        <w:t>,</w:t>
      </w:r>
      <w:r w:rsidR="00631438">
        <w:rPr>
          <w:rFonts w:ascii="Verdana" w:hAnsi="Verdana"/>
          <w:sz w:val="20"/>
          <w:szCs w:val="20"/>
          <w:lang w:val="en-US"/>
        </w:rPr>
        <w:t xml:space="preserve"> as well as grant them collective title</w:t>
      </w:r>
      <w:r w:rsidR="00D56850">
        <w:rPr>
          <w:rFonts w:ascii="Verdana" w:hAnsi="Verdana"/>
          <w:sz w:val="20"/>
          <w:szCs w:val="20"/>
          <w:lang w:val="en-US"/>
        </w:rPr>
        <w:t xml:space="preserve"> to that territory</w:t>
      </w:r>
      <w:r w:rsidR="00631438">
        <w:rPr>
          <w:rFonts w:ascii="Verdana" w:hAnsi="Verdana"/>
          <w:sz w:val="20"/>
          <w:szCs w:val="20"/>
          <w:lang w:val="en-US"/>
        </w:rPr>
        <w:t xml:space="preserve"> </w:t>
      </w:r>
      <w:r w:rsidR="00BB3478" w:rsidRPr="00EF7F6A">
        <w:rPr>
          <w:rFonts w:ascii="Verdana" w:hAnsi="Verdana"/>
          <w:sz w:val="20"/>
          <w:szCs w:val="20"/>
          <w:lang w:val="en-US"/>
        </w:rPr>
        <w:t>and ensure their</w:t>
      </w:r>
      <w:r w:rsidR="00967E6B" w:rsidRPr="00EF7F6A">
        <w:rPr>
          <w:rFonts w:ascii="Verdana" w:hAnsi="Verdana"/>
          <w:sz w:val="20"/>
          <w:szCs w:val="20"/>
          <w:lang w:val="en-US"/>
        </w:rPr>
        <w:t xml:space="preserve"> effective use and enjoyment</w:t>
      </w:r>
      <w:r w:rsidR="00631438">
        <w:rPr>
          <w:rFonts w:ascii="Verdana" w:hAnsi="Verdana"/>
          <w:sz w:val="20"/>
          <w:szCs w:val="20"/>
          <w:lang w:val="en-US"/>
        </w:rPr>
        <w:t xml:space="preserve"> thereof</w:t>
      </w:r>
      <w:r w:rsidR="00967E6B" w:rsidRPr="00EF7F6A">
        <w:rPr>
          <w:rFonts w:ascii="Verdana" w:hAnsi="Verdana"/>
          <w:sz w:val="20"/>
          <w:szCs w:val="20"/>
          <w:lang w:val="en-US"/>
        </w:rPr>
        <w:t>, taking into account the rights of other tribal peoples in the area, as established in paragraphs</w:t>
      </w:r>
      <w:r w:rsidR="00C1694E" w:rsidRPr="00EF7F6A">
        <w:rPr>
          <w:rFonts w:ascii="Verdana" w:hAnsi="Verdana"/>
          <w:sz w:val="20"/>
          <w:szCs w:val="20"/>
          <w:lang w:val="en-US"/>
        </w:rPr>
        <w:t xml:space="preserve"> 279</w:t>
      </w:r>
      <w:r w:rsidR="00FF1704" w:rsidRPr="00EF7F6A">
        <w:rPr>
          <w:rFonts w:ascii="Verdana" w:hAnsi="Verdana"/>
          <w:sz w:val="20"/>
          <w:szCs w:val="20"/>
          <w:lang w:val="en-US"/>
        </w:rPr>
        <w:t>.i.b, 284</w:t>
      </w:r>
      <w:r w:rsidRPr="00EF7F6A">
        <w:rPr>
          <w:rFonts w:ascii="Verdana" w:hAnsi="Verdana"/>
          <w:sz w:val="20"/>
          <w:szCs w:val="20"/>
          <w:lang w:val="en-US"/>
        </w:rPr>
        <w:t xml:space="preserve"> and </w:t>
      </w:r>
      <w:r w:rsidR="00FF1704" w:rsidRPr="00EF7F6A">
        <w:rPr>
          <w:rFonts w:ascii="Verdana" w:hAnsi="Verdana"/>
          <w:sz w:val="20"/>
          <w:szCs w:val="20"/>
          <w:lang w:val="en-US"/>
        </w:rPr>
        <w:t>285</w:t>
      </w:r>
      <w:r w:rsidR="00C1694E" w:rsidRPr="00EF7F6A">
        <w:rPr>
          <w:rFonts w:ascii="Verdana" w:hAnsi="Verdana"/>
          <w:sz w:val="20"/>
          <w:szCs w:val="20"/>
          <w:lang w:val="en-US"/>
        </w:rPr>
        <w:t xml:space="preserve"> </w:t>
      </w:r>
      <w:r w:rsidR="000739A7" w:rsidRPr="00EF7F6A">
        <w:rPr>
          <w:rFonts w:ascii="Verdana" w:hAnsi="Verdana"/>
          <w:sz w:val="20"/>
          <w:szCs w:val="20"/>
          <w:lang w:val="en-US"/>
        </w:rPr>
        <w:t>of this Judgment</w:t>
      </w:r>
      <w:r w:rsidR="00C1694E" w:rsidRPr="00EF7F6A">
        <w:rPr>
          <w:rFonts w:ascii="Verdana" w:hAnsi="Verdana"/>
          <w:sz w:val="20"/>
          <w:szCs w:val="20"/>
          <w:lang w:val="en-US"/>
        </w:rPr>
        <w:t>.</w:t>
      </w:r>
    </w:p>
    <w:p w14:paraId="63126B90" w14:textId="77777777" w:rsidR="00C1694E" w:rsidRPr="00EF7F6A" w:rsidRDefault="00C1694E" w:rsidP="00C1694E">
      <w:pPr>
        <w:pStyle w:val="ListParagraph"/>
        <w:rPr>
          <w:rFonts w:ascii="Verdana" w:hAnsi="Verdana" w:cs="Verdana"/>
          <w:sz w:val="20"/>
          <w:szCs w:val="20"/>
          <w:lang w:val="en-US"/>
        </w:rPr>
      </w:pPr>
    </w:p>
    <w:p w14:paraId="63126B91" w14:textId="77777777"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 xml:space="preserve">shall, through its competent authorities, establish how the territorial rights of </w:t>
      </w:r>
      <w:r w:rsidR="00635ACD" w:rsidRPr="00FE7BA7">
        <w:rPr>
          <w:rFonts w:ascii="Verdana" w:hAnsi="Verdana"/>
          <w:sz w:val="20"/>
          <w:szCs w:val="20"/>
          <w:lang w:val="en-US"/>
        </w:rPr>
        <w:t xml:space="preserve">the </w:t>
      </w:r>
      <w:r w:rsidR="004C7D14" w:rsidRPr="00FE7BA7">
        <w:rPr>
          <w:rFonts w:ascii="Verdana" w:hAnsi="Verdana"/>
          <w:sz w:val="20"/>
          <w:szCs w:val="20"/>
          <w:lang w:val="en-US"/>
        </w:rPr>
        <w:t>Kaliña and Lokono peoples</w:t>
      </w:r>
      <w:r w:rsidR="00967E6B" w:rsidRPr="00FE7BA7">
        <w:rPr>
          <w:rFonts w:ascii="Verdana" w:hAnsi="Verdana"/>
          <w:sz w:val="20"/>
          <w:szCs w:val="20"/>
          <w:lang w:val="en-US"/>
        </w:rPr>
        <w:t xml:space="preserve"> will be protected in cases in which the land claimed is owned by the State or by third parties, as established in paragraphs 280 to</w:t>
      </w:r>
      <w:r w:rsidR="00C1694E" w:rsidRPr="00FE7BA7">
        <w:rPr>
          <w:rFonts w:ascii="Verdana" w:hAnsi="Verdana"/>
          <w:sz w:val="20"/>
          <w:szCs w:val="20"/>
          <w:lang w:val="en-US"/>
        </w:rPr>
        <w:t xml:space="preserve"> 285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92" w14:textId="77777777" w:rsidR="00C1694E" w:rsidRPr="00FE7BA7" w:rsidRDefault="00C1694E" w:rsidP="00C1694E">
      <w:pPr>
        <w:rPr>
          <w:szCs w:val="20"/>
          <w:lang w:val="en-US"/>
        </w:rPr>
      </w:pPr>
    </w:p>
    <w:p w14:paraId="63126B93" w14:textId="77777777" w:rsidR="00C1694E" w:rsidRPr="00FE7BA7" w:rsidRDefault="002B5CCD" w:rsidP="00C1694E">
      <w:pPr>
        <w:numPr>
          <w:ilvl w:val="0"/>
          <w:numId w:val="48"/>
        </w:numPr>
        <w:ind w:left="0" w:right="11" w:firstLine="0"/>
        <w:jc w:val="both"/>
        <w:rPr>
          <w:rFonts w:ascii="Verdana" w:hAnsi="Verdana"/>
          <w:sz w:val="20"/>
          <w:szCs w:val="20"/>
          <w:lang w:val="en-US"/>
        </w:rPr>
      </w:pPr>
      <w:r w:rsidRPr="00FE7BA7">
        <w:rPr>
          <w:rFonts w:ascii="Verdana" w:hAnsi="Verdana"/>
          <w:sz w:val="20"/>
          <w:szCs w:val="20"/>
          <w:lang w:val="en-US"/>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 xml:space="preserve">shall take the appropriate measures to ensure </w:t>
      </w:r>
      <w:r w:rsidR="00BB3478">
        <w:rPr>
          <w:rFonts w:ascii="Verdana" w:hAnsi="Verdana"/>
          <w:sz w:val="20"/>
          <w:szCs w:val="20"/>
          <w:lang w:val="en-US"/>
        </w:rPr>
        <w:t xml:space="preserve">the </w:t>
      </w:r>
      <w:r w:rsidR="00967E6B" w:rsidRPr="00FE7BA7">
        <w:rPr>
          <w:rFonts w:ascii="Verdana" w:hAnsi="Verdana"/>
          <w:sz w:val="20"/>
          <w:szCs w:val="20"/>
          <w:lang w:val="en-US"/>
        </w:rPr>
        <w:t xml:space="preserve">access, use and participation </w:t>
      </w:r>
      <w:r w:rsidR="00635ACD" w:rsidRPr="00FE7BA7">
        <w:rPr>
          <w:rFonts w:ascii="Verdana" w:hAnsi="Verdana" w:cs="Arial"/>
          <w:sz w:val="20"/>
          <w:szCs w:val="20"/>
          <w:lang w:val="en-US"/>
        </w:rPr>
        <w:t xml:space="preserve">of the </w:t>
      </w:r>
      <w:r w:rsidR="004C7D14" w:rsidRPr="00FE7BA7">
        <w:rPr>
          <w:rFonts w:ascii="Verdana" w:hAnsi="Verdana" w:cs="Arial"/>
          <w:sz w:val="20"/>
          <w:szCs w:val="20"/>
          <w:lang w:val="en-US"/>
        </w:rPr>
        <w:t>Kaliña and Lokono peoples</w:t>
      </w:r>
      <w:r w:rsidR="00C1694E" w:rsidRPr="00FE7BA7">
        <w:rPr>
          <w:rFonts w:ascii="Verdana" w:hAnsi="Verdana"/>
          <w:sz w:val="20"/>
          <w:lang w:val="en-US"/>
        </w:rPr>
        <w:t xml:space="preserve"> </w:t>
      </w:r>
      <w:r w:rsidR="00967E6B" w:rsidRPr="00FE7BA7">
        <w:rPr>
          <w:rFonts w:ascii="Verdana" w:hAnsi="Verdana"/>
          <w:sz w:val="20"/>
          <w:lang w:val="en-US"/>
        </w:rPr>
        <w:t xml:space="preserve">in the </w:t>
      </w:r>
      <w:r w:rsidR="00C1694E" w:rsidRPr="00FE7BA7">
        <w:rPr>
          <w:rFonts w:ascii="Verdana" w:hAnsi="Verdana" w:cs="Arial"/>
          <w:sz w:val="20"/>
          <w:szCs w:val="20"/>
          <w:lang w:val="en-US"/>
        </w:rPr>
        <w:t>Galibi</w:t>
      </w:r>
      <w:r w:rsidRPr="00FE7BA7">
        <w:rPr>
          <w:rFonts w:ascii="Verdana" w:hAnsi="Verdana" w:cs="Arial"/>
          <w:sz w:val="20"/>
          <w:szCs w:val="20"/>
          <w:lang w:val="en-US"/>
        </w:rPr>
        <w:t xml:space="preserve"> and </w:t>
      </w:r>
      <w:r w:rsidR="00C1694E" w:rsidRPr="00FE7BA7">
        <w:rPr>
          <w:rFonts w:ascii="Verdana" w:hAnsi="Verdana" w:cs="Arial"/>
          <w:sz w:val="20"/>
          <w:szCs w:val="20"/>
          <w:lang w:val="en-US"/>
        </w:rPr>
        <w:t>Wane Kreek</w:t>
      </w:r>
      <w:r w:rsidR="00967E6B" w:rsidRPr="00FE7BA7">
        <w:rPr>
          <w:rFonts w:ascii="Verdana" w:hAnsi="Verdana" w:cs="Arial"/>
          <w:sz w:val="20"/>
          <w:szCs w:val="20"/>
          <w:lang w:val="en-US"/>
        </w:rPr>
        <w:t xml:space="preserve"> Nature Reserves</w:t>
      </w:r>
      <w:r w:rsidR="00C1694E" w:rsidRPr="00FE7BA7">
        <w:rPr>
          <w:rFonts w:ascii="Verdana" w:hAnsi="Verdana" w:cs="Arial"/>
          <w:sz w:val="20"/>
          <w:szCs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w:t>
      </w:r>
      <w:r w:rsidR="00C1694E" w:rsidRPr="00FE7BA7">
        <w:rPr>
          <w:rFonts w:ascii="Verdana" w:hAnsi="Verdana"/>
          <w:sz w:val="20"/>
          <w:szCs w:val="20"/>
          <w:lang w:val="en-US"/>
        </w:rPr>
        <w:t xml:space="preserve"> 286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94" w14:textId="77777777" w:rsidR="00C1694E" w:rsidRPr="00FE7BA7" w:rsidRDefault="00C1694E" w:rsidP="00C1694E">
      <w:pPr>
        <w:ind w:right="11"/>
        <w:jc w:val="both"/>
        <w:rPr>
          <w:rFonts w:ascii="Verdana" w:hAnsi="Verdana"/>
          <w:sz w:val="20"/>
          <w:szCs w:val="20"/>
          <w:lang w:val="en-US"/>
        </w:rPr>
      </w:pPr>
    </w:p>
    <w:p w14:paraId="63126B95" w14:textId="77777777" w:rsidR="00C1694E" w:rsidRPr="00FE7BA7" w:rsidRDefault="002B5CCD" w:rsidP="00C1694E">
      <w:pPr>
        <w:numPr>
          <w:ilvl w:val="0"/>
          <w:numId w:val="48"/>
        </w:numPr>
        <w:ind w:left="0" w:right="11" w:firstLine="0"/>
        <w:jc w:val="both"/>
        <w:rPr>
          <w:rFonts w:ascii="Verdana" w:hAnsi="Verdana"/>
          <w:sz w:val="20"/>
          <w:lang w:val="en-US"/>
        </w:rPr>
      </w:pPr>
      <w:r w:rsidRPr="00FE7BA7">
        <w:rPr>
          <w:rFonts w:ascii="Verdana" w:eastAsia="Times New Roman" w:hAnsi="Verdana"/>
          <w:color w:val="000000"/>
          <w:sz w:val="20"/>
          <w:lang w:val="en-US" w:eastAsia="es-CR"/>
        </w:rPr>
        <w:t>The State</w:t>
      </w:r>
      <w:r w:rsidR="00C1694E" w:rsidRPr="00FE7BA7">
        <w:rPr>
          <w:rFonts w:ascii="Verdana" w:hAnsi="Verdana"/>
          <w:sz w:val="20"/>
          <w:lang w:val="en-US"/>
        </w:rPr>
        <w:t xml:space="preserve"> </w:t>
      </w:r>
      <w:r w:rsidR="00967E6B" w:rsidRPr="00FE7BA7">
        <w:rPr>
          <w:rFonts w:ascii="Verdana" w:hAnsi="Verdana"/>
          <w:sz w:val="20"/>
          <w:lang w:val="en-US"/>
        </w:rPr>
        <w:t>shall take the necessary measures to ensure that no activities are carried out that could have an impact on the traditional territory, in particular in</w:t>
      </w:r>
      <w:r w:rsidR="00C1694E" w:rsidRPr="00FE7BA7">
        <w:rPr>
          <w:rFonts w:ascii="Verdana" w:hAnsi="Verdana"/>
          <w:sz w:val="20"/>
          <w:lang w:val="en-US"/>
        </w:rPr>
        <w:t xml:space="preserve"> </w:t>
      </w:r>
      <w:r w:rsidR="00BE4D11" w:rsidRPr="00FE7BA7">
        <w:rPr>
          <w:rFonts w:ascii="Verdana" w:hAnsi="Verdana"/>
          <w:sz w:val="20"/>
          <w:lang w:val="en-US"/>
        </w:rPr>
        <w:t xml:space="preserve">the </w:t>
      </w:r>
      <w:r w:rsidR="00511E56" w:rsidRPr="00FE7BA7">
        <w:rPr>
          <w:rFonts w:ascii="Verdana" w:hAnsi="Verdana"/>
          <w:sz w:val="20"/>
          <w:lang w:val="en-US"/>
        </w:rPr>
        <w:t>Wane Kreek</w:t>
      </w:r>
      <w:r w:rsidR="00BE4D11" w:rsidRPr="00FE7BA7">
        <w:rPr>
          <w:rFonts w:ascii="Verdana" w:hAnsi="Verdana"/>
          <w:sz w:val="20"/>
          <w:lang w:val="en-US"/>
        </w:rPr>
        <w:t xml:space="preserve"> Nature Reserve</w:t>
      </w:r>
      <w:r w:rsidR="00C1694E" w:rsidRPr="00FE7BA7">
        <w:rPr>
          <w:rFonts w:ascii="Verdana" w:hAnsi="Verdana"/>
          <w:sz w:val="20"/>
          <w:lang w:val="en-US"/>
        </w:rPr>
        <w:t xml:space="preserve">, </w:t>
      </w:r>
      <w:r w:rsidR="00967E6B" w:rsidRPr="00FE7BA7">
        <w:rPr>
          <w:rFonts w:ascii="Verdana" w:hAnsi="Verdana"/>
          <w:sz w:val="20"/>
          <w:lang w:val="en-US"/>
        </w:rPr>
        <w:t>while the above</w:t>
      </w:r>
      <w:r w:rsidR="0050357C">
        <w:rPr>
          <w:rFonts w:ascii="Verdana" w:hAnsi="Verdana"/>
          <w:sz w:val="20"/>
          <w:lang w:val="en-US"/>
        </w:rPr>
        <w:t>-</w:t>
      </w:r>
      <w:r w:rsidR="00967E6B" w:rsidRPr="00FE7BA7">
        <w:rPr>
          <w:rFonts w:ascii="Verdana" w:hAnsi="Verdana"/>
          <w:sz w:val="20"/>
          <w:lang w:val="en-US"/>
        </w:rPr>
        <w:t>mentioned processes for the effective participation</w:t>
      </w:r>
      <w:r w:rsidR="00635ACD" w:rsidRPr="00FE7BA7">
        <w:rPr>
          <w:rFonts w:ascii="Verdana" w:hAnsi="Verdana"/>
          <w:sz w:val="20"/>
          <w:lang w:val="en-US"/>
        </w:rPr>
        <w:t xml:space="preserve"> of the </w:t>
      </w:r>
      <w:r w:rsidR="004C7D14" w:rsidRPr="00FE7BA7">
        <w:rPr>
          <w:rFonts w:ascii="Verdana" w:hAnsi="Verdana"/>
          <w:sz w:val="20"/>
          <w:lang w:val="en-US"/>
        </w:rPr>
        <w:t>Kaliña and Lokono peoples</w:t>
      </w:r>
      <w:r w:rsidR="00967E6B" w:rsidRPr="00FE7BA7">
        <w:rPr>
          <w:rFonts w:ascii="Verdana" w:hAnsi="Verdana"/>
          <w:sz w:val="20"/>
          <w:lang w:val="en-US"/>
        </w:rPr>
        <w:t xml:space="preserve"> have not been </w:t>
      </w:r>
      <w:r w:rsidR="00BB3478">
        <w:rPr>
          <w:rFonts w:ascii="Verdana" w:hAnsi="Verdana"/>
          <w:sz w:val="20"/>
          <w:lang w:val="en-US"/>
        </w:rPr>
        <w:t>guaranteed</w:t>
      </w:r>
      <w:r w:rsidR="00C1694E" w:rsidRPr="00FE7BA7">
        <w:rPr>
          <w:rFonts w:ascii="Verdana" w:hAnsi="Verdana"/>
          <w:sz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lang w:val="en-US"/>
        </w:rPr>
        <w:t>paragraph</w:t>
      </w:r>
      <w:r w:rsidR="00C1694E" w:rsidRPr="00FE7BA7">
        <w:rPr>
          <w:rFonts w:ascii="Verdana" w:hAnsi="Verdana"/>
          <w:sz w:val="20"/>
          <w:lang w:val="en-US"/>
        </w:rPr>
        <w:t xml:space="preserve"> 287 </w:t>
      </w:r>
      <w:r w:rsidR="000739A7" w:rsidRPr="00FE7BA7">
        <w:rPr>
          <w:rFonts w:ascii="Verdana" w:hAnsi="Verdana"/>
          <w:sz w:val="20"/>
          <w:lang w:val="en-US"/>
        </w:rPr>
        <w:t>of this Judgment</w:t>
      </w:r>
      <w:r w:rsidR="00C1694E" w:rsidRPr="00FE7BA7">
        <w:rPr>
          <w:rFonts w:ascii="Verdana" w:hAnsi="Verdana"/>
          <w:sz w:val="20"/>
          <w:lang w:val="en-US"/>
        </w:rPr>
        <w:t>.</w:t>
      </w:r>
    </w:p>
    <w:p w14:paraId="63126B96" w14:textId="77777777" w:rsidR="00C1694E" w:rsidRPr="00FE7BA7" w:rsidRDefault="00C1694E" w:rsidP="00C1694E">
      <w:pPr>
        <w:rPr>
          <w:szCs w:val="20"/>
          <w:lang w:val="en-US"/>
        </w:rPr>
      </w:pPr>
    </w:p>
    <w:p w14:paraId="63126B97" w14:textId="77777777" w:rsidR="00C1694E" w:rsidRPr="00FE7BA7" w:rsidRDefault="002B5CCD" w:rsidP="00C1694E">
      <w:pPr>
        <w:numPr>
          <w:ilvl w:val="0"/>
          <w:numId w:val="48"/>
        </w:numPr>
        <w:ind w:left="0" w:right="11" w:firstLine="0"/>
        <w:jc w:val="both"/>
        <w:rPr>
          <w:rFonts w:ascii="Verdana" w:hAnsi="Verdana"/>
          <w:sz w:val="20"/>
          <w:szCs w:val="20"/>
          <w:lang w:val="en-US"/>
        </w:rPr>
      </w:pPr>
      <w:r w:rsidRPr="00FE7BA7">
        <w:rPr>
          <w:rFonts w:ascii="Verdana" w:eastAsia="Times New Roman" w:hAnsi="Verdana"/>
          <w:bCs/>
          <w:color w:val="000000"/>
          <w:sz w:val="20"/>
          <w:szCs w:val="20"/>
          <w:lang w:val="en-US" w:eastAsia="es-CR"/>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 xml:space="preserve">shall implement the sufficient and necessary </w:t>
      </w:r>
      <w:r w:rsidR="00967E6B" w:rsidRPr="00BB3478">
        <w:rPr>
          <w:rFonts w:ascii="Verdana" w:hAnsi="Verdana"/>
          <w:sz w:val="20"/>
          <w:szCs w:val="20"/>
          <w:lang w:val="en-US"/>
        </w:rPr>
        <w:t>measures to rehabilitate the affected</w:t>
      </w:r>
      <w:r w:rsidR="00967E6B" w:rsidRPr="00FE7BA7">
        <w:rPr>
          <w:rFonts w:ascii="Verdana" w:hAnsi="Verdana"/>
          <w:sz w:val="20"/>
          <w:szCs w:val="20"/>
          <w:lang w:val="en-US"/>
        </w:rPr>
        <w:t xml:space="preserve"> area in the</w:t>
      </w:r>
      <w:r w:rsidR="00C1694E" w:rsidRPr="00FE7BA7">
        <w:rPr>
          <w:rFonts w:ascii="Verdana" w:hAnsi="Verdana"/>
          <w:sz w:val="20"/>
          <w:szCs w:val="20"/>
          <w:lang w:val="en-US"/>
        </w:rPr>
        <w:t xml:space="preserve"> Wane Kreek</w:t>
      </w:r>
      <w:r w:rsidR="00967E6B" w:rsidRPr="00FE7BA7">
        <w:rPr>
          <w:rFonts w:ascii="Verdana" w:hAnsi="Verdana"/>
          <w:sz w:val="20"/>
          <w:szCs w:val="20"/>
          <w:lang w:val="en-US"/>
        </w:rPr>
        <w:t xml:space="preserve"> Nature Reserve</w:t>
      </w:r>
      <w:r w:rsidR="00C1694E" w:rsidRPr="00FE7BA7">
        <w:rPr>
          <w:rFonts w:ascii="Verdana" w:hAnsi="Verdana"/>
          <w:sz w:val="20"/>
          <w:szCs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paragraphs</w:t>
      </w:r>
      <w:r w:rsidR="00C1694E" w:rsidRPr="00FE7BA7">
        <w:rPr>
          <w:rFonts w:ascii="Verdana" w:hAnsi="Verdana"/>
          <w:sz w:val="20"/>
          <w:szCs w:val="20"/>
          <w:lang w:val="en-US"/>
        </w:rPr>
        <w:t xml:space="preserve"> 29</w:t>
      </w:r>
      <w:r w:rsidR="009E6C07" w:rsidRPr="00FE7BA7">
        <w:rPr>
          <w:rFonts w:ascii="Verdana" w:hAnsi="Verdana"/>
          <w:sz w:val="20"/>
          <w:szCs w:val="20"/>
          <w:lang w:val="en-US"/>
        </w:rPr>
        <w:t>0</w:t>
      </w:r>
      <w:r w:rsidR="0050357C">
        <w:rPr>
          <w:rFonts w:ascii="Verdana" w:hAnsi="Verdana"/>
          <w:sz w:val="20"/>
          <w:szCs w:val="20"/>
          <w:lang w:val="en-US"/>
        </w:rPr>
        <w:t xml:space="preserve"> and</w:t>
      </w:r>
      <w:r w:rsidR="00C1694E" w:rsidRPr="00FE7BA7">
        <w:rPr>
          <w:rFonts w:ascii="Verdana" w:hAnsi="Verdana"/>
          <w:sz w:val="20"/>
          <w:szCs w:val="20"/>
          <w:lang w:val="en-US"/>
        </w:rPr>
        <w:t xml:space="preserve"> 29</w:t>
      </w:r>
      <w:r w:rsidR="009E6C07" w:rsidRPr="00FE7BA7">
        <w:rPr>
          <w:rFonts w:ascii="Verdana" w:hAnsi="Verdana"/>
          <w:sz w:val="20"/>
          <w:szCs w:val="20"/>
          <w:lang w:val="en-US"/>
        </w:rPr>
        <w:t>1</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98" w14:textId="77777777" w:rsidR="00C1694E" w:rsidRPr="00FE7BA7" w:rsidRDefault="00C1694E" w:rsidP="00C1694E">
      <w:pPr>
        <w:pStyle w:val="ListParagraph"/>
        <w:rPr>
          <w:rFonts w:ascii="Verdana" w:hAnsi="Verdana"/>
          <w:sz w:val="20"/>
          <w:szCs w:val="20"/>
          <w:lang w:val="en-US"/>
        </w:rPr>
      </w:pPr>
    </w:p>
    <w:p w14:paraId="63126B99" w14:textId="77777777"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cs="Verdana"/>
          <w:sz w:val="20"/>
          <w:szCs w:val="20"/>
          <w:lang w:val="en-US"/>
        </w:rPr>
        <w:t>The State</w:t>
      </w:r>
      <w:r w:rsidR="00C1694E" w:rsidRPr="00FE7BA7">
        <w:rPr>
          <w:rFonts w:ascii="Verdana" w:hAnsi="Verdana" w:cs="Verdana"/>
          <w:sz w:val="20"/>
          <w:szCs w:val="20"/>
          <w:lang w:val="en-US"/>
        </w:rPr>
        <w:t xml:space="preserve"> </w:t>
      </w:r>
      <w:r w:rsidR="00967E6B" w:rsidRPr="00FE7BA7">
        <w:rPr>
          <w:rFonts w:ascii="Verdana" w:hAnsi="Verdana" w:cs="Verdana"/>
          <w:sz w:val="20"/>
          <w:szCs w:val="20"/>
          <w:lang w:val="en-US"/>
        </w:rPr>
        <w:t>shall creat</w:t>
      </w:r>
      <w:r w:rsidR="00D40098" w:rsidRPr="00FE7BA7">
        <w:rPr>
          <w:rFonts w:ascii="Verdana" w:hAnsi="Verdana" w:cs="Verdana"/>
          <w:sz w:val="20"/>
          <w:szCs w:val="20"/>
          <w:lang w:val="en-US"/>
        </w:rPr>
        <w:t>e</w:t>
      </w:r>
      <w:r w:rsidR="00967E6B" w:rsidRPr="00FE7BA7">
        <w:rPr>
          <w:rFonts w:ascii="Verdana" w:hAnsi="Verdana" w:cs="Verdana"/>
          <w:sz w:val="20"/>
          <w:szCs w:val="20"/>
          <w:lang w:val="en-US"/>
        </w:rPr>
        <w:t xml:space="preserve"> a community development fund for the members</w:t>
      </w:r>
      <w:r w:rsidR="00635ACD" w:rsidRPr="00FE7BA7">
        <w:rPr>
          <w:rFonts w:ascii="Verdana" w:hAnsi="Verdana" w:cs="Verdana"/>
          <w:sz w:val="20"/>
          <w:szCs w:val="20"/>
          <w:lang w:val="en-US"/>
        </w:rPr>
        <w:t xml:space="preserve"> of the </w:t>
      </w:r>
      <w:r w:rsidR="004C7D14" w:rsidRPr="00FE7BA7">
        <w:rPr>
          <w:rFonts w:ascii="Verdana" w:hAnsi="Verdana" w:cs="Verdana"/>
          <w:sz w:val="20"/>
          <w:szCs w:val="20"/>
          <w:lang w:val="en-US"/>
        </w:rPr>
        <w:t xml:space="preserve">Kaliña and </w:t>
      </w:r>
      <w:r w:rsidR="004C7D14" w:rsidRPr="00BB3478">
        <w:rPr>
          <w:rFonts w:ascii="Verdana" w:hAnsi="Verdana" w:cs="Verdana"/>
          <w:sz w:val="20"/>
          <w:szCs w:val="20"/>
          <w:lang w:val="en-US"/>
        </w:rPr>
        <w:t>Lokono peoples</w:t>
      </w:r>
      <w:r w:rsidR="00C1694E" w:rsidRPr="00BB3478">
        <w:rPr>
          <w:rFonts w:ascii="Verdana" w:hAnsi="Verdana" w:cs="Verdana"/>
          <w:sz w:val="20"/>
          <w:szCs w:val="20"/>
          <w:lang w:val="en-US"/>
        </w:rPr>
        <w:t xml:space="preserve">, </w:t>
      </w:r>
      <w:r w:rsidR="00967E6B" w:rsidRPr="00BB3478">
        <w:rPr>
          <w:rFonts w:ascii="Verdana" w:hAnsi="Verdana" w:cs="Verdana"/>
          <w:sz w:val="20"/>
          <w:szCs w:val="20"/>
          <w:lang w:val="en-US"/>
        </w:rPr>
        <w:t>in</w:t>
      </w:r>
      <w:r w:rsidR="00967E6B" w:rsidRPr="00FE7BA7">
        <w:rPr>
          <w:rFonts w:ascii="Verdana" w:hAnsi="Verdana" w:cs="Verdana"/>
          <w:sz w:val="20"/>
          <w:szCs w:val="20"/>
          <w:lang w:val="en-US"/>
        </w:rPr>
        <w:t xml:space="preserve"> the </w:t>
      </w:r>
      <w:r w:rsidR="00BB3478">
        <w:rPr>
          <w:rFonts w:ascii="Verdana" w:hAnsi="Verdana" w:cs="Verdana"/>
          <w:sz w:val="20"/>
          <w:szCs w:val="20"/>
          <w:lang w:val="en-US"/>
        </w:rPr>
        <w:t>terms and within the time frame</w:t>
      </w:r>
      <w:r w:rsidR="00967E6B" w:rsidRPr="00FE7BA7">
        <w:rPr>
          <w:rFonts w:ascii="Verdana" w:hAnsi="Verdana" w:cs="Verdana"/>
          <w:sz w:val="20"/>
          <w:szCs w:val="20"/>
          <w:lang w:val="en-US"/>
        </w:rPr>
        <w:t xml:space="preserve"> established in </w:t>
      </w:r>
      <w:r w:rsidR="00967E6B" w:rsidRPr="00FE7BA7">
        <w:rPr>
          <w:rFonts w:ascii="Verdana" w:hAnsi="Verdana"/>
          <w:sz w:val="20"/>
          <w:szCs w:val="20"/>
          <w:lang w:val="en-US"/>
        </w:rPr>
        <w:t>paragraphs</w:t>
      </w:r>
      <w:r w:rsidR="00C1694E" w:rsidRPr="00FE7BA7">
        <w:rPr>
          <w:rFonts w:ascii="Verdana" w:hAnsi="Verdana"/>
          <w:sz w:val="20"/>
          <w:szCs w:val="20"/>
          <w:lang w:val="en-US"/>
        </w:rPr>
        <w:t xml:space="preserve"> 29</w:t>
      </w:r>
      <w:r w:rsidR="00FF1704" w:rsidRPr="00FE7BA7">
        <w:rPr>
          <w:rFonts w:ascii="Verdana" w:hAnsi="Verdana"/>
          <w:sz w:val="20"/>
          <w:szCs w:val="20"/>
          <w:lang w:val="en-US"/>
        </w:rPr>
        <w:t>5</w:t>
      </w:r>
      <w:r w:rsidR="00967E6B" w:rsidRPr="00FE7BA7">
        <w:rPr>
          <w:rFonts w:ascii="Verdana" w:hAnsi="Verdana"/>
          <w:sz w:val="20"/>
          <w:szCs w:val="20"/>
          <w:lang w:val="en-US"/>
        </w:rPr>
        <w:t xml:space="preserve"> to</w:t>
      </w:r>
      <w:r w:rsidR="00C1694E" w:rsidRPr="00FE7BA7">
        <w:rPr>
          <w:rFonts w:ascii="Verdana" w:hAnsi="Verdana"/>
          <w:sz w:val="20"/>
          <w:szCs w:val="20"/>
          <w:lang w:val="en-US"/>
        </w:rPr>
        <w:t xml:space="preserve"> </w:t>
      </w:r>
      <w:r w:rsidR="00FF1704" w:rsidRPr="00FE7BA7">
        <w:rPr>
          <w:rFonts w:ascii="Verdana" w:hAnsi="Verdana"/>
          <w:sz w:val="20"/>
          <w:szCs w:val="20"/>
          <w:lang w:val="en-US"/>
        </w:rPr>
        <w:t>299</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9A" w14:textId="77777777" w:rsidR="00C1694E" w:rsidRPr="00FE7BA7" w:rsidRDefault="00C1694E" w:rsidP="00C1694E">
      <w:pPr>
        <w:pStyle w:val="ListParagraph"/>
        <w:rPr>
          <w:rFonts w:ascii="Verdana" w:hAnsi="Verdana" w:cs="Verdana"/>
          <w:sz w:val="20"/>
          <w:szCs w:val="20"/>
          <w:lang w:val="en-US"/>
        </w:rPr>
      </w:pPr>
    </w:p>
    <w:p w14:paraId="63126B9B" w14:textId="29433E9C"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 xml:space="preserve">shall implement the necessary inter-institutional coordination mechanisms in order to ensure the effectiveness of the measures established above, within three months of </w:t>
      </w:r>
      <w:r w:rsidR="00967E6B" w:rsidRPr="00FE7BA7">
        <w:rPr>
          <w:rFonts w:ascii="Verdana" w:hAnsi="Verdana"/>
          <w:sz w:val="20"/>
          <w:szCs w:val="20"/>
          <w:lang w:val="en-US"/>
        </w:rPr>
        <w:lastRenderedPageBreak/>
        <w:t xml:space="preserve">notification of this Judgment,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w:t>
      </w:r>
      <w:r w:rsidR="00EB6FDF">
        <w:rPr>
          <w:rFonts w:ascii="Verdana" w:hAnsi="Verdana"/>
          <w:sz w:val="20"/>
          <w:szCs w:val="20"/>
          <w:lang w:val="en-US"/>
        </w:rPr>
        <w:t>s</w:t>
      </w:r>
      <w:r w:rsidR="00C1694E" w:rsidRPr="00FE7BA7">
        <w:rPr>
          <w:rFonts w:ascii="Verdana" w:hAnsi="Verdana"/>
          <w:sz w:val="20"/>
          <w:szCs w:val="20"/>
          <w:lang w:val="en-US"/>
        </w:rPr>
        <w:t xml:space="preserve"> 28</w:t>
      </w:r>
      <w:r w:rsidR="00FF1704" w:rsidRPr="00FE7BA7">
        <w:rPr>
          <w:rFonts w:ascii="Verdana" w:hAnsi="Verdana"/>
          <w:sz w:val="20"/>
          <w:szCs w:val="20"/>
          <w:lang w:val="en-US"/>
        </w:rPr>
        <w:t>5</w:t>
      </w:r>
      <w:r w:rsidR="00EB6FDF">
        <w:rPr>
          <w:rFonts w:ascii="Verdana" w:hAnsi="Verdana"/>
          <w:sz w:val="20"/>
          <w:szCs w:val="20"/>
          <w:lang w:val="en-US"/>
        </w:rPr>
        <w:t>, 290, 291, 295 and 299</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9C" w14:textId="77777777" w:rsidR="00C1694E" w:rsidRPr="00FE7BA7" w:rsidRDefault="00C1694E" w:rsidP="00C1694E">
      <w:pPr>
        <w:pStyle w:val="ListParagraph"/>
        <w:tabs>
          <w:tab w:val="left" w:pos="8941"/>
        </w:tabs>
        <w:rPr>
          <w:rFonts w:ascii="Verdana" w:hAnsi="Verdana"/>
          <w:sz w:val="20"/>
          <w:szCs w:val="20"/>
          <w:lang w:val="en-US"/>
        </w:rPr>
      </w:pPr>
      <w:r w:rsidRPr="00FE7BA7">
        <w:rPr>
          <w:rFonts w:ascii="Verdana" w:hAnsi="Verdana"/>
          <w:sz w:val="20"/>
          <w:szCs w:val="20"/>
          <w:lang w:val="en-US"/>
        </w:rPr>
        <w:tab/>
      </w:r>
    </w:p>
    <w:p w14:paraId="63126B9D" w14:textId="3D4AEC5A" w:rsidR="00C1694E" w:rsidRPr="00FE7BA7" w:rsidRDefault="002B5CCD" w:rsidP="00C1694E">
      <w:pPr>
        <w:numPr>
          <w:ilvl w:val="0"/>
          <w:numId w:val="48"/>
        </w:numPr>
        <w:ind w:left="0" w:right="11" w:firstLine="0"/>
        <w:jc w:val="both"/>
        <w:rPr>
          <w:rFonts w:ascii="Verdana" w:hAnsi="Verdana"/>
          <w:sz w:val="20"/>
          <w:lang w:val="en-US"/>
        </w:rPr>
      </w:pPr>
      <w:r w:rsidRPr="00FE7BA7">
        <w:rPr>
          <w:rFonts w:ascii="Verdana" w:hAnsi="Verdana"/>
          <w:sz w:val="20"/>
          <w:lang w:val="en-US"/>
        </w:rPr>
        <w:t>The State</w:t>
      </w:r>
      <w:r w:rsidR="00C1694E" w:rsidRPr="00FE7BA7">
        <w:rPr>
          <w:rFonts w:ascii="Verdana" w:hAnsi="Verdana"/>
          <w:sz w:val="20"/>
          <w:lang w:val="en-US"/>
        </w:rPr>
        <w:t xml:space="preserve"> </w:t>
      </w:r>
      <w:r w:rsidR="00967E6B" w:rsidRPr="00FE7BA7">
        <w:rPr>
          <w:rFonts w:ascii="Verdana" w:hAnsi="Verdana"/>
          <w:sz w:val="20"/>
          <w:lang w:val="en-US"/>
        </w:rPr>
        <w:t>shall take the necessary measures to recognize the collective juridical personality of indigenous and tribal peoples in</w:t>
      </w:r>
      <w:r w:rsidR="00C1694E" w:rsidRPr="00FE7BA7">
        <w:rPr>
          <w:rFonts w:ascii="Verdana" w:hAnsi="Verdana"/>
          <w:sz w:val="20"/>
          <w:lang w:val="en-US"/>
        </w:rPr>
        <w:t xml:space="preserve"> </w:t>
      </w:r>
      <w:r w:rsidR="004C7D14" w:rsidRPr="00FE7BA7">
        <w:rPr>
          <w:rFonts w:ascii="Verdana" w:hAnsi="Verdana"/>
          <w:sz w:val="20"/>
          <w:lang w:val="en-US"/>
        </w:rPr>
        <w:t>Suriname,</w:t>
      </w:r>
      <w:r w:rsidR="00C1694E" w:rsidRPr="00FE7BA7">
        <w:rPr>
          <w:rFonts w:ascii="Verdana" w:hAnsi="Verdana"/>
          <w:sz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lang w:val="en-US"/>
        </w:rPr>
        <w:t>paragraph</w:t>
      </w:r>
      <w:r w:rsidR="00C1694E" w:rsidRPr="00FE7BA7">
        <w:rPr>
          <w:rFonts w:ascii="Verdana" w:hAnsi="Verdana"/>
          <w:sz w:val="20"/>
          <w:lang w:val="en-US"/>
        </w:rPr>
        <w:t xml:space="preserve"> 30</w:t>
      </w:r>
      <w:r w:rsidR="003A1187" w:rsidRPr="00FE7BA7">
        <w:rPr>
          <w:rFonts w:ascii="Verdana" w:hAnsi="Verdana"/>
          <w:sz w:val="20"/>
          <w:lang w:val="en-US"/>
        </w:rPr>
        <w:t>5.a</w:t>
      </w:r>
      <w:r w:rsidR="00C1694E" w:rsidRPr="00FE7BA7">
        <w:rPr>
          <w:rFonts w:ascii="Verdana" w:hAnsi="Verdana"/>
          <w:sz w:val="20"/>
          <w:lang w:val="en-US"/>
        </w:rPr>
        <w:t xml:space="preserve"> </w:t>
      </w:r>
      <w:r w:rsidR="000739A7" w:rsidRPr="00FE7BA7">
        <w:rPr>
          <w:rFonts w:ascii="Verdana" w:hAnsi="Verdana"/>
          <w:sz w:val="20"/>
          <w:lang w:val="en-US"/>
        </w:rPr>
        <w:t>of this Judgment</w:t>
      </w:r>
      <w:r w:rsidR="00C1694E" w:rsidRPr="00FE7BA7">
        <w:rPr>
          <w:rFonts w:ascii="Verdana" w:hAnsi="Verdana"/>
          <w:sz w:val="20"/>
          <w:lang w:val="en-US"/>
        </w:rPr>
        <w:t>.</w:t>
      </w:r>
    </w:p>
    <w:p w14:paraId="63126B9E" w14:textId="77777777" w:rsidR="00C1694E" w:rsidRPr="00FE7BA7" w:rsidRDefault="00C1694E" w:rsidP="00C1694E">
      <w:pPr>
        <w:ind w:right="11"/>
        <w:jc w:val="both"/>
        <w:rPr>
          <w:rFonts w:ascii="Verdana" w:hAnsi="Verdana"/>
          <w:sz w:val="20"/>
          <w:szCs w:val="20"/>
          <w:lang w:val="en-US"/>
        </w:rPr>
      </w:pPr>
    </w:p>
    <w:p w14:paraId="63126B9F" w14:textId="7E5A1EF8" w:rsidR="00C1694E" w:rsidRPr="00FE7BA7" w:rsidRDefault="002B5CCD" w:rsidP="00C1694E">
      <w:pPr>
        <w:numPr>
          <w:ilvl w:val="0"/>
          <w:numId w:val="48"/>
        </w:numPr>
        <w:ind w:left="0" w:right="11" w:firstLine="0"/>
        <w:jc w:val="both"/>
        <w:rPr>
          <w:rFonts w:ascii="Verdana" w:hAnsi="Verdana"/>
          <w:sz w:val="20"/>
          <w:szCs w:val="20"/>
          <w:lang w:val="en-US"/>
        </w:rPr>
      </w:pPr>
      <w:r w:rsidRPr="00FE7BA7">
        <w:rPr>
          <w:rFonts w:ascii="Verdana" w:hAnsi="Verdana" w:cs="Verdana"/>
          <w:sz w:val="20"/>
          <w:szCs w:val="20"/>
          <w:lang w:val="en-US"/>
        </w:rPr>
        <w:t>The State</w:t>
      </w:r>
      <w:r w:rsidR="00C1694E" w:rsidRPr="00FE7BA7">
        <w:rPr>
          <w:rFonts w:ascii="Verdana" w:hAnsi="Verdana" w:cs="Verdana"/>
          <w:sz w:val="20"/>
          <w:szCs w:val="20"/>
          <w:lang w:val="en-US"/>
        </w:rPr>
        <w:t xml:space="preserve"> </w:t>
      </w:r>
      <w:r w:rsidR="00967E6B" w:rsidRPr="00FE7BA7">
        <w:rPr>
          <w:rFonts w:ascii="Verdana" w:hAnsi="Verdana" w:cs="Verdana"/>
          <w:sz w:val="20"/>
          <w:szCs w:val="20"/>
          <w:lang w:val="en-US"/>
        </w:rPr>
        <w:t>shall take the necessary measures to</w:t>
      </w:r>
      <w:r w:rsidR="00C1694E" w:rsidRPr="00FE7BA7">
        <w:rPr>
          <w:rFonts w:ascii="Verdana" w:hAnsi="Verdana"/>
          <w:sz w:val="20"/>
          <w:szCs w:val="20"/>
          <w:lang w:val="en-US"/>
        </w:rPr>
        <w:t xml:space="preserve"> </w:t>
      </w:r>
      <w:r w:rsidR="00967E6B" w:rsidRPr="00FE7BA7">
        <w:rPr>
          <w:rFonts w:ascii="Verdana" w:hAnsi="Verdana"/>
          <w:sz w:val="20"/>
          <w:szCs w:val="20"/>
          <w:lang w:val="en-US"/>
        </w:rPr>
        <w:t>e</w:t>
      </w:r>
      <w:r w:rsidR="00BB3478">
        <w:rPr>
          <w:rFonts w:ascii="Verdana" w:hAnsi="Verdana"/>
          <w:sz w:val="20"/>
          <w:szCs w:val="20"/>
          <w:lang w:val="en-US"/>
        </w:rPr>
        <w:t>stablish an effective mechanism</w:t>
      </w:r>
      <w:r w:rsidR="00967E6B" w:rsidRPr="00FE7BA7">
        <w:rPr>
          <w:rFonts w:ascii="Verdana" w:hAnsi="Verdana"/>
          <w:sz w:val="20"/>
          <w:szCs w:val="20"/>
          <w:lang w:val="en-US"/>
        </w:rPr>
        <w:t xml:space="preserve"> for delimiting, demarcating and titling the territories of indigenous and tribal peoples in</w:t>
      </w:r>
      <w:r w:rsidR="00C1694E" w:rsidRPr="00FE7BA7">
        <w:rPr>
          <w:rFonts w:ascii="Verdana" w:hAnsi="Verdana"/>
          <w:sz w:val="20"/>
          <w:szCs w:val="20"/>
          <w:lang w:val="en-US"/>
        </w:rPr>
        <w:t xml:space="preserve"> </w:t>
      </w:r>
      <w:r w:rsidR="004C7D14" w:rsidRPr="00FE7BA7">
        <w:rPr>
          <w:rFonts w:ascii="Verdana" w:hAnsi="Verdana"/>
          <w:sz w:val="20"/>
          <w:szCs w:val="20"/>
          <w:lang w:val="en-US"/>
        </w:rPr>
        <w:t>Suriname,</w:t>
      </w:r>
      <w:r w:rsidR="00C1694E" w:rsidRPr="00FE7BA7">
        <w:rPr>
          <w:rFonts w:ascii="Verdana" w:hAnsi="Verdana"/>
          <w:sz w:val="20"/>
          <w:szCs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w:t>
      </w:r>
      <w:r w:rsidR="00C1694E" w:rsidRPr="00FE7BA7">
        <w:rPr>
          <w:rFonts w:ascii="Verdana" w:hAnsi="Verdana"/>
          <w:sz w:val="20"/>
          <w:szCs w:val="20"/>
          <w:lang w:val="en-US"/>
        </w:rPr>
        <w:t xml:space="preserve"> 30</w:t>
      </w:r>
      <w:r w:rsidR="003A1187" w:rsidRPr="00FE7BA7">
        <w:rPr>
          <w:rFonts w:ascii="Verdana" w:hAnsi="Verdana"/>
          <w:sz w:val="20"/>
          <w:szCs w:val="20"/>
          <w:lang w:val="en-US"/>
        </w:rPr>
        <w:t>5.b</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A0" w14:textId="77777777" w:rsidR="00C1694E" w:rsidRPr="00FE7BA7" w:rsidRDefault="00C1694E" w:rsidP="00C1694E">
      <w:pPr>
        <w:ind w:right="11"/>
        <w:jc w:val="both"/>
        <w:rPr>
          <w:rFonts w:ascii="Verdana" w:hAnsi="Verdana"/>
          <w:sz w:val="20"/>
          <w:szCs w:val="20"/>
          <w:lang w:val="en-US"/>
        </w:rPr>
      </w:pPr>
    </w:p>
    <w:p w14:paraId="63126BA1" w14:textId="62630DF9" w:rsidR="00C1694E" w:rsidRPr="00FE7BA7" w:rsidRDefault="002B5CCD" w:rsidP="00C1694E">
      <w:pPr>
        <w:numPr>
          <w:ilvl w:val="0"/>
          <w:numId w:val="48"/>
        </w:numPr>
        <w:ind w:left="0" w:right="11" w:firstLine="0"/>
        <w:jc w:val="both"/>
        <w:rPr>
          <w:rFonts w:ascii="Verdana" w:hAnsi="Verdana"/>
          <w:sz w:val="20"/>
          <w:szCs w:val="20"/>
          <w:lang w:val="en-US"/>
        </w:rPr>
      </w:pPr>
      <w:r w:rsidRPr="00FE7BA7">
        <w:rPr>
          <w:rFonts w:ascii="Verdana" w:hAnsi="Verdana" w:cs="Verdana"/>
          <w:sz w:val="20"/>
          <w:szCs w:val="20"/>
          <w:lang w:val="en-US"/>
        </w:rPr>
        <w:t>The State</w:t>
      </w:r>
      <w:r w:rsidR="00C1694E" w:rsidRPr="00FE7BA7">
        <w:rPr>
          <w:rFonts w:ascii="Verdana" w:hAnsi="Verdana" w:cs="Verdana"/>
          <w:sz w:val="20"/>
          <w:szCs w:val="20"/>
          <w:lang w:val="en-US"/>
        </w:rPr>
        <w:t xml:space="preserve"> </w:t>
      </w:r>
      <w:r w:rsidR="00967E6B" w:rsidRPr="00FE7BA7">
        <w:rPr>
          <w:rFonts w:ascii="Verdana" w:hAnsi="Verdana" w:cs="Verdana"/>
          <w:sz w:val="20"/>
          <w:szCs w:val="20"/>
          <w:lang w:val="en-US"/>
        </w:rPr>
        <w:t xml:space="preserve">shall take the necessary measures to establish domestic remedies, or adapt those that exist, in order to ensure effective </w:t>
      </w:r>
      <w:r w:rsidR="00CD3DC6" w:rsidRPr="00FE7BA7">
        <w:rPr>
          <w:rFonts w:ascii="Verdana" w:hAnsi="Verdana" w:cs="Verdana"/>
          <w:sz w:val="20"/>
          <w:szCs w:val="20"/>
          <w:lang w:val="en-US"/>
        </w:rPr>
        <w:t xml:space="preserve">collective </w:t>
      </w:r>
      <w:r w:rsidR="00967E6B" w:rsidRPr="00FE7BA7">
        <w:rPr>
          <w:rFonts w:ascii="Verdana" w:hAnsi="Verdana" w:cs="Verdana"/>
          <w:sz w:val="20"/>
          <w:szCs w:val="20"/>
          <w:lang w:val="en-US"/>
        </w:rPr>
        <w:t xml:space="preserve">access to justice for indigenous and tribal peoples,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w:t>
      </w:r>
      <w:r w:rsidR="00C1694E" w:rsidRPr="00FE7BA7">
        <w:rPr>
          <w:rFonts w:ascii="Verdana" w:hAnsi="Verdana"/>
          <w:sz w:val="20"/>
          <w:szCs w:val="20"/>
          <w:lang w:val="en-US"/>
        </w:rPr>
        <w:t xml:space="preserve"> 30</w:t>
      </w:r>
      <w:r w:rsidR="003A1187" w:rsidRPr="00FE7BA7">
        <w:rPr>
          <w:rFonts w:ascii="Verdana" w:hAnsi="Verdana"/>
          <w:sz w:val="20"/>
          <w:szCs w:val="20"/>
          <w:lang w:val="en-US"/>
        </w:rPr>
        <w:t>5.c</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A2" w14:textId="77777777" w:rsidR="00C1694E" w:rsidRPr="00FE7BA7" w:rsidRDefault="00C1694E" w:rsidP="00C1694E">
      <w:pPr>
        <w:ind w:right="11"/>
        <w:jc w:val="both"/>
        <w:rPr>
          <w:rFonts w:ascii="Verdana" w:hAnsi="Verdana"/>
          <w:sz w:val="20"/>
          <w:szCs w:val="20"/>
          <w:lang w:val="en-US"/>
        </w:rPr>
      </w:pPr>
    </w:p>
    <w:p w14:paraId="63126BA3" w14:textId="0D1BE94B" w:rsidR="00C1694E" w:rsidRPr="00FE7BA7" w:rsidRDefault="002B5CCD" w:rsidP="00C1694E">
      <w:pPr>
        <w:numPr>
          <w:ilvl w:val="0"/>
          <w:numId w:val="48"/>
        </w:numPr>
        <w:ind w:left="0" w:right="11" w:firstLine="0"/>
        <w:jc w:val="both"/>
        <w:rPr>
          <w:rFonts w:ascii="Verdana" w:hAnsi="Verdana"/>
          <w:sz w:val="20"/>
          <w:szCs w:val="20"/>
          <w:lang w:val="en-US"/>
        </w:rPr>
      </w:pPr>
      <w:r w:rsidRPr="00FE7BA7">
        <w:rPr>
          <w:rFonts w:ascii="Verdana" w:hAnsi="Verdana" w:cs="Verdana"/>
          <w:sz w:val="20"/>
          <w:szCs w:val="20"/>
          <w:lang w:val="en-US"/>
        </w:rPr>
        <w:t>The State</w:t>
      </w:r>
      <w:r w:rsidR="00C1694E" w:rsidRPr="00FE7BA7">
        <w:rPr>
          <w:rFonts w:ascii="Verdana" w:hAnsi="Verdana" w:cs="Verdana"/>
          <w:sz w:val="20"/>
          <w:szCs w:val="20"/>
          <w:lang w:val="en-US"/>
        </w:rPr>
        <w:t xml:space="preserve"> </w:t>
      </w:r>
      <w:r w:rsidR="00967E6B" w:rsidRPr="00FE7BA7">
        <w:rPr>
          <w:rFonts w:ascii="Verdana" w:hAnsi="Verdana" w:cs="Verdana"/>
          <w:sz w:val="20"/>
          <w:szCs w:val="20"/>
          <w:lang w:val="en-US"/>
        </w:rPr>
        <w:t xml:space="preserve">shall take the necessary measures to ensure: (a) effective participation processes for indigenous and tribal peoples in </w:t>
      </w:r>
      <w:r w:rsidR="00C1694E" w:rsidRPr="00FE7BA7">
        <w:rPr>
          <w:rFonts w:ascii="Verdana" w:hAnsi="Verdana"/>
          <w:sz w:val="20"/>
          <w:szCs w:val="20"/>
          <w:lang w:val="en-US"/>
        </w:rPr>
        <w:t>Surinam</w:t>
      </w:r>
      <w:r w:rsidR="00967E6B" w:rsidRPr="00FE7BA7">
        <w:rPr>
          <w:rFonts w:ascii="Verdana" w:hAnsi="Verdana"/>
          <w:sz w:val="20"/>
          <w:szCs w:val="20"/>
          <w:lang w:val="en-US"/>
        </w:rPr>
        <w:t>e</w:t>
      </w:r>
      <w:r w:rsidR="00C1694E" w:rsidRPr="00FE7BA7">
        <w:rPr>
          <w:rFonts w:ascii="Verdana" w:hAnsi="Verdana"/>
          <w:sz w:val="20"/>
          <w:szCs w:val="20"/>
          <w:lang w:val="en-US"/>
        </w:rPr>
        <w:t xml:space="preserve">; </w:t>
      </w:r>
      <w:r w:rsidR="0050357C">
        <w:rPr>
          <w:rFonts w:ascii="Verdana" w:hAnsi="Verdana"/>
          <w:sz w:val="20"/>
          <w:szCs w:val="20"/>
          <w:lang w:val="en-US"/>
        </w:rPr>
        <w:t>(</w:t>
      </w:r>
      <w:r w:rsidR="00C1694E" w:rsidRPr="00FE7BA7">
        <w:rPr>
          <w:rFonts w:ascii="Verdana" w:hAnsi="Verdana"/>
          <w:sz w:val="20"/>
          <w:szCs w:val="20"/>
          <w:lang w:val="en-US"/>
        </w:rPr>
        <w:t xml:space="preserve">b) </w:t>
      </w:r>
      <w:r w:rsidR="00967E6B" w:rsidRPr="00FE7BA7">
        <w:rPr>
          <w:rFonts w:ascii="Verdana" w:hAnsi="Verdana"/>
          <w:sz w:val="20"/>
          <w:szCs w:val="20"/>
          <w:lang w:val="en-US"/>
        </w:rPr>
        <w:t>the execution of social and environmental impact assessments</w:t>
      </w:r>
      <w:r w:rsidR="00A71354">
        <w:rPr>
          <w:rFonts w:ascii="Verdana" w:hAnsi="Verdana"/>
          <w:sz w:val="20"/>
          <w:szCs w:val="20"/>
          <w:lang w:val="en-US"/>
        </w:rPr>
        <w:t>;</w:t>
      </w:r>
      <w:r w:rsidR="00967E6B" w:rsidRPr="00FE7BA7">
        <w:rPr>
          <w:rFonts w:ascii="Verdana" w:hAnsi="Verdana"/>
          <w:sz w:val="20"/>
          <w:szCs w:val="20"/>
          <w:lang w:val="en-US"/>
        </w:rPr>
        <w:t xml:space="preserve"> and (c) the distribution of benefits, as appropriate,</w:t>
      </w:r>
      <w:r w:rsidR="00C1694E" w:rsidRPr="00FE7BA7">
        <w:rPr>
          <w:rFonts w:ascii="Verdana" w:hAnsi="Verdana"/>
          <w:sz w:val="20"/>
          <w:szCs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paragraphs</w:t>
      </w:r>
      <w:r w:rsidR="00C1694E" w:rsidRPr="00FE7BA7">
        <w:rPr>
          <w:rFonts w:ascii="Verdana" w:hAnsi="Verdana"/>
          <w:sz w:val="20"/>
          <w:szCs w:val="20"/>
          <w:lang w:val="en-US"/>
        </w:rPr>
        <w:t xml:space="preserve"> 30</w:t>
      </w:r>
      <w:r w:rsidR="003A1187" w:rsidRPr="00FE7BA7">
        <w:rPr>
          <w:rFonts w:ascii="Verdana" w:hAnsi="Verdana"/>
          <w:sz w:val="20"/>
          <w:szCs w:val="20"/>
          <w:lang w:val="en-US"/>
        </w:rPr>
        <w:t>5.d</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A4" w14:textId="77777777" w:rsidR="00C1694E" w:rsidRPr="00FE7BA7" w:rsidRDefault="00C1694E" w:rsidP="00C1694E">
      <w:pPr>
        <w:tabs>
          <w:tab w:val="left" w:pos="3700"/>
        </w:tabs>
        <w:ind w:right="11"/>
        <w:jc w:val="both"/>
        <w:rPr>
          <w:rFonts w:ascii="Verdana" w:hAnsi="Verdana"/>
          <w:sz w:val="20"/>
          <w:szCs w:val="20"/>
          <w:lang w:val="en-US"/>
        </w:rPr>
      </w:pPr>
      <w:r w:rsidRPr="00FE7BA7">
        <w:rPr>
          <w:rFonts w:ascii="Verdana" w:hAnsi="Verdana"/>
          <w:sz w:val="20"/>
          <w:szCs w:val="20"/>
          <w:lang w:val="en-US"/>
        </w:rPr>
        <w:tab/>
      </w:r>
    </w:p>
    <w:p w14:paraId="63126BA5" w14:textId="3F3E36CD" w:rsidR="00C1694E" w:rsidRPr="00FE7BA7" w:rsidRDefault="002B5CCD" w:rsidP="00CF360B">
      <w:pPr>
        <w:numPr>
          <w:ilvl w:val="0"/>
          <w:numId w:val="48"/>
        </w:numPr>
        <w:ind w:left="0" w:right="11" w:firstLine="0"/>
        <w:jc w:val="both"/>
        <w:rPr>
          <w:rFonts w:ascii="Verdana" w:hAnsi="Verdana"/>
          <w:sz w:val="20"/>
          <w:szCs w:val="20"/>
          <w:lang w:val="en-US"/>
        </w:rPr>
      </w:pPr>
      <w:r w:rsidRPr="00FE7BA7">
        <w:rPr>
          <w:rFonts w:ascii="Verdana" w:hAnsi="Verdana"/>
          <w:sz w:val="20"/>
          <w:szCs w:val="20"/>
          <w:lang w:val="en-US"/>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shall implement permanent programs or courses on the human rights of indigenous and tribal peoples</w:t>
      </w:r>
      <w:r w:rsidR="00C1694E" w:rsidRPr="00FE7BA7">
        <w:rPr>
          <w:rFonts w:ascii="Verdana" w:hAnsi="Verdana"/>
          <w:sz w:val="20"/>
          <w:szCs w:val="20"/>
          <w:lang w:val="en-US"/>
        </w:rPr>
        <w:t xml:space="preserve">, </w:t>
      </w:r>
      <w:r w:rsidR="00967E6B" w:rsidRPr="00FE7BA7">
        <w:rPr>
          <w:rFonts w:ascii="Verdana" w:hAnsi="Verdana" w:cs="Arial"/>
          <w:sz w:val="20"/>
          <w:szCs w:val="20"/>
          <w:lang w:val="en-US"/>
        </w:rPr>
        <w:t xml:space="preserve">as established in </w:t>
      </w:r>
      <w:r w:rsidR="00967E6B" w:rsidRPr="00FE7BA7">
        <w:rPr>
          <w:rFonts w:ascii="Verdana" w:hAnsi="Verdana"/>
          <w:sz w:val="20"/>
          <w:szCs w:val="20"/>
          <w:lang w:val="en-US"/>
        </w:rPr>
        <w:t>paragraph</w:t>
      </w:r>
      <w:r w:rsidR="00C1694E" w:rsidRPr="00FE7BA7">
        <w:rPr>
          <w:rFonts w:ascii="Verdana" w:hAnsi="Verdana"/>
          <w:sz w:val="20"/>
          <w:szCs w:val="20"/>
          <w:lang w:val="en-US"/>
        </w:rPr>
        <w:t xml:space="preserve"> 3</w:t>
      </w:r>
      <w:r w:rsidR="003A1187" w:rsidRPr="00FE7BA7">
        <w:rPr>
          <w:rFonts w:ascii="Verdana" w:hAnsi="Verdana"/>
          <w:sz w:val="20"/>
          <w:szCs w:val="20"/>
          <w:lang w:val="en-US"/>
        </w:rPr>
        <w:t>09</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A6" w14:textId="77777777" w:rsidR="00967E6B" w:rsidRPr="00FE7BA7" w:rsidRDefault="00967E6B" w:rsidP="00967E6B">
      <w:pPr>
        <w:ind w:right="11"/>
        <w:jc w:val="both"/>
        <w:rPr>
          <w:rFonts w:ascii="Verdana" w:hAnsi="Verdana"/>
          <w:sz w:val="20"/>
          <w:szCs w:val="20"/>
          <w:lang w:val="en-US"/>
        </w:rPr>
      </w:pPr>
    </w:p>
    <w:p w14:paraId="63126BA7" w14:textId="50C91C4F" w:rsidR="00C1694E" w:rsidRPr="00FE7BA7" w:rsidRDefault="002B5CCD" w:rsidP="00C1694E">
      <w:pPr>
        <w:numPr>
          <w:ilvl w:val="0"/>
          <w:numId w:val="48"/>
        </w:numPr>
        <w:ind w:left="0" w:right="11" w:firstLine="0"/>
        <w:jc w:val="both"/>
        <w:rPr>
          <w:rFonts w:ascii="Verdana" w:hAnsi="Verdana"/>
          <w:sz w:val="20"/>
          <w:szCs w:val="20"/>
          <w:lang w:val="en-US"/>
        </w:rPr>
      </w:pPr>
      <w:r w:rsidRPr="00FE7BA7">
        <w:rPr>
          <w:rFonts w:ascii="Verdana" w:eastAsia="MS Mincho" w:hAnsi="Verdana" w:cs="Verdana"/>
          <w:w w:val="95"/>
          <w:sz w:val="20"/>
          <w:szCs w:val="20"/>
          <w:lang w:val="en-US"/>
        </w:rPr>
        <w:t>The State</w:t>
      </w:r>
      <w:r w:rsidR="00C1694E" w:rsidRPr="00FE7BA7">
        <w:rPr>
          <w:rFonts w:ascii="Verdana" w:eastAsia="MS Mincho" w:hAnsi="Verdana" w:cs="Verdana"/>
          <w:w w:val="95"/>
          <w:sz w:val="20"/>
          <w:szCs w:val="20"/>
          <w:lang w:val="en-US"/>
        </w:rPr>
        <w:t xml:space="preserve"> </w:t>
      </w:r>
      <w:r w:rsidR="00967E6B" w:rsidRPr="00FE7BA7">
        <w:rPr>
          <w:rFonts w:ascii="Verdana" w:eastAsia="MS Mincho" w:hAnsi="Verdana" w:cs="Verdana"/>
          <w:w w:val="95"/>
          <w:sz w:val="20"/>
          <w:szCs w:val="20"/>
          <w:lang w:val="en-US"/>
        </w:rPr>
        <w:t xml:space="preserve">must </w:t>
      </w:r>
      <w:r w:rsidR="00737010">
        <w:rPr>
          <w:rFonts w:ascii="Verdana" w:eastAsia="MS Mincho" w:hAnsi="Verdana" w:cs="Verdana"/>
          <w:w w:val="95"/>
          <w:sz w:val="20"/>
          <w:szCs w:val="20"/>
          <w:lang w:val="en-US"/>
        </w:rPr>
        <w:t>issue</w:t>
      </w:r>
      <w:r w:rsidR="00737010" w:rsidRPr="00FE7BA7">
        <w:rPr>
          <w:rFonts w:ascii="Verdana" w:eastAsia="MS Mincho" w:hAnsi="Verdana" w:cs="Verdana"/>
          <w:w w:val="95"/>
          <w:sz w:val="20"/>
          <w:szCs w:val="20"/>
          <w:lang w:val="en-US"/>
        </w:rPr>
        <w:t xml:space="preserve"> </w:t>
      </w:r>
      <w:r w:rsidR="00967E6B" w:rsidRPr="00FE7BA7">
        <w:rPr>
          <w:rFonts w:ascii="Verdana" w:eastAsia="MS Mincho" w:hAnsi="Verdana" w:cs="Verdana"/>
          <w:w w:val="95"/>
          <w:sz w:val="20"/>
          <w:szCs w:val="20"/>
          <w:lang w:val="en-US"/>
        </w:rPr>
        <w:t xml:space="preserve">the publications and the </w:t>
      </w:r>
      <w:r w:rsidR="00A71354">
        <w:rPr>
          <w:rFonts w:ascii="Verdana" w:eastAsia="MS Mincho" w:hAnsi="Verdana" w:cs="Verdana"/>
          <w:w w:val="95"/>
          <w:sz w:val="20"/>
          <w:szCs w:val="20"/>
          <w:lang w:val="en-US"/>
        </w:rPr>
        <w:t xml:space="preserve">radio </w:t>
      </w:r>
      <w:r w:rsidR="00967E6B" w:rsidRPr="00BB3478">
        <w:rPr>
          <w:rFonts w:ascii="Verdana" w:eastAsia="MS Mincho" w:hAnsi="Verdana" w:cs="Verdana"/>
          <w:w w:val="95"/>
          <w:sz w:val="20"/>
          <w:szCs w:val="20"/>
          <w:lang w:val="en-US"/>
        </w:rPr>
        <w:t xml:space="preserve">broadcast, </w:t>
      </w:r>
      <w:r w:rsidR="00967E6B" w:rsidRPr="00BB3478">
        <w:rPr>
          <w:rFonts w:ascii="Verdana" w:hAnsi="Verdana" w:cs="Arial"/>
          <w:sz w:val="20"/>
          <w:szCs w:val="20"/>
          <w:lang w:val="en-US"/>
        </w:rPr>
        <w:t>as</w:t>
      </w:r>
      <w:r w:rsidR="00967E6B" w:rsidRPr="00FE7BA7">
        <w:rPr>
          <w:rFonts w:ascii="Verdana" w:hAnsi="Verdana" w:cs="Arial"/>
          <w:sz w:val="20"/>
          <w:szCs w:val="20"/>
          <w:lang w:val="en-US"/>
        </w:rPr>
        <w:t xml:space="preserve"> established in</w:t>
      </w:r>
      <w:r w:rsidR="00C1694E" w:rsidRPr="00FE7BA7">
        <w:rPr>
          <w:rFonts w:ascii="Verdana" w:hAnsi="Verdana"/>
          <w:sz w:val="20"/>
          <w:szCs w:val="20"/>
          <w:lang w:val="en-US"/>
        </w:rPr>
        <w:t xml:space="preserve"> </w:t>
      </w:r>
      <w:r w:rsidR="00967E6B" w:rsidRPr="00FE7BA7">
        <w:rPr>
          <w:rFonts w:ascii="Verdana" w:hAnsi="Verdana"/>
          <w:sz w:val="20"/>
          <w:szCs w:val="20"/>
          <w:lang w:val="en-US"/>
        </w:rPr>
        <w:t>paragraphs</w:t>
      </w:r>
      <w:r w:rsidR="00C1694E" w:rsidRPr="00FE7BA7">
        <w:rPr>
          <w:rFonts w:ascii="Verdana" w:hAnsi="Verdana"/>
          <w:sz w:val="20"/>
          <w:szCs w:val="20"/>
          <w:lang w:val="en-US"/>
        </w:rPr>
        <w:t xml:space="preserve"> 31</w:t>
      </w:r>
      <w:r w:rsidR="003A1187" w:rsidRPr="00FE7BA7">
        <w:rPr>
          <w:rFonts w:ascii="Verdana" w:hAnsi="Verdana"/>
          <w:sz w:val="20"/>
          <w:szCs w:val="20"/>
          <w:lang w:val="en-US"/>
        </w:rPr>
        <w:t>2</w:t>
      </w:r>
      <w:r w:rsidR="00967E6B" w:rsidRPr="00FE7BA7">
        <w:rPr>
          <w:rFonts w:ascii="Verdana" w:hAnsi="Verdana"/>
          <w:sz w:val="20"/>
          <w:szCs w:val="20"/>
          <w:lang w:val="en-US"/>
        </w:rPr>
        <w:t xml:space="preserve"> to</w:t>
      </w:r>
      <w:r w:rsidR="00C1694E" w:rsidRPr="00FE7BA7">
        <w:rPr>
          <w:rFonts w:ascii="Verdana" w:hAnsi="Verdana"/>
          <w:sz w:val="20"/>
          <w:szCs w:val="20"/>
          <w:lang w:val="en-US"/>
        </w:rPr>
        <w:t xml:space="preserve"> 31</w:t>
      </w:r>
      <w:r w:rsidR="003A1187" w:rsidRPr="00FE7BA7">
        <w:rPr>
          <w:rFonts w:ascii="Verdana" w:hAnsi="Verdana"/>
          <w:sz w:val="20"/>
          <w:szCs w:val="20"/>
          <w:lang w:val="en-US"/>
        </w:rPr>
        <w:t>3</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w:t>
      </w:r>
    </w:p>
    <w:p w14:paraId="63126BA8" w14:textId="77777777" w:rsidR="00C1694E" w:rsidRPr="00FE7BA7" w:rsidRDefault="00C1694E" w:rsidP="00C1694E">
      <w:pPr>
        <w:ind w:right="11"/>
        <w:jc w:val="both"/>
        <w:rPr>
          <w:rFonts w:ascii="Verdana" w:hAnsi="Verdana"/>
          <w:sz w:val="20"/>
          <w:szCs w:val="20"/>
          <w:lang w:val="en-US"/>
        </w:rPr>
      </w:pPr>
    </w:p>
    <w:p w14:paraId="63126BA9" w14:textId="6828932D"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eastAsia="es-MX"/>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 xml:space="preserve">must pay the amounts established in </w:t>
      </w:r>
      <w:r w:rsidR="00967E6B" w:rsidRPr="00FE7BA7">
        <w:rPr>
          <w:rFonts w:ascii="Verdana" w:hAnsi="Verdana"/>
          <w:sz w:val="20"/>
          <w:szCs w:val="20"/>
          <w:lang w:val="en-US" w:eastAsia="es-MX"/>
        </w:rPr>
        <w:t>paragraph</w:t>
      </w:r>
      <w:r w:rsidR="00C1694E" w:rsidRPr="00FE7BA7">
        <w:rPr>
          <w:rFonts w:ascii="Verdana" w:hAnsi="Verdana"/>
          <w:sz w:val="20"/>
          <w:szCs w:val="20"/>
          <w:lang w:val="en-US" w:eastAsia="es-MX"/>
        </w:rPr>
        <w:t xml:space="preserve"> 32</w:t>
      </w:r>
      <w:r w:rsidR="003A1187" w:rsidRPr="00FE7BA7">
        <w:rPr>
          <w:rFonts w:ascii="Verdana" w:hAnsi="Verdana"/>
          <w:sz w:val="20"/>
          <w:szCs w:val="20"/>
          <w:lang w:val="en-US" w:eastAsia="es-MX"/>
        </w:rPr>
        <w:t>3</w:t>
      </w:r>
      <w:r w:rsidR="00C1694E" w:rsidRPr="00FE7BA7">
        <w:rPr>
          <w:rFonts w:ascii="Verdana" w:hAnsi="Verdana"/>
          <w:sz w:val="20"/>
          <w:szCs w:val="20"/>
          <w:lang w:val="en-US" w:eastAsia="es-MX"/>
        </w:rPr>
        <w:t xml:space="preserve"> </w:t>
      </w:r>
      <w:r w:rsidR="000739A7" w:rsidRPr="00FE7BA7">
        <w:rPr>
          <w:rFonts w:ascii="Verdana" w:hAnsi="Verdana"/>
          <w:sz w:val="20"/>
          <w:szCs w:val="20"/>
          <w:lang w:val="en-US" w:eastAsia="es-MX"/>
        </w:rPr>
        <w:t>of this Judgment</w:t>
      </w:r>
      <w:r w:rsidR="00C1694E" w:rsidRPr="00FE7BA7">
        <w:rPr>
          <w:rFonts w:ascii="Verdana" w:hAnsi="Verdana"/>
          <w:sz w:val="20"/>
          <w:szCs w:val="20"/>
          <w:lang w:val="en-US"/>
        </w:rPr>
        <w:t xml:space="preserve"> </w:t>
      </w:r>
      <w:r w:rsidR="00737010">
        <w:rPr>
          <w:rFonts w:ascii="Verdana" w:hAnsi="Verdana"/>
          <w:sz w:val="20"/>
          <w:szCs w:val="20"/>
          <w:lang w:val="en-US"/>
        </w:rPr>
        <w:t>as</w:t>
      </w:r>
      <w:r w:rsidR="00737010" w:rsidRPr="00FE7BA7">
        <w:rPr>
          <w:rFonts w:ascii="Verdana" w:hAnsi="Verdana"/>
          <w:sz w:val="20"/>
          <w:szCs w:val="20"/>
          <w:lang w:val="en-US"/>
        </w:rPr>
        <w:t xml:space="preserve"> </w:t>
      </w:r>
      <w:r w:rsidR="00967E6B" w:rsidRPr="00FE7BA7">
        <w:rPr>
          <w:rFonts w:ascii="Verdana" w:hAnsi="Verdana"/>
          <w:sz w:val="20"/>
          <w:szCs w:val="20"/>
          <w:lang w:val="en-US"/>
        </w:rPr>
        <w:t xml:space="preserve">reimbursement of </w:t>
      </w:r>
      <w:r w:rsidR="00C34C52" w:rsidRPr="00FE7BA7">
        <w:rPr>
          <w:rFonts w:ascii="Verdana" w:hAnsi="Verdana"/>
          <w:sz w:val="20"/>
          <w:szCs w:val="20"/>
          <w:lang w:val="en-US"/>
        </w:rPr>
        <w:t>costs and expenses</w:t>
      </w:r>
      <w:r w:rsidR="00C1694E" w:rsidRPr="00FE7BA7">
        <w:rPr>
          <w:rFonts w:ascii="Verdana" w:hAnsi="Verdana"/>
          <w:sz w:val="20"/>
          <w:szCs w:val="20"/>
          <w:lang w:val="en-US"/>
        </w:rPr>
        <w:t xml:space="preserve"> </w:t>
      </w:r>
      <w:r w:rsidR="00090AF6">
        <w:rPr>
          <w:rFonts w:ascii="Verdana" w:hAnsi="Verdana"/>
          <w:sz w:val="20"/>
          <w:szCs w:val="20"/>
          <w:lang w:val="en-US"/>
        </w:rPr>
        <w:t>within six months</w:t>
      </w:r>
      <w:r w:rsidR="00805662" w:rsidRPr="00FE7BA7">
        <w:rPr>
          <w:rFonts w:ascii="Verdana" w:hAnsi="Verdana"/>
          <w:sz w:val="20"/>
          <w:szCs w:val="20"/>
          <w:lang w:val="en-US"/>
        </w:rPr>
        <w:t xml:space="preserve"> of notification hereof.</w:t>
      </w:r>
    </w:p>
    <w:p w14:paraId="63126BAA" w14:textId="77777777" w:rsidR="00C1694E" w:rsidRPr="00FE7BA7" w:rsidRDefault="00C1694E" w:rsidP="00C1694E">
      <w:pPr>
        <w:rPr>
          <w:rFonts w:ascii="Verdana" w:hAnsi="Verdana" w:cs="Verdana"/>
          <w:sz w:val="20"/>
          <w:szCs w:val="20"/>
          <w:lang w:val="en-US"/>
        </w:rPr>
      </w:pPr>
    </w:p>
    <w:p w14:paraId="63126BAB" w14:textId="77A30374"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rPr>
        <w:t>The State</w:t>
      </w:r>
      <w:r w:rsidR="00C1694E" w:rsidRPr="00FE7BA7">
        <w:rPr>
          <w:rFonts w:ascii="Verdana" w:hAnsi="Verdana"/>
          <w:sz w:val="20"/>
          <w:szCs w:val="20"/>
          <w:lang w:val="en-US"/>
        </w:rPr>
        <w:t xml:space="preserve"> </w:t>
      </w:r>
      <w:r w:rsidR="00967E6B" w:rsidRPr="00FE7BA7">
        <w:rPr>
          <w:rFonts w:ascii="Verdana" w:hAnsi="Verdana"/>
          <w:sz w:val="20"/>
          <w:szCs w:val="20"/>
          <w:lang w:val="en-US"/>
        </w:rPr>
        <w:t>must, within one year of notification</w:t>
      </w:r>
      <w:r w:rsidR="00C1694E" w:rsidRPr="00FE7BA7">
        <w:rPr>
          <w:rFonts w:ascii="Verdana" w:hAnsi="Verdana"/>
          <w:sz w:val="20"/>
          <w:szCs w:val="20"/>
          <w:lang w:val="en-US"/>
        </w:rPr>
        <w:t xml:space="preserve"> </w:t>
      </w:r>
      <w:r w:rsidR="000739A7" w:rsidRPr="00FE7BA7">
        <w:rPr>
          <w:rFonts w:ascii="Verdana" w:hAnsi="Verdana"/>
          <w:sz w:val="20"/>
          <w:szCs w:val="20"/>
          <w:lang w:val="en-US"/>
        </w:rPr>
        <w:t>of this Judgment</w:t>
      </w:r>
      <w:r w:rsidR="00C1694E" w:rsidRPr="00FE7BA7">
        <w:rPr>
          <w:rFonts w:ascii="Verdana" w:hAnsi="Verdana"/>
          <w:sz w:val="20"/>
          <w:szCs w:val="20"/>
          <w:lang w:val="en-US"/>
        </w:rPr>
        <w:t xml:space="preserve">, </w:t>
      </w:r>
      <w:r w:rsidR="00967E6B" w:rsidRPr="00FE7BA7">
        <w:rPr>
          <w:rFonts w:ascii="Verdana" w:hAnsi="Verdana"/>
          <w:sz w:val="20"/>
          <w:szCs w:val="20"/>
          <w:lang w:val="en-US"/>
        </w:rPr>
        <w:t>provi</w:t>
      </w:r>
      <w:r w:rsidR="00FE7BA7">
        <w:rPr>
          <w:rFonts w:ascii="Verdana" w:hAnsi="Verdana"/>
          <w:sz w:val="20"/>
          <w:szCs w:val="20"/>
          <w:lang w:val="en-US"/>
        </w:rPr>
        <w:t>de</w:t>
      </w:r>
      <w:r w:rsidR="003231F8" w:rsidRPr="00FE7BA7">
        <w:rPr>
          <w:rFonts w:ascii="Verdana" w:hAnsi="Verdana"/>
          <w:sz w:val="20"/>
          <w:szCs w:val="20"/>
          <w:lang w:val="en-US"/>
        </w:rPr>
        <w:t xml:space="preserve"> </w:t>
      </w:r>
      <w:r w:rsidR="00FE7BA7" w:rsidRPr="00FE7BA7">
        <w:rPr>
          <w:rFonts w:ascii="Verdana" w:hAnsi="Verdana"/>
          <w:sz w:val="20"/>
          <w:szCs w:val="20"/>
          <w:lang w:val="en-US"/>
        </w:rPr>
        <w:t>the Court</w:t>
      </w:r>
      <w:r w:rsidR="00967E6B" w:rsidRPr="00FE7BA7">
        <w:rPr>
          <w:rFonts w:ascii="Verdana" w:hAnsi="Verdana"/>
          <w:sz w:val="20"/>
          <w:szCs w:val="20"/>
          <w:lang w:val="en-US"/>
        </w:rPr>
        <w:t xml:space="preserve"> with a report on the measures taken to comply </w:t>
      </w:r>
      <w:r w:rsidR="00737010">
        <w:rPr>
          <w:rFonts w:ascii="Verdana" w:hAnsi="Verdana"/>
          <w:sz w:val="20"/>
          <w:szCs w:val="20"/>
          <w:lang w:val="en-US"/>
        </w:rPr>
        <w:t>there</w:t>
      </w:r>
      <w:r w:rsidR="00967E6B" w:rsidRPr="00FE7BA7">
        <w:rPr>
          <w:rFonts w:ascii="Verdana" w:hAnsi="Verdana"/>
          <w:sz w:val="20"/>
          <w:szCs w:val="20"/>
          <w:lang w:val="en-US"/>
        </w:rPr>
        <w:t>with.</w:t>
      </w:r>
    </w:p>
    <w:p w14:paraId="63126BAC" w14:textId="77777777" w:rsidR="00C1694E" w:rsidRPr="00FE7BA7" w:rsidRDefault="00C1694E" w:rsidP="00C1694E">
      <w:pPr>
        <w:ind w:right="11"/>
        <w:jc w:val="both"/>
        <w:rPr>
          <w:rFonts w:ascii="Verdana" w:hAnsi="Verdana" w:cs="Verdana"/>
          <w:sz w:val="20"/>
          <w:szCs w:val="20"/>
          <w:lang w:val="en-US"/>
        </w:rPr>
      </w:pPr>
    </w:p>
    <w:p w14:paraId="63126BAD" w14:textId="77777777" w:rsidR="00C1694E" w:rsidRPr="00FE7BA7" w:rsidRDefault="002B5CCD" w:rsidP="00C1694E">
      <w:pPr>
        <w:numPr>
          <w:ilvl w:val="0"/>
          <w:numId w:val="48"/>
        </w:numPr>
        <w:ind w:left="0" w:right="11" w:firstLine="0"/>
        <w:jc w:val="both"/>
        <w:rPr>
          <w:rFonts w:ascii="Verdana" w:hAnsi="Verdana" w:cs="Verdana"/>
          <w:sz w:val="20"/>
          <w:szCs w:val="20"/>
          <w:lang w:val="en-US"/>
        </w:rPr>
      </w:pPr>
      <w:r w:rsidRPr="00FE7BA7">
        <w:rPr>
          <w:rFonts w:ascii="Verdana" w:hAnsi="Verdana"/>
          <w:sz w:val="20"/>
          <w:szCs w:val="20"/>
          <w:lang w:val="en-US"/>
        </w:rPr>
        <w:t>The Court</w:t>
      </w:r>
      <w:r w:rsidR="00967E6B" w:rsidRPr="00FE7BA7">
        <w:rPr>
          <w:rFonts w:ascii="Verdana" w:hAnsi="Verdana"/>
          <w:sz w:val="20"/>
          <w:szCs w:val="20"/>
          <w:lang w:val="en-US"/>
        </w:rPr>
        <w:t xml:space="preserve"> will monitor full compliance with the Judgment,</w:t>
      </w:r>
      <w:r w:rsidR="0050357C">
        <w:rPr>
          <w:rFonts w:ascii="Verdana" w:hAnsi="Verdana"/>
          <w:sz w:val="20"/>
          <w:szCs w:val="20"/>
          <w:lang w:val="en-US"/>
        </w:rPr>
        <w:t xml:space="preserve"> in execution of its authority </w:t>
      </w:r>
      <w:r w:rsidR="00967E6B" w:rsidRPr="00FE7BA7">
        <w:rPr>
          <w:rFonts w:ascii="Verdana" w:hAnsi="Verdana"/>
          <w:sz w:val="20"/>
          <w:szCs w:val="20"/>
          <w:lang w:val="en-US"/>
        </w:rPr>
        <w:t xml:space="preserve">and in compliance with its obligations under </w:t>
      </w:r>
      <w:r w:rsidRPr="00FE7BA7">
        <w:rPr>
          <w:rFonts w:ascii="Verdana" w:hAnsi="Verdana"/>
          <w:sz w:val="20"/>
          <w:szCs w:val="20"/>
          <w:lang w:val="en-US"/>
        </w:rPr>
        <w:t>the American Convention on Human Rights</w:t>
      </w:r>
      <w:r w:rsidR="00C1694E" w:rsidRPr="00FE7BA7">
        <w:rPr>
          <w:rFonts w:ascii="Verdana" w:hAnsi="Verdana"/>
          <w:sz w:val="20"/>
          <w:szCs w:val="20"/>
          <w:lang w:val="en-US"/>
        </w:rPr>
        <w:t>,</w:t>
      </w:r>
      <w:r w:rsidRPr="00FE7BA7">
        <w:rPr>
          <w:rFonts w:ascii="Verdana" w:hAnsi="Verdana"/>
          <w:sz w:val="20"/>
          <w:szCs w:val="20"/>
          <w:lang w:val="en-US"/>
        </w:rPr>
        <w:t xml:space="preserve"> and </w:t>
      </w:r>
      <w:r w:rsidR="00967E6B" w:rsidRPr="00FE7BA7">
        <w:rPr>
          <w:rFonts w:ascii="Verdana" w:hAnsi="Verdana"/>
          <w:sz w:val="20"/>
          <w:szCs w:val="20"/>
          <w:lang w:val="en-US"/>
        </w:rPr>
        <w:t>will consider this case concluded when the State has complied fully with its provisions.</w:t>
      </w:r>
    </w:p>
    <w:p w14:paraId="63126BAE" w14:textId="77777777" w:rsidR="00C1694E" w:rsidRPr="00FE7BA7" w:rsidRDefault="00C1694E" w:rsidP="00C1694E">
      <w:pPr>
        <w:jc w:val="both"/>
        <w:rPr>
          <w:rFonts w:ascii="Verdana" w:hAnsi="Verdana"/>
          <w:b/>
          <w:sz w:val="20"/>
          <w:szCs w:val="20"/>
          <w:lang w:val="en-US"/>
        </w:rPr>
      </w:pPr>
    </w:p>
    <w:p w14:paraId="63126BAF" w14:textId="3249A323" w:rsidR="00C1694E" w:rsidRPr="00FE7BA7" w:rsidRDefault="000739A7" w:rsidP="00C1694E">
      <w:pPr>
        <w:jc w:val="both"/>
        <w:rPr>
          <w:rFonts w:ascii="Verdana" w:hAnsi="Verdana"/>
          <w:sz w:val="20"/>
          <w:szCs w:val="20"/>
          <w:lang w:val="en-US"/>
        </w:rPr>
      </w:pPr>
      <w:r w:rsidRPr="00FE7BA7">
        <w:rPr>
          <w:rFonts w:ascii="Verdana" w:hAnsi="Verdana"/>
          <w:sz w:val="20"/>
          <w:szCs w:val="20"/>
          <w:lang w:val="en-US"/>
        </w:rPr>
        <w:t>Judges</w:t>
      </w:r>
      <w:r w:rsidR="00C1694E" w:rsidRPr="00FE7BA7">
        <w:rPr>
          <w:rFonts w:ascii="Verdana" w:hAnsi="Verdana"/>
          <w:sz w:val="20"/>
          <w:szCs w:val="20"/>
          <w:lang w:val="en-US"/>
        </w:rPr>
        <w:t xml:space="preserve"> </w:t>
      </w:r>
      <w:r w:rsidR="00EB6FDF" w:rsidRPr="00FE7BA7">
        <w:rPr>
          <w:rFonts w:ascii="Verdana" w:hAnsi="Verdana"/>
          <w:sz w:val="20"/>
          <w:szCs w:val="20"/>
          <w:lang w:val="en-US"/>
        </w:rPr>
        <w:t xml:space="preserve">Humberto Antonio Sierra Porto </w:t>
      </w:r>
      <w:r w:rsidR="00EB6FDF">
        <w:rPr>
          <w:rFonts w:ascii="Verdana" w:hAnsi="Verdana"/>
          <w:sz w:val="20"/>
          <w:szCs w:val="20"/>
          <w:lang w:val="en-US"/>
        </w:rPr>
        <w:t xml:space="preserve">and </w:t>
      </w:r>
      <w:r w:rsidR="00C1694E" w:rsidRPr="00FE7BA7">
        <w:rPr>
          <w:rFonts w:ascii="Verdana" w:hAnsi="Verdana"/>
          <w:sz w:val="20"/>
          <w:szCs w:val="20"/>
          <w:lang w:val="en-US"/>
        </w:rPr>
        <w:t>Eduardo Ferrer Mac-Gregor Poisot</w:t>
      </w:r>
      <w:r w:rsidR="00746CDF" w:rsidRPr="00746CDF">
        <w:rPr>
          <w:rFonts w:ascii="Verdana" w:hAnsi="Verdana"/>
          <w:sz w:val="20"/>
          <w:szCs w:val="20"/>
          <w:lang w:val="en-US"/>
        </w:rPr>
        <w:t xml:space="preserve"> </w:t>
      </w:r>
      <w:r w:rsidR="00746CDF" w:rsidRPr="00FE7BA7">
        <w:rPr>
          <w:rFonts w:ascii="Verdana" w:hAnsi="Verdana"/>
          <w:sz w:val="20"/>
          <w:szCs w:val="20"/>
          <w:lang w:val="en-US"/>
        </w:rPr>
        <w:t xml:space="preserve">advised the Court of their </w:t>
      </w:r>
      <w:r w:rsidR="00746CDF">
        <w:rPr>
          <w:rFonts w:ascii="Verdana" w:hAnsi="Verdana"/>
          <w:sz w:val="20"/>
          <w:szCs w:val="20"/>
          <w:lang w:val="en-US"/>
        </w:rPr>
        <w:t xml:space="preserve">joint </w:t>
      </w:r>
      <w:r w:rsidR="00746CDF" w:rsidRPr="006C4E70">
        <w:rPr>
          <w:rFonts w:ascii="Verdana" w:hAnsi="Verdana"/>
          <w:sz w:val="20"/>
          <w:szCs w:val="20"/>
          <w:lang w:val="en-US"/>
        </w:rPr>
        <w:t>concurring</w:t>
      </w:r>
      <w:r w:rsidR="00746CDF">
        <w:rPr>
          <w:rFonts w:ascii="Verdana" w:hAnsi="Verdana"/>
          <w:sz w:val="20"/>
          <w:szCs w:val="20"/>
          <w:lang w:val="en-US"/>
        </w:rPr>
        <w:t xml:space="preserve"> opinion</w:t>
      </w:r>
      <w:r w:rsidR="00006FE1">
        <w:rPr>
          <w:rFonts w:ascii="Verdana" w:hAnsi="Verdana"/>
          <w:sz w:val="20"/>
          <w:szCs w:val="20"/>
          <w:lang w:val="en-US"/>
        </w:rPr>
        <w:t xml:space="preserve">, </w:t>
      </w:r>
      <w:r w:rsidR="00746CDF">
        <w:rPr>
          <w:rFonts w:ascii="Verdana" w:hAnsi="Verdana"/>
          <w:sz w:val="20"/>
          <w:szCs w:val="20"/>
          <w:lang w:val="en-US"/>
        </w:rPr>
        <w:t>and</w:t>
      </w:r>
      <w:r w:rsidR="00006FE1">
        <w:rPr>
          <w:rFonts w:ascii="Verdana" w:hAnsi="Verdana"/>
          <w:sz w:val="20"/>
          <w:szCs w:val="20"/>
          <w:lang w:val="en-US"/>
        </w:rPr>
        <w:t xml:space="preserve"> Judge </w:t>
      </w:r>
      <w:r w:rsidR="00006FE1" w:rsidRPr="00FE7BA7">
        <w:rPr>
          <w:rFonts w:ascii="Verdana" w:hAnsi="Verdana"/>
          <w:sz w:val="20"/>
          <w:szCs w:val="20"/>
          <w:lang w:val="en-US"/>
        </w:rPr>
        <w:t>Alberto Pérez Pérez</w:t>
      </w:r>
      <w:r w:rsidR="00746CDF">
        <w:rPr>
          <w:rFonts w:ascii="Verdana" w:hAnsi="Verdana"/>
          <w:sz w:val="20"/>
          <w:szCs w:val="20"/>
          <w:lang w:val="en-US"/>
        </w:rPr>
        <w:t xml:space="preserve"> advised the Court of his </w:t>
      </w:r>
      <w:r w:rsidRPr="00FE7BA7">
        <w:rPr>
          <w:rFonts w:ascii="Verdana" w:hAnsi="Verdana"/>
          <w:sz w:val="20"/>
          <w:szCs w:val="20"/>
          <w:lang w:val="en-US"/>
        </w:rPr>
        <w:t xml:space="preserve">dissenting </w:t>
      </w:r>
      <w:r w:rsidRPr="006C4E70">
        <w:rPr>
          <w:rFonts w:ascii="Verdana" w:hAnsi="Verdana"/>
          <w:sz w:val="20"/>
          <w:szCs w:val="20"/>
          <w:lang w:val="en-US"/>
        </w:rPr>
        <w:t>opinion,</w:t>
      </w:r>
      <w:r w:rsidRPr="00FE7BA7">
        <w:rPr>
          <w:rFonts w:ascii="Verdana" w:hAnsi="Verdana"/>
          <w:sz w:val="20"/>
          <w:szCs w:val="20"/>
          <w:lang w:val="en-US"/>
        </w:rPr>
        <w:t xml:space="preserve"> </w:t>
      </w:r>
      <w:r w:rsidR="00746CDF">
        <w:rPr>
          <w:rFonts w:ascii="Verdana" w:hAnsi="Verdana"/>
          <w:sz w:val="20"/>
          <w:szCs w:val="20"/>
          <w:lang w:val="en-US"/>
        </w:rPr>
        <w:t>both of</w:t>
      </w:r>
      <w:r w:rsidRPr="00FE7BA7">
        <w:rPr>
          <w:rFonts w:ascii="Verdana" w:hAnsi="Verdana"/>
          <w:sz w:val="20"/>
          <w:szCs w:val="20"/>
          <w:lang w:val="en-US"/>
        </w:rPr>
        <w:t xml:space="preserve"> which accompany this Judgment.</w:t>
      </w:r>
    </w:p>
    <w:p w14:paraId="63126BB0" w14:textId="77777777" w:rsidR="00C1694E" w:rsidRPr="00FE7BA7" w:rsidRDefault="00C1694E" w:rsidP="00C1694E">
      <w:pPr>
        <w:jc w:val="both"/>
        <w:rPr>
          <w:rFonts w:ascii="Verdana" w:hAnsi="Verdana"/>
          <w:sz w:val="20"/>
          <w:szCs w:val="20"/>
          <w:lang w:val="en-US"/>
        </w:rPr>
      </w:pPr>
    </w:p>
    <w:p w14:paraId="63126BB1" w14:textId="4E043CAC" w:rsidR="00C1694E" w:rsidRPr="00FE7BA7" w:rsidRDefault="00C465BB" w:rsidP="00C1694E">
      <w:pPr>
        <w:spacing w:before="60"/>
        <w:jc w:val="both"/>
        <w:rPr>
          <w:lang w:val="en-US"/>
        </w:rPr>
      </w:pPr>
      <w:proofErr w:type="gramStart"/>
      <w:r w:rsidRPr="00FE7BA7">
        <w:rPr>
          <w:rFonts w:ascii="Verdana" w:hAnsi="Verdana" w:cs="Verdana"/>
          <w:sz w:val="20"/>
          <w:szCs w:val="20"/>
          <w:lang w:val="en-US"/>
        </w:rPr>
        <w:t>Done</w:t>
      </w:r>
      <w:r w:rsidR="000739A7" w:rsidRPr="00FE7BA7">
        <w:rPr>
          <w:rFonts w:ascii="Verdana" w:hAnsi="Verdana" w:cs="Verdana"/>
          <w:sz w:val="20"/>
          <w:szCs w:val="20"/>
          <w:lang w:val="en-US"/>
        </w:rPr>
        <w:t xml:space="preserve"> at San José, Costa Rica, on November 25, 2015, in the English and the Spanish languages, the text in Spanish being authentic</w:t>
      </w:r>
      <w:r w:rsidR="00C1694E" w:rsidRPr="00FE7BA7">
        <w:rPr>
          <w:rFonts w:ascii="Verdana" w:hAnsi="Verdana" w:cs="Verdana"/>
          <w:sz w:val="20"/>
          <w:szCs w:val="20"/>
          <w:lang w:val="en-US"/>
        </w:rPr>
        <w:t>.</w:t>
      </w:r>
      <w:proofErr w:type="gramEnd"/>
    </w:p>
    <w:bookmarkEnd w:id="98"/>
    <w:p w14:paraId="63126BB2" w14:textId="77777777" w:rsidR="00E664AB" w:rsidRDefault="00E664AB">
      <w:pPr>
        <w:spacing w:after="200" w:line="276" w:lineRule="auto"/>
        <w:rPr>
          <w:lang w:val="en-US"/>
        </w:rPr>
      </w:pPr>
      <w:r w:rsidRPr="00FE7BA7">
        <w:rPr>
          <w:lang w:val="en-US"/>
        </w:rPr>
        <w:br w:type="page"/>
      </w:r>
    </w:p>
    <w:p w14:paraId="12BAF97D" w14:textId="77777777" w:rsidR="00E4225C" w:rsidRPr="00A906A6" w:rsidRDefault="00E4225C" w:rsidP="00E4225C">
      <w:pPr>
        <w:rPr>
          <w:rFonts w:ascii="Verdana" w:hAnsi="Verdana"/>
          <w:sz w:val="20"/>
          <w:lang w:val="en-US"/>
        </w:rPr>
      </w:pPr>
    </w:p>
    <w:p w14:paraId="2A01DECB" w14:textId="450AA454" w:rsidR="00E4225C" w:rsidRPr="00C12C4D" w:rsidRDefault="00E4225C" w:rsidP="00E4225C">
      <w:pPr>
        <w:jc w:val="both"/>
        <w:rPr>
          <w:rFonts w:ascii="Verdana" w:hAnsi="Verdana"/>
          <w:sz w:val="20"/>
          <w:lang w:val="es-CR"/>
        </w:rPr>
      </w:pPr>
      <w:proofErr w:type="gramStart"/>
      <w:r w:rsidRPr="00DA333E">
        <w:rPr>
          <w:rFonts w:ascii="Verdana" w:hAnsi="Verdana"/>
          <w:sz w:val="20"/>
          <w:lang w:val="en-US"/>
        </w:rPr>
        <w:t>Judgment of the Inter-American Court of Human Rights.</w:t>
      </w:r>
      <w:proofErr w:type="gramEnd"/>
      <w:r w:rsidRPr="00DA333E">
        <w:rPr>
          <w:rFonts w:ascii="Verdana" w:hAnsi="Verdana"/>
          <w:sz w:val="20"/>
          <w:lang w:val="en-US"/>
        </w:rPr>
        <w:t xml:space="preserve"> </w:t>
      </w:r>
      <w:proofErr w:type="gramStart"/>
      <w:r w:rsidRPr="00DA333E">
        <w:rPr>
          <w:rFonts w:ascii="Verdana" w:hAnsi="Verdana"/>
          <w:sz w:val="20"/>
          <w:lang w:val="en-US"/>
        </w:rPr>
        <w:t xml:space="preserve">Case of Kaliña and Lokono </w:t>
      </w:r>
      <w:r>
        <w:rPr>
          <w:rFonts w:ascii="Verdana" w:hAnsi="Verdana"/>
          <w:sz w:val="20"/>
          <w:lang w:val="en-US"/>
        </w:rPr>
        <w:t>Peoples</w:t>
      </w:r>
      <w:r w:rsidRPr="00DA333E">
        <w:rPr>
          <w:rFonts w:ascii="Verdana" w:hAnsi="Verdana"/>
          <w:sz w:val="20"/>
          <w:lang w:val="en-US"/>
        </w:rPr>
        <w:t xml:space="preserve"> v. </w:t>
      </w:r>
      <w:r w:rsidRPr="00C12C4D">
        <w:rPr>
          <w:rFonts w:ascii="Verdana" w:hAnsi="Verdana"/>
          <w:sz w:val="20"/>
          <w:lang w:val="en-US"/>
        </w:rPr>
        <w:t>Surinam.</w:t>
      </w:r>
      <w:proofErr w:type="gramEnd"/>
      <w:r w:rsidRPr="00C12C4D">
        <w:rPr>
          <w:rFonts w:ascii="Verdana" w:hAnsi="Verdana"/>
          <w:sz w:val="20"/>
          <w:lang w:val="en-US"/>
        </w:rPr>
        <w:t xml:space="preserve"> </w:t>
      </w:r>
      <w:r w:rsidRPr="00C12C4D">
        <w:rPr>
          <w:rFonts w:ascii="Verdana" w:hAnsi="Verdana"/>
          <w:sz w:val="20"/>
          <w:lang w:val="es-CR"/>
        </w:rPr>
        <w:t>Merits, Reparations and Costs.</w:t>
      </w:r>
    </w:p>
    <w:p w14:paraId="24CCD5EF" w14:textId="77777777" w:rsidR="00E4225C" w:rsidRPr="00C12C4D" w:rsidRDefault="00E4225C" w:rsidP="00E4225C">
      <w:pPr>
        <w:rPr>
          <w:rFonts w:ascii="Verdana" w:hAnsi="Verdana"/>
          <w:sz w:val="20"/>
          <w:lang w:val="es-CR"/>
        </w:rPr>
      </w:pPr>
    </w:p>
    <w:p w14:paraId="6137F08A" w14:textId="77777777" w:rsidR="00E4225C" w:rsidRPr="00C12C4D" w:rsidRDefault="00E4225C" w:rsidP="00E4225C">
      <w:pPr>
        <w:rPr>
          <w:rFonts w:ascii="Verdana" w:hAnsi="Verdana"/>
          <w:sz w:val="20"/>
          <w:lang w:val="es-CR"/>
        </w:rPr>
      </w:pPr>
    </w:p>
    <w:p w14:paraId="3A13B93F" w14:textId="77777777" w:rsidR="00E4225C" w:rsidRPr="00C12C4D" w:rsidRDefault="00E4225C" w:rsidP="00E4225C">
      <w:pPr>
        <w:rPr>
          <w:rFonts w:ascii="Verdana" w:hAnsi="Verdana"/>
          <w:sz w:val="20"/>
          <w:lang w:val="es-CR"/>
        </w:rPr>
      </w:pPr>
    </w:p>
    <w:p w14:paraId="21B67AEF" w14:textId="77777777" w:rsidR="00E4225C" w:rsidRPr="00C12C4D" w:rsidRDefault="00E4225C" w:rsidP="00E4225C">
      <w:pPr>
        <w:rPr>
          <w:rFonts w:ascii="Verdana" w:hAnsi="Verdana"/>
          <w:sz w:val="20"/>
          <w:lang w:val="es-CR"/>
        </w:rPr>
      </w:pPr>
    </w:p>
    <w:p w14:paraId="7096DC84" w14:textId="77777777" w:rsidR="00E4225C" w:rsidRPr="00C12C4D" w:rsidRDefault="00E4225C" w:rsidP="00E4225C">
      <w:pPr>
        <w:rPr>
          <w:rFonts w:ascii="Verdana" w:hAnsi="Verdana"/>
          <w:sz w:val="20"/>
          <w:lang w:val="es-CR"/>
        </w:rPr>
      </w:pPr>
    </w:p>
    <w:p w14:paraId="6696AEE9" w14:textId="77777777" w:rsidR="00E4225C" w:rsidRPr="00C12C4D" w:rsidRDefault="00E4225C" w:rsidP="00E4225C">
      <w:pPr>
        <w:jc w:val="center"/>
        <w:rPr>
          <w:rFonts w:ascii="Verdana" w:hAnsi="Verdana"/>
          <w:sz w:val="20"/>
          <w:lang w:val="es-CR"/>
        </w:rPr>
      </w:pPr>
      <w:r w:rsidRPr="00C12C4D">
        <w:rPr>
          <w:rFonts w:ascii="Verdana" w:hAnsi="Verdana"/>
          <w:sz w:val="20"/>
          <w:lang w:val="es-CR"/>
        </w:rPr>
        <w:t>Humberto Antonio Sierra Porto</w:t>
      </w:r>
    </w:p>
    <w:p w14:paraId="3DC0FD55" w14:textId="77777777" w:rsidR="00E4225C" w:rsidRPr="00C12C4D" w:rsidRDefault="00E4225C" w:rsidP="00E4225C">
      <w:pPr>
        <w:jc w:val="center"/>
        <w:rPr>
          <w:rFonts w:ascii="Verdana" w:hAnsi="Verdana"/>
          <w:sz w:val="20"/>
          <w:lang w:val="es-CR"/>
        </w:rPr>
      </w:pPr>
      <w:r w:rsidRPr="00C12C4D">
        <w:rPr>
          <w:rFonts w:ascii="Verdana" w:hAnsi="Verdana"/>
          <w:sz w:val="20"/>
          <w:lang w:val="es-CR"/>
        </w:rPr>
        <w:t>President</w:t>
      </w:r>
    </w:p>
    <w:p w14:paraId="2FC373CE" w14:textId="77777777" w:rsidR="00E4225C" w:rsidRPr="00C12C4D" w:rsidRDefault="00E4225C" w:rsidP="00E4225C">
      <w:pPr>
        <w:jc w:val="both"/>
        <w:rPr>
          <w:rFonts w:ascii="Verdana" w:hAnsi="Verdana"/>
          <w:sz w:val="20"/>
          <w:lang w:val="es-CR"/>
        </w:rPr>
      </w:pPr>
    </w:p>
    <w:p w14:paraId="783E7C13" w14:textId="77777777" w:rsidR="00E4225C" w:rsidRPr="00C12C4D" w:rsidRDefault="00E4225C" w:rsidP="00E4225C">
      <w:pPr>
        <w:jc w:val="both"/>
        <w:rPr>
          <w:rFonts w:ascii="Verdana" w:hAnsi="Verdana"/>
          <w:sz w:val="20"/>
          <w:lang w:val="es-CR"/>
        </w:rPr>
      </w:pPr>
    </w:p>
    <w:p w14:paraId="102AE7BB" w14:textId="77777777" w:rsidR="00E4225C" w:rsidRPr="00C12C4D" w:rsidRDefault="00E4225C" w:rsidP="00E4225C">
      <w:pPr>
        <w:jc w:val="both"/>
        <w:rPr>
          <w:rFonts w:ascii="Verdana" w:hAnsi="Verdana"/>
          <w:sz w:val="20"/>
          <w:lang w:val="es-CR"/>
        </w:rPr>
      </w:pPr>
    </w:p>
    <w:p w14:paraId="5908A9F4" w14:textId="77777777" w:rsidR="00E4225C" w:rsidRPr="00C12C4D" w:rsidRDefault="00E4225C" w:rsidP="00E4225C">
      <w:pPr>
        <w:jc w:val="both"/>
        <w:rPr>
          <w:rFonts w:ascii="Verdana" w:hAnsi="Verdana"/>
          <w:sz w:val="20"/>
          <w:lang w:val="es-CR"/>
        </w:rPr>
      </w:pPr>
    </w:p>
    <w:p w14:paraId="3C6CD83F" w14:textId="77777777" w:rsidR="00E4225C" w:rsidRPr="00C12C4D" w:rsidRDefault="00E4225C" w:rsidP="00E4225C">
      <w:pPr>
        <w:jc w:val="both"/>
        <w:rPr>
          <w:rFonts w:ascii="Verdana" w:hAnsi="Verdana"/>
          <w:sz w:val="20"/>
          <w:lang w:val="es-CR"/>
        </w:rPr>
      </w:pPr>
    </w:p>
    <w:p w14:paraId="36B0C43A" w14:textId="77777777" w:rsidR="00E4225C" w:rsidRPr="00C12C4D" w:rsidRDefault="00E4225C" w:rsidP="00E4225C">
      <w:pPr>
        <w:jc w:val="both"/>
        <w:rPr>
          <w:rFonts w:ascii="Verdana" w:hAnsi="Verdana"/>
          <w:sz w:val="20"/>
          <w:lang w:val="es-CR"/>
        </w:rPr>
      </w:pPr>
      <w:r w:rsidRPr="00C12C4D">
        <w:rPr>
          <w:rFonts w:ascii="Verdana" w:hAnsi="Verdana"/>
          <w:sz w:val="20"/>
          <w:lang w:val="es-CR"/>
        </w:rPr>
        <w:t xml:space="preserve">Roberto F. Caldas </w:t>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t xml:space="preserve">    Manuel E. Ventura Robles</w:t>
      </w:r>
    </w:p>
    <w:p w14:paraId="3664A8A8" w14:textId="77777777" w:rsidR="00E4225C" w:rsidRPr="00C12C4D" w:rsidRDefault="00E4225C" w:rsidP="00E4225C">
      <w:pPr>
        <w:jc w:val="center"/>
        <w:rPr>
          <w:rFonts w:ascii="Verdana" w:hAnsi="Verdana"/>
          <w:sz w:val="20"/>
          <w:lang w:val="es-CR"/>
        </w:rPr>
      </w:pPr>
    </w:p>
    <w:p w14:paraId="4EA708BA" w14:textId="77777777" w:rsidR="00E4225C" w:rsidRPr="00C12C4D" w:rsidRDefault="00E4225C" w:rsidP="00E4225C">
      <w:pPr>
        <w:jc w:val="center"/>
        <w:rPr>
          <w:rFonts w:ascii="Verdana" w:hAnsi="Verdana"/>
          <w:sz w:val="20"/>
          <w:lang w:val="es-CR"/>
        </w:rPr>
      </w:pPr>
    </w:p>
    <w:p w14:paraId="79069D49" w14:textId="77777777" w:rsidR="00E4225C" w:rsidRPr="00C12C4D" w:rsidRDefault="00E4225C" w:rsidP="00E4225C">
      <w:pPr>
        <w:jc w:val="center"/>
        <w:rPr>
          <w:rFonts w:ascii="Verdana" w:hAnsi="Verdana"/>
          <w:sz w:val="20"/>
          <w:lang w:val="es-CR"/>
        </w:rPr>
      </w:pPr>
    </w:p>
    <w:p w14:paraId="0DCCF1EF" w14:textId="77777777" w:rsidR="00E4225C" w:rsidRPr="00C12C4D" w:rsidRDefault="00E4225C" w:rsidP="00E4225C">
      <w:pPr>
        <w:jc w:val="center"/>
        <w:rPr>
          <w:rFonts w:ascii="Verdana" w:hAnsi="Verdana"/>
          <w:sz w:val="20"/>
          <w:lang w:val="es-CR"/>
        </w:rPr>
      </w:pPr>
    </w:p>
    <w:p w14:paraId="0A6A0D68" w14:textId="77777777" w:rsidR="00E4225C" w:rsidRPr="00C12C4D" w:rsidRDefault="00E4225C" w:rsidP="00E4225C">
      <w:pPr>
        <w:jc w:val="center"/>
        <w:rPr>
          <w:rFonts w:ascii="Verdana" w:hAnsi="Verdana"/>
          <w:sz w:val="20"/>
          <w:lang w:val="es-CR"/>
        </w:rPr>
      </w:pPr>
    </w:p>
    <w:p w14:paraId="21910F5F" w14:textId="77777777" w:rsidR="00E4225C" w:rsidRPr="00C12C4D" w:rsidRDefault="00E4225C" w:rsidP="00E4225C">
      <w:pPr>
        <w:rPr>
          <w:rFonts w:ascii="Verdana" w:hAnsi="Verdana"/>
          <w:sz w:val="20"/>
          <w:lang w:val="es-CR"/>
        </w:rPr>
      </w:pPr>
      <w:r w:rsidRPr="00C12C4D">
        <w:rPr>
          <w:rFonts w:ascii="Verdana" w:hAnsi="Verdana"/>
          <w:sz w:val="20"/>
          <w:lang w:val="es-CR"/>
        </w:rPr>
        <w:t xml:space="preserve">Diego García-Sayán </w:t>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r>
      <w:r w:rsidRPr="00C12C4D">
        <w:rPr>
          <w:rFonts w:ascii="Verdana" w:hAnsi="Verdana"/>
          <w:sz w:val="20"/>
          <w:lang w:val="es-CR"/>
        </w:rPr>
        <w:tab/>
        <w:t xml:space="preserve">  Alberto Pérez Pérez</w:t>
      </w:r>
    </w:p>
    <w:p w14:paraId="55077904" w14:textId="77777777" w:rsidR="00E4225C" w:rsidRPr="00C12C4D" w:rsidRDefault="00E4225C" w:rsidP="00E4225C">
      <w:pPr>
        <w:jc w:val="both"/>
        <w:rPr>
          <w:rFonts w:ascii="Verdana" w:hAnsi="Verdana"/>
          <w:sz w:val="20"/>
          <w:lang w:val="es-CR"/>
        </w:rPr>
      </w:pPr>
    </w:p>
    <w:p w14:paraId="1ABA6F90" w14:textId="77777777" w:rsidR="00E4225C" w:rsidRPr="00C12C4D" w:rsidRDefault="00E4225C" w:rsidP="00E4225C">
      <w:pPr>
        <w:rPr>
          <w:rFonts w:ascii="Verdana" w:hAnsi="Verdana"/>
          <w:sz w:val="20"/>
          <w:lang w:val="es-CR"/>
        </w:rPr>
      </w:pPr>
    </w:p>
    <w:p w14:paraId="7D56AA5F" w14:textId="77777777" w:rsidR="00E4225C" w:rsidRPr="00C12C4D" w:rsidRDefault="00E4225C" w:rsidP="00E4225C">
      <w:pPr>
        <w:rPr>
          <w:rFonts w:ascii="Verdana" w:hAnsi="Verdana"/>
          <w:sz w:val="20"/>
          <w:lang w:val="es-CR"/>
        </w:rPr>
      </w:pPr>
    </w:p>
    <w:p w14:paraId="00D2EE29" w14:textId="77777777" w:rsidR="00E4225C" w:rsidRPr="00C12C4D" w:rsidRDefault="00E4225C" w:rsidP="00E4225C">
      <w:pPr>
        <w:rPr>
          <w:rFonts w:ascii="Verdana" w:hAnsi="Verdana"/>
          <w:sz w:val="20"/>
          <w:lang w:val="es-CR"/>
        </w:rPr>
      </w:pPr>
    </w:p>
    <w:p w14:paraId="370740BC" w14:textId="77777777" w:rsidR="00E4225C" w:rsidRPr="00C12C4D" w:rsidRDefault="00E4225C" w:rsidP="00E4225C">
      <w:pPr>
        <w:rPr>
          <w:rFonts w:ascii="Verdana" w:hAnsi="Verdana"/>
          <w:sz w:val="20"/>
          <w:lang w:val="es-CR"/>
        </w:rPr>
      </w:pPr>
    </w:p>
    <w:p w14:paraId="2C4B3BB9" w14:textId="77777777" w:rsidR="00E4225C" w:rsidRPr="000228D3" w:rsidRDefault="00E4225C" w:rsidP="00E4225C">
      <w:pPr>
        <w:rPr>
          <w:rFonts w:ascii="Verdana" w:hAnsi="Verdana"/>
          <w:sz w:val="20"/>
          <w:lang w:val="pt-BR"/>
        </w:rPr>
      </w:pPr>
      <w:r w:rsidRPr="000228D3">
        <w:rPr>
          <w:rFonts w:ascii="Verdana" w:hAnsi="Verdana"/>
          <w:sz w:val="20"/>
          <w:lang w:val="pt-BR"/>
        </w:rPr>
        <w:t xml:space="preserve">Eduardo Vio Grossi </w:t>
      </w:r>
      <w:r w:rsidRPr="000228D3">
        <w:rPr>
          <w:rFonts w:ascii="Verdana" w:hAnsi="Verdana"/>
          <w:sz w:val="20"/>
          <w:lang w:val="pt-BR"/>
        </w:rPr>
        <w:tab/>
      </w:r>
      <w:r w:rsidRPr="000228D3">
        <w:rPr>
          <w:rFonts w:ascii="Verdana" w:hAnsi="Verdana"/>
          <w:sz w:val="20"/>
          <w:lang w:val="pt-BR"/>
        </w:rPr>
        <w:tab/>
      </w:r>
      <w:r w:rsidRPr="000228D3">
        <w:rPr>
          <w:rFonts w:ascii="Verdana" w:hAnsi="Verdana"/>
          <w:sz w:val="20"/>
          <w:lang w:val="pt-BR"/>
        </w:rPr>
        <w:tab/>
      </w:r>
      <w:r w:rsidRPr="000228D3">
        <w:rPr>
          <w:rFonts w:ascii="Verdana" w:hAnsi="Verdana"/>
          <w:sz w:val="20"/>
          <w:lang w:val="pt-BR"/>
        </w:rPr>
        <w:tab/>
      </w:r>
      <w:r w:rsidRPr="000228D3">
        <w:rPr>
          <w:rFonts w:ascii="Verdana" w:hAnsi="Verdana"/>
          <w:sz w:val="20"/>
          <w:lang w:val="pt-BR"/>
        </w:rPr>
        <w:tab/>
      </w:r>
      <w:r w:rsidRPr="000228D3">
        <w:rPr>
          <w:rFonts w:ascii="Verdana" w:hAnsi="Verdana"/>
          <w:sz w:val="20"/>
          <w:lang w:val="pt-BR"/>
        </w:rPr>
        <w:tab/>
        <w:t xml:space="preserve">  Eduardo Ferrer Mac-Gregor Poisot</w:t>
      </w:r>
    </w:p>
    <w:p w14:paraId="5D3EFBD3" w14:textId="77777777" w:rsidR="00E4225C" w:rsidRPr="000228D3" w:rsidRDefault="00E4225C" w:rsidP="00E4225C">
      <w:pPr>
        <w:jc w:val="both"/>
        <w:rPr>
          <w:rFonts w:ascii="Verdana" w:hAnsi="Verdana"/>
          <w:sz w:val="20"/>
          <w:lang w:val="pt-BR"/>
        </w:rPr>
      </w:pPr>
    </w:p>
    <w:p w14:paraId="544FC2C4" w14:textId="77777777" w:rsidR="00E4225C" w:rsidRPr="000228D3" w:rsidRDefault="00E4225C" w:rsidP="00E4225C">
      <w:pPr>
        <w:rPr>
          <w:rFonts w:ascii="Verdana" w:hAnsi="Verdana"/>
          <w:sz w:val="20"/>
          <w:lang w:val="pt-BR"/>
        </w:rPr>
      </w:pPr>
    </w:p>
    <w:p w14:paraId="12EFAF60" w14:textId="77777777" w:rsidR="00E4225C" w:rsidRPr="000228D3" w:rsidRDefault="00E4225C" w:rsidP="00E4225C">
      <w:pPr>
        <w:rPr>
          <w:rFonts w:ascii="Verdana" w:hAnsi="Verdana"/>
          <w:sz w:val="20"/>
          <w:lang w:val="pt-BR"/>
        </w:rPr>
      </w:pPr>
    </w:p>
    <w:p w14:paraId="1027A502" w14:textId="77777777" w:rsidR="00E4225C" w:rsidRPr="000228D3" w:rsidRDefault="00E4225C" w:rsidP="00E4225C">
      <w:pPr>
        <w:tabs>
          <w:tab w:val="left" w:pos="8460"/>
          <w:tab w:val="left" w:pos="8640"/>
        </w:tabs>
        <w:jc w:val="both"/>
        <w:rPr>
          <w:rFonts w:ascii="Verdana" w:hAnsi="Verdana"/>
          <w:sz w:val="20"/>
          <w:lang w:val="pt-BR"/>
        </w:rPr>
      </w:pPr>
    </w:p>
    <w:p w14:paraId="5BF1FADE" w14:textId="77777777" w:rsidR="00E4225C" w:rsidRPr="000228D3" w:rsidRDefault="00E4225C" w:rsidP="00E4225C">
      <w:pPr>
        <w:tabs>
          <w:tab w:val="left" w:pos="8460"/>
          <w:tab w:val="left" w:pos="8640"/>
        </w:tabs>
        <w:jc w:val="both"/>
        <w:rPr>
          <w:rFonts w:ascii="Verdana" w:hAnsi="Verdana"/>
          <w:sz w:val="20"/>
          <w:lang w:val="pt-BR"/>
        </w:rPr>
      </w:pPr>
    </w:p>
    <w:p w14:paraId="6D31F8E1" w14:textId="77777777" w:rsidR="00E4225C" w:rsidRDefault="00E4225C" w:rsidP="00E4225C">
      <w:pPr>
        <w:tabs>
          <w:tab w:val="left" w:pos="8460"/>
          <w:tab w:val="left" w:pos="8640"/>
        </w:tabs>
        <w:jc w:val="center"/>
        <w:rPr>
          <w:rFonts w:ascii="Verdana" w:hAnsi="Verdana"/>
          <w:sz w:val="20"/>
        </w:rPr>
      </w:pPr>
      <w:r>
        <w:rPr>
          <w:rFonts w:ascii="Verdana" w:hAnsi="Verdana"/>
          <w:sz w:val="20"/>
        </w:rPr>
        <w:t>Pablo Saavedra Alessandri</w:t>
      </w:r>
    </w:p>
    <w:p w14:paraId="3125AE99" w14:textId="77777777" w:rsidR="00E4225C" w:rsidRDefault="00E4225C" w:rsidP="00E4225C">
      <w:pPr>
        <w:tabs>
          <w:tab w:val="left" w:pos="8460"/>
          <w:tab w:val="left" w:pos="8640"/>
        </w:tabs>
        <w:jc w:val="center"/>
        <w:rPr>
          <w:rFonts w:ascii="Verdana" w:hAnsi="Verdana"/>
          <w:sz w:val="20"/>
        </w:rPr>
      </w:pPr>
      <w:r>
        <w:rPr>
          <w:rFonts w:ascii="Verdana" w:hAnsi="Verdana"/>
          <w:sz w:val="20"/>
        </w:rPr>
        <w:t>Secretary</w:t>
      </w:r>
    </w:p>
    <w:p w14:paraId="0DA7FBC7" w14:textId="77777777" w:rsidR="00E4225C" w:rsidRDefault="00E4225C" w:rsidP="00E4225C">
      <w:pPr>
        <w:tabs>
          <w:tab w:val="left" w:pos="8460"/>
          <w:tab w:val="left" w:pos="8640"/>
        </w:tabs>
        <w:jc w:val="both"/>
        <w:rPr>
          <w:rFonts w:ascii="Verdana" w:hAnsi="Verdana"/>
          <w:sz w:val="20"/>
        </w:rPr>
      </w:pPr>
    </w:p>
    <w:p w14:paraId="0072ACC1" w14:textId="77777777" w:rsidR="00E4225C" w:rsidRDefault="00E4225C" w:rsidP="00E4225C">
      <w:pPr>
        <w:jc w:val="both"/>
        <w:rPr>
          <w:rFonts w:ascii="Verdana" w:hAnsi="Verdana"/>
          <w:sz w:val="20"/>
        </w:rPr>
      </w:pPr>
    </w:p>
    <w:p w14:paraId="4A5A2913" w14:textId="77777777" w:rsidR="00E4225C" w:rsidRDefault="00E4225C" w:rsidP="00E4225C">
      <w:pPr>
        <w:tabs>
          <w:tab w:val="left" w:pos="8460"/>
          <w:tab w:val="left" w:pos="8640"/>
        </w:tabs>
        <w:jc w:val="both"/>
        <w:rPr>
          <w:rFonts w:ascii="Verdana" w:hAnsi="Verdana"/>
          <w:sz w:val="20"/>
        </w:rPr>
      </w:pPr>
      <w:r>
        <w:rPr>
          <w:rFonts w:ascii="Verdana" w:hAnsi="Verdana"/>
          <w:sz w:val="20"/>
        </w:rPr>
        <w:t>So ordered,</w:t>
      </w:r>
    </w:p>
    <w:p w14:paraId="7FE6AA3F" w14:textId="77777777" w:rsidR="00E4225C" w:rsidRDefault="00E4225C" w:rsidP="00E4225C">
      <w:pPr>
        <w:tabs>
          <w:tab w:val="left" w:pos="8460"/>
          <w:tab w:val="left" w:pos="8640"/>
        </w:tabs>
        <w:jc w:val="both"/>
        <w:rPr>
          <w:rFonts w:ascii="Verdana" w:hAnsi="Verdana"/>
          <w:sz w:val="20"/>
        </w:rPr>
      </w:pPr>
    </w:p>
    <w:p w14:paraId="4F1E3137" w14:textId="77777777" w:rsidR="00E4225C" w:rsidRDefault="00E4225C" w:rsidP="00E4225C">
      <w:pPr>
        <w:tabs>
          <w:tab w:val="left" w:pos="8460"/>
          <w:tab w:val="left" w:pos="8640"/>
        </w:tabs>
        <w:jc w:val="both"/>
        <w:rPr>
          <w:rFonts w:ascii="Verdana" w:hAnsi="Verdana"/>
          <w:sz w:val="20"/>
        </w:rPr>
      </w:pPr>
    </w:p>
    <w:p w14:paraId="5452EE42" w14:textId="77777777" w:rsidR="00E4225C" w:rsidRDefault="00E4225C" w:rsidP="00E4225C">
      <w:pPr>
        <w:tabs>
          <w:tab w:val="left" w:pos="8460"/>
          <w:tab w:val="left" w:pos="8640"/>
        </w:tabs>
        <w:jc w:val="both"/>
        <w:rPr>
          <w:rFonts w:ascii="Verdana" w:hAnsi="Verdana"/>
          <w:sz w:val="20"/>
        </w:rPr>
      </w:pPr>
    </w:p>
    <w:p w14:paraId="0C8B4DAB" w14:textId="77777777" w:rsidR="00E4225C" w:rsidRDefault="00E4225C" w:rsidP="00E4225C">
      <w:pPr>
        <w:tabs>
          <w:tab w:val="left" w:pos="8460"/>
          <w:tab w:val="left" w:pos="8640"/>
        </w:tabs>
        <w:jc w:val="both"/>
        <w:rPr>
          <w:rFonts w:ascii="Verdana" w:hAnsi="Verdana"/>
          <w:sz w:val="20"/>
        </w:rPr>
      </w:pPr>
    </w:p>
    <w:p w14:paraId="572F5DFB" w14:textId="77777777" w:rsidR="00E4225C" w:rsidRDefault="00E4225C" w:rsidP="00E4225C">
      <w:pPr>
        <w:tabs>
          <w:tab w:val="left" w:pos="8460"/>
          <w:tab w:val="left" w:pos="8640"/>
        </w:tabs>
        <w:jc w:val="both"/>
        <w:rPr>
          <w:rFonts w:ascii="Verdana" w:hAnsi="Verdana"/>
          <w:sz w:val="20"/>
        </w:rPr>
      </w:pPr>
    </w:p>
    <w:p w14:paraId="4F353D40" w14:textId="77777777" w:rsidR="00E4225C" w:rsidRDefault="00E4225C" w:rsidP="00E4225C">
      <w:pPr>
        <w:tabs>
          <w:tab w:val="left" w:pos="8460"/>
          <w:tab w:val="left" w:pos="8640"/>
        </w:tabs>
        <w:jc w:val="both"/>
        <w:rPr>
          <w:rFonts w:ascii="Verdana" w:hAnsi="Verdana"/>
          <w:sz w:val="20"/>
        </w:rPr>
      </w:pPr>
    </w:p>
    <w:p w14:paraId="487B9CA3" w14:textId="77777777" w:rsidR="00E4225C" w:rsidRDefault="00E4225C" w:rsidP="00E4225C">
      <w:pPr>
        <w:jc w:val="right"/>
        <w:rPr>
          <w:rFonts w:ascii="Verdana" w:hAnsi="Verdana"/>
          <w:sz w:val="20"/>
        </w:rPr>
      </w:pPr>
      <w:r>
        <w:rPr>
          <w:rFonts w:ascii="Verdana" w:hAnsi="Verdana"/>
          <w:sz w:val="20"/>
          <w:lang w:val="es-CR"/>
        </w:rPr>
        <w:t>Humberto Antonio Sierra Porto</w:t>
      </w:r>
    </w:p>
    <w:p w14:paraId="4934F1A1" w14:textId="77777777" w:rsidR="00E4225C" w:rsidRPr="00C12C4D" w:rsidRDefault="00E4225C" w:rsidP="00E4225C">
      <w:pPr>
        <w:ind w:right="1170"/>
        <w:jc w:val="right"/>
        <w:rPr>
          <w:rFonts w:ascii="Verdana" w:hAnsi="Verdana"/>
          <w:sz w:val="20"/>
          <w:lang w:val="en-US"/>
        </w:rPr>
      </w:pPr>
      <w:r w:rsidRPr="00C12C4D">
        <w:rPr>
          <w:rFonts w:ascii="Verdana" w:hAnsi="Verdana"/>
          <w:sz w:val="20"/>
          <w:lang w:val="en-US"/>
        </w:rPr>
        <w:t>President</w:t>
      </w:r>
    </w:p>
    <w:p w14:paraId="0F269438" w14:textId="77777777" w:rsidR="00E4225C" w:rsidRPr="00C12C4D" w:rsidRDefault="00E4225C" w:rsidP="00E4225C">
      <w:pPr>
        <w:tabs>
          <w:tab w:val="left" w:pos="8460"/>
          <w:tab w:val="left" w:pos="8640"/>
        </w:tabs>
        <w:jc w:val="both"/>
        <w:rPr>
          <w:rFonts w:ascii="Verdana" w:hAnsi="Verdana"/>
          <w:sz w:val="20"/>
          <w:lang w:val="en-US"/>
        </w:rPr>
      </w:pPr>
    </w:p>
    <w:p w14:paraId="5610DCF1" w14:textId="77777777" w:rsidR="00E4225C" w:rsidRPr="00C12C4D" w:rsidRDefault="00E4225C" w:rsidP="00E4225C">
      <w:pPr>
        <w:tabs>
          <w:tab w:val="left" w:pos="8460"/>
          <w:tab w:val="left" w:pos="8640"/>
        </w:tabs>
        <w:jc w:val="both"/>
        <w:rPr>
          <w:rFonts w:ascii="Verdana" w:hAnsi="Verdana"/>
          <w:sz w:val="20"/>
          <w:lang w:val="en-US"/>
        </w:rPr>
      </w:pPr>
    </w:p>
    <w:p w14:paraId="5FF8F705" w14:textId="77777777" w:rsidR="00E4225C" w:rsidRPr="00C12C4D" w:rsidRDefault="00E4225C" w:rsidP="00E4225C">
      <w:pPr>
        <w:tabs>
          <w:tab w:val="left" w:pos="8460"/>
          <w:tab w:val="left" w:pos="8640"/>
        </w:tabs>
        <w:jc w:val="both"/>
        <w:rPr>
          <w:rFonts w:ascii="Verdana" w:hAnsi="Verdana"/>
          <w:sz w:val="20"/>
          <w:lang w:val="en-US"/>
        </w:rPr>
      </w:pPr>
    </w:p>
    <w:p w14:paraId="6D29631D" w14:textId="77777777" w:rsidR="00E4225C" w:rsidRPr="00C12C4D" w:rsidRDefault="00E4225C" w:rsidP="00E4225C">
      <w:pPr>
        <w:tabs>
          <w:tab w:val="left" w:pos="8460"/>
          <w:tab w:val="left" w:pos="8640"/>
        </w:tabs>
        <w:jc w:val="both"/>
        <w:rPr>
          <w:rFonts w:ascii="Verdana" w:hAnsi="Verdana"/>
          <w:sz w:val="20"/>
          <w:lang w:val="en-US"/>
        </w:rPr>
      </w:pPr>
    </w:p>
    <w:p w14:paraId="67CC49BE" w14:textId="77777777" w:rsidR="00E4225C" w:rsidRPr="00C12C4D" w:rsidRDefault="00E4225C" w:rsidP="00E4225C">
      <w:pPr>
        <w:tabs>
          <w:tab w:val="left" w:pos="8460"/>
          <w:tab w:val="left" w:pos="8640"/>
        </w:tabs>
        <w:jc w:val="both"/>
        <w:rPr>
          <w:rFonts w:ascii="Verdana" w:hAnsi="Verdana"/>
          <w:sz w:val="20"/>
          <w:lang w:val="en-US"/>
        </w:rPr>
      </w:pPr>
      <w:r w:rsidRPr="00C12C4D">
        <w:rPr>
          <w:rFonts w:ascii="Verdana" w:hAnsi="Verdana"/>
          <w:sz w:val="20"/>
          <w:lang w:val="en-US"/>
        </w:rPr>
        <w:t>Pablo Saavedra Alessandri</w:t>
      </w:r>
    </w:p>
    <w:p w14:paraId="2335E1C1" w14:textId="77777777" w:rsidR="00E4225C" w:rsidRPr="00C12C4D" w:rsidRDefault="00E4225C" w:rsidP="00E4225C">
      <w:pPr>
        <w:tabs>
          <w:tab w:val="left" w:pos="8640"/>
        </w:tabs>
        <w:ind w:left="720"/>
        <w:rPr>
          <w:rFonts w:ascii="Verdana" w:hAnsi="Verdana"/>
          <w:sz w:val="20"/>
          <w:lang w:val="en-US"/>
        </w:rPr>
      </w:pPr>
      <w:r w:rsidRPr="00C12C4D">
        <w:rPr>
          <w:rFonts w:ascii="Verdana" w:hAnsi="Verdana"/>
          <w:sz w:val="20"/>
          <w:lang w:val="en-US"/>
        </w:rPr>
        <w:t xml:space="preserve">  Secretary</w:t>
      </w:r>
    </w:p>
    <w:p w14:paraId="652279E2" w14:textId="77777777" w:rsidR="00E4225C" w:rsidRPr="00C12C4D" w:rsidRDefault="00E4225C" w:rsidP="00E4225C">
      <w:pPr>
        <w:tabs>
          <w:tab w:val="left" w:pos="8640"/>
        </w:tabs>
        <w:ind w:left="720"/>
        <w:rPr>
          <w:rFonts w:ascii="Verdana" w:hAnsi="Verdana"/>
          <w:sz w:val="20"/>
          <w:lang w:val="en-US"/>
        </w:rPr>
      </w:pPr>
    </w:p>
    <w:p w14:paraId="63126BB4" w14:textId="77777777" w:rsidR="00F568EB" w:rsidRPr="00FE7BA7" w:rsidRDefault="00BA5FB7" w:rsidP="007B386C">
      <w:pPr>
        <w:pStyle w:val="Heading1"/>
        <w:tabs>
          <w:tab w:val="left" w:pos="851"/>
        </w:tabs>
        <w:spacing w:before="0"/>
        <w:jc w:val="center"/>
        <w:rPr>
          <w:rFonts w:ascii="Verdana" w:hAnsi="Verdana" w:cs="Verdana"/>
          <w:caps/>
          <w:snapToGrid w:val="0"/>
          <w:color w:val="auto"/>
          <w:sz w:val="20"/>
          <w:szCs w:val="20"/>
          <w:lang w:val="en-US"/>
        </w:rPr>
      </w:pPr>
      <w:bookmarkStart w:id="99" w:name="_Toc436065854"/>
      <w:bookmarkStart w:id="100" w:name="_Toc436289319"/>
      <w:bookmarkStart w:id="101" w:name="_Toc438137511"/>
      <w:bookmarkStart w:id="102" w:name="_Toc441673240"/>
      <w:r w:rsidRPr="00FE7BA7">
        <w:rPr>
          <w:rFonts w:ascii="Verdana" w:hAnsi="Verdana" w:cs="Verdana"/>
          <w:caps/>
          <w:snapToGrid w:val="0"/>
          <w:color w:val="auto"/>
          <w:sz w:val="20"/>
          <w:szCs w:val="20"/>
          <w:lang w:val="en-US"/>
        </w:rPr>
        <w:lastRenderedPageBreak/>
        <w:t>IX</w:t>
      </w:r>
      <w:bookmarkEnd w:id="99"/>
      <w:bookmarkEnd w:id="100"/>
      <w:bookmarkEnd w:id="101"/>
      <w:bookmarkEnd w:id="102"/>
    </w:p>
    <w:p w14:paraId="63126BB5" w14:textId="77777777" w:rsidR="009F4526" w:rsidRPr="00F12B55" w:rsidRDefault="00D40098" w:rsidP="009F4526">
      <w:pPr>
        <w:jc w:val="center"/>
        <w:rPr>
          <w:rFonts w:ascii="Verdana" w:eastAsia="Times New Roman" w:hAnsi="Verdana" w:cs="Verdana"/>
          <w:b/>
          <w:bCs/>
          <w:caps/>
          <w:snapToGrid w:val="0"/>
          <w:sz w:val="20"/>
          <w:szCs w:val="20"/>
          <w:lang w:val="en-US"/>
        </w:rPr>
      </w:pPr>
      <w:r w:rsidRPr="00F12B55">
        <w:rPr>
          <w:rFonts w:ascii="Verdana" w:eastAsia="Times New Roman" w:hAnsi="Verdana" w:cs="Verdana"/>
          <w:b/>
          <w:bCs/>
          <w:caps/>
          <w:snapToGrid w:val="0"/>
          <w:sz w:val="20"/>
          <w:szCs w:val="20"/>
          <w:lang w:val="en-US"/>
        </w:rPr>
        <w:t>ANNEXE</w:t>
      </w:r>
      <w:r w:rsidR="009F4526" w:rsidRPr="00F12B55">
        <w:rPr>
          <w:rFonts w:ascii="Verdana" w:eastAsia="Times New Roman" w:hAnsi="Verdana" w:cs="Verdana"/>
          <w:b/>
          <w:bCs/>
          <w:caps/>
          <w:snapToGrid w:val="0"/>
          <w:sz w:val="20"/>
          <w:szCs w:val="20"/>
          <w:lang w:val="en-US"/>
        </w:rPr>
        <w:t>S</w:t>
      </w:r>
    </w:p>
    <w:p w14:paraId="63126BB6" w14:textId="77777777" w:rsidR="007B386C" w:rsidRPr="00FE7BA7" w:rsidRDefault="007B386C" w:rsidP="007B386C">
      <w:pPr>
        <w:pStyle w:val="Heading1"/>
        <w:tabs>
          <w:tab w:val="left" w:pos="851"/>
        </w:tabs>
        <w:spacing w:before="0"/>
        <w:jc w:val="center"/>
        <w:rPr>
          <w:rFonts w:ascii="Verdana" w:hAnsi="Verdana" w:cs="Verdana"/>
          <w:caps/>
          <w:snapToGrid w:val="0"/>
          <w:color w:val="auto"/>
          <w:sz w:val="20"/>
          <w:szCs w:val="20"/>
          <w:lang w:val="en-US"/>
        </w:rPr>
      </w:pPr>
      <w:r w:rsidRPr="00FE7BA7">
        <w:rPr>
          <w:rFonts w:ascii="Verdana" w:hAnsi="Verdana" w:cs="Verdana"/>
          <w:caps/>
          <w:snapToGrid w:val="0"/>
          <w:color w:val="auto"/>
          <w:sz w:val="20"/>
          <w:szCs w:val="20"/>
          <w:lang w:val="en-US"/>
        </w:rPr>
        <w:br/>
      </w:r>
      <w:bookmarkStart w:id="103" w:name="_Toc441673241"/>
      <w:r w:rsidR="00D40098" w:rsidRPr="00FE7BA7">
        <w:rPr>
          <w:rFonts w:ascii="Verdana" w:hAnsi="Verdana" w:cs="Verdana"/>
          <w:caps/>
          <w:snapToGrid w:val="0"/>
          <w:color w:val="auto"/>
          <w:sz w:val="20"/>
          <w:szCs w:val="20"/>
          <w:lang w:val="en-US"/>
        </w:rPr>
        <w:t>ANNEX</w:t>
      </w:r>
      <w:r w:rsidR="00F568EB" w:rsidRPr="00FE7BA7">
        <w:rPr>
          <w:rFonts w:ascii="Verdana" w:hAnsi="Verdana" w:cs="Verdana"/>
          <w:caps/>
          <w:snapToGrid w:val="0"/>
          <w:color w:val="auto"/>
          <w:sz w:val="20"/>
          <w:szCs w:val="20"/>
          <w:lang w:val="en-US"/>
        </w:rPr>
        <w:t xml:space="preserve"> I</w:t>
      </w:r>
      <w:bookmarkEnd w:id="103"/>
    </w:p>
    <w:p w14:paraId="63126BB7" w14:textId="77777777" w:rsidR="007B386C" w:rsidRPr="00FE7BA7" w:rsidRDefault="007B386C" w:rsidP="007B386C">
      <w:pPr>
        <w:rPr>
          <w:lang w:val="en-US"/>
        </w:rPr>
      </w:pPr>
    </w:p>
    <w:p w14:paraId="63126BB8" w14:textId="77777777" w:rsidR="007B386C" w:rsidRPr="00FE7BA7" w:rsidRDefault="00D24B97" w:rsidP="007B386C">
      <w:pPr>
        <w:jc w:val="center"/>
        <w:rPr>
          <w:lang w:val="en-US"/>
        </w:rPr>
      </w:pPr>
      <w:r w:rsidRPr="00FE7BA7">
        <w:rPr>
          <w:rFonts w:ascii="Verdana" w:hAnsi="Verdana"/>
          <w:noProof/>
          <w:sz w:val="20"/>
          <w:szCs w:val="20"/>
          <w:lang w:val="es-ES" w:eastAsia="es-ES"/>
        </w:rPr>
        <w:drawing>
          <wp:inline distT="0" distB="0" distL="0" distR="0" wp14:anchorId="63126BD7" wp14:editId="63126BD8">
            <wp:extent cx="6138407" cy="533532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16129" t="18098" r="12734" b="5883"/>
                    <a:stretch/>
                  </pic:blipFill>
                  <pic:spPr bwMode="auto">
                    <a:xfrm>
                      <a:off x="0" y="0"/>
                      <a:ext cx="6145058" cy="5341107"/>
                    </a:xfrm>
                    <a:prstGeom prst="rect">
                      <a:avLst/>
                    </a:prstGeom>
                    <a:ln>
                      <a:noFill/>
                    </a:ln>
                    <a:extLst>
                      <a:ext uri="{53640926-AAD7-44D8-BBD7-CCE9431645EC}">
                        <a14:shadowObscured xmlns:a14="http://schemas.microsoft.com/office/drawing/2010/main"/>
                      </a:ext>
                    </a:extLst>
                  </pic:spPr>
                </pic:pic>
              </a:graphicData>
            </a:graphic>
          </wp:inline>
        </w:drawing>
      </w:r>
    </w:p>
    <w:p w14:paraId="63126BB9" w14:textId="77777777" w:rsidR="007B386C" w:rsidRPr="00FE7BA7" w:rsidRDefault="007B386C" w:rsidP="007B386C">
      <w:pPr>
        <w:jc w:val="center"/>
        <w:rPr>
          <w:lang w:val="en-US"/>
        </w:rPr>
      </w:pPr>
    </w:p>
    <w:p w14:paraId="63126BBA" w14:textId="77777777" w:rsidR="007B386C" w:rsidRPr="00FE7BA7" w:rsidRDefault="007B386C" w:rsidP="007B386C">
      <w:pPr>
        <w:jc w:val="both"/>
        <w:rPr>
          <w:lang w:val="en-US"/>
        </w:rPr>
      </w:pPr>
    </w:p>
    <w:p w14:paraId="63126BBB" w14:textId="77777777" w:rsidR="00F568EB" w:rsidRPr="00FE7BA7" w:rsidRDefault="00F568EB" w:rsidP="007B386C">
      <w:pPr>
        <w:jc w:val="both"/>
        <w:rPr>
          <w:lang w:val="en-US"/>
        </w:rPr>
      </w:pPr>
    </w:p>
    <w:p w14:paraId="63126BBC" w14:textId="77777777" w:rsidR="00F568EB" w:rsidRPr="00FE7BA7" w:rsidRDefault="00F568EB" w:rsidP="007B386C">
      <w:pPr>
        <w:jc w:val="both"/>
        <w:rPr>
          <w:lang w:val="en-US"/>
        </w:rPr>
      </w:pPr>
    </w:p>
    <w:p w14:paraId="63126BBD" w14:textId="77777777" w:rsidR="007B386C" w:rsidRPr="00FE7BA7" w:rsidRDefault="0078305E" w:rsidP="007B386C">
      <w:pPr>
        <w:jc w:val="both"/>
        <w:rPr>
          <w:rFonts w:ascii="Verdana" w:hAnsi="Verdana"/>
          <w:sz w:val="18"/>
          <w:lang w:val="en-US"/>
        </w:rPr>
      </w:pPr>
      <w:r w:rsidRPr="00FE7BA7">
        <w:rPr>
          <w:rFonts w:ascii="Verdana" w:hAnsi="Verdana"/>
          <w:sz w:val="18"/>
          <w:lang w:val="en-US"/>
        </w:rPr>
        <w:t>Note</w:t>
      </w:r>
      <w:r w:rsidR="00F568EB" w:rsidRPr="00FE7BA7">
        <w:rPr>
          <w:rFonts w:ascii="Verdana" w:hAnsi="Verdana"/>
          <w:sz w:val="18"/>
          <w:lang w:val="en-US"/>
        </w:rPr>
        <w:t xml:space="preserve">: </w:t>
      </w:r>
      <w:r w:rsidRPr="00FE7BA7">
        <w:rPr>
          <w:rFonts w:ascii="Verdana" w:hAnsi="Verdana"/>
          <w:sz w:val="18"/>
          <w:lang w:val="en-US"/>
        </w:rPr>
        <w:t>This map is include</w:t>
      </w:r>
      <w:r w:rsidR="00146E01" w:rsidRPr="00FE7BA7">
        <w:rPr>
          <w:rFonts w:ascii="Verdana" w:hAnsi="Verdana"/>
          <w:sz w:val="18"/>
          <w:lang w:val="en-US"/>
        </w:rPr>
        <w:t>d</w:t>
      </w:r>
      <w:r w:rsidR="007B386C" w:rsidRPr="00FE7BA7">
        <w:rPr>
          <w:rFonts w:ascii="Verdana" w:hAnsi="Verdana"/>
          <w:sz w:val="18"/>
          <w:lang w:val="en-US"/>
        </w:rPr>
        <w:t xml:space="preserve"> </w:t>
      </w:r>
      <w:r w:rsidR="00146E01" w:rsidRPr="00FE7BA7">
        <w:rPr>
          <w:rFonts w:ascii="Verdana" w:hAnsi="Verdana"/>
          <w:sz w:val="18"/>
          <w:lang w:val="en-US"/>
        </w:rPr>
        <w:t>for illustrative purposes.</w:t>
      </w:r>
      <w:r w:rsidR="007B386C" w:rsidRPr="00FE7BA7">
        <w:rPr>
          <w:rFonts w:ascii="Verdana" w:hAnsi="Verdana"/>
          <w:sz w:val="18"/>
          <w:lang w:val="en-US"/>
        </w:rPr>
        <w:t xml:space="preserve"> </w:t>
      </w:r>
      <w:r w:rsidRPr="00FE7BA7">
        <w:rPr>
          <w:rFonts w:ascii="Verdana" w:hAnsi="Verdana"/>
          <w:sz w:val="18"/>
          <w:lang w:val="en-US"/>
        </w:rPr>
        <w:t xml:space="preserve">The map was presented by </w:t>
      </w:r>
      <w:r w:rsidR="002B5CCD" w:rsidRPr="00FE7BA7">
        <w:rPr>
          <w:rFonts w:ascii="Verdana" w:hAnsi="Verdana"/>
          <w:sz w:val="18"/>
          <w:lang w:val="en-US"/>
        </w:rPr>
        <w:t>the State</w:t>
      </w:r>
      <w:r w:rsidRPr="00FE7BA7">
        <w:rPr>
          <w:rFonts w:ascii="Verdana" w:hAnsi="Verdana"/>
          <w:sz w:val="18"/>
          <w:lang w:val="en-US"/>
        </w:rPr>
        <w:t xml:space="preserve"> with its </w:t>
      </w:r>
      <w:r w:rsidR="00D16DA7" w:rsidRPr="00FE7BA7">
        <w:rPr>
          <w:rFonts w:ascii="Verdana" w:hAnsi="Verdana"/>
          <w:sz w:val="18"/>
          <w:lang w:val="en-US"/>
        </w:rPr>
        <w:t>final written arguments</w:t>
      </w:r>
      <w:r w:rsidR="007B386C" w:rsidRPr="00FE7BA7">
        <w:rPr>
          <w:rFonts w:ascii="Verdana" w:hAnsi="Verdana"/>
          <w:sz w:val="18"/>
          <w:lang w:val="en-US"/>
        </w:rPr>
        <w:t xml:space="preserve">. </w:t>
      </w:r>
      <w:r w:rsidRPr="00FE7BA7">
        <w:rPr>
          <w:rFonts w:ascii="Verdana" w:hAnsi="Verdana"/>
          <w:sz w:val="18"/>
          <w:lang w:val="en-US"/>
        </w:rPr>
        <w:t xml:space="preserve">It provides an approximate delimitation </w:t>
      </w:r>
      <w:r w:rsidR="00511E56" w:rsidRPr="00FE7BA7">
        <w:rPr>
          <w:rFonts w:ascii="Verdana" w:hAnsi="Verdana"/>
          <w:sz w:val="18"/>
          <w:lang w:val="en-US"/>
        </w:rPr>
        <w:t>of the territory</w:t>
      </w:r>
      <w:r w:rsidR="007B386C" w:rsidRPr="00FE7BA7">
        <w:rPr>
          <w:rFonts w:ascii="Verdana" w:hAnsi="Verdana"/>
          <w:sz w:val="18"/>
          <w:lang w:val="en-US"/>
        </w:rPr>
        <w:t xml:space="preserve"> oc</w:t>
      </w:r>
      <w:r w:rsidRPr="00FE7BA7">
        <w:rPr>
          <w:rFonts w:ascii="Verdana" w:hAnsi="Verdana"/>
          <w:sz w:val="18"/>
          <w:lang w:val="en-US"/>
        </w:rPr>
        <w:t xml:space="preserve">cupied by the indigenous peoples and the Maroons in </w:t>
      </w:r>
      <w:r w:rsidR="00CD3DC6" w:rsidRPr="00FE7BA7">
        <w:rPr>
          <w:rFonts w:ascii="Verdana" w:hAnsi="Verdana"/>
          <w:sz w:val="18"/>
          <w:lang w:val="en-US"/>
        </w:rPr>
        <w:t>Suriname.</w:t>
      </w:r>
    </w:p>
    <w:p w14:paraId="63126BBE" w14:textId="77777777" w:rsidR="005C5A01" w:rsidRPr="00FE7BA7" w:rsidRDefault="005C5A01" w:rsidP="007B386C">
      <w:pPr>
        <w:rPr>
          <w:lang w:val="en-US"/>
        </w:rPr>
      </w:pPr>
    </w:p>
    <w:p w14:paraId="63126BBF" w14:textId="77777777" w:rsidR="005C5A01" w:rsidRDefault="005C5A01">
      <w:pPr>
        <w:spacing w:after="200" w:line="276" w:lineRule="auto"/>
        <w:rPr>
          <w:rFonts w:ascii="Verdana" w:hAnsi="Verdana" w:cs="Verdana"/>
          <w:b/>
          <w:caps/>
          <w:snapToGrid w:val="0"/>
          <w:sz w:val="20"/>
          <w:szCs w:val="20"/>
          <w:lang w:val="en-US"/>
        </w:rPr>
      </w:pPr>
      <w:r>
        <w:rPr>
          <w:rFonts w:ascii="Verdana" w:hAnsi="Verdana" w:cs="Verdana"/>
          <w:b/>
          <w:caps/>
          <w:snapToGrid w:val="0"/>
          <w:sz w:val="20"/>
          <w:szCs w:val="20"/>
          <w:lang w:val="en-US"/>
        </w:rPr>
        <w:br w:type="page"/>
      </w:r>
    </w:p>
    <w:p w14:paraId="63126BC0" w14:textId="77777777" w:rsidR="007B386C" w:rsidRPr="00FE7BA7" w:rsidRDefault="0078305E" w:rsidP="002C323A">
      <w:pPr>
        <w:jc w:val="center"/>
        <w:rPr>
          <w:b/>
          <w:lang w:val="en-US"/>
        </w:rPr>
      </w:pPr>
      <w:r w:rsidRPr="00FE7BA7">
        <w:rPr>
          <w:rFonts w:ascii="Verdana" w:hAnsi="Verdana" w:cs="Verdana"/>
          <w:b/>
          <w:caps/>
          <w:snapToGrid w:val="0"/>
          <w:sz w:val="20"/>
          <w:szCs w:val="20"/>
          <w:lang w:val="en-US"/>
        </w:rPr>
        <w:lastRenderedPageBreak/>
        <w:t>ANNEX</w:t>
      </w:r>
      <w:r w:rsidR="00F568EB" w:rsidRPr="00FE7BA7">
        <w:rPr>
          <w:rFonts w:ascii="Verdana" w:hAnsi="Verdana" w:cs="Verdana"/>
          <w:b/>
          <w:caps/>
          <w:snapToGrid w:val="0"/>
          <w:sz w:val="20"/>
          <w:szCs w:val="20"/>
          <w:lang w:val="en-US"/>
        </w:rPr>
        <w:t xml:space="preserve"> II</w:t>
      </w:r>
    </w:p>
    <w:p w14:paraId="63126BC1" w14:textId="77777777" w:rsidR="007B386C" w:rsidRPr="00FE7BA7" w:rsidRDefault="007B386C" w:rsidP="007B386C">
      <w:pPr>
        <w:rPr>
          <w:lang w:val="en-US"/>
        </w:rPr>
      </w:pPr>
    </w:p>
    <w:p w14:paraId="63126BC2" w14:textId="77777777" w:rsidR="007B386C" w:rsidRPr="00FE7BA7" w:rsidRDefault="007B386C" w:rsidP="007B386C">
      <w:pPr>
        <w:rPr>
          <w:lang w:val="en-US"/>
        </w:rPr>
      </w:pPr>
    </w:p>
    <w:p w14:paraId="63126BC3" w14:textId="77777777" w:rsidR="007B386C" w:rsidRPr="00FE7BA7" w:rsidRDefault="00D24B97" w:rsidP="007B386C">
      <w:pPr>
        <w:jc w:val="center"/>
        <w:rPr>
          <w:lang w:val="en-US"/>
        </w:rPr>
      </w:pPr>
      <w:r w:rsidRPr="00FE7BA7">
        <w:rPr>
          <w:rFonts w:ascii="Verdana" w:hAnsi="Verdana"/>
          <w:noProof/>
          <w:sz w:val="20"/>
          <w:szCs w:val="20"/>
          <w:lang w:val="es-ES" w:eastAsia="es-ES"/>
        </w:rPr>
        <w:drawing>
          <wp:inline distT="0" distB="0" distL="0" distR="0" wp14:anchorId="63126BD9" wp14:editId="63126BDA">
            <wp:extent cx="4482849" cy="5557651"/>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0000" t="21944" r="18923" b="10161"/>
                    <a:stretch/>
                  </pic:blipFill>
                  <pic:spPr bwMode="auto">
                    <a:xfrm>
                      <a:off x="0" y="0"/>
                      <a:ext cx="4490430" cy="5567049"/>
                    </a:xfrm>
                    <a:prstGeom prst="rect">
                      <a:avLst/>
                    </a:prstGeom>
                    <a:ln>
                      <a:noFill/>
                    </a:ln>
                    <a:extLst>
                      <a:ext uri="{53640926-AAD7-44D8-BBD7-CCE9431645EC}">
                        <a14:shadowObscured xmlns:a14="http://schemas.microsoft.com/office/drawing/2010/main"/>
                      </a:ext>
                    </a:extLst>
                  </pic:spPr>
                </pic:pic>
              </a:graphicData>
            </a:graphic>
          </wp:inline>
        </w:drawing>
      </w:r>
    </w:p>
    <w:p w14:paraId="63126BC4" w14:textId="77777777" w:rsidR="007B386C" w:rsidRPr="00FE7BA7" w:rsidRDefault="007B386C" w:rsidP="007B386C">
      <w:pPr>
        <w:rPr>
          <w:lang w:val="en-US"/>
        </w:rPr>
      </w:pPr>
    </w:p>
    <w:p w14:paraId="63126BC5" w14:textId="77777777" w:rsidR="002C6B42" w:rsidRPr="00FE7BA7" w:rsidRDefault="002C6B42" w:rsidP="007B386C">
      <w:pPr>
        <w:jc w:val="both"/>
        <w:rPr>
          <w:rFonts w:ascii="Verdana" w:hAnsi="Verdana"/>
          <w:b/>
          <w:sz w:val="18"/>
          <w:szCs w:val="20"/>
          <w:lang w:val="en-US"/>
        </w:rPr>
      </w:pPr>
    </w:p>
    <w:p w14:paraId="63126BC6" w14:textId="77777777" w:rsidR="002C6B42" w:rsidRPr="00FE7BA7" w:rsidRDefault="002C6B42" w:rsidP="007B386C">
      <w:pPr>
        <w:jc w:val="both"/>
        <w:rPr>
          <w:rFonts w:ascii="Verdana" w:hAnsi="Verdana"/>
          <w:b/>
          <w:sz w:val="18"/>
          <w:szCs w:val="20"/>
          <w:lang w:val="en-US"/>
        </w:rPr>
      </w:pPr>
    </w:p>
    <w:p w14:paraId="63126BC7" w14:textId="77777777" w:rsidR="002C6B42" w:rsidRPr="00FE7BA7" w:rsidRDefault="002C6B42" w:rsidP="007B386C">
      <w:pPr>
        <w:jc w:val="both"/>
        <w:rPr>
          <w:rFonts w:ascii="Verdana" w:hAnsi="Verdana"/>
          <w:b/>
          <w:sz w:val="18"/>
          <w:szCs w:val="20"/>
          <w:lang w:val="en-US"/>
        </w:rPr>
      </w:pPr>
    </w:p>
    <w:p w14:paraId="63126BC8" w14:textId="77777777" w:rsidR="002C6B42" w:rsidRPr="00FE7BA7" w:rsidRDefault="002C6B42" w:rsidP="007B386C">
      <w:pPr>
        <w:jc w:val="both"/>
        <w:rPr>
          <w:rFonts w:ascii="Verdana" w:hAnsi="Verdana"/>
          <w:b/>
          <w:sz w:val="18"/>
          <w:szCs w:val="20"/>
          <w:lang w:val="en-US"/>
        </w:rPr>
      </w:pPr>
    </w:p>
    <w:p w14:paraId="63126BC9" w14:textId="77777777" w:rsidR="00011A37" w:rsidRPr="005C5A01" w:rsidRDefault="00F568EB" w:rsidP="007B386C">
      <w:pPr>
        <w:jc w:val="both"/>
        <w:rPr>
          <w:rFonts w:ascii="Verdana" w:hAnsi="Verdana"/>
          <w:sz w:val="18"/>
          <w:lang w:val="en-US"/>
        </w:rPr>
      </w:pPr>
      <w:r w:rsidRPr="00FE7BA7">
        <w:rPr>
          <w:rFonts w:ascii="Verdana" w:hAnsi="Verdana"/>
          <w:sz w:val="18"/>
          <w:lang w:val="en-US"/>
        </w:rPr>
        <w:t>Not</w:t>
      </w:r>
      <w:r w:rsidR="00CA291A" w:rsidRPr="00FE7BA7">
        <w:rPr>
          <w:rFonts w:ascii="Verdana" w:hAnsi="Verdana"/>
          <w:sz w:val="18"/>
          <w:lang w:val="en-US"/>
        </w:rPr>
        <w:t>e</w:t>
      </w:r>
      <w:r w:rsidRPr="00FE7BA7">
        <w:rPr>
          <w:rFonts w:ascii="Verdana" w:hAnsi="Verdana"/>
          <w:sz w:val="18"/>
          <w:lang w:val="en-US"/>
        </w:rPr>
        <w:t>:</w:t>
      </w:r>
      <w:r w:rsidR="00CA291A" w:rsidRPr="00FE7BA7">
        <w:rPr>
          <w:rFonts w:ascii="Verdana" w:hAnsi="Verdana"/>
          <w:sz w:val="18"/>
          <w:lang w:val="en-US"/>
        </w:rPr>
        <w:t xml:space="preserve"> This map is included </w:t>
      </w:r>
      <w:r w:rsidR="00146E01" w:rsidRPr="00FE7BA7">
        <w:rPr>
          <w:rFonts w:ascii="Verdana" w:hAnsi="Verdana"/>
          <w:sz w:val="18"/>
          <w:lang w:val="en-US"/>
        </w:rPr>
        <w:t>for illustrative purposes.</w:t>
      </w:r>
      <w:r w:rsidR="007B386C" w:rsidRPr="00FE7BA7">
        <w:rPr>
          <w:rFonts w:ascii="Verdana" w:hAnsi="Verdana"/>
          <w:sz w:val="18"/>
          <w:lang w:val="en-US"/>
        </w:rPr>
        <w:t xml:space="preserve"> </w:t>
      </w:r>
      <w:r w:rsidR="00CA291A" w:rsidRPr="00FE7BA7">
        <w:rPr>
          <w:rFonts w:ascii="Verdana" w:hAnsi="Verdana"/>
          <w:sz w:val="18"/>
          <w:lang w:val="en-US"/>
        </w:rPr>
        <w:t xml:space="preserve">The map was presented by the victims’ </w:t>
      </w:r>
      <w:r w:rsidR="00810FAD" w:rsidRPr="00FE7BA7">
        <w:rPr>
          <w:rFonts w:ascii="Verdana" w:hAnsi="Verdana"/>
          <w:sz w:val="18"/>
          <w:lang w:val="en-US"/>
        </w:rPr>
        <w:t>representatives</w:t>
      </w:r>
      <w:r w:rsidR="00CA291A" w:rsidRPr="00FE7BA7">
        <w:rPr>
          <w:rFonts w:ascii="Verdana" w:hAnsi="Verdana"/>
          <w:sz w:val="18"/>
          <w:lang w:val="en-US"/>
        </w:rPr>
        <w:t xml:space="preserve"> </w:t>
      </w:r>
      <w:r w:rsidR="00FD14B3" w:rsidRPr="00FE7BA7">
        <w:rPr>
          <w:rFonts w:ascii="Verdana" w:hAnsi="Verdana"/>
          <w:sz w:val="18"/>
          <w:lang w:val="en-US"/>
        </w:rPr>
        <w:t xml:space="preserve">during </w:t>
      </w:r>
      <w:r w:rsidR="00810FAD" w:rsidRPr="00FE7BA7">
        <w:rPr>
          <w:rFonts w:ascii="Verdana" w:hAnsi="Verdana"/>
          <w:sz w:val="18"/>
          <w:lang w:val="en-US"/>
        </w:rPr>
        <w:t>the public hearing</w:t>
      </w:r>
      <w:r w:rsidR="007B386C" w:rsidRPr="00FE7BA7">
        <w:rPr>
          <w:rFonts w:ascii="Verdana" w:hAnsi="Verdana"/>
          <w:sz w:val="18"/>
          <w:lang w:val="en-US"/>
        </w:rPr>
        <w:t xml:space="preserve"> </w:t>
      </w:r>
      <w:r w:rsidR="00CA291A" w:rsidRPr="00FE7BA7">
        <w:rPr>
          <w:rFonts w:ascii="Verdana" w:hAnsi="Verdana"/>
          <w:sz w:val="18"/>
          <w:lang w:val="en-US"/>
        </w:rPr>
        <w:t xml:space="preserve">in this case. It delimits, approximately, </w:t>
      </w:r>
      <w:r w:rsidR="00511E56" w:rsidRPr="00FE7BA7">
        <w:rPr>
          <w:rFonts w:ascii="Verdana" w:hAnsi="Verdana"/>
          <w:sz w:val="18"/>
          <w:lang w:val="en-US"/>
        </w:rPr>
        <w:t>the territory</w:t>
      </w:r>
      <w:r w:rsidR="007B386C" w:rsidRPr="00FE7BA7">
        <w:rPr>
          <w:rFonts w:ascii="Verdana" w:hAnsi="Verdana"/>
          <w:sz w:val="18"/>
          <w:lang w:val="en-US"/>
        </w:rPr>
        <w:t xml:space="preserve"> </w:t>
      </w:r>
      <w:r w:rsidR="00CA291A" w:rsidRPr="00FE7BA7">
        <w:rPr>
          <w:rFonts w:ascii="Verdana" w:hAnsi="Verdana"/>
          <w:sz w:val="18"/>
          <w:lang w:val="en-US"/>
        </w:rPr>
        <w:t xml:space="preserve">claimed by the victims and the location of the communities </w:t>
      </w:r>
      <w:r w:rsidR="00635ACD" w:rsidRPr="00FE7BA7">
        <w:rPr>
          <w:rFonts w:ascii="Verdana" w:hAnsi="Verdana"/>
          <w:sz w:val="18"/>
          <w:lang w:val="en-US"/>
        </w:rPr>
        <w:t xml:space="preserve">of the </w:t>
      </w:r>
      <w:r w:rsidR="004C7D14" w:rsidRPr="00FE7BA7">
        <w:rPr>
          <w:rFonts w:ascii="Verdana" w:hAnsi="Verdana"/>
          <w:sz w:val="18"/>
          <w:lang w:val="en-US"/>
        </w:rPr>
        <w:t>Kaliña and Lokono peoples</w:t>
      </w:r>
      <w:r w:rsidR="007B386C" w:rsidRPr="00FE7BA7">
        <w:rPr>
          <w:rFonts w:ascii="Verdana" w:hAnsi="Verdana"/>
          <w:sz w:val="18"/>
          <w:lang w:val="en-US"/>
        </w:rPr>
        <w:t xml:space="preserve"> </w:t>
      </w:r>
      <w:r w:rsidR="00FE7BA7" w:rsidRPr="00FE7BA7">
        <w:rPr>
          <w:rFonts w:ascii="Verdana" w:hAnsi="Verdana"/>
          <w:sz w:val="18"/>
          <w:lang w:val="en-US"/>
        </w:rPr>
        <w:t>that</w:t>
      </w:r>
      <w:r w:rsidR="00CA291A" w:rsidRPr="00FE7BA7">
        <w:rPr>
          <w:rFonts w:ascii="Verdana" w:hAnsi="Verdana"/>
          <w:sz w:val="18"/>
          <w:lang w:val="en-US"/>
        </w:rPr>
        <w:t xml:space="preserve"> are part of this case. D</w:t>
      </w:r>
      <w:r w:rsidR="00FD14B3" w:rsidRPr="00FE7BA7">
        <w:rPr>
          <w:rFonts w:ascii="Verdana" w:hAnsi="Verdana"/>
          <w:sz w:val="18"/>
          <w:lang w:val="en-US"/>
        </w:rPr>
        <w:t xml:space="preserve">uring </w:t>
      </w:r>
      <w:r w:rsidR="003F59F5" w:rsidRPr="00FE7BA7">
        <w:rPr>
          <w:rFonts w:ascii="Verdana" w:hAnsi="Verdana"/>
          <w:sz w:val="18"/>
          <w:lang w:val="en-US"/>
        </w:rPr>
        <w:t>the on-site procedure</w:t>
      </w:r>
      <w:r w:rsidR="007B386C" w:rsidRPr="00FE7BA7">
        <w:rPr>
          <w:rFonts w:ascii="Verdana" w:hAnsi="Verdana"/>
          <w:sz w:val="18"/>
          <w:lang w:val="en-US"/>
        </w:rPr>
        <w:t xml:space="preserve">, </w:t>
      </w:r>
      <w:r w:rsidR="002B5CCD" w:rsidRPr="00FE7BA7">
        <w:rPr>
          <w:rFonts w:ascii="Verdana" w:hAnsi="Verdana"/>
          <w:sz w:val="18"/>
          <w:lang w:val="en-US"/>
        </w:rPr>
        <w:t>the State</w:t>
      </w:r>
      <w:r w:rsidR="007B386C" w:rsidRPr="00FE7BA7">
        <w:rPr>
          <w:rFonts w:ascii="Verdana" w:hAnsi="Verdana"/>
          <w:sz w:val="18"/>
          <w:lang w:val="en-US"/>
        </w:rPr>
        <w:t xml:space="preserve"> argu</w:t>
      </w:r>
      <w:r w:rsidR="00CA291A" w:rsidRPr="00FE7BA7">
        <w:rPr>
          <w:rFonts w:ascii="Verdana" w:hAnsi="Verdana"/>
          <w:sz w:val="18"/>
          <w:lang w:val="en-US"/>
        </w:rPr>
        <w:t xml:space="preserve">ed that the map provided by </w:t>
      </w:r>
      <w:r w:rsidR="00810FAD" w:rsidRPr="00FE7BA7">
        <w:rPr>
          <w:rFonts w:ascii="Verdana" w:hAnsi="Verdana"/>
          <w:sz w:val="18"/>
          <w:lang w:val="en-US"/>
        </w:rPr>
        <w:t>the representatives</w:t>
      </w:r>
      <w:r w:rsidR="007B386C" w:rsidRPr="00FE7BA7">
        <w:rPr>
          <w:rFonts w:ascii="Verdana" w:hAnsi="Verdana"/>
          <w:sz w:val="18"/>
          <w:lang w:val="en-US"/>
        </w:rPr>
        <w:t xml:space="preserve"> </w:t>
      </w:r>
      <w:r w:rsidR="00CA291A" w:rsidRPr="00FE7BA7">
        <w:rPr>
          <w:rFonts w:ascii="Verdana" w:hAnsi="Verdana"/>
          <w:sz w:val="18"/>
          <w:lang w:val="en-US"/>
        </w:rPr>
        <w:t xml:space="preserve">was imprecise </w:t>
      </w:r>
      <w:r w:rsidR="002B5CCD" w:rsidRPr="00FE7BA7">
        <w:rPr>
          <w:rFonts w:ascii="Verdana" w:hAnsi="Verdana"/>
          <w:sz w:val="18"/>
          <w:lang w:val="en-US"/>
        </w:rPr>
        <w:t xml:space="preserve">and </w:t>
      </w:r>
      <w:r w:rsidR="00810FAD" w:rsidRPr="00FE7BA7">
        <w:rPr>
          <w:rFonts w:ascii="Verdana" w:hAnsi="Verdana"/>
          <w:sz w:val="18"/>
          <w:lang w:val="en-US"/>
        </w:rPr>
        <w:t>the representatives</w:t>
      </w:r>
      <w:r w:rsidRPr="00FE7BA7">
        <w:rPr>
          <w:rFonts w:ascii="Verdana" w:hAnsi="Verdana"/>
          <w:sz w:val="18"/>
          <w:lang w:val="en-US"/>
        </w:rPr>
        <w:t xml:space="preserve"> ha</w:t>
      </w:r>
      <w:r w:rsidR="00CA291A" w:rsidRPr="00FE7BA7">
        <w:rPr>
          <w:rFonts w:ascii="Verdana" w:hAnsi="Verdana"/>
          <w:sz w:val="18"/>
          <w:lang w:val="en-US"/>
        </w:rPr>
        <w:t xml:space="preserve">ve indicated that it shows the approximate, rather than the exact, area </w:t>
      </w:r>
      <w:r w:rsidR="00511E56" w:rsidRPr="00FE7BA7">
        <w:rPr>
          <w:rFonts w:ascii="Verdana" w:hAnsi="Verdana"/>
          <w:sz w:val="18"/>
          <w:lang w:val="en-US"/>
        </w:rPr>
        <w:t>of the territory</w:t>
      </w:r>
      <w:r w:rsidRPr="00FE7BA7">
        <w:rPr>
          <w:rFonts w:ascii="Verdana" w:hAnsi="Verdana"/>
          <w:sz w:val="18"/>
          <w:lang w:val="en-US"/>
        </w:rPr>
        <w:t xml:space="preserve"> </w:t>
      </w:r>
      <w:r w:rsidR="00CA291A" w:rsidRPr="00FE7BA7">
        <w:rPr>
          <w:rFonts w:ascii="Verdana" w:hAnsi="Verdana"/>
          <w:sz w:val="18"/>
          <w:lang w:val="en-US"/>
        </w:rPr>
        <w:t>claimed.</w:t>
      </w:r>
    </w:p>
    <w:p w14:paraId="63126BCA" w14:textId="77777777" w:rsidR="00FC5A61" w:rsidRDefault="00FC5A61">
      <w:pPr>
        <w:spacing w:after="200" w:line="276" w:lineRule="auto"/>
        <w:rPr>
          <w:rFonts w:ascii="Verdana" w:hAnsi="Verdana" w:cs="Verdana"/>
          <w:b/>
          <w:caps/>
          <w:snapToGrid w:val="0"/>
          <w:sz w:val="20"/>
          <w:szCs w:val="20"/>
          <w:lang w:val="en-US"/>
        </w:rPr>
      </w:pPr>
      <w:r>
        <w:rPr>
          <w:rFonts w:ascii="Verdana" w:hAnsi="Verdana" w:cs="Verdana"/>
          <w:b/>
          <w:caps/>
          <w:snapToGrid w:val="0"/>
          <w:sz w:val="20"/>
          <w:szCs w:val="20"/>
          <w:lang w:val="en-US"/>
        </w:rPr>
        <w:br w:type="page"/>
      </w:r>
    </w:p>
    <w:p w14:paraId="63126BCB" w14:textId="77777777" w:rsidR="00F568EB" w:rsidRPr="00FE7BA7" w:rsidRDefault="00CA291A" w:rsidP="002C323A">
      <w:pPr>
        <w:jc w:val="center"/>
        <w:rPr>
          <w:rFonts w:ascii="Verdana" w:hAnsi="Verdana" w:cs="Verdana"/>
          <w:b/>
          <w:caps/>
          <w:snapToGrid w:val="0"/>
          <w:sz w:val="20"/>
          <w:szCs w:val="20"/>
          <w:lang w:val="en-US"/>
        </w:rPr>
      </w:pPr>
      <w:r w:rsidRPr="00FE7BA7">
        <w:rPr>
          <w:rFonts w:ascii="Verdana" w:hAnsi="Verdana" w:cs="Verdana"/>
          <w:b/>
          <w:caps/>
          <w:snapToGrid w:val="0"/>
          <w:sz w:val="20"/>
          <w:szCs w:val="20"/>
          <w:lang w:val="en-US"/>
        </w:rPr>
        <w:lastRenderedPageBreak/>
        <w:t>ANNEX</w:t>
      </w:r>
      <w:r w:rsidR="00F568EB" w:rsidRPr="00FE7BA7">
        <w:rPr>
          <w:rFonts w:ascii="Verdana" w:hAnsi="Verdana" w:cs="Verdana"/>
          <w:b/>
          <w:caps/>
          <w:snapToGrid w:val="0"/>
          <w:sz w:val="20"/>
          <w:szCs w:val="20"/>
          <w:lang w:val="en-US"/>
        </w:rPr>
        <w:t xml:space="preserve"> III</w:t>
      </w:r>
    </w:p>
    <w:p w14:paraId="63126BCC" w14:textId="77777777" w:rsidR="00F568EB" w:rsidRPr="00FE7BA7" w:rsidRDefault="00F568EB" w:rsidP="002C323A">
      <w:pPr>
        <w:jc w:val="center"/>
        <w:rPr>
          <w:rFonts w:ascii="Verdana" w:hAnsi="Verdana" w:cs="Verdana"/>
          <w:b/>
          <w:caps/>
          <w:snapToGrid w:val="0"/>
          <w:sz w:val="20"/>
          <w:szCs w:val="20"/>
          <w:lang w:val="en-US"/>
        </w:rPr>
      </w:pPr>
    </w:p>
    <w:p w14:paraId="63126BCD" w14:textId="77777777" w:rsidR="00F568EB" w:rsidRPr="00FE7BA7" w:rsidRDefault="00F568EB" w:rsidP="002C323A">
      <w:pPr>
        <w:jc w:val="center"/>
        <w:rPr>
          <w:rFonts w:ascii="Verdana" w:hAnsi="Verdana" w:cs="Verdana"/>
          <w:b/>
          <w:caps/>
          <w:snapToGrid w:val="0"/>
          <w:sz w:val="20"/>
          <w:szCs w:val="20"/>
          <w:lang w:val="en-US"/>
        </w:rPr>
      </w:pPr>
    </w:p>
    <w:p w14:paraId="63126BCE" w14:textId="77777777" w:rsidR="00F568EB" w:rsidRPr="00FE7BA7" w:rsidRDefault="00F568EB" w:rsidP="002C323A">
      <w:pPr>
        <w:jc w:val="center"/>
        <w:rPr>
          <w:rFonts w:ascii="Verdana" w:hAnsi="Verdana"/>
          <w:b/>
          <w:sz w:val="20"/>
          <w:szCs w:val="20"/>
          <w:lang w:val="en-US"/>
        </w:rPr>
      </w:pPr>
    </w:p>
    <w:p w14:paraId="63126BCF" w14:textId="77777777" w:rsidR="007B386C" w:rsidRPr="00FE7BA7" w:rsidRDefault="007B386C" w:rsidP="007B386C">
      <w:pPr>
        <w:jc w:val="both"/>
        <w:rPr>
          <w:rFonts w:eastAsia="Times New Roman"/>
          <w:snapToGrid w:val="0"/>
          <w:color w:val="000000"/>
          <w:w w:val="0"/>
          <w:sz w:val="0"/>
          <w:szCs w:val="0"/>
          <w:u w:color="000000"/>
          <w:bdr w:val="none" w:sz="0" w:space="0" w:color="000000"/>
          <w:shd w:val="clear" w:color="000000" w:fill="000000"/>
          <w:lang w:val="en-US"/>
        </w:rPr>
      </w:pPr>
      <w:r w:rsidRPr="00FE7BA7">
        <w:rPr>
          <w:rFonts w:eastAsia="Times New Roman"/>
          <w:snapToGrid w:val="0"/>
          <w:color w:val="000000"/>
          <w:w w:val="0"/>
          <w:sz w:val="0"/>
          <w:szCs w:val="0"/>
          <w:u w:color="000000"/>
          <w:bdr w:val="none" w:sz="0" w:space="0" w:color="000000"/>
          <w:shd w:val="clear" w:color="000000" w:fill="000000"/>
          <w:lang w:val="en-US"/>
        </w:rPr>
        <w:t xml:space="preserve"> </w:t>
      </w:r>
      <w:r w:rsidR="00D24B97" w:rsidRPr="00FE7BA7">
        <w:rPr>
          <w:rFonts w:ascii="Verdana" w:hAnsi="Verdana"/>
          <w:noProof/>
          <w:sz w:val="20"/>
          <w:szCs w:val="20"/>
          <w:lang w:val="es-ES" w:eastAsia="es-ES"/>
        </w:rPr>
        <w:drawing>
          <wp:inline distT="0" distB="0" distL="0" distR="0" wp14:anchorId="63126BDB" wp14:editId="63126BDC">
            <wp:extent cx="5478448" cy="4556097"/>
            <wp:effectExtent l="0" t="0" r="8255" b="0"/>
            <wp:docPr id="8" name="Imagen 8" descr="C:\Users\Jose Pablo Vega\Desktop\Pages from signed final kirsch affidavit marowi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 Pablo Vega\Desktop\Pages from signed final kirsch affidavit marowijn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1179" t="32388" r="14152" b="29741"/>
                    <a:stretch/>
                  </pic:blipFill>
                  <pic:spPr bwMode="auto">
                    <a:xfrm>
                      <a:off x="0" y="0"/>
                      <a:ext cx="5477101" cy="4554977"/>
                    </a:xfrm>
                    <a:prstGeom prst="rect">
                      <a:avLst/>
                    </a:prstGeom>
                    <a:noFill/>
                    <a:ln>
                      <a:noFill/>
                    </a:ln>
                    <a:extLst>
                      <a:ext uri="{53640926-AAD7-44D8-BBD7-CCE9431645EC}">
                        <a14:shadowObscured xmlns:a14="http://schemas.microsoft.com/office/drawing/2010/main"/>
                      </a:ext>
                    </a:extLst>
                  </pic:spPr>
                </pic:pic>
              </a:graphicData>
            </a:graphic>
          </wp:inline>
        </w:drawing>
      </w:r>
    </w:p>
    <w:p w14:paraId="63126BD0" w14:textId="77777777" w:rsidR="007B386C" w:rsidRPr="00FE7BA7" w:rsidRDefault="007B386C" w:rsidP="007B386C">
      <w:pPr>
        <w:jc w:val="both"/>
        <w:rPr>
          <w:rFonts w:eastAsia="Times New Roman"/>
          <w:snapToGrid w:val="0"/>
          <w:color w:val="000000"/>
          <w:w w:val="0"/>
          <w:sz w:val="0"/>
          <w:szCs w:val="0"/>
          <w:u w:color="000000"/>
          <w:bdr w:val="none" w:sz="0" w:space="0" w:color="000000"/>
          <w:shd w:val="clear" w:color="000000" w:fill="000000"/>
          <w:lang w:val="en-US"/>
        </w:rPr>
      </w:pPr>
    </w:p>
    <w:p w14:paraId="63126BD1" w14:textId="77777777" w:rsidR="007B386C" w:rsidRPr="00FE7BA7" w:rsidRDefault="007B386C" w:rsidP="007B386C">
      <w:pPr>
        <w:jc w:val="both"/>
        <w:rPr>
          <w:rFonts w:ascii="Verdana" w:hAnsi="Verdana"/>
          <w:b/>
          <w:sz w:val="20"/>
          <w:szCs w:val="20"/>
          <w:lang w:val="en-US"/>
        </w:rPr>
      </w:pPr>
    </w:p>
    <w:p w14:paraId="63126BD2" w14:textId="77777777" w:rsidR="00F568EB" w:rsidRPr="00FE7BA7" w:rsidRDefault="00F568EB" w:rsidP="007B386C">
      <w:pPr>
        <w:jc w:val="both"/>
        <w:rPr>
          <w:rFonts w:ascii="Verdana" w:hAnsi="Verdana"/>
          <w:b/>
          <w:sz w:val="20"/>
          <w:szCs w:val="20"/>
          <w:lang w:val="en-US"/>
        </w:rPr>
      </w:pPr>
    </w:p>
    <w:p w14:paraId="63126BD3" w14:textId="77777777" w:rsidR="00F568EB" w:rsidRPr="00FE7BA7" w:rsidRDefault="00F568EB" w:rsidP="007B386C">
      <w:pPr>
        <w:jc w:val="both"/>
        <w:rPr>
          <w:rFonts w:ascii="Verdana" w:hAnsi="Verdana"/>
          <w:b/>
          <w:sz w:val="20"/>
          <w:szCs w:val="20"/>
          <w:lang w:val="en-US"/>
        </w:rPr>
      </w:pPr>
    </w:p>
    <w:p w14:paraId="63126BD4" w14:textId="77777777" w:rsidR="00F568EB" w:rsidRPr="00FE7BA7" w:rsidRDefault="00F568EB" w:rsidP="007B386C">
      <w:pPr>
        <w:jc w:val="both"/>
        <w:rPr>
          <w:rFonts w:ascii="Verdana" w:hAnsi="Verdana"/>
          <w:b/>
          <w:sz w:val="20"/>
          <w:szCs w:val="20"/>
          <w:lang w:val="en-US"/>
        </w:rPr>
      </w:pPr>
    </w:p>
    <w:p w14:paraId="63126BD5" w14:textId="77777777" w:rsidR="007B386C" w:rsidRPr="00FE7BA7" w:rsidRDefault="00FE7BA7" w:rsidP="007B386C">
      <w:pPr>
        <w:jc w:val="both"/>
        <w:rPr>
          <w:rFonts w:ascii="Verdana" w:hAnsi="Verdana"/>
          <w:sz w:val="18"/>
          <w:lang w:val="en-US"/>
        </w:rPr>
      </w:pPr>
      <w:r w:rsidRPr="00FE7BA7">
        <w:rPr>
          <w:rFonts w:ascii="Verdana" w:hAnsi="Verdana"/>
          <w:sz w:val="18"/>
          <w:lang w:val="en-US"/>
        </w:rPr>
        <w:t>Note</w:t>
      </w:r>
      <w:r w:rsidR="00F568EB" w:rsidRPr="00FE7BA7">
        <w:rPr>
          <w:rFonts w:ascii="Verdana" w:hAnsi="Verdana"/>
          <w:sz w:val="18"/>
          <w:lang w:val="en-US"/>
        </w:rPr>
        <w:t xml:space="preserve">: </w:t>
      </w:r>
      <w:r w:rsidR="00146E01" w:rsidRPr="00FE7BA7">
        <w:rPr>
          <w:rFonts w:ascii="Verdana" w:hAnsi="Verdana"/>
          <w:sz w:val="18"/>
          <w:lang w:val="en-US"/>
        </w:rPr>
        <w:t>This map is included</w:t>
      </w:r>
      <w:r w:rsidR="00CA291A" w:rsidRPr="00FE7BA7">
        <w:rPr>
          <w:rFonts w:ascii="Verdana" w:hAnsi="Verdana"/>
          <w:sz w:val="18"/>
          <w:lang w:val="en-US"/>
        </w:rPr>
        <w:t xml:space="preserve"> </w:t>
      </w:r>
      <w:r w:rsidR="00146E01" w:rsidRPr="00FE7BA7">
        <w:rPr>
          <w:rFonts w:ascii="Verdana" w:hAnsi="Verdana"/>
          <w:sz w:val="18"/>
          <w:lang w:val="en-US"/>
        </w:rPr>
        <w:t>for illustrative purposes.</w:t>
      </w:r>
      <w:r w:rsidR="007B386C" w:rsidRPr="00FE7BA7">
        <w:rPr>
          <w:rFonts w:ascii="Verdana" w:hAnsi="Verdana"/>
          <w:sz w:val="18"/>
          <w:lang w:val="en-US"/>
        </w:rPr>
        <w:t xml:space="preserve"> </w:t>
      </w:r>
      <w:r w:rsidR="00CA291A" w:rsidRPr="00FE7BA7">
        <w:rPr>
          <w:rFonts w:ascii="Verdana" w:hAnsi="Verdana"/>
          <w:sz w:val="18"/>
          <w:lang w:val="en-US"/>
        </w:rPr>
        <w:t xml:space="preserve">The map was presented by </w:t>
      </w:r>
      <w:r w:rsidR="00810FAD" w:rsidRPr="00FE7BA7">
        <w:rPr>
          <w:rFonts w:ascii="Verdana" w:hAnsi="Verdana"/>
          <w:sz w:val="18"/>
          <w:lang w:val="en-US"/>
        </w:rPr>
        <w:t>the</w:t>
      </w:r>
      <w:r w:rsidR="00CA291A" w:rsidRPr="00FE7BA7">
        <w:rPr>
          <w:rFonts w:ascii="Verdana" w:hAnsi="Verdana"/>
          <w:sz w:val="18"/>
          <w:lang w:val="en-US"/>
        </w:rPr>
        <w:t xml:space="preserve"> victims’</w:t>
      </w:r>
      <w:r w:rsidR="00810FAD" w:rsidRPr="00FE7BA7">
        <w:rPr>
          <w:rFonts w:ascii="Verdana" w:hAnsi="Verdana"/>
          <w:sz w:val="18"/>
          <w:lang w:val="en-US"/>
        </w:rPr>
        <w:t xml:space="preserve"> representatives</w:t>
      </w:r>
      <w:r w:rsidR="00CA291A" w:rsidRPr="00FE7BA7">
        <w:rPr>
          <w:rFonts w:ascii="Verdana" w:hAnsi="Verdana"/>
          <w:sz w:val="18"/>
          <w:lang w:val="en-US"/>
        </w:rPr>
        <w:t xml:space="preserve"> attached to the report of </w:t>
      </w:r>
      <w:r w:rsidR="00BE4D11" w:rsidRPr="00FE7BA7">
        <w:rPr>
          <w:rFonts w:ascii="Verdana" w:hAnsi="Verdana"/>
          <w:sz w:val="18"/>
          <w:lang w:val="en-US"/>
        </w:rPr>
        <w:t>expert witness</w:t>
      </w:r>
      <w:r w:rsidR="007B386C" w:rsidRPr="00FE7BA7">
        <w:rPr>
          <w:rFonts w:ascii="Verdana" w:hAnsi="Verdana"/>
          <w:sz w:val="18"/>
          <w:lang w:val="en-US"/>
        </w:rPr>
        <w:t xml:space="preserve"> Stuart Kirsh.</w:t>
      </w:r>
      <w:r w:rsidR="00F568EB" w:rsidRPr="00FE7BA7">
        <w:rPr>
          <w:rFonts w:ascii="Verdana" w:hAnsi="Verdana"/>
          <w:sz w:val="18"/>
          <w:lang w:val="en-US"/>
        </w:rPr>
        <w:t xml:space="preserve"> </w:t>
      </w:r>
      <w:r w:rsidR="00CA291A" w:rsidRPr="00FE7BA7">
        <w:rPr>
          <w:rFonts w:ascii="Verdana" w:hAnsi="Verdana"/>
          <w:sz w:val="18"/>
          <w:lang w:val="en-US"/>
        </w:rPr>
        <w:t xml:space="preserve">It shows the area granted under the bauxite concession within </w:t>
      </w:r>
      <w:r w:rsidR="00511E56" w:rsidRPr="00FE7BA7">
        <w:rPr>
          <w:rFonts w:ascii="Verdana" w:hAnsi="Verdana"/>
          <w:sz w:val="18"/>
          <w:lang w:val="en-US"/>
        </w:rPr>
        <w:t>the Wane Kreek</w:t>
      </w:r>
      <w:r w:rsidR="00BE4D11" w:rsidRPr="00FE7BA7">
        <w:rPr>
          <w:rFonts w:ascii="Verdana" w:hAnsi="Verdana"/>
          <w:sz w:val="18"/>
          <w:lang w:val="en-US"/>
        </w:rPr>
        <w:t xml:space="preserve"> Nature Reserve</w:t>
      </w:r>
      <w:r w:rsidR="00F568EB" w:rsidRPr="00FE7BA7">
        <w:rPr>
          <w:rFonts w:ascii="Verdana" w:hAnsi="Verdana"/>
          <w:sz w:val="18"/>
          <w:lang w:val="en-US"/>
        </w:rPr>
        <w:t xml:space="preserve">. </w:t>
      </w:r>
    </w:p>
    <w:p w14:paraId="1C831787" w14:textId="77777777" w:rsidR="007522DE" w:rsidRDefault="007522DE" w:rsidP="00146E01">
      <w:pPr>
        <w:spacing w:after="200" w:line="276" w:lineRule="auto"/>
        <w:rPr>
          <w:rFonts w:ascii="Verdana" w:hAnsi="Verdana"/>
          <w:sz w:val="20"/>
          <w:szCs w:val="20"/>
          <w:lang w:val="en-US"/>
        </w:rPr>
        <w:sectPr w:rsidR="007522DE" w:rsidSect="006C4E70">
          <w:footerReference w:type="default" r:id="rId66"/>
          <w:headerReference w:type="first" r:id="rId67"/>
          <w:pgSz w:w="12240" w:h="15840"/>
          <w:pgMar w:top="1304" w:right="1077" w:bottom="1440" w:left="1304" w:header="720" w:footer="720" w:gutter="0"/>
          <w:cols w:space="720"/>
          <w:titlePg/>
          <w:docGrid w:linePitch="360"/>
        </w:sectPr>
      </w:pPr>
    </w:p>
    <w:p w14:paraId="096C8CCF" w14:textId="77777777" w:rsidR="007522DE" w:rsidRDefault="007522DE" w:rsidP="007522DE">
      <w:pPr>
        <w:pStyle w:val="Title"/>
        <w:ind w:right="-138"/>
        <w:rPr>
          <w:rFonts w:eastAsia="MS Mincho"/>
          <w:noProof w:val="0"/>
          <w:lang w:val="en-US"/>
        </w:rPr>
      </w:pPr>
    </w:p>
    <w:p w14:paraId="246296A0" w14:textId="77777777" w:rsidR="007522DE" w:rsidRDefault="007522DE" w:rsidP="007522DE">
      <w:pPr>
        <w:pStyle w:val="Title"/>
        <w:ind w:right="-138"/>
        <w:rPr>
          <w:rFonts w:eastAsia="MS Mincho"/>
          <w:noProof w:val="0"/>
          <w:lang w:val="en-US"/>
        </w:rPr>
      </w:pPr>
      <w:r w:rsidRPr="0031391B">
        <w:rPr>
          <w:rFonts w:eastAsia="MS Mincho"/>
          <w:noProof w:val="0"/>
          <w:lang w:val="en-US"/>
        </w:rPr>
        <w:t>JOINT CONCURRING OPINION OF JUDGES</w:t>
      </w:r>
    </w:p>
    <w:p w14:paraId="75393F27" w14:textId="77777777" w:rsidR="007522DE" w:rsidRPr="0031391B" w:rsidRDefault="007522DE" w:rsidP="007522DE">
      <w:pPr>
        <w:pStyle w:val="Title"/>
        <w:ind w:right="-138"/>
        <w:rPr>
          <w:rFonts w:eastAsia="MS Mincho"/>
          <w:noProof w:val="0"/>
          <w:lang w:val="en-US"/>
        </w:rPr>
      </w:pPr>
    </w:p>
    <w:p w14:paraId="3038C2DD" w14:textId="77777777" w:rsidR="007522DE" w:rsidRPr="00DC265D" w:rsidRDefault="007522DE" w:rsidP="007522DE">
      <w:pPr>
        <w:pStyle w:val="Title"/>
        <w:ind w:right="-138"/>
        <w:rPr>
          <w:rFonts w:eastAsia="MS Mincho"/>
          <w:noProof w:val="0"/>
          <w:lang w:val="en-US"/>
        </w:rPr>
      </w:pPr>
      <w:r w:rsidRPr="00DC265D">
        <w:rPr>
          <w:rFonts w:eastAsia="MS Mincho"/>
          <w:noProof w:val="0"/>
          <w:lang w:val="en-US"/>
        </w:rPr>
        <w:t xml:space="preserve">HUMBERTO ANTONIO SIERRA PORTO AND </w:t>
      </w:r>
    </w:p>
    <w:p w14:paraId="0C987054" w14:textId="77777777" w:rsidR="007522DE" w:rsidRPr="00DC265D" w:rsidRDefault="007522DE" w:rsidP="007522DE">
      <w:pPr>
        <w:pStyle w:val="Title"/>
        <w:ind w:right="-138"/>
        <w:rPr>
          <w:rFonts w:eastAsia="MS Mincho"/>
          <w:noProof w:val="0"/>
          <w:lang w:val="en-US"/>
        </w:rPr>
      </w:pPr>
    </w:p>
    <w:p w14:paraId="4F1A0A66" w14:textId="77777777" w:rsidR="007522DE" w:rsidRPr="00717E39" w:rsidRDefault="007522DE" w:rsidP="007522DE">
      <w:pPr>
        <w:pStyle w:val="Title"/>
        <w:ind w:right="-138"/>
        <w:rPr>
          <w:rFonts w:eastAsia="MS Mincho"/>
          <w:noProof w:val="0"/>
          <w:lang w:val="en-US"/>
        </w:rPr>
      </w:pPr>
      <w:r w:rsidRPr="00717E39">
        <w:rPr>
          <w:rFonts w:eastAsia="MS Mincho"/>
          <w:noProof w:val="0"/>
          <w:lang w:val="en-US"/>
        </w:rPr>
        <w:t>EDUARDO FERRER MAC-GREGOR POISOT</w:t>
      </w:r>
    </w:p>
    <w:p w14:paraId="350DDAA0" w14:textId="77777777" w:rsidR="007522DE" w:rsidRPr="00717E39" w:rsidRDefault="007522DE" w:rsidP="007522DE">
      <w:pPr>
        <w:pStyle w:val="Title"/>
        <w:ind w:left="-142" w:right="-138"/>
        <w:rPr>
          <w:rFonts w:eastAsia="MS Mincho"/>
          <w:noProof w:val="0"/>
          <w:lang w:val="en-US"/>
        </w:rPr>
      </w:pPr>
    </w:p>
    <w:p w14:paraId="6F88F15B" w14:textId="77777777" w:rsidR="007522DE" w:rsidRPr="00A43C87" w:rsidRDefault="007522DE" w:rsidP="007522DE">
      <w:pPr>
        <w:jc w:val="center"/>
        <w:rPr>
          <w:rFonts w:ascii="Verdana" w:hAnsi="Verdana"/>
          <w:b/>
          <w:sz w:val="20"/>
          <w:szCs w:val="20"/>
          <w:u w:val="single"/>
          <w:lang w:val="en-US"/>
        </w:rPr>
      </w:pPr>
      <w:r w:rsidRPr="00A43C87">
        <w:rPr>
          <w:rFonts w:ascii="Verdana" w:hAnsi="Verdana"/>
          <w:b/>
          <w:sz w:val="20"/>
          <w:szCs w:val="20"/>
          <w:u w:val="single"/>
          <w:lang w:val="en-US"/>
        </w:rPr>
        <w:t xml:space="preserve">CASE OF THE KALIÑA AND LOKONO PEOPLES </w:t>
      </w:r>
      <w:r w:rsidRPr="00A43C87">
        <w:rPr>
          <w:rFonts w:ascii="Verdana" w:hAnsi="Verdana"/>
          <w:b/>
          <w:i/>
          <w:sz w:val="20"/>
          <w:szCs w:val="20"/>
          <w:u w:val="single"/>
          <w:lang w:val="en-US"/>
        </w:rPr>
        <w:t xml:space="preserve">V. </w:t>
      </w:r>
      <w:r w:rsidRPr="00A43C87">
        <w:rPr>
          <w:rFonts w:ascii="Verdana" w:hAnsi="Verdana"/>
          <w:b/>
          <w:sz w:val="20"/>
          <w:szCs w:val="20"/>
          <w:u w:val="single"/>
          <w:lang w:val="en-US"/>
        </w:rPr>
        <w:t>SURINAME</w:t>
      </w:r>
    </w:p>
    <w:p w14:paraId="73A029F7" w14:textId="77777777" w:rsidR="007522DE" w:rsidRPr="00A43C87" w:rsidRDefault="007522DE" w:rsidP="007522DE">
      <w:pPr>
        <w:jc w:val="center"/>
        <w:rPr>
          <w:rFonts w:ascii="Verdana" w:hAnsi="Verdana"/>
          <w:b/>
          <w:sz w:val="20"/>
          <w:szCs w:val="20"/>
          <w:lang w:val="en-US"/>
        </w:rPr>
      </w:pPr>
      <w:r w:rsidRPr="00A43C87">
        <w:rPr>
          <w:rFonts w:ascii="Verdana" w:hAnsi="Verdana"/>
          <w:b/>
          <w:sz w:val="20"/>
          <w:szCs w:val="20"/>
          <w:lang w:val="en-US"/>
        </w:rPr>
        <w:t>JUDGMENT OF NOVEMBER 25, 2015</w:t>
      </w:r>
    </w:p>
    <w:p w14:paraId="6276D6F3" w14:textId="77777777" w:rsidR="007522DE" w:rsidRPr="00A43C87" w:rsidRDefault="007522DE" w:rsidP="007522DE">
      <w:pPr>
        <w:ind w:right="-138"/>
        <w:jc w:val="center"/>
        <w:rPr>
          <w:rFonts w:ascii="Verdana" w:hAnsi="Verdana"/>
          <w:sz w:val="20"/>
          <w:szCs w:val="20"/>
          <w:lang w:val="en-US"/>
        </w:rPr>
      </w:pPr>
      <w:r w:rsidRPr="00A43C87">
        <w:rPr>
          <w:rFonts w:ascii="Verdana" w:hAnsi="Verdana"/>
          <w:b/>
          <w:i/>
          <w:sz w:val="20"/>
          <w:szCs w:val="20"/>
          <w:lang w:val="en-US"/>
        </w:rPr>
        <w:t>(Merits, Reparations and Costs)</w:t>
      </w:r>
    </w:p>
    <w:p w14:paraId="0421099D" w14:textId="77777777" w:rsidR="007522DE" w:rsidRPr="0031391B" w:rsidRDefault="007522DE" w:rsidP="007522DE">
      <w:pPr>
        <w:ind w:right="-138"/>
        <w:rPr>
          <w:szCs w:val="20"/>
          <w:lang w:val="en-US"/>
        </w:rPr>
      </w:pPr>
    </w:p>
    <w:p w14:paraId="027A7DA4" w14:textId="77777777" w:rsidR="007522DE" w:rsidRPr="00A43C87" w:rsidRDefault="007522DE" w:rsidP="00AA0FEE">
      <w:pPr>
        <w:ind w:right="-138"/>
        <w:jc w:val="both"/>
        <w:rPr>
          <w:rFonts w:ascii="Verdana" w:hAnsi="Verdana"/>
          <w:sz w:val="20"/>
          <w:szCs w:val="20"/>
          <w:lang w:val="en-US"/>
        </w:rPr>
      </w:pPr>
      <w:r w:rsidRPr="00A43C87">
        <w:rPr>
          <w:rFonts w:ascii="Verdana" w:hAnsi="Verdana"/>
          <w:sz w:val="20"/>
          <w:szCs w:val="20"/>
          <w:lang w:val="en-US"/>
        </w:rPr>
        <w:t>1.</w:t>
      </w:r>
      <w:r w:rsidRPr="00A43C87">
        <w:rPr>
          <w:rFonts w:ascii="Verdana" w:hAnsi="Verdana"/>
          <w:sz w:val="20"/>
          <w:szCs w:val="20"/>
          <w:lang w:val="en-US"/>
        </w:rPr>
        <w:tab/>
        <w:t xml:space="preserve">We have prepared this concurring opinion with regard to two issues dealt with in the judgment in the case of the </w:t>
      </w:r>
      <w:r w:rsidRPr="00A43C87">
        <w:rPr>
          <w:rFonts w:ascii="Verdana" w:hAnsi="Verdana"/>
          <w:i/>
          <w:sz w:val="20"/>
          <w:szCs w:val="20"/>
          <w:lang w:val="en-US"/>
        </w:rPr>
        <w:t>Kaliña and Lokono Peoples v. Suriname</w:t>
      </w:r>
      <w:r w:rsidRPr="00A43C87">
        <w:rPr>
          <w:rFonts w:ascii="Verdana" w:hAnsi="Verdana"/>
          <w:sz w:val="20"/>
          <w:szCs w:val="20"/>
          <w:lang w:val="en-US"/>
        </w:rPr>
        <w:t xml:space="preserve">, namely: (i) the guarantees of collective property in relation to the mining concession within the Wane Kreek Nature Reserve, particularly with regard to the right to effective participation through a consultation process, and (ii) the recognition of collective juridical personality. </w:t>
      </w:r>
    </w:p>
    <w:p w14:paraId="3032B97F" w14:textId="77777777" w:rsidR="007522DE" w:rsidRPr="00A43C87" w:rsidRDefault="007522DE" w:rsidP="00AA0FEE">
      <w:pPr>
        <w:ind w:right="-138"/>
        <w:jc w:val="both"/>
        <w:rPr>
          <w:rFonts w:ascii="Verdana" w:hAnsi="Verdana"/>
          <w:sz w:val="20"/>
          <w:szCs w:val="20"/>
          <w:lang w:val="en-US"/>
        </w:rPr>
      </w:pPr>
    </w:p>
    <w:p w14:paraId="25030A78" w14:textId="77777777" w:rsidR="007522DE" w:rsidRPr="00A43C87" w:rsidRDefault="007522DE" w:rsidP="00AA0FEE">
      <w:pPr>
        <w:ind w:right="-138"/>
        <w:jc w:val="both"/>
        <w:rPr>
          <w:rFonts w:ascii="Verdana" w:hAnsi="Verdana"/>
          <w:sz w:val="20"/>
          <w:szCs w:val="20"/>
          <w:lang w:val="en-US"/>
        </w:rPr>
      </w:pPr>
      <w:r w:rsidRPr="00A43C87">
        <w:rPr>
          <w:rFonts w:ascii="Verdana" w:hAnsi="Verdana"/>
          <w:sz w:val="20"/>
          <w:szCs w:val="20"/>
          <w:lang w:val="en-US"/>
        </w:rPr>
        <w:t xml:space="preserve">2. </w:t>
      </w:r>
      <w:r w:rsidRPr="00A43C87">
        <w:rPr>
          <w:rFonts w:ascii="Verdana" w:hAnsi="Verdana"/>
          <w:sz w:val="20"/>
          <w:szCs w:val="20"/>
          <w:lang w:val="en-US"/>
        </w:rPr>
        <w:tab/>
        <w:t>With regard to the first point, in this judgment the Court established that:</w:t>
      </w:r>
    </w:p>
    <w:p w14:paraId="00B55319" w14:textId="77777777" w:rsidR="007522DE" w:rsidRPr="00A43C87" w:rsidRDefault="007522DE" w:rsidP="00AA0FEE">
      <w:pPr>
        <w:ind w:right="-138"/>
        <w:jc w:val="both"/>
        <w:rPr>
          <w:rFonts w:ascii="Verdana" w:hAnsi="Verdana"/>
          <w:sz w:val="20"/>
          <w:szCs w:val="20"/>
          <w:lang w:val="en-US"/>
        </w:rPr>
      </w:pPr>
    </w:p>
    <w:p w14:paraId="47418DB8" w14:textId="77777777" w:rsidR="007522DE" w:rsidRPr="00A43C87" w:rsidRDefault="007522DE" w:rsidP="00AA0FEE">
      <w:pPr>
        <w:tabs>
          <w:tab w:val="left" w:pos="8222"/>
        </w:tabs>
        <w:spacing w:after="240"/>
        <w:ind w:left="567" w:right="616"/>
        <w:jc w:val="both"/>
        <w:rPr>
          <w:rFonts w:ascii="Verdana" w:hAnsi="Verdana"/>
          <w:sz w:val="20"/>
          <w:szCs w:val="20"/>
          <w:lang w:val="en-US"/>
        </w:rPr>
      </w:pPr>
      <w:r w:rsidRPr="00A43C87">
        <w:rPr>
          <w:rFonts w:ascii="Verdana" w:hAnsi="Verdana"/>
          <w:sz w:val="20"/>
          <w:szCs w:val="20"/>
          <w:lang w:val="en-US"/>
        </w:rPr>
        <w:t>200.  As previously noted, in 1958, Suriname granted Suralco a mining concession until 2033, for the extraction of bauxite in the eastern part of the country. In 1997, the company started up its operations to extract bauxite from deposits in an area of approximately 100 to 144 hectares, within the Wane Kreek Nature Reserve, known as Wane Kreek 1 and 2 (</w:t>
      </w:r>
      <w:r w:rsidRPr="00A43C87">
        <w:rPr>
          <w:rFonts w:ascii="Verdana" w:hAnsi="Verdana"/>
          <w:i/>
          <w:sz w:val="20"/>
          <w:szCs w:val="20"/>
          <w:lang w:val="en-US"/>
        </w:rPr>
        <w:t>supra</w:t>
      </w:r>
      <w:r w:rsidRPr="00A43C87">
        <w:rPr>
          <w:rFonts w:ascii="Verdana" w:hAnsi="Verdana"/>
          <w:sz w:val="20"/>
          <w:szCs w:val="20"/>
          <w:lang w:val="en-US"/>
        </w:rPr>
        <w:t xml:space="preserve"> paras. 88 and 90). Preparatory work, such as the construction of a highway to reach the mine and transport the mineral, was initiated in the mid-1990s (</w:t>
      </w:r>
      <w:r w:rsidRPr="00A43C87">
        <w:rPr>
          <w:rFonts w:ascii="Verdana" w:hAnsi="Verdana"/>
          <w:i/>
          <w:sz w:val="20"/>
          <w:szCs w:val="20"/>
          <w:lang w:val="en-US"/>
        </w:rPr>
        <w:t>supra</w:t>
      </w:r>
      <w:r w:rsidRPr="00A43C87">
        <w:rPr>
          <w:rFonts w:ascii="Verdana" w:hAnsi="Verdana"/>
          <w:sz w:val="20"/>
          <w:szCs w:val="20"/>
          <w:lang w:val="en-US"/>
        </w:rPr>
        <w:t xml:space="preserve"> para. 89). There is no dispute about the fact that the Kaliña and Lokono peoples played no part in any of these activities and that the corresponding environmental impact assessment was not made (</w:t>
      </w:r>
      <w:r w:rsidRPr="00A43C87">
        <w:rPr>
          <w:rFonts w:ascii="Verdana" w:hAnsi="Verdana"/>
          <w:i/>
          <w:sz w:val="20"/>
          <w:szCs w:val="20"/>
          <w:lang w:val="en-US"/>
        </w:rPr>
        <w:t>infra</w:t>
      </w:r>
      <w:r w:rsidRPr="00A43C87">
        <w:rPr>
          <w:rFonts w:ascii="Verdana" w:hAnsi="Verdana"/>
          <w:sz w:val="20"/>
          <w:szCs w:val="20"/>
          <w:lang w:val="en-US"/>
        </w:rPr>
        <w:t xml:space="preserve"> para. 213). However, the Court does not have competence in relation to the award of the mining concession in 1958. Nevertheless, the Court is competent to examine measures taken following the entry into force of its jurisdiction; in </w:t>
      </w:r>
      <w:r w:rsidRPr="00A43C87">
        <w:rPr>
          <w:rFonts w:ascii="Verdana" w:eastAsia="Times New Roman" w:hAnsi="Verdana"/>
          <w:color w:val="000000"/>
          <w:sz w:val="20"/>
          <w:szCs w:val="20"/>
          <w:lang w:val="en-US" w:eastAsia="es-CR"/>
        </w:rPr>
        <w:t>particular, the extraction operations carried out as of 1997.</w:t>
      </w:r>
    </w:p>
    <w:p w14:paraId="38E6A90E" w14:textId="77777777" w:rsidR="007522DE" w:rsidRPr="00A43C87" w:rsidRDefault="007522DE" w:rsidP="00AA0FEE">
      <w:pPr>
        <w:pStyle w:val="ListParagraph"/>
        <w:tabs>
          <w:tab w:val="left" w:pos="1620"/>
        </w:tabs>
        <w:ind w:left="567" w:right="616"/>
        <w:jc w:val="both"/>
        <w:rPr>
          <w:rFonts w:ascii="Verdana" w:hAnsi="Verdana"/>
          <w:sz w:val="20"/>
          <w:szCs w:val="20"/>
          <w:lang w:val="en-US"/>
        </w:rPr>
      </w:pPr>
      <w:r w:rsidRPr="00A43C87">
        <w:rPr>
          <w:rFonts w:ascii="Verdana" w:hAnsi="Verdana"/>
          <w:sz w:val="20"/>
          <w:szCs w:val="20"/>
          <w:lang w:val="en-US"/>
        </w:rPr>
        <w:t>201.</w:t>
      </w:r>
      <w:r w:rsidRPr="00A43C87">
        <w:rPr>
          <w:rFonts w:ascii="Verdana" w:hAnsi="Verdana"/>
          <w:sz w:val="20"/>
          <w:szCs w:val="20"/>
          <w:lang w:val="en-US"/>
        </w:rPr>
        <w:tab/>
        <w:t xml:space="preserve"> In this regard, the Court has already established in the </w:t>
      </w:r>
      <w:r w:rsidRPr="00A43C87">
        <w:rPr>
          <w:rFonts w:ascii="Verdana" w:hAnsi="Verdana"/>
          <w:i/>
          <w:sz w:val="20"/>
          <w:szCs w:val="20"/>
          <w:lang w:val="en-US"/>
        </w:rPr>
        <w:t xml:space="preserve">case of the Saramaka People v. Suriname </w:t>
      </w:r>
      <w:r w:rsidRPr="00A43C87">
        <w:rPr>
          <w:rFonts w:ascii="Verdana" w:hAnsi="Verdana"/>
          <w:sz w:val="20"/>
          <w:szCs w:val="20"/>
          <w:lang w:val="en-US"/>
        </w:rPr>
        <w:t xml:space="preserve">that, under Article 1.1 of the Convention, in order to ensure that the restrictions imposed on the right to property of the indigenous and tribal peoples owing to the issue of concessions within their territory do not entail a denial of their survival, the State must comply with the following three guarantees: “first, it must ensure the effective participation of the members of the [indigenous and tribal peoples], in accordance with their customs and traditions, with regard to any development, investment, exploration or extraction plans (hereinafter “development or investment plan”) implemented within [their territory]. Second, the State must ensure that the members of the [indigenous and tribal peoples] receive a reasonable benefit from the plan implemented within their territory. Third, the State must ensure that no concession will be granted within their territory until independent and technically-qualified entities, under the State’s supervision, have conducted a prior social and environmental impact assessment. These safeguards are intended to preserve, protect and ensure the special relationship that the members of the [indigenous and tribal peoples] have with their territory, which, in turn, ensures their survival [as an indigenous people].” In the </w:t>
      </w:r>
      <w:r w:rsidRPr="00A43C87">
        <w:rPr>
          <w:rFonts w:ascii="Verdana" w:hAnsi="Verdana"/>
          <w:sz w:val="20"/>
          <w:szCs w:val="20"/>
          <w:lang w:val="en-US"/>
        </w:rPr>
        <w:lastRenderedPageBreak/>
        <w:t>instant case, the Court will analyze the State’s alleged failure to comply with these safeguards in relation to the start-up of bauxite extraction operations in 1997.</w:t>
      </w:r>
    </w:p>
    <w:p w14:paraId="03F061E5" w14:textId="77777777" w:rsidR="007522DE" w:rsidRPr="00A43C87" w:rsidRDefault="007522DE" w:rsidP="00AA0FEE">
      <w:pPr>
        <w:pStyle w:val="ListParagraph"/>
        <w:tabs>
          <w:tab w:val="left" w:pos="1620"/>
        </w:tabs>
        <w:ind w:left="993" w:right="468"/>
        <w:jc w:val="both"/>
        <w:rPr>
          <w:rFonts w:ascii="Verdana" w:hAnsi="Verdana"/>
          <w:sz w:val="20"/>
          <w:szCs w:val="20"/>
          <w:lang w:val="en-US"/>
        </w:rPr>
      </w:pPr>
    </w:p>
    <w:p w14:paraId="37E83F92" w14:textId="77777777" w:rsidR="007522DE" w:rsidRPr="00A43C87" w:rsidRDefault="007522DE" w:rsidP="00AA0FEE">
      <w:pPr>
        <w:tabs>
          <w:tab w:val="left" w:pos="1710"/>
        </w:tabs>
        <w:spacing w:after="240"/>
        <w:ind w:left="567" w:right="616"/>
        <w:jc w:val="both"/>
        <w:rPr>
          <w:rFonts w:ascii="Verdana" w:eastAsia="Times New Roman" w:hAnsi="Verdana"/>
          <w:sz w:val="20"/>
          <w:szCs w:val="20"/>
          <w:lang w:val="en-US"/>
        </w:rPr>
      </w:pPr>
      <w:r w:rsidRPr="00A43C87">
        <w:rPr>
          <w:rFonts w:ascii="Verdana" w:hAnsi="Verdana"/>
          <w:sz w:val="20"/>
          <w:szCs w:val="20"/>
          <w:lang w:val="en-US"/>
        </w:rPr>
        <w:t>202.</w:t>
      </w:r>
      <w:r w:rsidRPr="00A43C87">
        <w:rPr>
          <w:rFonts w:ascii="Verdana" w:hAnsi="Verdana"/>
          <w:sz w:val="20"/>
          <w:szCs w:val="20"/>
          <w:lang w:val="en-US"/>
        </w:rPr>
        <w:tab/>
        <w:t xml:space="preserve"> Furthermore, the Court reiterates that Article 23 of the American Convention establishes that: </w:t>
      </w:r>
      <w:r w:rsidRPr="00A43C87">
        <w:rPr>
          <w:rFonts w:ascii="Verdana" w:hAnsi="Verdana"/>
          <w:spacing w:val="-3"/>
          <w:sz w:val="20"/>
          <w:szCs w:val="20"/>
          <w:lang w:val="en-US"/>
        </w:rPr>
        <w:t>“[e]very citizen shall enjoy the following rights and opportunities: (a) to take part in the conduct of public affairs</w:t>
      </w:r>
      <w:r w:rsidRPr="00A43C87">
        <w:rPr>
          <w:rFonts w:ascii="Verdana" w:hAnsi="Verdana"/>
          <w:sz w:val="20"/>
          <w:szCs w:val="20"/>
          <w:lang w:val="en-US"/>
        </w:rPr>
        <w:t xml:space="preserve"> […].” Similarly, Article 18 of the United Nations Declaration on the Rights of Indigenous Peoples establishes that “[i]</w:t>
      </w:r>
      <w:r w:rsidRPr="00A43C87">
        <w:rPr>
          <w:rFonts w:ascii="Verdana" w:eastAsia="Times New Roman" w:hAnsi="Verdana"/>
          <w:sz w:val="20"/>
          <w:szCs w:val="20"/>
          <w:lang w:val="en-US"/>
        </w:rPr>
        <w:t>ndigenous peoples have the right to participate in decision-making in matters which would affect their rights, through representatives […],” and the pertinent part of Article 32 stipulates that “States shall consult and cooperate in good faith […] prior to the approval of any project affecting their lands or territories and other resources, particularly in connection with the […] utilization or exploitation of mineral […] resources.”</w:t>
      </w:r>
    </w:p>
    <w:p w14:paraId="63DB926A" w14:textId="77777777" w:rsidR="007522DE" w:rsidRPr="00A43C87" w:rsidRDefault="007522DE" w:rsidP="00AA0FEE">
      <w:pPr>
        <w:tabs>
          <w:tab w:val="left" w:pos="1620"/>
        </w:tabs>
        <w:spacing w:after="240"/>
        <w:ind w:left="567" w:right="616"/>
        <w:jc w:val="both"/>
        <w:rPr>
          <w:rFonts w:ascii="Verdana" w:hAnsi="Verdana"/>
          <w:sz w:val="20"/>
          <w:szCs w:val="20"/>
          <w:lang w:val="en-US"/>
        </w:rPr>
      </w:pPr>
      <w:r w:rsidRPr="00A43C87">
        <w:rPr>
          <w:rFonts w:ascii="Verdana" w:hAnsi="Verdana"/>
          <w:sz w:val="20"/>
          <w:szCs w:val="20"/>
          <w:lang w:val="en-US"/>
        </w:rPr>
        <w:t>203.</w:t>
      </w:r>
      <w:r w:rsidRPr="00A43C87">
        <w:rPr>
          <w:rFonts w:ascii="Verdana" w:hAnsi="Verdana"/>
          <w:sz w:val="20"/>
          <w:szCs w:val="20"/>
          <w:lang w:val="en-US"/>
        </w:rPr>
        <w:tab/>
        <w:t>Consequently, in order to ensure the use and enjoyment of the right to indigenous collective property recognized in Articles 1.1 and 21 of the Convention, in relation to the utilization or exploitation of natural resources in their traditional territory, the State must, for the effects of this case, put in place mechanisms for the effective participation of the indigenous peoples using procedures that are culturally adapted to the decision-making of such peoples. This is not only a matter of public interest, but also forms part of the exercise of their right to take part in any decision-making on matters that affect their interests, in accordance with their own procedures and institutions, in relation to Article 23 of the American Convention (</w:t>
      </w:r>
      <w:r w:rsidRPr="00A43C87">
        <w:rPr>
          <w:rFonts w:ascii="Verdana" w:hAnsi="Verdana"/>
          <w:i/>
          <w:sz w:val="20"/>
          <w:szCs w:val="20"/>
          <w:lang w:val="en-US"/>
        </w:rPr>
        <w:t xml:space="preserve">supra </w:t>
      </w:r>
      <w:r w:rsidRPr="00A43C87">
        <w:rPr>
          <w:rFonts w:ascii="Verdana" w:hAnsi="Verdana"/>
          <w:sz w:val="20"/>
          <w:szCs w:val="20"/>
          <w:lang w:val="en-US"/>
        </w:rPr>
        <w:t>para. 196).</w:t>
      </w:r>
    </w:p>
    <w:p w14:paraId="798CC632" w14:textId="77777777" w:rsidR="007522DE" w:rsidRPr="00A43C87" w:rsidRDefault="007522DE" w:rsidP="00AA0FEE">
      <w:pPr>
        <w:spacing w:after="240"/>
        <w:ind w:right="96"/>
        <w:jc w:val="both"/>
        <w:rPr>
          <w:rFonts w:ascii="Verdana" w:hAnsi="Verdana"/>
          <w:sz w:val="20"/>
          <w:szCs w:val="20"/>
          <w:lang w:val="en-US"/>
        </w:rPr>
      </w:pPr>
      <w:r w:rsidRPr="00A43C87">
        <w:rPr>
          <w:rFonts w:ascii="Verdana" w:hAnsi="Verdana"/>
          <w:sz w:val="20"/>
          <w:szCs w:val="20"/>
          <w:lang w:val="en-US"/>
        </w:rPr>
        <w:t xml:space="preserve">3. </w:t>
      </w:r>
      <w:r w:rsidRPr="00A43C87">
        <w:rPr>
          <w:rFonts w:ascii="Verdana" w:hAnsi="Verdana"/>
          <w:sz w:val="20"/>
          <w:szCs w:val="20"/>
          <w:lang w:val="en-US"/>
        </w:rPr>
        <w:tab/>
        <w:t xml:space="preserve">In this regard, we are essentially in agreement with the majority of the Court in the sense of reiterating the safeguards established by the Court in its case law in relation to investment or development projects in indigenous or tribal territory. In particular, the State’s obligation to organize an effective participation process, implemented by means of prior, free and informed consultation. </w:t>
      </w:r>
    </w:p>
    <w:p w14:paraId="289C5644" w14:textId="77777777" w:rsidR="007522DE" w:rsidRPr="00A43C87" w:rsidRDefault="007522DE" w:rsidP="00AA0FEE">
      <w:pPr>
        <w:spacing w:after="240"/>
        <w:ind w:right="96"/>
        <w:jc w:val="both"/>
        <w:rPr>
          <w:rFonts w:ascii="Verdana" w:hAnsi="Verdana"/>
          <w:sz w:val="20"/>
          <w:szCs w:val="20"/>
          <w:lang w:val="en-US"/>
        </w:rPr>
      </w:pPr>
      <w:r w:rsidRPr="00A43C87">
        <w:rPr>
          <w:rFonts w:ascii="Verdana" w:hAnsi="Verdana"/>
          <w:b/>
          <w:sz w:val="20"/>
          <w:szCs w:val="20"/>
          <w:lang w:val="en-US"/>
        </w:rPr>
        <w:t>Prior, free and informed consultation</w:t>
      </w:r>
    </w:p>
    <w:p w14:paraId="10A629FA" w14:textId="77777777" w:rsidR="007522DE" w:rsidRPr="00A43C87" w:rsidRDefault="007522DE" w:rsidP="00AA0FEE">
      <w:pPr>
        <w:widowControl w:val="0"/>
        <w:tabs>
          <w:tab w:val="left" w:pos="0"/>
          <w:tab w:val="left" w:pos="709"/>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9"/>
        <w:jc w:val="both"/>
        <w:rPr>
          <w:rFonts w:ascii="Verdana" w:hAnsi="Verdana"/>
          <w:sz w:val="20"/>
          <w:szCs w:val="20"/>
          <w:lang w:val="en-US"/>
        </w:rPr>
      </w:pPr>
      <w:r w:rsidRPr="00A43C87">
        <w:rPr>
          <w:rFonts w:ascii="Verdana" w:hAnsi="Verdana"/>
          <w:sz w:val="20"/>
          <w:szCs w:val="20"/>
          <w:lang w:val="en-US"/>
        </w:rPr>
        <w:t xml:space="preserve">4. </w:t>
      </w:r>
      <w:r w:rsidRPr="00A43C87">
        <w:rPr>
          <w:rFonts w:ascii="Verdana" w:hAnsi="Verdana"/>
          <w:sz w:val="20"/>
          <w:szCs w:val="20"/>
          <w:lang w:val="en-US"/>
        </w:rPr>
        <w:tab/>
        <w:t>One of the most significant contributions of the Inter-American Court’s case law in indigenous and tribal matters has been the interpretation made of Article 21 of the American Convention. Thus, the Court has developed an interpretation that protects one of the characteristic stuations in the region, the communal ownership of ancestral territories. In this understanding, in the context of major development, investment, exploration, exploitation and extraction projects and plans, the Court has established a solid line of case law concerning the obligation to consult the indigenous and tribal peoples insofar as such projects affect both their territory and their way of life within that territory.</w:t>
      </w:r>
      <w:r w:rsidRPr="00A43C87">
        <w:rPr>
          <w:rStyle w:val="FootnoteReference"/>
          <w:szCs w:val="20"/>
          <w:lang w:val="en-US"/>
        </w:rPr>
        <w:footnoteReference w:id="351"/>
      </w:r>
      <w:r w:rsidRPr="00A43C87">
        <w:rPr>
          <w:rFonts w:ascii="Verdana" w:hAnsi="Verdana"/>
          <w:sz w:val="20"/>
          <w:szCs w:val="20"/>
          <w:lang w:val="en-US"/>
        </w:rPr>
        <w:t xml:space="preserve"> </w:t>
      </w:r>
    </w:p>
    <w:p w14:paraId="51A502EF" w14:textId="77777777" w:rsidR="007522DE" w:rsidRPr="00A43C87" w:rsidRDefault="007522DE" w:rsidP="00AA0FEE">
      <w:pPr>
        <w:widowControl w:val="0"/>
        <w:tabs>
          <w:tab w:val="left" w:pos="0"/>
          <w:tab w:val="left" w:pos="709"/>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9"/>
        <w:jc w:val="both"/>
        <w:rPr>
          <w:rFonts w:ascii="Verdana" w:hAnsi="Verdana"/>
          <w:sz w:val="20"/>
          <w:szCs w:val="20"/>
          <w:lang w:val="en-US"/>
        </w:rPr>
      </w:pPr>
    </w:p>
    <w:p w14:paraId="426E5D9F" w14:textId="77777777" w:rsidR="007522DE" w:rsidRPr="00A43C87" w:rsidRDefault="007522DE" w:rsidP="00AA0FEE">
      <w:pPr>
        <w:spacing w:after="240"/>
        <w:ind w:right="96"/>
        <w:jc w:val="both"/>
        <w:rPr>
          <w:rFonts w:ascii="Verdana" w:hAnsi="Verdana"/>
          <w:i/>
          <w:sz w:val="20"/>
          <w:szCs w:val="20"/>
          <w:lang w:val="en-US"/>
        </w:rPr>
      </w:pPr>
      <w:r w:rsidRPr="00A43C87">
        <w:rPr>
          <w:rFonts w:ascii="Verdana" w:hAnsi="Verdana"/>
          <w:sz w:val="20"/>
          <w:szCs w:val="20"/>
          <w:lang w:val="en-US"/>
        </w:rPr>
        <w:t xml:space="preserve">5. </w:t>
      </w:r>
      <w:r w:rsidRPr="00A43C87">
        <w:rPr>
          <w:rFonts w:ascii="Verdana" w:hAnsi="Verdana"/>
          <w:sz w:val="20"/>
          <w:szCs w:val="20"/>
          <w:lang w:val="en-US"/>
        </w:rPr>
        <w:tab/>
        <w:t xml:space="preserve">The Court has ruled on prior consultation in four cases concerning indigenous or tribal peoples, namely: </w:t>
      </w:r>
      <w:r w:rsidRPr="00A43C87">
        <w:rPr>
          <w:rFonts w:ascii="Verdana" w:hAnsi="Verdana"/>
          <w:i/>
          <w:sz w:val="20"/>
          <w:szCs w:val="20"/>
          <w:lang w:val="en-US"/>
        </w:rPr>
        <w:t xml:space="preserve">Case of the Saramaka People v. Suriname; Case of the Kichwa Indigenous People of Sarayaku v. Ecuador; and Case of the Garífuna Community of Punta Piedra and its members, and Case of the Garífuna Community of Triunfo de la Cruz and its members, </w:t>
      </w:r>
      <w:r w:rsidRPr="00A43C87">
        <w:rPr>
          <w:rFonts w:ascii="Verdana" w:hAnsi="Verdana"/>
          <w:sz w:val="20"/>
          <w:szCs w:val="20"/>
          <w:lang w:val="en-US"/>
        </w:rPr>
        <w:t xml:space="preserve">both </w:t>
      </w:r>
      <w:r w:rsidRPr="00A43C87">
        <w:rPr>
          <w:rFonts w:ascii="Verdana" w:hAnsi="Verdana"/>
          <w:i/>
          <w:sz w:val="20"/>
          <w:szCs w:val="20"/>
          <w:lang w:val="en-US"/>
        </w:rPr>
        <w:t xml:space="preserve">v. Honduras. </w:t>
      </w:r>
    </w:p>
    <w:p w14:paraId="1F0A6B97" w14:textId="77777777" w:rsidR="007522DE" w:rsidRPr="00A43C87" w:rsidRDefault="007522DE" w:rsidP="00AA0FEE">
      <w:pPr>
        <w:autoSpaceDE w:val="0"/>
        <w:autoSpaceDN w:val="0"/>
        <w:adjustRightInd w:val="0"/>
        <w:spacing w:before="240" w:after="240"/>
        <w:jc w:val="both"/>
        <w:rPr>
          <w:rFonts w:ascii="Verdana" w:hAnsi="Verdana"/>
          <w:sz w:val="20"/>
          <w:szCs w:val="20"/>
          <w:lang w:val="en-US"/>
        </w:rPr>
      </w:pPr>
      <w:r w:rsidRPr="00A43C87">
        <w:rPr>
          <w:rFonts w:ascii="Verdana" w:hAnsi="Verdana"/>
          <w:sz w:val="20"/>
          <w:szCs w:val="20"/>
          <w:lang w:val="en-US"/>
        </w:rPr>
        <w:t xml:space="preserve">6. </w:t>
      </w:r>
      <w:r w:rsidRPr="00A43C87">
        <w:rPr>
          <w:rFonts w:ascii="Verdana" w:hAnsi="Verdana"/>
          <w:sz w:val="20"/>
          <w:szCs w:val="20"/>
          <w:lang w:val="en-US"/>
        </w:rPr>
        <w:tab/>
        <w:t>In this regard, in addition to the considerations in paragraph 201 of this judgment, in the case of the</w:t>
      </w:r>
      <w:r w:rsidRPr="00A43C87">
        <w:rPr>
          <w:rFonts w:ascii="Verdana" w:hAnsi="Verdana"/>
          <w:i/>
          <w:sz w:val="20"/>
          <w:szCs w:val="20"/>
          <w:lang w:val="en-US"/>
        </w:rPr>
        <w:t xml:space="preserve"> Saramaka People,</w:t>
      </w:r>
      <w:r w:rsidRPr="00A43C87">
        <w:rPr>
          <w:rFonts w:ascii="Verdana" w:hAnsi="Verdana"/>
          <w:sz w:val="20"/>
          <w:szCs w:val="20"/>
          <w:lang w:val="en-US"/>
        </w:rPr>
        <w:t xml:space="preserve"> the Court indicated that the consultation must ensure the effective participation of the members of the Community and that the consultation must be: (i) in good faith and designed to reach an agreement; (ii) in keeping with the community’s own traditions and customs and their traditional method of decision-making; (iii) during the initital stages of the project in question, and (iv) following the delivery of all relevant information, including information on possible risks.</w:t>
      </w:r>
      <w:r w:rsidRPr="00A43C87">
        <w:rPr>
          <w:rStyle w:val="FootnoteReference"/>
          <w:rFonts w:eastAsiaTheme="minorHAnsi"/>
          <w:szCs w:val="20"/>
          <w:lang w:val="en-US"/>
        </w:rPr>
        <w:footnoteReference w:id="352"/>
      </w:r>
      <w:r w:rsidRPr="00A43C87">
        <w:rPr>
          <w:rFonts w:ascii="Verdana" w:eastAsiaTheme="minorHAnsi" w:hAnsi="Verdana"/>
          <w:sz w:val="20"/>
          <w:szCs w:val="20"/>
          <w:lang w:val="en-US"/>
        </w:rPr>
        <w:t xml:space="preserve"> </w:t>
      </w:r>
    </w:p>
    <w:p w14:paraId="6DCE36A0" w14:textId="77777777" w:rsidR="007522DE" w:rsidRPr="00A43C87" w:rsidRDefault="007522DE" w:rsidP="00AA0FEE">
      <w:pPr>
        <w:pStyle w:val="ListParagraph"/>
        <w:ind w:left="0"/>
        <w:jc w:val="both"/>
        <w:rPr>
          <w:rFonts w:ascii="Verdana" w:hAnsi="Verdana"/>
          <w:sz w:val="20"/>
          <w:szCs w:val="20"/>
          <w:lang w:val="en-US"/>
        </w:rPr>
      </w:pPr>
      <w:r w:rsidRPr="00A43C87">
        <w:rPr>
          <w:rFonts w:ascii="Verdana" w:hAnsi="Verdana"/>
          <w:sz w:val="20"/>
          <w:szCs w:val="20"/>
          <w:lang w:val="en-US"/>
        </w:rPr>
        <w:t xml:space="preserve">7. </w:t>
      </w:r>
      <w:r w:rsidRPr="00A43C87">
        <w:rPr>
          <w:rFonts w:ascii="Verdana" w:hAnsi="Verdana"/>
          <w:sz w:val="20"/>
          <w:szCs w:val="20"/>
          <w:lang w:val="en-US"/>
        </w:rPr>
        <w:tab/>
        <w:t xml:space="preserve">In the case of the </w:t>
      </w:r>
      <w:r w:rsidRPr="00A43C87">
        <w:rPr>
          <w:rFonts w:ascii="Verdana" w:hAnsi="Verdana"/>
          <w:i/>
          <w:sz w:val="20"/>
          <w:szCs w:val="20"/>
          <w:lang w:val="en-US"/>
        </w:rPr>
        <w:t>Kichwa Indigenous People of Sarayaku</w:t>
      </w:r>
      <w:r w:rsidRPr="00A43C87">
        <w:rPr>
          <w:rFonts w:ascii="Verdana" w:hAnsi="Verdana"/>
          <w:sz w:val="20"/>
          <w:szCs w:val="20"/>
          <w:lang w:val="en-US"/>
        </w:rPr>
        <w:t xml:space="preserve"> and, subsequently, in the case of the </w:t>
      </w:r>
      <w:r w:rsidRPr="00A43C87">
        <w:rPr>
          <w:rFonts w:ascii="Verdana" w:hAnsi="Verdana"/>
          <w:i/>
          <w:sz w:val="20"/>
          <w:szCs w:val="20"/>
          <w:lang w:val="en-US"/>
        </w:rPr>
        <w:t>Garífuna Community of Triunfo de la Cruz,</w:t>
      </w:r>
      <w:r w:rsidRPr="00A43C87">
        <w:rPr>
          <w:rFonts w:ascii="Verdana" w:hAnsi="Verdana"/>
          <w:sz w:val="20"/>
          <w:szCs w:val="20"/>
          <w:lang w:val="en-US"/>
        </w:rPr>
        <w:t xml:space="preserve"> the Court specified that “to ensure that the exploration for, or extraction of, natural resources in ancestral territories does not entail a negation of the survival of the indigenous people as such, the State must comply with the following safeguards: (i) conduct an appropriate and participatory process that guarantees the right to consultation, particularly with regard to large-scale development or investment projects; (ii) make an environmental impact assessment, and (iii) as appropriate, reasonably share the benefits produced by the exploitation of natural resources (as a form of just compensation required by Article 21 of the Convention), with the community itself determining and deciding who the beneficiaries of this compensation should be, according to its customs and traditions.”</w:t>
      </w:r>
      <w:r w:rsidRPr="00A43C87">
        <w:rPr>
          <w:rStyle w:val="FootnoteReference"/>
          <w:szCs w:val="20"/>
        </w:rPr>
        <w:footnoteReference w:id="353"/>
      </w:r>
      <w:r w:rsidRPr="00A43C87">
        <w:rPr>
          <w:rFonts w:ascii="Verdana" w:hAnsi="Verdana"/>
          <w:sz w:val="20"/>
          <w:szCs w:val="20"/>
          <w:lang w:val="en-US"/>
        </w:rPr>
        <w:t xml:space="preserve"> </w:t>
      </w:r>
    </w:p>
    <w:p w14:paraId="1B128FDD" w14:textId="77777777" w:rsidR="007522DE" w:rsidRPr="00A43C87" w:rsidRDefault="007522DE" w:rsidP="00AA0FEE">
      <w:pPr>
        <w:pStyle w:val="ListParagraph"/>
        <w:spacing w:after="240"/>
        <w:ind w:left="0" w:right="96"/>
        <w:jc w:val="both"/>
        <w:rPr>
          <w:rFonts w:ascii="Verdana" w:hAnsi="Verdana"/>
          <w:sz w:val="20"/>
          <w:szCs w:val="20"/>
          <w:lang w:val="en-US"/>
        </w:rPr>
      </w:pPr>
    </w:p>
    <w:p w14:paraId="3225CECD" w14:textId="77777777" w:rsidR="007522DE" w:rsidRPr="00A43C87" w:rsidRDefault="007522DE" w:rsidP="00AA0FEE">
      <w:pPr>
        <w:pStyle w:val="ListParagraph"/>
        <w:ind w:left="0"/>
        <w:jc w:val="both"/>
        <w:rPr>
          <w:rFonts w:ascii="Verdana" w:hAnsi="Verdana"/>
          <w:sz w:val="20"/>
          <w:szCs w:val="20"/>
          <w:lang w:val="en-US"/>
        </w:rPr>
      </w:pPr>
      <w:r w:rsidRPr="00A43C87">
        <w:rPr>
          <w:rFonts w:ascii="Verdana" w:hAnsi="Verdana"/>
          <w:sz w:val="20"/>
          <w:szCs w:val="20"/>
          <w:lang w:val="en-US"/>
        </w:rPr>
        <w:t xml:space="preserve">8. </w:t>
      </w:r>
      <w:r w:rsidRPr="00A43C87">
        <w:rPr>
          <w:rFonts w:ascii="Verdana" w:hAnsi="Verdana"/>
          <w:sz w:val="20"/>
          <w:szCs w:val="20"/>
          <w:lang w:val="en-US"/>
        </w:rPr>
        <w:tab/>
        <w:t xml:space="preserve">In the case of the </w:t>
      </w:r>
      <w:r w:rsidRPr="00A43C87">
        <w:rPr>
          <w:rFonts w:ascii="Verdana" w:hAnsi="Verdana"/>
          <w:i/>
          <w:sz w:val="20"/>
          <w:szCs w:val="20"/>
          <w:lang w:val="en-US"/>
        </w:rPr>
        <w:t>Garífuna Community of Punta Piedra</w:t>
      </w:r>
      <w:r w:rsidRPr="00A43C87">
        <w:rPr>
          <w:rFonts w:ascii="Verdana" w:hAnsi="Verdana"/>
          <w:sz w:val="20"/>
          <w:szCs w:val="20"/>
          <w:lang w:val="en-US"/>
        </w:rPr>
        <w:t>, the Court reiterated that it had established that, “in the case of any development, investment, exploration or extraction project in traditional territories of indigenous or tribal communities, the State must comply with the following safeguards: (i) conduct an appropriate and participatory process that guarantees their right to consultation; (ii) make a prior social and environmental impact assessment, and (iii) as appropriate, reasonably share the benefits produced by the exploitation of the natural resources.”</w:t>
      </w:r>
      <w:r w:rsidRPr="00A43C87">
        <w:rPr>
          <w:rStyle w:val="FootnoteReference"/>
          <w:rFonts w:eastAsia="Batang"/>
          <w:szCs w:val="20"/>
        </w:rPr>
        <w:footnoteReference w:id="354"/>
      </w:r>
      <w:r w:rsidRPr="00A43C87">
        <w:rPr>
          <w:rFonts w:ascii="Verdana" w:hAnsi="Verdana"/>
          <w:sz w:val="20"/>
          <w:szCs w:val="20"/>
          <w:lang w:val="en-US"/>
        </w:rPr>
        <w:t xml:space="preserve"> </w:t>
      </w:r>
    </w:p>
    <w:p w14:paraId="6F7B6D2E" w14:textId="77777777" w:rsidR="007522DE" w:rsidRPr="00A43C87" w:rsidRDefault="007522DE" w:rsidP="00AA0FEE">
      <w:pPr>
        <w:pStyle w:val="ListParagraph"/>
        <w:ind w:left="0"/>
        <w:jc w:val="both"/>
        <w:rPr>
          <w:rFonts w:ascii="Verdana" w:hAnsi="Verdana"/>
          <w:sz w:val="20"/>
          <w:szCs w:val="20"/>
          <w:lang w:val="en-US"/>
        </w:rPr>
      </w:pPr>
    </w:p>
    <w:p w14:paraId="6D186E53"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9. </w:t>
      </w:r>
      <w:r w:rsidRPr="00A43C87">
        <w:rPr>
          <w:rFonts w:ascii="Verdana" w:hAnsi="Verdana"/>
          <w:sz w:val="20"/>
          <w:szCs w:val="20"/>
          <w:lang w:val="en-US"/>
        </w:rPr>
        <w:tab/>
        <w:t xml:space="preserve">In addition, it should be pointed out that, as established in the instant judgment, even though Suriname is not a party to ILO Convention 169, the Court reiterated what it had established in the </w:t>
      </w:r>
      <w:r w:rsidRPr="00A43C87">
        <w:rPr>
          <w:rFonts w:ascii="Verdana" w:hAnsi="Verdana"/>
          <w:i/>
          <w:sz w:val="20"/>
          <w:szCs w:val="20"/>
          <w:lang w:val="en-US"/>
        </w:rPr>
        <w:t xml:space="preserve">Saramaka </w:t>
      </w:r>
      <w:r w:rsidRPr="00A43C87">
        <w:rPr>
          <w:rFonts w:ascii="Verdana" w:hAnsi="Verdana"/>
          <w:sz w:val="20"/>
          <w:szCs w:val="20"/>
          <w:lang w:val="en-US"/>
        </w:rPr>
        <w:t>case,</w:t>
      </w:r>
      <w:r w:rsidRPr="00A43C87">
        <w:rPr>
          <w:rStyle w:val="FootnoteReference"/>
          <w:szCs w:val="20"/>
          <w:lang w:val="en-US"/>
        </w:rPr>
        <w:footnoteReference w:id="355"/>
      </w:r>
      <w:r w:rsidRPr="00A43C87">
        <w:rPr>
          <w:rFonts w:ascii="Verdana" w:hAnsi="Verdana"/>
          <w:sz w:val="20"/>
          <w:szCs w:val="20"/>
          <w:lang w:val="en-US"/>
        </w:rPr>
        <w:t xml:space="preserve"> to the effect that “the right to property protected by Article 21 of the American Convention, and interpreted in light of the rights recognized in Article 1 common to the two Covenants, and Article 27 of </w:t>
      </w:r>
      <w:r w:rsidRPr="00A43C87">
        <w:rPr>
          <w:rFonts w:ascii="Verdana" w:hAnsi="Verdana"/>
          <w:sz w:val="20"/>
          <w:szCs w:val="20"/>
          <w:lang w:val="en-US"/>
        </w:rPr>
        <w:lastRenderedPageBreak/>
        <w:t>the ICCPR, which cannot be restricted when interpreting the American Convention in this case, confer on the members of the Kaliña and Lokono peoples the right to the enjoyment of their property in keeping with their community-based tradition.”</w:t>
      </w:r>
      <w:r w:rsidRPr="00A43C87">
        <w:rPr>
          <w:rStyle w:val="FootnoteReference"/>
          <w:szCs w:val="20"/>
          <w:lang w:val="en-US"/>
        </w:rPr>
        <w:footnoteReference w:id="356"/>
      </w:r>
      <w:r w:rsidRPr="00A43C87">
        <w:rPr>
          <w:rFonts w:ascii="Verdana" w:hAnsi="Verdana"/>
          <w:sz w:val="20"/>
          <w:szCs w:val="20"/>
          <w:lang w:val="en-US"/>
        </w:rPr>
        <w:t xml:space="preserve"> </w:t>
      </w:r>
    </w:p>
    <w:p w14:paraId="5D4D66A7" w14:textId="77777777" w:rsidR="007522DE" w:rsidRPr="00A43C87" w:rsidRDefault="007522DE" w:rsidP="00AA0FEE">
      <w:pPr>
        <w:jc w:val="both"/>
        <w:rPr>
          <w:rFonts w:ascii="Verdana" w:hAnsi="Verdana"/>
          <w:sz w:val="20"/>
          <w:szCs w:val="20"/>
          <w:lang w:val="en-US"/>
        </w:rPr>
      </w:pPr>
    </w:p>
    <w:p w14:paraId="7D680249"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10. </w:t>
      </w:r>
      <w:r w:rsidRPr="00A43C87">
        <w:rPr>
          <w:rFonts w:ascii="Verdana" w:hAnsi="Verdana"/>
          <w:sz w:val="20"/>
          <w:szCs w:val="20"/>
          <w:lang w:val="en-US"/>
        </w:rPr>
        <w:tab/>
        <w:t>Thus, the Court determined that, applying the foregoing criteria to the instant case, “as indigenous peoples, the Kaliña and Lokono peoples are protected by international human rights law which guarantees the right to the collective territory they have used and occupied traditionally, derived from the use and occupation of the land and of the resources necessary for their physical and cultural survival and, also, that the State has the obligation to adopt special measures to recognize, respect, protect and guarantee to their members the right to communal ownership of this territory.”</w:t>
      </w:r>
      <w:r w:rsidRPr="00A43C87">
        <w:rPr>
          <w:rStyle w:val="FootnoteReference"/>
          <w:szCs w:val="20"/>
          <w:lang w:val="en-US"/>
        </w:rPr>
        <w:footnoteReference w:id="357"/>
      </w:r>
    </w:p>
    <w:p w14:paraId="1A2CA0C2" w14:textId="77777777" w:rsidR="007522DE" w:rsidRPr="00A43C87" w:rsidRDefault="007522DE" w:rsidP="00AA0FEE">
      <w:pPr>
        <w:jc w:val="both"/>
        <w:rPr>
          <w:rFonts w:ascii="Verdana" w:hAnsi="Verdana"/>
          <w:sz w:val="20"/>
          <w:szCs w:val="20"/>
          <w:lang w:val="en-US"/>
        </w:rPr>
      </w:pPr>
    </w:p>
    <w:p w14:paraId="3D1FFE14"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11. </w:t>
      </w:r>
      <w:r w:rsidRPr="00A43C87">
        <w:rPr>
          <w:rFonts w:ascii="Verdana" w:hAnsi="Verdana"/>
          <w:sz w:val="20"/>
          <w:szCs w:val="20"/>
          <w:lang w:val="en-US"/>
        </w:rPr>
        <w:tab/>
        <w:t>Furthermore, the Court considered that, for the effect of this case, the right to consultation was also founded on Article 23 of the American Convention, in ligt of the international standards.</w:t>
      </w:r>
      <w:r w:rsidRPr="00A43C87">
        <w:rPr>
          <w:rStyle w:val="FootnoteReference"/>
          <w:szCs w:val="20"/>
          <w:lang w:val="en-US"/>
        </w:rPr>
        <w:footnoteReference w:id="358"/>
      </w:r>
      <w:r w:rsidRPr="00A43C87">
        <w:rPr>
          <w:rFonts w:ascii="Verdana" w:hAnsi="Verdana"/>
          <w:sz w:val="20"/>
          <w:szCs w:val="20"/>
          <w:lang w:val="en-US"/>
        </w:rPr>
        <w:t xml:space="preserve"> To this end, it indicated that the State must have available “mechanisms for the effective participation of the indigenous peoples using procedures that are culturally adapted to the decision-making of such peoples. This is not only a matter of public interest, but also forms part of the exercise of their right to take part in any decision-making on matters that affect their interests, in accordance with their own procedures and institutions, in relation to Article 23 of the American Convention.”</w:t>
      </w:r>
      <w:r w:rsidRPr="00A43C87">
        <w:rPr>
          <w:rStyle w:val="FootnoteReference"/>
          <w:szCs w:val="20"/>
          <w:lang w:val="en-US"/>
        </w:rPr>
        <w:footnoteReference w:id="359"/>
      </w:r>
    </w:p>
    <w:p w14:paraId="0F6329AC" w14:textId="77777777" w:rsidR="007522DE" w:rsidRPr="00A43C87" w:rsidRDefault="007522DE" w:rsidP="00AA0FEE">
      <w:pPr>
        <w:jc w:val="both"/>
        <w:rPr>
          <w:rFonts w:ascii="Verdana" w:hAnsi="Verdana"/>
          <w:sz w:val="20"/>
          <w:szCs w:val="20"/>
          <w:lang w:val="en-US"/>
        </w:rPr>
      </w:pPr>
    </w:p>
    <w:p w14:paraId="6A426E3E"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12. </w:t>
      </w:r>
      <w:r w:rsidRPr="00A43C87">
        <w:rPr>
          <w:rFonts w:ascii="Verdana" w:hAnsi="Verdana"/>
          <w:sz w:val="20"/>
          <w:szCs w:val="20"/>
          <w:lang w:val="en-US"/>
        </w:rPr>
        <w:tab/>
        <w:t>Consequently, it is clear that the effective participation mentioned in Chapter B.4, paragraphs 204 to 212 of the Judgment must be understood to guarantee prior, free and informed consultation, in accordance with the case law evolved by this Court in this regard.</w:t>
      </w:r>
    </w:p>
    <w:p w14:paraId="118C3AA9" w14:textId="77777777" w:rsidR="007522DE" w:rsidRPr="00A43C87" w:rsidRDefault="007522DE" w:rsidP="007522DE">
      <w:pPr>
        <w:rPr>
          <w:rFonts w:ascii="Verdana" w:hAnsi="Verdana"/>
          <w:sz w:val="20"/>
          <w:szCs w:val="20"/>
          <w:lang w:val="en-US"/>
        </w:rPr>
      </w:pPr>
    </w:p>
    <w:p w14:paraId="4BB31BB8" w14:textId="77777777" w:rsidR="007522DE" w:rsidRPr="00A43C87" w:rsidRDefault="007522DE" w:rsidP="007522DE">
      <w:pPr>
        <w:rPr>
          <w:rFonts w:ascii="Verdana" w:hAnsi="Verdana"/>
          <w:sz w:val="20"/>
          <w:szCs w:val="20"/>
          <w:lang w:val="en-US"/>
        </w:rPr>
      </w:pPr>
      <w:r w:rsidRPr="00A43C87">
        <w:rPr>
          <w:rFonts w:ascii="Verdana" w:hAnsi="Verdana"/>
          <w:sz w:val="20"/>
          <w:szCs w:val="20"/>
          <w:lang w:val="en-US"/>
        </w:rPr>
        <w:t xml:space="preserve">13. </w:t>
      </w:r>
      <w:r w:rsidRPr="00A43C87">
        <w:rPr>
          <w:rFonts w:ascii="Verdana" w:hAnsi="Verdana"/>
          <w:sz w:val="20"/>
          <w:szCs w:val="20"/>
          <w:lang w:val="en-US"/>
        </w:rPr>
        <w:tab/>
        <w:t>Regarding the moment at which the prior consultation should be conducted, the Court established that:</w:t>
      </w:r>
    </w:p>
    <w:p w14:paraId="313B2FC5" w14:textId="77777777" w:rsidR="007522DE" w:rsidRPr="00A43C87" w:rsidRDefault="007522DE" w:rsidP="007522DE">
      <w:pPr>
        <w:rPr>
          <w:rFonts w:ascii="Verdana" w:hAnsi="Verdana"/>
          <w:sz w:val="20"/>
          <w:szCs w:val="20"/>
          <w:lang w:val="en-US"/>
        </w:rPr>
      </w:pPr>
    </w:p>
    <w:p w14:paraId="46A46ECF" w14:textId="77777777" w:rsidR="007522DE" w:rsidRPr="00A43C87" w:rsidRDefault="007522DE" w:rsidP="007522DE">
      <w:pPr>
        <w:pStyle w:val="ListParagraph"/>
        <w:numPr>
          <w:ilvl w:val="0"/>
          <w:numId w:val="52"/>
        </w:numPr>
        <w:ind w:left="567" w:right="616" w:firstLine="0"/>
        <w:jc w:val="both"/>
        <w:rPr>
          <w:rFonts w:ascii="Verdana" w:hAnsi="Verdana"/>
          <w:sz w:val="20"/>
          <w:szCs w:val="20"/>
          <w:lang w:val="en-US"/>
        </w:rPr>
      </w:pPr>
      <w:r w:rsidRPr="00A43C87">
        <w:rPr>
          <w:rFonts w:ascii="Verdana" w:hAnsi="Verdana"/>
          <w:sz w:val="20"/>
          <w:szCs w:val="20"/>
          <w:lang w:val="en-US"/>
        </w:rPr>
        <w:t xml:space="preserve">In this regard, the Court has already established that the State must ensure the effective participation “with regard to any development, investment, </w:t>
      </w:r>
      <w:proofErr w:type="gramStart"/>
      <w:r w:rsidRPr="00A43C87">
        <w:rPr>
          <w:rFonts w:ascii="Verdana" w:hAnsi="Verdana"/>
          <w:sz w:val="20"/>
          <w:szCs w:val="20"/>
          <w:lang w:val="en-US"/>
        </w:rPr>
        <w:t>exploration</w:t>
      </w:r>
      <w:proofErr w:type="gramEnd"/>
      <w:r w:rsidRPr="00A43C87">
        <w:rPr>
          <w:rFonts w:ascii="Verdana" w:hAnsi="Verdana"/>
          <w:sz w:val="20"/>
          <w:szCs w:val="20"/>
          <w:lang w:val="en-US"/>
        </w:rPr>
        <w:t xml:space="preserve"> or extraction plan.”</w:t>
      </w:r>
      <w:r w:rsidRPr="00A43C87">
        <w:rPr>
          <w:rStyle w:val="FootnoteReference"/>
          <w:rFonts w:eastAsia="MS Mincho"/>
          <w:szCs w:val="20"/>
        </w:rPr>
        <w:footnoteReference w:id="360"/>
      </w:r>
      <w:r w:rsidRPr="00A43C87">
        <w:rPr>
          <w:rFonts w:ascii="Verdana" w:hAnsi="Verdana"/>
          <w:sz w:val="20"/>
          <w:szCs w:val="20"/>
          <w:lang w:val="en-US"/>
        </w:rPr>
        <w:t xml:space="preserve"> In particular, the Court referred to development and investment plans as “any activity that may affect the integrity of the lands and natural resources […]; specifically, any proposal related to logging or mining concessions.”</w:t>
      </w:r>
      <w:r w:rsidRPr="00A43C87">
        <w:rPr>
          <w:rStyle w:val="FootnoteReference"/>
          <w:rFonts w:eastAsia="MS Mincho"/>
          <w:szCs w:val="20"/>
        </w:rPr>
        <w:footnoteReference w:id="361"/>
      </w:r>
      <w:r w:rsidRPr="00A43C87">
        <w:rPr>
          <w:rFonts w:ascii="Verdana" w:hAnsi="Verdana"/>
          <w:sz w:val="20"/>
          <w:szCs w:val="20"/>
          <w:lang w:val="en-US"/>
        </w:rPr>
        <w:t xml:space="preserve"> </w:t>
      </w:r>
    </w:p>
    <w:p w14:paraId="2D3BD7AA" w14:textId="77777777" w:rsidR="007522DE" w:rsidRPr="00A43C87" w:rsidRDefault="007522DE" w:rsidP="007522DE">
      <w:pPr>
        <w:pStyle w:val="ListParagraph"/>
        <w:ind w:left="567" w:right="616"/>
        <w:jc w:val="both"/>
        <w:rPr>
          <w:rFonts w:ascii="Verdana" w:hAnsi="Verdana"/>
          <w:sz w:val="20"/>
          <w:szCs w:val="20"/>
          <w:lang w:val="en-US"/>
        </w:rPr>
      </w:pPr>
    </w:p>
    <w:p w14:paraId="6BCD4DC7" w14:textId="77777777" w:rsidR="007522DE" w:rsidRPr="00A43C87" w:rsidRDefault="007522DE" w:rsidP="007522DE">
      <w:pPr>
        <w:pStyle w:val="ListParagraph"/>
        <w:numPr>
          <w:ilvl w:val="0"/>
          <w:numId w:val="52"/>
        </w:numPr>
        <w:ind w:left="567" w:right="616" w:firstLine="0"/>
        <w:jc w:val="both"/>
        <w:rPr>
          <w:rFonts w:ascii="Verdana" w:hAnsi="Verdana"/>
          <w:sz w:val="20"/>
          <w:szCs w:val="20"/>
        </w:rPr>
      </w:pPr>
      <w:r w:rsidRPr="00A43C87">
        <w:rPr>
          <w:rFonts w:ascii="Verdana" w:hAnsi="Verdana"/>
          <w:sz w:val="20"/>
          <w:szCs w:val="20"/>
          <w:lang w:val="en-US"/>
        </w:rPr>
        <w:t>In this regard, the Court considers that the State’s duty in relation to this guarantee must be complied with prior to the execution of activities that may have a relevant impact on the interests of the indigenous and tribal peoples, such as the exploration, and the exploitation or extraction stages. In this case, although the mining concession was granted in 1958, the bauxite extraction operations began in 1997 – that is, 40 years later – at which time, the company had determined the precise place where the extraction operations would be implemented in relation to the rest of the territory that had previously been explored. The guarantee of effective participation should have been put in practice before the start of the mining extraction or exploitation operations, which did not happen in this case. In particular, with regard to the Kaliña and Lokono peoples who were nearby and had a direct relationship with the area, and whose traditional territory was adversely affected (</w:t>
      </w:r>
      <w:r w:rsidRPr="00A43C87">
        <w:rPr>
          <w:rFonts w:ascii="Verdana" w:hAnsi="Verdana"/>
          <w:i/>
          <w:sz w:val="20"/>
          <w:szCs w:val="20"/>
          <w:lang w:val="en-US"/>
        </w:rPr>
        <w:t>supra</w:t>
      </w:r>
      <w:r w:rsidRPr="00A43C87">
        <w:rPr>
          <w:rFonts w:ascii="Verdana" w:hAnsi="Verdana"/>
          <w:sz w:val="20"/>
          <w:szCs w:val="20"/>
          <w:lang w:val="en-US"/>
        </w:rPr>
        <w:t xml:space="preserve"> para. </w:t>
      </w:r>
      <w:r w:rsidRPr="00A43C87">
        <w:rPr>
          <w:rFonts w:ascii="Verdana" w:hAnsi="Verdana"/>
          <w:sz w:val="20"/>
          <w:szCs w:val="20"/>
        </w:rPr>
        <w:t>92)</w:t>
      </w:r>
    </w:p>
    <w:p w14:paraId="3E2DADE6" w14:textId="77777777" w:rsidR="007522DE" w:rsidRPr="00A43C87" w:rsidRDefault="007522DE" w:rsidP="007522DE">
      <w:pPr>
        <w:rPr>
          <w:rFonts w:ascii="Verdana" w:hAnsi="Verdana"/>
          <w:sz w:val="20"/>
          <w:szCs w:val="20"/>
          <w:lang w:val="en-US"/>
        </w:rPr>
      </w:pPr>
    </w:p>
    <w:p w14:paraId="79752BE4"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14. </w:t>
      </w:r>
      <w:r w:rsidRPr="00A43C87">
        <w:rPr>
          <w:rFonts w:ascii="Verdana" w:hAnsi="Verdana"/>
          <w:sz w:val="20"/>
          <w:szCs w:val="20"/>
          <w:lang w:val="en-US"/>
        </w:rPr>
        <w:tab/>
        <w:t>We concur with this specific point because, even though the Court did not have competence to analyze the moment before the intial concession was granted, it is extremely relevant for the particular characteristics of this case to stress that the obligation to consult comes into force prior to different moments. In this regard, a mining project is composed of different stages including exploration, feasibility, construction and exploitation, as well as that of project closure. Thus, the execution of each stage is an independent act, and although the stages are interrelated and are the result of the original act of the concession itself, owing to their characteristics, they should each be subject to prior consultation. In this case, the Court noted that bauxite extraction operations – one of the most important activities of the mining project – started in Wane Kreek in 1997. The Court also verified the environmental consequences of these activities in the area.</w:t>
      </w:r>
      <w:r w:rsidRPr="00A43C87">
        <w:rPr>
          <w:rStyle w:val="FootnoteReference"/>
          <w:szCs w:val="20"/>
          <w:lang w:val="en-US"/>
        </w:rPr>
        <w:footnoteReference w:id="362"/>
      </w:r>
    </w:p>
    <w:p w14:paraId="1F21B3C7" w14:textId="77777777" w:rsidR="007522DE" w:rsidRPr="00A43C87" w:rsidRDefault="007522DE" w:rsidP="00AA0FEE">
      <w:pPr>
        <w:jc w:val="both"/>
        <w:rPr>
          <w:rFonts w:ascii="Verdana" w:hAnsi="Verdana"/>
          <w:sz w:val="20"/>
          <w:szCs w:val="20"/>
          <w:highlight w:val="yellow"/>
          <w:lang w:val="en-US"/>
        </w:rPr>
      </w:pPr>
    </w:p>
    <w:p w14:paraId="6AFAACFC"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15. </w:t>
      </w:r>
      <w:r w:rsidRPr="00A43C87">
        <w:rPr>
          <w:rFonts w:ascii="Verdana" w:hAnsi="Verdana"/>
          <w:sz w:val="20"/>
          <w:szCs w:val="20"/>
          <w:lang w:val="en-US"/>
        </w:rPr>
        <w:tab/>
        <w:t>Thus, the State obligation in relation to development projects in indigenous or tribal territory arises from the moment at which the State accept the obligations contained in the provisions of the American Convention, regardless of the moment at which the concession is granted, because, as mentioned previously, it includes independent stages. Denying this and understanding prior consultation in a different way, confining it explicitly only to the initial stages of the concession of a project, would lead to the absurd situation of permitting new exploitations that have an immediate impact on indigenous territory and culture, affecting them for the rest of the time that the concession is valid. Evidently, since consultation is a constant process of dialogue, it should not be restricted merely to the initial stages of a project; rather, the obligation arises whenever there is a possible impact on the traditional indigenous or tribal life concerned.</w:t>
      </w:r>
    </w:p>
    <w:p w14:paraId="2DCB3BA1" w14:textId="77777777" w:rsidR="007522DE" w:rsidRPr="00A43C87" w:rsidRDefault="007522DE" w:rsidP="00AA0FEE">
      <w:pPr>
        <w:pStyle w:val="ListParagraph"/>
        <w:ind w:left="0"/>
        <w:jc w:val="both"/>
        <w:rPr>
          <w:rFonts w:ascii="Verdana" w:eastAsia="Batang" w:hAnsi="Verdana" w:cs="Times"/>
          <w:noProof/>
          <w:sz w:val="20"/>
          <w:szCs w:val="20"/>
          <w:lang w:val="en-US"/>
        </w:rPr>
      </w:pPr>
    </w:p>
    <w:p w14:paraId="68BB6188" w14:textId="77777777" w:rsidR="007522DE" w:rsidRPr="00A43C87" w:rsidRDefault="007522DE" w:rsidP="00AA0FEE">
      <w:pPr>
        <w:pStyle w:val="ListParagraph"/>
        <w:ind w:left="0"/>
        <w:jc w:val="both"/>
        <w:rPr>
          <w:rFonts w:ascii="Verdana" w:hAnsi="Verdana"/>
          <w:sz w:val="20"/>
          <w:szCs w:val="20"/>
          <w:lang w:val="en-US"/>
        </w:rPr>
      </w:pPr>
      <w:r w:rsidRPr="00A43C87">
        <w:rPr>
          <w:rFonts w:ascii="Verdana" w:eastAsia="Batang" w:hAnsi="Verdana" w:cs="Times"/>
          <w:noProof/>
          <w:sz w:val="20"/>
          <w:szCs w:val="20"/>
          <w:lang w:val="en-US"/>
        </w:rPr>
        <w:t xml:space="preserve">16. </w:t>
      </w:r>
      <w:r w:rsidRPr="00A43C87">
        <w:rPr>
          <w:rFonts w:ascii="Verdana" w:eastAsia="Batang" w:hAnsi="Verdana" w:cs="Times"/>
          <w:noProof/>
          <w:sz w:val="20"/>
          <w:szCs w:val="20"/>
          <w:lang w:val="en-US"/>
        </w:rPr>
        <w:tab/>
        <w:t>Based on the above, as the Court concluded in paragraph 212 of the Judgment, since the State failed to ensure the effective participation</w:t>
      </w:r>
      <w:r w:rsidRPr="00A43C87">
        <w:rPr>
          <w:rFonts w:ascii="Verdana" w:hAnsi="Verdana"/>
          <w:color w:val="000000"/>
          <w:sz w:val="20"/>
          <w:szCs w:val="20"/>
          <w:lang w:val="en-US" w:eastAsia="es-CR"/>
        </w:rPr>
        <w:t xml:space="preserve"> of the Kaliña and Lokono peoples</w:t>
      </w:r>
      <w:r w:rsidRPr="00A43C87">
        <w:rPr>
          <w:rFonts w:ascii="Verdana" w:eastAsia="Batang" w:hAnsi="Verdana" w:cs="Times"/>
          <w:noProof/>
          <w:sz w:val="20"/>
          <w:szCs w:val="20"/>
          <w:lang w:val="en-US"/>
        </w:rPr>
        <w:t xml:space="preserve">, </w:t>
      </w:r>
      <w:r w:rsidRPr="00A43C87">
        <w:rPr>
          <w:rFonts w:ascii="Verdana" w:hAnsi="Verdana"/>
          <w:sz w:val="20"/>
          <w:szCs w:val="20"/>
          <w:lang w:val="en-US"/>
        </w:rPr>
        <w:t xml:space="preserve">by means of a </w:t>
      </w:r>
      <w:r w:rsidRPr="00A43C87">
        <w:rPr>
          <w:rFonts w:ascii="Verdana" w:hAnsi="Verdana"/>
          <w:color w:val="000000"/>
          <w:sz w:val="20"/>
          <w:szCs w:val="20"/>
          <w:lang w:val="en-US" w:eastAsia="es-CR"/>
        </w:rPr>
        <w:t xml:space="preserve">consultation process, before undertaking or authorizing the exploitation of the bauxite mine within their traditional territory, the State violated Articles 21 and 23 of the Convention, in relation to Articles 1.1 and 2 of this instrument, to the detriment of </w:t>
      </w:r>
      <w:r w:rsidRPr="00A43C87">
        <w:rPr>
          <w:rFonts w:ascii="Verdana" w:eastAsia="Batang" w:hAnsi="Verdana" w:cs="Times"/>
          <w:noProof/>
          <w:sz w:val="20"/>
          <w:szCs w:val="20"/>
          <w:lang w:val="en-US"/>
        </w:rPr>
        <w:t>the Kaliña and Lokono peoples and their members.</w:t>
      </w:r>
    </w:p>
    <w:p w14:paraId="77999AA2" w14:textId="77777777" w:rsidR="007522DE" w:rsidRPr="00A43C87" w:rsidRDefault="007522DE" w:rsidP="007522DE">
      <w:pPr>
        <w:rPr>
          <w:rFonts w:ascii="Verdana" w:hAnsi="Verdana"/>
          <w:sz w:val="20"/>
          <w:szCs w:val="20"/>
          <w:lang w:val="en-US"/>
        </w:rPr>
      </w:pPr>
    </w:p>
    <w:p w14:paraId="5ACE3F32" w14:textId="77777777" w:rsidR="007522DE" w:rsidRPr="00A43C87" w:rsidRDefault="007522DE" w:rsidP="007522DE">
      <w:pPr>
        <w:jc w:val="center"/>
        <w:rPr>
          <w:rFonts w:ascii="Verdana" w:hAnsi="Verdana"/>
          <w:b/>
          <w:sz w:val="20"/>
          <w:szCs w:val="20"/>
          <w:lang w:val="en-US"/>
        </w:rPr>
      </w:pPr>
      <w:r w:rsidRPr="00A43C87">
        <w:rPr>
          <w:rFonts w:ascii="Verdana" w:hAnsi="Verdana"/>
          <w:b/>
          <w:sz w:val="20"/>
          <w:szCs w:val="20"/>
          <w:lang w:val="en-US"/>
        </w:rPr>
        <w:lastRenderedPageBreak/>
        <w:t>Recognition of collective juridical personality</w:t>
      </w:r>
    </w:p>
    <w:p w14:paraId="355B553B" w14:textId="77777777" w:rsidR="007522DE" w:rsidRPr="00A43C87" w:rsidRDefault="007522DE" w:rsidP="007522DE">
      <w:pPr>
        <w:jc w:val="center"/>
        <w:rPr>
          <w:rFonts w:ascii="Verdana" w:hAnsi="Verdana"/>
          <w:b/>
          <w:sz w:val="20"/>
          <w:szCs w:val="20"/>
          <w:lang w:val="en-US"/>
        </w:rPr>
      </w:pPr>
    </w:p>
    <w:p w14:paraId="0BE179C6"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17. </w:t>
      </w:r>
      <w:r w:rsidRPr="00A43C87">
        <w:rPr>
          <w:rFonts w:ascii="Verdana" w:hAnsi="Verdana"/>
          <w:sz w:val="20"/>
          <w:szCs w:val="20"/>
          <w:lang w:val="en-US"/>
        </w:rPr>
        <w:tab/>
        <w:t>In this Judgment, the Court, based on previous cases concerning Suriname,</w:t>
      </w:r>
      <w:r w:rsidRPr="00A43C87">
        <w:rPr>
          <w:rStyle w:val="FootnoteReference"/>
          <w:szCs w:val="20"/>
          <w:lang w:val="en-US"/>
        </w:rPr>
        <w:footnoteReference w:id="363"/>
      </w:r>
      <w:r w:rsidRPr="00A43C87">
        <w:rPr>
          <w:rFonts w:ascii="Verdana" w:hAnsi="Verdana"/>
          <w:sz w:val="20"/>
          <w:szCs w:val="20"/>
          <w:lang w:val="en-US"/>
        </w:rPr>
        <w:t xml:space="preserve"> declared that: </w:t>
      </w:r>
    </w:p>
    <w:p w14:paraId="64096364" w14:textId="77777777" w:rsidR="007522DE" w:rsidRPr="00A43C87" w:rsidRDefault="007522DE" w:rsidP="00AA0FEE">
      <w:pPr>
        <w:ind w:left="567" w:right="616"/>
        <w:jc w:val="both"/>
        <w:rPr>
          <w:rFonts w:ascii="Verdana" w:hAnsi="Verdana"/>
          <w:sz w:val="20"/>
          <w:szCs w:val="20"/>
          <w:lang w:val="en-US"/>
        </w:rPr>
      </w:pPr>
    </w:p>
    <w:p w14:paraId="5736D196" w14:textId="77777777" w:rsidR="007522DE" w:rsidRPr="00A43C87" w:rsidRDefault="007522DE" w:rsidP="00AA0FEE">
      <w:pPr>
        <w:ind w:left="567" w:right="616"/>
        <w:jc w:val="both"/>
        <w:rPr>
          <w:rFonts w:ascii="Verdana" w:hAnsi="Verdana"/>
          <w:sz w:val="20"/>
          <w:szCs w:val="20"/>
          <w:lang w:val="en-US"/>
        </w:rPr>
      </w:pPr>
      <w:r w:rsidRPr="00A43C87">
        <w:rPr>
          <w:rFonts w:ascii="Verdana" w:hAnsi="Verdana"/>
          <w:sz w:val="20"/>
          <w:szCs w:val="20"/>
          <w:lang w:val="en-US"/>
        </w:rPr>
        <w:t>114.</w:t>
      </w:r>
      <w:r w:rsidRPr="00A43C87">
        <w:rPr>
          <w:rFonts w:ascii="Verdana" w:hAnsi="Verdana"/>
          <w:sz w:val="20"/>
          <w:szCs w:val="20"/>
          <w:lang w:val="en-US"/>
        </w:rPr>
        <w:tab/>
        <w:t>In conclusion, since the domestic laws of Suriname do not recognize the collective exercise of the juridical personality of the indigenous and tribal peoples, this Court finds that the State has violated Article 3 of the American Convention, to the detriment of the Kaliña and Lokono peoples, in relation to Article 2 of this instrument. In addition, for the effects of the instant case, the failure to recognize the juridical personality of the Kaliña and Lokono peoples has an impact on the violation of other rights recognized in Articles 1.1, 21 and 25 of the Convention.</w:t>
      </w:r>
    </w:p>
    <w:p w14:paraId="6D1354A9" w14:textId="77777777" w:rsidR="007522DE" w:rsidRPr="00A43C87" w:rsidRDefault="007522DE" w:rsidP="00AA0FEE">
      <w:pPr>
        <w:jc w:val="both"/>
        <w:rPr>
          <w:rFonts w:ascii="Verdana" w:hAnsi="Verdana"/>
          <w:sz w:val="20"/>
          <w:szCs w:val="20"/>
          <w:lang w:val="en-US"/>
        </w:rPr>
      </w:pPr>
    </w:p>
    <w:p w14:paraId="19A3CA30"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18. </w:t>
      </w:r>
      <w:r w:rsidRPr="00A43C87">
        <w:rPr>
          <w:rFonts w:ascii="Verdana" w:hAnsi="Verdana"/>
          <w:sz w:val="20"/>
          <w:szCs w:val="20"/>
          <w:lang w:val="en-US"/>
        </w:rPr>
        <w:tab/>
        <w:t xml:space="preserve">We concur with this reasoning, because the recognition of collective juridical personality is an essential </w:t>
      </w:r>
      <w:proofErr w:type="gramStart"/>
      <w:r w:rsidRPr="00A43C87">
        <w:rPr>
          <w:rFonts w:ascii="Verdana" w:hAnsi="Verdana"/>
          <w:sz w:val="20"/>
          <w:szCs w:val="20"/>
          <w:lang w:val="en-US"/>
        </w:rPr>
        <w:t>requirements</w:t>
      </w:r>
      <w:proofErr w:type="gramEnd"/>
      <w:r w:rsidRPr="00A43C87">
        <w:rPr>
          <w:rFonts w:ascii="Verdana" w:hAnsi="Verdana"/>
          <w:sz w:val="20"/>
          <w:szCs w:val="20"/>
          <w:lang w:val="en-US"/>
        </w:rPr>
        <w:t xml:space="preserve"> to ensure that the indigenous and tribal peoples may exercise different rights that, owing to their communal characteristics, need to be protected collectively. Thus, the Court reiterated that:</w:t>
      </w:r>
    </w:p>
    <w:p w14:paraId="3B905167" w14:textId="77777777" w:rsidR="007522DE" w:rsidRPr="00A43C87" w:rsidRDefault="007522DE" w:rsidP="00AA0FEE">
      <w:pPr>
        <w:jc w:val="both"/>
        <w:rPr>
          <w:rFonts w:ascii="Verdana" w:hAnsi="Verdana"/>
          <w:sz w:val="20"/>
          <w:szCs w:val="20"/>
          <w:lang w:val="en-US"/>
        </w:rPr>
      </w:pPr>
    </w:p>
    <w:p w14:paraId="2A8FBE93" w14:textId="77777777" w:rsidR="007522DE" w:rsidRPr="00A43C87" w:rsidRDefault="007522DE" w:rsidP="00AA0FEE">
      <w:pPr>
        <w:tabs>
          <w:tab w:val="left" w:pos="851"/>
          <w:tab w:val="left" w:pos="1418"/>
        </w:tabs>
        <w:ind w:left="567" w:right="616"/>
        <w:jc w:val="both"/>
        <w:rPr>
          <w:rFonts w:ascii="Verdana" w:hAnsi="Verdana"/>
          <w:sz w:val="20"/>
          <w:szCs w:val="20"/>
          <w:lang w:val="en-US"/>
        </w:rPr>
      </w:pPr>
      <w:r w:rsidRPr="00A43C87">
        <w:rPr>
          <w:rFonts w:ascii="Verdana" w:hAnsi="Verdana"/>
          <w:sz w:val="20"/>
          <w:szCs w:val="20"/>
          <w:lang w:val="en-US"/>
        </w:rPr>
        <w:t xml:space="preserve">107. </w:t>
      </w:r>
      <w:r w:rsidRPr="00A43C87">
        <w:rPr>
          <w:rFonts w:ascii="Verdana" w:hAnsi="Verdana"/>
          <w:sz w:val="20"/>
          <w:szCs w:val="20"/>
          <w:lang w:val="en-US"/>
        </w:rPr>
        <w:tab/>
        <w:t xml:space="preserve">[…] “the right that the State </w:t>
      </w:r>
      <w:proofErr w:type="gramStart"/>
      <w:r w:rsidRPr="00A43C87">
        <w:rPr>
          <w:rFonts w:ascii="Verdana" w:hAnsi="Verdana"/>
          <w:sz w:val="20"/>
          <w:szCs w:val="20"/>
          <w:lang w:val="en-US"/>
        </w:rPr>
        <w:t>recognize</w:t>
      </w:r>
      <w:proofErr w:type="gramEnd"/>
      <w:r w:rsidRPr="00A43C87">
        <w:rPr>
          <w:rFonts w:ascii="Verdana" w:hAnsi="Verdana"/>
          <w:sz w:val="20"/>
          <w:szCs w:val="20"/>
          <w:lang w:val="en-US"/>
        </w:rPr>
        <w:t xml:space="preserve"> their juridical personality is one of the special measures that should be granted to the indigenous and tribal groups in order to ensure that they may enjoy their territories according to their traditions. This is the natural consequence of the recognition of the right of the members of the indigenous and tribal groups to enjoy certain rights collectively.</w:t>
      </w:r>
      <w:r w:rsidRPr="00A43C87">
        <w:rPr>
          <w:rFonts w:ascii="Verdana" w:eastAsiaTheme="minorHAnsi" w:hAnsi="Verdana" w:cs="Verdana"/>
          <w:sz w:val="20"/>
          <w:szCs w:val="20"/>
          <w:lang w:val="en-US"/>
        </w:rPr>
        <w:t>”</w:t>
      </w:r>
    </w:p>
    <w:p w14:paraId="678EE54B" w14:textId="77777777" w:rsidR="007522DE" w:rsidRPr="00A43C87" w:rsidRDefault="007522DE" w:rsidP="00AA0FEE">
      <w:pPr>
        <w:ind w:left="567" w:right="616"/>
        <w:jc w:val="both"/>
        <w:rPr>
          <w:rFonts w:ascii="Verdana" w:hAnsi="Verdana"/>
          <w:sz w:val="20"/>
          <w:szCs w:val="20"/>
          <w:lang w:val="en-US"/>
        </w:rPr>
      </w:pPr>
    </w:p>
    <w:p w14:paraId="6FFF4A8E" w14:textId="77777777" w:rsidR="007522DE" w:rsidRPr="00A43C87" w:rsidRDefault="007522DE" w:rsidP="00AA0FEE">
      <w:pPr>
        <w:pStyle w:val="ListParagraph"/>
        <w:ind w:left="567" w:right="616"/>
        <w:jc w:val="both"/>
        <w:rPr>
          <w:rFonts w:ascii="Verdana" w:hAnsi="Verdana"/>
          <w:sz w:val="20"/>
          <w:szCs w:val="20"/>
          <w:lang w:val="en-US"/>
        </w:rPr>
      </w:pPr>
      <w:r w:rsidRPr="00A43C87">
        <w:rPr>
          <w:rFonts w:ascii="Verdana" w:hAnsi="Verdana"/>
          <w:sz w:val="20"/>
          <w:szCs w:val="20"/>
          <w:lang w:val="en-US"/>
        </w:rPr>
        <w:t>109.</w:t>
      </w:r>
      <w:r w:rsidRPr="00A43C87">
        <w:rPr>
          <w:rFonts w:ascii="Verdana" w:hAnsi="Verdana"/>
          <w:sz w:val="20"/>
          <w:szCs w:val="20"/>
          <w:lang w:val="en-US"/>
        </w:rPr>
        <w:tab/>
        <w:t>[…] “the recognition of juridical personality is one way, although not the only way, to ensure that the community as a whole may enjoy and exercise fully the right to property, in accordance with their system of communal ownership, as well as the right to equal judicial protection against any violation of this right.”</w:t>
      </w:r>
    </w:p>
    <w:p w14:paraId="2FDC2166" w14:textId="77777777" w:rsidR="007522DE" w:rsidRPr="00A43C87" w:rsidRDefault="007522DE" w:rsidP="00AA0FEE">
      <w:pPr>
        <w:jc w:val="both"/>
        <w:rPr>
          <w:rFonts w:ascii="Verdana" w:hAnsi="Verdana"/>
          <w:sz w:val="20"/>
          <w:szCs w:val="20"/>
          <w:lang w:val="en-US"/>
        </w:rPr>
      </w:pPr>
    </w:p>
    <w:p w14:paraId="2AFA0A9E"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19. </w:t>
      </w:r>
      <w:r w:rsidRPr="00A43C87">
        <w:rPr>
          <w:rFonts w:ascii="Verdana" w:hAnsi="Verdana"/>
          <w:sz w:val="20"/>
          <w:szCs w:val="20"/>
          <w:lang w:val="en-US"/>
        </w:rPr>
        <w:tab/>
        <w:t xml:space="preserve">It should be noted that the Court took the State to task, considering that this non-compliance was “particularly serious owing to the provisions of the judgment in the </w:t>
      </w:r>
      <w:r w:rsidRPr="00A43C87">
        <w:rPr>
          <w:rFonts w:ascii="Verdana" w:hAnsi="Verdana"/>
          <w:i/>
          <w:sz w:val="20"/>
          <w:szCs w:val="20"/>
          <w:lang w:val="en-US"/>
        </w:rPr>
        <w:t>case of the Saramaka People</w:t>
      </w:r>
      <w:r w:rsidRPr="00A43C87">
        <w:rPr>
          <w:rFonts w:ascii="Verdana" w:hAnsi="Verdana"/>
          <w:sz w:val="20"/>
          <w:szCs w:val="20"/>
          <w:lang w:val="en-US"/>
        </w:rPr>
        <w:t xml:space="preserve"> of November 28, 2007 (</w:t>
      </w:r>
      <w:r w:rsidRPr="00A43C87">
        <w:rPr>
          <w:rFonts w:ascii="Verdana" w:hAnsi="Verdana"/>
          <w:i/>
          <w:sz w:val="20"/>
          <w:szCs w:val="20"/>
          <w:lang w:val="en-US"/>
        </w:rPr>
        <w:t>supra</w:t>
      </w:r>
      <w:r w:rsidRPr="00A43C87">
        <w:rPr>
          <w:rFonts w:ascii="Verdana" w:hAnsi="Verdana"/>
          <w:sz w:val="20"/>
          <w:szCs w:val="20"/>
          <w:lang w:val="en-US"/>
        </w:rPr>
        <w:t xml:space="preserve"> para. </w:t>
      </w:r>
      <w:proofErr w:type="gramStart"/>
      <w:r w:rsidRPr="00A43C87">
        <w:rPr>
          <w:rFonts w:ascii="Verdana" w:hAnsi="Verdana"/>
          <w:sz w:val="20"/>
          <w:szCs w:val="20"/>
          <w:lang w:val="en-US"/>
        </w:rPr>
        <w:t>107), which were reiterated to the State for the effects of that case, in the order on monitoring compliance of November 23, 2011.”</w:t>
      </w:r>
      <w:proofErr w:type="gramEnd"/>
      <w:r w:rsidRPr="00A43C87">
        <w:rPr>
          <w:rStyle w:val="FootnoteReference"/>
          <w:szCs w:val="20"/>
          <w:lang w:val="en-US"/>
        </w:rPr>
        <w:footnoteReference w:id="364"/>
      </w:r>
    </w:p>
    <w:p w14:paraId="55760A97" w14:textId="77777777" w:rsidR="007522DE" w:rsidRPr="00A43C87" w:rsidRDefault="007522DE" w:rsidP="00AA0FEE">
      <w:pPr>
        <w:jc w:val="both"/>
        <w:rPr>
          <w:rFonts w:ascii="Verdana" w:hAnsi="Verdana"/>
          <w:sz w:val="20"/>
          <w:szCs w:val="20"/>
          <w:lang w:val="en-US"/>
        </w:rPr>
      </w:pPr>
    </w:p>
    <w:p w14:paraId="2C812FBA"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20. </w:t>
      </w:r>
      <w:r w:rsidRPr="00A43C87">
        <w:rPr>
          <w:rFonts w:ascii="Verdana" w:hAnsi="Verdana"/>
          <w:sz w:val="20"/>
          <w:szCs w:val="20"/>
          <w:lang w:val="en-US"/>
        </w:rPr>
        <w:tab/>
        <w:t>Consequently, when establishing reparations, in addition to the other elements ordered in favor of the Kaliña and Lokono peoples,</w:t>
      </w:r>
      <w:r w:rsidRPr="00A43C87">
        <w:rPr>
          <w:rStyle w:val="FootnoteReference"/>
          <w:szCs w:val="20"/>
          <w:lang w:val="en-US"/>
        </w:rPr>
        <w:footnoteReference w:id="365"/>
      </w:r>
      <w:r w:rsidRPr="00A43C87">
        <w:rPr>
          <w:rFonts w:ascii="Verdana" w:hAnsi="Verdana"/>
          <w:sz w:val="20"/>
          <w:szCs w:val="20"/>
          <w:lang w:val="en-US"/>
        </w:rPr>
        <w:t xml:space="preserve"> the Court ordered Suriname, as a guarantee of non-repetion, to:</w:t>
      </w:r>
      <w:r w:rsidRPr="00A43C87">
        <w:rPr>
          <w:rStyle w:val="FootnoteReference"/>
          <w:szCs w:val="20"/>
          <w:lang w:val="en-US"/>
        </w:rPr>
        <w:footnoteReference w:id="366"/>
      </w:r>
      <w:r w:rsidRPr="00A43C87">
        <w:rPr>
          <w:rFonts w:ascii="Verdana" w:hAnsi="Verdana"/>
          <w:sz w:val="20"/>
          <w:szCs w:val="20"/>
          <w:lang w:val="en-US"/>
        </w:rPr>
        <w:t xml:space="preserve"> </w:t>
      </w:r>
    </w:p>
    <w:p w14:paraId="7310C97C" w14:textId="77777777" w:rsidR="007522DE" w:rsidRPr="00A43C87" w:rsidRDefault="007522DE" w:rsidP="00AA0FEE">
      <w:pPr>
        <w:ind w:left="709" w:right="616"/>
        <w:jc w:val="both"/>
        <w:rPr>
          <w:rFonts w:ascii="Verdana" w:hAnsi="Verdana"/>
          <w:sz w:val="20"/>
          <w:szCs w:val="20"/>
          <w:lang w:val="en-US"/>
        </w:rPr>
      </w:pPr>
    </w:p>
    <w:p w14:paraId="660E8EDC" w14:textId="77777777" w:rsidR="007522DE" w:rsidRPr="00A43C87" w:rsidRDefault="007522DE" w:rsidP="00AA0FEE">
      <w:pPr>
        <w:ind w:left="720" w:right="648"/>
        <w:contextualSpacing/>
        <w:jc w:val="both"/>
        <w:rPr>
          <w:rFonts w:ascii="Verdana" w:hAnsi="Verdana"/>
          <w:sz w:val="20"/>
          <w:szCs w:val="20"/>
          <w:lang w:val="en-US"/>
        </w:rPr>
      </w:pPr>
      <w:r w:rsidRPr="00A43C87">
        <w:rPr>
          <w:rFonts w:ascii="Verdana" w:hAnsi="Verdana"/>
          <w:sz w:val="20"/>
          <w:szCs w:val="20"/>
          <w:lang w:val="en-US"/>
        </w:rPr>
        <w:lastRenderedPageBreak/>
        <w:t>a)</w:t>
      </w:r>
      <w:r w:rsidRPr="00A43C87">
        <w:rPr>
          <w:rFonts w:ascii="Verdana" w:hAnsi="Verdana"/>
          <w:sz w:val="20"/>
          <w:szCs w:val="20"/>
          <w:lang w:val="en-US"/>
        </w:rPr>
        <w:tab/>
        <w:t>Grant the indigenous and tribal peoples in Suriname legal recognition of collective juridical personality in order to ensure them the exercise and full enjoyment of their right to property in accordance with their customs and traditions, as established in paragraphs 105 to 114. The State must comply with the measures of reparation with two years of notification of this Judgment, at the latest.</w:t>
      </w:r>
    </w:p>
    <w:p w14:paraId="578B6EA7" w14:textId="77777777" w:rsidR="007522DE" w:rsidRPr="00A43C87" w:rsidRDefault="007522DE" w:rsidP="007522DE">
      <w:pPr>
        <w:rPr>
          <w:rFonts w:ascii="Verdana" w:hAnsi="Verdana"/>
          <w:sz w:val="20"/>
          <w:szCs w:val="20"/>
          <w:lang w:val="en-US"/>
        </w:rPr>
      </w:pPr>
    </w:p>
    <w:p w14:paraId="1B20E99E" w14:textId="77777777" w:rsidR="007522DE" w:rsidRPr="00A43C87" w:rsidRDefault="007522DE" w:rsidP="007522DE">
      <w:pPr>
        <w:pStyle w:val="ListParagraph"/>
        <w:ind w:left="0"/>
        <w:jc w:val="center"/>
        <w:rPr>
          <w:rFonts w:ascii="Verdana" w:eastAsia="Batang" w:hAnsi="Verdana" w:cs="Times"/>
          <w:b/>
          <w:noProof/>
          <w:sz w:val="20"/>
          <w:szCs w:val="20"/>
          <w:lang w:val="en-US"/>
        </w:rPr>
      </w:pPr>
      <w:r w:rsidRPr="00A43C87">
        <w:rPr>
          <w:rFonts w:ascii="Verdana" w:eastAsia="Batang" w:hAnsi="Verdana" w:cs="Times"/>
          <w:b/>
          <w:noProof/>
          <w:sz w:val="20"/>
          <w:szCs w:val="20"/>
          <w:lang w:val="en-US"/>
        </w:rPr>
        <w:t>Conclusion</w:t>
      </w:r>
    </w:p>
    <w:p w14:paraId="58AF09EB"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21. </w:t>
      </w:r>
      <w:r w:rsidRPr="00A43C87">
        <w:rPr>
          <w:rFonts w:ascii="Verdana" w:hAnsi="Verdana"/>
          <w:sz w:val="20"/>
          <w:szCs w:val="20"/>
          <w:lang w:val="en-US"/>
        </w:rPr>
        <w:tab/>
        <w:t xml:space="preserve">Based on the foregoing, the undersigned emphasize the above-mentioned developments in the Court’s case law in relation to the right to effective participation by means of a consultation process, which should be understood in light of the Court’s consistent case law and, in this specific case, in light of the right to participate in the conduct of public affairs, recognized in Article 23 of the American Convention. </w:t>
      </w:r>
    </w:p>
    <w:p w14:paraId="4E1C6D10" w14:textId="77777777" w:rsidR="007522DE" w:rsidRPr="00A43C87" w:rsidRDefault="007522DE" w:rsidP="00AA0FEE">
      <w:pPr>
        <w:jc w:val="both"/>
        <w:rPr>
          <w:rFonts w:ascii="Verdana" w:hAnsi="Verdana"/>
          <w:sz w:val="20"/>
          <w:szCs w:val="20"/>
          <w:lang w:val="en-US"/>
        </w:rPr>
      </w:pPr>
    </w:p>
    <w:p w14:paraId="3390DFD9" w14:textId="77777777" w:rsidR="007522DE" w:rsidRPr="00A43C87" w:rsidRDefault="007522DE" w:rsidP="00AA0FEE">
      <w:pPr>
        <w:jc w:val="both"/>
        <w:rPr>
          <w:rFonts w:ascii="Verdana" w:hAnsi="Verdana"/>
          <w:sz w:val="20"/>
          <w:szCs w:val="20"/>
          <w:lang w:val="en-US"/>
        </w:rPr>
      </w:pPr>
      <w:r w:rsidRPr="00A43C87">
        <w:rPr>
          <w:rFonts w:ascii="Verdana" w:hAnsi="Verdana"/>
          <w:sz w:val="20"/>
          <w:szCs w:val="20"/>
          <w:lang w:val="en-US"/>
        </w:rPr>
        <w:t xml:space="preserve">22. </w:t>
      </w:r>
      <w:r w:rsidRPr="00A43C87">
        <w:rPr>
          <w:rFonts w:ascii="Verdana" w:hAnsi="Verdana"/>
          <w:sz w:val="20"/>
          <w:szCs w:val="20"/>
          <w:lang w:val="en-US"/>
        </w:rPr>
        <w:tab/>
        <w:t>Moreover, with regard to the right to recognition of juridical personality, established in Article 3 of the American Convention, this has been interpreted underlining the relevance of the collective dimension of indigenous and tribal peoples. And this is consistent with the enlightened interpretation that this Court has developed throughout its case law on this matter, in the sense of recognizing that the rights of indigenous and tribal peoples have singular characteristics related to their particular ways of life, traditions, world vision, and culture, which are also protected by the American Convention on Human Rights.</w:t>
      </w:r>
    </w:p>
    <w:p w14:paraId="57E843EC" w14:textId="77777777" w:rsidR="007522DE" w:rsidRPr="00A43C87" w:rsidRDefault="007522DE" w:rsidP="007522DE">
      <w:pPr>
        <w:rPr>
          <w:rFonts w:ascii="Verdana" w:hAnsi="Verdana"/>
          <w:sz w:val="20"/>
          <w:szCs w:val="20"/>
          <w:lang w:val="en-US"/>
        </w:rPr>
      </w:pPr>
    </w:p>
    <w:p w14:paraId="0482A881" w14:textId="77777777" w:rsidR="007522DE" w:rsidRPr="00A43C87" w:rsidRDefault="007522DE" w:rsidP="007522DE">
      <w:pPr>
        <w:rPr>
          <w:rFonts w:ascii="Verdana" w:hAnsi="Verdana"/>
          <w:sz w:val="20"/>
          <w:szCs w:val="20"/>
          <w:lang w:val="en-US"/>
        </w:rPr>
      </w:pPr>
    </w:p>
    <w:p w14:paraId="23870254" w14:textId="77777777" w:rsidR="007522DE" w:rsidRPr="00A43C87" w:rsidRDefault="007522DE" w:rsidP="007522DE">
      <w:pPr>
        <w:rPr>
          <w:rFonts w:ascii="Verdana" w:hAnsi="Verdana"/>
          <w:sz w:val="20"/>
          <w:szCs w:val="20"/>
          <w:lang w:val="en-US"/>
        </w:rPr>
      </w:pPr>
    </w:p>
    <w:p w14:paraId="0D712377" w14:textId="77777777" w:rsidR="007522DE" w:rsidRPr="00A43C87" w:rsidRDefault="007522DE" w:rsidP="007522DE">
      <w:pPr>
        <w:rPr>
          <w:rFonts w:ascii="Verdana" w:hAnsi="Verdana"/>
          <w:sz w:val="20"/>
          <w:szCs w:val="20"/>
          <w:lang w:val="en-US"/>
        </w:rPr>
      </w:pPr>
    </w:p>
    <w:p w14:paraId="486A42A1" w14:textId="77777777" w:rsidR="007522DE" w:rsidRPr="00A43C87" w:rsidRDefault="007522DE" w:rsidP="007522DE">
      <w:pPr>
        <w:rPr>
          <w:rFonts w:ascii="Verdana" w:hAnsi="Verdana"/>
          <w:sz w:val="20"/>
          <w:szCs w:val="20"/>
          <w:lang w:val="en-US"/>
        </w:rPr>
      </w:pPr>
    </w:p>
    <w:p w14:paraId="2F8AEF62" w14:textId="77777777" w:rsidR="007522DE" w:rsidRPr="00A43C87" w:rsidRDefault="007522DE" w:rsidP="007522DE">
      <w:pPr>
        <w:rPr>
          <w:rFonts w:ascii="Verdana" w:hAnsi="Verdana"/>
          <w:sz w:val="20"/>
          <w:szCs w:val="20"/>
          <w:lang w:val="en-US"/>
        </w:rPr>
      </w:pPr>
    </w:p>
    <w:p w14:paraId="000E54BA" w14:textId="77777777" w:rsidR="007522DE" w:rsidRPr="00A43C87" w:rsidRDefault="007522DE" w:rsidP="007522DE">
      <w:pPr>
        <w:rPr>
          <w:rFonts w:ascii="Verdana" w:hAnsi="Verdana"/>
          <w:sz w:val="20"/>
          <w:szCs w:val="20"/>
          <w:lang w:val="en-US"/>
        </w:rPr>
      </w:pPr>
    </w:p>
    <w:p w14:paraId="40D51A0B" w14:textId="77777777" w:rsidR="007522DE" w:rsidRPr="00A43C87" w:rsidRDefault="007522DE" w:rsidP="007522DE">
      <w:pPr>
        <w:rPr>
          <w:rFonts w:ascii="Verdana" w:hAnsi="Verdana"/>
          <w:sz w:val="20"/>
          <w:szCs w:val="20"/>
          <w:lang w:val="en-US"/>
        </w:rPr>
      </w:pPr>
    </w:p>
    <w:p w14:paraId="4A54F3DC" w14:textId="77777777" w:rsidR="007522DE" w:rsidRPr="00A43C87" w:rsidRDefault="007522DE" w:rsidP="007522DE">
      <w:pPr>
        <w:pStyle w:val="NormalWeb"/>
        <w:spacing w:before="0" w:beforeAutospacing="0" w:after="0" w:afterAutospacing="0"/>
        <w:ind w:right="96"/>
        <w:rPr>
          <w:rFonts w:ascii="Verdana" w:eastAsia="Calibri" w:hAnsi="Verdana"/>
          <w:sz w:val="20"/>
          <w:szCs w:val="20"/>
          <w:lang w:eastAsia="en-US"/>
        </w:rPr>
      </w:pPr>
      <w:r w:rsidRPr="00A43C87">
        <w:rPr>
          <w:rFonts w:ascii="Verdana" w:eastAsia="Calibri" w:hAnsi="Verdana"/>
          <w:sz w:val="20"/>
          <w:szCs w:val="20"/>
          <w:lang w:val="en-US" w:eastAsia="en-US"/>
        </w:rPr>
        <w:t xml:space="preserve">   </w:t>
      </w:r>
      <w:r w:rsidRPr="00A43C87">
        <w:rPr>
          <w:rFonts w:ascii="Verdana" w:eastAsia="Calibri" w:hAnsi="Verdana"/>
          <w:sz w:val="20"/>
          <w:szCs w:val="20"/>
          <w:lang w:eastAsia="en-US"/>
        </w:rPr>
        <w:t>Humberto Antonio Sierra Porto</w:t>
      </w:r>
      <w:r w:rsidRPr="00A43C87">
        <w:rPr>
          <w:rFonts w:ascii="Verdana" w:eastAsia="Calibri" w:hAnsi="Verdana"/>
          <w:sz w:val="20"/>
          <w:szCs w:val="20"/>
          <w:lang w:eastAsia="en-US"/>
        </w:rPr>
        <w:tab/>
      </w:r>
      <w:r w:rsidRPr="00A43C87">
        <w:rPr>
          <w:rFonts w:ascii="Verdana" w:eastAsia="Calibri" w:hAnsi="Verdana"/>
          <w:sz w:val="20"/>
          <w:szCs w:val="20"/>
          <w:lang w:eastAsia="en-US"/>
        </w:rPr>
        <w:tab/>
      </w:r>
      <w:r w:rsidRPr="00A43C87">
        <w:rPr>
          <w:rFonts w:ascii="Verdana" w:eastAsia="Calibri" w:hAnsi="Verdana"/>
          <w:sz w:val="20"/>
          <w:szCs w:val="20"/>
          <w:lang w:eastAsia="en-US"/>
        </w:rPr>
        <w:tab/>
        <w:t>Eduardo Ferrer Mac-Gregor Poisot</w:t>
      </w:r>
    </w:p>
    <w:p w14:paraId="381C1A8F" w14:textId="77777777" w:rsidR="007522DE" w:rsidRPr="00A43C87" w:rsidRDefault="007522DE" w:rsidP="007522DE">
      <w:pPr>
        <w:pStyle w:val="NormalWeb"/>
        <w:spacing w:before="0" w:beforeAutospacing="0" w:after="0" w:afterAutospacing="0"/>
        <w:ind w:right="96" w:firstLine="708"/>
        <w:rPr>
          <w:rFonts w:ascii="Verdana" w:eastAsia="Calibri" w:hAnsi="Verdana"/>
          <w:sz w:val="20"/>
          <w:szCs w:val="20"/>
          <w:lang w:val="en-US" w:eastAsia="en-US"/>
        </w:rPr>
      </w:pPr>
      <w:r w:rsidRPr="00A43C87">
        <w:rPr>
          <w:rFonts w:ascii="Verdana" w:eastAsia="Calibri" w:hAnsi="Verdana"/>
          <w:sz w:val="20"/>
          <w:szCs w:val="20"/>
          <w:lang w:val="es-ES" w:eastAsia="en-US"/>
        </w:rPr>
        <w:t xml:space="preserve">         </w:t>
      </w:r>
      <w:r w:rsidRPr="00A43C87">
        <w:rPr>
          <w:rFonts w:ascii="Verdana" w:eastAsia="Calibri" w:hAnsi="Verdana"/>
          <w:sz w:val="20"/>
          <w:szCs w:val="20"/>
          <w:lang w:val="en-US" w:eastAsia="en-US"/>
        </w:rPr>
        <w:t>Judge</w:t>
      </w:r>
      <w:r w:rsidRPr="00A43C87">
        <w:rPr>
          <w:rFonts w:ascii="Verdana" w:eastAsia="Calibri" w:hAnsi="Verdana"/>
          <w:sz w:val="20"/>
          <w:szCs w:val="20"/>
          <w:lang w:val="en-US" w:eastAsia="en-US"/>
        </w:rPr>
        <w:tab/>
      </w:r>
      <w:r w:rsidRPr="00A43C87">
        <w:rPr>
          <w:rFonts w:ascii="Verdana" w:eastAsia="Calibri" w:hAnsi="Verdana"/>
          <w:sz w:val="20"/>
          <w:szCs w:val="20"/>
          <w:lang w:val="en-US" w:eastAsia="en-US"/>
        </w:rPr>
        <w:tab/>
      </w:r>
      <w:r w:rsidRPr="00A43C87">
        <w:rPr>
          <w:rFonts w:ascii="Verdana" w:eastAsia="Calibri" w:hAnsi="Verdana"/>
          <w:sz w:val="20"/>
          <w:szCs w:val="20"/>
          <w:lang w:val="en-US" w:eastAsia="en-US"/>
        </w:rPr>
        <w:tab/>
      </w:r>
      <w:r w:rsidRPr="00A43C87">
        <w:rPr>
          <w:rFonts w:ascii="Verdana" w:eastAsia="Calibri" w:hAnsi="Verdana"/>
          <w:sz w:val="20"/>
          <w:szCs w:val="20"/>
          <w:lang w:val="en-US" w:eastAsia="en-US"/>
        </w:rPr>
        <w:tab/>
      </w:r>
      <w:r w:rsidRPr="00A43C87">
        <w:rPr>
          <w:rFonts w:ascii="Verdana" w:eastAsia="Calibri" w:hAnsi="Verdana"/>
          <w:sz w:val="20"/>
          <w:szCs w:val="20"/>
          <w:lang w:val="en-US" w:eastAsia="en-US"/>
        </w:rPr>
        <w:tab/>
      </w:r>
      <w:r w:rsidRPr="00A43C87">
        <w:rPr>
          <w:rFonts w:ascii="Verdana" w:eastAsia="Calibri" w:hAnsi="Verdana"/>
          <w:sz w:val="20"/>
          <w:szCs w:val="20"/>
          <w:lang w:val="en-US" w:eastAsia="en-US"/>
        </w:rPr>
        <w:tab/>
        <w:t xml:space="preserve">          Judge</w:t>
      </w:r>
    </w:p>
    <w:p w14:paraId="2933BF69" w14:textId="77777777" w:rsidR="007522DE" w:rsidRPr="00A43C87" w:rsidRDefault="007522DE" w:rsidP="007522DE">
      <w:pPr>
        <w:rPr>
          <w:rFonts w:ascii="Verdana" w:hAnsi="Verdana"/>
          <w:sz w:val="20"/>
          <w:szCs w:val="20"/>
          <w:lang w:val="en-US"/>
        </w:rPr>
      </w:pPr>
    </w:p>
    <w:p w14:paraId="4142E25B" w14:textId="77777777" w:rsidR="007522DE" w:rsidRPr="00A43C87" w:rsidRDefault="007522DE" w:rsidP="007522DE">
      <w:pPr>
        <w:rPr>
          <w:rFonts w:ascii="Verdana" w:hAnsi="Verdana"/>
          <w:sz w:val="20"/>
          <w:szCs w:val="20"/>
          <w:lang w:val="en-US"/>
        </w:rPr>
      </w:pPr>
    </w:p>
    <w:p w14:paraId="3DF29447" w14:textId="77777777" w:rsidR="007522DE" w:rsidRPr="00A43C87" w:rsidRDefault="007522DE" w:rsidP="007522DE">
      <w:pPr>
        <w:rPr>
          <w:rFonts w:ascii="Verdana" w:hAnsi="Verdana"/>
          <w:sz w:val="20"/>
          <w:szCs w:val="20"/>
          <w:lang w:val="en-US"/>
        </w:rPr>
      </w:pPr>
    </w:p>
    <w:p w14:paraId="1E2F2BC1" w14:textId="77777777" w:rsidR="007522DE" w:rsidRPr="00A43C87" w:rsidRDefault="007522DE" w:rsidP="007522DE">
      <w:pPr>
        <w:rPr>
          <w:rFonts w:ascii="Verdana" w:hAnsi="Verdana"/>
          <w:sz w:val="20"/>
          <w:szCs w:val="20"/>
          <w:lang w:val="en-US"/>
        </w:rPr>
      </w:pPr>
    </w:p>
    <w:p w14:paraId="12AE5B4A" w14:textId="77777777" w:rsidR="007522DE" w:rsidRPr="00A43C87" w:rsidRDefault="007522DE" w:rsidP="007522DE">
      <w:pPr>
        <w:rPr>
          <w:rFonts w:ascii="Verdana" w:hAnsi="Verdana"/>
          <w:sz w:val="20"/>
          <w:szCs w:val="20"/>
          <w:lang w:val="en-US"/>
        </w:rPr>
      </w:pPr>
    </w:p>
    <w:p w14:paraId="45F0E6FF" w14:textId="77777777" w:rsidR="007522DE" w:rsidRPr="00A43C87" w:rsidRDefault="007522DE" w:rsidP="007522DE">
      <w:pPr>
        <w:rPr>
          <w:rFonts w:ascii="Verdana" w:hAnsi="Verdana"/>
          <w:sz w:val="20"/>
          <w:szCs w:val="20"/>
          <w:lang w:val="en-US"/>
        </w:rPr>
      </w:pPr>
    </w:p>
    <w:p w14:paraId="45DA988E" w14:textId="77777777" w:rsidR="007522DE" w:rsidRPr="00A43C87" w:rsidRDefault="007522DE" w:rsidP="007522DE">
      <w:pPr>
        <w:rPr>
          <w:rFonts w:ascii="Verdana" w:hAnsi="Verdana"/>
          <w:sz w:val="20"/>
          <w:szCs w:val="20"/>
          <w:lang w:val="en-US"/>
        </w:rPr>
      </w:pPr>
    </w:p>
    <w:p w14:paraId="6E1B6A35" w14:textId="77777777" w:rsidR="007522DE" w:rsidRPr="00A43C87" w:rsidRDefault="007522DE" w:rsidP="007522DE">
      <w:pPr>
        <w:jc w:val="center"/>
        <w:rPr>
          <w:rFonts w:ascii="Verdana" w:hAnsi="Verdana"/>
          <w:sz w:val="20"/>
          <w:szCs w:val="20"/>
          <w:lang w:val="en-US"/>
        </w:rPr>
      </w:pPr>
    </w:p>
    <w:p w14:paraId="2CC65F4D" w14:textId="77777777" w:rsidR="007522DE" w:rsidRPr="00A43C87" w:rsidRDefault="007522DE" w:rsidP="007522DE">
      <w:pPr>
        <w:jc w:val="center"/>
        <w:rPr>
          <w:rFonts w:ascii="Verdana" w:hAnsi="Verdana"/>
          <w:sz w:val="20"/>
          <w:szCs w:val="20"/>
          <w:lang w:val="en-US"/>
        </w:rPr>
      </w:pPr>
      <w:r w:rsidRPr="00A43C87">
        <w:rPr>
          <w:rFonts w:ascii="Verdana" w:hAnsi="Verdana"/>
          <w:sz w:val="20"/>
          <w:szCs w:val="20"/>
          <w:lang w:val="en-US"/>
        </w:rPr>
        <w:t>Pablo Saavedra Alessandri</w:t>
      </w:r>
    </w:p>
    <w:p w14:paraId="5142E3F7" w14:textId="77777777" w:rsidR="007522DE" w:rsidRPr="00A43C87" w:rsidRDefault="007522DE" w:rsidP="007522DE">
      <w:pPr>
        <w:jc w:val="center"/>
        <w:rPr>
          <w:rFonts w:ascii="Verdana" w:hAnsi="Verdana"/>
          <w:sz w:val="20"/>
          <w:szCs w:val="20"/>
          <w:lang w:val="en-US"/>
        </w:rPr>
      </w:pPr>
      <w:r w:rsidRPr="00A43C87">
        <w:rPr>
          <w:rFonts w:ascii="Verdana" w:hAnsi="Verdana"/>
          <w:sz w:val="20"/>
          <w:szCs w:val="20"/>
          <w:lang w:val="en-US"/>
        </w:rPr>
        <w:t>Secretary</w:t>
      </w:r>
    </w:p>
    <w:p w14:paraId="0E305027" w14:textId="77777777" w:rsidR="007522DE" w:rsidRPr="00A43C87" w:rsidRDefault="007522DE" w:rsidP="007522DE">
      <w:pPr>
        <w:spacing w:after="200" w:line="276" w:lineRule="auto"/>
        <w:rPr>
          <w:rFonts w:ascii="Verdana" w:hAnsi="Verdana"/>
          <w:sz w:val="20"/>
          <w:szCs w:val="20"/>
          <w:lang w:val="en-US"/>
        </w:rPr>
      </w:pPr>
    </w:p>
    <w:p w14:paraId="0488D9C9" w14:textId="77777777" w:rsidR="007522DE" w:rsidRPr="00A43C87" w:rsidRDefault="007522DE" w:rsidP="00146E01">
      <w:pPr>
        <w:spacing w:after="200" w:line="276" w:lineRule="auto"/>
        <w:rPr>
          <w:rFonts w:ascii="Verdana" w:hAnsi="Verdana"/>
          <w:sz w:val="20"/>
          <w:szCs w:val="20"/>
          <w:lang w:val="en-US"/>
        </w:rPr>
        <w:sectPr w:rsidR="007522DE" w:rsidRPr="00A43C87" w:rsidSect="00A43C87">
          <w:footerReference w:type="default" r:id="rId68"/>
          <w:footnotePr>
            <w:numRestart w:val="eachSect"/>
          </w:footnotePr>
          <w:pgSz w:w="12240" w:h="15840"/>
          <w:pgMar w:top="1417" w:right="1701" w:bottom="1417" w:left="1701" w:header="708" w:footer="708" w:gutter="0"/>
          <w:pgNumType w:start="1"/>
          <w:cols w:space="708"/>
          <w:titlePg/>
          <w:docGrid w:linePitch="360"/>
        </w:sectPr>
      </w:pPr>
    </w:p>
    <w:p w14:paraId="5C3D7472" w14:textId="77777777" w:rsidR="007522DE" w:rsidRDefault="007522DE" w:rsidP="007522DE">
      <w:pPr>
        <w:jc w:val="center"/>
        <w:rPr>
          <w:rFonts w:ascii="Verdana" w:hAnsi="Verdana"/>
          <w:b/>
          <w:sz w:val="20"/>
          <w:szCs w:val="20"/>
          <w:lang w:val="en-US"/>
        </w:rPr>
      </w:pPr>
    </w:p>
    <w:p w14:paraId="3CA919B3" w14:textId="77777777" w:rsidR="007522DE" w:rsidRDefault="007522DE" w:rsidP="007522DE">
      <w:pPr>
        <w:jc w:val="center"/>
        <w:rPr>
          <w:rFonts w:ascii="Verdana" w:hAnsi="Verdana"/>
          <w:b/>
          <w:sz w:val="20"/>
          <w:szCs w:val="20"/>
          <w:lang w:val="en-US"/>
        </w:rPr>
      </w:pPr>
    </w:p>
    <w:p w14:paraId="3E4BAB2A" w14:textId="77777777" w:rsidR="007522DE" w:rsidRDefault="007522DE" w:rsidP="007522DE">
      <w:pPr>
        <w:jc w:val="center"/>
        <w:rPr>
          <w:rFonts w:ascii="Verdana" w:hAnsi="Verdana"/>
          <w:b/>
          <w:sz w:val="20"/>
          <w:szCs w:val="20"/>
          <w:lang w:val="en-US"/>
        </w:rPr>
      </w:pPr>
    </w:p>
    <w:p w14:paraId="77F23A81" w14:textId="77777777" w:rsidR="007522DE" w:rsidRDefault="007522DE" w:rsidP="007522DE">
      <w:pPr>
        <w:jc w:val="center"/>
        <w:rPr>
          <w:rFonts w:ascii="Verdana" w:hAnsi="Verdana"/>
          <w:b/>
          <w:sz w:val="20"/>
          <w:szCs w:val="20"/>
          <w:lang w:val="en-US"/>
        </w:rPr>
      </w:pPr>
    </w:p>
    <w:p w14:paraId="22BB554F" w14:textId="77777777" w:rsidR="007522DE" w:rsidRDefault="007522DE" w:rsidP="007522DE">
      <w:pPr>
        <w:jc w:val="center"/>
        <w:rPr>
          <w:rFonts w:ascii="Verdana" w:hAnsi="Verdana"/>
          <w:b/>
          <w:sz w:val="20"/>
          <w:szCs w:val="20"/>
          <w:lang w:val="en-US"/>
        </w:rPr>
      </w:pPr>
    </w:p>
    <w:p w14:paraId="07C48780" w14:textId="77777777" w:rsidR="007522DE" w:rsidRDefault="007522DE" w:rsidP="007522DE">
      <w:pPr>
        <w:jc w:val="center"/>
        <w:rPr>
          <w:rFonts w:ascii="Verdana" w:hAnsi="Verdana"/>
          <w:b/>
          <w:sz w:val="20"/>
          <w:szCs w:val="20"/>
          <w:lang w:val="en-US"/>
        </w:rPr>
      </w:pPr>
    </w:p>
    <w:p w14:paraId="198EFE23" w14:textId="77777777" w:rsidR="007522DE" w:rsidRDefault="007522DE" w:rsidP="007522DE">
      <w:pPr>
        <w:jc w:val="center"/>
        <w:rPr>
          <w:rFonts w:ascii="Verdana" w:hAnsi="Verdana"/>
          <w:b/>
          <w:sz w:val="20"/>
          <w:szCs w:val="20"/>
          <w:lang w:val="en-US"/>
        </w:rPr>
      </w:pPr>
    </w:p>
    <w:p w14:paraId="1DB846E1" w14:textId="77777777" w:rsidR="007522DE" w:rsidRDefault="007522DE" w:rsidP="007522DE">
      <w:pPr>
        <w:jc w:val="center"/>
        <w:rPr>
          <w:rFonts w:ascii="Verdana" w:hAnsi="Verdana"/>
          <w:b/>
          <w:sz w:val="20"/>
          <w:szCs w:val="20"/>
          <w:lang w:val="en-US"/>
        </w:rPr>
      </w:pPr>
    </w:p>
    <w:p w14:paraId="4183E820" w14:textId="77777777" w:rsidR="007522DE" w:rsidRDefault="007522DE" w:rsidP="007522DE">
      <w:pPr>
        <w:jc w:val="center"/>
        <w:rPr>
          <w:rFonts w:ascii="Verdana" w:hAnsi="Verdana"/>
          <w:b/>
          <w:sz w:val="20"/>
          <w:szCs w:val="20"/>
          <w:lang w:val="en-US"/>
        </w:rPr>
      </w:pPr>
    </w:p>
    <w:p w14:paraId="7C6CEAEA" w14:textId="77777777" w:rsidR="007522DE" w:rsidRPr="002D0A21" w:rsidRDefault="007522DE" w:rsidP="007522DE">
      <w:pPr>
        <w:jc w:val="center"/>
        <w:rPr>
          <w:rFonts w:ascii="Verdana" w:hAnsi="Verdana"/>
          <w:b/>
          <w:sz w:val="20"/>
          <w:szCs w:val="20"/>
          <w:lang w:val="en-US"/>
        </w:rPr>
      </w:pPr>
      <w:r w:rsidRPr="002D0A21">
        <w:rPr>
          <w:rFonts w:ascii="Verdana" w:hAnsi="Verdana"/>
          <w:b/>
          <w:sz w:val="20"/>
          <w:szCs w:val="20"/>
          <w:lang w:val="en-US"/>
        </w:rPr>
        <w:t>PARTIALLY DISSENTING OPINION OF</w:t>
      </w:r>
    </w:p>
    <w:p w14:paraId="797D044C" w14:textId="77777777" w:rsidR="007522DE" w:rsidRPr="002D0A21" w:rsidRDefault="007522DE" w:rsidP="007522DE">
      <w:pPr>
        <w:jc w:val="center"/>
        <w:rPr>
          <w:rFonts w:ascii="Verdana" w:hAnsi="Verdana"/>
          <w:b/>
          <w:sz w:val="20"/>
          <w:szCs w:val="20"/>
          <w:lang w:val="en-US"/>
        </w:rPr>
      </w:pPr>
      <w:r w:rsidRPr="002D0A21">
        <w:rPr>
          <w:rFonts w:ascii="Verdana" w:hAnsi="Verdana"/>
          <w:b/>
          <w:sz w:val="20"/>
          <w:szCs w:val="20"/>
          <w:lang w:val="en-US"/>
        </w:rPr>
        <w:t>JUDGE ALBERTO PÉREZ PÉREZ</w:t>
      </w:r>
      <w:r w:rsidRPr="002D0A21">
        <w:rPr>
          <w:rFonts w:ascii="Verdana" w:hAnsi="Verdana"/>
          <w:b/>
          <w:sz w:val="20"/>
          <w:szCs w:val="20"/>
          <w:lang w:val="en-US"/>
        </w:rPr>
        <w:br/>
      </w:r>
    </w:p>
    <w:p w14:paraId="4C1ACA06" w14:textId="77777777" w:rsidR="007522DE" w:rsidRPr="002D0A21" w:rsidRDefault="007522DE" w:rsidP="007522DE">
      <w:pPr>
        <w:jc w:val="center"/>
        <w:rPr>
          <w:rFonts w:ascii="Verdana" w:hAnsi="Verdana"/>
          <w:b/>
          <w:sz w:val="20"/>
          <w:szCs w:val="20"/>
          <w:lang w:val="en-US"/>
        </w:rPr>
      </w:pPr>
      <w:r w:rsidRPr="002D0A21">
        <w:rPr>
          <w:rFonts w:ascii="Verdana" w:hAnsi="Verdana"/>
          <w:b/>
          <w:sz w:val="20"/>
          <w:szCs w:val="20"/>
          <w:lang w:val="en-US"/>
        </w:rPr>
        <w:t xml:space="preserve">CASE OF THE KALIÑA AND LOKONO PEOPLES </w:t>
      </w:r>
      <w:r w:rsidRPr="002D0A21">
        <w:rPr>
          <w:rFonts w:ascii="Verdana" w:hAnsi="Verdana"/>
          <w:b/>
          <w:i/>
          <w:sz w:val="20"/>
          <w:szCs w:val="20"/>
          <w:lang w:val="en-US"/>
        </w:rPr>
        <w:t>V</w:t>
      </w:r>
      <w:r w:rsidRPr="002D0A21">
        <w:rPr>
          <w:rFonts w:ascii="Verdana" w:hAnsi="Verdana"/>
          <w:b/>
          <w:sz w:val="20"/>
          <w:szCs w:val="20"/>
          <w:lang w:val="en-US"/>
        </w:rPr>
        <w:t>. SURINAME</w:t>
      </w:r>
    </w:p>
    <w:p w14:paraId="3AC5301B" w14:textId="77777777" w:rsidR="007522DE" w:rsidRPr="002D0A21" w:rsidRDefault="007522DE" w:rsidP="007522DE">
      <w:pPr>
        <w:jc w:val="center"/>
        <w:rPr>
          <w:rFonts w:ascii="Verdana" w:hAnsi="Verdana"/>
          <w:b/>
          <w:sz w:val="20"/>
          <w:szCs w:val="20"/>
          <w:lang w:val="en-US"/>
        </w:rPr>
      </w:pPr>
    </w:p>
    <w:p w14:paraId="39D3532D" w14:textId="77777777" w:rsidR="007522DE" w:rsidRPr="002D0A21" w:rsidRDefault="007522DE" w:rsidP="007522DE">
      <w:pPr>
        <w:jc w:val="center"/>
        <w:rPr>
          <w:rFonts w:ascii="Verdana" w:hAnsi="Verdana"/>
          <w:b/>
          <w:sz w:val="20"/>
          <w:szCs w:val="20"/>
          <w:lang w:val="en-US"/>
        </w:rPr>
      </w:pPr>
      <w:r w:rsidRPr="002D0A21">
        <w:rPr>
          <w:rFonts w:ascii="Verdana" w:hAnsi="Verdana"/>
          <w:b/>
          <w:sz w:val="20"/>
          <w:szCs w:val="20"/>
          <w:lang w:val="en-US"/>
        </w:rPr>
        <w:t>JUDGMENT OF NOVEMBER 25, 2015</w:t>
      </w:r>
    </w:p>
    <w:p w14:paraId="7B2AB73E" w14:textId="77777777" w:rsidR="007522DE" w:rsidRPr="00FF656A" w:rsidRDefault="007522DE" w:rsidP="007522DE">
      <w:pPr>
        <w:ind w:right="-138"/>
        <w:jc w:val="center"/>
        <w:rPr>
          <w:rFonts w:ascii="Verdana" w:hAnsi="Verdana"/>
          <w:sz w:val="20"/>
          <w:szCs w:val="20"/>
          <w:lang w:val="en-US"/>
        </w:rPr>
      </w:pPr>
      <w:r w:rsidRPr="00FF656A">
        <w:rPr>
          <w:rFonts w:ascii="Verdana" w:hAnsi="Verdana"/>
          <w:b/>
          <w:i/>
          <w:sz w:val="20"/>
          <w:szCs w:val="20"/>
          <w:lang w:val="en-US"/>
        </w:rPr>
        <w:t xml:space="preserve">(Merits, </w:t>
      </w:r>
      <w:r>
        <w:rPr>
          <w:rFonts w:ascii="Verdana" w:hAnsi="Verdana"/>
          <w:b/>
          <w:i/>
          <w:sz w:val="20"/>
          <w:szCs w:val="20"/>
          <w:lang w:val="en-US"/>
        </w:rPr>
        <w:t>R</w:t>
      </w:r>
      <w:r w:rsidRPr="00FF656A">
        <w:rPr>
          <w:rFonts w:ascii="Verdana" w:hAnsi="Verdana"/>
          <w:b/>
          <w:i/>
          <w:sz w:val="20"/>
          <w:szCs w:val="20"/>
          <w:lang w:val="en-US"/>
        </w:rPr>
        <w:t xml:space="preserve">eparations and </w:t>
      </w:r>
      <w:r>
        <w:rPr>
          <w:rFonts w:ascii="Verdana" w:hAnsi="Verdana"/>
          <w:b/>
          <w:i/>
          <w:sz w:val="20"/>
          <w:szCs w:val="20"/>
          <w:lang w:val="en-US"/>
        </w:rPr>
        <w:t>C</w:t>
      </w:r>
      <w:r w:rsidRPr="00FF656A">
        <w:rPr>
          <w:rFonts w:ascii="Verdana" w:hAnsi="Verdana"/>
          <w:b/>
          <w:i/>
          <w:sz w:val="20"/>
          <w:szCs w:val="20"/>
          <w:lang w:val="en-US"/>
        </w:rPr>
        <w:t>osts)</w:t>
      </w:r>
    </w:p>
    <w:p w14:paraId="30C4B3D2" w14:textId="77777777" w:rsidR="007522DE" w:rsidRPr="002D0A21" w:rsidRDefault="007522DE" w:rsidP="007522DE">
      <w:pPr>
        <w:jc w:val="center"/>
        <w:rPr>
          <w:rFonts w:ascii="Verdana" w:hAnsi="Verdana"/>
          <w:sz w:val="20"/>
          <w:szCs w:val="20"/>
          <w:lang w:val="en-US"/>
        </w:rPr>
      </w:pPr>
    </w:p>
    <w:p w14:paraId="05334128"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I have dissented from operative paragraphs 1 to 3 because they unduly cite certain articles of the American Convention on Human Rights that have presumably been violated</w:t>
      </w:r>
      <w:r w:rsidRPr="00A76963">
        <w:rPr>
          <w:rFonts w:ascii="Verdana" w:hAnsi="Verdana"/>
          <w:sz w:val="20"/>
          <w:szCs w:val="20"/>
          <w:lang w:val="en-US"/>
        </w:rPr>
        <w:t xml:space="preserve"> </w:t>
      </w:r>
      <w:r w:rsidRPr="002D0A21">
        <w:rPr>
          <w:rFonts w:ascii="Verdana" w:hAnsi="Verdana"/>
          <w:sz w:val="20"/>
          <w:szCs w:val="20"/>
          <w:lang w:val="en-US"/>
        </w:rPr>
        <w:t xml:space="preserve">as grounds for the judgment: respectively, Articles 3, 23 and 13. The Court’s application of these articles in this case conflicts with the evident meaning of these provisions, and the reasoning that is given is totally insufficient and even, in one case, almost inexistent.  </w:t>
      </w:r>
    </w:p>
    <w:p w14:paraId="1A57420C" w14:textId="77777777" w:rsidR="007522DE" w:rsidRPr="002D0A21" w:rsidRDefault="007522DE" w:rsidP="007522DE">
      <w:pPr>
        <w:pStyle w:val="Estilo1"/>
        <w:numPr>
          <w:ilvl w:val="0"/>
          <w:numId w:val="0"/>
        </w:numPr>
        <w:spacing w:after="0"/>
        <w:rPr>
          <w:rFonts w:ascii="Verdana" w:hAnsi="Verdana"/>
          <w:sz w:val="20"/>
          <w:szCs w:val="20"/>
          <w:lang w:val="en-US"/>
        </w:rPr>
      </w:pPr>
    </w:p>
    <w:p w14:paraId="208D87C6"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Furthermore, as will be seen, the rights that it is intended to protect by citing Articles 3, 13 and 23 are correctly founded on other provisions of the Convention, already contained in the text of the judgment.</w:t>
      </w:r>
    </w:p>
    <w:p w14:paraId="709E805B" w14:textId="77777777" w:rsidR="007522DE" w:rsidRPr="002D0A21" w:rsidRDefault="007522DE" w:rsidP="007522DE">
      <w:pPr>
        <w:pStyle w:val="Estilo1"/>
        <w:numPr>
          <w:ilvl w:val="0"/>
          <w:numId w:val="0"/>
        </w:numPr>
        <w:spacing w:after="0"/>
        <w:rPr>
          <w:rFonts w:ascii="Verdana" w:hAnsi="Verdana"/>
          <w:sz w:val="20"/>
          <w:szCs w:val="20"/>
          <w:lang w:val="en-US"/>
        </w:rPr>
      </w:pPr>
    </w:p>
    <w:p w14:paraId="0BAF2390" w14:textId="77777777" w:rsidR="007522DE" w:rsidRPr="002D0A21" w:rsidRDefault="007522DE" w:rsidP="007522DE">
      <w:pPr>
        <w:pStyle w:val="ListParagraph"/>
        <w:numPr>
          <w:ilvl w:val="0"/>
          <w:numId w:val="54"/>
        </w:numPr>
        <w:ind w:left="0" w:firstLine="0"/>
        <w:jc w:val="center"/>
        <w:rPr>
          <w:rFonts w:ascii="Verdana" w:hAnsi="Verdana"/>
          <w:b/>
          <w:sz w:val="20"/>
          <w:szCs w:val="20"/>
          <w:lang w:val="en-US"/>
        </w:rPr>
      </w:pPr>
      <w:r w:rsidRPr="002D0A21">
        <w:rPr>
          <w:rFonts w:ascii="Verdana" w:hAnsi="Verdana"/>
          <w:b/>
          <w:sz w:val="20"/>
          <w:szCs w:val="20"/>
          <w:lang w:val="en-US"/>
        </w:rPr>
        <w:t>Article 3 (Right to Recognition of Juridical Personality)</w:t>
      </w:r>
    </w:p>
    <w:p w14:paraId="58F41291" w14:textId="77777777" w:rsidR="007522DE" w:rsidRPr="002D0A21" w:rsidRDefault="007522DE" w:rsidP="007522DE">
      <w:pPr>
        <w:pStyle w:val="ListParagraph"/>
        <w:ind w:left="0"/>
        <w:jc w:val="center"/>
        <w:rPr>
          <w:rFonts w:ascii="Verdana" w:hAnsi="Verdana"/>
          <w:b/>
          <w:sz w:val="20"/>
          <w:szCs w:val="20"/>
          <w:lang w:val="en-US"/>
        </w:rPr>
      </w:pPr>
      <w:proofErr w:type="gramStart"/>
      <w:r w:rsidRPr="002D0A21">
        <w:rPr>
          <w:rFonts w:ascii="Verdana" w:hAnsi="Verdana"/>
          <w:b/>
          <w:sz w:val="20"/>
          <w:szCs w:val="20"/>
          <w:lang w:val="en-US"/>
        </w:rPr>
        <w:t>was</w:t>
      </w:r>
      <w:proofErr w:type="gramEnd"/>
      <w:r w:rsidRPr="002D0A21">
        <w:rPr>
          <w:rFonts w:ascii="Verdana" w:hAnsi="Verdana"/>
          <w:b/>
          <w:sz w:val="20"/>
          <w:szCs w:val="20"/>
          <w:lang w:val="en-US"/>
        </w:rPr>
        <w:t xml:space="preserve"> not violated</w:t>
      </w:r>
    </w:p>
    <w:p w14:paraId="26793AEA" w14:textId="77777777" w:rsidR="007522DE" w:rsidRPr="002D0A21" w:rsidRDefault="007522DE" w:rsidP="007522DE">
      <w:pPr>
        <w:pStyle w:val="ListParagraph"/>
        <w:ind w:left="0"/>
        <w:jc w:val="center"/>
        <w:rPr>
          <w:rFonts w:ascii="Verdana" w:hAnsi="Verdana"/>
          <w:b/>
          <w:sz w:val="20"/>
          <w:szCs w:val="20"/>
          <w:lang w:val="en-US"/>
        </w:rPr>
      </w:pPr>
    </w:p>
    <w:p w14:paraId="13D5EE9D" w14:textId="77777777" w:rsidR="007522DE" w:rsidRPr="002D0A21" w:rsidRDefault="007522DE" w:rsidP="007522DE">
      <w:pPr>
        <w:pStyle w:val="Estilo1"/>
        <w:spacing w:after="0"/>
        <w:rPr>
          <w:rFonts w:ascii="Verdana" w:hAnsi="Verdana"/>
          <w:sz w:val="20"/>
          <w:szCs w:val="20"/>
          <w:lang w:val="en-US"/>
        </w:rPr>
      </w:pPr>
      <w:r>
        <w:rPr>
          <w:rFonts w:ascii="Verdana" w:hAnsi="Verdana"/>
          <w:sz w:val="20"/>
          <w:szCs w:val="20"/>
          <w:lang w:val="en-US"/>
        </w:rPr>
        <w:t>Article</w:t>
      </w:r>
      <w:r w:rsidRPr="002D0A21">
        <w:rPr>
          <w:rFonts w:ascii="Verdana" w:hAnsi="Verdana"/>
          <w:sz w:val="20"/>
          <w:szCs w:val="20"/>
          <w:lang w:val="en-US"/>
        </w:rPr>
        <w:t xml:space="preserve"> 3 establishes:</w:t>
      </w:r>
    </w:p>
    <w:p w14:paraId="112FBB14" w14:textId="77777777" w:rsidR="007522DE" w:rsidRPr="002D0A21" w:rsidRDefault="007522DE" w:rsidP="007522DE">
      <w:pPr>
        <w:pStyle w:val="Estilo1"/>
        <w:numPr>
          <w:ilvl w:val="0"/>
          <w:numId w:val="0"/>
        </w:numPr>
        <w:spacing w:after="0"/>
        <w:rPr>
          <w:rFonts w:ascii="Verdana" w:hAnsi="Verdana"/>
          <w:sz w:val="20"/>
          <w:szCs w:val="20"/>
          <w:lang w:val="en-US"/>
        </w:rPr>
      </w:pPr>
    </w:p>
    <w:p w14:paraId="6F28B106" w14:textId="77777777" w:rsidR="007522DE" w:rsidRPr="002D0A21" w:rsidRDefault="007522DE" w:rsidP="007522DE">
      <w:pPr>
        <w:pStyle w:val="Estilo2"/>
        <w:spacing w:after="0"/>
        <w:rPr>
          <w:rFonts w:ascii="Verdana" w:hAnsi="Verdana"/>
          <w:sz w:val="20"/>
          <w:szCs w:val="20"/>
          <w:lang w:val="en-US"/>
        </w:rPr>
      </w:pPr>
      <w:proofErr w:type="gramStart"/>
      <w:r w:rsidRPr="002D0A21">
        <w:rPr>
          <w:rFonts w:ascii="Verdana" w:hAnsi="Verdana"/>
          <w:sz w:val="20"/>
          <w:szCs w:val="20"/>
          <w:lang w:val="en-US"/>
        </w:rPr>
        <w:t>Article 3.</w:t>
      </w:r>
      <w:proofErr w:type="gramEnd"/>
      <w:r w:rsidRPr="002D0A21">
        <w:rPr>
          <w:rFonts w:ascii="Verdana" w:hAnsi="Verdana"/>
          <w:sz w:val="20"/>
          <w:szCs w:val="20"/>
          <w:lang w:val="en-US"/>
        </w:rPr>
        <w:t xml:space="preserve">  Right to recognition of juridical personality</w:t>
      </w:r>
    </w:p>
    <w:p w14:paraId="071C2D51" w14:textId="77777777" w:rsidR="007522DE" w:rsidRPr="002D0A21" w:rsidRDefault="007522DE" w:rsidP="007522DE">
      <w:pPr>
        <w:pStyle w:val="Estilo2"/>
        <w:spacing w:after="0"/>
        <w:rPr>
          <w:rFonts w:ascii="Verdana" w:hAnsi="Verdana"/>
          <w:sz w:val="16"/>
          <w:szCs w:val="16"/>
          <w:lang w:val="en-US"/>
        </w:rPr>
      </w:pPr>
    </w:p>
    <w:p w14:paraId="5F0332BF" w14:textId="77777777" w:rsidR="007522DE" w:rsidRPr="002D0A21" w:rsidRDefault="007522DE" w:rsidP="007522DE">
      <w:pPr>
        <w:pStyle w:val="Estilo2"/>
        <w:spacing w:after="0"/>
        <w:jc w:val="left"/>
        <w:rPr>
          <w:rFonts w:ascii="Verdana" w:hAnsi="Verdana"/>
          <w:sz w:val="20"/>
          <w:szCs w:val="20"/>
          <w:lang w:val="en-US"/>
        </w:rPr>
      </w:pPr>
      <w:r w:rsidRPr="002D0A21">
        <w:rPr>
          <w:rFonts w:ascii="Verdana" w:hAnsi="Verdana"/>
          <w:spacing w:val="-3"/>
          <w:sz w:val="20"/>
          <w:szCs w:val="20"/>
          <w:lang w:val="en-US"/>
        </w:rPr>
        <w:t>Every person has the right to recognition as a person before the law.</w:t>
      </w:r>
    </w:p>
    <w:p w14:paraId="18BEBDAE" w14:textId="77777777" w:rsidR="007522DE" w:rsidRPr="002D0A21" w:rsidRDefault="007522DE" w:rsidP="007522DE">
      <w:pPr>
        <w:pStyle w:val="Estilo1"/>
        <w:numPr>
          <w:ilvl w:val="0"/>
          <w:numId w:val="0"/>
        </w:numPr>
        <w:spacing w:after="0"/>
        <w:rPr>
          <w:rFonts w:ascii="Verdana" w:hAnsi="Verdana"/>
          <w:sz w:val="20"/>
          <w:szCs w:val="20"/>
          <w:lang w:val="en-US"/>
        </w:rPr>
      </w:pPr>
    </w:p>
    <w:p w14:paraId="687F6C17" w14:textId="77777777" w:rsidR="007522DE" w:rsidRPr="002D0A21" w:rsidRDefault="007522DE" w:rsidP="007522DE">
      <w:pPr>
        <w:pStyle w:val="Estilo1"/>
        <w:numPr>
          <w:ilvl w:val="0"/>
          <w:numId w:val="0"/>
        </w:numPr>
        <w:spacing w:after="0"/>
        <w:rPr>
          <w:rFonts w:ascii="Verdana" w:hAnsi="Verdana"/>
          <w:sz w:val="20"/>
          <w:szCs w:val="20"/>
          <w:lang w:val="en-US"/>
        </w:rPr>
      </w:pPr>
      <w:r w:rsidRPr="002D0A21">
        <w:rPr>
          <w:rFonts w:ascii="Verdana" w:hAnsi="Verdana"/>
          <w:sz w:val="20"/>
          <w:szCs w:val="20"/>
          <w:lang w:val="en-US"/>
        </w:rPr>
        <w:t>Meanwhile, Art</w:t>
      </w:r>
      <w:r>
        <w:rPr>
          <w:rFonts w:ascii="Verdana" w:hAnsi="Verdana"/>
          <w:sz w:val="20"/>
          <w:szCs w:val="20"/>
          <w:lang w:val="en-US"/>
        </w:rPr>
        <w:t>icle</w:t>
      </w:r>
      <w:r w:rsidRPr="002D0A21">
        <w:rPr>
          <w:rFonts w:ascii="Verdana" w:hAnsi="Verdana"/>
          <w:sz w:val="20"/>
          <w:szCs w:val="20"/>
          <w:lang w:val="en-US"/>
        </w:rPr>
        <w:t xml:space="preserve"> 1(2) stipulates:</w:t>
      </w:r>
    </w:p>
    <w:p w14:paraId="7B628AD0" w14:textId="77777777" w:rsidR="007522DE" w:rsidRPr="002D0A21" w:rsidRDefault="007522DE" w:rsidP="007522DE">
      <w:pPr>
        <w:pStyle w:val="Estilo1"/>
        <w:numPr>
          <w:ilvl w:val="0"/>
          <w:numId w:val="0"/>
        </w:numPr>
        <w:spacing w:after="0"/>
        <w:rPr>
          <w:rFonts w:ascii="Verdana" w:hAnsi="Verdana"/>
          <w:sz w:val="20"/>
          <w:szCs w:val="20"/>
          <w:lang w:val="en-US"/>
        </w:rPr>
      </w:pPr>
    </w:p>
    <w:p w14:paraId="0E745350" w14:textId="77777777" w:rsidR="007522DE" w:rsidRPr="002D0A21" w:rsidRDefault="007522DE" w:rsidP="007522DE">
      <w:pPr>
        <w:pStyle w:val="Estilo1"/>
        <w:numPr>
          <w:ilvl w:val="0"/>
          <w:numId w:val="0"/>
        </w:numPr>
        <w:spacing w:after="0"/>
        <w:ind w:left="708"/>
        <w:rPr>
          <w:rFonts w:ascii="Verdana" w:hAnsi="Verdana"/>
          <w:i/>
          <w:sz w:val="20"/>
          <w:szCs w:val="20"/>
          <w:lang w:val="en-US"/>
        </w:rPr>
      </w:pPr>
      <w:r w:rsidRPr="002D0A21">
        <w:rPr>
          <w:rFonts w:ascii="Verdana" w:hAnsi="Verdana"/>
          <w:i/>
          <w:sz w:val="20"/>
          <w:szCs w:val="20"/>
          <w:lang w:val="en-US"/>
        </w:rPr>
        <w:t xml:space="preserve">2. </w:t>
      </w:r>
      <w:r w:rsidRPr="002D0A21">
        <w:rPr>
          <w:rFonts w:ascii="Verdana" w:hAnsi="Verdana"/>
          <w:i/>
          <w:spacing w:val="-3"/>
          <w:sz w:val="20"/>
          <w:szCs w:val="20"/>
          <w:lang w:val="en-US"/>
        </w:rPr>
        <w:t>For the purposes of this Convention, "person" means every human being</w:t>
      </w:r>
      <w:r w:rsidRPr="002D0A21">
        <w:rPr>
          <w:rFonts w:ascii="Verdana" w:hAnsi="Verdana"/>
          <w:i/>
          <w:sz w:val="20"/>
          <w:szCs w:val="20"/>
          <w:lang w:val="en-US"/>
        </w:rPr>
        <w:t>.</w:t>
      </w:r>
    </w:p>
    <w:p w14:paraId="1FACE062" w14:textId="77777777" w:rsidR="007522DE" w:rsidRPr="002D0A21" w:rsidRDefault="007522DE" w:rsidP="007522DE">
      <w:pPr>
        <w:pStyle w:val="Estilo1"/>
        <w:numPr>
          <w:ilvl w:val="0"/>
          <w:numId w:val="0"/>
        </w:numPr>
        <w:spacing w:after="0"/>
        <w:rPr>
          <w:rFonts w:ascii="Verdana" w:hAnsi="Verdana"/>
          <w:i/>
          <w:sz w:val="20"/>
          <w:szCs w:val="20"/>
          <w:lang w:val="en-US"/>
        </w:rPr>
      </w:pPr>
    </w:p>
    <w:p w14:paraId="4628CB8B"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Significantly, neither of these provisions has been transcribed in the text of the judgment. Perhaps the reason for this unjustified omission is the fact that it is sufficient to read Article 3 and Article 1(2) to note that the right to recognition of juridical personality is one of the “rights and guarantees that are inherent</w:t>
      </w:r>
      <w:r w:rsidRPr="002D0A21">
        <w:rPr>
          <w:rFonts w:ascii="Verdana" w:eastAsia="Times New Roman" w:hAnsi="Verdana"/>
          <w:color w:val="000000"/>
          <w:sz w:val="20"/>
          <w:szCs w:val="20"/>
          <w:lang w:val="en-US"/>
        </w:rPr>
        <w:t xml:space="preserve"> </w:t>
      </w:r>
      <w:r w:rsidRPr="002D0A21">
        <w:rPr>
          <w:rFonts w:ascii="Verdana" w:eastAsia="Times New Roman" w:hAnsi="Verdana"/>
          <w:i/>
          <w:color w:val="000000"/>
          <w:sz w:val="20"/>
          <w:szCs w:val="20"/>
          <w:lang w:val="en-US"/>
        </w:rPr>
        <w:t xml:space="preserve">in the human </w:t>
      </w:r>
      <w:r>
        <w:rPr>
          <w:rFonts w:ascii="Verdana" w:eastAsia="Times New Roman" w:hAnsi="Verdana"/>
          <w:i/>
          <w:color w:val="000000"/>
          <w:sz w:val="20"/>
          <w:szCs w:val="20"/>
          <w:lang w:val="en-US"/>
        </w:rPr>
        <w:t>being</w:t>
      </w:r>
      <w:r w:rsidRPr="002D0A21">
        <w:rPr>
          <w:rFonts w:ascii="Verdana" w:eastAsia="Times New Roman" w:hAnsi="Verdana"/>
          <w:color w:val="000000"/>
          <w:sz w:val="20"/>
          <w:szCs w:val="20"/>
          <w:lang w:val="en-US"/>
        </w:rPr>
        <w:t>” (A</w:t>
      </w:r>
      <w:r>
        <w:rPr>
          <w:rFonts w:ascii="Verdana" w:eastAsia="Times New Roman" w:hAnsi="Verdana"/>
          <w:color w:val="000000"/>
          <w:sz w:val="20"/>
          <w:szCs w:val="20"/>
          <w:lang w:val="en-US"/>
        </w:rPr>
        <w:t>rticle</w:t>
      </w:r>
      <w:r w:rsidRPr="002D0A21">
        <w:rPr>
          <w:rFonts w:ascii="Verdana" w:eastAsia="Times New Roman" w:hAnsi="Verdana"/>
          <w:color w:val="000000"/>
          <w:sz w:val="20"/>
          <w:szCs w:val="20"/>
          <w:lang w:val="en-US"/>
        </w:rPr>
        <w:t xml:space="preserve"> 29(c)), that cannot be suspended in states of emergency </w:t>
      </w:r>
      <w:r w:rsidRPr="002D0A21">
        <w:rPr>
          <w:rFonts w:ascii="Verdana" w:hAnsi="Verdana"/>
          <w:sz w:val="20"/>
          <w:szCs w:val="20"/>
          <w:lang w:val="en-US"/>
        </w:rPr>
        <w:t>(</w:t>
      </w:r>
      <w:r>
        <w:rPr>
          <w:rFonts w:ascii="Verdana" w:hAnsi="Verdana"/>
          <w:sz w:val="20"/>
          <w:szCs w:val="20"/>
          <w:lang w:val="en-US"/>
        </w:rPr>
        <w:t>Article</w:t>
      </w:r>
      <w:r w:rsidRPr="002D0A21">
        <w:rPr>
          <w:rFonts w:ascii="Verdana" w:hAnsi="Verdana"/>
          <w:sz w:val="20"/>
          <w:szCs w:val="20"/>
          <w:lang w:val="en-US"/>
        </w:rPr>
        <w:t xml:space="preserve"> 27(2)).</w:t>
      </w:r>
    </w:p>
    <w:p w14:paraId="26157953" w14:textId="77777777" w:rsidR="007522DE" w:rsidRPr="002D0A21" w:rsidRDefault="007522DE" w:rsidP="007522DE">
      <w:pPr>
        <w:pStyle w:val="Estilo1"/>
        <w:numPr>
          <w:ilvl w:val="0"/>
          <w:numId w:val="0"/>
        </w:numPr>
        <w:spacing w:after="0"/>
        <w:rPr>
          <w:rFonts w:ascii="Verdana" w:hAnsi="Verdana"/>
          <w:sz w:val="20"/>
          <w:szCs w:val="20"/>
          <w:lang w:val="en-US"/>
        </w:rPr>
      </w:pPr>
    </w:p>
    <w:p w14:paraId="20DC3939"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 xml:space="preserve">Consequently, Article 3 cannot serve as grounds for granting or recognizing </w:t>
      </w:r>
      <w:r w:rsidRPr="00A76963">
        <w:rPr>
          <w:rFonts w:ascii="Verdana" w:hAnsi="Verdana"/>
          <w:i/>
          <w:sz w:val="20"/>
          <w:szCs w:val="20"/>
          <w:lang w:val="en-US"/>
        </w:rPr>
        <w:t>legal status</w:t>
      </w:r>
      <w:r w:rsidRPr="00A76963">
        <w:rPr>
          <w:rFonts w:ascii="Verdana" w:hAnsi="Verdana"/>
          <w:sz w:val="20"/>
          <w:szCs w:val="20"/>
          <w:lang w:val="en-US"/>
        </w:rPr>
        <w:t xml:space="preserve"> </w:t>
      </w:r>
      <w:r w:rsidRPr="00EE5175">
        <w:rPr>
          <w:rFonts w:ascii="Verdana" w:hAnsi="Verdana"/>
          <w:i/>
          <w:sz w:val="20"/>
          <w:szCs w:val="20"/>
          <w:lang w:val="en-US"/>
        </w:rPr>
        <w:t>[</w:t>
      </w:r>
      <w:r w:rsidRPr="002D0A21">
        <w:rPr>
          <w:rFonts w:ascii="Verdana" w:hAnsi="Verdana"/>
          <w:i/>
          <w:sz w:val="20"/>
          <w:szCs w:val="20"/>
          <w:lang w:val="en-US"/>
        </w:rPr>
        <w:t>personería</w:t>
      </w:r>
      <w:r w:rsidRPr="002D0A21">
        <w:rPr>
          <w:rFonts w:ascii="Verdana" w:hAnsi="Verdana"/>
          <w:sz w:val="20"/>
          <w:szCs w:val="20"/>
          <w:lang w:val="en-US"/>
        </w:rPr>
        <w:t xml:space="preserve"> </w:t>
      </w:r>
      <w:r w:rsidRPr="002D0A21">
        <w:rPr>
          <w:rFonts w:ascii="Verdana" w:hAnsi="Verdana"/>
          <w:i/>
          <w:sz w:val="20"/>
          <w:szCs w:val="20"/>
          <w:lang w:val="en-US"/>
        </w:rPr>
        <w:t xml:space="preserve">jurídica] </w:t>
      </w:r>
      <w:r w:rsidRPr="002D0A21">
        <w:rPr>
          <w:rFonts w:ascii="Verdana" w:hAnsi="Verdana"/>
          <w:sz w:val="20"/>
          <w:szCs w:val="20"/>
          <w:lang w:val="en-US"/>
        </w:rPr>
        <w:t xml:space="preserve">to groups or collective entities, whether or not they are indigenous or tribal peoples or communities. </w:t>
      </w:r>
    </w:p>
    <w:p w14:paraId="3B8C11E7" w14:textId="77777777" w:rsidR="007522DE" w:rsidRPr="002D0A21" w:rsidRDefault="007522DE" w:rsidP="007522DE">
      <w:pPr>
        <w:pStyle w:val="Estilo1"/>
        <w:numPr>
          <w:ilvl w:val="0"/>
          <w:numId w:val="0"/>
        </w:numPr>
        <w:spacing w:after="0"/>
        <w:rPr>
          <w:rFonts w:ascii="Verdana" w:hAnsi="Verdana"/>
          <w:sz w:val="20"/>
          <w:szCs w:val="20"/>
          <w:lang w:val="en-US"/>
        </w:rPr>
      </w:pPr>
    </w:p>
    <w:p w14:paraId="0797AEBA" w14:textId="77777777" w:rsidR="007522DE" w:rsidRPr="002D0A21" w:rsidRDefault="007522DE" w:rsidP="007522DE">
      <w:pPr>
        <w:pStyle w:val="Estilo1"/>
        <w:spacing w:after="0"/>
        <w:rPr>
          <w:rFonts w:ascii="Verdana" w:hAnsi="Verdana"/>
          <w:sz w:val="20"/>
          <w:szCs w:val="20"/>
          <w:lang w:val="en-US"/>
        </w:rPr>
      </w:pPr>
      <w:r>
        <w:rPr>
          <w:rFonts w:ascii="Verdana" w:hAnsi="Verdana"/>
          <w:sz w:val="20"/>
          <w:szCs w:val="20"/>
          <w:lang w:val="en-US"/>
        </w:rPr>
        <w:t>R</w:t>
      </w:r>
      <w:r w:rsidRPr="002D0A21">
        <w:rPr>
          <w:rFonts w:ascii="Verdana" w:hAnsi="Verdana"/>
          <w:sz w:val="20"/>
          <w:szCs w:val="20"/>
          <w:lang w:val="en-US"/>
        </w:rPr>
        <w:t xml:space="preserve">ecognition of juridical personality to the individual human </w:t>
      </w:r>
      <w:proofErr w:type="gramStart"/>
      <w:r w:rsidRPr="002D0A21">
        <w:rPr>
          <w:rFonts w:ascii="Verdana" w:hAnsi="Verdana"/>
          <w:sz w:val="20"/>
          <w:szCs w:val="20"/>
          <w:lang w:val="en-US"/>
        </w:rPr>
        <w:t>beings</w:t>
      </w:r>
      <w:proofErr w:type="gramEnd"/>
      <w:r w:rsidRPr="002D0A21">
        <w:rPr>
          <w:rFonts w:ascii="Verdana" w:hAnsi="Verdana"/>
          <w:sz w:val="20"/>
          <w:szCs w:val="20"/>
          <w:lang w:val="en-US"/>
        </w:rPr>
        <w:t xml:space="preserve"> who compose that people or community, as the </w:t>
      </w:r>
      <w:r w:rsidRPr="00A76963">
        <w:rPr>
          <w:rFonts w:ascii="Verdana" w:hAnsi="Verdana"/>
          <w:sz w:val="20"/>
          <w:szCs w:val="20"/>
          <w:lang w:val="en-US"/>
        </w:rPr>
        <w:t>Court d</w:t>
      </w:r>
      <w:r>
        <w:rPr>
          <w:rFonts w:ascii="Verdana" w:hAnsi="Verdana"/>
          <w:sz w:val="20"/>
          <w:szCs w:val="20"/>
          <w:lang w:val="en-US"/>
        </w:rPr>
        <w:t>id</w:t>
      </w:r>
      <w:r w:rsidRPr="00A76963">
        <w:rPr>
          <w:rFonts w:ascii="Verdana" w:hAnsi="Verdana"/>
          <w:sz w:val="20"/>
          <w:szCs w:val="20"/>
          <w:lang w:val="en-US"/>
        </w:rPr>
        <w:t xml:space="preserve"> in</w:t>
      </w:r>
      <w:r w:rsidRPr="002D0A21">
        <w:rPr>
          <w:rFonts w:ascii="Verdana" w:hAnsi="Verdana"/>
          <w:sz w:val="20"/>
          <w:szCs w:val="20"/>
          <w:lang w:val="en-US"/>
        </w:rPr>
        <w:t xml:space="preserve"> the case of the </w:t>
      </w:r>
      <w:r w:rsidRPr="002D0A21">
        <w:rPr>
          <w:rFonts w:ascii="Verdana" w:hAnsi="Verdana"/>
          <w:i/>
          <w:sz w:val="20"/>
          <w:szCs w:val="20"/>
          <w:lang w:val="en-US"/>
        </w:rPr>
        <w:t>Sawhoyamaxa Indigenous Community,</w:t>
      </w:r>
      <w:r>
        <w:rPr>
          <w:rFonts w:ascii="Verdana" w:hAnsi="Verdana"/>
          <w:i/>
          <w:sz w:val="20"/>
          <w:szCs w:val="20"/>
          <w:lang w:val="en-US"/>
        </w:rPr>
        <w:t xml:space="preserve"> </w:t>
      </w:r>
      <w:r w:rsidRPr="002D0A21">
        <w:rPr>
          <w:rFonts w:ascii="Verdana" w:hAnsi="Verdana"/>
          <w:sz w:val="20"/>
          <w:szCs w:val="20"/>
          <w:lang w:val="en-US"/>
        </w:rPr>
        <w:t>is a different matter</w:t>
      </w:r>
      <w:r>
        <w:rPr>
          <w:rFonts w:ascii="Verdana" w:hAnsi="Verdana"/>
          <w:sz w:val="20"/>
          <w:szCs w:val="20"/>
          <w:lang w:val="en-US"/>
        </w:rPr>
        <w:t>. In that case,</w:t>
      </w:r>
      <w:r w:rsidRPr="002D0A21">
        <w:rPr>
          <w:rFonts w:ascii="Verdana" w:hAnsi="Verdana"/>
          <w:sz w:val="20"/>
          <w:szCs w:val="20"/>
          <w:lang w:val="en-US"/>
        </w:rPr>
        <w:t xml:space="preserve"> it declared that Article 3 had been violated </w:t>
      </w:r>
      <w:r w:rsidRPr="002D0A21">
        <w:rPr>
          <w:rFonts w:ascii="Verdana" w:hAnsi="Verdana"/>
          <w:sz w:val="20"/>
          <w:szCs w:val="20"/>
          <w:lang w:val="en-US"/>
        </w:rPr>
        <w:lastRenderedPageBreak/>
        <w:t>to the detriment of several individual members of this community who “</w:t>
      </w:r>
      <w:r w:rsidRPr="002D0A21">
        <w:rPr>
          <w:rFonts w:ascii="Verdana" w:hAnsi="Verdana"/>
          <w:i/>
          <w:sz w:val="20"/>
          <w:szCs w:val="20"/>
          <w:lang w:val="en-US"/>
        </w:rPr>
        <w:t>did not have records of their birth and death, or any other document provided by the State that could prove their existence and identity.”</w:t>
      </w:r>
      <w:r w:rsidRPr="002D0A21">
        <w:rPr>
          <w:rFonts w:ascii="Verdana" w:hAnsi="Verdana"/>
          <w:sz w:val="20"/>
          <w:szCs w:val="20"/>
          <w:lang w:val="en-US"/>
        </w:rPr>
        <w:t xml:space="preserve"> The Court stated:</w:t>
      </w:r>
    </w:p>
    <w:p w14:paraId="6116C6F2" w14:textId="77777777" w:rsidR="007522DE" w:rsidRPr="002D0A21" w:rsidRDefault="007522DE" w:rsidP="007522DE">
      <w:pPr>
        <w:pStyle w:val="Estilo1"/>
        <w:numPr>
          <w:ilvl w:val="0"/>
          <w:numId w:val="0"/>
        </w:numPr>
        <w:spacing w:after="0"/>
        <w:rPr>
          <w:rFonts w:ascii="Verdana" w:hAnsi="Verdana"/>
          <w:sz w:val="20"/>
          <w:szCs w:val="20"/>
          <w:lang w:val="en-US"/>
        </w:rPr>
      </w:pPr>
    </w:p>
    <w:p w14:paraId="41DB26A7" w14:textId="77777777" w:rsidR="007522DE" w:rsidRPr="002D0A21" w:rsidRDefault="007522DE" w:rsidP="007522DE">
      <w:pPr>
        <w:pStyle w:val="Estilo3"/>
        <w:spacing w:after="0"/>
        <w:ind w:right="-64"/>
        <w:rPr>
          <w:rFonts w:ascii="Verdana" w:hAnsi="Verdana"/>
          <w:i w:val="0"/>
          <w:sz w:val="20"/>
          <w:szCs w:val="20"/>
          <w:lang w:val="en-US"/>
        </w:rPr>
      </w:pPr>
      <w:r w:rsidRPr="002D0A21">
        <w:rPr>
          <w:rFonts w:ascii="Verdana" w:hAnsi="Verdana"/>
          <w:i w:val="0"/>
          <w:sz w:val="20"/>
          <w:szCs w:val="20"/>
          <w:lang w:val="en-US"/>
        </w:rPr>
        <w:t xml:space="preserve">188. </w:t>
      </w:r>
      <w:r w:rsidRPr="002D0A21">
        <w:rPr>
          <w:rFonts w:ascii="Verdana" w:eastAsia="Times New Roman" w:hAnsi="Verdana" w:cs="Arial"/>
          <w:i w:val="0"/>
          <w:sz w:val="20"/>
          <w:szCs w:val="20"/>
          <w:lang w:val="en-US"/>
        </w:rPr>
        <w:t>The right to recognition of</w:t>
      </w:r>
      <w:r>
        <w:rPr>
          <w:rFonts w:ascii="Verdana" w:eastAsia="Times New Roman" w:hAnsi="Verdana" w:cs="Arial"/>
          <w:i w:val="0"/>
          <w:sz w:val="20"/>
          <w:szCs w:val="20"/>
          <w:lang w:val="en-US"/>
        </w:rPr>
        <w:t xml:space="preserve"> juridical</w:t>
      </w:r>
      <w:r w:rsidRPr="002D0A21">
        <w:rPr>
          <w:rFonts w:ascii="Verdana" w:eastAsia="Times New Roman" w:hAnsi="Verdana" w:cs="Arial"/>
          <w:i w:val="0"/>
          <w:sz w:val="20"/>
          <w:szCs w:val="20"/>
          <w:lang w:val="en-US"/>
        </w:rPr>
        <w:t xml:space="preserve"> personality before the law represents a parameter to determine whether a person is entitled to any given rights and whether such a person can enforce such rights. The breach of such recognition implies the absolute denial of the possibility of being a holder of such rights and of assuming obligations, and renders the individual vulnerable to the non-observance of the same by the State or by individuals.</w:t>
      </w:r>
    </w:p>
    <w:p w14:paraId="0F66AE5C" w14:textId="77777777" w:rsidR="007522DE" w:rsidRPr="002D0A21" w:rsidRDefault="007522DE" w:rsidP="007522DE">
      <w:pPr>
        <w:pStyle w:val="Estilo3"/>
        <w:spacing w:after="0"/>
        <w:ind w:left="0" w:right="-64"/>
        <w:rPr>
          <w:rFonts w:ascii="Verdana" w:hAnsi="Verdana"/>
          <w:i w:val="0"/>
          <w:sz w:val="20"/>
          <w:szCs w:val="20"/>
          <w:lang w:val="en-US"/>
        </w:rPr>
      </w:pPr>
    </w:p>
    <w:p w14:paraId="713BC328" w14:textId="77777777" w:rsidR="007522DE" w:rsidRPr="002D0A21" w:rsidRDefault="007522DE" w:rsidP="007522DE">
      <w:pPr>
        <w:pStyle w:val="Estilo3"/>
        <w:spacing w:after="0"/>
        <w:ind w:right="-64"/>
        <w:rPr>
          <w:rFonts w:ascii="Verdana" w:hAnsi="Verdana"/>
          <w:i w:val="0"/>
          <w:sz w:val="20"/>
          <w:szCs w:val="20"/>
          <w:lang w:val="en-US"/>
        </w:rPr>
      </w:pPr>
      <w:r w:rsidRPr="002D0A21">
        <w:rPr>
          <w:rFonts w:ascii="Verdana" w:hAnsi="Verdana"/>
          <w:i w:val="0"/>
          <w:sz w:val="20"/>
          <w:szCs w:val="20"/>
          <w:lang w:val="en-US"/>
        </w:rPr>
        <w:t xml:space="preserve">189. </w:t>
      </w:r>
      <w:r w:rsidRPr="002D0A21">
        <w:rPr>
          <w:rFonts w:ascii="Verdana" w:eastAsia="Times New Roman" w:hAnsi="Verdana" w:cs="Arial"/>
          <w:i w:val="0"/>
          <w:sz w:val="20"/>
          <w:szCs w:val="20"/>
          <w:lang w:val="en-US"/>
        </w:rPr>
        <w:t xml:space="preserve">The State has a duty to provide the general legal conditions and </w:t>
      </w:r>
      <w:r>
        <w:rPr>
          <w:rFonts w:ascii="Verdana" w:eastAsia="Times New Roman" w:hAnsi="Verdana" w:cs="Arial"/>
          <w:i w:val="0"/>
          <w:sz w:val="20"/>
          <w:szCs w:val="20"/>
          <w:lang w:val="en-US"/>
        </w:rPr>
        <w:t>resources</w:t>
      </w:r>
      <w:r w:rsidRPr="002D0A21">
        <w:rPr>
          <w:rFonts w:ascii="Verdana" w:eastAsia="Times New Roman" w:hAnsi="Verdana" w:cs="Arial"/>
          <w:i w:val="0"/>
          <w:sz w:val="20"/>
          <w:szCs w:val="20"/>
          <w:lang w:val="en-US"/>
        </w:rPr>
        <w:t>, so that the right to recognition of juridical personality may be exercised by its holders. In particular, the State is bound to ensure to those persons in situations of vulnerability, exclusion and discrimination, the legal and administrative conditions</w:t>
      </w:r>
      <w:r w:rsidRPr="002D0A21">
        <w:rPr>
          <w:rFonts w:ascii="Verdana" w:hAnsi="Verdana" w:cs="Arial"/>
          <w:i w:val="0"/>
          <w:sz w:val="20"/>
          <w:szCs w:val="20"/>
          <w:lang w:val="en-US"/>
        </w:rPr>
        <w:t xml:space="preserve"> </w:t>
      </w:r>
      <w:r w:rsidRPr="002D0A21">
        <w:rPr>
          <w:rFonts w:ascii="Verdana" w:eastAsia="Times New Roman" w:hAnsi="Verdana" w:cs="Arial"/>
          <w:i w:val="0"/>
          <w:sz w:val="20"/>
          <w:szCs w:val="20"/>
          <w:lang w:val="en-US"/>
        </w:rPr>
        <w:t>that may secure for them the exercise of such right, pursuant to the principle of equality under the law.</w:t>
      </w:r>
    </w:p>
    <w:p w14:paraId="1CBAB72A" w14:textId="77777777" w:rsidR="007522DE" w:rsidRPr="002D0A21" w:rsidRDefault="007522DE" w:rsidP="007522DE">
      <w:pPr>
        <w:pStyle w:val="Estilo3"/>
        <w:spacing w:after="0"/>
        <w:ind w:right="-64"/>
        <w:rPr>
          <w:rFonts w:ascii="Verdana" w:hAnsi="Verdana"/>
          <w:i w:val="0"/>
          <w:sz w:val="20"/>
          <w:szCs w:val="20"/>
          <w:lang w:val="en-US"/>
        </w:rPr>
      </w:pPr>
    </w:p>
    <w:p w14:paraId="421193CF" w14:textId="77777777" w:rsidR="007522DE" w:rsidRPr="002D0A21" w:rsidRDefault="007522DE" w:rsidP="007522DE">
      <w:pPr>
        <w:pStyle w:val="Estilo3"/>
        <w:spacing w:after="0"/>
        <w:ind w:right="-64"/>
        <w:rPr>
          <w:rFonts w:ascii="Verdana" w:hAnsi="Verdana"/>
          <w:i w:val="0"/>
          <w:sz w:val="20"/>
          <w:szCs w:val="20"/>
          <w:lang w:val="en-US"/>
        </w:rPr>
      </w:pPr>
      <w:r w:rsidRPr="002D0A21">
        <w:rPr>
          <w:rFonts w:ascii="Verdana" w:hAnsi="Verdana"/>
          <w:i w:val="0"/>
          <w:sz w:val="20"/>
          <w:szCs w:val="20"/>
          <w:lang w:val="en-US"/>
        </w:rPr>
        <w:t xml:space="preserve">190.  </w:t>
      </w:r>
      <w:r w:rsidRPr="002D0A21">
        <w:rPr>
          <w:rFonts w:ascii="Verdana" w:eastAsia="Times New Roman" w:hAnsi="Verdana" w:cs="Arial"/>
          <w:i w:val="0"/>
          <w:sz w:val="20"/>
          <w:szCs w:val="20"/>
          <w:lang w:val="en-US"/>
        </w:rPr>
        <w:t>In the instant case, the Court has considered proved that 18 of the 19 members of the Sawhoyamaxa Community who died as a result of the State’s failure to comply with its preventive duty regarding their right to life</w:t>
      </w:r>
      <w:r>
        <w:rPr>
          <w:rFonts w:ascii="Verdana" w:eastAsia="Times New Roman" w:hAnsi="Verdana" w:cs="Arial"/>
          <w:i w:val="0"/>
          <w:sz w:val="20"/>
          <w:szCs w:val="20"/>
          <w:lang w:val="en-US"/>
        </w:rPr>
        <w:t xml:space="preserve"> (</w:t>
      </w:r>
      <w:r>
        <w:rPr>
          <w:rFonts w:ascii="Verdana" w:eastAsia="Times New Roman" w:hAnsi="Verdana" w:cs="Arial"/>
          <w:sz w:val="20"/>
          <w:szCs w:val="20"/>
          <w:lang w:val="en-US"/>
        </w:rPr>
        <w:t xml:space="preserve">supra </w:t>
      </w:r>
      <w:r>
        <w:rPr>
          <w:rFonts w:ascii="Verdana" w:eastAsia="Times New Roman" w:hAnsi="Verdana" w:cs="Arial"/>
          <w:i w:val="0"/>
          <w:sz w:val="20"/>
          <w:szCs w:val="20"/>
          <w:lang w:val="en-US"/>
        </w:rPr>
        <w:t>para. 178)</w:t>
      </w:r>
      <w:r w:rsidRPr="002D0A21">
        <w:rPr>
          <w:rFonts w:ascii="Verdana" w:eastAsia="Times New Roman" w:hAnsi="Verdana" w:cs="Arial"/>
          <w:i w:val="0"/>
          <w:sz w:val="20"/>
          <w:szCs w:val="20"/>
          <w:lang w:val="en-US"/>
        </w:rPr>
        <w:t>, did not have any birth or death records, or any other document provided by the State able to prove their existence and identity</w:t>
      </w:r>
      <w:r w:rsidRPr="002D0A21">
        <w:rPr>
          <w:rFonts w:ascii="Verdana" w:hAnsi="Verdana"/>
          <w:i w:val="0"/>
          <w:sz w:val="20"/>
          <w:szCs w:val="20"/>
          <w:lang w:val="en-US"/>
        </w:rPr>
        <w:t>.</w:t>
      </w:r>
      <w:r w:rsidRPr="002D0A21" w:rsidDel="00FE36AA">
        <w:rPr>
          <w:rFonts w:ascii="Verdana" w:hAnsi="Verdana"/>
          <w:i w:val="0"/>
          <w:sz w:val="20"/>
          <w:szCs w:val="20"/>
          <w:lang w:val="en-US"/>
        </w:rPr>
        <w:t xml:space="preserve"> </w:t>
      </w:r>
      <w:r w:rsidRPr="002D0A21">
        <w:rPr>
          <w:rFonts w:ascii="Verdana" w:hAnsi="Verdana"/>
          <w:i w:val="0"/>
          <w:sz w:val="20"/>
          <w:szCs w:val="20"/>
          <w:lang w:val="en-US"/>
        </w:rPr>
        <w:t>(…)</w:t>
      </w:r>
    </w:p>
    <w:p w14:paraId="376045F7" w14:textId="77777777" w:rsidR="007522DE" w:rsidRPr="002D0A21" w:rsidRDefault="007522DE" w:rsidP="007522DE">
      <w:pPr>
        <w:pStyle w:val="Estilo3"/>
        <w:spacing w:after="0"/>
        <w:ind w:right="-64"/>
        <w:rPr>
          <w:rFonts w:ascii="Verdana" w:hAnsi="Verdana"/>
          <w:i w:val="0"/>
          <w:sz w:val="20"/>
          <w:szCs w:val="20"/>
          <w:lang w:val="en-US"/>
        </w:rPr>
      </w:pPr>
    </w:p>
    <w:p w14:paraId="0368DF70" w14:textId="77777777" w:rsidR="007522DE" w:rsidRPr="002D0A21" w:rsidRDefault="007522DE" w:rsidP="007522DE">
      <w:pPr>
        <w:pStyle w:val="Estilo3"/>
        <w:spacing w:after="0"/>
        <w:ind w:right="-64"/>
        <w:rPr>
          <w:rFonts w:ascii="Verdana" w:hAnsi="Verdana"/>
          <w:sz w:val="20"/>
          <w:szCs w:val="20"/>
          <w:lang w:val="en-US"/>
        </w:rPr>
      </w:pPr>
      <w:r w:rsidRPr="002D0A21">
        <w:rPr>
          <w:rFonts w:ascii="Verdana" w:hAnsi="Verdana"/>
          <w:i w:val="0"/>
          <w:sz w:val="20"/>
          <w:szCs w:val="20"/>
          <w:lang w:val="en-US"/>
        </w:rPr>
        <w:t>194.</w:t>
      </w:r>
      <w:r w:rsidRPr="002D0A21">
        <w:rPr>
          <w:rFonts w:ascii="Verdana" w:hAnsi="Verdana"/>
          <w:sz w:val="20"/>
          <w:szCs w:val="20"/>
          <w:lang w:val="en-US"/>
        </w:rPr>
        <w:t xml:space="preserve"> </w:t>
      </w:r>
      <w:r w:rsidRPr="002D0A21">
        <w:rPr>
          <w:rFonts w:ascii="Verdana" w:eastAsia="Times New Roman" w:hAnsi="Verdana" w:cs="Arial"/>
          <w:sz w:val="20"/>
          <w:szCs w:val="20"/>
          <w:lang w:val="en-US"/>
        </w:rPr>
        <w:t>Based on the above considerations, and notwithstanding the fact that other members of the Community may be in the same situation, the Court finds that the State violated the right to recognition of juridical personality recognized in Article 3 of the American Convention, to the detriment of NN Galarza, Rosana López, Eduardo Cáceres, Eulalio Cáceres, Esteban González</w:t>
      </w:r>
      <w:r>
        <w:rPr>
          <w:rFonts w:ascii="Verdana" w:eastAsia="Times New Roman" w:hAnsi="Verdana" w:cs="Arial"/>
          <w:sz w:val="20"/>
          <w:szCs w:val="20"/>
          <w:lang w:val="en-US"/>
        </w:rPr>
        <w:t xml:space="preserve"> </w:t>
      </w:r>
      <w:r w:rsidRPr="002D0A21">
        <w:rPr>
          <w:rFonts w:ascii="Verdana" w:eastAsia="Times New Roman" w:hAnsi="Verdana" w:cs="Arial"/>
          <w:sz w:val="20"/>
          <w:szCs w:val="20"/>
          <w:lang w:val="en-US"/>
        </w:rPr>
        <w:t>Aponte, NN González</w:t>
      </w:r>
      <w:r>
        <w:rPr>
          <w:rFonts w:ascii="Verdana" w:eastAsia="Times New Roman" w:hAnsi="Verdana" w:cs="Arial"/>
          <w:sz w:val="20"/>
          <w:szCs w:val="20"/>
          <w:lang w:val="en-US"/>
        </w:rPr>
        <w:t xml:space="preserve"> </w:t>
      </w:r>
      <w:r w:rsidRPr="002D0A21">
        <w:rPr>
          <w:rFonts w:ascii="Verdana" w:eastAsia="Times New Roman" w:hAnsi="Verdana" w:cs="Arial"/>
          <w:sz w:val="20"/>
          <w:szCs w:val="20"/>
          <w:lang w:val="en-US"/>
        </w:rPr>
        <w:t>Aponte, NN Yegros, Jenny Toledo, Guido Ruiz-Díaz, NN González, Luis Torres-Chávez, Diego Andrés Ayala, Francisca Britez, Silvia Adela Chávez, Derlis Armando Torres, Juan Ramón González, Arnaldo Galarza and Fátima Galarza.</w:t>
      </w:r>
      <w:r w:rsidRPr="002D0A21">
        <w:rPr>
          <w:rStyle w:val="FootnoteReference"/>
          <w:i w:val="0"/>
          <w:szCs w:val="20"/>
          <w:lang w:val="en-US"/>
        </w:rPr>
        <w:footnoteReference w:id="367"/>
      </w:r>
    </w:p>
    <w:p w14:paraId="695082D5" w14:textId="77777777" w:rsidR="007522DE" w:rsidRPr="002D0A21" w:rsidRDefault="007522DE" w:rsidP="007522DE">
      <w:pPr>
        <w:pStyle w:val="Estilo3"/>
        <w:spacing w:after="0"/>
        <w:ind w:right="-64"/>
        <w:rPr>
          <w:rFonts w:ascii="Verdana" w:hAnsi="Verdana"/>
          <w:sz w:val="20"/>
          <w:szCs w:val="20"/>
          <w:lang w:val="en-US"/>
        </w:rPr>
      </w:pPr>
    </w:p>
    <w:p w14:paraId="50B81998" w14:textId="77777777" w:rsidR="007522DE" w:rsidRPr="002D0A21" w:rsidRDefault="007522DE" w:rsidP="007522DE">
      <w:pPr>
        <w:pStyle w:val="Estilo1"/>
        <w:rPr>
          <w:rFonts w:ascii="Verdana" w:hAnsi="Verdana"/>
          <w:sz w:val="20"/>
          <w:szCs w:val="20"/>
          <w:lang w:val="en-US"/>
        </w:rPr>
      </w:pPr>
      <w:r w:rsidRPr="002D0A21">
        <w:rPr>
          <w:rFonts w:ascii="Verdana" w:hAnsi="Verdana"/>
          <w:sz w:val="20"/>
          <w:szCs w:val="20"/>
          <w:lang w:val="en-US"/>
        </w:rPr>
        <w:t xml:space="preserve">Article 3 has also been interpreted and applied correctly – that is, as a fundamental right of all human beings – in numerous cases. For example, in the </w:t>
      </w:r>
      <w:r w:rsidRPr="002D0A21">
        <w:rPr>
          <w:rFonts w:ascii="Verdana" w:hAnsi="Verdana"/>
          <w:i/>
          <w:sz w:val="20"/>
          <w:szCs w:val="20"/>
          <w:lang w:val="en-US"/>
        </w:rPr>
        <w:t>Case of the Yean and Bosico Girls v. Dominican Republic</w:t>
      </w:r>
      <w:r w:rsidRPr="002D0A21" w:rsidDel="00FE36AA">
        <w:rPr>
          <w:rFonts w:ascii="Verdana" w:hAnsi="Verdana"/>
          <w:i/>
          <w:sz w:val="20"/>
          <w:szCs w:val="20"/>
          <w:lang w:val="en-US"/>
        </w:rPr>
        <w:t xml:space="preserve"> </w:t>
      </w:r>
      <w:r w:rsidRPr="002D0A21">
        <w:rPr>
          <w:rFonts w:ascii="Verdana" w:hAnsi="Verdana"/>
          <w:sz w:val="20"/>
          <w:szCs w:val="20"/>
          <w:lang w:val="en-US"/>
        </w:rPr>
        <w:t xml:space="preserve">the Court decided as follows: </w:t>
      </w:r>
    </w:p>
    <w:p w14:paraId="41BAAB7E" w14:textId="77777777" w:rsidR="007522DE" w:rsidRPr="00797250" w:rsidRDefault="007522DE" w:rsidP="007522DE">
      <w:pPr>
        <w:ind w:left="708" w:right="-64"/>
        <w:jc w:val="both"/>
        <w:rPr>
          <w:rFonts w:ascii="Verdana" w:eastAsia="Times New Roman" w:hAnsi="Verdana" w:cs="Arial"/>
          <w:sz w:val="20"/>
          <w:szCs w:val="20"/>
          <w:lang w:val="en-US"/>
        </w:rPr>
      </w:pPr>
      <w:r w:rsidRPr="00797250">
        <w:rPr>
          <w:rFonts w:ascii="Verdana" w:eastAsia="Times New Roman" w:hAnsi="Verdana" w:cs="Arial"/>
          <w:sz w:val="20"/>
          <w:szCs w:val="20"/>
          <w:lang w:val="en-US"/>
        </w:rPr>
        <w:t xml:space="preserve">178. A stateless person, </w:t>
      </w:r>
      <w:r w:rsidRPr="00797250">
        <w:rPr>
          <w:rFonts w:ascii="Verdana" w:eastAsia="Times New Roman" w:hAnsi="Verdana" w:cs="Arial"/>
          <w:i/>
          <w:sz w:val="20"/>
          <w:szCs w:val="20"/>
          <w:lang w:val="en-US"/>
        </w:rPr>
        <w:t>ex definitione</w:t>
      </w:r>
      <w:r w:rsidRPr="00797250">
        <w:rPr>
          <w:rFonts w:ascii="Verdana" w:eastAsia="Times New Roman" w:hAnsi="Verdana" w:cs="Arial"/>
          <w:sz w:val="20"/>
          <w:szCs w:val="20"/>
          <w:lang w:val="en-US"/>
        </w:rPr>
        <w:t>, does not have recognized juridic</w:t>
      </w:r>
      <w:r w:rsidRPr="00797250">
        <w:rPr>
          <w:rFonts w:ascii="Verdana" w:hAnsi="Verdana" w:cs="Arial"/>
          <w:sz w:val="20"/>
          <w:szCs w:val="20"/>
          <w:lang w:val="en-US"/>
        </w:rPr>
        <w:t xml:space="preserve">al </w:t>
      </w:r>
      <w:r w:rsidRPr="00797250">
        <w:rPr>
          <w:rFonts w:ascii="Verdana" w:eastAsia="Times New Roman" w:hAnsi="Verdana" w:cs="Arial"/>
          <w:sz w:val="20"/>
          <w:szCs w:val="20"/>
          <w:lang w:val="en-US"/>
        </w:rPr>
        <w:t xml:space="preserve">personality, because he has not established a juridical and political connection with any State; thus nationality is a prerequisite for recognition of juridical personality. </w:t>
      </w:r>
    </w:p>
    <w:p w14:paraId="3151E15B" w14:textId="77777777" w:rsidR="007522DE" w:rsidRPr="00797250" w:rsidRDefault="007522DE" w:rsidP="007522DE">
      <w:pPr>
        <w:ind w:left="708" w:right="-64"/>
        <w:jc w:val="both"/>
        <w:rPr>
          <w:rFonts w:ascii="Verdana" w:eastAsia="Times New Roman" w:hAnsi="Verdana" w:cs="Arial"/>
          <w:sz w:val="20"/>
          <w:szCs w:val="20"/>
          <w:lang w:val="en-US"/>
        </w:rPr>
      </w:pPr>
      <w:r w:rsidRPr="00797250">
        <w:rPr>
          <w:rFonts w:ascii="Verdana" w:eastAsia="Times New Roman" w:hAnsi="Verdana" w:cs="Arial"/>
          <w:sz w:val="20"/>
          <w:szCs w:val="20"/>
          <w:lang w:val="en-US"/>
        </w:rPr>
        <w:t xml:space="preserve">179. The Court considers that the failure to recognize juridical personality harms human dignity, because it denies absolutely an individual’s condition of being a subject of rights and renders him vulnerable to non-observance of his rights by the State or other individuals. </w:t>
      </w:r>
    </w:p>
    <w:p w14:paraId="2D3F3F12" w14:textId="77777777" w:rsidR="007522DE" w:rsidRPr="00797250" w:rsidRDefault="007522DE" w:rsidP="007522DE">
      <w:pPr>
        <w:ind w:left="708" w:right="-64"/>
        <w:jc w:val="both"/>
        <w:rPr>
          <w:rFonts w:ascii="Verdana" w:eastAsia="Times New Roman" w:hAnsi="Verdana" w:cs="Arial"/>
          <w:sz w:val="20"/>
          <w:szCs w:val="20"/>
          <w:lang w:val="en-US"/>
        </w:rPr>
      </w:pPr>
    </w:p>
    <w:p w14:paraId="6E63554D" w14:textId="77777777" w:rsidR="007522DE" w:rsidRPr="00797250" w:rsidRDefault="007522DE" w:rsidP="007522DE">
      <w:pPr>
        <w:ind w:left="708" w:right="-64"/>
        <w:jc w:val="both"/>
        <w:rPr>
          <w:rFonts w:ascii="Verdana" w:hAnsi="Verdana"/>
          <w:sz w:val="20"/>
          <w:szCs w:val="20"/>
          <w:lang w:val="en-US"/>
        </w:rPr>
      </w:pPr>
      <w:r w:rsidRPr="00797250">
        <w:rPr>
          <w:rFonts w:ascii="Verdana" w:eastAsia="Times New Roman" w:hAnsi="Verdana" w:cs="Arial"/>
          <w:sz w:val="20"/>
          <w:szCs w:val="20"/>
          <w:lang w:val="en-US"/>
        </w:rPr>
        <w:t xml:space="preserve">180. In this specific case, the State maintained the Yean and Bosico children in a legal limbo in which, even though the children existed and were inserted into a </w:t>
      </w:r>
      <w:r w:rsidRPr="00797250">
        <w:rPr>
          <w:rFonts w:ascii="Verdana" w:eastAsia="Times New Roman" w:hAnsi="Verdana" w:cs="Arial"/>
          <w:sz w:val="20"/>
          <w:szCs w:val="20"/>
          <w:lang w:val="en-US"/>
        </w:rPr>
        <w:lastRenderedPageBreak/>
        <w:t>particular social context, their existence was not recognized legally; in other words they did not have juridical personality.</w:t>
      </w:r>
      <w:r w:rsidRPr="00797250">
        <w:rPr>
          <w:rStyle w:val="FootnoteReference"/>
          <w:szCs w:val="20"/>
          <w:lang w:val="en-US"/>
        </w:rPr>
        <w:footnoteReference w:id="368"/>
      </w:r>
    </w:p>
    <w:p w14:paraId="73CC5AEA" w14:textId="77777777" w:rsidR="007522DE" w:rsidRPr="002D0A21" w:rsidRDefault="007522DE" w:rsidP="007522DE">
      <w:pPr>
        <w:pStyle w:val="Estilo1"/>
        <w:numPr>
          <w:ilvl w:val="0"/>
          <w:numId w:val="0"/>
        </w:numPr>
        <w:spacing w:after="0"/>
        <w:ind w:left="708"/>
        <w:rPr>
          <w:rFonts w:ascii="Verdana" w:hAnsi="Verdana"/>
          <w:sz w:val="20"/>
          <w:szCs w:val="20"/>
          <w:lang w:val="en-US"/>
        </w:rPr>
      </w:pPr>
    </w:p>
    <w:p w14:paraId="01C8AB16"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 xml:space="preserve">The Court has also declared, with full justification, the violation of Article 3 in cases of forced disappearance. In the case of </w:t>
      </w:r>
      <w:r w:rsidRPr="002D0A21">
        <w:rPr>
          <w:rFonts w:ascii="Verdana" w:hAnsi="Verdana"/>
          <w:i/>
          <w:sz w:val="20"/>
          <w:szCs w:val="20"/>
          <w:lang w:val="en-US"/>
        </w:rPr>
        <w:t>Anzualdo Castro v. Peru</w:t>
      </w:r>
      <w:r w:rsidRPr="002D0A21">
        <w:rPr>
          <w:rFonts w:ascii="Verdana" w:hAnsi="Verdana"/>
          <w:sz w:val="20"/>
          <w:szCs w:val="20"/>
          <w:lang w:val="en-US"/>
        </w:rPr>
        <w:t xml:space="preserve">, which was the first </w:t>
      </w:r>
      <w:r>
        <w:rPr>
          <w:rFonts w:ascii="Verdana" w:hAnsi="Verdana"/>
          <w:sz w:val="20"/>
          <w:szCs w:val="20"/>
          <w:lang w:val="en-US"/>
        </w:rPr>
        <w:t>case</w:t>
      </w:r>
      <w:r w:rsidRPr="002D0A21">
        <w:rPr>
          <w:rFonts w:ascii="Verdana" w:hAnsi="Verdana"/>
          <w:sz w:val="20"/>
          <w:szCs w:val="20"/>
          <w:lang w:val="en-US"/>
        </w:rPr>
        <w:t xml:space="preserve"> in which it adopted this position, the Court explained the content and basis of Article 3 and explained the reasons for its application to such cases:</w:t>
      </w:r>
    </w:p>
    <w:p w14:paraId="0A582A03" w14:textId="77777777" w:rsidR="007522DE" w:rsidRPr="002D0A21" w:rsidRDefault="007522DE" w:rsidP="007522DE">
      <w:pPr>
        <w:jc w:val="both"/>
        <w:rPr>
          <w:rFonts w:ascii="Verdana" w:hAnsi="Verdana"/>
          <w:sz w:val="20"/>
          <w:szCs w:val="20"/>
          <w:lang w:val="en-US"/>
        </w:rPr>
      </w:pPr>
    </w:p>
    <w:p w14:paraId="73505F59" w14:textId="77777777" w:rsidR="007522DE" w:rsidRPr="002D0A21" w:rsidRDefault="007522DE" w:rsidP="007522DE">
      <w:pPr>
        <w:ind w:left="708" w:right="26"/>
        <w:jc w:val="both"/>
        <w:rPr>
          <w:rFonts w:ascii="Verdana" w:eastAsia="Times New Roman" w:hAnsi="Verdana" w:cs="Arial"/>
          <w:sz w:val="20"/>
          <w:szCs w:val="20"/>
          <w:lang w:val="en-US"/>
        </w:rPr>
      </w:pPr>
      <w:r w:rsidRPr="002D0A21">
        <w:rPr>
          <w:rFonts w:ascii="Verdana" w:eastAsia="Times New Roman" w:hAnsi="Verdana" w:cs="Arial"/>
          <w:sz w:val="20"/>
          <w:szCs w:val="20"/>
          <w:lang w:val="en-US"/>
        </w:rPr>
        <w:t xml:space="preserve">87.  As to the alleged violation of Article 3 of the Convention </w:t>
      </w:r>
      <w:r w:rsidRPr="002D0A21">
        <w:rPr>
          <w:rFonts w:ascii="Verdana" w:hAnsi="Verdana"/>
          <w:sz w:val="20"/>
          <w:szCs w:val="20"/>
          <w:lang w:val="en-US"/>
        </w:rPr>
        <w:t>(</w:t>
      </w:r>
      <w:r w:rsidRPr="002D0A21">
        <w:rPr>
          <w:rFonts w:ascii="Verdana" w:hAnsi="Verdana"/>
          <w:i/>
          <w:sz w:val="20"/>
          <w:szCs w:val="20"/>
          <w:lang w:val="en-US"/>
        </w:rPr>
        <w:t>supra</w:t>
      </w:r>
      <w:r w:rsidRPr="002D0A21">
        <w:rPr>
          <w:rFonts w:ascii="Verdana" w:hAnsi="Verdana"/>
          <w:sz w:val="20"/>
          <w:szCs w:val="20"/>
          <w:lang w:val="en-US"/>
        </w:rPr>
        <w:t xml:space="preserve"> paras. 56 and 57),</w:t>
      </w:r>
      <w:r w:rsidRPr="002D0A21">
        <w:rPr>
          <w:rFonts w:ascii="Verdana" w:eastAsia="Times New Roman" w:hAnsi="Verdana" w:cs="Arial"/>
          <w:sz w:val="20"/>
          <w:szCs w:val="20"/>
          <w:lang w:val="en-US"/>
        </w:rPr>
        <w:t xml:space="preserve"> the Court has noted that the content itself of the right to juridical personality is that every person has the right to be recognized everywhere as a person having rights and obligations, and to enjoy the basic civil rights [which] implies the capacity to be the holder of rights (capacity and exercise) and obligations; the violation of this recognition presumes an absolute disavowal of the possibility of being a holder of [the</w:t>
      </w:r>
      <w:r>
        <w:rPr>
          <w:rFonts w:ascii="Verdana" w:eastAsia="Times New Roman" w:hAnsi="Verdana" w:cs="Arial"/>
          <w:sz w:val="20"/>
          <w:szCs w:val="20"/>
          <w:lang w:val="en-US"/>
        </w:rPr>
        <w:t xml:space="preserve">] </w:t>
      </w:r>
      <w:r w:rsidRPr="002D0A21">
        <w:rPr>
          <w:rFonts w:ascii="Verdana" w:eastAsia="Times New Roman" w:hAnsi="Verdana" w:cs="Arial"/>
          <w:sz w:val="20"/>
          <w:szCs w:val="20"/>
          <w:lang w:val="en-US"/>
        </w:rPr>
        <w:t>rights and obligations</w:t>
      </w:r>
      <w:r>
        <w:rPr>
          <w:rFonts w:ascii="Verdana" w:eastAsia="Times New Roman" w:hAnsi="Verdana" w:cs="Arial"/>
          <w:sz w:val="20"/>
          <w:szCs w:val="20"/>
          <w:lang w:val="en-US"/>
        </w:rPr>
        <w:t xml:space="preserve"> [the civil and basic]</w:t>
      </w:r>
      <w:r w:rsidRPr="002D0A21">
        <w:rPr>
          <w:rFonts w:ascii="Verdana" w:eastAsia="Times New Roman" w:hAnsi="Verdana" w:cs="Arial"/>
          <w:sz w:val="20"/>
          <w:szCs w:val="20"/>
          <w:lang w:val="en-US"/>
        </w:rPr>
        <w:t>.</w:t>
      </w:r>
    </w:p>
    <w:p w14:paraId="6D66DB3F" w14:textId="77777777" w:rsidR="007522DE" w:rsidRPr="002D0A21" w:rsidRDefault="007522DE" w:rsidP="007522DE">
      <w:pPr>
        <w:ind w:left="708" w:right="26"/>
        <w:jc w:val="both"/>
        <w:rPr>
          <w:rFonts w:ascii="Verdana" w:eastAsia="Times New Roman" w:hAnsi="Verdana" w:cs="Arial"/>
          <w:sz w:val="20"/>
          <w:szCs w:val="20"/>
          <w:lang w:val="en-US"/>
        </w:rPr>
      </w:pPr>
    </w:p>
    <w:p w14:paraId="1DF5EF75" w14:textId="77777777" w:rsidR="007522DE" w:rsidRPr="002D0A21" w:rsidRDefault="007522DE" w:rsidP="007522DE">
      <w:pPr>
        <w:ind w:left="708" w:right="26"/>
        <w:jc w:val="both"/>
        <w:rPr>
          <w:rFonts w:ascii="Verdana" w:eastAsia="Times New Roman" w:hAnsi="Verdana" w:cs="Arial"/>
          <w:sz w:val="20"/>
          <w:szCs w:val="20"/>
          <w:lang w:val="en-US"/>
        </w:rPr>
      </w:pPr>
      <w:r w:rsidRPr="002D0A21">
        <w:rPr>
          <w:rFonts w:ascii="Verdana" w:eastAsia="Times New Roman" w:hAnsi="Verdana" w:cs="Arial"/>
          <w:sz w:val="20"/>
          <w:szCs w:val="20"/>
          <w:lang w:val="en-US"/>
        </w:rPr>
        <w:t xml:space="preserve">88. This right represents a parameter to determine whether a person is entitled to any given rights and whether </w:t>
      </w:r>
      <w:r>
        <w:rPr>
          <w:rFonts w:ascii="Verdana" w:eastAsia="Times New Roman" w:hAnsi="Verdana" w:cs="Arial"/>
          <w:sz w:val="20"/>
          <w:szCs w:val="20"/>
          <w:lang w:val="en-US"/>
        </w:rPr>
        <w:t>that</w:t>
      </w:r>
      <w:r w:rsidRPr="002D0A21">
        <w:rPr>
          <w:rFonts w:ascii="Verdana" w:eastAsia="Times New Roman" w:hAnsi="Verdana" w:cs="Arial"/>
          <w:sz w:val="20"/>
          <w:szCs w:val="20"/>
          <w:lang w:val="en-US"/>
        </w:rPr>
        <w:t xml:space="preserve"> person can enforce such rights, therefore, the failure to recognize </w:t>
      </w:r>
      <w:r>
        <w:rPr>
          <w:rFonts w:ascii="Verdana" w:eastAsia="Times New Roman" w:hAnsi="Verdana" w:cs="Arial"/>
          <w:sz w:val="20"/>
          <w:szCs w:val="20"/>
          <w:lang w:val="en-US"/>
        </w:rPr>
        <w:t xml:space="preserve">juridical personality </w:t>
      </w:r>
      <w:r w:rsidRPr="002D0A21">
        <w:rPr>
          <w:rFonts w:ascii="Verdana" w:eastAsia="Times New Roman" w:hAnsi="Verdana" w:cs="Arial"/>
          <w:sz w:val="20"/>
          <w:szCs w:val="20"/>
          <w:lang w:val="en-US"/>
        </w:rPr>
        <w:t xml:space="preserve">places the person in a vulnerable position in relation to the State or third parties. </w:t>
      </w:r>
      <w:r>
        <w:rPr>
          <w:rFonts w:ascii="Verdana" w:eastAsia="Times New Roman" w:hAnsi="Verdana" w:cs="Arial"/>
          <w:sz w:val="20"/>
          <w:szCs w:val="20"/>
          <w:lang w:val="en-US"/>
        </w:rPr>
        <w:t>Thus</w:t>
      </w:r>
      <w:r w:rsidRPr="002D0A21">
        <w:rPr>
          <w:rFonts w:ascii="Verdana" w:eastAsia="Times New Roman" w:hAnsi="Verdana" w:cs="Arial"/>
          <w:sz w:val="20"/>
          <w:szCs w:val="20"/>
          <w:lang w:val="en-US"/>
        </w:rPr>
        <w:t xml:space="preserve">, the content of the right to juridical personality refers to </w:t>
      </w:r>
      <w:r>
        <w:rPr>
          <w:rFonts w:ascii="Verdana" w:eastAsia="Times New Roman" w:hAnsi="Verdana" w:cs="Arial"/>
          <w:sz w:val="20"/>
          <w:szCs w:val="20"/>
          <w:lang w:val="en-US"/>
        </w:rPr>
        <w:t>the corresponding</w:t>
      </w:r>
      <w:r w:rsidRPr="002D0A21">
        <w:rPr>
          <w:rFonts w:ascii="Verdana" w:eastAsia="Times New Roman" w:hAnsi="Verdana" w:cs="Arial"/>
          <w:sz w:val="20"/>
          <w:szCs w:val="20"/>
          <w:lang w:val="en-US"/>
        </w:rPr>
        <w:t xml:space="preserve"> general </w:t>
      </w:r>
      <w:r>
        <w:rPr>
          <w:rFonts w:ascii="Verdana" w:eastAsia="Times New Roman" w:hAnsi="Verdana" w:cs="Arial"/>
          <w:sz w:val="20"/>
          <w:szCs w:val="20"/>
          <w:lang w:val="en-US"/>
        </w:rPr>
        <w:t>obligation</w:t>
      </w:r>
      <w:r w:rsidRPr="002D0A21">
        <w:rPr>
          <w:rFonts w:ascii="Verdana" w:eastAsia="Times New Roman" w:hAnsi="Verdana" w:cs="Arial"/>
          <w:sz w:val="20"/>
          <w:szCs w:val="20"/>
          <w:lang w:val="en-US"/>
        </w:rPr>
        <w:t xml:space="preserve"> of the State to provide the means and general </w:t>
      </w:r>
      <w:r>
        <w:rPr>
          <w:rFonts w:ascii="Verdana" w:eastAsia="Times New Roman" w:hAnsi="Verdana" w:cs="Arial"/>
          <w:sz w:val="20"/>
          <w:szCs w:val="20"/>
          <w:lang w:val="en-US"/>
        </w:rPr>
        <w:t>legal</w:t>
      </w:r>
      <w:r w:rsidRPr="002D0A21">
        <w:rPr>
          <w:rFonts w:ascii="Verdana" w:eastAsia="Times New Roman" w:hAnsi="Verdana" w:cs="Arial"/>
          <w:sz w:val="20"/>
          <w:szCs w:val="20"/>
          <w:lang w:val="en-US"/>
        </w:rPr>
        <w:t xml:space="preserve"> conditions necessary to guarantee each person the free and full enjoyment of the right to the recognition of his or her juridical personality.</w:t>
      </w:r>
      <w:r>
        <w:rPr>
          <w:rFonts w:ascii="Verdana" w:eastAsia="Times New Roman" w:hAnsi="Verdana" w:cs="Arial"/>
          <w:sz w:val="20"/>
          <w:szCs w:val="20"/>
          <w:lang w:val="en-US"/>
        </w:rPr>
        <w:t xml:space="preserve"> </w:t>
      </w:r>
    </w:p>
    <w:p w14:paraId="7EF020CF" w14:textId="77777777" w:rsidR="007522DE" w:rsidRPr="002D0A21" w:rsidRDefault="007522DE" w:rsidP="007522DE">
      <w:pPr>
        <w:ind w:right="26"/>
        <w:jc w:val="both"/>
        <w:rPr>
          <w:rFonts w:ascii="Verdana" w:eastAsia="Times New Roman" w:hAnsi="Verdana" w:cs="Arial"/>
          <w:sz w:val="20"/>
          <w:szCs w:val="20"/>
          <w:lang w:val="en-US"/>
        </w:rPr>
      </w:pPr>
    </w:p>
    <w:p w14:paraId="5D27A613" w14:textId="77777777" w:rsidR="007522DE" w:rsidRPr="002D0A21" w:rsidRDefault="007522DE" w:rsidP="007522DE">
      <w:pPr>
        <w:ind w:left="708" w:right="26"/>
        <w:jc w:val="both"/>
        <w:rPr>
          <w:rFonts w:ascii="Verdana" w:eastAsia="Times New Roman" w:hAnsi="Verdana" w:cs="Arial"/>
          <w:sz w:val="20"/>
          <w:szCs w:val="20"/>
          <w:lang w:val="en-US"/>
        </w:rPr>
      </w:pPr>
      <w:r w:rsidRPr="002D0A21">
        <w:rPr>
          <w:rFonts w:ascii="Verdana" w:eastAsia="Times New Roman" w:hAnsi="Verdana" w:cs="Arial"/>
          <w:sz w:val="20"/>
          <w:szCs w:val="20"/>
          <w:lang w:val="en-US"/>
        </w:rPr>
        <w:t xml:space="preserve">89. However, pursuant to the principle </w:t>
      </w:r>
      <w:r>
        <w:rPr>
          <w:rFonts w:ascii="Verdana" w:eastAsia="Times New Roman" w:hAnsi="Verdana" w:cs="Arial"/>
          <w:sz w:val="20"/>
          <w:szCs w:val="20"/>
          <w:lang w:val="en-US"/>
        </w:rPr>
        <w:t>of effectiveness and the need for</w:t>
      </w:r>
      <w:r w:rsidRPr="002D0A21">
        <w:rPr>
          <w:rFonts w:ascii="Verdana" w:eastAsia="Times New Roman" w:hAnsi="Verdana" w:cs="Arial"/>
          <w:sz w:val="20"/>
          <w:szCs w:val="20"/>
          <w:lang w:val="en-US"/>
        </w:rPr>
        <w:t xml:space="preserve"> protection in cases of people and groups in </w:t>
      </w:r>
      <w:r>
        <w:rPr>
          <w:rFonts w:ascii="Verdana" w:eastAsia="Times New Roman" w:hAnsi="Verdana" w:cs="Arial"/>
          <w:sz w:val="20"/>
          <w:szCs w:val="20"/>
          <w:lang w:val="en-US"/>
        </w:rPr>
        <w:t>a vulnerable situation</w:t>
      </w:r>
      <w:r w:rsidRPr="002D0A21">
        <w:rPr>
          <w:rFonts w:ascii="Verdana" w:eastAsia="Times New Roman" w:hAnsi="Verdana" w:cs="Arial"/>
          <w:sz w:val="20"/>
          <w:szCs w:val="20"/>
          <w:lang w:val="en-US"/>
        </w:rPr>
        <w:t xml:space="preserve">, this Court has observed the broader legal content of this right, by considering that the State “is bound to guarantee to those persons in situations of vulnerability, exclusion and discrimination, the legal and administrative conditions that may secure for them the exercise of such right, pursuant to the principle of equality under the law.” […] </w:t>
      </w:r>
    </w:p>
    <w:p w14:paraId="551B10ED" w14:textId="77777777" w:rsidR="007522DE" w:rsidRPr="002D0A21" w:rsidRDefault="007522DE" w:rsidP="007522DE">
      <w:pPr>
        <w:ind w:left="708" w:right="26"/>
        <w:jc w:val="both"/>
        <w:rPr>
          <w:rFonts w:ascii="Verdana" w:eastAsia="Times New Roman" w:hAnsi="Verdana" w:cs="Arial"/>
          <w:sz w:val="20"/>
          <w:szCs w:val="20"/>
          <w:lang w:val="en-US"/>
        </w:rPr>
      </w:pPr>
    </w:p>
    <w:p w14:paraId="0A652EC4" w14:textId="77777777" w:rsidR="007522DE" w:rsidRPr="002D0A21" w:rsidRDefault="007522DE" w:rsidP="007522DE">
      <w:pPr>
        <w:ind w:left="708" w:right="26"/>
        <w:jc w:val="both"/>
        <w:rPr>
          <w:rFonts w:ascii="Verdana" w:eastAsia="Times New Roman" w:hAnsi="Verdana" w:cs="Arial"/>
          <w:sz w:val="20"/>
          <w:szCs w:val="20"/>
          <w:lang w:val="en-US"/>
        </w:rPr>
      </w:pPr>
      <w:r w:rsidRPr="002D0A21">
        <w:rPr>
          <w:rFonts w:ascii="Verdana" w:eastAsia="Times New Roman" w:hAnsi="Verdana" w:cs="Arial"/>
          <w:sz w:val="20"/>
          <w:szCs w:val="20"/>
          <w:lang w:val="en-US"/>
        </w:rPr>
        <w:t>90. Certainly, case law has developed the legal content of [the right to recognition of physical personality</w:t>
      </w:r>
      <w:r>
        <w:rPr>
          <w:rFonts w:ascii="Verdana" w:eastAsia="Times New Roman" w:hAnsi="Verdana" w:cs="Arial"/>
          <w:sz w:val="20"/>
          <w:szCs w:val="20"/>
          <w:lang w:val="en-US"/>
        </w:rPr>
        <w:t xml:space="preserve"> </w:t>
      </w:r>
      <w:r w:rsidRPr="002D0A21">
        <w:rPr>
          <w:rFonts w:ascii="Verdana" w:eastAsia="Times New Roman" w:hAnsi="Verdana" w:cs="Arial"/>
          <w:sz w:val="20"/>
          <w:szCs w:val="20"/>
          <w:lang w:val="en-US"/>
        </w:rPr>
        <w:t xml:space="preserve">of every human being] in cases involving human rights violations other than forced disappearance of persons, because, in most </w:t>
      </w:r>
      <w:r>
        <w:rPr>
          <w:rFonts w:ascii="Verdana" w:eastAsia="Times New Roman" w:hAnsi="Verdana" w:cs="Arial"/>
          <w:sz w:val="20"/>
          <w:szCs w:val="20"/>
          <w:lang w:val="en-US"/>
        </w:rPr>
        <w:t xml:space="preserve">cases </w:t>
      </w:r>
      <w:r w:rsidRPr="002D0A21">
        <w:rPr>
          <w:rFonts w:ascii="Verdana" w:eastAsia="Times New Roman" w:hAnsi="Verdana" w:cs="Arial"/>
          <w:sz w:val="20"/>
          <w:szCs w:val="20"/>
          <w:lang w:val="en-US"/>
        </w:rPr>
        <w:t>of this type, the Court has found that it was not necessary to analyze the violation of Article 3 of the Convention, since there were no facts that warranted this. Nevertheless</w:t>
      </w:r>
      <w:r w:rsidRPr="002D0A21">
        <w:rPr>
          <w:rFonts w:ascii="Verdana" w:eastAsia="Times New Roman" w:hAnsi="Verdana" w:cs="Arial"/>
          <w:i/>
          <w:sz w:val="20"/>
          <w:szCs w:val="20"/>
          <w:lang w:val="en-US"/>
        </w:rPr>
        <w:t>, in view of the multiple and complex nature of this serious human right</w:t>
      </w:r>
      <w:r>
        <w:rPr>
          <w:rFonts w:ascii="Verdana" w:eastAsia="Times New Roman" w:hAnsi="Verdana" w:cs="Arial"/>
          <w:i/>
          <w:sz w:val="20"/>
          <w:szCs w:val="20"/>
          <w:lang w:val="en-US"/>
        </w:rPr>
        <w:t>s</w:t>
      </w:r>
      <w:r w:rsidRPr="002D0A21">
        <w:rPr>
          <w:rFonts w:ascii="Verdana" w:eastAsia="Times New Roman" w:hAnsi="Verdana" w:cs="Arial"/>
          <w:i/>
          <w:sz w:val="20"/>
          <w:szCs w:val="20"/>
          <w:lang w:val="en-US"/>
        </w:rPr>
        <w:t xml:space="preserve"> violation, the Court reconsiders its previous position and deems it possible that, in this type of case, forced disappearance may entail a specific violation of the said right: in addition to the fact that the disappeared person can no longer exercise and enjoy other rights, and eventually all the rights to which he is entitled, his disappearance seeks not only one of the most serious forms of placing the person outside the protection of the law, but also denies that person's existence and leaves him in a kind of limbo or uncertain legal situation before society, the State, and even the international community</w:t>
      </w:r>
      <w:r w:rsidRPr="002D0A21">
        <w:rPr>
          <w:rFonts w:ascii="Verdana" w:eastAsia="Times New Roman" w:hAnsi="Verdana" w:cs="Arial"/>
          <w:sz w:val="20"/>
          <w:szCs w:val="20"/>
          <w:lang w:val="en-US"/>
        </w:rPr>
        <w:t>.</w:t>
      </w:r>
    </w:p>
    <w:p w14:paraId="66BFC06F" w14:textId="77777777" w:rsidR="007522DE" w:rsidRPr="002D0A21" w:rsidRDefault="007522DE" w:rsidP="007522DE">
      <w:pPr>
        <w:tabs>
          <w:tab w:val="left" w:pos="1418"/>
        </w:tabs>
        <w:ind w:left="708" w:right="26"/>
        <w:jc w:val="both"/>
        <w:rPr>
          <w:rFonts w:ascii="Verdana" w:hAnsi="Verdana"/>
          <w:i/>
          <w:sz w:val="20"/>
          <w:szCs w:val="20"/>
          <w:lang w:val="en-US"/>
        </w:rPr>
      </w:pPr>
    </w:p>
    <w:p w14:paraId="65465B1B" w14:textId="77777777" w:rsidR="007522DE" w:rsidRPr="002D0A21" w:rsidRDefault="007522DE" w:rsidP="007522DE">
      <w:pPr>
        <w:ind w:left="708" w:right="26"/>
        <w:jc w:val="both"/>
        <w:rPr>
          <w:rFonts w:ascii="Verdana" w:hAnsi="Verdana"/>
          <w:sz w:val="20"/>
          <w:szCs w:val="20"/>
          <w:lang w:val="en-US"/>
        </w:rPr>
      </w:pPr>
      <w:r w:rsidRPr="002D0A21">
        <w:rPr>
          <w:rFonts w:ascii="Verdana" w:eastAsia="Times New Roman" w:hAnsi="Verdana" w:cs="Arial"/>
          <w:sz w:val="20"/>
          <w:szCs w:val="20"/>
          <w:lang w:val="en-US"/>
        </w:rPr>
        <w:lastRenderedPageBreak/>
        <w:t>91. Thus, the Court bears in mind that one of the characteristics of forced disappearance, contrary to extrajudicial</w:t>
      </w:r>
      <w:r>
        <w:rPr>
          <w:rFonts w:ascii="Verdana" w:eastAsia="Times New Roman" w:hAnsi="Verdana" w:cs="Arial"/>
          <w:sz w:val="20"/>
          <w:szCs w:val="20"/>
          <w:lang w:val="en-US"/>
        </w:rPr>
        <w:t xml:space="preserve"> execution</w:t>
      </w:r>
      <w:r w:rsidRPr="002D0A21">
        <w:rPr>
          <w:rFonts w:ascii="Verdana" w:eastAsia="Times New Roman" w:hAnsi="Verdana" w:cs="Arial"/>
          <w:sz w:val="20"/>
          <w:szCs w:val="20"/>
          <w:lang w:val="en-US"/>
        </w:rPr>
        <w:t>, is that it entails the State’s refusal to acknowledge that the victim is in its custody and to provide information in this regard, in order to create uncertainty as to his whereabouts, life or death</w:t>
      </w:r>
      <w:r>
        <w:rPr>
          <w:rFonts w:ascii="Verdana" w:eastAsia="Times New Roman" w:hAnsi="Verdana" w:cs="Arial"/>
          <w:sz w:val="20"/>
          <w:szCs w:val="20"/>
          <w:lang w:val="en-US"/>
        </w:rPr>
        <w:t>,</w:t>
      </w:r>
      <w:r w:rsidRPr="002D0A21">
        <w:rPr>
          <w:rFonts w:ascii="Verdana" w:eastAsia="Times New Roman" w:hAnsi="Verdana" w:cs="Arial"/>
          <w:sz w:val="20"/>
          <w:szCs w:val="20"/>
          <w:lang w:val="en-US"/>
        </w:rPr>
        <w:t xml:space="preserve"> to intimidate and </w:t>
      </w:r>
      <w:r>
        <w:rPr>
          <w:rFonts w:ascii="Verdana" w:eastAsia="Times New Roman" w:hAnsi="Verdana" w:cs="Arial"/>
          <w:sz w:val="20"/>
          <w:szCs w:val="20"/>
          <w:lang w:val="en-US"/>
        </w:rPr>
        <w:t xml:space="preserve">to </w:t>
      </w:r>
      <w:r w:rsidRPr="002D0A21">
        <w:rPr>
          <w:rFonts w:ascii="Verdana" w:eastAsia="Times New Roman" w:hAnsi="Verdana" w:cs="Arial"/>
          <w:sz w:val="20"/>
          <w:szCs w:val="20"/>
          <w:lang w:val="en-US"/>
        </w:rPr>
        <w:t xml:space="preserve">eliminate rights </w:t>
      </w:r>
      <w:r w:rsidRPr="002D0A21">
        <w:rPr>
          <w:rFonts w:ascii="Verdana" w:hAnsi="Verdana"/>
          <w:sz w:val="20"/>
          <w:szCs w:val="20"/>
          <w:lang w:val="en-US"/>
        </w:rPr>
        <w:t>(</w:t>
      </w:r>
      <w:r w:rsidRPr="002D0A21">
        <w:rPr>
          <w:rFonts w:ascii="Verdana" w:hAnsi="Verdana"/>
          <w:i/>
          <w:sz w:val="20"/>
          <w:szCs w:val="20"/>
          <w:lang w:val="en-US"/>
        </w:rPr>
        <w:t>supra</w:t>
      </w:r>
      <w:r w:rsidRPr="002D0A21">
        <w:rPr>
          <w:rFonts w:ascii="Verdana" w:hAnsi="Verdana"/>
          <w:sz w:val="20"/>
          <w:szCs w:val="20"/>
          <w:lang w:val="en-US"/>
        </w:rPr>
        <w:t xml:space="preserve"> paras. 60 and 80).</w:t>
      </w:r>
    </w:p>
    <w:p w14:paraId="57221384" w14:textId="77777777" w:rsidR="007522DE" w:rsidRPr="002D0A21" w:rsidRDefault="007522DE" w:rsidP="007522DE">
      <w:pPr>
        <w:tabs>
          <w:tab w:val="left" w:pos="1418"/>
        </w:tabs>
        <w:ind w:right="26"/>
        <w:jc w:val="both"/>
        <w:rPr>
          <w:rFonts w:ascii="Verdana" w:hAnsi="Verdana"/>
          <w:sz w:val="20"/>
          <w:szCs w:val="20"/>
          <w:lang w:val="en-US"/>
        </w:rPr>
      </w:pPr>
    </w:p>
    <w:p w14:paraId="5153A0B2" w14:textId="77777777" w:rsidR="007522DE" w:rsidRPr="002D0A21" w:rsidRDefault="007522DE" w:rsidP="007522DE">
      <w:pPr>
        <w:tabs>
          <w:tab w:val="left" w:pos="1418"/>
        </w:tabs>
        <w:ind w:left="708" w:right="26"/>
        <w:jc w:val="both"/>
        <w:rPr>
          <w:rFonts w:ascii="Verdana" w:hAnsi="Verdana"/>
          <w:sz w:val="20"/>
          <w:szCs w:val="20"/>
          <w:lang w:val="en-US"/>
        </w:rPr>
      </w:pPr>
      <w:r w:rsidRPr="002D0A21">
        <w:rPr>
          <w:rFonts w:ascii="Verdana" w:hAnsi="Verdana"/>
          <w:sz w:val="20"/>
          <w:szCs w:val="20"/>
          <w:lang w:val="en-US"/>
        </w:rPr>
        <w:t>[…]</w:t>
      </w:r>
    </w:p>
    <w:p w14:paraId="10489C2B" w14:textId="77777777" w:rsidR="007522DE" w:rsidRPr="002D0A21" w:rsidRDefault="007522DE" w:rsidP="007522DE">
      <w:pPr>
        <w:tabs>
          <w:tab w:val="left" w:pos="1418"/>
        </w:tabs>
        <w:ind w:left="708" w:right="26"/>
        <w:jc w:val="both"/>
        <w:rPr>
          <w:rFonts w:ascii="Verdana" w:hAnsi="Verdana"/>
          <w:sz w:val="20"/>
          <w:szCs w:val="20"/>
          <w:lang w:val="en-US"/>
        </w:rPr>
      </w:pPr>
    </w:p>
    <w:p w14:paraId="4C9BC662" w14:textId="77777777" w:rsidR="007522DE" w:rsidRPr="002D0A21" w:rsidRDefault="007522DE" w:rsidP="007522DE">
      <w:pPr>
        <w:pStyle w:val="Estilo3"/>
        <w:tabs>
          <w:tab w:val="left" w:pos="1418"/>
        </w:tabs>
        <w:spacing w:after="0"/>
        <w:ind w:right="26"/>
        <w:rPr>
          <w:rFonts w:ascii="Verdana" w:hAnsi="Verdana"/>
          <w:sz w:val="20"/>
          <w:szCs w:val="20"/>
          <w:lang w:val="en-US"/>
        </w:rPr>
      </w:pPr>
      <w:r w:rsidRPr="002D0A21">
        <w:rPr>
          <w:rFonts w:ascii="Verdana" w:hAnsi="Verdana"/>
          <w:sz w:val="20"/>
          <w:szCs w:val="20"/>
          <w:lang w:val="en-US"/>
        </w:rPr>
        <w:t xml:space="preserve">101. </w:t>
      </w:r>
      <w:r w:rsidRPr="002D0A21">
        <w:rPr>
          <w:rFonts w:ascii="Verdana" w:eastAsia="Times New Roman" w:hAnsi="Verdana" w:cs="Arial"/>
          <w:sz w:val="20"/>
          <w:szCs w:val="20"/>
          <w:lang w:val="en-US"/>
        </w:rPr>
        <w:t>Based on the foregoing, the Court finds that in cases of forced disappearance of persons, the victim is placed in a situation of legal uncertainty that prevents, impedes or eliminates the possibility of the individual being entitled to or effectively exercising his rights in general, in one of the most serious forms of non-compliance with the State’s obligations to respect</w:t>
      </w:r>
      <w:r>
        <w:rPr>
          <w:rFonts w:ascii="Verdana" w:eastAsia="Times New Roman" w:hAnsi="Verdana" w:cs="Arial"/>
          <w:sz w:val="20"/>
          <w:szCs w:val="20"/>
          <w:lang w:val="en-US"/>
        </w:rPr>
        <w:t xml:space="preserve"> and ensure human rights. This h</w:t>
      </w:r>
      <w:r w:rsidRPr="002D0A21">
        <w:rPr>
          <w:rFonts w:ascii="Verdana" w:eastAsia="Times New Roman" w:hAnsi="Verdana" w:cs="Arial"/>
          <w:sz w:val="20"/>
          <w:szCs w:val="20"/>
          <w:lang w:val="en-US"/>
        </w:rPr>
        <w:t>as resulted in the violation of the right to juridical personality of Mr. Anzualdo Castro.</w:t>
      </w:r>
      <w:r w:rsidRPr="002D0A21">
        <w:rPr>
          <w:rStyle w:val="FootnoteReference"/>
          <w:szCs w:val="20"/>
          <w:lang w:val="en-US"/>
        </w:rPr>
        <w:footnoteReference w:id="369"/>
      </w:r>
    </w:p>
    <w:p w14:paraId="0F167040" w14:textId="77777777" w:rsidR="007522DE" w:rsidRPr="002D0A21" w:rsidRDefault="007522DE" w:rsidP="007522DE">
      <w:pPr>
        <w:pStyle w:val="Estilo3"/>
        <w:tabs>
          <w:tab w:val="left" w:pos="1418"/>
        </w:tabs>
        <w:spacing w:after="0"/>
        <w:rPr>
          <w:rFonts w:ascii="Verdana" w:hAnsi="Verdana"/>
          <w:i w:val="0"/>
          <w:sz w:val="20"/>
          <w:szCs w:val="20"/>
          <w:lang w:val="en-US"/>
        </w:rPr>
      </w:pPr>
    </w:p>
    <w:p w14:paraId="6ADD0823"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 xml:space="preserve">Thus, the grounds for the recognition of the </w:t>
      </w:r>
      <w:r w:rsidRPr="002D0A21">
        <w:rPr>
          <w:rFonts w:ascii="Verdana" w:hAnsi="Verdana"/>
          <w:i/>
          <w:sz w:val="20"/>
          <w:szCs w:val="20"/>
          <w:lang w:val="en-US"/>
        </w:rPr>
        <w:t>legal status [personería jurídica]</w:t>
      </w:r>
      <w:r w:rsidRPr="002D0A21">
        <w:rPr>
          <w:rStyle w:val="FootnoteReference"/>
          <w:i/>
          <w:szCs w:val="20"/>
          <w:lang w:val="en-US"/>
        </w:rPr>
        <w:footnoteReference w:id="370"/>
      </w:r>
      <w:r w:rsidRPr="002D0A21">
        <w:rPr>
          <w:rFonts w:ascii="Verdana" w:hAnsi="Verdana"/>
          <w:sz w:val="20"/>
          <w:szCs w:val="20"/>
          <w:lang w:val="en-US"/>
        </w:rPr>
        <w:t xml:space="preserve"> of the indigenous or tribal peoples or communities should be sought in relation to other provisions of the Convention. These grounds are not very hard to find, because they are the legal consequence of the recognition of the right to property (in this case collective property) </w:t>
      </w:r>
      <w:r>
        <w:rPr>
          <w:rFonts w:ascii="Verdana" w:hAnsi="Verdana"/>
          <w:sz w:val="20"/>
          <w:szCs w:val="20"/>
          <w:lang w:val="en-US"/>
        </w:rPr>
        <w:t>established</w:t>
      </w:r>
      <w:r w:rsidRPr="002D0A21">
        <w:rPr>
          <w:rFonts w:ascii="Verdana" w:hAnsi="Verdana"/>
          <w:sz w:val="20"/>
          <w:szCs w:val="20"/>
          <w:lang w:val="en-US"/>
        </w:rPr>
        <w:t xml:space="preserve"> in Article 21. No one can be the holder of a right without the corresponding existence of the consequent legal status [</w:t>
      </w:r>
      <w:r>
        <w:rPr>
          <w:rFonts w:ascii="Verdana" w:hAnsi="Verdana"/>
          <w:i/>
          <w:sz w:val="20"/>
          <w:szCs w:val="20"/>
          <w:lang w:val="en-US"/>
        </w:rPr>
        <w:t>personerí</w:t>
      </w:r>
      <w:r w:rsidRPr="002D0A21">
        <w:rPr>
          <w:rFonts w:ascii="Verdana" w:hAnsi="Verdana"/>
          <w:i/>
          <w:sz w:val="20"/>
          <w:szCs w:val="20"/>
          <w:lang w:val="en-US"/>
        </w:rPr>
        <w:t>a jurídica</w:t>
      </w:r>
      <w:r w:rsidRPr="002D0A21">
        <w:rPr>
          <w:rFonts w:ascii="Verdana" w:hAnsi="Verdana"/>
          <w:sz w:val="20"/>
          <w:szCs w:val="20"/>
          <w:lang w:val="en-US"/>
        </w:rPr>
        <w:t xml:space="preserve">]. And the Court explained this in its judgment in the case of the </w:t>
      </w:r>
      <w:r w:rsidRPr="002D0A21">
        <w:rPr>
          <w:rFonts w:ascii="Verdana" w:hAnsi="Verdana"/>
          <w:i/>
          <w:sz w:val="20"/>
          <w:szCs w:val="20"/>
          <w:lang w:val="en-US"/>
        </w:rPr>
        <w:t>Saramaka</w:t>
      </w:r>
      <w:r>
        <w:rPr>
          <w:rFonts w:ascii="Verdana" w:hAnsi="Verdana"/>
          <w:i/>
          <w:sz w:val="20"/>
          <w:szCs w:val="20"/>
          <w:lang w:val="en-US"/>
        </w:rPr>
        <w:t xml:space="preserve"> Peop</w:t>
      </w:r>
      <w:r w:rsidRPr="002D0A21">
        <w:rPr>
          <w:rFonts w:ascii="Verdana" w:hAnsi="Verdana"/>
          <w:i/>
          <w:sz w:val="20"/>
          <w:szCs w:val="20"/>
          <w:lang w:val="en-US"/>
        </w:rPr>
        <w:t xml:space="preserve">le, </w:t>
      </w:r>
      <w:r w:rsidRPr="002D0A21">
        <w:rPr>
          <w:rFonts w:ascii="Verdana" w:hAnsi="Verdana"/>
          <w:sz w:val="20"/>
          <w:szCs w:val="20"/>
          <w:lang w:val="en-US"/>
        </w:rPr>
        <w:t>in which it set out the correct reasoning with absolute clarity:</w:t>
      </w:r>
    </w:p>
    <w:p w14:paraId="3C8E0C18" w14:textId="77777777" w:rsidR="007522DE" w:rsidRPr="002D0A21" w:rsidRDefault="007522DE" w:rsidP="007522DE">
      <w:pPr>
        <w:pStyle w:val="Estilo1"/>
        <w:numPr>
          <w:ilvl w:val="0"/>
          <w:numId w:val="0"/>
        </w:numPr>
        <w:spacing w:after="0"/>
        <w:rPr>
          <w:rFonts w:ascii="Verdana" w:hAnsi="Verdana"/>
          <w:sz w:val="20"/>
          <w:szCs w:val="20"/>
          <w:lang w:val="en-US"/>
        </w:rPr>
      </w:pPr>
    </w:p>
    <w:p w14:paraId="3072C56B" w14:textId="77777777" w:rsidR="007522DE" w:rsidRPr="002D0A21" w:rsidRDefault="007522DE" w:rsidP="007522DE">
      <w:pPr>
        <w:ind w:left="709"/>
        <w:jc w:val="both"/>
        <w:rPr>
          <w:rFonts w:ascii="Verdana" w:eastAsia="Times New Roman" w:hAnsi="Verdana" w:cs="Arial"/>
          <w:sz w:val="20"/>
          <w:szCs w:val="20"/>
          <w:lang w:val="en-US"/>
        </w:rPr>
      </w:pPr>
      <w:r w:rsidRPr="002D0A21">
        <w:rPr>
          <w:rFonts w:ascii="Verdana" w:eastAsia="Times New Roman" w:hAnsi="Verdana" w:cs="Arial"/>
          <w:sz w:val="20"/>
          <w:szCs w:val="20"/>
          <w:lang w:val="en-US"/>
        </w:rPr>
        <w:t xml:space="preserve">171. The recognition of their juridical personality is a way, albeit not the only one, to ensure that the community, as a whole, will be able to enjoy and exercise fully their right to property, in accordance with their communal property system, and the right of equal access to judicial protection against violations of that right. </w:t>
      </w:r>
    </w:p>
    <w:p w14:paraId="3E0C6566" w14:textId="77777777" w:rsidR="007522DE" w:rsidRPr="002D0A21" w:rsidRDefault="007522DE" w:rsidP="007522DE">
      <w:pPr>
        <w:ind w:left="709"/>
        <w:jc w:val="both"/>
        <w:rPr>
          <w:rFonts w:ascii="Verdana" w:eastAsia="Times New Roman" w:hAnsi="Verdana" w:cs="Arial"/>
          <w:sz w:val="20"/>
          <w:szCs w:val="20"/>
          <w:lang w:val="en-US"/>
        </w:rPr>
      </w:pPr>
    </w:p>
    <w:p w14:paraId="7C9AD77D" w14:textId="77777777" w:rsidR="007522DE" w:rsidRPr="002D0A21" w:rsidRDefault="007522DE" w:rsidP="007522DE">
      <w:pPr>
        <w:ind w:left="709"/>
        <w:jc w:val="both"/>
        <w:rPr>
          <w:rFonts w:ascii="Verdana" w:hAnsi="Verdana"/>
          <w:i/>
          <w:sz w:val="20"/>
          <w:szCs w:val="20"/>
          <w:lang w:val="en-US"/>
        </w:rPr>
      </w:pPr>
      <w:r w:rsidRPr="002D0A21">
        <w:rPr>
          <w:rFonts w:ascii="Verdana" w:eastAsia="Times New Roman" w:hAnsi="Verdana" w:cs="Arial"/>
          <w:sz w:val="20"/>
          <w:szCs w:val="20"/>
          <w:lang w:val="en-US"/>
        </w:rPr>
        <w:t xml:space="preserve">172. The Court considers that the right to have their juridical personality recognized by the State is one of the special measures that should be provided to indigenous and tribal groups in order to ensure that they are able to enjoy their territory in accordance with their own traditions. This is a </w:t>
      </w:r>
      <w:r w:rsidRPr="002D0A21">
        <w:rPr>
          <w:rFonts w:ascii="Verdana" w:eastAsia="Times New Roman" w:hAnsi="Verdana" w:cs="Arial"/>
          <w:i/>
          <w:sz w:val="20"/>
          <w:szCs w:val="20"/>
          <w:lang w:val="en-US"/>
        </w:rPr>
        <w:t>natural consequence of the recognition of the right of members of indigenous and tribal groups to enjoy certain rights in a communal manner</w:t>
      </w:r>
      <w:r w:rsidRPr="002D0A21">
        <w:rPr>
          <w:rFonts w:ascii="Verdana" w:eastAsia="Times New Roman" w:hAnsi="Verdana" w:cs="Arial"/>
          <w:sz w:val="20"/>
          <w:szCs w:val="20"/>
          <w:lang w:val="en-US"/>
        </w:rPr>
        <w:t>.</w:t>
      </w:r>
      <w:r w:rsidRPr="00797250">
        <w:rPr>
          <w:rStyle w:val="FootnoteReference"/>
          <w:i/>
          <w:szCs w:val="20"/>
          <w:lang w:val="en-US"/>
        </w:rPr>
        <w:footnoteReference w:id="371"/>
      </w:r>
    </w:p>
    <w:p w14:paraId="5B49C3A7" w14:textId="77777777" w:rsidR="007522DE" w:rsidRPr="002D0A21" w:rsidRDefault="007522DE" w:rsidP="007522DE">
      <w:pPr>
        <w:pStyle w:val="Estilo2"/>
        <w:spacing w:after="0"/>
        <w:jc w:val="both"/>
        <w:rPr>
          <w:rFonts w:ascii="Verdana" w:hAnsi="Verdana"/>
          <w:sz w:val="20"/>
          <w:szCs w:val="20"/>
          <w:lang w:val="en-US"/>
        </w:rPr>
      </w:pPr>
    </w:p>
    <w:p w14:paraId="37E3D76D"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The same reasoning must be applied in the instant case; thus, the reference to Article 3 and, in particular, the supposed violation of this article, is not only unjustified, but also unnecessary.</w:t>
      </w:r>
      <w:r w:rsidRPr="002D0A21">
        <w:rPr>
          <w:rStyle w:val="FootnoteReference"/>
          <w:szCs w:val="20"/>
          <w:lang w:val="en-US"/>
        </w:rPr>
        <w:footnoteReference w:id="372"/>
      </w:r>
    </w:p>
    <w:p w14:paraId="3ACC50CE" w14:textId="77777777" w:rsidR="007522DE" w:rsidRPr="002D0A21" w:rsidRDefault="007522DE" w:rsidP="007522DE">
      <w:pPr>
        <w:pStyle w:val="Estilo1"/>
        <w:numPr>
          <w:ilvl w:val="0"/>
          <w:numId w:val="0"/>
        </w:numPr>
        <w:spacing w:after="0"/>
        <w:rPr>
          <w:rFonts w:ascii="Verdana" w:hAnsi="Verdana"/>
          <w:sz w:val="20"/>
          <w:szCs w:val="20"/>
          <w:lang w:val="en-US"/>
        </w:rPr>
      </w:pPr>
    </w:p>
    <w:p w14:paraId="4B44D15E" w14:textId="77777777" w:rsidR="007522DE" w:rsidRPr="002D0A21" w:rsidRDefault="007522DE" w:rsidP="007522DE">
      <w:pPr>
        <w:pStyle w:val="Estilo1"/>
        <w:numPr>
          <w:ilvl w:val="0"/>
          <w:numId w:val="54"/>
        </w:numPr>
        <w:spacing w:after="0"/>
        <w:jc w:val="center"/>
        <w:rPr>
          <w:rFonts w:ascii="Verdana" w:hAnsi="Verdana"/>
          <w:b/>
          <w:sz w:val="20"/>
          <w:szCs w:val="20"/>
          <w:lang w:val="en-US"/>
        </w:rPr>
      </w:pPr>
      <w:r w:rsidRPr="002D0A21">
        <w:rPr>
          <w:rFonts w:ascii="Verdana" w:hAnsi="Verdana"/>
          <w:b/>
          <w:sz w:val="20"/>
          <w:szCs w:val="20"/>
          <w:lang w:val="en-US"/>
        </w:rPr>
        <w:t>Article 13 (Freedom of Thought and Expression) was not violated</w:t>
      </w:r>
    </w:p>
    <w:p w14:paraId="2A20D785" w14:textId="77777777" w:rsidR="007522DE" w:rsidRPr="002D0A21" w:rsidRDefault="007522DE" w:rsidP="007522DE">
      <w:pPr>
        <w:pStyle w:val="Estilo1"/>
        <w:numPr>
          <w:ilvl w:val="0"/>
          <w:numId w:val="0"/>
        </w:numPr>
        <w:spacing w:after="0"/>
        <w:ind w:left="1080"/>
        <w:rPr>
          <w:rFonts w:ascii="Verdana" w:hAnsi="Verdana"/>
          <w:b/>
          <w:sz w:val="20"/>
          <w:szCs w:val="20"/>
          <w:lang w:val="en-US"/>
        </w:rPr>
      </w:pPr>
    </w:p>
    <w:p w14:paraId="48F8D106"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Art</w:t>
      </w:r>
      <w:r>
        <w:rPr>
          <w:rFonts w:ascii="Verdana" w:hAnsi="Verdana"/>
          <w:sz w:val="20"/>
          <w:szCs w:val="20"/>
          <w:lang w:val="en-US"/>
        </w:rPr>
        <w:t>icle</w:t>
      </w:r>
      <w:r w:rsidRPr="002D0A21">
        <w:rPr>
          <w:rFonts w:ascii="Verdana" w:hAnsi="Verdana"/>
          <w:sz w:val="20"/>
          <w:szCs w:val="20"/>
          <w:lang w:val="en-US"/>
        </w:rPr>
        <w:t xml:space="preserve"> 13(1) of the American Convention establishes the following:</w:t>
      </w:r>
    </w:p>
    <w:p w14:paraId="0C77A681" w14:textId="77777777" w:rsidR="007522DE" w:rsidRPr="002D0A21" w:rsidRDefault="007522DE" w:rsidP="007522DE">
      <w:pPr>
        <w:pStyle w:val="Estilo1"/>
        <w:numPr>
          <w:ilvl w:val="0"/>
          <w:numId w:val="0"/>
        </w:numPr>
        <w:spacing w:after="0"/>
        <w:rPr>
          <w:rFonts w:ascii="Verdana" w:hAnsi="Verdana"/>
          <w:sz w:val="20"/>
          <w:szCs w:val="20"/>
          <w:lang w:val="en-US"/>
        </w:rPr>
      </w:pPr>
    </w:p>
    <w:p w14:paraId="653B55BD" w14:textId="77777777" w:rsidR="007522DE" w:rsidRPr="002D0A21" w:rsidRDefault="007522DE" w:rsidP="007522DE">
      <w:pPr>
        <w:pStyle w:val="Estilo2"/>
        <w:spacing w:after="0"/>
        <w:rPr>
          <w:rFonts w:ascii="Verdana" w:hAnsi="Verdana"/>
          <w:sz w:val="20"/>
          <w:szCs w:val="20"/>
          <w:lang w:val="en-US"/>
        </w:rPr>
      </w:pPr>
      <w:proofErr w:type="gramStart"/>
      <w:r w:rsidRPr="002D0A21">
        <w:rPr>
          <w:rFonts w:ascii="Verdana" w:hAnsi="Verdana"/>
          <w:sz w:val="20"/>
          <w:szCs w:val="20"/>
          <w:lang w:val="en-US"/>
        </w:rPr>
        <w:t>Article 13.</w:t>
      </w:r>
      <w:proofErr w:type="gramEnd"/>
      <w:r w:rsidRPr="002D0A21">
        <w:rPr>
          <w:rFonts w:ascii="Verdana" w:hAnsi="Verdana"/>
          <w:sz w:val="20"/>
          <w:szCs w:val="20"/>
          <w:lang w:val="en-US"/>
        </w:rPr>
        <w:t xml:space="preserve"> Freedom of Thought and Expression</w:t>
      </w:r>
      <w:r w:rsidRPr="002D0A21" w:rsidDel="00945716">
        <w:rPr>
          <w:rFonts w:ascii="Verdana" w:hAnsi="Verdana"/>
          <w:sz w:val="20"/>
          <w:szCs w:val="20"/>
          <w:lang w:val="en-US"/>
        </w:rPr>
        <w:t xml:space="preserve"> </w:t>
      </w:r>
    </w:p>
    <w:p w14:paraId="30551A50" w14:textId="77777777" w:rsidR="007522DE" w:rsidRPr="002D0A21" w:rsidRDefault="007522DE" w:rsidP="007522DE">
      <w:pPr>
        <w:pStyle w:val="Estilo2"/>
        <w:spacing w:after="0"/>
        <w:jc w:val="left"/>
        <w:rPr>
          <w:rFonts w:ascii="Verdana" w:hAnsi="Verdana"/>
          <w:sz w:val="20"/>
          <w:szCs w:val="20"/>
          <w:lang w:val="en-US"/>
        </w:rPr>
      </w:pPr>
    </w:p>
    <w:p w14:paraId="4BDF430F" w14:textId="77777777" w:rsidR="007522DE" w:rsidRPr="002D0A21" w:rsidRDefault="007522DE" w:rsidP="007522DE">
      <w:pPr>
        <w:pStyle w:val="Estilo2"/>
        <w:numPr>
          <w:ilvl w:val="0"/>
          <w:numId w:val="55"/>
        </w:numPr>
        <w:spacing w:after="0"/>
        <w:ind w:right="386"/>
        <w:jc w:val="both"/>
        <w:rPr>
          <w:rFonts w:ascii="Verdana" w:hAnsi="Verdana"/>
          <w:sz w:val="20"/>
          <w:szCs w:val="20"/>
          <w:lang w:val="en-US"/>
        </w:rPr>
      </w:pPr>
      <w:r w:rsidRPr="002D0A21">
        <w:rPr>
          <w:rFonts w:ascii="Verdana" w:hAnsi="Verdana"/>
          <w:spacing w:val="-3"/>
          <w:sz w:val="20"/>
          <w:szCs w:val="20"/>
          <w:lang w:val="en-US"/>
        </w:rPr>
        <w:t>Everyone has the right to freedom of thought and expression.  This right includes freedom to seek, receive, and impart information and ideas of all kinds, regardless of frontiers, either orally, in writing, in print, in the form of art, or through any other medium of one's choice</w:t>
      </w:r>
      <w:r w:rsidRPr="002D0A21">
        <w:rPr>
          <w:rFonts w:ascii="Verdana" w:hAnsi="Verdana"/>
          <w:sz w:val="20"/>
          <w:szCs w:val="20"/>
          <w:lang w:val="en-US"/>
        </w:rPr>
        <w:t>.</w:t>
      </w:r>
    </w:p>
    <w:p w14:paraId="4F1C61AD" w14:textId="77777777" w:rsidR="007522DE" w:rsidRPr="002D0A21" w:rsidRDefault="007522DE" w:rsidP="007522DE">
      <w:pPr>
        <w:pStyle w:val="Estilo2"/>
        <w:spacing w:after="0"/>
        <w:ind w:left="0" w:right="386"/>
        <w:jc w:val="both"/>
        <w:rPr>
          <w:rFonts w:ascii="Verdana" w:hAnsi="Verdana"/>
          <w:sz w:val="20"/>
          <w:szCs w:val="20"/>
          <w:lang w:val="en-US"/>
        </w:rPr>
      </w:pPr>
    </w:p>
    <w:p w14:paraId="0EDC11C7" w14:textId="77777777" w:rsidR="007522DE" w:rsidRPr="002D0A21" w:rsidRDefault="007522DE" w:rsidP="007522DE">
      <w:pPr>
        <w:pStyle w:val="Estilo1"/>
        <w:spacing w:after="0"/>
        <w:ind w:right="26"/>
        <w:rPr>
          <w:rFonts w:ascii="Verdana" w:hAnsi="Verdana"/>
          <w:sz w:val="20"/>
          <w:szCs w:val="20"/>
          <w:lang w:val="en-US"/>
        </w:rPr>
      </w:pPr>
      <w:r w:rsidRPr="002D0A21">
        <w:rPr>
          <w:rFonts w:ascii="Verdana" w:hAnsi="Verdana"/>
          <w:sz w:val="20"/>
          <w:szCs w:val="20"/>
          <w:lang w:val="en-US"/>
        </w:rPr>
        <w:t xml:space="preserve">Once again it is necessary to point out that this provision has not been transcribed in the text of the judgment. Perhaps the reason for this unjustified omission is the fact that it is sufficient to read Article 13 to understand that the refusal to hand over certain information considered necessary </w:t>
      </w:r>
      <w:r>
        <w:rPr>
          <w:rFonts w:ascii="Verdana" w:hAnsi="Verdana"/>
          <w:sz w:val="20"/>
          <w:szCs w:val="20"/>
          <w:lang w:val="en-US"/>
        </w:rPr>
        <w:t xml:space="preserve">in order to </w:t>
      </w:r>
      <w:r w:rsidRPr="002D0A21">
        <w:rPr>
          <w:rFonts w:ascii="Verdana" w:hAnsi="Verdana"/>
          <w:sz w:val="20"/>
          <w:szCs w:val="20"/>
          <w:lang w:val="en-US"/>
        </w:rPr>
        <w:t xml:space="preserve">exercise the rights to participation and </w:t>
      </w:r>
      <w:r>
        <w:rPr>
          <w:rFonts w:ascii="Verdana" w:hAnsi="Verdana"/>
          <w:sz w:val="20"/>
          <w:szCs w:val="20"/>
          <w:lang w:val="en-US"/>
        </w:rPr>
        <w:t xml:space="preserve">to </w:t>
      </w:r>
      <w:r w:rsidRPr="002D0A21">
        <w:rPr>
          <w:rFonts w:ascii="Verdana" w:hAnsi="Verdana"/>
          <w:sz w:val="20"/>
          <w:szCs w:val="20"/>
          <w:lang w:val="en-US"/>
        </w:rPr>
        <w:t xml:space="preserve">consultation of an indigenous or tribal people are unrelated to “freedom of thought and expression” and, in particular, with the “freedom to </w:t>
      </w:r>
      <w:r w:rsidRPr="002D0A21">
        <w:rPr>
          <w:rFonts w:ascii="Verdana" w:hAnsi="Verdana"/>
          <w:spacing w:val="-3"/>
          <w:sz w:val="20"/>
          <w:szCs w:val="20"/>
          <w:lang w:val="en-US"/>
        </w:rPr>
        <w:t>seek, receive, and impart information and ideas of all kinds.”</w:t>
      </w:r>
    </w:p>
    <w:p w14:paraId="2BA2B04C" w14:textId="77777777" w:rsidR="007522DE" w:rsidRPr="002D0A21" w:rsidRDefault="007522DE" w:rsidP="007522DE">
      <w:pPr>
        <w:pStyle w:val="Estilo1"/>
        <w:numPr>
          <w:ilvl w:val="0"/>
          <w:numId w:val="0"/>
        </w:numPr>
        <w:spacing w:after="0"/>
        <w:rPr>
          <w:rFonts w:ascii="Verdana" w:hAnsi="Verdana"/>
          <w:sz w:val="20"/>
          <w:szCs w:val="20"/>
          <w:lang w:val="en-US"/>
        </w:rPr>
      </w:pPr>
    </w:p>
    <w:p w14:paraId="1B522582"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 xml:space="preserve">As the Court rightly indicated in the judgment in the </w:t>
      </w:r>
      <w:r w:rsidRPr="002D0A21">
        <w:rPr>
          <w:rFonts w:ascii="Verdana" w:hAnsi="Verdana"/>
          <w:i/>
          <w:sz w:val="20"/>
          <w:szCs w:val="20"/>
          <w:lang w:val="en-US"/>
        </w:rPr>
        <w:t>Sarayaku</w:t>
      </w:r>
      <w:r w:rsidRPr="002D0A21">
        <w:rPr>
          <w:rFonts w:ascii="Verdana" w:hAnsi="Verdana"/>
          <w:sz w:val="20"/>
          <w:szCs w:val="20"/>
          <w:lang w:val="en-US"/>
        </w:rPr>
        <w:t xml:space="preserve"> case:</w:t>
      </w:r>
    </w:p>
    <w:p w14:paraId="3975B429" w14:textId="77777777" w:rsidR="007522DE" w:rsidRPr="002D0A21" w:rsidRDefault="007522DE" w:rsidP="007522DE">
      <w:pPr>
        <w:pStyle w:val="Estilo1"/>
        <w:numPr>
          <w:ilvl w:val="0"/>
          <w:numId w:val="0"/>
        </w:numPr>
        <w:spacing w:after="0"/>
        <w:rPr>
          <w:rFonts w:ascii="Verdana" w:hAnsi="Verdana"/>
          <w:sz w:val="20"/>
          <w:szCs w:val="20"/>
          <w:lang w:val="en-US"/>
        </w:rPr>
      </w:pPr>
    </w:p>
    <w:p w14:paraId="738D4AC1" w14:textId="77777777" w:rsidR="007522DE" w:rsidRPr="002D0A21" w:rsidRDefault="007522DE" w:rsidP="007522DE">
      <w:pPr>
        <w:tabs>
          <w:tab w:val="left" w:pos="9000"/>
        </w:tabs>
        <w:ind w:left="720"/>
        <w:jc w:val="both"/>
        <w:rPr>
          <w:rFonts w:ascii="Verdana" w:hAnsi="Verdana"/>
          <w:sz w:val="20"/>
          <w:szCs w:val="20"/>
          <w:lang w:val="en-US"/>
        </w:rPr>
      </w:pPr>
      <w:r w:rsidRPr="002D0A21">
        <w:rPr>
          <w:rFonts w:ascii="Verdana" w:hAnsi="Verdana"/>
          <w:sz w:val="20"/>
          <w:szCs w:val="20"/>
          <w:lang w:val="en-US"/>
        </w:rPr>
        <w:t xml:space="preserve">[R]egarding the alleged violation of Articles 13, 23 and 26 of the Convention, the Court agrees with the Commission that, in cases such as this one, access to information is vital for effective democratic monitoring of the State’s management of the exploration and exploitation of natural resources on the territory of indigenous communities, a matter of evident public interest. Nevertheless, </w:t>
      </w:r>
      <w:r w:rsidRPr="002D0A21">
        <w:rPr>
          <w:rFonts w:ascii="Verdana" w:hAnsi="Verdana"/>
          <w:i/>
          <w:sz w:val="20"/>
          <w:szCs w:val="20"/>
          <w:lang w:val="en-US"/>
        </w:rPr>
        <w:t>the Court considers that, in this case, the facts have been sufficiently analyzed and the violations conceptualized under the rights to communal property, consultation and cultural identity of the Sarayaku People, in the terms of Article 21 of the Convention, in relation to Articles 1(1) and 2 thereof; accordingly, it will not rule on the alleged violation of those provisions</w:t>
      </w:r>
      <w:r w:rsidRPr="002D0A21">
        <w:rPr>
          <w:rFonts w:ascii="Verdana" w:hAnsi="Verdana"/>
          <w:sz w:val="20"/>
          <w:szCs w:val="20"/>
          <w:lang w:val="en-US"/>
        </w:rPr>
        <w:t>.</w:t>
      </w:r>
      <w:r w:rsidRPr="002D0A21">
        <w:rPr>
          <w:rStyle w:val="FootnoteReference"/>
          <w:szCs w:val="20"/>
          <w:lang w:val="en-US"/>
        </w:rPr>
        <w:footnoteReference w:id="373"/>
      </w:r>
    </w:p>
    <w:p w14:paraId="0E79C15B" w14:textId="77777777" w:rsidR="007522DE" w:rsidRPr="002D0A21" w:rsidRDefault="007522DE" w:rsidP="007522DE">
      <w:pPr>
        <w:pStyle w:val="Estilo3"/>
        <w:spacing w:after="0"/>
        <w:rPr>
          <w:rFonts w:ascii="Verdana" w:hAnsi="Verdana"/>
          <w:i w:val="0"/>
          <w:sz w:val="20"/>
          <w:szCs w:val="20"/>
          <w:lang w:val="en-US"/>
        </w:rPr>
      </w:pPr>
    </w:p>
    <w:p w14:paraId="6FFB8178"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 xml:space="preserve">In the instant case, the Court considered the possible violation of </w:t>
      </w:r>
      <w:r>
        <w:rPr>
          <w:rFonts w:ascii="Verdana" w:hAnsi="Verdana"/>
          <w:sz w:val="20"/>
          <w:szCs w:val="20"/>
          <w:lang w:val="en-US"/>
        </w:rPr>
        <w:t>Article</w:t>
      </w:r>
      <w:r w:rsidRPr="002D0A21">
        <w:rPr>
          <w:rFonts w:ascii="Verdana" w:hAnsi="Verdana"/>
          <w:sz w:val="20"/>
          <w:szCs w:val="20"/>
          <w:lang w:val="en-US"/>
        </w:rPr>
        <w:t xml:space="preserve"> 13 </w:t>
      </w:r>
      <w:r w:rsidRPr="002D0A21">
        <w:rPr>
          <w:rFonts w:ascii="Verdana" w:hAnsi="Verdana"/>
          <w:i/>
          <w:sz w:val="20"/>
          <w:szCs w:val="20"/>
          <w:lang w:val="en-US"/>
        </w:rPr>
        <w:t>ex officio</w:t>
      </w:r>
      <w:r w:rsidRPr="002D0A21">
        <w:rPr>
          <w:rFonts w:ascii="Verdana" w:hAnsi="Verdana"/>
          <w:sz w:val="20"/>
          <w:szCs w:val="20"/>
          <w:lang w:val="en-US"/>
        </w:rPr>
        <w:t>, because it had not been alleged by either the Commission or the presumed victims.</w:t>
      </w:r>
      <w:r w:rsidRPr="002D0A21">
        <w:rPr>
          <w:rStyle w:val="FootnoteReference"/>
          <w:szCs w:val="20"/>
          <w:lang w:val="en-US"/>
        </w:rPr>
        <w:footnoteReference w:id="374"/>
      </w:r>
      <w:r w:rsidRPr="002D0A21">
        <w:rPr>
          <w:rFonts w:ascii="Verdana" w:hAnsi="Verdana"/>
          <w:sz w:val="20"/>
          <w:szCs w:val="20"/>
          <w:lang w:val="en-US"/>
        </w:rPr>
        <w:t xml:space="preserve"> It immediately began to examin</w:t>
      </w:r>
      <w:r>
        <w:rPr>
          <w:rFonts w:ascii="Verdana" w:hAnsi="Verdana"/>
          <w:sz w:val="20"/>
          <w:szCs w:val="20"/>
          <w:lang w:val="en-US"/>
        </w:rPr>
        <w:t>e the possible violation of Article</w:t>
      </w:r>
      <w:r w:rsidRPr="002D0A21">
        <w:rPr>
          <w:rFonts w:ascii="Verdana" w:hAnsi="Verdana"/>
          <w:sz w:val="20"/>
          <w:szCs w:val="20"/>
          <w:lang w:val="en-US"/>
        </w:rPr>
        <w:t xml:space="preserve"> 13 consisting in the “the State’s failure to answer the request for information on the property titles, which the victims have alleged.”</w:t>
      </w:r>
      <w:r w:rsidRPr="002D0A21">
        <w:rPr>
          <w:rStyle w:val="FootnoteReference"/>
          <w:szCs w:val="20"/>
          <w:lang w:val="en-US"/>
        </w:rPr>
        <w:footnoteReference w:id="375"/>
      </w:r>
      <w:r w:rsidRPr="002D0A21">
        <w:rPr>
          <w:rFonts w:ascii="Verdana" w:hAnsi="Verdana"/>
          <w:sz w:val="20"/>
          <w:szCs w:val="20"/>
          <w:lang w:val="en-US"/>
        </w:rPr>
        <w:t xml:space="preserve"> More precisely, this was a request “to clarify and produce the relevant documents that prove whether the persons identified above [H.J. De Vries and Harrold Sijlbing] possess valid land titles in the village of Pierrekondre; and if so, [to explain] the nature of those titles and whether the said persons had permission to build houses and/or stores under them. [They] asked that this information be provided in writing </w:t>
      </w:r>
      <w:r w:rsidRPr="002D0A21">
        <w:rPr>
          <w:rFonts w:ascii="Verdana" w:hAnsi="Verdana"/>
          <w:sz w:val="20"/>
          <w:szCs w:val="20"/>
          <w:lang w:val="en-US"/>
        </w:rPr>
        <w:lastRenderedPageBreak/>
        <w:t>and discussed with [them] as soon as it was available.”</w:t>
      </w:r>
      <w:r w:rsidRPr="002D0A21">
        <w:rPr>
          <w:rStyle w:val="FootnoteReference"/>
          <w:szCs w:val="20"/>
          <w:lang w:val="en-US"/>
        </w:rPr>
        <w:footnoteReference w:id="376"/>
      </w:r>
      <w:r w:rsidRPr="002D0A21">
        <w:rPr>
          <w:rFonts w:ascii="Verdana" w:hAnsi="Verdana"/>
          <w:sz w:val="20"/>
          <w:szCs w:val="20"/>
          <w:lang w:val="en-US"/>
        </w:rPr>
        <w:t xml:space="preserve"> It is clear that this request for information is unrelated to “a matter o</w:t>
      </w:r>
      <w:r>
        <w:rPr>
          <w:rFonts w:ascii="Verdana" w:hAnsi="Verdana"/>
          <w:sz w:val="20"/>
          <w:szCs w:val="20"/>
          <w:lang w:val="en-US"/>
        </w:rPr>
        <w:t xml:space="preserve">f evident public interest,” </w:t>
      </w:r>
      <w:r w:rsidRPr="002D0A21">
        <w:rPr>
          <w:rFonts w:ascii="Verdana" w:hAnsi="Verdana"/>
          <w:sz w:val="20"/>
          <w:szCs w:val="20"/>
          <w:lang w:val="en-US"/>
        </w:rPr>
        <w:t xml:space="preserve">rather </w:t>
      </w:r>
      <w:r>
        <w:rPr>
          <w:rFonts w:ascii="Verdana" w:hAnsi="Verdana"/>
          <w:sz w:val="20"/>
          <w:szCs w:val="20"/>
          <w:lang w:val="en-US"/>
        </w:rPr>
        <w:t xml:space="preserve">it refers </w:t>
      </w:r>
      <w:r w:rsidRPr="002D0A21">
        <w:rPr>
          <w:rFonts w:ascii="Verdana" w:hAnsi="Verdana"/>
          <w:sz w:val="20"/>
          <w:szCs w:val="20"/>
          <w:lang w:val="en-US"/>
        </w:rPr>
        <w:t>to a matter of interest to the Kaliña and Lokono indigenous peoples in order to exercise their ri</w:t>
      </w:r>
      <w:r>
        <w:rPr>
          <w:rFonts w:ascii="Verdana" w:hAnsi="Verdana"/>
          <w:sz w:val="20"/>
          <w:szCs w:val="20"/>
          <w:lang w:val="en-US"/>
        </w:rPr>
        <w:t>ght to judicial protection (Article</w:t>
      </w:r>
      <w:r w:rsidRPr="002D0A21">
        <w:rPr>
          <w:rFonts w:ascii="Verdana" w:hAnsi="Verdana"/>
          <w:sz w:val="20"/>
          <w:szCs w:val="20"/>
          <w:lang w:val="en-US"/>
        </w:rPr>
        <w:t xml:space="preserve"> 25) in relation to their rights to collective property, participation and consultation.</w:t>
      </w:r>
    </w:p>
    <w:p w14:paraId="1EA2C864" w14:textId="77777777" w:rsidR="007522DE" w:rsidRPr="002D0A21" w:rsidRDefault="007522DE" w:rsidP="007522DE">
      <w:pPr>
        <w:pStyle w:val="Estilo1"/>
        <w:numPr>
          <w:ilvl w:val="0"/>
          <w:numId w:val="0"/>
        </w:numPr>
        <w:spacing w:after="0"/>
        <w:rPr>
          <w:rFonts w:ascii="Verdana" w:hAnsi="Verdana"/>
          <w:sz w:val="20"/>
          <w:szCs w:val="20"/>
          <w:lang w:val="en-US"/>
        </w:rPr>
      </w:pPr>
    </w:p>
    <w:p w14:paraId="65EE581A"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To the contrary, the freedom of information recognized in Article 13 of the Convention refers (in the terms transcribed above from the judgment in the Sarayaku case) to “information [that] is vital for effective democratic monitoring of the State’s management of the exploration and exploitation of natural resources on the territory of indigenous communities.” The instant case does not relate to the “democratic control of the State’s management,” but to the exercise of the specific rights mentioned at the end of the preceding paragraph. As the judgment indicates, “the information requested was important documentation to provide the Kaliña and Lokono peoples</w:t>
      </w:r>
      <w:r w:rsidRPr="002D0A21">
        <w:rPr>
          <w:rFonts w:ascii="Verdana" w:hAnsi="Verdana"/>
          <w:b/>
          <w:sz w:val="20"/>
          <w:szCs w:val="20"/>
          <w:lang w:val="en-US"/>
        </w:rPr>
        <w:t xml:space="preserve"> </w:t>
      </w:r>
      <w:r w:rsidRPr="002D0A21">
        <w:rPr>
          <w:rFonts w:ascii="Verdana" w:hAnsi="Verdana"/>
          <w:sz w:val="20"/>
          <w:szCs w:val="20"/>
          <w:lang w:val="en-US"/>
        </w:rPr>
        <w:t>with precise facts on how many individuals from outside their communities were in the area, and the legal situation of the land ownership. Thus, the information could have provided them with additional evidence when filing their claims in the domestic jurisdiction.”</w:t>
      </w:r>
      <w:r w:rsidRPr="002D0A21">
        <w:rPr>
          <w:rStyle w:val="FootnoteReference"/>
          <w:szCs w:val="20"/>
          <w:lang w:val="en-US"/>
        </w:rPr>
        <w:footnoteReference w:id="377"/>
      </w:r>
    </w:p>
    <w:p w14:paraId="03B6CAFF" w14:textId="77777777" w:rsidR="007522DE" w:rsidRPr="002D0A21" w:rsidRDefault="007522DE" w:rsidP="007522DE">
      <w:pPr>
        <w:pStyle w:val="Estilo1"/>
        <w:numPr>
          <w:ilvl w:val="0"/>
          <w:numId w:val="0"/>
        </w:numPr>
        <w:spacing w:after="0"/>
        <w:rPr>
          <w:rFonts w:ascii="Verdana" w:hAnsi="Verdana"/>
          <w:sz w:val="20"/>
          <w:szCs w:val="20"/>
          <w:lang w:val="en-US"/>
        </w:rPr>
      </w:pPr>
    </w:p>
    <w:p w14:paraId="16963B2E"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Therefore, it was not in order to declare a violation of Article 13 of the Convention; rather it was sufficient to declare the violation of Article 25 (Right to Judicial Protection).</w:t>
      </w:r>
    </w:p>
    <w:p w14:paraId="1C692370" w14:textId="77777777" w:rsidR="007522DE" w:rsidRPr="002D0A21" w:rsidRDefault="007522DE" w:rsidP="007522DE">
      <w:pPr>
        <w:pStyle w:val="Estilo1"/>
        <w:numPr>
          <w:ilvl w:val="0"/>
          <w:numId w:val="0"/>
        </w:numPr>
        <w:spacing w:after="0"/>
        <w:rPr>
          <w:rFonts w:ascii="Verdana" w:hAnsi="Verdana"/>
          <w:sz w:val="20"/>
          <w:szCs w:val="20"/>
          <w:lang w:val="en-US"/>
        </w:rPr>
      </w:pPr>
    </w:p>
    <w:p w14:paraId="08813D5B" w14:textId="77777777" w:rsidR="007522DE" w:rsidRPr="002D0A21" w:rsidRDefault="007522DE" w:rsidP="007522DE">
      <w:pPr>
        <w:pStyle w:val="Estilo1"/>
        <w:numPr>
          <w:ilvl w:val="0"/>
          <w:numId w:val="54"/>
        </w:numPr>
        <w:spacing w:after="0"/>
        <w:jc w:val="center"/>
        <w:rPr>
          <w:rFonts w:ascii="Verdana" w:hAnsi="Verdana"/>
          <w:b/>
          <w:sz w:val="20"/>
          <w:szCs w:val="20"/>
          <w:lang w:val="en-US"/>
        </w:rPr>
      </w:pPr>
      <w:r w:rsidRPr="002D0A21">
        <w:rPr>
          <w:rFonts w:ascii="Verdana" w:hAnsi="Verdana"/>
          <w:b/>
          <w:sz w:val="20"/>
          <w:szCs w:val="20"/>
          <w:lang w:val="en-US"/>
        </w:rPr>
        <w:t>Article 23 (Right to Participate in Government) was not violated</w:t>
      </w:r>
    </w:p>
    <w:p w14:paraId="611B9257" w14:textId="77777777" w:rsidR="007522DE" w:rsidRPr="002D0A21" w:rsidRDefault="007522DE" w:rsidP="007522DE">
      <w:pPr>
        <w:pStyle w:val="Estilo1"/>
        <w:numPr>
          <w:ilvl w:val="0"/>
          <w:numId w:val="0"/>
        </w:numPr>
        <w:spacing w:after="0"/>
        <w:ind w:left="1080"/>
        <w:rPr>
          <w:rFonts w:ascii="Verdana" w:hAnsi="Verdana"/>
          <w:b/>
          <w:sz w:val="20"/>
          <w:szCs w:val="20"/>
          <w:lang w:val="en-US"/>
        </w:rPr>
      </w:pPr>
    </w:p>
    <w:p w14:paraId="79C9FBFA" w14:textId="77777777" w:rsidR="007522DE" w:rsidRPr="002D0A21" w:rsidRDefault="007522DE" w:rsidP="007522DE">
      <w:pPr>
        <w:pStyle w:val="Estilo1"/>
        <w:spacing w:after="0"/>
        <w:rPr>
          <w:rFonts w:ascii="Verdana" w:hAnsi="Verdana"/>
          <w:sz w:val="20"/>
          <w:szCs w:val="20"/>
          <w:lang w:val="en-US"/>
        </w:rPr>
      </w:pPr>
      <w:r>
        <w:rPr>
          <w:rFonts w:ascii="Verdana" w:hAnsi="Verdana"/>
          <w:sz w:val="20"/>
          <w:szCs w:val="20"/>
          <w:lang w:val="en-US"/>
        </w:rPr>
        <w:t xml:space="preserve">Article </w:t>
      </w:r>
      <w:r w:rsidRPr="002D0A21">
        <w:rPr>
          <w:rFonts w:ascii="Verdana" w:hAnsi="Verdana"/>
          <w:sz w:val="20"/>
          <w:szCs w:val="20"/>
          <w:lang w:val="en-US"/>
        </w:rPr>
        <w:t>23 of the American Convention establishes the following:</w:t>
      </w:r>
    </w:p>
    <w:p w14:paraId="54D4A6FF" w14:textId="77777777" w:rsidR="007522DE" w:rsidRPr="002D0A21" w:rsidRDefault="007522DE" w:rsidP="007522DE">
      <w:pPr>
        <w:pStyle w:val="Estilo1"/>
        <w:numPr>
          <w:ilvl w:val="0"/>
          <w:numId w:val="0"/>
        </w:numPr>
        <w:spacing w:after="0"/>
        <w:ind w:right="386"/>
        <w:rPr>
          <w:rFonts w:ascii="Verdana" w:hAnsi="Verdana"/>
          <w:sz w:val="20"/>
          <w:szCs w:val="20"/>
          <w:lang w:val="en-US"/>
        </w:rPr>
      </w:pPr>
    </w:p>
    <w:p w14:paraId="7D17642B" w14:textId="77777777" w:rsidR="007522DE" w:rsidRPr="002D0A21" w:rsidRDefault="007522DE" w:rsidP="007522DE">
      <w:pPr>
        <w:pStyle w:val="Estilo2"/>
        <w:spacing w:after="0"/>
        <w:ind w:right="386"/>
        <w:rPr>
          <w:rFonts w:ascii="Verdana" w:hAnsi="Verdana"/>
          <w:sz w:val="20"/>
          <w:szCs w:val="20"/>
          <w:lang w:val="en-US"/>
        </w:rPr>
      </w:pPr>
      <w:proofErr w:type="gramStart"/>
      <w:r w:rsidRPr="002D0A21">
        <w:rPr>
          <w:rFonts w:ascii="Verdana" w:hAnsi="Verdana"/>
          <w:sz w:val="20"/>
          <w:szCs w:val="20"/>
          <w:lang w:val="en-US"/>
        </w:rPr>
        <w:t>Article 23.</w:t>
      </w:r>
      <w:proofErr w:type="gramEnd"/>
      <w:r w:rsidRPr="002D0A21">
        <w:rPr>
          <w:rFonts w:ascii="Verdana" w:hAnsi="Verdana"/>
          <w:sz w:val="20"/>
          <w:szCs w:val="20"/>
          <w:lang w:val="en-US"/>
        </w:rPr>
        <w:t xml:space="preserve">  Right to Participate in Government </w:t>
      </w:r>
    </w:p>
    <w:p w14:paraId="056AB62B" w14:textId="77777777" w:rsidR="007522DE" w:rsidRPr="002D0A21" w:rsidRDefault="007522DE" w:rsidP="007522DE">
      <w:pPr>
        <w:pStyle w:val="Estilo2"/>
        <w:spacing w:after="0"/>
        <w:ind w:right="386"/>
        <w:rPr>
          <w:rFonts w:ascii="Verdana" w:hAnsi="Verdana"/>
          <w:sz w:val="20"/>
          <w:szCs w:val="20"/>
          <w:lang w:val="en-US"/>
        </w:rPr>
      </w:pPr>
    </w:p>
    <w:p w14:paraId="69DB3C5A" w14:textId="77777777" w:rsidR="007522DE" w:rsidRPr="002D0A21" w:rsidRDefault="007522DE" w:rsidP="007522DE">
      <w:pPr>
        <w:tabs>
          <w:tab w:val="left" w:pos="720"/>
          <w:tab w:val="left" w:pos="1080"/>
          <w:tab w:val="left" w:pos="1680"/>
          <w:tab w:val="left" w:pos="5400"/>
        </w:tabs>
        <w:suppressAutoHyphens/>
        <w:ind w:left="720"/>
        <w:jc w:val="both"/>
        <w:rPr>
          <w:rFonts w:ascii="Verdana" w:hAnsi="Verdana"/>
          <w:i/>
          <w:spacing w:val="-3"/>
          <w:sz w:val="20"/>
          <w:szCs w:val="20"/>
          <w:lang w:val="en-US"/>
        </w:rPr>
      </w:pPr>
      <w:r w:rsidRPr="002D0A21">
        <w:rPr>
          <w:rFonts w:ascii="Verdana" w:hAnsi="Verdana"/>
          <w:i/>
          <w:spacing w:val="-3"/>
          <w:sz w:val="20"/>
          <w:szCs w:val="20"/>
          <w:lang w:val="en-US"/>
        </w:rPr>
        <w:t>1.</w:t>
      </w:r>
      <w:r w:rsidRPr="002D0A21">
        <w:rPr>
          <w:rFonts w:ascii="Verdana" w:hAnsi="Verdana"/>
          <w:i/>
          <w:spacing w:val="-3"/>
          <w:sz w:val="20"/>
          <w:szCs w:val="20"/>
          <w:lang w:val="en-US"/>
        </w:rPr>
        <w:tab/>
        <w:t>Every citizen shall enjoy the following rights and opportunities:</w:t>
      </w:r>
    </w:p>
    <w:p w14:paraId="1AA73365" w14:textId="77777777" w:rsidR="007522DE" w:rsidRPr="002D0A21" w:rsidRDefault="007522DE" w:rsidP="007522DE">
      <w:pPr>
        <w:tabs>
          <w:tab w:val="left" w:pos="720"/>
          <w:tab w:val="left" w:pos="1080"/>
          <w:tab w:val="left" w:pos="1680"/>
          <w:tab w:val="left" w:pos="5400"/>
        </w:tabs>
        <w:suppressAutoHyphens/>
        <w:ind w:left="720" w:hanging="1080"/>
        <w:jc w:val="both"/>
        <w:rPr>
          <w:rFonts w:ascii="Verdana" w:hAnsi="Verdana"/>
          <w:i/>
          <w:spacing w:val="-3"/>
          <w:sz w:val="20"/>
          <w:szCs w:val="20"/>
          <w:lang w:val="en-US"/>
        </w:rPr>
      </w:pPr>
      <w:r w:rsidRPr="002D0A21">
        <w:rPr>
          <w:rFonts w:ascii="Verdana" w:hAnsi="Verdana"/>
          <w:i/>
          <w:spacing w:val="-3"/>
          <w:sz w:val="20"/>
          <w:szCs w:val="20"/>
          <w:lang w:val="en-US"/>
        </w:rPr>
        <w:tab/>
      </w:r>
      <w:proofErr w:type="gramStart"/>
      <w:r w:rsidRPr="002D0A21">
        <w:rPr>
          <w:rFonts w:ascii="Verdana" w:hAnsi="Verdana"/>
          <w:i/>
          <w:spacing w:val="-3"/>
          <w:sz w:val="20"/>
          <w:szCs w:val="20"/>
          <w:lang w:val="en-US"/>
        </w:rPr>
        <w:t>a</w:t>
      </w:r>
      <w:proofErr w:type="gramEnd"/>
      <w:r w:rsidRPr="002D0A21">
        <w:rPr>
          <w:rFonts w:ascii="Verdana" w:hAnsi="Verdana"/>
          <w:i/>
          <w:spacing w:val="-3"/>
          <w:sz w:val="20"/>
          <w:szCs w:val="20"/>
          <w:lang w:val="en-US"/>
        </w:rPr>
        <w:t>.</w:t>
      </w:r>
      <w:r w:rsidRPr="002D0A21">
        <w:rPr>
          <w:rFonts w:ascii="Verdana" w:hAnsi="Verdana"/>
          <w:i/>
          <w:spacing w:val="-3"/>
          <w:sz w:val="20"/>
          <w:szCs w:val="20"/>
          <w:lang w:val="en-US"/>
        </w:rPr>
        <w:tab/>
        <w:t>to take part in the conduct of public affairs, directly or through freely chosen representatives;</w:t>
      </w:r>
    </w:p>
    <w:p w14:paraId="1B6B7658" w14:textId="77777777" w:rsidR="007522DE" w:rsidRPr="002D0A21" w:rsidRDefault="007522DE" w:rsidP="007522DE">
      <w:pPr>
        <w:tabs>
          <w:tab w:val="left" w:pos="720"/>
          <w:tab w:val="left" w:pos="1080"/>
          <w:tab w:val="left" w:pos="1680"/>
          <w:tab w:val="left" w:pos="5400"/>
        </w:tabs>
        <w:suppressAutoHyphens/>
        <w:ind w:left="720" w:hanging="1080"/>
        <w:jc w:val="both"/>
        <w:rPr>
          <w:rFonts w:ascii="Verdana" w:hAnsi="Verdana"/>
          <w:i/>
          <w:spacing w:val="-3"/>
          <w:sz w:val="20"/>
          <w:szCs w:val="20"/>
          <w:lang w:val="en-US"/>
        </w:rPr>
      </w:pPr>
      <w:r w:rsidRPr="002D0A21">
        <w:rPr>
          <w:rFonts w:ascii="Verdana" w:hAnsi="Verdana"/>
          <w:i/>
          <w:spacing w:val="-3"/>
          <w:sz w:val="20"/>
          <w:szCs w:val="20"/>
          <w:lang w:val="en-US"/>
        </w:rPr>
        <w:tab/>
        <w:t>b.</w:t>
      </w:r>
      <w:r w:rsidRPr="002D0A21">
        <w:rPr>
          <w:rFonts w:ascii="Verdana" w:hAnsi="Verdana"/>
          <w:i/>
          <w:spacing w:val="-3"/>
          <w:sz w:val="20"/>
          <w:szCs w:val="20"/>
          <w:lang w:val="en-US"/>
        </w:rPr>
        <w:tab/>
        <w:t>to vote and to be elected in genuine periodic elections, which shall be by universal and equal suffrage and by secret ballot that guarantees the free expression of the will of the voters; and</w:t>
      </w:r>
    </w:p>
    <w:p w14:paraId="04A7E0D8" w14:textId="77777777" w:rsidR="007522DE" w:rsidRPr="002D0A21" w:rsidRDefault="007522DE" w:rsidP="007522DE">
      <w:pPr>
        <w:tabs>
          <w:tab w:val="left" w:pos="720"/>
          <w:tab w:val="left" w:pos="1080"/>
          <w:tab w:val="left" w:pos="1680"/>
          <w:tab w:val="left" w:pos="5400"/>
        </w:tabs>
        <w:suppressAutoHyphens/>
        <w:ind w:left="720" w:hanging="1080"/>
        <w:jc w:val="both"/>
        <w:rPr>
          <w:rFonts w:ascii="Verdana" w:hAnsi="Verdana"/>
          <w:i/>
          <w:spacing w:val="-3"/>
          <w:sz w:val="20"/>
          <w:szCs w:val="20"/>
          <w:lang w:val="en-US"/>
        </w:rPr>
      </w:pPr>
      <w:r w:rsidRPr="002D0A21">
        <w:rPr>
          <w:rFonts w:ascii="Verdana" w:hAnsi="Verdana"/>
          <w:i/>
          <w:spacing w:val="-3"/>
          <w:sz w:val="20"/>
          <w:szCs w:val="20"/>
          <w:lang w:val="en-US"/>
        </w:rPr>
        <w:tab/>
      </w:r>
      <w:proofErr w:type="gramStart"/>
      <w:r w:rsidRPr="002D0A21">
        <w:rPr>
          <w:rFonts w:ascii="Verdana" w:hAnsi="Verdana"/>
          <w:i/>
          <w:spacing w:val="-3"/>
          <w:sz w:val="20"/>
          <w:szCs w:val="20"/>
          <w:lang w:val="en-US"/>
        </w:rPr>
        <w:t>c</w:t>
      </w:r>
      <w:proofErr w:type="gramEnd"/>
      <w:r w:rsidRPr="002D0A21">
        <w:rPr>
          <w:rFonts w:ascii="Verdana" w:hAnsi="Verdana"/>
          <w:i/>
          <w:spacing w:val="-3"/>
          <w:sz w:val="20"/>
          <w:szCs w:val="20"/>
          <w:lang w:val="en-US"/>
        </w:rPr>
        <w:t>.</w:t>
      </w:r>
      <w:r w:rsidRPr="002D0A21">
        <w:rPr>
          <w:rFonts w:ascii="Verdana" w:hAnsi="Verdana"/>
          <w:i/>
          <w:spacing w:val="-3"/>
          <w:sz w:val="20"/>
          <w:szCs w:val="20"/>
          <w:lang w:val="en-US"/>
        </w:rPr>
        <w:tab/>
        <w:t>to have access, under general conditions of equality, to the public service of his country.</w:t>
      </w:r>
    </w:p>
    <w:p w14:paraId="37696DE6" w14:textId="77777777" w:rsidR="007522DE" w:rsidRPr="002D0A21" w:rsidRDefault="007522DE" w:rsidP="007522DE">
      <w:pPr>
        <w:tabs>
          <w:tab w:val="left" w:pos="480"/>
          <w:tab w:val="left" w:pos="1080"/>
          <w:tab w:val="left" w:pos="1680"/>
          <w:tab w:val="left" w:pos="5400"/>
        </w:tabs>
        <w:suppressAutoHyphens/>
        <w:ind w:left="720"/>
        <w:jc w:val="both"/>
        <w:rPr>
          <w:rFonts w:ascii="Verdana" w:hAnsi="Verdana"/>
          <w:i/>
          <w:spacing w:val="-3"/>
          <w:sz w:val="16"/>
          <w:szCs w:val="16"/>
          <w:lang w:val="en-US"/>
        </w:rPr>
      </w:pPr>
    </w:p>
    <w:p w14:paraId="62A9E991" w14:textId="77777777" w:rsidR="007522DE" w:rsidRPr="002D0A21" w:rsidRDefault="007522DE" w:rsidP="007522DE">
      <w:pPr>
        <w:tabs>
          <w:tab w:val="left" w:pos="480"/>
          <w:tab w:val="left" w:pos="1080"/>
          <w:tab w:val="left" w:pos="1680"/>
          <w:tab w:val="left" w:pos="5400"/>
        </w:tabs>
        <w:suppressAutoHyphens/>
        <w:ind w:left="720"/>
        <w:jc w:val="both"/>
        <w:rPr>
          <w:rFonts w:ascii="Verdana" w:hAnsi="Verdana"/>
          <w:i/>
          <w:spacing w:val="-3"/>
          <w:sz w:val="20"/>
          <w:szCs w:val="20"/>
          <w:lang w:val="en-US"/>
        </w:rPr>
      </w:pPr>
      <w:r w:rsidRPr="002D0A21">
        <w:rPr>
          <w:rFonts w:ascii="Verdana" w:hAnsi="Verdana"/>
          <w:i/>
          <w:spacing w:val="-3"/>
          <w:sz w:val="20"/>
          <w:szCs w:val="20"/>
          <w:lang w:val="en-US"/>
        </w:rPr>
        <w:t>2.</w:t>
      </w:r>
      <w:r w:rsidRPr="002D0A21">
        <w:rPr>
          <w:rFonts w:ascii="Verdana" w:hAnsi="Verdana"/>
          <w:i/>
          <w:spacing w:val="-3"/>
          <w:sz w:val="20"/>
          <w:szCs w:val="20"/>
          <w:lang w:val="en-US"/>
        </w:rPr>
        <w:tab/>
        <w:t>The law may regulate the exercise of the rights and opportunities referred to in the preceding paragraph only on the basis of age, nationality, residence, language, education, civil and mental capacity, or sentencing by a competent court in criminal proceedings.</w:t>
      </w:r>
    </w:p>
    <w:p w14:paraId="2B7257CA" w14:textId="77777777" w:rsidR="007522DE" w:rsidRPr="002D0A21" w:rsidRDefault="007522DE" w:rsidP="007522DE">
      <w:pPr>
        <w:pStyle w:val="Estilo2"/>
        <w:spacing w:after="0"/>
        <w:ind w:left="708"/>
        <w:jc w:val="both"/>
        <w:rPr>
          <w:rFonts w:ascii="Verdana" w:hAnsi="Verdana"/>
          <w:sz w:val="20"/>
          <w:szCs w:val="20"/>
          <w:lang w:val="en-US"/>
        </w:rPr>
      </w:pPr>
    </w:p>
    <w:p w14:paraId="5C9E9A60" w14:textId="77777777" w:rsidR="007522DE" w:rsidRPr="002D0A21" w:rsidRDefault="007522DE" w:rsidP="007522DE">
      <w:pPr>
        <w:pStyle w:val="Estilo1"/>
        <w:spacing w:after="0"/>
        <w:rPr>
          <w:rFonts w:ascii="Verdana" w:hAnsi="Verdana"/>
          <w:sz w:val="20"/>
          <w:szCs w:val="20"/>
          <w:lang w:val="en-US"/>
        </w:rPr>
      </w:pPr>
      <w:r>
        <w:rPr>
          <w:rFonts w:ascii="Verdana" w:hAnsi="Verdana"/>
          <w:sz w:val="20"/>
          <w:szCs w:val="20"/>
          <w:lang w:val="en-US"/>
        </w:rPr>
        <w:t>In this case, Article</w:t>
      </w:r>
      <w:r w:rsidRPr="002D0A21">
        <w:rPr>
          <w:rFonts w:ascii="Verdana" w:hAnsi="Verdana"/>
          <w:sz w:val="20"/>
          <w:szCs w:val="20"/>
          <w:lang w:val="en-US"/>
        </w:rPr>
        <w:t xml:space="preserve"> 23 was transcribed in the text of the judgment. But the transcription is partial and biased. It only goes as far as the words “public affairs,” and omits the passage that states “directly or through freely chosen representatives” as well as subparagraphs (b) and (c) regarding the “rights and opportunities” “to vote and to be elected” and to have equal access “to the public service.” Both the elements omitted and the reference to “public affairs” and the name of the rights in question (“Right to Participate in Government”) would be sufficient to exclude the application of the norm allegedly </w:t>
      </w:r>
      <w:r w:rsidRPr="002D0A21">
        <w:rPr>
          <w:rFonts w:ascii="Verdana" w:hAnsi="Verdana"/>
          <w:sz w:val="20"/>
          <w:szCs w:val="20"/>
          <w:lang w:val="en-US"/>
        </w:rPr>
        <w:lastRenderedPageBreak/>
        <w:t xml:space="preserve">violated to a matter concerning private property (Article 21) and not “a matter of evident public interest” (as seen in paras. 13 and 14), but rather a private matter. </w:t>
      </w:r>
    </w:p>
    <w:p w14:paraId="4B954558" w14:textId="77777777" w:rsidR="007522DE" w:rsidRPr="002D0A21" w:rsidRDefault="007522DE" w:rsidP="007522DE">
      <w:pPr>
        <w:pStyle w:val="Estilo1"/>
        <w:numPr>
          <w:ilvl w:val="0"/>
          <w:numId w:val="0"/>
        </w:numPr>
        <w:spacing w:after="0"/>
        <w:rPr>
          <w:rFonts w:ascii="Verdana" w:hAnsi="Verdana"/>
          <w:sz w:val="20"/>
          <w:szCs w:val="20"/>
          <w:lang w:val="en-US"/>
        </w:rPr>
      </w:pPr>
    </w:p>
    <w:p w14:paraId="38920D19"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According to the second operative paragraph of the judgment, the violation of Article 23 was allegedly proved “pursuant to paragraphs 122 to 230.” But, an analysis of those paragraphs reveals that, although they are inserted in Chapter VI.2, entitled “Right to collective property (Article 21) and political rights (Article 23) in relation to Articles 1(1) and 2 of the American Convention,” none of its sections deals with the political rights that were presumably violated. The “Considerations of the Court” are comprised of the following four sections, and they do not mention such rights either: “</w:t>
      </w:r>
      <w:bookmarkStart w:id="104" w:name="_Toc438137477"/>
      <w:r w:rsidRPr="002D0A21">
        <w:rPr>
          <w:rFonts w:ascii="Verdana" w:hAnsi="Verdana"/>
          <w:i/>
          <w:sz w:val="20"/>
          <w:szCs w:val="20"/>
          <w:lang w:val="en-US"/>
        </w:rPr>
        <w:t>B.1 Interpretation of the right to collective property of the indigenous peoples in this case”; B.2 The failure to recognize the right to collective property of the Kaliña and Lokono indigenous peoples”; B.3 Nature reserves in the traditional territory”</w:t>
      </w:r>
      <w:r>
        <w:rPr>
          <w:rFonts w:ascii="Verdana" w:hAnsi="Verdana"/>
          <w:i/>
          <w:sz w:val="20"/>
          <w:szCs w:val="20"/>
          <w:lang w:val="en-US"/>
        </w:rPr>
        <w:t>,</w:t>
      </w:r>
      <w:r w:rsidRPr="002D0A21">
        <w:rPr>
          <w:rFonts w:ascii="Verdana" w:hAnsi="Verdana"/>
          <w:i/>
          <w:sz w:val="20"/>
          <w:szCs w:val="20"/>
          <w:lang w:val="en-US"/>
        </w:rPr>
        <w:t xml:space="preserve"> and “B.4 The right to collective property in relation to the mining concession within the Wane Kreek Nature Reserve.”</w:t>
      </w:r>
    </w:p>
    <w:bookmarkEnd w:id="104"/>
    <w:p w14:paraId="560D4089" w14:textId="77777777" w:rsidR="007522DE" w:rsidRPr="002D0A21" w:rsidRDefault="007522DE" w:rsidP="007522DE">
      <w:pPr>
        <w:pStyle w:val="Estilo1"/>
        <w:numPr>
          <w:ilvl w:val="0"/>
          <w:numId w:val="0"/>
        </w:numPr>
        <w:spacing w:after="0"/>
        <w:rPr>
          <w:rFonts w:ascii="Verdana" w:hAnsi="Verdana"/>
          <w:sz w:val="20"/>
          <w:szCs w:val="20"/>
          <w:lang w:val="en-US"/>
        </w:rPr>
      </w:pPr>
    </w:p>
    <w:p w14:paraId="5571BA69" w14:textId="77777777" w:rsidR="007522DE" w:rsidRDefault="007522DE" w:rsidP="007522DE">
      <w:pPr>
        <w:pStyle w:val="Estilo1"/>
        <w:spacing w:after="0"/>
        <w:rPr>
          <w:rFonts w:ascii="Verdana" w:hAnsi="Verdana"/>
          <w:sz w:val="20"/>
          <w:szCs w:val="20"/>
          <w:lang w:val="en-US"/>
        </w:rPr>
      </w:pPr>
      <w:r w:rsidRPr="002D0A21">
        <w:rPr>
          <w:rFonts w:ascii="Verdana" w:hAnsi="Verdana"/>
          <w:sz w:val="20"/>
          <w:szCs w:val="20"/>
          <w:lang w:val="en-US"/>
        </w:rPr>
        <w:t xml:space="preserve">Also, the four </w:t>
      </w:r>
      <w:r>
        <w:rPr>
          <w:rFonts w:ascii="Verdana" w:hAnsi="Verdana"/>
          <w:sz w:val="20"/>
          <w:szCs w:val="20"/>
          <w:lang w:val="en-US"/>
        </w:rPr>
        <w:t>main disputes described in paragraph</w:t>
      </w:r>
      <w:r w:rsidRPr="002D0A21">
        <w:rPr>
          <w:rFonts w:ascii="Verdana" w:hAnsi="Verdana"/>
          <w:sz w:val="20"/>
          <w:szCs w:val="20"/>
          <w:lang w:val="en-US"/>
        </w:rPr>
        <w:t xml:space="preserve"> 127 do not mention political rights or Article 23,</w:t>
      </w:r>
      <w:r w:rsidRPr="002D0A21">
        <w:rPr>
          <w:rStyle w:val="FootnoteReference"/>
          <w:szCs w:val="20"/>
          <w:lang w:val="en-US"/>
        </w:rPr>
        <w:footnoteReference w:id="378"/>
      </w:r>
      <w:r w:rsidRPr="002D0A21">
        <w:rPr>
          <w:rFonts w:ascii="Verdana" w:hAnsi="Verdana"/>
          <w:sz w:val="20"/>
          <w:szCs w:val="20"/>
          <w:lang w:val="en-US"/>
        </w:rPr>
        <w:t xml:space="preserve"> and the 109 paragraphs of these sections do not include any terms that would attempt to provide grounds for the alleged violation of </w:t>
      </w:r>
      <w:r>
        <w:rPr>
          <w:rFonts w:ascii="Verdana" w:hAnsi="Verdana"/>
          <w:sz w:val="20"/>
          <w:szCs w:val="20"/>
          <w:lang w:val="en-US"/>
        </w:rPr>
        <w:t>Article</w:t>
      </w:r>
      <w:r w:rsidRPr="002D0A21">
        <w:rPr>
          <w:rFonts w:ascii="Verdana" w:hAnsi="Verdana"/>
          <w:sz w:val="20"/>
          <w:szCs w:val="20"/>
          <w:lang w:val="en-US"/>
        </w:rPr>
        <w:t xml:space="preserve"> 23:</w:t>
      </w:r>
    </w:p>
    <w:p w14:paraId="0709248A" w14:textId="77777777" w:rsidR="007522DE" w:rsidRPr="002D0A21" w:rsidRDefault="007522DE" w:rsidP="007522DE">
      <w:pPr>
        <w:pStyle w:val="Estilo1"/>
        <w:numPr>
          <w:ilvl w:val="0"/>
          <w:numId w:val="0"/>
        </w:numPr>
        <w:spacing w:after="0"/>
        <w:rPr>
          <w:rFonts w:ascii="Verdana" w:hAnsi="Verdana"/>
          <w:sz w:val="20"/>
          <w:szCs w:val="20"/>
          <w:lang w:val="en-US"/>
        </w:rPr>
      </w:pPr>
    </w:p>
    <w:p w14:paraId="04CB862C"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Paragraph 126: “[…]</w:t>
      </w:r>
      <w:r>
        <w:rPr>
          <w:rFonts w:ascii="Verdana" w:hAnsi="Verdana"/>
          <w:sz w:val="20"/>
          <w:szCs w:val="20"/>
          <w:lang w:val="en-US"/>
        </w:rPr>
        <w:t xml:space="preserve"> </w:t>
      </w:r>
      <w:r w:rsidRPr="002D0A21">
        <w:rPr>
          <w:rFonts w:ascii="Verdana" w:hAnsi="Verdana"/>
          <w:sz w:val="20"/>
          <w:szCs w:val="20"/>
          <w:lang w:val="en-US"/>
        </w:rPr>
        <w:t xml:space="preserve">the Court considers it important to emphasize that, although the parties have not argued the violation of Article 23 of the Convention during the proceedings before this Court, it finds it pertinent to apply the </w:t>
      </w:r>
      <w:r w:rsidRPr="002D0A21">
        <w:rPr>
          <w:rFonts w:ascii="Verdana" w:hAnsi="Verdana"/>
          <w:i/>
          <w:sz w:val="20"/>
          <w:szCs w:val="20"/>
          <w:lang w:val="en-US"/>
        </w:rPr>
        <w:t>iura novit curia</w:t>
      </w:r>
      <w:r w:rsidRPr="002D0A21">
        <w:rPr>
          <w:rFonts w:ascii="Verdana" w:hAnsi="Verdana"/>
          <w:sz w:val="20"/>
          <w:szCs w:val="20"/>
          <w:lang w:val="en-US"/>
        </w:rPr>
        <w:t xml:space="preserve"> principle.” In other words, it records the de</w:t>
      </w:r>
      <w:r>
        <w:rPr>
          <w:rFonts w:ascii="Verdana" w:hAnsi="Verdana"/>
          <w:sz w:val="20"/>
          <w:szCs w:val="20"/>
          <w:lang w:val="en-US"/>
        </w:rPr>
        <w:t>cision to consider a violation</w:t>
      </w:r>
      <w:r w:rsidRPr="00FF656A">
        <w:rPr>
          <w:rFonts w:ascii="Verdana" w:hAnsi="Verdana"/>
          <w:sz w:val="20"/>
          <w:szCs w:val="20"/>
          <w:lang w:val="en-US"/>
        </w:rPr>
        <w:t xml:space="preserve"> that has not been</w:t>
      </w:r>
      <w:r w:rsidRPr="002D0A21">
        <w:rPr>
          <w:rFonts w:ascii="Verdana" w:hAnsi="Verdana"/>
          <w:sz w:val="20"/>
          <w:szCs w:val="20"/>
          <w:lang w:val="en-US"/>
        </w:rPr>
        <w:t xml:space="preserve"> alleged by the parties, but does not explain how this violation has been committed.</w:t>
      </w:r>
    </w:p>
    <w:p w14:paraId="0EE6F6C4" w14:textId="77777777" w:rsidR="007522DE" w:rsidRPr="002D0A21" w:rsidRDefault="007522DE" w:rsidP="007522DE">
      <w:pPr>
        <w:pStyle w:val="Estilo1"/>
        <w:numPr>
          <w:ilvl w:val="0"/>
          <w:numId w:val="0"/>
        </w:numPr>
        <w:spacing w:after="0"/>
        <w:ind w:left="720"/>
        <w:rPr>
          <w:rFonts w:ascii="Verdana" w:hAnsi="Verdana"/>
          <w:sz w:val="20"/>
          <w:szCs w:val="20"/>
          <w:lang w:val="en-US"/>
        </w:rPr>
      </w:pPr>
    </w:p>
    <w:p w14:paraId="4D957A32"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Paragraph 196: “</w:t>
      </w:r>
      <w:r w:rsidRPr="002D0A21">
        <w:rPr>
          <w:rFonts w:ascii="Verdana" w:hAnsi="Verdana"/>
          <w:sz w:val="20"/>
          <w:lang w:val="en-US"/>
        </w:rPr>
        <w:t xml:space="preserve">In this regard, the Court recalls that Article 23 of the American Convention establishes that everyone must enjoy the rights and </w:t>
      </w:r>
      <w:r w:rsidRPr="002D0A21">
        <w:rPr>
          <w:rFonts w:ascii="Verdana" w:hAnsi="Verdana"/>
          <w:sz w:val="20"/>
          <w:szCs w:val="20"/>
          <w:lang w:val="en-US"/>
        </w:rPr>
        <w:t>opportunities “</w:t>
      </w:r>
      <w:r w:rsidRPr="002D0A21">
        <w:rPr>
          <w:rFonts w:ascii="Verdana" w:hAnsi="Verdana"/>
          <w:spacing w:val="-3"/>
          <w:sz w:val="20"/>
          <w:szCs w:val="20"/>
          <w:lang w:val="en-US"/>
        </w:rPr>
        <w:t xml:space="preserve">to take part in the conduct of public affairs </w:t>
      </w:r>
      <w:r w:rsidRPr="002D0A21">
        <w:rPr>
          <w:rFonts w:ascii="Verdana" w:hAnsi="Verdana"/>
          <w:sz w:val="20"/>
          <w:szCs w:val="20"/>
          <w:lang w:val="en-US"/>
        </w:rPr>
        <w:t>[…].” In this sense, the participation of the indigenous communities in the conservation of the environment is not only a matter of public interest, but also part of the exercise of their right as indigenous peoples “to participate in decision-making in</w:t>
      </w:r>
      <w:r w:rsidRPr="002D0A21">
        <w:rPr>
          <w:rFonts w:ascii="Verdana" w:hAnsi="Verdana"/>
          <w:sz w:val="20"/>
          <w:lang w:val="en-US"/>
        </w:rPr>
        <w:t xml:space="preserve"> matters which would affect their rights, […] in accordance with their own procedures and […] institutions” (</w:t>
      </w:r>
      <w:r w:rsidRPr="002D0A21">
        <w:rPr>
          <w:rFonts w:ascii="Verdana" w:hAnsi="Verdana"/>
          <w:i/>
          <w:sz w:val="20"/>
          <w:lang w:val="en-US"/>
        </w:rPr>
        <w:t xml:space="preserve">supra </w:t>
      </w:r>
      <w:r w:rsidRPr="002D0A21">
        <w:rPr>
          <w:rFonts w:ascii="Verdana" w:hAnsi="Verdana"/>
          <w:sz w:val="20"/>
          <w:lang w:val="en-US"/>
        </w:rPr>
        <w:t>paras. 178 and 180).” Thus, there is an attempt to identify the “right to take part in the conduct of public affairs” with the right of the indigenous peoples to take part in the adoption of decisions on matters that affect their rights, without providing even the most basic grounds for this. It is evident that these are two different matters.</w:t>
      </w:r>
    </w:p>
    <w:p w14:paraId="7A7DA475" w14:textId="77777777" w:rsidR="007522DE" w:rsidRPr="002D0A21" w:rsidRDefault="007522DE" w:rsidP="007522DE">
      <w:pPr>
        <w:pStyle w:val="Estilo1"/>
        <w:numPr>
          <w:ilvl w:val="0"/>
          <w:numId w:val="0"/>
        </w:numPr>
        <w:spacing w:after="0"/>
        <w:rPr>
          <w:rFonts w:ascii="Verdana" w:hAnsi="Verdana"/>
          <w:sz w:val="20"/>
          <w:szCs w:val="20"/>
          <w:lang w:val="en-US"/>
        </w:rPr>
      </w:pPr>
    </w:p>
    <w:p w14:paraId="411B039B"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 xml:space="preserve">Paragraph 197: “the absence of explicit mechanisms that guarantee the access, use and effective participation </w:t>
      </w:r>
      <w:r w:rsidRPr="002D0A21">
        <w:rPr>
          <w:rFonts w:ascii="Verdana" w:hAnsi="Verdana"/>
          <w:sz w:val="20"/>
          <w:lang w:val="en-US"/>
        </w:rPr>
        <w:t xml:space="preserve">of the Kaliña and Lokono indigenous peoples in the conservation of the said nature reserves and the benefits these reserves yield constitutes a violation of the obligation to adopt the necessary provisions to make such measures effective in order to ensure the rights to collective property, to cultural identity, and to </w:t>
      </w:r>
      <w:r w:rsidRPr="002D0A21">
        <w:rPr>
          <w:rFonts w:ascii="Verdana" w:hAnsi="Verdana"/>
          <w:sz w:val="20"/>
          <w:lang w:val="en-US"/>
        </w:rPr>
        <w:lastRenderedPageBreak/>
        <w:t xml:space="preserve">political rights, </w:t>
      </w:r>
      <w:r w:rsidRPr="002D0A21">
        <w:rPr>
          <w:rFonts w:ascii="Verdana" w:hAnsi="Verdana"/>
          <w:sz w:val="20"/>
          <w:szCs w:val="20"/>
          <w:lang w:val="en-US"/>
        </w:rPr>
        <w:t>to the detriment of the Kaliña and Lokono peoples.” The failure to provide the grounds for the supposed</w:t>
      </w:r>
      <w:r>
        <w:rPr>
          <w:rFonts w:ascii="Verdana" w:hAnsi="Verdana"/>
          <w:sz w:val="20"/>
          <w:szCs w:val="20"/>
          <w:lang w:val="en-US"/>
        </w:rPr>
        <w:t xml:space="preserve"> equivalence to</w:t>
      </w:r>
      <w:r w:rsidRPr="002D0A21">
        <w:rPr>
          <w:rFonts w:ascii="Verdana" w:hAnsi="Verdana"/>
          <w:sz w:val="20"/>
          <w:szCs w:val="20"/>
          <w:lang w:val="en-US"/>
        </w:rPr>
        <w:t xml:space="preserve"> political rights continues.</w:t>
      </w:r>
    </w:p>
    <w:p w14:paraId="446628C0" w14:textId="77777777" w:rsidR="007522DE" w:rsidRPr="002D0A21" w:rsidRDefault="007522DE" w:rsidP="007522DE">
      <w:pPr>
        <w:pStyle w:val="Estilo1"/>
        <w:numPr>
          <w:ilvl w:val="0"/>
          <w:numId w:val="0"/>
        </w:numPr>
        <w:spacing w:after="0"/>
        <w:rPr>
          <w:rFonts w:ascii="Verdana" w:hAnsi="Verdana"/>
          <w:sz w:val="20"/>
          <w:szCs w:val="20"/>
          <w:lang w:val="en-US"/>
        </w:rPr>
      </w:pPr>
    </w:p>
    <w:p w14:paraId="1E36269E"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In paragraph 198 (the sole paragraph in the section entitled “Conclusion on the restrictions in the nature reserves”), political rights are once again included without any grounds: “</w:t>
      </w:r>
      <w:r w:rsidRPr="002D0A21">
        <w:rPr>
          <w:rFonts w:ascii="Verdana" w:hAnsi="Verdana" w:cs="Arial"/>
          <w:sz w:val="20"/>
          <w:szCs w:val="20"/>
          <w:lang w:val="en-US"/>
        </w:rPr>
        <w:t xml:space="preserve">In sum, the Court finds that the State has violated the victims’ rights to collective property, cultural identity and participation in public matters, mainly by preventing their effective participation, and the access to part of their </w:t>
      </w:r>
      <w:r w:rsidRPr="002D0A21">
        <w:rPr>
          <w:rFonts w:ascii="Verdana" w:hAnsi="Verdana"/>
          <w:sz w:val="20"/>
          <w:lang w:val="en-US"/>
        </w:rPr>
        <w:t xml:space="preserve">traditional territory and natural resources, in the Galibi and Wane Kreek nature reserves, as well as by failing to guarantee, effectively, the traditional territory of the communities that has been affected by the environmental degradation within the Wane Kreek Nature Reserve, which constitutes a violation </w:t>
      </w:r>
      <w:r w:rsidRPr="002D0A21">
        <w:rPr>
          <w:rFonts w:ascii="Verdana" w:hAnsi="Verdana" w:cs="Arial"/>
          <w:sz w:val="20"/>
          <w:szCs w:val="20"/>
          <w:lang w:val="en-US"/>
        </w:rPr>
        <w:t>of</w:t>
      </w:r>
      <w:r w:rsidRPr="002D0A21">
        <w:rPr>
          <w:rFonts w:ascii="Verdana" w:hAnsi="Verdana"/>
          <w:sz w:val="20"/>
          <w:lang w:val="en-US"/>
        </w:rPr>
        <w:t xml:space="preserve"> Articles 21,</w:t>
      </w:r>
      <w:r w:rsidRPr="002D0A21">
        <w:rPr>
          <w:rFonts w:ascii="Verdana" w:hAnsi="Verdana" w:cs="Arial"/>
          <w:sz w:val="20"/>
          <w:szCs w:val="20"/>
          <w:lang w:val="en-US"/>
        </w:rPr>
        <w:t xml:space="preserve"> 2 and 23 of the American Convention, in relation to Article 1(1) </w:t>
      </w:r>
      <w:r w:rsidRPr="002D0A21">
        <w:rPr>
          <w:rFonts w:ascii="Verdana" w:hAnsi="Verdana"/>
          <w:sz w:val="20"/>
          <w:lang w:val="en-US"/>
        </w:rPr>
        <w:t>thereof, to the detriment of the Kaliña and Lokono peoples and their members</w:t>
      </w:r>
      <w:r w:rsidRPr="002D0A21">
        <w:rPr>
          <w:rFonts w:ascii="Verdana" w:hAnsi="Verdana"/>
          <w:sz w:val="20"/>
          <w:szCs w:val="20"/>
          <w:lang w:val="en-US"/>
        </w:rPr>
        <w:t>.”</w:t>
      </w:r>
    </w:p>
    <w:p w14:paraId="1E743F36" w14:textId="77777777" w:rsidR="007522DE" w:rsidRPr="002D0A21" w:rsidRDefault="007522DE" w:rsidP="007522DE">
      <w:pPr>
        <w:pStyle w:val="Estilo1"/>
        <w:numPr>
          <w:ilvl w:val="0"/>
          <w:numId w:val="0"/>
        </w:numPr>
        <w:spacing w:after="0"/>
        <w:ind w:left="720"/>
        <w:rPr>
          <w:rFonts w:ascii="Verdana" w:hAnsi="Verdana"/>
          <w:sz w:val="20"/>
          <w:szCs w:val="20"/>
          <w:lang w:val="en-US"/>
        </w:rPr>
      </w:pPr>
    </w:p>
    <w:p w14:paraId="6CA9BCDA"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 xml:space="preserve">Paragraph 202: “Furthermore, the Court reiterates that Article 23 of the American Convention establishes that: </w:t>
      </w:r>
      <w:r w:rsidRPr="002D0A21">
        <w:rPr>
          <w:rFonts w:ascii="Verdana" w:hAnsi="Verdana"/>
          <w:spacing w:val="-3"/>
          <w:sz w:val="20"/>
          <w:szCs w:val="20"/>
          <w:lang w:val="en-US"/>
        </w:rPr>
        <w:t>“[e]very citizen shall enjoy the following rights and opportunities: (a) to take part in the conduct of public affairs</w:t>
      </w:r>
      <w:r w:rsidRPr="002D0A21">
        <w:rPr>
          <w:rFonts w:ascii="Verdana" w:hAnsi="Verdana"/>
          <w:sz w:val="20"/>
          <w:szCs w:val="20"/>
          <w:lang w:val="en-US"/>
        </w:rPr>
        <w:t xml:space="preserve"> […].” Similarly, Article 18 of the United Nations Declaration on the Rights of Indigenous Peoples establishes that “[i]</w:t>
      </w:r>
      <w:r w:rsidRPr="002D0A21">
        <w:rPr>
          <w:rFonts w:ascii="Verdana" w:eastAsia="Times New Roman" w:hAnsi="Verdana"/>
          <w:sz w:val="20"/>
          <w:szCs w:val="20"/>
          <w:lang w:val="en-US"/>
        </w:rPr>
        <w:t>ndigenous peoples have the right to participate in decision-making in matters which would affect their rights, through representatives […],” and the pertinent part of Article 32 stipulates that “States shall consult and cooperate in good faith […] prior to the approval of any project affecting their lands or territories and other resources, particularly in connection with the […] utilization or exploitation of mineral […] resources.”</w:t>
      </w:r>
      <w:r w:rsidRPr="002D0A21">
        <w:rPr>
          <w:rFonts w:ascii="Verdana" w:hAnsi="Verdana"/>
          <w:sz w:val="20"/>
          <w:szCs w:val="20"/>
          <w:lang w:val="en-US"/>
        </w:rPr>
        <w:t xml:space="preserve"> In this case, there is evident confusion between “to take part </w:t>
      </w:r>
      <w:r w:rsidRPr="002D0A21">
        <w:rPr>
          <w:rFonts w:ascii="Verdana" w:hAnsi="Verdana"/>
          <w:i/>
          <w:sz w:val="20"/>
          <w:szCs w:val="20"/>
          <w:lang w:val="en-US"/>
        </w:rPr>
        <w:t>in the conduct of public affairs</w:t>
      </w:r>
      <w:r w:rsidRPr="002D0A21">
        <w:rPr>
          <w:rFonts w:ascii="Verdana" w:hAnsi="Verdana"/>
          <w:sz w:val="20"/>
          <w:szCs w:val="20"/>
          <w:lang w:val="en-US"/>
        </w:rPr>
        <w:t xml:space="preserve">” and Articles 18 and 32 of the Declaration on the Rights of Indigenous Peoples relating to participation </w:t>
      </w:r>
      <w:r w:rsidRPr="002D0A21">
        <w:rPr>
          <w:rFonts w:ascii="Verdana" w:eastAsia="Times New Roman" w:hAnsi="Verdana"/>
          <w:i/>
          <w:sz w:val="20"/>
          <w:szCs w:val="20"/>
          <w:lang w:val="en-US"/>
        </w:rPr>
        <w:t>in matters which would affect their rights and the obligation of States to “consult […] prior to the approval of any project affecting their lands</w:t>
      </w:r>
      <w:r w:rsidRPr="002D0A21">
        <w:rPr>
          <w:rFonts w:ascii="Verdana" w:eastAsia="Times New Roman" w:hAnsi="Verdana"/>
          <w:sz w:val="20"/>
          <w:szCs w:val="20"/>
          <w:lang w:val="en-US"/>
        </w:rPr>
        <w:t>.”</w:t>
      </w:r>
    </w:p>
    <w:p w14:paraId="46BEE6EA" w14:textId="77777777" w:rsidR="007522DE" w:rsidRPr="002D0A21" w:rsidRDefault="007522DE" w:rsidP="007522DE">
      <w:pPr>
        <w:pStyle w:val="Estilo1"/>
        <w:numPr>
          <w:ilvl w:val="0"/>
          <w:numId w:val="0"/>
        </w:numPr>
        <w:spacing w:after="0"/>
        <w:ind w:left="720"/>
        <w:rPr>
          <w:rFonts w:ascii="Verdana" w:hAnsi="Verdana"/>
          <w:sz w:val="20"/>
          <w:szCs w:val="20"/>
          <w:lang w:val="en-US"/>
        </w:rPr>
      </w:pPr>
    </w:p>
    <w:p w14:paraId="24AD7241"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Paragraph 203: The following paragraph enunciates, but without providing any grounds, the presumed</w:t>
      </w:r>
      <w:r>
        <w:rPr>
          <w:rFonts w:ascii="Verdana" w:hAnsi="Verdana"/>
          <w:sz w:val="20"/>
          <w:szCs w:val="20"/>
          <w:lang w:val="en-US"/>
        </w:rPr>
        <w:t xml:space="preserve"> equivalence</w:t>
      </w:r>
      <w:r w:rsidRPr="002D0A21">
        <w:rPr>
          <w:rFonts w:ascii="Verdana" w:hAnsi="Verdana"/>
          <w:sz w:val="20"/>
          <w:szCs w:val="20"/>
          <w:lang w:val="en-US"/>
        </w:rPr>
        <w:t xml:space="preserve"> between the right to participation and consultation derived from the right to property, and the right to participate in the conduct of public affairs. Thus, it indicates: “Consequently, in order to ensure the use and enjoyment of the right to indigenous collective property recognized in Articles 1(1) and 21 of the Convention, in relation to the utilization or exploitation of natural resources in their traditional territory, the State must, for the effects of this case, put in place mechanisms for the effective participation of the indigenous peoples using procedures that are culturally adapted to the decision-making of such peoples. This is not only </w:t>
      </w:r>
      <w:r w:rsidRPr="002D0A21">
        <w:rPr>
          <w:rFonts w:ascii="Verdana" w:hAnsi="Verdana"/>
          <w:i/>
          <w:sz w:val="20"/>
          <w:szCs w:val="20"/>
          <w:lang w:val="en-US"/>
        </w:rPr>
        <w:t>a matter of public interest</w:t>
      </w:r>
      <w:r w:rsidRPr="002D0A21">
        <w:rPr>
          <w:rFonts w:ascii="Verdana" w:hAnsi="Verdana"/>
          <w:sz w:val="20"/>
          <w:szCs w:val="20"/>
          <w:lang w:val="en-US"/>
        </w:rPr>
        <w:t xml:space="preserve">, but also forms part of the exercise of </w:t>
      </w:r>
      <w:r w:rsidRPr="002D0A21">
        <w:rPr>
          <w:rFonts w:ascii="Verdana" w:hAnsi="Verdana"/>
          <w:i/>
          <w:sz w:val="20"/>
          <w:szCs w:val="20"/>
          <w:lang w:val="en-US"/>
        </w:rPr>
        <w:t>their right to take part in any decision-making on matters that affect their interests, in accordance with their own procedures and institutions, in relation to Article 23 of the American Convention</w:t>
      </w:r>
      <w:r w:rsidRPr="002D0A21">
        <w:rPr>
          <w:rFonts w:ascii="Verdana" w:hAnsi="Verdana"/>
          <w:sz w:val="20"/>
          <w:szCs w:val="20"/>
          <w:lang w:val="en-US"/>
        </w:rPr>
        <w:t xml:space="preserve"> (</w:t>
      </w:r>
      <w:r w:rsidRPr="002D0A21">
        <w:rPr>
          <w:rFonts w:ascii="Verdana" w:hAnsi="Verdana"/>
          <w:i/>
          <w:sz w:val="20"/>
          <w:szCs w:val="20"/>
          <w:lang w:val="en-US"/>
        </w:rPr>
        <w:t xml:space="preserve">supra </w:t>
      </w:r>
      <w:r w:rsidRPr="002D0A21">
        <w:rPr>
          <w:rFonts w:ascii="Verdana" w:hAnsi="Verdana"/>
          <w:sz w:val="20"/>
          <w:szCs w:val="20"/>
          <w:lang w:val="en-US"/>
        </w:rPr>
        <w:t>para. 196).” No explanation is given as to why “</w:t>
      </w:r>
      <w:r w:rsidRPr="002D0A21">
        <w:rPr>
          <w:rFonts w:ascii="Verdana" w:hAnsi="Verdana"/>
          <w:i/>
          <w:sz w:val="20"/>
          <w:szCs w:val="20"/>
          <w:lang w:val="en-US"/>
        </w:rPr>
        <w:t>the conduct of public affairs</w:t>
      </w:r>
      <w:r w:rsidRPr="002D0A21">
        <w:rPr>
          <w:rFonts w:ascii="Verdana" w:hAnsi="Verdana"/>
          <w:sz w:val="20"/>
          <w:szCs w:val="20"/>
          <w:lang w:val="en-US"/>
        </w:rPr>
        <w:t xml:space="preserve">” would be equivalent to participation in decisions relating to </w:t>
      </w:r>
      <w:r w:rsidRPr="002D0A21">
        <w:rPr>
          <w:rFonts w:ascii="Verdana" w:hAnsi="Verdana"/>
          <w:i/>
          <w:sz w:val="20"/>
          <w:szCs w:val="20"/>
          <w:lang w:val="en-US"/>
        </w:rPr>
        <w:t>private</w:t>
      </w:r>
      <w:r w:rsidRPr="002D0A21">
        <w:rPr>
          <w:rFonts w:ascii="Verdana" w:hAnsi="Verdana"/>
          <w:sz w:val="20"/>
          <w:szCs w:val="20"/>
          <w:lang w:val="en-US"/>
        </w:rPr>
        <w:t xml:space="preserve"> property of a collective nature. Nor is it explained why matters relating to </w:t>
      </w:r>
      <w:r w:rsidRPr="002D0A21">
        <w:rPr>
          <w:rFonts w:ascii="Verdana" w:hAnsi="Verdana"/>
          <w:i/>
          <w:sz w:val="20"/>
          <w:szCs w:val="20"/>
          <w:lang w:val="en-US"/>
        </w:rPr>
        <w:t xml:space="preserve">private </w:t>
      </w:r>
      <w:r w:rsidRPr="002D0A21">
        <w:rPr>
          <w:rFonts w:ascii="Verdana" w:hAnsi="Verdana"/>
          <w:sz w:val="20"/>
          <w:szCs w:val="20"/>
          <w:lang w:val="en-US"/>
        </w:rPr>
        <w:t>property or to any of its implications would be a “</w:t>
      </w:r>
      <w:r w:rsidRPr="002D0A21">
        <w:rPr>
          <w:rFonts w:ascii="Verdana" w:hAnsi="Verdana"/>
          <w:i/>
          <w:sz w:val="20"/>
          <w:szCs w:val="20"/>
          <w:lang w:val="en-US"/>
        </w:rPr>
        <w:t>matter of public interest</w:t>
      </w:r>
      <w:r w:rsidRPr="002D0A21">
        <w:rPr>
          <w:rFonts w:ascii="Verdana" w:hAnsi="Verdana"/>
          <w:sz w:val="20"/>
          <w:szCs w:val="20"/>
          <w:lang w:val="en-US"/>
        </w:rPr>
        <w:t>.”</w:t>
      </w:r>
    </w:p>
    <w:p w14:paraId="2D04F9E3" w14:textId="77777777" w:rsidR="007522DE" w:rsidRPr="002D0A21" w:rsidRDefault="007522DE" w:rsidP="007522DE">
      <w:pPr>
        <w:pStyle w:val="Estilo1"/>
        <w:numPr>
          <w:ilvl w:val="0"/>
          <w:numId w:val="0"/>
        </w:numPr>
        <w:spacing w:after="0"/>
        <w:ind w:left="720"/>
        <w:rPr>
          <w:rFonts w:ascii="Verdana" w:hAnsi="Verdana"/>
          <w:sz w:val="20"/>
          <w:szCs w:val="20"/>
          <w:lang w:val="en-US"/>
        </w:rPr>
      </w:pPr>
    </w:p>
    <w:p w14:paraId="32F33DE0" w14:textId="77777777" w:rsidR="007522DE" w:rsidRPr="002D0A21" w:rsidRDefault="007522DE" w:rsidP="007522DE">
      <w:pPr>
        <w:pStyle w:val="Estilo1"/>
        <w:numPr>
          <w:ilvl w:val="1"/>
          <w:numId w:val="53"/>
        </w:numPr>
        <w:spacing w:after="0"/>
        <w:ind w:left="0" w:firstLine="720"/>
        <w:rPr>
          <w:rFonts w:ascii="Verdana" w:hAnsi="Verdana"/>
          <w:sz w:val="20"/>
          <w:szCs w:val="20"/>
          <w:lang w:val="en-US"/>
        </w:rPr>
      </w:pPr>
      <w:r w:rsidRPr="002D0A21">
        <w:rPr>
          <w:rFonts w:ascii="Verdana" w:hAnsi="Verdana"/>
          <w:sz w:val="20"/>
          <w:szCs w:val="20"/>
          <w:lang w:val="en-US"/>
        </w:rPr>
        <w:t xml:space="preserve">The paragraph containing the final conclusion in this regard (para. 230) mentions the presumed violation of Article 23, but the only grounds included refer to Article 21 concerning private property, and not to the right to take part in the conduct of public affairs recognized in Article 23, which has a very different </w:t>
      </w:r>
      <w:r>
        <w:rPr>
          <w:rFonts w:ascii="Verdana" w:hAnsi="Verdana"/>
          <w:sz w:val="20"/>
          <w:szCs w:val="20"/>
          <w:lang w:val="en-US"/>
        </w:rPr>
        <w:t>meaning</w:t>
      </w:r>
      <w:r w:rsidRPr="002D0A21">
        <w:rPr>
          <w:rFonts w:ascii="Verdana" w:hAnsi="Verdana"/>
          <w:sz w:val="20"/>
          <w:szCs w:val="20"/>
          <w:lang w:val="en-US"/>
        </w:rPr>
        <w:t xml:space="preserve"> and content.</w:t>
      </w:r>
    </w:p>
    <w:p w14:paraId="38998DFF" w14:textId="77777777" w:rsidR="007522DE" w:rsidRPr="002D0A21" w:rsidRDefault="007522DE" w:rsidP="007522DE">
      <w:pPr>
        <w:pStyle w:val="Estilo1"/>
        <w:numPr>
          <w:ilvl w:val="0"/>
          <w:numId w:val="0"/>
        </w:numPr>
        <w:spacing w:after="0"/>
        <w:rPr>
          <w:rFonts w:ascii="Verdana" w:hAnsi="Verdana"/>
          <w:sz w:val="20"/>
          <w:szCs w:val="20"/>
          <w:lang w:val="en-US"/>
        </w:rPr>
      </w:pPr>
    </w:p>
    <w:p w14:paraId="75E93E62"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The remaining mentions of Article 23 are contained in the chapter on reparations (VII) and evidently refer to the consideration</w:t>
      </w:r>
      <w:r>
        <w:rPr>
          <w:rFonts w:ascii="Verdana" w:hAnsi="Verdana"/>
          <w:sz w:val="20"/>
          <w:szCs w:val="20"/>
          <w:lang w:val="en-US"/>
        </w:rPr>
        <w:t>s</w:t>
      </w:r>
      <w:r w:rsidRPr="002D0A21">
        <w:rPr>
          <w:rFonts w:ascii="Verdana" w:hAnsi="Verdana"/>
          <w:sz w:val="20"/>
          <w:szCs w:val="20"/>
          <w:lang w:val="en-US"/>
        </w:rPr>
        <w:t xml:space="preserve"> in the chapter on merits (VI) without adding any </w:t>
      </w:r>
      <w:r>
        <w:rPr>
          <w:rFonts w:ascii="Verdana" w:hAnsi="Verdana"/>
          <w:sz w:val="20"/>
          <w:szCs w:val="20"/>
          <w:lang w:val="en-US"/>
        </w:rPr>
        <w:t>reasoning</w:t>
      </w:r>
      <w:r w:rsidRPr="002D0A21">
        <w:rPr>
          <w:rFonts w:ascii="Verdana" w:hAnsi="Verdana"/>
          <w:sz w:val="20"/>
          <w:szCs w:val="20"/>
          <w:lang w:val="en-US"/>
        </w:rPr>
        <w:t xml:space="preserve"> in this regard (paras. 278, 295 and 304). To the contrary, when the grounds </w:t>
      </w:r>
      <w:r w:rsidRPr="002D0A21">
        <w:rPr>
          <w:rFonts w:ascii="Verdana" w:hAnsi="Verdana"/>
          <w:sz w:val="20"/>
          <w:szCs w:val="20"/>
          <w:lang w:val="en-US"/>
        </w:rPr>
        <w:lastRenderedPageBreak/>
        <w:t>for the alleged violations are described, there is merely a reference to “the lack of effective participation in relation to the exploitation project within one reserve” (para. 278-c) or to “the lack of mechanisms that ensure effective participation, by a consultation process” (para. 304-d).</w:t>
      </w:r>
    </w:p>
    <w:p w14:paraId="100B3223" w14:textId="77777777" w:rsidR="007522DE" w:rsidRPr="002D0A21" w:rsidRDefault="007522DE" w:rsidP="007522DE">
      <w:pPr>
        <w:pStyle w:val="Estilo1"/>
        <w:numPr>
          <w:ilvl w:val="0"/>
          <w:numId w:val="0"/>
        </w:numPr>
        <w:spacing w:after="0"/>
        <w:rPr>
          <w:rFonts w:ascii="Verdana" w:hAnsi="Verdana"/>
          <w:sz w:val="20"/>
          <w:szCs w:val="20"/>
          <w:lang w:val="en-US"/>
        </w:rPr>
      </w:pPr>
    </w:p>
    <w:p w14:paraId="188F17D9"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The foregoing reveals that, on this aspect also, the conclusion reached in the Sarayaku case and transcribed above (</w:t>
      </w:r>
      <w:r w:rsidRPr="002D0A21">
        <w:rPr>
          <w:rFonts w:ascii="Verdana" w:hAnsi="Verdana"/>
          <w:i/>
          <w:sz w:val="20"/>
          <w:szCs w:val="20"/>
          <w:lang w:val="en-US"/>
        </w:rPr>
        <w:t>supra,</w:t>
      </w:r>
      <w:r w:rsidRPr="002D0A21">
        <w:rPr>
          <w:rFonts w:ascii="Verdana" w:hAnsi="Verdana"/>
          <w:sz w:val="20"/>
          <w:szCs w:val="20"/>
          <w:lang w:val="en-US"/>
        </w:rPr>
        <w:t xml:space="preserve"> para. 13) with regard to the presumed violation of Articles 13 and 23 is also applicable: “</w:t>
      </w:r>
      <w:r w:rsidRPr="002D0A21">
        <w:rPr>
          <w:rFonts w:ascii="Verdana" w:hAnsi="Verdana"/>
          <w:i/>
          <w:sz w:val="20"/>
          <w:szCs w:val="20"/>
          <w:lang w:val="en-US"/>
        </w:rPr>
        <w:t>the Court considers that, in this case, the facts have been sufficiently analyzed and the violations conceptualized under the rights to communal property, consultation and cultural identity of the Sarayaku People, in the terms of Article 21 of the Convention, in relation to Articles 1(1) and 2 thereof; accordingly, it will not rule on the alleged violation of those provisions</w:t>
      </w:r>
      <w:r w:rsidRPr="002D0A21">
        <w:rPr>
          <w:rFonts w:ascii="Verdana" w:hAnsi="Verdana"/>
          <w:sz w:val="20"/>
          <w:szCs w:val="20"/>
          <w:lang w:val="en-US"/>
        </w:rPr>
        <w:t>.”</w:t>
      </w:r>
    </w:p>
    <w:p w14:paraId="44929CF9" w14:textId="77777777" w:rsidR="007522DE" w:rsidRPr="002D0A21" w:rsidRDefault="007522DE" w:rsidP="007522DE">
      <w:pPr>
        <w:pStyle w:val="Estilo1"/>
        <w:numPr>
          <w:ilvl w:val="0"/>
          <w:numId w:val="0"/>
        </w:numPr>
        <w:spacing w:after="0"/>
        <w:rPr>
          <w:rFonts w:ascii="Verdana" w:hAnsi="Verdana"/>
          <w:sz w:val="20"/>
          <w:szCs w:val="20"/>
          <w:lang w:val="en-US"/>
        </w:rPr>
      </w:pPr>
    </w:p>
    <w:p w14:paraId="479CDEB0"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Consequently, it is not in order to declare a violation of Article 23 of the Convention, but rather sufficient to declare the violation of Article 21 (Right to Property).</w:t>
      </w:r>
    </w:p>
    <w:p w14:paraId="6817E4CB" w14:textId="77777777" w:rsidR="007522DE" w:rsidRPr="002D0A21" w:rsidRDefault="007522DE" w:rsidP="007522DE">
      <w:pPr>
        <w:pStyle w:val="Estilo1"/>
        <w:numPr>
          <w:ilvl w:val="0"/>
          <w:numId w:val="0"/>
        </w:numPr>
        <w:spacing w:after="0"/>
        <w:rPr>
          <w:rFonts w:ascii="Verdana" w:hAnsi="Verdana"/>
          <w:sz w:val="20"/>
          <w:szCs w:val="20"/>
          <w:lang w:val="en-US"/>
        </w:rPr>
      </w:pPr>
    </w:p>
    <w:p w14:paraId="77B13E4C" w14:textId="77777777" w:rsidR="007522DE" w:rsidRPr="00EE5175" w:rsidRDefault="007522DE" w:rsidP="007522DE">
      <w:pPr>
        <w:pStyle w:val="Estilo2"/>
        <w:numPr>
          <w:ilvl w:val="0"/>
          <w:numId w:val="54"/>
        </w:numPr>
        <w:spacing w:after="0"/>
        <w:ind w:left="0" w:firstLine="0"/>
        <w:rPr>
          <w:rFonts w:ascii="Verdana" w:hAnsi="Verdana"/>
          <w:b/>
          <w:i w:val="0"/>
          <w:sz w:val="20"/>
          <w:szCs w:val="20"/>
          <w:lang w:val="en-US"/>
        </w:rPr>
      </w:pPr>
      <w:r w:rsidRPr="00EE5175">
        <w:rPr>
          <w:rFonts w:ascii="Verdana" w:hAnsi="Verdana"/>
          <w:b/>
          <w:i w:val="0"/>
          <w:sz w:val="20"/>
          <w:szCs w:val="20"/>
          <w:lang w:val="en-US"/>
        </w:rPr>
        <w:t>Conclusions</w:t>
      </w:r>
    </w:p>
    <w:p w14:paraId="65AFE1CB" w14:textId="77777777" w:rsidR="007522DE" w:rsidRPr="002D0A21" w:rsidRDefault="007522DE" w:rsidP="007522DE">
      <w:pPr>
        <w:pStyle w:val="Estilo2"/>
        <w:spacing w:after="0"/>
        <w:ind w:left="0"/>
        <w:jc w:val="left"/>
        <w:rPr>
          <w:rFonts w:ascii="Verdana" w:hAnsi="Verdana"/>
          <w:sz w:val="20"/>
          <w:szCs w:val="20"/>
          <w:lang w:val="en-US"/>
        </w:rPr>
      </w:pPr>
    </w:p>
    <w:p w14:paraId="27761013" w14:textId="77777777" w:rsidR="007522DE" w:rsidRPr="002D0A21" w:rsidRDefault="007522DE" w:rsidP="007522DE">
      <w:pPr>
        <w:pStyle w:val="Estilo1"/>
        <w:spacing w:after="0"/>
        <w:rPr>
          <w:rFonts w:ascii="Verdana" w:hAnsi="Verdana"/>
          <w:sz w:val="20"/>
          <w:szCs w:val="20"/>
          <w:lang w:val="en-US"/>
        </w:rPr>
      </w:pPr>
      <w:r w:rsidRPr="002D0A21">
        <w:rPr>
          <w:rFonts w:ascii="Verdana" w:hAnsi="Verdana"/>
          <w:sz w:val="20"/>
          <w:szCs w:val="20"/>
          <w:lang w:val="en-US"/>
        </w:rPr>
        <w:t>In conclusion:</w:t>
      </w:r>
    </w:p>
    <w:p w14:paraId="77536EE2" w14:textId="77777777" w:rsidR="007522DE" w:rsidRPr="002D0A21" w:rsidRDefault="007522DE" w:rsidP="007522DE">
      <w:pPr>
        <w:pStyle w:val="Estilo1"/>
        <w:numPr>
          <w:ilvl w:val="0"/>
          <w:numId w:val="0"/>
        </w:numPr>
        <w:spacing w:after="0"/>
        <w:rPr>
          <w:rFonts w:ascii="Verdana" w:hAnsi="Verdana"/>
          <w:sz w:val="20"/>
          <w:szCs w:val="20"/>
          <w:lang w:val="en-US"/>
        </w:rPr>
      </w:pPr>
    </w:p>
    <w:p w14:paraId="56D1C6F7" w14:textId="77777777" w:rsidR="007522DE" w:rsidRPr="002D0A21" w:rsidRDefault="007522DE" w:rsidP="007522DE">
      <w:pPr>
        <w:pStyle w:val="Estilo1"/>
        <w:numPr>
          <w:ilvl w:val="1"/>
          <w:numId w:val="53"/>
        </w:numPr>
        <w:spacing w:after="0"/>
        <w:ind w:left="1134" w:hanging="731"/>
        <w:rPr>
          <w:rFonts w:ascii="Verdana" w:hAnsi="Verdana"/>
          <w:sz w:val="20"/>
          <w:szCs w:val="20"/>
          <w:lang w:val="en-US"/>
        </w:rPr>
      </w:pPr>
      <w:r w:rsidRPr="002D0A21">
        <w:rPr>
          <w:rFonts w:ascii="Verdana" w:hAnsi="Verdana"/>
          <w:sz w:val="20"/>
          <w:szCs w:val="20"/>
          <w:lang w:val="en-US"/>
        </w:rPr>
        <w:t>It is not in order to declare that Articles 3, 13 and 23 of the American Convention have been violated;</w:t>
      </w:r>
    </w:p>
    <w:p w14:paraId="48CADD1A" w14:textId="77777777" w:rsidR="007522DE" w:rsidRDefault="007522DE" w:rsidP="007522DE">
      <w:pPr>
        <w:pStyle w:val="Estilo1"/>
        <w:numPr>
          <w:ilvl w:val="1"/>
          <w:numId w:val="53"/>
        </w:numPr>
        <w:spacing w:after="0"/>
        <w:ind w:left="1134" w:hanging="731"/>
        <w:rPr>
          <w:rFonts w:ascii="Verdana" w:hAnsi="Verdana"/>
          <w:sz w:val="20"/>
          <w:szCs w:val="20"/>
          <w:lang w:val="en-US"/>
        </w:rPr>
      </w:pPr>
      <w:r w:rsidRPr="002D0A21">
        <w:rPr>
          <w:rFonts w:ascii="Verdana" w:hAnsi="Verdana"/>
          <w:sz w:val="20"/>
          <w:szCs w:val="20"/>
          <w:lang w:val="en-US"/>
        </w:rPr>
        <w:t>It is sufficient to declare the violation of Article 21 (</w:t>
      </w:r>
      <w:r>
        <w:rPr>
          <w:rFonts w:ascii="Verdana" w:hAnsi="Verdana"/>
          <w:sz w:val="20"/>
          <w:szCs w:val="20"/>
          <w:lang w:val="en-US"/>
        </w:rPr>
        <w:t>R</w:t>
      </w:r>
      <w:r w:rsidRPr="002D0A21">
        <w:rPr>
          <w:rFonts w:ascii="Verdana" w:hAnsi="Verdana"/>
          <w:sz w:val="20"/>
          <w:szCs w:val="20"/>
          <w:lang w:val="en-US"/>
        </w:rPr>
        <w:t xml:space="preserve">ight to communal property), </w:t>
      </w:r>
      <w:r>
        <w:rPr>
          <w:rFonts w:ascii="Verdana" w:hAnsi="Verdana"/>
          <w:sz w:val="20"/>
          <w:szCs w:val="20"/>
          <w:lang w:val="en-US"/>
        </w:rPr>
        <w:t>and</w:t>
      </w:r>
      <w:r w:rsidRPr="002D0A21">
        <w:rPr>
          <w:rFonts w:ascii="Verdana" w:hAnsi="Verdana"/>
          <w:sz w:val="20"/>
          <w:szCs w:val="20"/>
          <w:lang w:val="en-US"/>
        </w:rPr>
        <w:t xml:space="preserve"> the consequent rights to recognition of</w:t>
      </w:r>
      <w:r>
        <w:rPr>
          <w:rFonts w:ascii="Verdana" w:hAnsi="Verdana"/>
          <w:sz w:val="20"/>
          <w:szCs w:val="20"/>
          <w:lang w:val="en-US"/>
        </w:rPr>
        <w:t xml:space="preserve"> legal status</w:t>
      </w:r>
      <w:r w:rsidRPr="002D0A21">
        <w:rPr>
          <w:rFonts w:ascii="Verdana" w:hAnsi="Verdana"/>
          <w:sz w:val="20"/>
          <w:szCs w:val="20"/>
          <w:lang w:val="en-US"/>
        </w:rPr>
        <w:t xml:space="preserve"> </w:t>
      </w:r>
      <w:r w:rsidRPr="00D36621">
        <w:rPr>
          <w:rFonts w:ascii="Verdana" w:hAnsi="Verdana"/>
          <w:i/>
          <w:sz w:val="20"/>
          <w:szCs w:val="20"/>
          <w:lang w:val="en-US"/>
        </w:rPr>
        <w:t xml:space="preserve">[personería jurídica] </w:t>
      </w:r>
      <w:r w:rsidRPr="002D0A21">
        <w:rPr>
          <w:rFonts w:ascii="Verdana" w:hAnsi="Verdana"/>
          <w:sz w:val="20"/>
          <w:szCs w:val="20"/>
          <w:lang w:val="en-US"/>
        </w:rPr>
        <w:t>and to consultation and cultural identity, and Article 25 (Right to Judicial Protection) of the American Convention.</w:t>
      </w:r>
    </w:p>
    <w:p w14:paraId="29911373" w14:textId="77777777" w:rsidR="007522DE" w:rsidRDefault="007522DE" w:rsidP="007522DE">
      <w:pPr>
        <w:pStyle w:val="Estilo1"/>
        <w:rPr>
          <w:lang w:val="en-US"/>
        </w:rPr>
      </w:pPr>
    </w:p>
    <w:p w14:paraId="3DA3F6EC" w14:textId="77777777" w:rsidR="007522DE" w:rsidRPr="002D0A21" w:rsidRDefault="007522DE" w:rsidP="007522DE">
      <w:pPr>
        <w:pStyle w:val="Estilo1"/>
        <w:numPr>
          <w:ilvl w:val="0"/>
          <w:numId w:val="0"/>
        </w:numPr>
        <w:rPr>
          <w:lang w:val="en-US"/>
        </w:rPr>
      </w:pPr>
    </w:p>
    <w:p w14:paraId="564494E6" w14:textId="77777777" w:rsidR="007522DE" w:rsidRPr="002D0A21" w:rsidRDefault="007522DE" w:rsidP="007522DE">
      <w:pPr>
        <w:pStyle w:val="Estilo1"/>
        <w:numPr>
          <w:ilvl w:val="0"/>
          <w:numId w:val="0"/>
        </w:numPr>
        <w:spacing w:after="0"/>
        <w:ind w:left="1134"/>
        <w:rPr>
          <w:rFonts w:ascii="Verdana" w:hAnsi="Verdana"/>
          <w:sz w:val="20"/>
          <w:szCs w:val="20"/>
          <w:lang w:val="en-US"/>
        </w:rPr>
      </w:pPr>
    </w:p>
    <w:p w14:paraId="20111B3E" w14:textId="77777777" w:rsidR="007522DE" w:rsidRPr="00DE7840" w:rsidRDefault="007522DE" w:rsidP="007522DE">
      <w:pPr>
        <w:widowControl w:val="0"/>
        <w:adjustRightInd w:val="0"/>
        <w:ind w:left="5041"/>
        <w:jc w:val="center"/>
        <w:rPr>
          <w:rFonts w:ascii="Verdana" w:eastAsia="Times New Roman" w:hAnsi="Verdana"/>
          <w:spacing w:val="-4"/>
          <w:sz w:val="20"/>
          <w:szCs w:val="20"/>
          <w:lang w:val="en-US" w:eastAsia="es-CR"/>
        </w:rPr>
      </w:pPr>
    </w:p>
    <w:p w14:paraId="4B4ECB47" w14:textId="77777777" w:rsidR="007522DE" w:rsidRDefault="007522DE" w:rsidP="007522DE">
      <w:pPr>
        <w:widowControl w:val="0"/>
        <w:adjustRightInd w:val="0"/>
        <w:ind w:left="5041"/>
        <w:jc w:val="center"/>
        <w:rPr>
          <w:rFonts w:ascii="Verdana" w:eastAsia="Times New Roman" w:hAnsi="Verdana"/>
          <w:spacing w:val="-4"/>
          <w:sz w:val="20"/>
          <w:szCs w:val="20"/>
          <w:lang w:val="en-US" w:eastAsia="es-CR"/>
        </w:rPr>
      </w:pPr>
    </w:p>
    <w:p w14:paraId="28D92DA6" w14:textId="77777777" w:rsidR="007522DE" w:rsidRDefault="007522DE" w:rsidP="007522DE">
      <w:pPr>
        <w:widowControl w:val="0"/>
        <w:adjustRightInd w:val="0"/>
        <w:ind w:left="-90"/>
        <w:rPr>
          <w:rFonts w:ascii="Verdana" w:eastAsia="Times New Roman" w:hAnsi="Verdana"/>
          <w:spacing w:val="-4"/>
          <w:sz w:val="20"/>
          <w:szCs w:val="20"/>
          <w:lang w:val="en-US" w:eastAsia="es-CR"/>
        </w:rPr>
      </w:pPr>
    </w:p>
    <w:p w14:paraId="2EB8FE64" w14:textId="77777777" w:rsidR="007522DE" w:rsidRPr="00DE7840" w:rsidRDefault="007522DE" w:rsidP="007522DE">
      <w:pPr>
        <w:widowControl w:val="0"/>
        <w:adjustRightInd w:val="0"/>
        <w:ind w:left="-90"/>
        <w:rPr>
          <w:rFonts w:ascii="Verdana" w:eastAsia="Times New Roman" w:hAnsi="Verdana"/>
          <w:spacing w:val="-4"/>
          <w:sz w:val="20"/>
          <w:szCs w:val="20"/>
          <w:lang w:val="en-US" w:eastAsia="es-CR"/>
        </w:rPr>
      </w:pPr>
    </w:p>
    <w:p w14:paraId="0A0407F1" w14:textId="77777777" w:rsidR="007522DE" w:rsidRPr="002A0350" w:rsidRDefault="007522DE" w:rsidP="007522DE">
      <w:pPr>
        <w:widowControl w:val="0"/>
        <w:adjustRightInd w:val="0"/>
        <w:ind w:left="5041"/>
        <w:jc w:val="center"/>
        <w:rPr>
          <w:rFonts w:ascii="Verdana" w:eastAsia="Times New Roman" w:hAnsi="Verdana"/>
          <w:spacing w:val="-4"/>
          <w:sz w:val="20"/>
          <w:szCs w:val="20"/>
          <w:lang w:eastAsia="es-CR"/>
        </w:rPr>
      </w:pPr>
      <w:r w:rsidRPr="002A0350">
        <w:rPr>
          <w:rFonts w:ascii="Verdana" w:eastAsia="Times New Roman" w:hAnsi="Verdana"/>
          <w:spacing w:val="-4"/>
          <w:sz w:val="20"/>
          <w:szCs w:val="20"/>
          <w:lang w:eastAsia="es-CR"/>
        </w:rPr>
        <w:t>Alberto Pérez Pérez</w:t>
      </w:r>
    </w:p>
    <w:p w14:paraId="57B15236" w14:textId="77777777" w:rsidR="007522DE" w:rsidRDefault="007522DE" w:rsidP="007522DE">
      <w:pPr>
        <w:widowControl w:val="0"/>
        <w:adjustRightInd w:val="0"/>
        <w:ind w:left="5041"/>
        <w:jc w:val="center"/>
        <w:rPr>
          <w:rFonts w:ascii="Verdana" w:eastAsia="Times New Roman" w:hAnsi="Verdana"/>
          <w:spacing w:val="-4"/>
          <w:sz w:val="20"/>
          <w:szCs w:val="20"/>
          <w:lang w:eastAsia="es-CR"/>
        </w:rPr>
      </w:pPr>
      <w:r w:rsidRPr="002A0350">
        <w:rPr>
          <w:rFonts w:ascii="Verdana" w:eastAsia="Times New Roman" w:hAnsi="Verdana"/>
          <w:spacing w:val="-4"/>
          <w:sz w:val="20"/>
          <w:szCs w:val="20"/>
          <w:lang w:eastAsia="es-CR"/>
        </w:rPr>
        <w:t>Judge</w:t>
      </w:r>
    </w:p>
    <w:p w14:paraId="48ABBB28" w14:textId="77777777" w:rsidR="007522DE" w:rsidRDefault="007522DE" w:rsidP="007522DE">
      <w:pPr>
        <w:widowControl w:val="0"/>
        <w:adjustRightInd w:val="0"/>
        <w:ind w:left="5041"/>
        <w:jc w:val="center"/>
        <w:rPr>
          <w:rFonts w:ascii="Verdana" w:eastAsia="Times New Roman" w:hAnsi="Verdana"/>
          <w:spacing w:val="-4"/>
          <w:sz w:val="20"/>
          <w:szCs w:val="20"/>
          <w:lang w:eastAsia="es-CR"/>
        </w:rPr>
      </w:pPr>
    </w:p>
    <w:p w14:paraId="7F37C9B1" w14:textId="77777777" w:rsidR="007522DE" w:rsidRDefault="007522DE" w:rsidP="007522DE">
      <w:pPr>
        <w:widowControl w:val="0"/>
        <w:adjustRightInd w:val="0"/>
        <w:ind w:left="5041"/>
        <w:jc w:val="center"/>
        <w:rPr>
          <w:rFonts w:ascii="Verdana" w:eastAsia="Times New Roman" w:hAnsi="Verdana"/>
          <w:spacing w:val="-4"/>
          <w:sz w:val="20"/>
          <w:szCs w:val="20"/>
          <w:lang w:eastAsia="es-CR"/>
        </w:rPr>
      </w:pPr>
    </w:p>
    <w:p w14:paraId="1A41752D" w14:textId="77777777" w:rsidR="007522DE" w:rsidRDefault="007522DE" w:rsidP="007522DE">
      <w:pPr>
        <w:widowControl w:val="0"/>
        <w:adjustRightInd w:val="0"/>
        <w:ind w:left="5041"/>
        <w:jc w:val="center"/>
        <w:rPr>
          <w:rFonts w:ascii="Verdana" w:eastAsia="Times New Roman" w:hAnsi="Verdana"/>
          <w:spacing w:val="-4"/>
          <w:sz w:val="20"/>
          <w:szCs w:val="20"/>
          <w:lang w:eastAsia="es-CR"/>
        </w:rPr>
      </w:pPr>
    </w:p>
    <w:p w14:paraId="5C390C26" w14:textId="77777777" w:rsidR="007522DE" w:rsidRDefault="007522DE" w:rsidP="007522DE">
      <w:pPr>
        <w:widowControl w:val="0"/>
        <w:adjustRightInd w:val="0"/>
        <w:ind w:left="5041"/>
        <w:jc w:val="center"/>
        <w:rPr>
          <w:rFonts w:ascii="Verdana" w:eastAsia="Times New Roman" w:hAnsi="Verdana"/>
          <w:spacing w:val="-4"/>
          <w:sz w:val="20"/>
          <w:szCs w:val="20"/>
          <w:lang w:eastAsia="es-CR"/>
        </w:rPr>
      </w:pPr>
    </w:p>
    <w:p w14:paraId="1393EE9D" w14:textId="77777777" w:rsidR="007522DE" w:rsidRPr="002A0350" w:rsidRDefault="007522DE" w:rsidP="007522DE">
      <w:pPr>
        <w:widowControl w:val="0"/>
        <w:adjustRightInd w:val="0"/>
        <w:ind w:left="5041"/>
        <w:jc w:val="center"/>
        <w:rPr>
          <w:rFonts w:ascii="Verdana" w:eastAsia="Times New Roman" w:hAnsi="Verdana"/>
          <w:spacing w:val="-4"/>
          <w:sz w:val="20"/>
          <w:szCs w:val="20"/>
          <w:lang w:eastAsia="es-CR"/>
        </w:rPr>
      </w:pPr>
    </w:p>
    <w:p w14:paraId="2D35CA96" w14:textId="77777777" w:rsidR="007522DE" w:rsidRPr="007522DE" w:rsidRDefault="007522DE" w:rsidP="007522DE">
      <w:pPr>
        <w:pStyle w:val="Estilo4"/>
        <w:numPr>
          <w:ilvl w:val="0"/>
          <w:numId w:val="0"/>
        </w:numPr>
        <w:jc w:val="both"/>
        <w:rPr>
          <w:rFonts w:ascii="Verdana" w:hAnsi="Verdana"/>
          <w:i/>
          <w:sz w:val="20"/>
          <w:szCs w:val="20"/>
          <w:lang w:val="es-ES"/>
        </w:rPr>
      </w:pPr>
    </w:p>
    <w:p w14:paraId="03A9B643" w14:textId="77777777" w:rsidR="007522DE" w:rsidRDefault="007522DE" w:rsidP="007522DE">
      <w:pPr>
        <w:widowControl w:val="0"/>
        <w:adjustRightInd w:val="0"/>
        <w:jc w:val="both"/>
        <w:rPr>
          <w:rFonts w:ascii="Verdana" w:eastAsia="Times New Roman" w:hAnsi="Verdana" w:cs="Verdana"/>
          <w:spacing w:val="-4"/>
          <w:sz w:val="20"/>
          <w:szCs w:val="20"/>
          <w:lang w:eastAsia="es-CR"/>
        </w:rPr>
      </w:pPr>
    </w:p>
    <w:p w14:paraId="20C1CCAF" w14:textId="77777777" w:rsidR="007522DE" w:rsidRDefault="007522DE" w:rsidP="007522DE">
      <w:pPr>
        <w:widowControl w:val="0"/>
        <w:adjustRightInd w:val="0"/>
        <w:jc w:val="both"/>
        <w:rPr>
          <w:rFonts w:ascii="Verdana" w:eastAsia="Times New Roman" w:hAnsi="Verdana" w:cs="Verdana"/>
          <w:spacing w:val="-4"/>
          <w:sz w:val="20"/>
          <w:szCs w:val="20"/>
          <w:lang w:eastAsia="es-CR"/>
        </w:rPr>
      </w:pPr>
    </w:p>
    <w:p w14:paraId="45D60CB9" w14:textId="77777777" w:rsidR="007522DE" w:rsidRPr="002A0350" w:rsidRDefault="007522DE" w:rsidP="007522DE">
      <w:pPr>
        <w:widowControl w:val="0"/>
        <w:adjustRightInd w:val="0"/>
        <w:ind w:firstLine="708"/>
        <w:jc w:val="both"/>
        <w:rPr>
          <w:rFonts w:ascii="Verdana" w:eastAsia="Times New Roman" w:hAnsi="Verdana" w:cs="Verdana"/>
          <w:spacing w:val="-4"/>
          <w:sz w:val="20"/>
          <w:szCs w:val="20"/>
          <w:lang w:eastAsia="es-CR"/>
        </w:rPr>
      </w:pPr>
      <w:r w:rsidRPr="002A0350">
        <w:rPr>
          <w:rFonts w:ascii="Verdana" w:eastAsia="Times New Roman" w:hAnsi="Verdana" w:cs="Verdana"/>
          <w:spacing w:val="-4"/>
          <w:sz w:val="20"/>
          <w:szCs w:val="20"/>
          <w:lang w:eastAsia="es-CR"/>
        </w:rPr>
        <w:t>Pablo Saavedra Alessandri</w:t>
      </w:r>
    </w:p>
    <w:p w14:paraId="3FB2E30F" w14:textId="77777777" w:rsidR="007522DE" w:rsidRPr="002A0350" w:rsidRDefault="007522DE" w:rsidP="007522DE">
      <w:pPr>
        <w:widowControl w:val="0"/>
        <w:adjustRightInd w:val="0"/>
        <w:jc w:val="both"/>
        <w:rPr>
          <w:rFonts w:ascii="Verdana" w:eastAsia="Times New Roman" w:hAnsi="Verdana" w:cs="Verdana"/>
          <w:spacing w:val="-4"/>
          <w:sz w:val="20"/>
          <w:szCs w:val="20"/>
          <w:lang w:eastAsia="es-CR"/>
        </w:rPr>
      </w:pPr>
      <w:r w:rsidRPr="002A0350">
        <w:rPr>
          <w:rFonts w:ascii="Verdana" w:eastAsia="Times New Roman" w:hAnsi="Verdana" w:cs="Verdana"/>
          <w:spacing w:val="-4"/>
          <w:sz w:val="20"/>
          <w:szCs w:val="20"/>
          <w:lang w:eastAsia="es-CR"/>
        </w:rPr>
        <w:tab/>
      </w:r>
      <w:r>
        <w:rPr>
          <w:rFonts w:ascii="Verdana" w:eastAsia="Times New Roman" w:hAnsi="Verdana" w:cs="Verdana"/>
          <w:spacing w:val="-4"/>
          <w:sz w:val="20"/>
          <w:szCs w:val="20"/>
          <w:lang w:eastAsia="es-CR"/>
        </w:rPr>
        <w:tab/>
        <w:t xml:space="preserve">  </w:t>
      </w:r>
      <w:r w:rsidRPr="002A0350">
        <w:rPr>
          <w:rFonts w:ascii="Verdana" w:eastAsia="Times New Roman" w:hAnsi="Verdana" w:cs="Verdana"/>
          <w:spacing w:val="-4"/>
          <w:sz w:val="20"/>
          <w:szCs w:val="20"/>
          <w:lang w:eastAsia="es-CR"/>
        </w:rPr>
        <w:t>Secretary</w:t>
      </w:r>
    </w:p>
    <w:p w14:paraId="63126BD6" w14:textId="7AC57790" w:rsidR="005E7791" w:rsidRPr="00FE7BA7" w:rsidRDefault="005E7791" w:rsidP="00146E01">
      <w:pPr>
        <w:spacing w:after="200" w:line="276" w:lineRule="auto"/>
        <w:rPr>
          <w:rFonts w:ascii="Verdana" w:hAnsi="Verdana"/>
          <w:sz w:val="20"/>
          <w:szCs w:val="20"/>
          <w:lang w:val="en-US"/>
        </w:rPr>
      </w:pPr>
    </w:p>
    <w:sectPr w:rsidR="005E7791" w:rsidRPr="00FE7BA7" w:rsidSect="00A43C87">
      <w:footerReference w:type="default" r:id="rId69"/>
      <w:pgSz w:w="12240" w:h="15840" w:code="1"/>
      <w:pgMar w:top="1440" w:right="1466"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4F982" w14:textId="77777777" w:rsidR="00624C98" w:rsidRDefault="00624C98" w:rsidP="00E4033A">
      <w:r>
        <w:separator/>
      </w:r>
    </w:p>
  </w:endnote>
  <w:endnote w:type="continuationSeparator" w:id="0">
    <w:p w14:paraId="1ED310AA" w14:textId="77777777" w:rsidR="00624C98" w:rsidRDefault="00624C98" w:rsidP="00E4033A">
      <w:r>
        <w:continuationSeparator/>
      </w:r>
    </w:p>
  </w:endnote>
  <w:endnote w:type="continuationNotice" w:id="1">
    <w:p w14:paraId="18E4BB93" w14:textId="77777777" w:rsidR="00624C98" w:rsidRDefault="00624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26BE3" w14:textId="77777777" w:rsidR="00624C98" w:rsidRPr="0029271A" w:rsidRDefault="00624C98">
    <w:pPr>
      <w:pStyle w:val="Footer"/>
      <w:jc w:val="center"/>
      <w:rPr>
        <w:rFonts w:ascii="Verdana" w:hAnsi="Verdana"/>
        <w:sz w:val="20"/>
        <w:szCs w:val="20"/>
      </w:rPr>
    </w:pPr>
    <w:r w:rsidRPr="0029271A">
      <w:rPr>
        <w:rFonts w:ascii="Verdana" w:hAnsi="Verdana"/>
        <w:sz w:val="20"/>
        <w:szCs w:val="20"/>
      </w:rPr>
      <w:fldChar w:fldCharType="begin"/>
    </w:r>
    <w:r w:rsidRPr="0029271A">
      <w:rPr>
        <w:rFonts w:ascii="Verdana" w:hAnsi="Verdana"/>
        <w:sz w:val="20"/>
        <w:szCs w:val="20"/>
      </w:rPr>
      <w:instrText xml:space="preserve"> PAGE   \* MERGEFORMAT </w:instrText>
    </w:r>
    <w:r w:rsidRPr="0029271A">
      <w:rPr>
        <w:rFonts w:ascii="Verdana" w:hAnsi="Verdana"/>
        <w:sz w:val="20"/>
        <w:szCs w:val="20"/>
      </w:rPr>
      <w:fldChar w:fldCharType="separate"/>
    </w:r>
    <w:r w:rsidR="00D14BF4">
      <w:rPr>
        <w:rFonts w:ascii="Verdana" w:hAnsi="Verdana"/>
        <w:noProof/>
        <w:sz w:val="20"/>
        <w:szCs w:val="20"/>
      </w:rPr>
      <w:t>88</w:t>
    </w:r>
    <w:r w:rsidRPr="0029271A">
      <w:rPr>
        <w:rFonts w:ascii="Verdana" w:hAnsi="Verdana"/>
        <w:sz w:val="20"/>
        <w:szCs w:val="20"/>
      </w:rPr>
      <w:fldChar w:fldCharType="end"/>
    </w:r>
  </w:p>
  <w:p w14:paraId="63126BE4" w14:textId="77777777" w:rsidR="00624C98" w:rsidRDefault="00624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504513"/>
      <w:docPartObj>
        <w:docPartGallery w:val="Page Numbers (Bottom of Page)"/>
        <w:docPartUnique/>
      </w:docPartObj>
    </w:sdtPr>
    <w:sdtContent>
      <w:p w14:paraId="03221A7F" w14:textId="77777777" w:rsidR="00624C98" w:rsidRDefault="00624C98">
        <w:pPr>
          <w:pStyle w:val="Footer"/>
          <w:jc w:val="center"/>
        </w:pPr>
        <w:r>
          <w:fldChar w:fldCharType="begin"/>
        </w:r>
        <w:r>
          <w:instrText>PAGE   \* MERGEFORMAT</w:instrText>
        </w:r>
        <w:r>
          <w:fldChar w:fldCharType="separate"/>
        </w:r>
        <w:r w:rsidR="00D14BF4" w:rsidRPr="00D14BF4">
          <w:rPr>
            <w:noProof/>
            <w:lang w:val="es-ES"/>
          </w:rPr>
          <w:t>7</w:t>
        </w:r>
        <w:r>
          <w:fldChar w:fldCharType="end"/>
        </w:r>
      </w:p>
    </w:sdtContent>
  </w:sdt>
  <w:p w14:paraId="4E5F296A" w14:textId="77777777" w:rsidR="00624C98" w:rsidRDefault="00624C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473332"/>
      <w:docPartObj>
        <w:docPartGallery w:val="Page Numbers (Bottom of Page)"/>
        <w:docPartUnique/>
      </w:docPartObj>
    </w:sdtPr>
    <w:sdtEndPr>
      <w:rPr>
        <w:rFonts w:ascii="Verdana" w:hAnsi="Verdana"/>
        <w:noProof/>
        <w:sz w:val="20"/>
        <w:szCs w:val="20"/>
      </w:rPr>
    </w:sdtEndPr>
    <w:sdtContent>
      <w:p w14:paraId="7EBDFA80" w14:textId="77777777" w:rsidR="00624C98" w:rsidRPr="00071392" w:rsidRDefault="00624C98">
        <w:pPr>
          <w:pStyle w:val="Footer"/>
          <w:jc w:val="center"/>
          <w:rPr>
            <w:rFonts w:ascii="Verdana" w:hAnsi="Verdana"/>
            <w:sz w:val="20"/>
            <w:szCs w:val="20"/>
          </w:rPr>
        </w:pPr>
        <w:r w:rsidRPr="00071392">
          <w:rPr>
            <w:rFonts w:ascii="Verdana" w:hAnsi="Verdana"/>
            <w:sz w:val="20"/>
            <w:szCs w:val="20"/>
          </w:rPr>
          <w:fldChar w:fldCharType="begin"/>
        </w:r>
        <w:r w:rsidRPr="00071392">
          <w:rPr>
            <w:rFonts w:ascii="Verdana" w:hAnsi="Verdana"/>
            <w:sz w:val="20"/>
            <w:szCs w:val="20"/>
          </w:rPr>
          <w:instrText xml:space="preserve"> PAGE   \* MERGEFORMAT </w:instrText>
        </w:r>
        <w:r w:rsidRPr="00071392">
          <w:rPr>
            <w:rFonts w:ascii="Verdana" w:hAnsi="Verdana"/>
            <w:sz w:val="20"/>
            <w:szCs w:val="20"/>
          </w:rPr>
          <w:fldChar w:fldCharType="separate"/>
        </w:r>
        <w:r w:rsidR="00D14BF4">
          <w:rPr>
            <w:rFonts w:ascii="Verdana" w:hAnsi="Verdana"/>
            <w:noProof/>
            <w:sz w:val="20"/>
            <w:szCs w:val="20"/>
          </w:rPr>
          <w:t>9</w:t>
        </w:r>
        <w:r w:rsidRPr="00071392">
          <w:rPr>
            <w:rFonts w:ascii="Verdana" w:hAnsi="Verdana"/>
            <w:noProof/>
            <w:sz w:val="20"/>
            <w:szCs w:val="20"/>
          </w:rPr>
          <w:fldChar w:fldCharType="end"/>
        </w:r>
      </w:p>
    </w:sdtContent>
  </w:sdt>
  <w:p w14:paraId="593FF709" w14:textId="77777777" w:rsidR="00624C98" w:rsidRDefault="00624C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DAFEB" w14:textId="77777777" w:rsidR="00624C98" w:rsidRDefault="00624C98" w:rsidP="00E4033A">
      <w:r>
        <w:separator/>
      </w:r>
    </w:p>
  </w:footnote>
  <w:footnote w:type="continuationSeparator" w:id="0">
    <w:p w14:paraId="41A17E61" w14:textId="77777777" w:rsidR="00624C98" w:rsidRDefault="00624C98" w:rsidP="00E4033A">
      <w:r>
        <w:continuationSeparator/>
      </w:r>
    </w:p>
  </w:footnote>
  <w:footnote w:type="continuationNotice" w:id="1">
    <w:p w14:paraId="4A55811E" w14:textId="77777777" w:rsidR="00624C98" w:rsidRDefault="00624C98"/>
  </w:footnote>
  <w:footnote w:id="2">
    <w:p w14:paraId="63126BE6" w14:textId="13986CDA"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On January 26, 2014, the Court received the brief submitting the case in Spanish, and this was forwarded in English two days later</w:t>
      </w:r>
      <w:r>
        <w:rPr>
          <w:lang w:val="en-US"/>
        </w:rPr>
        <w:t>,</w:t>
      </w:r>
      <w:r w:rsidRPr="00965219">
        <w:rPr>
          <w:lang w:val="en-US"/>
        </w:rPr>
        <w:t xml:space="preserve"> that is, on January 28, 2014. The Court will consider this last date as that of the submission, since English is the official language of the case (merits file, folio 88).</w:t>
      </w:r>
    </w:p>
  </w:footnote>
  <w:footnote w:id="3">
    <w:p w14:paraId="63126BE7" w14:textId="77777777" w:rsidR="00624C98" w:rsidRPr="00965219" w:rsidRDefault="00624C98" w:rsidP="00145D1D">
      <w:pPr>
        <w:pStyle w:val="xmsonormal"/>
        <w:tabs>
          <w:tab w:val="left" w:pos="540"/>
        </w:tabs>
        <w:spacing w:before="0" w:beforeAutospacing="0" w:after="80" w:afterAutospacing="0"/>
        <w:jc w:val="both"/>
        <w:rPr>
          <w:color w:val="000000"/>
        </w:rPr>
      </w:pPr>
      <w:r w:rsidRPr="00965219">
        <w:rPr>
          <w:rStyle w:val="FootnoteReference"/>
          <w:sz w:val="16"/>
          <w:szCs w:val="16"/>
        </w:rPr>
        <w:footnoteRef/>
      </w:r>
      <w:r w:rsidRPr="00965219">
        <w:rPr>
          <w:rFonts w:ascii="Verdana" w:hAnsi="Verdana"/>
          <w:sz w:val="16"/>
          <w:szCs w:val="16"/>
        </w:rPr>
        <w:t xml:space="preserve"> </w:t>
      </w:r>
      <w:r w:rsidRPr="00965219">
        <w:rPr>
          <w:rFonts w:ascii="Verdana" w:hAnsi="Verdana"/>
          <w:sz w:val="16"/>
          <w:szCs w:val="16"/>
        </w:rPr>
        <w:tab/>
        <w:t xml:space="preserve">The </w:t>
      </w:r>
      <w:r w:rsidRPr="00965219">
        <w:rPr>
          <w:rFonts w:ascii="Verdana" w:hAnsi="Verdana"/>
          <w:color w:val="000000"/>
          <w:sz w:val="16"/>
          <w:szCs w:val="16"/>
        </w:rPr>
        <w:t xml:space="preserve">Lower Marowijne Indigenous Lands Rights Commission (CLIM) subsequently changed its name to the </w:t>
      </w:r>
      <w:r w:rsidRPr="00965219">
        <w:rPr>
          <w:rFonts w:ascii="Verdana" w:hAnsi="Verdana"/>
          <w:sz w:val="16"/>
          <w:szCs w:val="16"/>
        </w:rPr>
        <w:t>Organization of Kaliña and Lokono Indigenous Peoples of Marowijne (KLIM) as indicated in an activities report prepared by VIDS and KLIM in relation to their participation in the case before the Inter-American Commission</w:t>
      </w:r>
      <w:r w:rsidRPr="00965219">
        <w:rPr>
          <w:rFonts w:ascii="Verdana" w:hAnsi="Verdana"/>
          <w:color w:val="000000"/>
          <w:sz w:val="16"/>
          <w:szCs w:val="16"/>
        </w:rPr>
        <w:t xml:space="preserve"> (evidence file, folio 2098).</w:t>
      </w:r>
    </w:p>
  </w:footnote>
  <w:footnote w:id="4">
    <w:p w14:paraId="63126BE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During the proceedings before the Commission, the legal representatives of the petitioners were Fergus MacKay, Senior Counsel, Forest Peoples Programme; David Padilla, assistant legal counsel, and Jacqueline Jubithana, assistant legal counsel (merits file, folio 9). </w:t>
      </w:r>
    </w:p>
    <w:p w14:paraId="63126BE9" w14:textId="77777777" w:rsidR="00624C98" w:rsidRPr="00965219" w:rsidRDefault="00624C98" w:rsidP="00145D1D">
      <w:pPr>
        <w:pStyle w:val="FootnoteText"/>
        <w:spacing w:after="80"/>
        <w:rPr>
          <w:lang w:val="en-US"/>
        </w:rPr>
      </w:pPr>
    </w:p>
  </w:footnote>
  <w:footnote w:id="5">
    <w:p w14:paraId="63126BEA" w14:textId="77777777" w:rsidR="00624C98" w:rsidRPr="00965219" w:rsidRDefault="00624C98" w:rsidP="00145D1D">
      <w:pPr>
        <w:tabs>
          <w:tab w:val="left" w:pos="450"/>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In its Merits Report, the Commission indicated that, subsequent to the Admissibility Report, the petitioners alleged that the State’s failure to provide details of the precise dates on which land titles and leases were issued to non-indigenous persons over part of the traditional territory of the Kaliña and Lokono peoples, without justifying the refusal to provide this public information, violated Article 13 of the American Convention. In its Merits Report, the Commission considered this to be part of the facts of the case, and examined them in the context of the violation of the right to collective property of the Kaliña and Lokono peoples, recognized in Article 21 of the Convention.</w:t>
      </w:r>
    </w:p>
    <w:p w14:paraId="63126BEB" w14:textId="77777777" w:rsidR="00624C98" w:rsidRPr="00965219" w:rsidRDefault="00624C98" w:rsidP="00145D1D">
      <w:pPr>
        <w:tabs>
          <w:tab w:val="left" w:pos="450"/>
        </w:tabs>
        <w:spacing w:after="80"/>
        <w:jc w:val="both"/>
        <w:rPr>
          <w:rFonts w:ascii="Verdana" w:hAnsi="Verdana"/>
          <w:sz w:val="16"/>
          <w:szCs w:val="16"/>
          <w:lang w:val="en-US"/>
        </w:rPr>
      </w:pPr>
    </w:p>
  </w:footnote>
  <w:footnote w:id="6">
    <w:p w14:paraId="63126BEC" w14:textId="3554C64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Commission appointed Commissioner José de Jesús Orozco Henríquez and Executive Secretary Emilio Álvarez Icaza as its delegates and Elizabeth Abi-Mershed, Deputy Executive Secretary, and Silvia Serrano Guzmán, lawyer of the IACHR Executive Secretariat, as legal advisers.</w:t>
      </w:r>
    </w:p>
  </w:footnote>
  <w:footnote w:id="7">
    <w:p w14:paraId="63126BE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For this case, the State was represented by Martin M. Misiedjan, Agent, and Dr. Jennifer Van Dijk-Silos, Deputy Agent (merits file, folio 96).</w:t>
      </w:r>
    </w:p>
  </w:footnote>
  <w:footnote w:id="8">
    <w:p w14:paraId="63126BE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For this case, the accredited representatives are Fergus MacKay, Senior Counsel, Forest Peoples Programme, and David Padilla, assistant legal counsel (merits file, folio 80).</w:t>
      </w:r>
    </w:p>
  </w:footnote>
  <w:footnote w:id="9">
    <w:p w14:paraId="63126BE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Case of Kaliña and Lokono peoples v. Suriname.</w:t>
      </w:r>
      <w:proofErr w:type="gramEnd"/>
      <w:r w:rsidRPr="00965219">
        <w:rPr>
          <w:lang w:val="en-US"/>
        </w:rPr>
        <w:t xml:space="preserve"> Order of the President of the Inter-American Court of Human Rights of December 18, 2014. Available at:</w:t>
      </w:r>
      <w:r w:rsidRPr="00965219">
        <w:rPr>
          <w:rStyle w:val="Strong"/>
          <w:color w:val="000000"/>
          <w:shd w:val="clear" w:color="auto" w:fill="FFFFFF"/>
          <w:lang w:val="en-US"/>
        </w:rPr>
        <w:t xml:space="preserve"> </w:t>
      </w:r>
      <w:hyperlink r:id="rId1" w:history="1">
        <w:r w:rsidRPr="00965219">
          <w:rPr>
            <w:rStyle w:val="Hyperlink"/>
            <w:shd w:val="clear" w:color="auto" w:fill="FFFFFF"/>
            <w:lang w:val="en-US"/>
          </w:rPr>
          <w:t>http://www.corteidh.or.cr/docs/asuntos/kaliñaylokono_18_12_14.pdf</w:t>
        </w:r>
      </w:hyperlink>
      <w:r w:rsidRPr="00965219">
        <w:rPr>
          <w:rStyle w:val="Hyperlink"/>
          <w:shd w:val="clear" w:color="auto" w:fill="FFFFFF"/>
          <w:lang w:val="en-US"/>
        </w:rPr>
        <w:t>.</w:t>
      </w:r>
      <w:r w:rsidRPr="00965219">
        <w:rPr>
          <w:rStyle w:val="Strong"/>
          <w:color w:val="000000"/>
          <w:shd w:val="clear" w:color="auto" w:fill="FFFFFF"/>
          <w:lang w:val="en-US"/>
        </w:rPr>
        <w:t xml:space="preserve"> </w:t>
      </w:r>
    </w:p>
  </w:footnote>
  <w:footnote w:id="10">
    <w:p w14:paraId="63126BF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ab/>
        <w:t>On January 15, the Court asked the State to confirm whether Claudine Sakimin was a member of its delegation or a witness, since it was not possible for her to fulfill both functions (merits file, folio 327). On January 27, 2015, with the presentation of Claudine Sakimin’s affidavit, the State tacitly declared that she was a witness (merits file, folio 486) and ratified this expressly in a communication received on January 29, 2015 (merits file, folios 507 and 508).</w:t>
      </w:r>
    </w:p>
  </w:footnote>
  <w:footnote w:id="11">
    <w:p w14:paraId="63126BF1" w14:textId="104762A5"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There appeared at this hearing: (a) for the Inter-American Commission: James Louis Cavallaro, Commissioner, Silvia Serrano </w:t>
      </w:r>
      <w:r w:rsidRPr="007A09A8">
        <w:rPr>
          <w:rFonts w:ascii="Verdana" w:hAnsi="Verdana"/>
          <w:sz w:val="16"/>
          <w:szCs w:val="16"/>
          <w:lang w:val="en-US"/>
        </w:rPr>
        <w:t>Guzmán, Jorge H. Meza Flores and Erick Acuña Pereda, Advisers; (b) for the representatives of the alleged</w:t>
      </w:r>
      <w:r w:rsidRPr="007A09A8">
        <w:rPr>
          <w:rFonts w:ascii="Verdana" w:hAnsi="Verdana"/>
          <w:i/>
          <w:sz w:val="16"/>
          <w:szCs w:val="16"/>
          <w:lang w:val="en-US"/>
        </w:rPr>
        <w:t xml:space="preserve"> </w:t>
      </w:r>
      <w:r w:rsidRPr="007A09A8">
        <w:rPr>
          <w:rFonts w:ascii="Verdana" w:hAnsi="Verdana"/>
          <w:sz w:val="16"/>
          <w:szCs w:val="16"/>
          <w:lang w:val="en-US"/>
        </w:rPr>
        <w:t>victims:</w:t>
      </w:r>
      <w:r w:rsidRPr="00965219">
        <w:rPr>
          <w:rFonts w:ascii="Verdana" w:hAnsi="Verdana"/>
          <w:sz w:val="16"/>
          <w:szCs w:val="16"/>
          <w:lang w:val="en-US"/>
        </w:rPr>
        <w:t xml:space="preserve"> Fergus MacKay, David Padilla, Alancay Morales Garro and Max Ooft, as interpreter, and (c) for the State of Suriname: Martin P. Misiedjan, Asishkumar R. Lala, Robbin Mussendijk, Ajaij Piarelal, Grasella Jozefzoon, Armilia Tojosemito, and M. Pool, as interpreter. </w:t>
      </w:r>
    </w:p>
  </w:footnote>
  <w:footnote w:id="12">
    <w:p w14:paraId="63126BF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w:t>
      </w:r>
      <w:r w:rsidRPr="00965219">
        <w:rPr>
          <w:i/>
          <w:lang w:val="en-US"/>
        </w:rPr>
        <w:t>amicus curiae</w:t>
      </w:r>
      <w:r w:rsidRPr="00965219">
        <w:rPr>
          <w:lang w:val="en-US"/>
        </w:rPr>
        <w:t xml:space="preserve"> brief was signed and submitted by Juliana Amaya Lamir, Director and Legal Representative of the </w:t>
      </w:r>
      <w:r w:rsidRPr="00965219">
        <w:rPr>
          <w:i/>
          <w:lang w:val="en-US"/>
        </w:rPr>
        <w:t>Fundación ProBono-Colombia</w:t>
      </w:r>
      <w:r w:rsidRPr="00965219">
        <w:rPr>
          <w:lang w:val="en-US"/>
        </w:rPr>
        <w:t xml:space="preserve"> (merits file, folio 539).</w:t>
      </w:r>
    </w:p>
  </w:footnote>
  <w:footnote w:id="13">
    <w:p w14:paraId="63126BF3" w14:textId="1DA0070C"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this regard, in a letter of March 26, 2015, the Court’s Secretariat recalled that the State had not sent the following information requested by the judges during the public hearing, and repeated the request: (a) the 1998 Nature Protection Resolution (the letter indicates 1992, but the correct year is 1998); (b) the draft bill on traditional authorities; (c) copies of the freehold and leasehold titles and long-term leases granted to indigenous and non-indigenous third parties, as well as information regarding how many of these titles had been awarded to non-indigenous third parties; (d) information on the alleged construction of a casino on the territory claimed by the indigenous peoples, and (e) information on the agreements reached between the State and the Kaliña and Lokono peoples so that the latter could have free access, use and enjoyment of their territories within the nature reserves. Accordingly, it granted </w:t>
      </w:r>
      <w:r w:rsidRPr="001030B1">
        <w:rPr>
          <w:lang w:val="en-US"/>
        </w:rPr>
        <w:t>the State until April 13, 2015, to present this information (merits file, folio 797). This request was reiterated on April 15, and the State was granted until April 29, 2015, to comply (merits file, folio 827). On that date, the State submitted</w:t>
      </w:r>
      <w:r w:rsidRPr="00FE7BA7">
        <w:rPr>
          <w:sz w:val="20"/>
          <w:szCs w:val="20"/>
          <w:lang w:val="en-US"/>
        </w:rPr>
        <w:t xml:space="preserve"> </w:t>
      </w:r>
      <w:r w:rsidRPr="00965219">
        <w:rPr>
          <w:lang w:val="en-US"/>
        </w:rPr>
        <w:t>some of the information that had been requested (merits file, folio 836), and indicated, without providing any evidence, that: (a) regarding the land titles and leases that it was still investigating and compiling these (merits file, folio 839), and (b) according to its research, there was no evidence of the construction of a casino in the territory claimed by the indigenous peoples (merits file, folios 840 and 868).</w:t>
      </w:r>
    </w:p>
  </w:footnote>
  <w:footnote w:id="14">
    <w:p w14:paraId="63126BF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Court’s delegation for the visit consisted of the President of the Court, Judge Humberto Antonio Sierra Porto; Emilia Segares, Deputy Secretary of the Court; Jorge Calderón Gamboa, the Secretariat’s Coordinating Lawyer, and Cecilia La Hoz Barrera, Secretariat lawyer. The State was represented by Martin Misiedjan, State Agent; Robbin Mussendijk and Grasella Jozefzoon, State representatives, and the Inter-American Commission was represented by Tracy Robinson, Commissioner, and Erick Acuña, legal adviser of the Commission. In addition, the representatives were represented by Fergus MacKay, the translator Max Ooft, Loreen Jubitana, Captain Ronald Makosi, Capitan Theo Jubitana, and other members of the communities.</w:t>
      </w:r>
    </w:p>
  </w:footnote>
  <w:footnote w:id="15">
    <w:p w14:paraId="63126BF5" w14:textId="1F3B0631"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Letter of the Secretariat of the Inter-American Court of August 25, 2015 (merits file, folio 923). This letter requested the following as helpful evidence: (a) from the State, a list of the Maroon communities with the number of their inhabitants, in the territories claimed in this case; a list of the participants in the meeting held on September 27, 2013, during which three commissions were formed; lists of the participants in the meetings that took place on January 31 and February 28, 2003, with the Ministers of Regional Development and of Natural Resources, and copies of freehold land titles, and leasehold titles and long-term leases granted to both indigenous and non-indigenous persons in Tuinstad Albina; (b) from the representatives, information concerning the ancestral ties between the Barbakoea and Koriabo culture and that of the Kaliña and Lokono peoples; a recent map of the territory claimed in this case; a list of communities whose land is not being claimed, and the judgment of May 1998, in the case of</w:t>
      </w:r>
      <w:r w:rsidRPr="00965219">
        <w:rPr>
          <w:rFonts w:ascii="Verdana" w:hAnsi="Verdana"/>
          <w:i/>
          <w:sz w:val="16"/>
          <w:szCs w:val="16"/>
          <w:lang w:val="en-US"/>
        </w:rPr>
        <w:t xml:space="preserve"> </w:t>
      </w:r>
      <w:r w:rsidRPr="00965219">
        <w:rPr>
          <w:rFonts w:ascii="Verdana" w:hAnsi="Verdana"/>
          <w:i/>
          <w:snapToGrid w:val="0"/>
          <w:sz w:val="16"/>
          <w:szCs w:val="16"/>
          <w:lang w:val="en-US"/>
        </w:rPr>
        <w:t>Celientje</w:t>
      </w:r>
      <w:r w:rsidRPr="00965219">
        <w:rPr>
          <w:rFonts w:ascii="Verdana" w:hAnsi="Verdana"/>
          <w:i/>
          <w:sz w:val="16"/>
          <w:szCs w:val="16"/>
          <w:lang w:val="en-US"/>
        </w:rPr>
        <w:t xml:space="preserve"> Martina Joeroeja-Koewie and Others v. Suriname, </w:t>
      </w:r>
      <w:r w:rsidRPr="00965219">
        <w:rPr>
          <w:rFonts w:ascii="Verdana" w:hAnsi="Verdana"/>
          <w:sz w:val="16"/>
          <w:szCs w:val="16"/>
          <w:lang w:val="en-US"/>
        </w:rPr>
        <w:t xml:space="preserve">as well as the judgment of May 1998 in the case of </w:t>
      </w:r>
      <w:r w:rsidRPr="00965219">
        <w:rPr>
          <w:rFonts w:ascii="Verdana" w:hAnsi="Verdana"/>
          <w:i/>
          <w:iCs/>
          <w:sz w:val="16"/>
          <w:szCs w:val="16"/>
          <w:lang w:val="en-US"/>
        </w:rPr>
        <w:t>Tjang A. Sjin v. Zaalman and Others,</w:t>
      </w:r>
      <w:r w:rsidRPr="00965219">
        <w:rPr>
          <w:rFonts w:ascii="Verdana" w:hAnsi="Verdana"/>
          <w:sz w:val="16"/>
          <w:szCs w:val="16"/>
          <w:lang w:val="en-US"/>
        </w:rPr>
        <w:t xml:space="preserve"> and (c) from both parties, updated information concerning events following the submission of the draft bill on traditional authorities; the record of the constitution of the Galibi Nature Reserve Dialogue Commission, and information regarding activities that are underway; a communication of August 26, 1978, signed by Jr. F. C. Bubberman, Head of the State Forest Management Service, and A. C. Cirino, Chair of KANO; a list of participants in the 1986 meeting in Wan Shi Sha concerning the establishment of the Wane Kreek Nature Reserve, and documentation indicating when the mining operations in the Wane Kreek Nature Reserve began and ended. </w:t>
      </w:r>
    </w:p>
  </w:footnote>
  <w:footnote w:id="16">
    <w:p w14:paraId="63126BF6" w14:textId="77777777" w:rsidR="00624C98" w:rsidRPr="00965219" w:rsidRDefault="00624C98" w:rsidP="00145D1D">
      <w:pPr>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Letter of the Secretariat of the Inter-American Court of September 11, 2015 (merits file, folio 978). The representatives sent 10 annexes, which contained the following: (a) an educational project to raise awareness of land rights under Suriname law and international law, entitled “Wi Gon Na Wi”; (b) maps of the Maroon territories and other occupied indigenous areas; (c) Gazon Matodja’s correspondence with regard to a dialogue process concerning land rights; (d) a judicial decision on a complaint filed by indigenous residents of Pierrekondre against the State of Suriname and </w:t>
      </w:r>
      <w:r w:rsidRPr="00965219">
        <w:rPr>
          <w:rFonts w:ascii="Verdana" w:eastAsiaTheme="minorHAnsi" w:hAnsi="Verdana" w:cs="Georgia"/>
          <w:bCs/>
          <w:sz w:val="16"/>
          <w:szCs w:val="16"/>
          <w:lang w:val="en-US"/>
        </w:rPr>
        <w:t xml:space="preserve">Suriname Stone &amp; Industries N.V; (e) receipts arising from representation expenses, and (f) a statement by the Ajintoena family in which they state that they live peacefully in the territories of the Lokono People and are on good terms with the traditional indigenous authorities </w:t>
      </w:r>
      <w:r w:rsidRPr="00965219">
        <w:rPr>
          <w:rFonts w:ascii="Verdana" w:eastAsiaTheme="minorHAnsi" w:hAnsi="Verdana" w:cs="Georgia"/>
          <w:sz w:val="16"/>
          <w:szCs w:val="16"/>
          <w:lang w:val="en-US"/>
        </w:rPr>
        <w:t xml:space="preserve">(evidence file, folios 2867 to 2920). With regard to the documentation they were asked to provide, </w:t>
      </w:r>
      <w:r w:rsidRPr="00965219">
        <w:rPr>
          <w:rFonts w:ascii="Verdana" w:hAnsi="Verdana"/>
          <w:sz w:val="16"/>
          <w:szCs w:val="16"/>
          <w:lang w:val="en-US"/>
        </w:rPr>
        <w:t>the representatives did not send the following because they did not have the information: (a) the list of participants in the 1986 meeting in Wan Shi Sha concerning the establishment of the Wane Kreek Nature Reserve, and (b) a communication of August 26, 1978, signed by Jr. F. C. Bubberman, Head of the State Forest Management Service, and A. C. Cirino, Chair of KANO (merits file, folio 945).</w:t>
      </w:r>
    </w:p>
  </w:footnote>
  <w:footnote w:id="17">
    <w:p w14:paraId="63126BF7" w14:textId="77777777" w:rsidR="00624C98" w:rsidRPr="00965219" w:rsidRDefault="00624C98" w:rsidP="00145D1D">
      <w:pPr>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Letters of the Secretariat of the Inter-American Court dated August 25, September 11 and 22 and October 5, 2015 (merits file, folios 923, 974, 1019 and 1080). These annexes contained: (a) a list of the Maroon settlements located in the area claimed by the indigenous peoples; (b) administrative decisions regarding pensions that the captains of the Kaliña and Lokono villages receive from the Government; (c) documentation concerning a series of meeting held in 2013 and 2014 between the State and representatives of the indigenous peoples aimed at resolving the problem of land ownership; (d) a document confirming the agreements made between the State and KANO; (e) regarding the Galibi Nature Reserve, documents concerning the constitution of the Dialogue Commission, and information on the activities underway; (f) regarding the Wane Kreek Nature Reserve, documentation on a meeting between the State and indigenous representatives regarding establishment of the nature reserve (g) reports, documents and maps relating to the Wane Kreek mining concession, and to the rehabilitation of the area, and (h) a map of Albina and another of Tuinstad Albina, as well as copies of the Domains Office records with regard to the titles issued for “Tuinstad Albina” (evidence file, folios 2925 to 3077). Regarding the information requested, the State advised that it was unable to obtain the list of the participants in the 1986 meeting in Wan Shi Sha concerning the establishment of the Wane Kreek Nature Reserve. However, it wished to provide the Court with documentation on the creation of the Wane Kreek Nature Reserve, including reports of different meetings between KANO, the Forest Management Service, and the chiefs of the indigenous villages affected (evidence file, folio 3032).</w:t>
      </w:r>
    </w:p>
  </w:footnote>
  <w:footnote w:id="18">
    <w:p w14:paraId="63126BF8" w14:textId="36694D6F"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expert opinion of Dr. Stuart Kirsch, Associate Professor of Anthropology of the University of Michigan, referred to the impact of the extraction of natural resources and other activities on the well-being and culture of the </w:t>
      </w:r>
      <w:r w:rsidRPr="007A09A8">
        <w:rPr>
          <w:lang w:val="en-US"/>
        </w:rPr>
        <w:t>alleged</w:t>
      </w:r>
      <w:r w:rsidRPr="007A09A8">
        <w:rPr>
          <w:i/>
          <w:lang w:val="en-US"/>
        </w:rPr>
        <w:t xml:space="preserve"> </w:t>
      </w:r>
      <w:r w:rsidRPr="00965219">
        <w:rPr>
          <w:lang w:val="en-US"/>
        </w:rPr>
        <w:t>victims, as well as on the nature of the mining operations on their land.</w:t>
      </w:r>
    </w:p>
  </w:footnote>
  <w:footnote w:id="19">
    <w:p w14:paraId="63126BF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expert opinion of Mariska Muskiet referred to effective rights in Suriname, and domestic remedies in relation to the land claims of indigenous and tribal communities. </w:t>
      </w:r>
      <w:r w:rsidRPr="00965219">
        <w:rPr>
          <w:i/>
          <w:lang w:val="en-US"/>
        </w:rPr>
        <w:t>Cf.</w:t>
      </w:r>
      <w:r w:rsidRPr="00965219">
        <w:rPr>
          <w:lang w:val="en-US"/>
        </w:rPr>
        <w:t xml:space="preserve"> </w:t>
      </w:r>
      <w:r w:rsidRPr="00965219">
        <w:rPr>
          <w:i/>
          <w:lang w:val="en-US"/>
        </w:rPr>
        <w:t>Case of Kaliña and Lokono peoples v. Suriname.</w:t>
      </w:r>
      <w:r w:rsidRPr="00965219">
        <w:rPr>
          <w:lang w:val="en-US"/>
        </w:rPr>
        <w:t xml:space="preserve"> </w:t>
      </w:r>
      <w:proofErr w:type="gramStart"/>
      <w:r w:rsidRPr="00965219">
        <w:rPr>
          <w:lang w:val="en-US"/>
        </w:rPr>
        <w:t xml:space="preserve">Order of the President of the Inter-American Court of Human Rights, </w:t>
      </w:r>
      <w:r w:rsidRPr="00965219">
        <w:rPr>
          <w:i/>
          <w:lang w:val="en-US"/>
        </w:rPr>
        <w:t>supra,</w:t>
      </w:r>
      <w:r w:rsidRPr="00965219">
        <w:rPr>
          <w:lang w:val="en-US"/>
        </w:rPr>
        <w:t xml:space="preserve"> twenty-first </w:t>
      </w:r>
      <w:r w:rsidRPr="006C4E70">
        <w:rPr>
          <w:lang w:val="en-US"/>
        </w:rPr>
        <w:t>considerandum</w:t>
      </w:r>
      <w:r w:rsidRPr="00965219">
        <w:rPr>
          <w:lang w:val="en-US"/>
        </w:rPr>
        <w:t xml:space="preserve"> and footnote 4.</w:t>
      </w:r>
      <w:proofErr w:type="gramEnd"/>
    </w:p>
  </w:footnote>
  <w:footnote w:id="20">
    <w:p w14:paraId="63126BF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expert opinion of Magda Hoever-Venoaks referred to the legal status of the provisions of the Suriname Mining Act and the Suriname Forestry Management Act that provide remedies to interested parties, as well as to other remedies available under the State’s administrative and constitutional law. </w:t>
      </w:r>
      <w:r w:rsidRPr="00965219">
        <w:rPr>
          <w:i/>
          <w:lang w:val="en-US"/>
        </w:rPr>
        <w:t>Cf.</w:t>
      </w:r>
      <w:r w:rsidRPr="00965219">
        <w:rPr>
          <w:lang w:val="en-US"/>
        </w:rPr>
        <w:t xml:space="preserve"> </w:t>
      </w:r>
      <w:r w:rsidRPr="00965219">
        <w:rPr>
          <w:i/>
          <w:lang w:val="en-US"/>
        </w:rPr>
        <w:t>Case of Kaliña and Lokono peoples v. Suriname.</w:t>
      </w:r>
      <w:r w:rsidRPr="00965219">
        <w:rPr>
          <w:lang w:val="en-US"/>
        </w:rPr>
        <w:t xml:space="preserve"> </w:t>
      </w:r>
      <w:proofErr w:type="gramStart"/>
      <w:r w:rsidRPr="00965219">
        <w:rPr>
          <w:lang w:val="en-US"/>
        </w:rPr>
        <w:t xml:space="preserve">Order of the President of the Inter-American Court of Human Rights, </w:t>
      </w:r>
      <w:r w:rsidRPr="00965219">
        <w:rPr>
          <w:i/>
          <w:lang w:val="en-US"/>
        </w:rPr>
        <w:t>supra,</w:t>
      </w:r>
      <w:r w:rsidRPr="00965219">
        <w:rPr>
          <w:lang w:val="en-US"/>
        </w:rPr>
        <w:t xml:space="preserve"> twenty-first </w:t>
      </w:r>
      <w:r w:rsidRPr="006C4E70">
        <w:rPr>
          <w:lang w:val="en-US"/>
        </w:rPr>
        <w:t>considerandum</w:t>
      </w:r>
      <w:r w:rsidRPr="00965219">
        <w:rPr>
          <w:lang w:val="en-US"/>
        </w:rPr>
        <w:t xml:space="preserve"> and footnote 4.</w:t>
      </w:r>
      <w:proofErr w:type="gramEnd"/>
    </w:p>
  </w:footnote>
  <w:footnote w:id="21">
    <w:p w14:paraId="63126BF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expert opinion of Victoria Tauli-Corpuz, Special Rapporteur on the rights of indigenous peoples of the United Nations, referred to international law and policy on protected areas and the sustainable conservation and use of biological diversity in relation to the rights of indigenous peoples, including in the Convention on Biological Diversity (CBD).</w:t>
      </w:r>
    </w:p>
  </w:footnote>
  <w:footnote w:id="22">
    <w:p w14:paraId="63126BF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ab/>
        <w:t xml:space="preserve"> The expert opinion of Jeremie Gilbert, Reader in Law of the University of East London, School of Law and Social Sciences, referred to: (a) the international standards and the standards of comparative law applicable to situations in which tension exists between the right to private property of non-indigenous persons and the right to collective property of the indigenous peoples, as well as to situations of real or apparent tension between the rights of indigenous peoples and environmental protection, offering elements of analysis regarding the scope of State obligations to elaborate and implement initiatives and policies in the area of environmental law; (b) the application of a model to analyze right restrictions that takes into consideration and grants specific effects to the right to property of the indigenous peoples, and (c) possible compensation measures that a State could implement in response to the result of his model for analyzing the restrictions of rights.</w:t>
      </w:r>
    </w:p>
  </w:footnote>
  <w:footnote w:id="23">
    <w:p w14:paraId="63126BF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purpose of these statements is established in the President’s Order of December 18, 2014 (</w:t>
      </w:r>
      <w:r w:rsidRPr="00965219">
        <w:rPr>
          <w:i/>
          <w:lang w:val="en-US"/>
        </w:rPr>
        <w:t>supra</w:t>
      </w:r>
      <w:r w:rsidRPr="00965219">
        <w:rPr>
          <w:lang w:val="en-US"/>
        </w:rPr>
        <w:t xml:space="preserve"> footnote 8).</w:t>
      </w:r>
    </w:p>
  </w:footnote>
  <w:footnote w:id="24">
    <w:p w14:paraId="63126BFE" w14:textId="34CA4C49" w:rsidR="00624C98" w:rsidRPr="00965219" w:rsidRDefault="00624C98" w:rsidP="00145D1D">
      <w:pPr>
        <w:pStyle w:val="FootnoteText"/>
        <w:spacing w:after="80"/>
        <w:rPr>
          <w:lang w:val="en-US"/>
        </w:rPr>
      </w:pPr>
      <w:r w:rsidRPr="00965219">
        <w:rPr>
          <w:rStyle w:val="FootnoteReference"/>
          <w:sz w:val="16"/>
          <w:lang w:val="en-US"/>
        </w:rPr>
        <w:footnoteRef/>
      </w:r>
      <w:r w:rsidRPr="00147672">
        <w:t xml:space="preserve"> </w:t>
      </w:r>
      <w:r w:rsidRPr="00147672">
        <w:tab/>
      </w:r>
      <w:r w:rsidRPr="00147672">
        <w:rPr>
          <w:i/>
        </w:rPr>
        <w:t xml:space="preserve">Cf. Case of Velásquez Rodríguez v. Honduras. </w:t>
      </w:r>
      <w:proofErr w:type="gramStart"/>
      <w:r w:rsidRPr="00965219">
        <w:rPr>
          <w:i/>
          <w:lang w:val="en-US"/>
        </w:rPr>
        <w:t>Merits.</w:t>
      </w:r>
      <w:proofErr w:type="gramEnd"/>
      <w:r w:rsidRPr="00965219">
        <w:rPr>
          <w:i/>
          <w:lang w:val="en-US"/>
        </w:rPr>
        <w:t xml:space="preserve"> </w:t>
      </w:r>
      <w:r w:rsidRPr="00965219">
        <w:rPr>
          <w:lang w:val="en-US"/>
        </w:rPr>
        <w:t xml:space="preserve">Judgment of July 29, 1988. Series C No. 4, para. </w:t>
      </w:r>
      <w:proofErr w:type="gramStart"/>
      <w:r w:rsidRPr="00965219">
        <w:rPr>
          <w:lang w:val="en-US"/>
        </w:rPr>
        <w:t>140,</w:t>
      </w:r>
      <w:proofErr w:type="gramEnd"/>
      <w:r w:rsidRPr="00965219">
        <w:rPr>
          <w:lang w:val="en-US"/>
        </w:rPr>
        <w:t xml:space="preserve"> and</w:t>
      </w:r>
      <w:r w:rsidRPr="00965219">
        <w:rPr>
          <w:i/>
          <w:lang w:val="en-US"/>
        </w:rPr>
        <w:t xml:space="preserve"> Case of López Lone el al. v. Honduras. </w:t>
      </w:r>
      <w:proofErr w:type="gramStart"/>
      <w:r w:rsidRPr="00965219">
        <w:rPr>
          <w:i/>
          <w:lang w:val="en-US"/>
        </w:rPr>
        <w:t xml:space="preserve">Preliminary objection, </w:t>
      </w:r>
      <w:r>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lang w:val="en-US"/>
        </w:rPr>
        <w:t xml:space="preserve"> Judgment of October 5, 2015. Series C No. 302</w:t>
      </w:r>
      <w:r w:rsidRPr="00965219">
        <w:rPr>
          <w:rStyle w:val="apple-converted-space"/>
          <w:lang w:val="en-US"/>
        </w:rPr>
        <w:t>, para. 31.</w:t>
      </w:r>
    </w:p>
  </w:footnote>
  <w:footnote w:id="25">
    <w:p w14:paraId="63126BF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vertAlign w:val="superscript"/>
          <w:lang w:val="en-US"/>
        </w:rPr>
        <w:t xml:space="preserve"> </w:t>
      </w:r>
      <w:r w:rsidRPr="00965219">
        <w:rPr>
          <w:lang w:val="en-US"/>
        </w:rPr>
        <w:tab/>
      </w:r>
      <w:proofErr w:type="gramStart"/>
      <w:r w:rsidRPr="00965219">
        <w:rPr>
          <w:i/>
          <w:lang w:val="en-US"/>
        </w:rPr>
        <w:t>Cf.</w:t>
      </w:r>
      <w:r w:rsidRPr="00965219">
        <w:rPr>
          <w:bCs/>
          <w:i/>
          <w:lang w:val="en-US"/>
        </w:rPr>
        <w:t xml:space="preserve"> </w:t>
      </w:r>
      <w:r w:rsidRPr="00965219">
        <w:rPr>
          <w:i/>
          <w:lang w:val="en-US"/>
        </w:rPr>
        <w:t>Case of the “White Van” (Paniagua Morales et al.) v. Guatemala.</w:t>
      </w:r>
      <w:proofErr w:type="gramEnd"/>
      <w:r w:rsidRPr="00965219">
        <w:rPr>
          <w:i/>
          <w:lang w:val="en-US"/>
        </w:rPr>
        <w:t xml:space="preserve"> </w:t>
      </w:r>
      <w:proofErr w:type="gramStart"/>
      <w:r w:rsidRPr="00965219">
        <w:rPr>
          <w:i/>
          <w:lang w:val="en-US"/>
        </w:rPr>
        <w:t>Merits.</w:t>
      </w:r>
      <w:proofErr w:type="gramEnd"/>
      <w:r w:rsidRPr="00965219">
        <w:rPr>
          <w:i/>
          <w:lang w:val="en-US"/>
        </w:rPr>
        <w:t xml:space="preserve"> </w:t>
      </w:r>
      <w:r w:rsidRPr="00965219">
        <w:rPr>
          <w:lang w:val="en-US"/>
        </w:rPr>
        <w:t xml:space="preserve">Judgment of March 8, 1998. Series C No. 37, paras. </w:t>
      </w:r>
      <w:proofErr w:type="gramStart"/>
      <w:r w:rsidRPr="00965219">
        <w:rPr>
          <w:lang w:val="en-US"/>
        </w:rPr>
        <w:t xml:space="preserve">69 to 76, and </w:t>
      </w:r>
      <w:r w:rsidRPr="00965219">
        <w:rPr>
          <w:i/>
          <w:lang w:val="en-US"/>
        </w:rPr>
        <w:t>Case of López Lone et al.</w:t>
      </w:r>
      <w:r w:rsidRPr="00965219">
        <w:rPr>
          <w:rStyle w:val="apple-converted-space"/>
          <w:i/>
          <w:lang w:val="en-US"/>
        </w:rPr>
        <w:t>, supra,</w:t>
      </w:r>
      <w:r w:rsidRPr="00965219">
        <w:rPr>
          <w:rStyle w:val="apple-converted-space"/>
          <w:lang w:val="en-US"/>
        </w:rPr>
        <w:t xml:space="preserve"> para.</w:t>
      </w:r>
      <w:proofErr w:type="gramEnd"/>
      <w:r w:rsidRPr="00965219">
        <w:rPr>
          <w:rStyle w:val="apple-converted-space"/>
          <w:lang w:val="en-US"/>
        </w:rPr>
        <w:t xml:space="preserve"> 40.</w:t>
      </w:r>
    </w:p>
  </w:footnote>
  <w:footnote w:id="26">
    <w:p w14:paraId="63126C00" w14:textId="77777777" w:rsidR="00624C98" w:rsidRPr="00965219" w:rsidRDefault="00624C98" w:rsidP="00145D1D">
      <w:pPr>
        <w:tabs>
          <w:tab w:val="left" w:pos="567"/>
          <w:tab w:val="left" w:pos="709"/>
        </w:tabs>
        <w:spacing w:after="80"/>
        <w:jc w:val="both"/>
        <w:rPr>
          <w:rFonts w:ascii="Verdana" w:hAnsi="Verdana"/>
          <w:i/>
          <w:sz w:val="16"/>
          <w:szCs w:val="16"/>
          <w:lang w:val="en-US"/>
        </w:rPr>
      </w:pPr>
      <w:r w:rsidRPr="00965219">
        <w:rPr>
          <w:rStyle w:val="FootnoteReference"/>
          <w:sz w:val="16"/>
          <w:szCs w:val="16"/>
          <w:lang w:val="en-US"/>
        </w:rPr>
        <w:footnoteRef/>
      </w:r>
      <w:r w:rsidRPr="00965219">
        <w:rPr>
          <w:rFonts w:ascii="Verdana" w:hAnsi="Verdana"/>
          <w:sz w:val="16"/>
          <w:szCs w:val="16"/>
          <w:vertAlign w:val="superscript"/>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sz w:val="16"/>
          <w:szCs w:val="16"/>
          <w:lang w:val="en-US"/>
        </w:rPr>
        <w:t>Case of the “White Van” (Paniagua Morales et al.) v. Guatemala.</w:t>
      </w:r>
      <w:proofErr w:type="gramEnd"/>
      <w:r w:rsidRPr="00965219">
        <w:rPr>
          <w:rFonts w:ascii="Verdana" w:hAnsi="Verdana"/>
          <w:i/>
          <w:sz w:val="16"/>
          <w:szCs w:val="16"/>
          <w:lang w:val="en-US"/>
        </w:rPr>
        <w:t xml:space="preserve"> </w:t>
      </w:r>
      <w:proofErr w:type="gramStart"/>
      <w:r w:rsidRPr="00965219">
        <w:rPr>
          <w:rFonts w:ascii="Verdana" w:hAnsi="Verdana"/>
          <w:i/>
          <w:sz w:val="16"/>
          <w:szCs w:val="16"/>
          <w:lang w:val="en-US"/>
        </w:rPr>
        <w:t>Merits, supra</w:t>
      </w:r>
      <w:r w:rsidRPr="00965219">
        <w:rPr>
          <w:rFonts w:ascii="Verdana" w:hAnsi="Verdana"/>
          <w:sz w:val="16"/>
          <w:szCs w:val="16"/>
          <w:lang w:val="en-US"/>
        </w:rPr>
        <w:t>, para.</w:t>
      </w:r>
      <w:proofErr w:type="gramEnd"/>
      <w:r w:rsidRPr="00965219">
        <w:rPr>
          <w:rFonts w:ascii="Verdana" w:hAnsi="Verdana"/>
          <w:sz w:val="16"/>
          <w:szCs w:val="16"/>
          <w:lang w:val="en-US"/>
        </w:rPr>
        <w:t xml:space="preserve"> </w:t>
      </w:r>
      <w:proofErr w:type="gramStart"/>
      <w:r w:rsidRPr="00965219">
        <w:rPr>
          <w:rFonts w:ascii="Verdana" w:hAnsi="Verdana"/>
          <w:sz w:val="16"/>
          <w:szCs w:val="16"/>
          <w:lang w:val="en-US"/>
        </w:rPr>
        <w:t xml:space="preserve">76, and </w:t>
      </w:r>
      <w:r w:rsidRPr="00965219">
        <w:rPr>
          <w:rFonts w:ascii="Verdana" w:hAnsi="Verdana"/>
          <w:i/>
          <w:sz w:val="16"/>
          <w:szCs w:val="16"/>
          <w:lang w:val="en-US"/>
        </w:rPr>
        <w:t>Case of López Lone et al.</w:t>
      </w:r>
      <w:r w:rsidRPr="00965219">
        <w:rPr>
          <w:rStyle w:val="apple-converted-space"/>
          <w:rFonts w:ascii="Verdana" w:hAnsi="Verdana"/>
          <w:sz w:val="16"/>
          <w:szCs w:val="16"/>
          <w:lang w:val="en-US"/>
        </w:rPr>
        <w:t xml:space="preserve">, </w:t>
      </w:r>
      <w:r w:rsidRPr="00965219">
        <w:rPr>
          <w:rStyle w:val="apple-converted-space"/>
          <w:rFonts w:ascii="Verdana" w:hAnsi="Verdana"/>
          <w:i/>
          <w:sz w:val="16"/>
          <w:szCs w:val="16"/>
          <w:lang w:val="en-US"/>
        </w:rPr>
        <w:t>supra,</w:t>
      </w:r>
      <w:r w:rsidRPr="00965219">
        <w:rPr>
          <w:rStyle w:val="apple-converted-space"/>
          <w:rFonts w:ascii="Verdana" w:hAnsi="Verdana"/>
          <w:sz w:val="16"/>
          <w:szCs w:val="16"/>
          <w:lang w:val="en-US"/>
        </w:rPr>
        <w:t xml:space="preserve"> para.</w:t>
      </w:r>
      <w:proofErr w:type="gramEnd"/>
      <w:r w:rsidRPr="00965219">
        <w:rPr>
          <w:rStyle w:val="apple-converted-space"/>
          <w:rFonts w:ascii="Verdana" w:hAnsi="Verdana"/>
          <w:sz w:val="16"/>
          <w:szCs w:val="16"/>
          <w:lang w:val="en-US"/>
        </w:rPr>
        <w:t xml:space="preserve"> 40.</w:t>
      </w:r>
    </w:p>
  </w:footnote>
  <w:footnote w:id="27">
    <w:p w14:paraId="63126C01" w14:textId="77777777" w:rsidR="00624C98" w:rsidRPr="00965219" w:rsidRDefault="00624C98" w:rsidP="00145D1D">
      <w:pPr>
        <w:tabs>
          <w:tab w:val="left" w:pos="567"/>
          <w:tab w:val="left" w:pos="709"/>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 Case of Loayza Tamayo v. Peru.</w:t>
      </w:r>
      <w:proofErr w:type="gramEnd"/>
      <w:r w:rsidRPr="00965219">
        <w:rPr>
          <w:rFonts w:ascii="Verdana" w:hAnsi="Verdana"/>
          <w:i/>
          <w:sz w:val="16"/>
          <w:szCs w:val="16"/>
          <w:lang w:val="en-US"/>
        </w:rPr>
        <w:t xml:space="preserve"> </w:t>
      </w:r>
      <w:proofErr w:type="gramStart"/>
      <w:r w:rsidRPr="00965219">
        <w:rPr>
          <w:rFonts w:ascii="Verdana" w:hAnsi="Verdana"/>
          <w:i/>
          <w:sz w:val="16"/>
          <w:szCs w:val="16"/>
          <w:lang w:val="en-US"/>
        </w:rPr>
        <w:t>Merits.</w:t>
      </w:r>
      <w:proofErr w:type="gramEnd"/>
      <w:r w:rsidRPr="00965219">
        <w:rPr>
          <w:rFonts w:ascii="Verdana" w:hAnsi="Verdana"/>
          <w:i/>
          <w:sz w:val="16"/>
          <w:szCs w:val="16"/>
          <w:lang w:val="en-US"/>
        </w:rPr>
        <w:t xml:space="preserve"> </w:t>
      </w:r>
      <w:r w:rsidRPr="00965219">
        <w:rPr>
          <w:rFonts w:ascii="Verdana" w:hAnsi="Verdana"/>
          <w:sz w:val="16"/>
          <w:szCs w:val="16"/>
          <w:lang w:val="en-US"/>
        </w:rPr>
        <w:t xml:space="preserve">Judgment of September 17, 1997. Series C No. 33, para. </w:t>
      </w:r>
      <w:proofErr w:type="gramStart"/>
      <w:r w:rsidRPr="00965219">
        <w:rPr>
          <w:rFonts w:ascii="Verdana" w:hAnsi="Verdana"/>
          <w:sz w:val="16"/>
          <w:szCs w:val="16"/>
          <w:lang w:val="en-US"/>
        </w:rPr>
        <w:t xml:space="preserve">43, and </w:t>
      </w:r>
      <w:r w:rsidRPr="00965219">
        <w:rPr>
          <w:rFonts w:ascii="Verdana" w:hAnsi="Verdana"/>
          <w:i/>
          <w:sz w:val="16"/>
          <w:szCs w:val="16"/>
          <w:lang w:val="en-US"/>
        </w:rPr>
        <w:t>Case of López Lone et al.</w:t>
      </w:r>
      <w:r w:rsidRPr="00965219">
        <w:rPr>
          <w:rStyle w:val="apple-converted-space"/>
          <w:rFonts w:ascii="Verdana" w:hAnsi="Verdana"/>
          <w:sz w:val="16"/>
          <w:szCs w:val="16"/>
          <w:lang w:val="en-US"/>
        </w:rPr>
        <w:t xml:space="preserve">, </w:t>
      </w:r>
      <w:r w:rsidRPr="00965219">
        <w:rPr>
          <w:rStyle w:val="apple-converted-space"/>
          <w:rFonts w:ascii="Verdana" w:hAnsi="Verdana"/>
          <w:i/>
          <w:sz w:val="16"/>
          <w:szCs w:val="16"/>
          <w:lang w:val="en-US"/>
        </w:rPr>
        <w:t>supra,</w:t>
      </w:r>
      <w:r w:rsidRPr="00965219">
        <w:rPr>
          <w:rStyle w:val="apple-converted-space"/>
          <w:rFonts w:ascii="Verdana" w:hAnsi="Verdana"/>
          <w:sz w:val="16"/>
          <w:szCs w:val="16"/>
          <w:lang w:val="en-US"/>
        </w:rPr>
        <w:t xml:space="preserve"> para.</w:t>
      </w:r>
      <w:proofErr w:type="gramEnd"/>
      <w:r w:rsidRPr="00965219">
        <w:rPr>
          <w:rStyle w:val="apple-converted-space"/>
          <w:rFonts w:ascii="Verdana" w:hAnsi="Verdana"/>
          <w:sz w:val="16"/>
          <w:szCs w:val="16"/>
          <w:lang w:val="en-US"/>
        </w:rPr>
        <w:t xml:space="preserve"> 41.</w:t>
      </w:r>
    </w:p>
  </w:footnote>
  <w:footnote w:id="28">
    <w:p w14:paraId="63126C02" w14:textId="00CC67AE" w:rsidR="00624C98" w:rsidRPr="00965219" w:rsidRDefault="00624C98" w:rsidP="00145D1D">
      <w:pPr>
        <w:pStyle w:val="Footnotes"/>
        <w:spacing w:before="0"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 Case of the Kichwa Indigenous People of Sarayaku v. Ecuador.</w:t>
      </w:r>
      <w:proofErr w:type="gramEnd"/>
      <w:r w:rsidRPr="00965219">
        <w:rPr>
          <w:i/>
          <w:lang w:val="en-US"/>
        </w:rPr>
        <w:t xml:space="preserve"> </w:t>
      </w:r>
      <w:proofErr w:type="gramStart"/>
      <w:r w:rsidRPr="00965219">
        <w:rPr>
          <w:i/>
          <w:lang w:val="en-US"/>
        </w:rPr>
        <w:t xml:space="preserve">Merits and </w:t>
      </w:r>
      <w:r w:rsidRPr="00567F37">
        <w:rPr>
          <w:i/>
          <w:lang w:val="en-US"/>
        </w:rPr>
        <w:t>Reparations</w:t>
      </w:r>
      <w:r w:rsidRPr="00965219">
        <w:rPr>
          <w:i/>
          <w:lang w:val="en-US"/>
        </w:rPr>
        <w:t>.</w:t>
      </w:r>
      <w:proofErr w:type="gramEnd"/>
      <w:r w:rsidRPr="00965219">
        <w:rPr>
          <w:i/>
          <w:lang w:val="en-US"/>
        </w:rPr>
        <w:t xml:space="preserve"> </w:t>
      </w:r>
      <w:r w:rsidRPr="00965219">
        <w:rPr>
          <w:lang w:val="en-US"/>
        </w:rPr>
        <w:t xml:space="preserve">Judgment of June 27, 2012. Series C No. 245, para. </w:t>
      </w:r>
      <w:proofErr w:type="gramStart"/>
      <w:r w:rsidRPr="00965219">
        <w:rPr>
          <w:lang w:val="en-US"/>
        </w:rPr>
        <w:t>49,</w:t>
      </w:r>
      <w:proofErr w:type="gramEnd"/>
      <w:r w:rsidRPr="00965219">
        <w:rPr>
          <w:lang w:val="en-US"/>
        </w:rPr>
        <w:t xml:space="preserve"> and </w:t>
      </w:r>
      <w:r w:rsidRPr="00965219">
        <w:rPr>
          <w:i/>
          <w:lang w:val="en-US"/>
        </w:rPr>
        <w:t xml:space="preserve">Case of the Garífuna Community of Punta Piedra and its members v. Honduras. </w:t>
      </w:r>
      <w:proofErr w:type="gramStart"/>
      <w:r w:rsidRPr="00567F37">
        <w:rPr>
          <w:i/>
          <w:lang w:val="en-US"/>
        </w:rPr>
        <w:t>Preliminary Objections</w:t>
      </w:r>
      <w:r w:rsidRPr="00965219">
        <w:rPr>
          <w:i/>
          <w:lang w:val="en-US"/>
        </w:rPr>
        <w:t xml:space="preserve">, </w:t>
      </w:r>
      <w:r>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lang w:val="en-US"/>
        </w:rPr>
        <w:t xml:space="preserve"> Judgment of October 8, 2015. Series C No. 304, para. 79.</w:t>
      </w:r>
    </w:p>
  </w:footnote>
  <w:footnote w:id="29">
    <w:p w14:paraId="63126C0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Court requested information on the titling of lands in favor of third parties on three occasions (</w:t>
      </w:r>
      <w:r w:rsidRPr="00965219">
        <w:rPr>
          <w:i/>
          <w:lang w:val="en-US"/>
        </w:rPr>
        <w:t>infra</w:t>
      </w:r>
      <w:r w:rsidRPr="00965219">
        <w:rPr>
          <w:lang w:val="en-US"/>
        </w:rPr>
        <w:t>, para. 264). Finally, the State provided this, in Dutch, and in a way that was unclear, imprecise and unintelligible, because it provided scanned copies of the handwritten records of the Domains Office, many of which could not been seen clearly owing to the quality of the image. Also, some of them only permitted the name of the titleholder and the location of the lot within the Tuinstad Albina Project to be identified. Similarly, the map of this project sent by the State, the numbers on which are mentioned in the title records, appears to show that the land has been divided into 73 lots (evidence file, annexes 7b, 7c and 7d, folios 3078 to 3230).</w:t>
      </w:r>
    </w:p>
  </w:footnote>
  <w:footnote w:id="30">
    <w:p w14:paraId="63126C0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rFonts w:cs="Palatino-Italic"/>
          <w:i/>
          <w:lang w:val="en-US" w:eastAsia="en-US"/>
        </w:rPr>
        <w:t>Cf.</w:t>
      </w:r>
      <w:r w:rsidRPr="00965219">
        <w:rPr>
          <w:i/>
          <w:lang w:val="en-US"/>
        </w:rPr>
        <w:t xml:space="preserve"> Case of the Garífuna Community of Punta Piedra and its members, </w:t>
      </w:r>
      <w:r w:rsidRPr="00965219">
        <w:rPr>
          <w:rFonts w:cs="Palatino-Italic"/>
          <w:i/>
          <w:lang w:val="en-US" w:eastAsia="en-US"/>
        </w:rPr>
        <w:t>supra,</w:t>
      </w:r>
      <w:r w:rsidRPr="00965219">
        <w:rPr>
          <w:lang w:val="en-US"/>
        </w:rPr>
        <w:t xml:space="preserve"> para. </w:t>
      </w:r>
      <w:r w:rsidRPr="00965219">
        <w:rPr>
          <w:rFonts w:cs="Palatino-Italic"/>
          <w:lang w:val="en-US" w:eastAsia="en-US"/>
        </w:rPr>
        <w:t>80.</w:t>
      </w:r>
    </w:p>
  </w:footnote>
  <w:footnote w:id="31">
    <w:p w14:paraId="63126C0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The historical use and occupation by Indigenous peoples and communities of the Lower Marowijne River region of Suriname, dated June 25, 2006, prepared by Caroline de Jong (evidence file, folio 5); Traditional use and management of the Lower Marowijne area by the Kaliña and Lokono: A Surinamese case study in the context of article 10(c) of the Convention on Biological Diversity, dated February 17, 2006, prepared by Henry Zaalman, Georgette Kumanajare, Louis Biswane, Grace Watamaleo, Michael Barend, Sylvia Oeloekanamoe, Steven Majarawai, Harold Galgren, Ellen-Rose Kambel and Caroline de Jong (evidence file, folio 40), and Affidavit made by Captain Grace Watamaleo on January 27, 2015 (merits file, folio 448).</w:t>
      </w:r>
    </w:p>
  </w:footnote>
  <w:footnote w:id="32">
    <w:p w14:paraId="63126C0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International Work Group for Indigenous Affairs (IWGIA), The Indigenous World 2012: Suriname (evidence file, folio 13).</w:t>
      </w:r>
    </w:p>
  </w:footnote>
  <w:footnote w:id="33">
    <w:p w14:paraId="63126C0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 xml:space="preserve">supra </w:t>
      </w:r>
      <w:r w:rsidRPr="00965219">
        <w:rPr>
          <w:lang w:val="en-US"/>
        </w:rPr>
        <w:t xml:space="preserve">(evidence file, folio 40), and </w:t>
      </w:r>
      <w:proofErr w:type="gramStart"/>
      <w:r w:rsidRPr="00965219">
        <w:rPr>
          <w:lang w:val="en-US"/>
        </w:rPr>
        <w:t>The</w:t>
      </w:r>
      <w:proofErr w:type="gramEnd"/>
      <w:r w:rsidRPr="00965219">
        <w:rPr>
          <w:lang w:val="en-US"/>
        </w:rPr>
        <w:t xml:space="preserve"> historical use and occupation by indigenous peoples and communities of the Lower Marowijne River region of Suriname, </w:t>
      </w:r>
      <w:r w:rsidRPr="00965219">
        <w:rPr>
          <w:i/>
          <w:lang w:val="en-US"/>
        </w:rPr>
        <w:t>supra</w:t>
      </w:r>
      <w:r w:rsidRPr="00965219">
        <w:rPr>
          <w:lang w:val="en-US"/>
        </w:rPr>
        <w:t xml:space="preserve"> (evidence file, folio 5).</w:t>
      </w:r>
    </w:p>
  </w:footnote>
  <w:footnote w:id="34">
    <w:p w14:paraId="63126C0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40).</w:t>
      </w:r>
    </w:p>
  </w:footnote>
  <w:footnote w:id="35">
    <w:p w14:paraId="63126C0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40).</w:t>
      </w:r>
    </w:p>
  </w:footnote>
  <w:footnote w:id="36">
    <w:p w14:paraId="63126C0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Final written observations of the State of March 2, 2015 (merits file, folio 583). </w:t>
      </w:r>
    </w:p>
  </w:footnote>
  <w:footnote w:id="37">
    <w:p w14:paraId="63126C0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this regard, the following is worth noting: (i) the main crop is tapioca; (ii) both men and women take part in the activity, and (iii) each community has a common area for agriculture where each resident may grow his own crops. </w:t>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folios 74, 81 and 82).</w:t>
      </w:r>
    </w:p>
  </w:footnote>
  <w:footnote w:id="38">
    <w:p w14:paraId="63126C0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this regard, the following is worth noting: (i) on average, the inhabitants of the communities carry out fishing activities three or four times a week; (ii) the fish are caught for personal consumption and for trading purposes, and (iii) both men and women take part in the activities. </w:t>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92).</w:t>
      </w:r>
    </w:p>
  </w:footnote>
  <w:footnote w:id="39">
    <w:p w14:paraId="63126C0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this regard, the following is worth noting: (i) ancestrally, hunting was one of the main subsistence activities, but nowadays it is less frequent; (ii) even though each community has its own hunting ground, indigenous people are free to hunt wherever they wish, and (iii) traditionally, the bow and arrow were used, but today almost all hunters use rifles. </w:t>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folios 84 and 87-89).</w:t>
      </w:r>
    </w:p>
  </w:footnote>
  <w:footnote w:id="40">
    <w:p w14:paraId="63126C0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 xml:space="preserve">supra </w:t>
      </w:r>
      <w:r w:rsidRPr="00965219">
        <w:rPr>
          <w:lang w:val="en-US"/>
        </w:rPr>
        <w:t xml:space="preserve">(evidence file, folio 100). </w:t>
      </w:r>
    </w:p>
  </w:footnote>
  <w:footnote w:id="41">
    <w:p w14:paraId="63126C1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128).</w:t>
      </w:r>
    </w:p>
  </w:footnote>
  <w:footnote w:id="42">
    <w:p w14:paraId="63126C1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It is said that these trees harbor evil spirits who will harm anyone who cuts them down; although, the </w:t>
      </w:r>
      <w:r w:rsidRPr="00965219">
        <w:rPr>
          <w:i/>
          <w:lang w:val="en-US"/>
        </w:rPr>
        <w:t>takini</w:t>
      </w:r>
      <w:r w:rsidRPr="00965219">
        <w:rPr>
          <w:lang w:val="en-US"/>
        </w:rPr>
        <w:t xml:space="preserve"> in particular is used by the </w:t>
      </w:r>
      <w:r w:rsidRPr="00965219">
        <w:rPr>
          <w:i/>
          <w:lang w:val="en-US"/>
        </w:rPr>
        <w:t>piays</w:t>
      </w:r>
      <w:r w:rsidRPr="00965219">
        <w:rPr>
          <w:lang w:val="en-US"/>
        </w:rPr>
        <w:t xml:space="preserve"> (shamans) for their rituals. Consequently, they are not cut down and crops are not grown near them. </w:t>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133).</w:t>
      </w:r>
    </w:p>
  </w:footnote>
  <w:footnote w:id="43">
    <w:p w14:paraId="63126C1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It is said that the spirit of the boa will haunt the person who kills it and will kill his whole family, and that the ancestor of the sea turtles, considered the guardian of the sea, will become angry and inflict disease on anyone who kills a turtle, and also on his family. It is also said that dolphins and manatees were human beings in the past and they help and take care of anyone who falls in the water. </w:t>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folios 131 and 132).</w:t>
      </w:r>
    </w:p>
  </w:footnote>
  <w:footnote w:id="44">
    <w:p w14:paraId="63126C1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128).</w:t>
      </w:r>
    </w:p>
  </w:footnote>
  <w:footnote w:id="45">
    <w:p w14:paraId="63126C1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folios 444 and 448).</w:t>
      </w:r>
    </w:p>
  </w:footnote>
  <w:footnote w:id="46">
    <w:p w14:paraId="63126C1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128).</w:t>
      </w:r>
    </w:p>
  </w:footnote>
  <w:footnote w:id="47">
    <w:p w14:paraId="63126C1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folios 135 - 137).</w:t>
      </w:r>
    </w:p>
  </w:footnote>
  <w:footnote w:id="48">
    <w:p w14:paraId="63126C1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45).</w:t>
      </w:r>
    </w:p>
  </w:footnote>
  <w:footnote w:id="49">
    <w:p w14:paraId="63126C18" w14:textId="0D7CEA2F"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965219">
        <w:rPr>
          <w:rFonts w:ascii="Verdana" w:hAnsi="Verdana"/>
          <w:sz w:val="16"/>
          <w:szCs w:val="16"/>
          <w:vertAlign w:val="superscript"/>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 Case of the Moiwana Community v. Suriname.</w:t>
      </w:r>
      <w:proofErr w:type="gramEnd"/>
      <w:r w:rsidRPr="00965219">
        <w:rPr>
          <w:rFonts w:ascii="Verdana" w:hAnsi="Verdana"/>
          <w:i/>
          <w:sz w:val="16"/>
          <w:szCs w:val="16"/>
          <w:lang w:val="en-US"/>
        </w:rPr>
        <w:t xml:space="preserve"> </w:t>
      </w:r>
      <w:proofErr w:type="gramStart"/>
      <w:r w:rsidRPr="00567F37">
        <w:rPr>
          <w:rFonts w:ascii="Verdana" w:hAnsi="Verdana"/>
          <w:i/>
          <w:sz w:val="16"/>
          <w:szCs w:val="16"/>
          <w:lang w:val="en-US"/>
        </w:rPr>
        <w:t>Preliminary Objections</w:t>
      </w:r>
      <w:r w:rsidRPr="00965219">
        <w:rPr>
          <w:rFonts w:ascii="Verdana" w:hAnsi="Verdana"/>
          <w:i/>
          <w:sz w:val="16"/>
          <w:szCs w:val="16"/>
          <w:lang w:val="en-US"/>
        </w:rPr>
        <w:t xml:space="preserve">, </w:t>
      </w:r>
      <w:r w:rsidRPr="00567F37">
        <w:rPr>
          <w:rFonts w:ascii="Verdana" w:hAnsi="Verdana"/>
          <w:i/>
          <w:sz w:val="16"/>
          <w:szCs w:val="16"/>
          <w:lang w:val="en-US"/>
        </w:rPr>
        <w:t>Merits,</w:t>
      </w:r>
      <w:r w:rsidRPr="00965219">
        <w:rPr>
          <w:rFonts w:ascii="Verdana" w:hAnsi="Verdana"/>
          <w:i/>
          <w:sz w:val="16"/>
          <w:szCs w:val="16"/>
          <w:lang w:val="en-US"/>
        </w:rPr>
        <w:t xml:space="preserve"> </w:t>
      </w:r>
      <w:r w:rsidRPr="00567F37">
        <w:rPr>
          <w:rFonts w:ascii="Verdana" w:hAnsi="Verdana"/>
          <w:i/>
          <w:sz w:val="16"/>
          <w:szCs w:val="16"/>
          <w:lang w:val="en-US"/>
        </w:rPr>
        <w:t>Reparations</w:t>
      </w:r>
      <w:r w:rsidRPr="00965219">
        <w:rPr>
          <w:rFonts w:ascii="Verdana" w:hAnsi="Verdana"/>
          <w:i/>
          <w:sz w:val="16"/>
          <w:szCs w:val="16"/>
          <w:lang w:val="en-US"/>
        </w:rPr>
        <w:t xml:space="preserve"> and </w:t>
      </w:r>
      <w:r w:rsidRPr="00567F37">
        <w:rPr>
          <w:rFonts w:ascii="Verdana" w:hAnsi="Verdana"/>
          <w:i/>
          <w:sz w:val="16"/>
          <w:szCs w:val="16"/>
          <w:lang w:val="en-US"/>
        </w:rPr>
        <w:t>Costs</w:t>
      </w:r>
      <w:r w:rsidRPr="00965219">
        <w:rPr>
          <w:rFonts w:ascii="Verdana" w:hAnsi="Verdana"/>
          <w:i/>
          <w:sz w:val="16"/>
          <w:szCs w:val="16"/>
          <w:lang w:val="en-US"/>
        </w:rPr>
        <w:t>.</w:t>
      </w:r>
      <w:proofErr w:type="gramEnd"/>
      <w:r w:rsidRPr="00965219">
        <w:rPr>
          <w:rFonts w:ascii="Verdana" w:hAnsi="Verdana"/>
          <w:sz w:val="16"/>
          <w:szCs w:val="16"/>
          <w:lang w:val="en-US"/>
        </w:rPr>
        <w:t xml:space="preserve"> Judgment of June 15, 2005. Series C No. 124, paras. 86.12 </w:t>
      </w:r>
      <w:proofErr w:type="gramStart"/>
      <w:r w:rsidRPr="00965219">
        <w:rPr>
          <w:rFonts w:ascii="Verdana" w:hAnsi="Verdana"/>
          <w:sz w:val="16"/>
          <w:szCs w:val="16"/>
          <w:lang w:val="en-US"/>
        </w:rPr>
        <w:t>and</w:t>
      </w:r>
      <w:proofErr w:type="gramEnd"/>
      <w:r w:rsidRPr="00965219">
        <w:rPr>
          <w:rFonts w:ascii="Verdana" w:hAnsi="Verdana"/>
          <w:sz w:val="16"/>
          <w:szCs w:val="16"/>
          <w:lang w:val="en-US"/>
        </w:rPr>
        <w:t xml:space="preserve"> 86.13.</w:t>
      </w:r>
    </w:p>
  </w:footnote>
  <w:footnote w:id="50">
    <w:p w14:paraId="63126C19" w14:textId="77777777" w:rsidR="00624C98" w:rsidRPr="00965219" w:rsidRDefault="00624C98" w:rsidP="00145D1D">
      <w:pPr>
        <w:tabs>
          <w:tab w:val="left" w:pos="567"/>
        </w:tabs>
        <w:spacing w:after="80"/>
        <w:jc w:val="both"/>
        <w:rPr>
          <w:rFonts w:ascii="Verdana" w:hAnsi="Verdana"/>
          <w:bCs/>
          <w:sz w:val="16"/>
          <w:szCs w:val="16"/>
          <w:lang w:val="en-US"/>
        </w:rPr>
      </w:pPr>
      <w:r w:rsidRPr="00965219">
        <w:rPr>
          <w:rStyle w:val="Strong"/>
          <w:rFonts w:ascii="Verdana" w:hAnsi="Verdana"/>
          <w:b w:val="0"/>
          <w:sz w:val="16"/>
          <w:szCs w:val="16"/>
          <w:vertAlign w:val="superscript"/>
          <w:lang w:val="en-US"/>
        </w:rPr>
        <w:footnoteRef/>
      </w:r>
      <w:r w:rsidRPr="00965219">
        <w:rPr>
          <w:rStyle w:val="Strong"/>
          <w:rFonts w:ascii="Verdana" w:hAnsi="Verdana"/>
          <w:b w:val="0"/>
          <w:sz w:val="16"/>
          <w:szCs w:val="16"/>
          <w:vertAlign w:val="superscript"/>
          <w:lang w:val="en-US"/>
        </w:rPr>
        <w:t xml:space="preserve"> </w:t>
      </w:r>
      <w:r w:rsidRPr="00965219">
        <w:rPr>
          <w:rStyle w:val="Strong"/>
          <w:rFonts w:ascii="Verdana" w:hAnsi="Verdana"/>
          <w:b w:val="0"/>
          <w:sz w:val="16"/>
          <w:szCs w:val="16"/>
          <w:vertAlign w:val="superscript"/>
          <w:lang w:val="en-US"/>
        </w:rPr>
        <w:tab/>
      </w:r>
      <w:r w:rsidRPr="00965219">
        <w:rPr>
          <w:rFonts w:ascii="Verdana" w:hAnsi="Verdana"/>
          <w:i/>
          <w:sz w:val="16"/>
          <w:szCs w:val="16"/>
          <w:lang w:val="en-US"/>
        </w:rPr>
        <w:t>Cf.</w:t>
      </w:r>
      <w:r w:rsidRPr="00965219">
        <w:rPr>
          <w:rFonts w:ascii="Verdana" w:hAnsi="Verdana"/>
          <w:sz w:val="16"/>
          <w:szCs w:val="16"/>
          <w:lang w:val="en-US"/>
        </w:rPr>
        <w:t xml:space="preserve"> Traditional use and management of the Lower Marowijne area by the Kaliña and Lokono, </w:t>
      </w:r>
      <w:r w:rsidRPr="00965219">
        <w:rPr>
          <w:rFonts w:ascii="Verdana" w:hAnsi="Verdana"/>
          <w:i/>
          <w:sz w:val="16"/>
          <w:szCs w:val="16"/>
          <w:lang w:val="en-US"/>
        </w:rPr>
        <w:t>supra</w:t>
      </w:r>
      <w:r w:rsidRPr="00965219">
        <w:rPr>
          <w:rFonts w:ascii="Verdana" w:hAnsi="Verdana"/>
          <w:sz w:val="16"/>
          <w:szCs w:val="16"/>
          <w:lang w:val="en-US"/>
        </w:rPr>
        <w:t xml:space="preserve"> (evidence file, folio 44), and Affidavit made by Captain Grace Watamaleo on January 27, 2015 (merits file, folio 445).</w:t>
      </w:r>
    </w:p>
  </w:footnote>
  <w:footnote w:id="51">
    <w:p w14:paraId="63126C1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According to the information provided by the State in its final written arguments, approximately 13,103 Maroons reside in Marowijne District (merits file, folio 582).</w:t>
      </w:r>
    </w:p>
  </w:footnote>
  <w:footnote w:id="52">
    <w:p w14:paraId="63126C1B" w14:textId="3CB23535"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Statements made on August 17, 2015, during the on-site procedure, by M. Misindjan, President of the Land Rights Commission and the State agent in this case; by T. Sondrejoe, Marowijne District Commissioner, and by Fergus MacKay, representative of the </w:t>
      </w:r>
      <w:r w:rsidRPr="007A09A8">
        <w:rPr>
          <w:lang w:val="en-US"/>
        </w:rPr>
        <w:t>alleged</w:t>
      </w:r>
      <w:r w:rsidRPr="007A09A8">
        <w:rPr>
          <w:i/>
          <w:lang w:val="en-US"/>
        </w:rPr>
        <w:t xml:space="preserve"> </w:t>
      </w:r>
      <w:r w:rsidRPr="00965219">
        <w:rPr>
          <w:lang w:val="en-US"/>
        </w:rPr>
        <w:t>victims (merits file, folio 973).</w:t>
      </w:r>
    </w:p>
  </w:footnote>
  <w:footnote w:id="53">
    <w:p w14:paraId="63126C1C" w14:textId="77777777"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965219">
        <w:rPr>
          <w:rFonts w:ascii="Verdana" w:hAnsi="Verdana"/>
          <w:sz w:val="16"/>
          <w:szCs w:val="16"/>
          <w:vertAlign w:val="superscript"/>
          <w:lang w:val="en-US"/>
        </w:rPr>
        <w:t xml:space="preserve"> </w:t>
      </w:r>
      <w:r w:rsidRPr="00965219">
        <w:rPr>
          <w:rFonts w:ascii="Verdana" w:hAnsi="Verdana"/>
          <w:sz w:val="16"/>
          <w:szCs w:val="16"/>
          <w:lang w:val="en-US"/>
        </w:rPr>
        <w:tab/>
      </w:r>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sz w:val="16"/>
          <w:szCs w:val="16"/>
          <w:lang w:val="en-US"/>
        </w:rPr>
        <w:t>Case of the Moiwana Community</w:t>
      </w:r>
      <w:r w:rsidRPr="00965219">
        <w:rPr>
          <w:rFonts w:ascii="Verdana" w:hAnsi="Verdana"/>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 para. 86.4.</w:t>
      </w:r>
    </w:p>
  </w:footnote>
  <w:footnote w:id="54">
    <w:p w14:paraId="63126C1D" w14:textId="26304B31"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w:t>
      </w:r>
      <w:r w:rsidRPr="00965219">
        <w:rPr>
          <w:rStyle w:val="Strong"/>
          <w:b w:val="0"/>
          <w:lang w:val="en-US"/>
        </w:rPr>
        <w:t>Anjoemara Creek marks the boundary between the community of Marijkedorp (Wan Shi Sha) and Albina</w:t>
      </w:r>
      <w:r w:rsidRPr="00965219">
        <w:rPr>
          <w:lang w:val="en-US"/>
        </w:rPr>
        <w:t>. The</w:t>
      </w:r>
      <w:r w:rsidRPr="00965219">
        <w:rPr>
          <w:rStyle w:val="Strong"/>
          <w:b w:val="0"/>
          <w:lang w:val="en-US"/>
        </w:rPr>
        <w:t xml:space="preserve"> Aloemada Creek also marks the boundary with the </w:t>
      </w:r>
      <w:r>
        <w:rPr>
          <w:rStyle w:val="Strong"/>
          <w:b w:val="0"/>
          <w:lang w:val="en-US"/>
        </w:rPr>
        <w:t xml:space="preserve">Kaliña </w:t>
      </w:r>
      <w:r w:rsidRPr="00965219">
        <w:rPr>
          <w:rStyle w:val="Strong"/>
          <w:b w:val="0"/>
          <w:lang w:val="en-US"/>
        </w:rPr>
        <w:t xml:space="preserve">community of Bigiston. </w:t>
      </w:r>
      <w:proofErr w:type="gramStart"/>
      <w:r w:rsidRPr="00965219">
        <w:rPr>
          <w:rStyle w:val="Strong"/>
          <w:b w:val="0"/>
          <w:i/>
          <w:lang w:val="en-US"/>
        </w:rPr>
        <w:t>Cf.</w:t>
      </w:r>
      <w:r w:rsidRPr="00965219">
        <w:rPr>
          <w:rStyle w:val="Strong"/>
          <w:b w:val="0"/>
          <w:lang w:val="en-US"/>
        </w:rPr>
        <w:t xml:space="preserve"> </w:t>
      </w:r>
      <w:r w:rsidRPr="00965219">
        <w:rPr>
          <w:lang w:val="en-US"/>
        </w:rPr>
        <w:t>Brief of the representatives of September 8, 2015, para.</w:t>
      </w:r>
      <w:proofErr w:type="gramEnd"/>
      <w:r w:rsidRPr="00965219">
        <w:rPr>
          <w:lang w:val="en-US"/>
        </w:rPr>
        <w:t xml:space="preserve"> 19 (merits file, folio 953).</w:t>
      </w:r>
    </w:p>
  </w:footnote>
  <w:footnote w:id="55">
    <w:p w14:paraId="63126C1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addition, the representatives indicated that the houses built in Alfonsdorp for the survivors of the Moiwana massacre were inhabited sporadically, without specifying by whom, and that the </w:t>
      </w:r>
      <w:r w:rsidRPr="00965219">
        <w:rPr>
          <w:rStyle w:val="st"/>
          <w:lang w:val="en-US"/>
        </w:rPr>
        <w:t xml:space="preserve">N'djuka Maroon village of </w:t>
      </w:r>
      <w:r w:rsidRPr="00965219">
        <w:rPr>
          <w:rStyle w:val="Emphasis"/>
          <w:i w:val="0"/>
          <w:lang w:val="en-US"/>
        </w:rPr>
        <w:t>Moiwana was outside the land claimed by</w:t>
      </w:r>
      <w:r w:rsidRPr="00965219">
        <w:rPr>
          <w:i/>
          <w:lang w:val="en-US"/>
        </w:rPr>
        <w:t xml:space="preserve"> </w:t>
      </w:r>
      <w:r w:rsidRPr="00965219">
        <w:rPr>
          <w:lang w:val="en-US"/>
        </w:rPr>
        <w:t xml:space="preserve">the Kaliña and Lokono peoples. </w:t>
      </w:r>
      <w:proofErr w:type="gramStart"/>
      <w:r w:rsidRPr="00965219">
        <w:rPr>
          <w:i/>
          <w:lang w:val="en-US"/>
        </w:rPr>
        <w:t>Cf.</w:t>
      </w:r>
      <w:r w:rsidRPr="00965219">
        <w:rPr>
          <w:lang w:val="en-US"/>
        </w:rPr>
        <w:t xml:space="preserve"> Brief of the representatives of September 8, 2015, paras.</w:t>
      </w:r>
      <w:proofErr w:type="gramEnd"/>
      <w:r w:rsidRPr="00965219">
        <w:rPr>
          <w:lang w:val="en-US"/>
        </w:rPr>
        <w:t xml:space="preserve"> 14, 15 and 19 (merits file, folios 951 to 954).</w:t>
      </w:r>
    </w:p>
  </w:footnote>
  <w:footnote w:id="56">
    <w:p w14:paraId="63126C1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 made on August 19, 2015, during the on-site procedure, by Jona Gunther, Captain of Erowarte (merits file, folio 973).</w:t>
      </w:r>
    </w:p>
  </w:footnote>
  <w:footnote w:id="57">
    <w:p w14:paraId="63126C2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 made on August 19, 2015, during the on-site procedure, by Grace Watamaleo, Captain of Marijkedorp (Wan Shi Sha) (merits file, folio 973), and Brief of the representatives of September 8, 2015 (merits file, folio 954).</w:t>
      </w:r>
    </w:p>
  </w:footnote>
  <w:footnote w:id="58">
    <w:p w14:paraId="63126C2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 made on August 19, 2015, during the on-site procedure, by Marchiano Aroepa, Assistant to the Captain of Bigiston, (merits file, folio 973), and Brief of the representatives of September 8, 2015 (merits file, folio 954).</w:t>
      </w:r>
    </w:p>
  </w:footnote>
  <w:footnote w:id="59">
    <w:p w14:paraId="63126C2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Pr>
          <w:lang w:val="en-US"/>
        </w:rPr>
        <w:t xml:space="preserve"> Letter from Gaa</w:t>
      </w:r>
      <w:r w:rsidRPr="00965219">
        <w:rPr>
          <w:lang w:val="en-US"/>
        </w:rPr>
        <w:t xml:space="preserve">man </w:t>
      </w:r>
      <w:r>
        <w:rPr>
          <w:lang w:val="en-US"/>
        </w:rPr>
        <w:t xml:space="preserve">Da Gazon </w:t>
      </w:r>
      <w:r w:rsidRPr="00965219">
        <w:rPr>
          <w:lang w:val="en-US"/>
        </w:rPr>
        <w:t>Matodja</w:t>
      </w:r>
      <w:r>
        <w:rPr>
          <w:lang w:val="en-US"/>
        </w:rPr>
        <w:t>, Paramount Chief of the N’djuka Maroons,</w:t>
      </w:r>
      <w:r w:rsidRPr="00965219">
        <w:rPr>
          <w:lang w:val="en-US"/>
        </w:rPr>
        <w:t xml:space="preserve"> dated April 9, 2009 (evidence file, folio 2884).</w:t>
      </w:r>
    </w:p>
  </w:footnote>
  <w:footnote w:id="60">
    <w:p w14:paraId="63126C2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lang w:val="en-US"/>
        </w:rPr>
        <w:t>Article 10 (right to land) of the Lelydorp Accord.</w:t>
      </w:r>
      <w:proofErr w:type="gramEnd"/>
      <w:r w:rsidRPr="00965219">
        <w:rPr>
          <w:lang w:val="en-US"/>
        </w:rPr>
        <w:t xml:space="preserve"> </w:t>
      </w:r>
      <w:r w:rsidRPr="00965219">
        <w:rPr>
          <w:i/>
          <w:lang w:val="en-US"/>
        </w:rPr>
        <w:t>Cf.</w:t>
      </w:r>
      <w:r w:rsidRPr="00965219">
        <w:rPr>
          <w:lang w:val="en-US"/>
        </w:rPr>
        <w:t xml:space="preserve"> Affidavit made by Loreen Jubitana on January 27, 2015 (merits file, folios 431 and 432).</w:t>
      </w:r>
    </w:p>
  </w:footnote>
  <w:footnote w:id="61">
    <w:p w14:paraId="63126C24" w14:textId="77777777"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965219">
        <w:rPr>
          <w:rFonts w:ascii="Verdana" w:hAnsi="Verdana"/>
          <w:sz w:val="16"/>
          <w:szCs w:val="16"/>
          <w:vertAlign w:val="superscript"/>
          <w:lang w:val="en-US"/>
        </w:rPr>
        <w:t xml:space="preserve"> </w:t>
      </w:r>
      <w:r w:rsidRPr="00965219">
        <w:rPr>
          <w:rFonts w:ascii="Verdana" w:hAnsi="Verdana"/>
          <w:sz w:val="16"/>
          <w:szCs w:val="16"/>
          <w:vertAlign w:val="superscript"/>
          <w:lang w:val="en-US"/>
        </w:rPr>
        <w:tab/>
      </w:r>
      <w:proofErr w:type="gramStart"/>
      <w:r w:rsidRPr="00965219">
        <w:rPr>
          <w:rFonts w:ascii="Verdana" w:hAnsi="Verdana"/>
          <w:i/>
          <w:sz w:val="16"/>
          <w:szCs w:val="16"/>
          <w:lang w:val="en-US"/>
        </w:rPr>
        <w:t>Case of the Moiwana Community, supra,</w:t>
      </w:r>
      <w:r w:rsidRPr="00965219">
        <w:rPr>
          <w:rFonts w:ascii="Verdana" w:hAnsi="Verdana"/>
          <w:sz w:val="16"/>
          <w:szCs w:val="16"/>
          <w:lang w:val="en-US"/>
        </w:rPr>
        <w:t xml:space="preserve"> para.</w:t>
      </w:r>
      <w:proofErr w:type="gramEnd"/>
      <w:r w:rsidRPr="00965219">
        <w:rPr>
          <w:rFonts w:ascii="Verdana" w:hAnsi="Verdana"/>
          <w:sz w:val="16"/>
          <w:szCs w:val="16"/>
          <w:lang w:val="en-US"/>
        </w:rPr>
        <w:t xml:space="preserve"> 86.5.</w:t>
      </w:r>
    </w:p>
  </w:footnote>
  <w:footnote w:id="62">
    <w:p w14:paraId="63126C25" w14:textId="0A6EF009"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Case of the Saramaka People v. Suriname.</w:t>
      </w:r>
      <w:proofErr w:type="gramEnd"/>
      <w:r w:rsidRPr="00965219">
        <w:rPr>
          <w:i/>
          <w:lang w:val="en-US"/>
        </w:rPr>
        <w:t xml:space="preserve"> </w:t>
      </w:r>
      <w:proofErr w:type="gramStart"/>
      <w:r w:rsidRPr="00567F37">
        <w:rPr>
          <w:i/>
          <w:lang w:val="en-US"/>
        </w:rPr>
        <w:t>Preliminary Objections</w:t>
      </w:r>
      <w:r w:rsidRPr="00965219">
        <w:rPr>
          <w:i/>
          <w:lang w:val="en-US"/>
        </w:rPr>
        <w:t xml:space="preserve">, </w:t>
      </w:r>
      <w:r>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lang w:val="en-US"/>
        </w:rPr>
        <w:t xml:space="preserve"> Judgment of November 28, 2007. Series C No. 172, para. 115.</w:t>
      </w:r>
    </w:p>
  </w:footnote>
  <w:footnote w:id="63">
    <w:p w14:paraId="63126C26" w14:textId="5CFB3C12"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Loreen Jubitana on January 27, 2015 (merits file, folio 433), and Professional services contract dated January 6, 2014 (evidence file, folio 2997)</w:t>
      </w:r>
      <w:r>
        <w:rPr>
          <w:lang w:val="en-US"/>
        </w:rPr>
        <w:t>.</w:t>
      </w:r>
    </w:p>
  </w:footnote>
  <w:footnote w:id="64">
    <w:p w14:paraId="63126C27" w14:textId="7FF788D2"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Articles 1, 2, 5, 7 and 8</w:t>
      </w:r>
      <w:r w:rsidRPr="006C4E70">
        <w:rPr>
          <w:i/>
          <w:lang w:val="en-US"/>
        </w:rPr>
        <w:t>, Draft Bill on Traditional Authorities</w:t>
      </w:r>
      <w:r w:rsidRPr="00965219">
        <w:rPr>
          <w:lang w:val="en-US"/>
        </w:rPr>
        <w:t xml:space="preserve"> of June 3, 2014 (merits file, folios 848 to 850).</w:t>
      </w:r>
    </w:p>
  </w:footnote>
  <w:footnote w:id="65">
    <w:p w14:paraId="63126C2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Letter dated July 30, 2014, Ref.: 038-14/KB/BG (evidence file, folio 3000).</w:t>
      </w:r>
    </w:p>
  </w:footnote>
  <w:footnote w:id="66">
    <w:p w14:paraId="63126C2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Letter dated October 1, 2014, Ref.: 057/14/KB/BG (evidence file, folios 3001 and 3002).</w:t>
      </w:r>
    </w:p>
  </w:footnote>
  <w:footnote w:id="67">
    <w:p w14:paraId="63126C2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Loreen Jubitana on January 27, 2015 (merits file, folio 431).</w:t>
      </w:r>
    </w:p>
  </w:footnote>
  <w:footnote w:id="68">
    <w:p w14:paraId="63126C2B" w14:textId="77777777" w:rsidR="00624C98" w:rsidRPr="00965219" w:rsidRDefault="00624C98" w:rsidP="00145D1D">
      <w:pPr>
        <w:tabs>
          <w:tab w:val="left" w:pos="567"/>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Namely: </w:t>
      </w:r>
      <w:r w:rsidRPr="00965219">
        <w:rPr>
          <w:rFonts w:ascii="Verdana" w:hAnsi="Verdana"/>
          <w:bCs/>
          <w:i/>
          <w:iCs/>
          <w:sz w:val="16"/>
          <w:szCs w:val="16"/>
          <w:lang w:val="en-US"/>
        </w:rPr>
        <w:t xml:space="preserve">Case of No. 165, Association of Indigenous Peoples v. Suriname, </w:t>
      </w:r>
      <w:r w:rsidRPr="00965219">
        <w:rPr>
          <w:rFonts w:ascii="Verdana" w:hAnsi="Verdana"/>
          <w:bCs/>
          <w:sz w:val="16"/>
          <w:szCs w:val="16"/>
          <w:lang w:val="en-US"/>
        </w:rPr>
        <w:t xml:space="preserve">March 17, 1975; </w:t>
      </w:r>
      <w:r w:rsidRPr="00965219">
        <w:rPr>
          <w:rFonts w:ascii="Verdana" w:hAnsi="Verdana"/>
          <w:bCs/>
          <w:i/>
          <w:iCs/>
          <w:sz w:val="16"/>
          <w:szCs w:val="16"/>
          <w:lang w:val="en-US"/>
        </w:rPr>
        <w:t>Association of Indigenous Peoples v. Suriname,</w:t>
      </w:r>
      <w:r w:rsidRPr="00965219">
        <w:rPr>
          <w:rFonts w:ascii="Verdana" w:hAnsi="Verdana"/>
          <w:i/>
          <w:iCs/>
          <w:sz w:val="16"/>
          <w:szCs w:val="16"/>
          <w:lang w:val="en-US"/>
        </w:rPr>
        <w:t xml:space="preserve"> </w:t>
      </w:r>
      <w:r w:rsidRPr="00965219">
        <w:rPr>
          <w:rFonts w:ascii="Verdana" w:hAnsi="Verdana"/>
          <w:sz w:val="16"/>
          <w:szCs w:val="16"/>
          <w:lang w:val="en-US"/>
        </w:rPr>
        <w:t xml:space="preserve">A.R. No. 754180, September 26, 1975; and </w:t>
      </w:r>
      <w:r w:rsidRPr="00965219">
        <w:rPr>
          <w:rFonts w:ascii="Verdana" w:hAnsi="Verdana"/>
          <w:bCs/>
          <w:i/>
          <w:iCs/>
          <w:sz w:val="16"/>
          <w:szCs w:val="16"/>
          <w:lang w:val="en-US"/>
        </w:rPr>
        <w:t>Association of Indigenous Peoples v. Suriname,</w:t>
      </w:r>
      <w:r w:rsidRPr="00965219">
        <w:rPr>
          <w:rFonts w:ascii="Verdana" w:hAnsi="Verdana"/>
          <w:i/>
          <w:iCs/>
          <w:sz w:val="16"/>
          <w:szCs w:val="16"/>
          <w:lang w:val="en-US"/>
        </w:rPr>
        <w:t xml:space="preserve"> </w:t>
      </w:r>
      <w:r w:rsidRPr="00965219">
        <w:rPr>
          <w:rFonts w:ascii="Verdana" w:hAnsi="Verdana"/>
          <w:sz w:val="16"/>
          <w:szCs w:val="16"/>
          <w:lang w:val="en-US"/>
        </w:rPr>
        <w:t xml:space="preserve">A.R. No. 753160, January 13, 1976. </w:t>
      </w:r>
      <w:r w:rsidRPr="00965219">
        <w:rPr>
          <w:rFonts w:ascii="Verdana" w:hAnsi="Verdana"/>
          <w:i/>
          <w:sz w:val="16"/>
          <w:szCs w:val="16"/>
          <w:lang w:val="en-US"/>
        </w:rPr>
        <w:t>Cf.</w:t>
      </w:r>
      <w:r w:rsidRPr="00965219">
        <w:rPr>
          <w:rFonts w:ascii="Verdana" w:hAnsi="Verdana"/>
          <w:sz w:val="16"/>
          <w:szCs w:val="16"/>
          <w:lang w:val="en-US"/>
        </w:rPr>
        <w:t xml:space="preserve"> Affidavit made by Captain Grace Watamaleo on January 27, 2015 (merits file, folio 445).</w:t>
      </w:r>
    </w:p>
  </w:footnote>
  <w:footnote w:id="69">
    <w:p w14:paraId="63126C2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445); Affidavit made by</w:t>
      </w:r>
      <w:r w:rsidRPr="00965219">
        <w:rPr>
          <w:i/>
          <w:lang w:val="en-US"/>
        </w:rPr>
        <w:t xml:space="preserve"> </w:t>
      </w:r>
      <w:r w:rsidRPr="00965219">
        <w:rPr>
          <w:lang w:val="en-US"/>
        </w:rPr>
        <w:t xml:space="preserve">Loreen Jubitana on January 27, 2015 (merits file, folio 431); </w:t>
      </w:r>
    </w:p>
  </w:footnote>
  <w:footnote w:id="70">
    <w:p w14:paraId="63126C2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Loreen Jubitana on January 27, 2015 (merits file, folio 428)</w:t>
      </w:r>
    </w:p>
  </w:footnote>
  <w:footnote w:id="71">
    <w:p w14:paraId="63126C2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folios 445 and 446).</w:t>
      </w:r>
    </w:p>
  </w:footnote>
  <w:footnote w:id="72">
    <w:p w14:paraId="63126C2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446) and Affidavit made by Stuart Kirsh on January 27, 2015 (merits file, folio 350).</w:t>
      </w:r>
    </w:p>
  </w:footnote>
  <w:footnote w:id="73">
    <w:p w14:paraId="63126C3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t>
      </w:r>
      <w:r w:rsidRPr="00965219">
        <w:rPr>
          <w:i/>
          <w:lang w:val="en-US"/>
        </w:rPr>
        <w:t>Case of the Saramaka People,</w:t>
      </w:r>
      <w:r w:rsidRPr="00965219">
        <w:rPr>
          <w:lang w:val="en-US"/>
        </w:rPr>
        <w:t xml:space="preserve"> </w:t>
      </w:r>
      <w:r w:rsidRPr="00965219">
        <w:rPr>
          <w:i/>
          <w:lang w:val="en-US"/>
        </w:rPr>
        <w:t>supra</w:t>
      </w:r>
      <w:r w:rsidRPr="00965219">
        <w:rPr>
          <w:lang w:val="en-US"/>
        </w:rPr>
        <w:t xml:space="preserve">, para. 180; </w:t>
      </w:r>
      <w:r w:rsidRPr="00965219">
        <w:rPr>
          <w:snapToGrid w:val="0"/>
          <w:color w:val="000000"/>
          <w:lang w:val="en-US"/>
        </w:rPr>
        <w:t xml:space="preserve">Affidavit made by Mariska Muskiet on April 30, 2007 (merits file, folio 455), and </w:t>
      </w:r>
      <w:r w:rsidRPr="00965219">
        <w:rPr>
          <w:lang w:val="en-US"/>
        </w:rPr>
        <w:t>Affidavit made by Captain Grace Watamaleo on January 27, 2015 (merits file, folio 446).</w:t>
      </w:r>
    </w:p>
  </w:footnote>
  <w:footnote w:id="74">
    <w:p w14:paraId="63126C31" w14:textId="1BB01889"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Judgment of </w:t>
      </w:r>
      <w:r w:rsidRPr="00965219">
        <w:rPr>
          <w:snapToGrid w:val="0"/>
          <w:lang w:val="en-US"/>
        </w:rPr>
        <w:t xml:space="preserve">July 24, 2003, handed down by the Cantonal Court, First Canton, Paramaribo, in the case of </w:t>
      </w:r>
      <w:r w:rsidRPr="006C4E70">
        <w:rPr>
          <w:i/>
          <w:snapToGrid w:val="0"/>
          <w:lang w:val="en-US"/>
        </w:rPr>
        <w:t xml:space="preserve">Celientje Martina Joeroeja-Koewie and Others </w:t>
      </w:r>
      <w:r w:rsidRPr="0094300B">
        <w:rPr>
          <w:i/>
          <w:snapToGrid w:val="0"/>
          <w:lang w:val="en-US"/>
        </w:rPr>
        <w:t>v.</w:t>
      </w:r>
      <w:r w:rsidRPr="006C4E70">
        <w:rPr>
          <w:i/>
          <w:snapToGrid w:val="0"/>
          <w:lang w:val="en-US"/>
        </w:rPr>
        <w:t xml:space="preserve"> Suriname </w:t>
      </w:r>
      <w:r w:rsidRPr="006C4E70">
        <w:rPr>
          <w:i/>
          <w:lang w:val="en-US"/>
        </w:rPr>
        <w:t>&amp; Suriname Stone &amp; Industries N.V</w:t>
      </w:r>
      <w:r w:rsidRPr="00965219">
        <w:rPr>
          <w:lang w:val="en-US"/>
        </w:rPr>
        <w:t xml:space="preserve"> (evidence file, folios 2900 to 2903), and Affidavit made by Mariska Muskiet on April 30, 2007 (merits file, folios 452 and 453).</w:t>
      </w:r>
    </w:p>
  </w:footnote>
  <w:footnote w:id="75">
    <w:p w14:paraId="63126C3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Article 22 of the 1987 Constitution establishes the following: “1. </w:t>
      </w:r>
      <w:proofErr w:type="gramStart"/>
      <w:r w:rsidRPr="00965219">
        <w:rPr>
          <w:lang w:val="en-US"/>
        </w:rPr>
        <w:t>Everyone</w:t>
      </w:r>
      <w:proofErr w:type="gramEnd"/>
      <w:r w:rsidRPr="00965219">
        <w:rPr>
          <w:lang w:val="en-US"/>
        </w:rPr>
        <w:t xml:space="preserve"> has the right to submit written petitions to the competent authority. </w:t>
      </w:r>
      <w:proofErr w:type="gramStart"/>
      <w:r w:rsidRPr="00965219">
        <w:rPr>
          <w:lang w:val="en-US"/>
        </w:rPr>
        <w:t>2. The law regulates the procedure for handling them” (evidence file, folio 294).</w:t>
      </w:r>
      <w:proofErr w:type="gramEnd"/>
    </w:p>
  </w:footnote>
  <w:footnote w:id="76">
    <w:p w14:paraId="63126C3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Briefs of January 31, 2003 and March 22, 2004 (evidence file, folios 402 to 407). </w:t>
      </w:r>
    </w:p>
  </w:footnote>
  <w:footnote w:id="77">
    <w:p w14:paraId="63126C3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October 7, 2007 (evidence file, folio 332).</w:t>
      </w:r>
    </w:p>
  </w:footnote>
  <w:footnote w:id="78">
    <w:p w14:paraId="63126C3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October 7, 2007 (evidence file, folio 333).</w:t>
      </w:r>
    </w:p>
  </w:footnote>
  <w:footnote w:id="79">
    <w:p w14:paraId="63126C3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of December 2004 (evidence file, folio 326).</w:t>
      </w:r>
    </w:p>
  </w:footnote>
  <w:footnote w:id="80">
    <w:p w14:paraId="63126C3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May 22, 2006 (evidence file, folios 329 and 330).</w:t>
      </w:r>
    </w:p>
  </w:footnote>
  <w:footnote w:id="81">
    <w:p w14:paraId="63126C3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October 7, 2007 (evidence file, folio 332).</w:t>
      </w:r>
    </w:p>
  </w:footnote>
  <w:footnote w:id="82">
    <w:p w14:paraId="63126C3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Statements made on August 19, 2015, during the on-site procedure by Louise Biswane, Assistant of the Captain of Pierrekondre, and Leni Landveld, Marijkedorp (Wan Shi Sha) elder (merits file, folio 973).</w:t>
      </w:r>
    </w:p>
  </w:footnote>
  <w:footnote w:id="83">
    <w:p w14:paraId="63126C3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January 28, 2013 (merits file, folio 879).</w:t>
      </w:r>
    </w:p>
  </w:footnote>
  <w:footnote w:id="84">
    <w:p w14:paraId="63126C3B" w14:textId="77777777" w:rsidR="00624C98" w:rsidRPr="00965219" w:rsidRDefault="00624C98" w:rsidP="00145D1D">
      <w:pPr>
        <w:tabs>
          <w:tab w:val="left" w:pos="567"/>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Cf.</w:t>
      </w:r>
      <w:r w:rsidRPr="00965219">
        <w:rPr>
          <w:rFonts w:ascii="Verdana" w:hAnsi="Verdana"/>
          <w:sz w:val="16"/>
          <w:szCs w:val="16"/>
          <w:lang w:val="en-US"/>
        </w:rPr>
        <w:t xml:space="preserve"> Order of April 22, 1966, “Wia </w:t>
      </w:r>
      <w:proofErr w:type="gramStart"/>
      <w:r w:rsidRPr="00965219">
        <w:rPr>
          <w:rFonts w:ascii="Verdana" w:hAnsi="Verdana"/>
          <w:sz w:val="16"/>
          <w:szCs w:val="16"/>
          <w:lang w:val="en-US"/>
        </w:rPr>
        <w:t>Wia</w:t>
      </w:r>
      <w:proofErr w:type="gramEnd"/>
      <w:r w:rsidRPr="00965219">
        <w:rPr>
          <w:rFonts w:ascii="Verdana" w:hAnsi="Verdana"/>
          <w:sz w:val="16"/>
          <w:szCs w:val="16"/>
          <w:lang w:val="en-US"/>
        </w:rPr>
        <w:t xml:space="preserve"> Nature Protection Order” (evidence file, folio 2758); Order of May 23, 1969, “Galibi Nature Protection Order”, (evidence file, folio 2764), and Order of August 26, 1986, “Wane Kreek Nature Protection Order” (evidence file, folio 2746).</w:t>
      </w:r>
    </w:p>
  </w:footnote>
  <w:footnote w:id="85">
    <w:p w14:paraId="63126C3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Ferdinand Baal and Bryan Drakenstein on September 12, 2008 (evidence file, folio 351), and Affidavit made by Claudine Sakimin on January 27, 2015 (merits file, folio 477).</w:t>
      </w:r>
    </w:p>
  </w:footnote>
  <w:footnote w:id="86">
    <w:p w14:paraId="63126C3D" w14:textId="5648D181"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w:t>
      </w:r>
      <w:r w:rsidRPr="00965219">
        <w:rPr>
          <w:lang w:val="en-US"/>
        </w:rPr>
        <w:t xml:space="preserve">The 1954 Nature Protection Act, </w:t>
      </w:r>
      <w:r>
        <w:rPr>
          <w:lang w:val="en-US"/>
        </w:rPr>
        <w:t>A</w:t>
      </w:r>
      <w:r w:rsidRPr="00965219">
        <w:rPr>
          <w:lang w:val="en-US"/>
        </w:rPr>
        <w:t>rticle 1: “To protect and preserve the natural resources present in Suriname, after hearing the Council of State, the President may designate by order lands and waters part of the State Property as a nature reserve” (evidence file, folio 2743).</w:t>
      </w:r>
    </w:p>
  </w:footnote>
  <w:footnote w:id="87">
    <w:p w14:paraId="63126C3E" w14:textId="429A2D63"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Nature Protection Act, </w:t>
      </w:r>
      <w:r>
        <w:rPr>
          <w:lang w:val="en-US"/>
        </w:rPr>
        <w:t>A</w:t>
      </w:r>
      <w:r w:rsidRPr="00965219">
        <w:rPr>
          <w:lang w:val="en-US"/>
        </w:rPr>
        <w:t>rticle 5: “In a nature reserve it is prohibited to hunt, fish, and to have oneself with a dog, a firearm or any hunting or trapping device without an authorization from the Head of the State Forest Management Service” (evidence file, folio 2743).</w:t>
      </w:r>
    </w:p>
  </w:footnote>
  <w:footnote w:id="88">
    <w:p w14:paraId="63126C3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Ferdinand Baal and Bryan Drakenstein on September 12, 2008 (evidence file, folio 351), and Affidavit made by Claudine Sakimin on January 27, 2015 (merits file, folio 480).</w:t>
      </w:r>
    </w:p>
  </w:footnote>
  <w:footnote w:id="89">
    <w:p w14:paraId="63126C4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The Wia </w:t>
      </w:r>
      <w:proofErr w:type="gramStart"/>
      <w:r w:rsidRPr="00965219">
        <w:rPr>
          <w:lang w:val="en-US"/>
        </w:rPr>
        <w:t>Wia</w:t>
      </w:r>
      <w:proofErr w:type="gramEnd"/>
      <w:r w:rsidRPr="00965219">
        <w:rPr>
          <w:lang w:val="en-US"/>
        </w:rPr>
        <w:t xml:space="preserve"> Nature Protection Order of April 22, 1966 (evidence file, folio 2759).</w:t>
      </w:r>
    </w:p>
  </w:footnote>
  <w:footnote w:id="90">
    <w:p w14:paraId="63126C4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The Galibi Nature Protection Order of May 26, 1969 (evidence file, folio 2765).</w:t>
      </w:r>
    </w:p>
  </w:footnote>
  <w:footnote w:id="91">
    <w:p w14:paraId="63126C4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Ferdinand Baal and Bryan Drakenstein on September 12, 2008 (evidence file, folio 351); Traditional use and management of the Lower Marowijne area by the Kaliña and Lokono, </w:t>
      </w:r>
      <w:r w:rsidRPr="00965219">
        <w:rPr>
          <w:i/>
          <w:lang w:val="en-US"/>
        </w:rPr>
        <w:t>supra</w:t>
      </w:r>
      <w:r w:rsidRPr="00965219">
        <w:rPr>
          <w:lang w:val="en-US"/>
        </w:rPr>
        <w:t xml:space="preserve"> (evidence file, folio 142), Affidavit made by Stuart Kirsh on January 27, 2015 (merits file, folio 351).</w:t>
      </w:r>
    </w:p>
  </w:footnote>
  <w:footnote w:id="92">
    <w:p w14:paraId="63126C4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Ferdinand Baal and Bryan Drakenstein on September 12, 2008 (evidence file, folio 352); Affidavit made by Claudine Sakimin on January 27, 2015 (merits file, folio 481), and Traditional use and management of the Lower Marowijne area by the Kaliña and Lokono, </w:t>
      </w:r>
      <w:r w:rsidRPr="00965219">
        <w:rPr>
          <w:i/>
          <w:lang w:val="en-US"/>
        </w:rPr>
        <w:t>supra</w:t>
      </w:r>
      <w:r w:rsidRPr="00965219">
        <w:rPr>
          <w:lang w:val="en-US"/>
        </w:rPr>
        <w:t xml:space="preserve"> (evidence file, folio 49).</w:t>
      </w:r>
    </w:p>
  </w:footnote>
  <w:footnote w:id="93">
    <w:p w14:paraId="63126C4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Ferdinand Baal and Bryan Drakenstein on September 12, 2008 (evidence file, folio 351).</w:t>
      </w:r>
    </w:p>
  </w:footnote>
  <w:footnote w:id="94">
    <w:p w14:paraId="63126C4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Stuart Kirsh on January 27, 2015 (merits file, folio 351).</w:t>
      </w:r>
    </w:p>
  </w:footnote>
  <w:footnote w:id="95">
    <w:p w14:paraId="63126C4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Testimony of Captain Ricardo Pané during the public hearing held on February 3, 2015.</w:t>
      </w:r>
    </w:p>
  </w:footnote>
  <w:footnote w:id="96">
    <w:p w14:paraId="63126C4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Ferdinand Baal and Bryan Drakenstein on September 12, 2008 (evidence file, folio 352).</w:t>
      </w:r>
    </w:p>
  </w:footnote>
  <w:footnote w:id="97">
    <w:p w14:paraId="63126C4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Statements made on August 19, 2015, during the on-site procedure by Captain Ricardo Pané, and Roy Ho Tsoi, Section Head of the Suriname Forest Management Service (merits file, folio 973).</w:t>
      </w:r>
    </w:p>
  </w:footnote>
  <w:footnote w:id="98">
    <w:p w14:paraId="63126C4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Claudine Sakimin on January 27, 2015 (merits file, folio 478).</w:t>
      </w:r>
    </w:p>
  </w:footnote>
  <w:footnote w:id="99">
    <w:p w14:paraId="63126C4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Claudine Sakimin on January 27, 2015 (merits file, folio 479); Affidavit made by Ferdinand Baal and Bryan Drakenstein on September 12, 2008 (evidence file, folio 352), and Affidavit made by Rudy Emanuel Strijk on September 11, 2008 (evidence file, folio 355).</w:t>
      </w:r>
    </w:p>
  </w:footnote>
  <w:footnote w:id="100">
    <w:p w14:paraId="63126C4B" w14:textId="00A5F25A"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 made by Roy Ho Tsoi, Section Head of the Suriname Forest Management Service, on August 18, 2015 (merits file, folio 973).</w:t>
      </w:r>
    </w:p>
  </w:footnote>
  <w:footnote w:id="101">
    <w:p w14:paraId="63126C4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Testimony of Captain Ricardo Pané during the public hearing held on February 3, 2015, and Statement made on August 18, 2015, during the on-site procedure by Shak Aridamai, indigenous member of Galibi (merits file, folio 973).</w:t>
      </w:r>
    </w:p>
  </w:footnote>
  <w:footnote w:id="102">
    <w:p w14:paraId="63126C4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3 of the Nature Protection Order of August 26, 1986 (evidence file, folio 2748); Environmental Sensitivity Analysis of the Wane 4 Concession dated July 4, 2005 (merits file, folios 395 and 405); Affidavit made by Ferdinand Baal and Bryan Drakenstein on September 12, 2008 (evidence file, folio 351), and Affidavit made by Claudine Sakimin on January 27, 2015 (merits file, folio 480).</w:t>
      </w:r>
    </w:p>
  </w:footnote>
  <w:footnote w:id="103">
    <w:p w14:paraId="63126C4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Environmental Sensitivity Analysis of the Wane 4 Concession dated July 4, 2005 (merits file, folio 395).</w:t>
      </w:r>
    </w:p>
  </w:footnote>
  <w:footnote w:id="104">
    <w:p w14:paraId="63126C4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Article 4 of the Nature Protection Order of August 26, 1986, establishes that: “Insofar as, on the effective date of this Government Regulation, plots of land in the areas designated as nature reserves by this Government Regulation have been issued as allodial and hereditary titles, leasehold, rent, use, license or concession, or villages and settlements of tribal communities of inhabitants of the interior are located therein, the rights derived therefrom will be respected” (evidence file, folio 2752).</w:t>
      </w:r>
    </w:p>
  </w:footnote>
  <w:footnote w:id="105">
    <w:p w14:paraId="63126C5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Explanatory note on the Nature Protection Order of August 26, 1986 (evidence file, folio 2756).</w:t>
      </w:r>
    </w:p>
  </w:footnote>
  <w:footnote w:id="106">
    <w:p w14:paraId="63126C5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446); and Statement made on August 19, 2015, during the on-site procedure, by Margariet Biswane, Captain of Alfonsdorp (merits file, folio 973).</w:t>
      </w:r>
    </w:p>
  </w:footnote>
  <w:footnote w:id="107">
    <w:p w14:paraId="63126C5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447); Testimony of Captain Jona Gunther during the public hearing held in this case on February 3, 2015; Statement made on August 19, 2015, during the on-site procedure, by Margariet Biswane, Captain of Alfonsdorp (merits file, folio 973), and Traditional use and management of the Lower Marowijne area by the Kaliña and Lokono, </w:t>
      </w:r>
      <w:r w:rsidRPr="00965219">
        <w:rPr>
          <w:i/>
          <w:lang w:val="en-US"/>
        </w:rPr>
        <w:t>supra</w:t>
      </w:r>
      <w:r w:rsidRPr="00965219">
        <w:rPr>
          <w:lang w:val="en-US"/>
        </w:rPr>
        <w:t xml:space="preserve"> (evidence file, folio 89).</w:t>
      </w:r>
    </w:p>
  </w:footnote>
  <w:footnote w:id="108">
    <w:p w14:paraId="63126C5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Wane Environmental Sensitivity Analysis dated July 4, 2005 (merits file, folio 409).</w:t>
      </w:r>
    </w:p>
  </w:footnote>
  <w:footnote w:id="109">
    <w:p w14:paraId="63126C5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Explanatory note on the Nature Protection Order of August 26, 1986 (evidence file, folio 2757) and Affidavit made by Claudine Sakimin on January 27, 2015 (merits file, folio 483).</w:t>
      </w:r>
    </w:p>
  </w:footnote>
  <w:footnote w:id="110">
    <w:p w14:paraId="63126C5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August 26, 1978 (evidence file, folio 3005), and Affidavit made by Claudine Sakimin on January 27, 2015 (merits file, folio 483).</w:t>
      </w:r>
    </w:p>
  </w:footnote>
  <w:footnote w:id="111">
    <w:p w14:paraId="63126C5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447); Testimony of Captain Jona Gunther during the public hearing held in this case on February 3, 2015.</w:t>
      </w:r>
    </w:p>
  </w:footnote>
  <w:footnote w:id="112">
    <w:p w14:paraId="63126C5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447); Statement made on August 19, 2015, during the on-site procedure, by Margariet Biswane, Captain of Alfonsdorp (merits file, folio 973), and Affidavit made by Stuart Kirsh on January 27, 2015 (merits file, folio 354).</w:t>
      </w:r>
    </w:p>
  </w:footnote>
  <w:footnote w:id="113">
    <w:p w14:paraId="63126C5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447); Testimony of Captain Jona Gunther during the public hearing held in this case on February 3, 2015, and Statement made on August 19, 2015, during the on-site procedure, by Leni Landveld, Marijkedorp (Wan Shi Sha) elder (merits file, folio 973).</w:t>
      </w:r>
    </w:p>
  </w:footnote>
  <w:footnote w:id="114">
    <w:p w14:paraId="63126C5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term “bauxite” shall mean those ores containing hydrated aluminum oxide, which Suralco uses or can use as raw material for the manufacture of alumina, or which Suralco can sell to the aluminum, chemical, abrasive, refractories, cement or any other industry consuming such ores, and from which an average of at least 32% of alumina can be recovered.” </w:t>
      </w:r>
      <w:r w:rsidRPr="00965219">
        <w:rPr>
          <w:i/>
          <w:lang w:val="en-US"/>
        </w:rPr>
        <w:t>Cf.</w:t>
      </w:r>
      <w:r w:rsidRPr="00965219">
        <w:rPr>
          <w:lang w:val="en-US"/>
        </w:rPr>
        <w:t xml:space="preserve"> Article 3 of Government Ordinance No. 10 of January 28, 1958 (evidence file, folio 3061).</w:t>
      </w:r>
    </w:p>
  </w:footnote>
  <w:footnote w:id="115">
    <w:p w14:paraId="63126C5A" w14:textId="588A55F8"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According to the Bauxite Institute of Suriname, in Marowijne District, Suralco has a concession for the exploitation of bauxite over an area of 48,406 h</w:t>
      </w:r>
      <w:r>
        <w:rPr>
          <w:rFonts w:ascii="Verdana" w:hAnsi="Verdana"/>
          <w:sz w:val="16"/>
          <w:szCs w:val="16"/>
          <w:lang w:val="en-US"/>
        </w:rPr>
        <w:t>a</w:t>
      </w:r>
      <w:r w:rsidRPr="00965219">
        <w:rPr>
          <w:rFonts w:ascii="Verdana" w:hAnsi="Verdana"/>
          <w:sz w:val="16"/>
          <w:szCs w:val="16"/>
          <w:lang w:val="en-US"/>
        </w:rPr>
        <w:t>, of which approximately 2,626 h</w:t>
      </w:r>
      <w:r>
        <w:rPr>
          <w:rFonts w:ascii="Verdana" w:hAnsi="Verdana"/>
          <w:sz w:val="16"/>
          <w:szCs w:val="16"/>
          <w:lang w:val="en-US"/>
        </w:rPr>
        <w:t>a</w:t>
      </w:r>
      <w:r w:rsidRPr="00965219">
        <w:rPr>
          <w:rFonts w:ascii="Verdana" w:hAnsi="Verdana"/>
          <w:sz w:val="16"/>
          <w:szCs w:val="16"/>
          <w:lang w:val="en-US"/>
        </w:rPr>
        <w:t xml:space="preserve"> were located within the Wane Kreek Nature Reserve. However, according to Stuart Kirsh, the concession was granted over an area of 123,000 h</w:t>
      </w:r>
      <w:r>
        <w:rPr>
          <w:rFonts w:ascii="Verdana" w:hAnsi="Verdana"/>
          <w:sz w:val="16"/>
          <w:szCs w:val="16"/>
          <w:lang w:val="en-US"/>
        </w:rPr>
        <w:t>a</w:t>
      </w:r>
      <w:r w:rsidRPr="00965219">
        <w:rPr>
          <w:rFonts w:ascii="Verdana" w:hAnsi="Verdana"/>
          <w:sz w:val="16"/>
          <w:szCs w:val="16"/>
          <w:lang w:val="en-US"/>
        </w:rPr>
        <w:t xml:space="preserve">. </w:t>
      </w:r>
      <w:r w:rsidRPr="00965219">
        <w:rPr>
          <w:rFonts w:ascii="Verdana" w:hAnsi="Verdana"/>
          <w:i/>
          <w:sz w:val="16"/>
          <w:szCs w:val="16"/>
          <w:lang w:val="en-US"/>
        </w:rPr>
        <w:t>Cf.</w:t>
      </w:r>
      <w:r w:rsidRPr="00965219">
        <w:rPr>
          <w:rFonts w:ascii="Verdana" w:hAnsi="Verdana"/>
          <w:sz w:val="16"/>
          <w:szCs w:val="16"/>
          <w:lang w:val="en-US"/>
        </w:rPr>
        <w:t xml:space="preserve"> Memorandum dated August 27, 2015, of the Director of the Bauxite Institute of Suriname (evidence file, folios 3070 and 3071), and Affidavit made by Stuart Kirsh on January 20, 2015 (merits file, folio 354).</w:t>
      </w:r>
    </w:p>
  </w:footnote>
  <w:footnote w:id="116">
    <w:p w14:paraId="63126C5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8 of Government Ordinance No. 10 of January 28, 1958 (evidence file, folio 3061). However, the Court takes note that, according to the expert opinion of Stuart Kirsh, the concession was granted for 60 years, and would therefore expire in 2018. Also, the Bauxite Institute of Suriname indicated that, within the territories conceded to Suralco in the Marowijne District, there is a concession that expires in 2030, and another that expires in 2032. </w:t>
      </w:r>
      <w:r w:rsidRPr="00965219">
        <w:rPr>
          <w:i/>
          <w:lang w:val="en-US"/>
        </w:rPr>
        <w:t>Cf.</w:t>
      </w:r>
      <w:r w:rsidRPr="00965219">
        <w:rPr>
          <w:lang w:val="en-US"/>
        </w:rPr>
        <w:t xml:space="preserve"> Memorandum dated August 27, 2015, of the Director of the Bauxite Institute of Suriname (evidence file, folios 3070), and Affidavit made by Stuart Kirsh on January 20, 2015 (merits file, folio 354).</w:t>
      </w:r>
    </w:p>
  </w:footnote>
  <w:footnote w:id="117">
    <w:p w14:paraId="63126C5C" w14:textId="4E10E3BC"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Stuart Kirsh on January 27, 2015 (merits file, folio 357); Environmental Sensitivity Analysis of the Wane 4 Concession dated July 4, 2005 (merits file, folio 396); Affidavit made by Glen Renaldo Kingswijk on September 10, 2008 (evidence file, folio 362) and Affidavit made by Claudine Sakimin on January 27, 2015 (merits file, folios 483 and 484). However, the Court takes note that, according to the Bauxite Institute of Suriname, exploitation of the section known as Wane 1 started in 1998, and of the section known as Wane 2 in 1999. </w:t>
      </w:r>
      <w:r w:rsidRPr="00965219">
        <w:rPr>
          <w:i/>
          <w:lang w:val="en-US"/>
        </w:rPr>
        <w:t>Cf.</w:t>
      </w:r>
      <w:r w:rsidRPr="00965219">
        <w:rPr>
          <w:lang w:val="en-US"/>
        </w:rPr>
        <w:t xml:space="preserve"> Memorandum dated August 27, 2015, of the Director of the Bauxite Institute of Suriname (evidence file, folio 3071).</w:t>
      </w:r>
    </w:p>
  </w:footnote>
  <w:footnote w:id="118">
    <w:p w14:paraId="63126C5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Glen Renaldo Kingswijk on September 10, 2008 (evidence file, folio 362).</w:t>
      </w:r>
    </w:p>
  </w:footnote>
  <w:footnote w:id="119">
    <w:p w14:paraId="63126C5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Glen Renaldo Kingswijk on September 10, 2008 (evidence file, folio 362).</w:t>
      </w:r>
    </w:p>
  </w:footnote>
  <w:footnote w:id="120">
    <w:p w14:paraId="63126C5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Stuart Kirsh of January 27, 2015 (merits file, folio 356).</w:t>
      </w:r>
    </w:p>
  </w:footnote>
  <w:footnote w:id="121">
    <w:p w14:paraId="63126C60" w14:textId="78FD7890"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Wane Environmental Sensitivity Analysis dated July 4, 2005 (merits file, folio 388); Affidavit made by Glen Renaldo Kingswijk on September 10, 2008 (evidence file, folio 362) and Affidavit made by Claudine Sakimin on January 27, 2015 (merits file, folio 484). However, the Court takes note that, according to the Bauxite Institute of Suriname, the Wane 1 and Wane 2 sections cover an area of 144 h</w:t>
      </w:r>
      <w:r>
        <w:rPr>
          <w:lang w:val="en-US"/>
        </w:rPr>
        <w:t>a</w:t>
      </w:r>
      <w:r w:rsidRPr="00965219">
        <w:rPr>
          <w:lang w:val="en-US"/>
        </w:rPr>
        <w:t xml:space="preserve">. </w:t>
      </w:r>
      <w:r w:rsidRPr="00965219">
        <w:rPr>
          <w:i/>
          <w:lang w:val="en-US"/>
        </w:rPr>
        <w:t>Cf.</w:t>
      </w:r>
      <w:r w:rsidRPr="00965219">
        <w:rPr>
          <w:lang w:val="en-US"/>
        </w:rPr>
        <w:t xml:space="preserve"> Memorandum dated August 27, 2015, of the Director of the Bauxite Institute of Suriname (evidence file, folios 3071).</w:t>
      </w:r>
    </w:p>
  </w:footnote>
  <w:footnote w:id="122">
    <w:p w14:paraId="63126C6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Stuart Kirsh of January 27, 2015 (merits file, folio 358).</w:t>
      </w:r>
    </w:p>
  </w:footnote>
  <w:footnote w:id="123">
    <w:p w14:paraId="63126C6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Stuart Kirsh of January 27, 2015 (merits file, folios 357 and 358), and Environmental Sensitivity Analysis of the Wane 4 Concession dated July 4, 2005 (merits file, folio 388).</w:t>
      </w:r>
    </w:p>
  </w:footnote>
  <w:footnote w:id="124">
    <w:p w14:paraId="63126C6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Wane Environmental Sensitivity Analysis dated July 4, 2005 (merits file, folio 390).</w:t>
      </w:r>
    </w:p>
  </w:footnote>
  <w:footnote w:id="125">
    <w:p w14:paraId="63126C6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448); Testimony of Captain Jona Gunther during the public hearing held in this case on February 3, 2015, and Affidavit made by Stuart Kirsh on January 27, 2015 (merits file, folio 359).</w:t>
      </w:r>
    </w:p>
  </w:footnote>
  <w:footnote w:id="126">
    <w:p w14:paraId="63126C6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Glen Renaldo Kingswijk on September 10, 2008 (evidence file, folio 362) and Affidavit made by Captain Grace Watamaleo on January 27, 2015 (merits file, folio 449).</w:t>
      </w:r>
    </w:p>
  </w:footnote>
  <w:footnote w:id="127">
    <w:p w14:paraId="63126C6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of the Director of the Bauxite Institute of Suriname dated August 27, 2015 (evidence file, folio 3071).</w:t>
      </w:r>
    </w:p>
  </w:footnote>
  <w:footnote w:id="128">
    <w:p w14:paraId="63126C6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August 2015 report prepared by the Bauxite Institute of Suriname on rehabilitation of Wane 1 and Wane 2 (evidence file, folio 3076).</w:t>
      </w:r>
    </w:p>
  </w:footnote>
  <w:footnote w:id="129">
    <w:p w14:paraId="63126C6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this regard, the trees planted have grown very little and are of no use to feed the animals because they no longer provide fruits and seeds. </w:t>
      </w:r>
      <w:r w:rsidRPr="00965219">
        <w:rPr>
          <w:i/>
          <w:lang w:val="en-US"/>
        </w:rPr>
        <w:t>Cf.</w:t>
      </w:r>
      <w:r w:rsidRPr="00965219">
        <w:rPr>
          <w:lang w:val="en-US"/>
        </w:rPr>
        <w:t xml:space="preserve"> Affidavit made by Captain Grace Watamaleo on January 27, 2015 (merits file, folio 449) and Affidavit made by Stuart Kirsh on January 27, 2015 (merits file, folios 360 and 361).</w:t>
      </w:r>
    </w:p>
  </w:footnote>
  <w:footnote w:id="130">
    <w:p w14:paraId="63126C6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Stuart Kirsh of January 27, 2015 (merits file, folios 353 and 360).</w:t>
      </w:r>
    </w:p>
  </w:footnote>
  <w:footnote w:id="131">
    <w:p w14:paraId="63126C6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Stuart Kirsh of January 27, 2015 (merits file, folio 355).</w:t>
      </w:r>
    </w:p>
  </w:footnote>
  <w:footnote w:id="132">
    <w:p w14:paraId="63126C6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folios 448 and 450).</w:t>
      </w:r>
    </w:p>
  </w:footnote>
  <w:footnote w:id="133">
    <w:p w14:paraId="63126C6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Statement made on August 19, 2015, during the on-site procedure, by Louis Biswane, Assistant of the Captain of Pierrekondre (merits file, folio 973).</w:t>
      </w:r>
    </w:p>
  </w:footnote>
  <w:footnote w:id="134">
    <w:p w14:paraId="63126C6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443); Testimony of Captain Jona Gunther during the public hearing held in this case on February 3, 2015; Affidavit made by Max Sabajo on September 25, 2008 (merits file, folio 161), and Traditional use and management of the Lower Marowijne area by the Kaliña and Lokono, </w:t>
      </w:r>
      <w:r w:rsidRPr="00965219">
        <w:rPr>
          <w:i/>
          <w:lang w:val="en-US"/>
        </w:rPr>
        <w:t>supra</w:t>
      </w:r>
      <w:r w:rsidRPr="00965219">
        <w:rPr>
          <w:lang w:val="en-US"/>
        </w:rPr>
        <w:t xml:space="preserve"> (evidence file, folio 141). In this regard, the representatives asserted that, between 1976 and 2008, approximately 20 titles were issued to non-indigenous persons.</w:t>
      </w:r>
    </w:p>
  </w:footnote>
  <w:footnote w:id="135">
    <w:p w14:paraId="63126C6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443).</w:t>
      </w:r>
    </w:p>
  </w:footnote>
  <w:footnote w:id="136">
    <w:p w14:paraId="63126C6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Testimony of Capitan Jona Gunther during the public hearing held in this case on February 3, 2015.</w:t>
      </w:r>
    </w:p>
  </w:footnote>
  <w:footnote w:id="137">
    <w:p w14:paraId="63126C7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Max Sabajo on September 25, 2008 (merits file, folio 161).</w:t>
      </w:r>
    </w:p>
  </w:footnote>
  <w:footnote w:id="138">
    <w:p w14:paraId="63126C7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444); Testimony of Captain Jona Gunther during the public hearing held in this case on February 3, 2015, and Statement made on August 19, 2015, during the on-site procedure, by Louis Biswane, Assistant of the Captain of Pierrekondre (merits file, folio 973).</w:t>
      </w:r>
    </w:p>
  </w:footnote>
  <w:footnote w:id="139">
    <w:p w14:paraId="63126C7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444), and statements made on August 19, 2015, during the on-site procedure by Harold Malbons, Assistant of the Captain of Tapuku, Louis Biswane, Assistant of the Captain of Pierrekondre, and Leni Landveld, Marijkedorp elder (merits file, folio 973).</w:t>
      </w:r>
    </w:p>
  </w:footnote>
  <w:footnote w:id="140">
    <w:p w14:paraId="63126C7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141).</w:t>
      </w:r>
    </w:p>
  </w:footnote>
  <w:footnote w:id="141">
    <w:p w14:paraId="63126C7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Communication dated May 22, 2006 (evidence file, folio 329); Affidavit made by Captain Grace Watamaleo on January 27, 2015 (merits file, folio 444); Testimony of Captain Jona Gunther during the public hearing held in this case on February 3, 2015; Affidavit made by Max Sabajo on September 25, 2008 (merits file, folio 160); Affidavit made by Loreen Jubitana on January 27, 2015 (merits file, folio 428); and Statement made on August 19, 2015, during the on-site procedure, by Leni Landveld, Marijkedorp elder (merits file, folio 973).</w:t>
      </w:r>
    </w:p>
  </w:footnote>
  <w:footnote w:id="142">
    <w:p w14:paraId="63126C7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445); Testimony of Captain Jona Gunther during the public hearing held in this case on February 3, 2015; Affidavit made by Max Sabajo on September 25, 2008 (merits file, folio 160).</w:t>
      </w:r>
    </w:p>
  </w:footnote>
  <w:footnote w:id="143">
    <w:p w14:paraId="63126C7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E52A02">
        <w:rPr>
          <w:i/>
          <w:lang w:val="en-US"/>
        </w:rPr>
        <w:t>Cf.</w:t>
      </w:r>
      <w:r w:rsidRPr="00965219">
        <w:rPr>
          <w:lang w:val="en-US"/>
        </w:rPr>
        <w:t xml:space="preserve"> </w:t>
      </w:r>
      <w:r w:rsidRPr="00965219">
        <w:rPr>
          <w:rStyle w:val="Strong"/>
          <w:b w:val="0"/>
          <w:i/>
          <w:lang w:val="en-US"/>
        </w:rPr>
        <w:t>Case of the Moiwana Community, supra,</w:t>
      </w:r>
      <w:r w:rsidRPr="00965219">
        <w:rPr>
          <w:rStyle w:val="Strong"/>
          <w:b w:val="0"/>
          <w:lang w:val="en-US"/>
        </w:rPr>
        <w:t xml:space="preserve"> para. 86.5.</w:t>
      </w:r>
    </w:p>
  </w:footnote>
  <w:footnote w:id="144">
    <w:p w14:paraId="63126C7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rStyle w:val="FootnoteReference"/>
          <w:sz w:val="16"/>
          <w:lang w:val="en-US"/>
        </w:rPr>
        <w:t xml:space="preserve">  </w:t>
      </w:r>
      <w:r w:rsidRPr="00965219">
        <w:rPr>
          <w:lang w:val="en-US"/>
        </w:rPr>
        <w:tab/>
      </w:r>
      <w:proofErr w:type="gramStart"/>
      <w:r w:rsidRPr="00965219">
        <w:rPr>
          <w:i/>
          <w:lang w:val="en-US"/>
        </w:rPr>
        <w:t>Case of the Saramaka People, supra,</w:t>
      </w:r>
      <w:r w:rsidRPr="00965219">
        <w:rPr>
          <w:lang w:val="en-US"/>
        </w:rPr>
        <w:t xml:space="preserve"> para.</w:t>
      </w:r>
      <w:proofErr w:type="gramEnd"/>
      <w:r w:rsidRPr="00965219">
        <w:rPr>
          <w:lang w:val="en-US"/>
        </w:rPr>
        <w:t xml:space="preserve"> 172.</w:t>
      </w:r>
    </w:p>
  </w:footnote>
  <w:footnote w:id="145">
    <w:p w14:paraId="63126C7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Saramaka People, supra, </w:t>
      </w:r>
      <w:r w:rsidRPr="00965219">
        <w:rPr>
          <w:lang w:val="en-US"/>
        </w:rPr>
        <w:t>para. 174.</w:t>
      </w:r>
    </w:p>
  </w:footnote>
  <w:footnote w:id="146">
    <w:p w14:paraId="63126C7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rStyle w:val="FootnoteReference"/>
          <w:sz w:val="16"/>
          <w:lang w:val="en-US"/>
        </w:rPr>
        <w:t xml:space="preserve"> </w:t>
      </w:r>
      <w:r w:rsidRPr="00965219">
        <w:rPr>
          <w:lang w:val="en-US"/>
        </w:rPr>
        <w:t xml:space="preserve"> </w:t>
      </w:r>
      <w:r w:rsidRPr="00965219">
        <w:rPr>
          <w:lang w:val="en-US"/>
        </w:rPr>
        <w:tab/>
      </w:r>
      <w:r w:rsidRPr="00965219">
        <w:rPr>
          <w:i/>
          <w:lang w:val="en-US"/>
        </w:rPr>
        <w:t>Cf. Case of the Saramaka People, supra, para</w:t>
      </w:r>
      <w:r w:rsidRPr="00965219">
        <w:rPr>
          <w:lang w:val="en-US"/>
        </w:rPr>
        <w:t xml:space="preserve">. 168. </w:t>
      </w:r>
    </w:p>
  </w:footnote>
  <w:footnote w:id="147">
    <w:p w14:paraId="63126C7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 171. </w:t>
      </w:r>
    </w:p>
  </w:footnote>
  <w:footnote w:id="148">
    <w:p w14:paraId="63126C7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International Convention on the Elimination of All Forms of Racial Discrimination (CERD), Consideration of reports submitted by States Parties under Article 9 of the Convention, Concluding observations on Suriname (sixty-fourth session, 2004), UN Doc. CERD/C/64/CO/9, 28 April 2004, </w:t>
      </w:r>
      <w:proofErr w:type="gramStart"/>
      <w:r w:rsidRPr="00965219">
        <w:rPr>
          <w:lang w:val="en-US"/>
        </w:rPr>
        <w:t>para</w:t>
      </w:r>
      <w:proofErr w:type="gramEnd"/>
      <w:r w:rsidRPr="00965219">
        <w:rPr>
          <w:lang w:val="en-US"/>
        </w:rPr>
        <w:t xml:space="preserve">. 11. Available at: </w:t>
      </w:r>
      <w:hyperlink r:id="rId2" w:history="1">
        <w:r w:rsidRPr="00965219">
          <w:rPr>
            <w:rStyle w:val="Hyperlink"/>
            <w:lang w:val="en-US"/>
          </w:rPr>
          <w:t>http://tbinternet.ohchr.org/layouts/treatybody external/Download.aspx?symbolno=CERD%2FC%2F64%2FCO%2F9&amp;Lang=en</w:t>
        </w:r>
      </w:hyperlink>
      <w:r w:rsidRPr="00965219">
        <w:rPr>
          <w:lang w:val="en-US"/>
        </w:rPr>
        <w:t>.</w:t>
      </w:r>
    </w:p>
  </w:footnote>
  <w:footnote w:id="149">
    <w:p w14:paraId="63126C7C" w14:textId="608CCEBF"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Human Rights Committee, Consideration of reports submitted by States Parties under Article 40 of the Covenant, Concluding observations on Suriname (eightieth session, 2004), UN Doc. CCPR/CO/80/SUR, 4 May 2004, para. 21. Available at:</w:t>
      </w:r>
      <w:r>
        <w:rPr>
          <w:lang w:val="en-US"/>
        </w:rPr>
        <w:t xml:space="preserve"> </w:t>
      </w:r>
      <w:hyperlink r:id="rId3" w:history="1">
        <w:r w:rsidRPr="00965219">
          <w:rPr>
            <w:rStyle w:val="Hyperlink"/>
            <w:lang w:val="en-US"/>
          </w:rPr>
          <w:t>http://tbinternet.ohchr.org/_layouts/treatybodyexternal/Download.aspx?symbolno=CCPR%2FCO%2F80%2FSUR&amp;Lang=en</w:t>
        </w:r>
      </w:hyperlink>
      <w:r w:rsidRPr="00965219">
        <w:rPr>
          <w:lang w:val="en-US"/>
        </w:rPr>
        <w:t>.</w:t>
      </w:r>
    </w:p>
  </w:footnote>
  <w:footnote w:id="150">
    <w:p w14:paraId="63126C7D" w14:textId="3F946919"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Report of the Special Rapporteur on the situation of human rights and fundamental freedoms of indigenous people, Rodolfo Stavenhagen, submitted in accordance with Commission resolution 2002/65 (fifty-ninth session), UN Doc. E/CN.4/2003/90, 21 January 2003, para. 21. Available at: </w:t>
      </w:r>
      <w:hyperlink r:id="rId4" w:history="1">
        <w:r w:rsidRPr="00E74A40">
          <w:rPr>
            <w:rStyle w:val="Hyperlink"/>
            <w:lang w:val="en-US"/>
          </w:rPr>
          <w:t>http://daccess-dds-ny.un.org/doc/UNDOC/GEN/G03/105/44/PDF/</w:t>
        </w:r>
        <w:r w:rsidRPr="00383AB1">
          <w:rPr>
            <w:rStyle w:val="Hyperlink"/>
            <w:lang w:val="en-US"/>
          </w:rPr>
          <w:t>G0310544.pdf?OpenElement</w:t>
        </w:r>
      </w:hyperlink>
      <w:r>
        <w:rPr>
          <w:lang w:val="en-US"/>
        </w:rPr>
        <w:t xml:space="preserve">.  </w:t>
      </w:r>
    </w:p>
  </w:footnote>
  <w:footnote w:id="151">
    <w:p w14:paraId="63126C7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 194. </w:t>
      </w:r>
    </w:p>
  </w:footnote>
  <w:footnote w:id="152">
    <w:p w14:paraId="63126C8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r w:rsidRPr="00965219">
        <w:rPr>
          <w:lang w:val="en-US"/>
        </w:rPr>
        <w:t xml:space="preserve"> </w:t>
      </w:r>
      <w:r w:rsidRPr="00965219">
        <w:rPr>
          <w:i/>
          <w:lang w:val="en-US"/>
        </w:rPr>
        <w:t>Case of the Saramaka People v. Suriname.</w:t>
      </w:r>
      <w:proofErr w:type="gramEnd"/>
      <w:r w:rsidRPr="00965219">
        <w:rPr>
          <w:lang w:val="en-US"/>
        </w:rPr>
        <w:t xml:space="preserve"> </w:t>
      </w:r>
      <w:proofErr w:type="gramStart"/>
      <w:r w:rsidRPr="00965219">
        <w:rPr>
          <w:i/>
          <w:lang w:val="en-US"/>
        </w:rPr>
        <w:t>Monitoring compliance with judgment.</w:t>
      </w:r>
      <w:proofErr w:type="gramEnd"/>
      <w:r w:rsidRPr="00965219">
        <w:rPr>
          <w:i/>
          <w:lang w:val="en-US"/>
        </w:rPr>
        <w:t xml:space="preserve"> </w:t>
      </w:r>
      <w:proofErr w:type="gramStart"/>
      <w:r w:rsidRPr="00965219">
        <w:rPr>
          <w:lang w:val="en-US"/>
        </w:rPr>
        <w:t>Order of the Inter-American Court of Human Rights of November 23, 2011, operative paragraph 3.b).</w:t>
      </w:r>
      <w:proofErr w:type="gramEnd"/>
      <w:r w:rsidRPr="00965219">
        <w:rPr>
          <w:lang w:val="en-US"/>
        </w:rPr>
        <w:t xml:space="preserve"> </w:t>
      </w:r>
    </w:p>
  </w:footnote>
  <w:footnote w:id="153">
    <w:p w14:paraId="63126C81" w14:textId="77777777" w:rsidR="00624C98" w:rsidRPr="00965219" w:rsidRDefault="00624C98" w:rsidP="00145D1D">
      <w:pPr>
        <w:pStyle w:val="FootnoteText"/>
        <w:spacing w:after="80"/>
        <w:rPr>
          <w:lang w:val="en-US"/>
        </w:rPr>
      </w:pPr>
      <w:r w:rsidRPr="00965219">
        <w:rPr>
          <w:rStyle w:val="FootnoteReference"/>
          <w:lang w:val="en-US"/>
        </w:rPr>
        <w:footnoteRef/>
      </w:r>
      <w:r w:rsidRPr="00965219">
        <w:rPr>
          <w:lang w:val="en-US"/>
        </w:rPr>
        <w:t xml:space="preserve"> </w:t>
      </w:r>
      <w:r w:rsidRPr="00965219">
        <w:rPr>
          <w:lang w:val="en-US"/>
        </w:rPr>
        <w:tab/>
        <w:t>According to the State, the public records show that, indeed, titles for a limited number of parcels were issued to non-indigenous persons, but also to indigenous persons such as Cornelis Pierre who requested and obtained a long-term lease on two lots in Erowarte, Tuinstad Albina.</w:t>
      </w:r>
    </w:p>
  </w:footnote>
  <w:footnote w:id="154">
    <w:p w14:paraId="63126C8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State argued that the land claimed by the Kaliña and Lokono peoples is under the jurisdiction of three administrations: Galibi, Albina and Patamacca. Galibi comprises 677 indigenous persons and 5 Maroons; Albina 915 indigenous persons and 3,082 Maroons, and Patamacca, to the south of Marowijne District, comprises 412 Maroons, but has no records of indigenous peoples living in the area (merits file, folio 583). </w:t>
      </w:r>
    </w:p>
  </w:footnote>
  <w:footnote w:id="155">
    <w:p w14:paraId="63126C8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State argued that the indigenous people may make free use of the resources in the three nature reserves in the Lower Marowijne area, because the restrictions in force for the other Surinamese inhabitants, such as official fishing and hunting licenses, do not apply to them (merits file, folio 587). It also affirmed that the State had given priority to the participation of the members of the Kaliña and Lokono peoples in the management of the reserves in the Lower Marowijne region, respecting and including their traditional knowledge. As an example, the State mentioned the promotion of activities such as tourism in the Galibi Nature Reserve, where members of the Kaliña and Lokono peoples were hired on a full-time basis or seasonally to help monitor the sea turtles. In addition, the State affirmed that it rents boats and lodges from the local community (merits file, folio 588). </w:t>
      </w:r>
      <w:r w:rsidRPr="00965219">
        <w:rPr>
          <w:i/>
          <w:lang w:val="en-US"/>
        </w:rPr>
        <w:t>Cf.</w:t>
      </w:r>
      <w:r w:rsidRPr="00965219">
        <w:rPr>
          <w:lang w:val="en-US"/>
        </w:rPr>
        <w:t xml:space="preserve"> Affidavit made by Claudine Sakimin on January 27, 2015 (merits file, folios 479 and 480).</w:t>
      </w:r>
    </w:p>
  </w:footnote>
  <w:footnote w:id="156">
    <w:p w14:paraId="63126C8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State emphasized that 85% of the economy was dependent on natural resources; thus State control was required because it was a matter of national security (merits file, folio 604).</w:t>
      </w:r>
    </w:p>
  </w:footnote>
  <w:footnote w:id="157">
    <w:p w14:paraId="63126C8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International Labour Organization (ILO), Convention No. 169 concerning Indigenous and Tribal Peoples in Independent Countries, </w:t>
      </w:r>
      <w:r w:rsidRPr="00965219">
        <w:rPr>
          <w:snapToGrid w:val="0"/>
          <w:lang w:val="en-US"/>
        </w:rPr>
        <w:t xml:space="preserve">adopted on 27 June </w:t>
      </w:r>
      <w:proofErr w:type="gramStart"/>
      <w:r w:rsidRPr="00965219">
        <w:rPr>
          <w:snapToGrid w:val="0"/>
          <w:lang w:val="en-US"/>
        </w:rPr>
        <w:t>1989,</w:t>
      </w:r>
      <w:proofErr w:type="gramEnd"/>
      <w:r w:rsidRPr="00965219">
        <w:rPr>
          <w:snapToGrid w:val="0"/>
          <w:lang w:val="en-US"/>
        </w:rPr>
        <w:t xml:space="preserve"> and in force since 5 September 1991. Available at: </w:t>
      </w:r>
      <w:hyperlink r:id="rId5" w:history="1">
        <w:r w:rsidRPr="00965219">
          <w:rPr>
            <w:rStyle w:val="Hyperlink"/>
            <w:snapToGrid w:val="0"/>
            <w:lang w:val="en-US"/>
          </w:rPr>
          <w:t>http://www.ilo.org/dyn/normlex/en/f?p=NORMLEXPUB:12100:0::NO::P12100_INSTRUMENT_ID:312314</w:t>
        </w:r>
      </w:hyperlink>
      <w:r w:rsidRPr="00965219">
        <w:rPr>
          <w:lang w:val="en-US"/>
        </w:rPr>
        <w:t xml:space="preserve">. Nevertheless, the United Nations Declaration on the Rights of Indigenous Peoples was adopted with the support of the State of Suriname, and its article 32 recognizes the right to consultation. </w:t>
      </w:r>
      <w:r w:rsidRPr="00965219">
        <w:rPr>
          <w:i/>
          <w:lang w:val="en-US"/>
        </w:rPr>
        <w:t xml:space="preserve">Cf. Case of the Saramaka People, supra, </w:t>
      </w:r>
      <w:r w:rsidRPr="00965219">
        <w:rPr>
          <w:lang w:val="en-US"/>
        </w:rPr>
        <w:t xml:space="preserve">para. 131, footnote 128, and United Nations (UN), United Nations Declaration on the Rights of Indigenous Peoples, Resolution 61/295, 107th plenary meeting of the General Assembly, 13 September 2007. Available at: </w:t>
      </w:r>
      <w:hyperlink r:id="rId6" w:history="1">
        <w:r w:rsidRPr="00965219">
          <w:rPr>
            <w:rStyle w:val="Hyperlink"/>
            <w:lang w:val="en-US"/>
          </w:rPr>
          <w:t>http://www.un.org/esa/socdev/unpfii/documents/DRIPS_en.pdf</w:t>
        </w:r>
      </w:hyperlink>
      <w:r w:rsidRPr="00965219">
        <w:rPr>
          <w:lang w:val="en-US"/>
        </w:rPr>
        <w:t>.</w:t>
      </w:r>
    </w:p>
  </w:footnote>
  <w:footnote w:id="158">
    <w:p w14:paraId="63126C8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Suriname ratified both instruments on December 28, 1976</w:t>
      </w:r>
      <w:r w:rsidRPr="00965219">
        <w:rPr>
          <w:i/>
          <w:lang w:val="en-US"/>
        </w:rPr>
        <w:t xml:space="preserve">. </w:t>
      </w:r>
      <w:proofErr w:type="gramStart"/>
      <w:r w:rsidRPr="00965219">
        <w:rPr>
          <w:i/>
          <w:lang w:val="en-US"/>
        </w:rPr>
        <w:t xml:space="preserve">International Covenant on Civil and Political Rights, </w:t>
      </w:r>
      <w:r w:rsidRPr="00965219">
        <w:rPr>
          <w:lang w:val="en-US"/>
        </w:rPr>
        <w:t xml:space="preserve">19 December 1966, 99 U.N.T.S. 171, Can T.S. 1976 No. 47, 6 I.L.M. 368 (entry into force 23 March 1976), and </w:t>
      </w:r>
      <w:r w:rsidRPr="00965219">
        <w:rPr>
          <w:i/>
          <w:lang w:val="en-US"/>
        </w:rPr>
        <w:t>International Covenant on Economic, Social and Cultural Rights</w:t>
      </w:r>
      <w:r w:rsidRPr="00965219">
        <w:rPr>
          <w:lang w:val="en-US"/>
        </w:rPr>
        <w:t xml:space="preserve"> (entry into force 3 January 1976).</w:t>
      </w:r>
      <w:proofErr w:type="gramEnd"/>
    </w:p>
  </w:footnote>
  <w:footnote w:id="159">
    <w:p w14:paraId="63126C87" w14:textId="77777777" w:rsidR="00624C98" w:rsidRPr="00965219" w:rsidRDefault="00624C98" w:rsidP="00145D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 xml:space="preserve">Cf. </w:t>
      </w:r>
      <w:r w:rsidRPr="00965219">
        <w:rPr>
          <w:rFonts w:ascii="Verdana" w:hAnsi="Verdana"/>
          <w:sz w:val="16"/>
          <w:szCs w:val="16"/>
          <w:lang w:val="en-US"/>
        </w:rPr>
        <w:t xml:space="preserve">UN, Committee on Economic, Social and Cultural Rights, </w:t>
      </w:r>
      <w:r w:rsidRPr="00965219">
        <w:rPr>
          <w:rFonts w:ascii="Verdana" w:hAnsi="Verdana"/>
          <w:i/>
          <w:sz w:val="16"/>
          <w:szCs w:val="16"/>
          <w:lang w:val="en-US"/>
        </w:rPr>
        <w:t xml:space="preserve">Consideration of reports submitted by States Parties under Articles 16 and 17 of the Covenant. </w:t>
      </w:r>
      <w:proofErr w:type="gramStart"/>
      <w:r w:rsidRPr="00965219">
        <w:rPr>
          <w:rFonts w:ascii="Verdana" w:hAnsi="Verdana"/>
          <w:i/>
          <w:sz w:val="16"/>
          <w:szCs w:val="16"/>
          <w:lang w:val="en-US"/>
        </w:rPr>
        <w:t>Concluding observations on the Russian Federation (thirty-first session).</w:t>
      </w:r>
      <w:proofErr w:type="gramEnd"/>
      <w:r w:rsidRPr="00965219">
        <w:rPr>
          <w:rFonts w:ascii="Verdana" w:hAnsi="Verdana"/>
          <w:i/>
          <w:sz w:val="16"/>
          <w:szCs w:val="16"/>
          <w:lang w:val="en-US"/>
        </w:rPr>
        <w:t xml:space="preserve"> </w:t>
      </w:r>
      <w:proofErr w:type="gramStart"/>
      <w:r w:rsidRPr="00965219">
        <w:rPr>
          <w:rFonts w:ascii="Verdana" w:hAnsi="Verdana"/>
          <w:sz w:val="16"/>
          <w:szCs w:val="16"/>
          <w:lang w:val="en-US"/>
        </w:rPr>
        <w:t>UN Doc</w:t>
      </w:r>
      <w:r w:rsidRPr="00965219">
        <w:rPr>
          <w:rFonts w:ascii="Verdana" w:hAnsi="Verdana"/>
          <w:i/>
          <w:sz w:val="16"/>
          <w:szCs w:val="16"/>
          <w:lang w:val="en-US"/>
        </w:rPr>
        <w:t xml:space="preserve">. </w:t>
      </w:r>
      <w:r w:rsidRPr="00965219">
        <w:rPr>
          <w:rFonts w:ascii="Verdana" w:hAnsi="Verdana"/>
          <w:sz w:val="16"/>
          <w:szCs w:val="16"/>
          <w:lang w:val="en-US"/>
        </w:rPr>
        <w:t>E/C.12/1/Add.94, 12 December 2003, para.</w:t>
      </w:r>
      <w:proofErr w:type="gramEnd"/>
      <w:r w:rsidRPr="00965219">
        <w:rPr>
          <w:rFonts w:ascii="Verdana" w:hAnsi="Verdana"/>
          <w:sz w:val="16"/>
          <w:szCs w:val="16"/>
          <w:lang w:val="en-US"/>
        </w:rPr>
        <w:t xml:space="preserve"> </w:t>
      </w:r>
      <w:proofErr w:type="gramStart"/>
      <w:r w:rsidRPr="00965219">
        <w:rPr>
          <w:rFonts w:ascii="Verdana" w:hAnsi="Verdana"/>
          <w:sz w:val="16"/>
          <w:szCs w:val="16"/>
          <w:lang w:val="en-US"/>
        </w:rPr>
        <w:t>11, in which the Committee expressed concern “about the precarious situation of indigenous communities in the State party, affecting their right to self-determination under article 1 of the Covenant.”</w:t>
      </w:r>
      <w:proofErr w:type="gramEnd"/>
    </w:p>
  </w:footnote>
  <w:footnote w:id="160">
    <w:p w14:paraId="63126C8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Article 1(1), common to the ICCPR and the ICESCR</w:t>
      </w:r>
      <w:r w:rsidRPr="00965219">
        <w:rPr>
          <w:rFonts w:cs="Tahoma"/>
          <w:lang w:val="en-US"/>
        </w:rPr>
        <w:t>, establishes that “</w:t>
      </w:r>
      <w:r w:rsidRPr="00965219">
        <w:rPr>
          <w:lang w:val="en-US"/>
        </w:rPr>
        <w:t>[a]ll peoples have the right of self-determination. By virtue of that right they freely determine their political status and freely pursue their economic, social and cultural development.”</w:t>
      </w:r>
      <w:r w:rsidRPr="00965219">
        <w:rPr>
          <w:rFonts w:cs="Tahoma"/>
          <w:lang w:val="en-US"/>
        </w:rPr>
        <w:t xml:space="preserve"> </w:t>
      </w:r>
    </w:p>
  </w:footnote>
  <w:footnote w:id="161">
    <w:p w14:paraId="63126C8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Article 29 of the American Convention on Human Rights. </w:t>
      </w:r>
      <w:r w:rsidRPr="00965219">
        <w:rPr>
          <w:i/>
          <w:lang w:val="en-US"/>
        </w:rPr>
        <w:t>Cf. Case of the Saramaka People, supra,</w:t>
      </w:r>
      <w:r w:rsidRPr="00965219">
        <w:rPr>
          <w:lang w:val="en-US"/>
        </w:rPr>
        <w:t xml:space="preserve"> paras. 93 </w:t>
      </w:r>
      <w:proofErr w:type="gramStart"/>
      <w:r w:rsidRPr="00965219">
        <w:rPr>
          <w:i/>
          <w:lang w:val="en-US"/>
        </w:rPr>
        <w:t>Interpretation</w:t>
      </w:r>
      <w:proofErr w:type="gramEnd"/>
      <w:r w:rsidRPr="00965219">
        <w:rPr>
          <w:i/>
          <w:lang w:val="en-US"/>
        </w:rPr>
        <w:t xml:space="preserve"> of the American Declaration of the Rights and Duties of Man within the Framework of Article 64 of the American Convention on Human Rights</w:t>
      </w:r>
      <w:r w:rsidRPr="00965219">
        <w:rPr>
          <w:lang w:val="en-US"/>
        </w:rPr>
        <w:t xml:space="preserve">. Advisory Opinion OC-10/89 of July 14, 1989. Series </w:t>
      </w:r>
      <w:proofErr w:type="gramStart"/>
      <w:r w:rsidRPr="00965219">
        <w:rPr>
          <w:lang w:val="en-US"/>
        </w:rPr>
        <w:t>A</w:t>
      </w:r>
      <w:proofErr w:type="gramEnd"/>
      <w:r w:rsidRPr="00965219">
        <w:rPr>
          <w:lang w:val="en-US"/>
        </w:rPr>
        <w:t xml:space="preserve"> No. 10, para. 37, and </w:t>
      </w:r>
      <w:proofErr w:type="gramStart"/>
      <w:r w:rsidRPr="00965219">
        <w:rPr>
          <w:i/>
          <w:lang w:val="en-US"/>
        </w:rPr>
        <w:t>The</w:t>
      </w:r>
      <w:proofErr w:type="gramEnd"/>
      <w:r w:rsidRPr="00965219">
        <w:rPr>
          <w:i/>
          <w:lang w:val="en-US"/>
        </w:rPr>
        <w:t xml:space="preserve"> Right to Information on Consular Assistance within the Framework of the Guarantees of Due Process of Law</w:t>
      </w:r>
      <w:r w:rsidRPr="00965219">
        <w:rPr>
          <w:lang w:val="en-US"/>
        </w:rPr>
        <w:t xml:space="preserve">. Advisory Opinion OC-16/99 of October 1, 1999. Series </w:t>
      </w:r>
      <w:proofErr w:type="gramStart"/>
      <w:r w:rsidRPr="00965219">
        <w:rPr>
          <w:lang w:val="en-US"/>
        </w:rPr>
        <w:t>A</w:t>
      </w:r>
      <w:proofErr w:type="gramEnd"/>
      <w:r w:rsidRPr="00965219">
        <w:rPr>
          <w:lang w:val="en-US"/>
        </w:rPr>
        <w:t xml:space="preserve"> No. 16, paras. 113 to 115 (affirming an interpretation of international human rights instruments that takes into account the progressive development of the </w:t>
      </w:r>
      <w:r>
        <w:rPr>
          <w:i/>
          <w:lang w:val="en-US"/>
        </w:rPr>
        <w:t>corpus i</w:t>
      </w:r>
      <w:r w:rsidRPr="00965219">
        <w:rPr>
          <w:i/>
          <w:lang w:val="en-US"/>
        </w:rPr>
        <w:t xml:space="preserve">uris gentium </w:t>
      </w:r>
      <w:r w:rsidRPr="00965219">
        <w:rPr>
          <w:lang w:val="en-US"/>
        </w:rPr>
        <w:t>of international human rights law over time and also present-day conditions).</w:t>
      </w:r>
    </w:p>
  </w:footnote>
  <w:footnote w:id="162">
    <w:p w14:paraId="63126C8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Case of the Saramaka People</w:t>
      </w:r>
      <w:r w:rsidRPr="00965219">
        <w:rPr>
          <w:lang w:val="en-US"/>
        </w:rPr>
        <w:t xml:space="preserve">, </w:t>
      </w:r>
      <w:r w:rsidRPr="00965219">
        <w:rPr>
          <w:i/>
          <w:lang w:val="en-US"/>
        </w:rPr>
        <w:t>supra,</w:t>
      </w:r>
      <w:r w:rsidRPr="00965219">
        <w:rPr>
          <w:lang w:val="en-US"/>
        </w:rPr>
        <w:t xml:space="preserve"> para.</w:t>
      </w:r>
      <w:proofErr w:type="gramEnd"/>
      <w:r w:rsidRPr="00965219">
        <w:rPr>
          <w:lang w:val="en-US"/>
        </w:rPr>
        <w:t xml:space="preserve"> 94. UN, Human Rights Committee, </w:t>
      </w:r>
      <w:r w:rsidRPr="00965219">
        <w:rPr>
          <w:i/>
          <w:lang w:val="en-US"/>
        </w:rPr>
        <w:t xml:space="preserve">General Comment No. 23. </w:t>
      </w:r>
      <w:proofErr w:type="gramStart"/>
      <w:r w:rsidRPr="00965219">
        <w:rPr>
          <w:i/>
          <w:lang w:val="en-US"/>
        </w:rPr>
        <w:t>Article 27 (Rights of Minorities)</w:t>
      </w:r>
      <w:r w:rsidRPr="00965219">
        <w:rPr>
          <w:lang w:val="en-US"/>
        </w:rPr>
        <w:t xml:space="preserve"> (fiftieth session, 1994), UN Doc. CCPR/C/21Rev.1/Add.5, 4 August 1994, paras.</w:t>
      </w:r>
      <w:proofErr w:type="gramEnd"/>
      <w:r w:rsidRPr="00965219">
        <w:rPr>
          <w:lang w:val="en-US"/>
        </w:rPr>
        <w:t xml:space="preserve"> </w:t>
      </w:r>
      <w:proofErr w:type="gramStart"/>
      <w:r w:rsidRPr="00965219">
        <w:rPr>
          <w:lang w:val="en-US"/>
        </w:rPr>
        <w:t>1 and 3.2.</w:t>
      </w:r>
      <w:proofErr w:type="gramEnd"/>
    </w:p>
  </w:footnote>
  <w:footnote w:id="163">
    <w:p w14:paraId="63126C8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 95</w:t>
      </w:r>
    </w:p>
  </w:footnote>
  <w:footnote w:id="164">
    <w:p w14:paraId="63126C8C" w14:textId="77777777" w:rsidR="00624C98" w:rsidRPr="00C12C4D" w:rsidRDefault="00624C98" w:rsidP="00145D1D">
      <w:pPr>
        <w:pStyle w:val="FootnoteText"/>
        <w:spacing w:after="80"/>
        <w:rPr>
          <w:lang w:val="es-CR"/>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 </w:t>
      </w:r>
      <w:r w:rsidRPr="00C12C4D">
        <w:rPr>
          <w:lang w:val="es-CR"/>
        </w:rPr>
        <w:t>96.</w:t>
      </w:r>
    </w:p>
  </w:footnote>
  <w:footnote w:id="165">
    <w:p w14:paraId="63126C8D" w14:textId="2D4C879E" w:rsidR="00624C98" w:rsidRPr="00965219" w:rsidRDefault="00624C98" w:rsidP="00145D1D">
      <w:pPr>
        <w:pStyle w:val="ListParagraph"/>
        <w:tabs>
          <w:tab w:val="left" w:pos="567"/>
        </w:tabs>
        <w:spacing w:after="80"/>
        <w:ind w:left="0"/>
        <w:jc w:val="both"/>
        <w:rPr>
          <w:rFonts w:ascii="Verdana" w:hAnsi="Verdana"/>
          <w:sz w:val="16"/>
          <w:szCs w:val="16"/>
          <w:lang w:val="en-US"/>
        </w:rPr>
      </w:pPr>
      <w:r w:rsidRPr="00965219">
        <w:rPr>
          <w:rStyle w:val="FootnoteReference"/>
          <w:sz w:val="16"/>
          <w:szCs w:val="16"/>
          <w:lang w:val="en-US"/>
        </w:rPr>
        <w:footnoteRef/>
      </w:r>
      <w:r w:rsidRPr="00C12C4D">
        <w:rPr>
          <w:rFonts w:ascii="Verdana" w:hAnsi="Verdana"/>
          <w:sz w:val="16"/>
          <w:szCs w:val="16"/>
          <w:lang w:val="es-CR"/>
        </w:rPr>
        <w:t xml:space="preserve">     </w:t>
      </w:r>
      <w:r w:rsidRPr="00C12C4D">
        <w:rPr>
          <w:rFonts w:ascii="Verdana" w:hAnsi="Verdana"/>
          <w:sz w:val="16"/>
          <w:szCs w:val="16"/>
          <w:lang w:val="es-CR"/>
        </w:rPr>
        <w:tab/>
      </w:r>
      <w:r w:rsidRPr="00C12C4D">
        <w:rPr>
          <w:rFonts w:ascii="Verdana" w:hAnsi="Verdana"/>
          <w:i/>
          <w:sz w:val="16"/>
          <w:szCs w:val="16"/>
          <w:lang w:val="es-CR"/>
        </w:rPr>
        <w:t>Cf. Case of Velásquez Rodríguez. Merits</w:t>
      </w:r>
      <w:r w:rsidRPr="00C12C4D">
        <w:rPr>
          <w:rFonts w:ascii="Verdana" w:hAnsi="Verdana"/>
          <w:sz w:val="16"/>
          <w:szCs w:val="16"/>
          <w:lang w:val="es-CR"/>
        </w:rPr>
        <w:t xml:space="preserve">, </w:t>
      </w:r>
      <w:r w:rsidRPr="00C12C4D">
        <w:rPr>
          <w:rFonts w:ascii="Verdana" w:hAnsi="Verdana"/>
          <w:i/>
          <w:sz w:val="16"/>
          <w:szCs w:val="16"/>
          <w:lang w:val="es-CR"/>
        </w:rPr>
        <w:t>supra,</w:t>
      </w:r>
      <w:r w:rsidRPr="00C12C4D">
        <w:rPr>
          <w:rFonts w:ascii="Verdana" w:hAnsi="Verdana"/>
          <w:sz w:val="16"/>
          <w:szCs w:val="16"/>
          <w:lang w:val="es-CR"/>
        </w:rPr>
        <w:t xml:space="preserve"> para. </w:t>
      </w:r>
      <w:proofErr w:type="gramStart"/>
      <w:r w:rsidRPr="00965219">
        <w:rPr>
          <w:rFonts w:ascii="Verdana" w:hAnsi="Verdana"/>
          <w:sz w:val="16"/>
          <w:szCs w:val="16"/>
          <w:lang w:val="en-US"/>
        </w:rPr>
        <w:t>163,</w:t>
      </w:r>
      <w:proofErr w:type="gramEnd"/>
      <w:r w:rsidRPr="00965219">
        <w:rPr>
          <w:rFonts w:ascii="Verdana" w:hAnsi="Verdana"/>
          <w:sz w:val="16"/>
          <w:szCs w:val="16"/>
          <w:lang w:val="en-US"/>
        </w:rPr>
        <w:t xml:space="preserve"> and </w:t>
      </w:r>
      <w:r w:rsidRPr="00965219">
        <w:rPr>
          <w:rFonts w:ascii="Verdana" w:hAnsi="Verdana"/>
          <w:i/>
          <w:sz w:val="16"/>
          <w:szCs w:val="16"/>
          <w:lang w:val="en-US"/>
        </w:rPr>
        <w:t xml:space="preserve">Case of Expelled Dominicans and Haitians v. Dominican Republic. </w:t>
      </w:r>
      <w:proofErr w:type="gramStart"/>
      <w:r w:rsidRPr="00567F37">
        <w:rPr>
          <w:rFonts w:ascii="Verdana" w:hAnsi="Verdana"/>
          <w:i/>
          <w:sz w:val="16"/>
          <w:szCs w:val="16"/>
          <w:lang w:val="en-US"/>
        </w:rPr>
        <w:t>Preliminary Objections</w:t>
      </w:r>
      <w:r w:rsidRPr="00965219">
        <w:rPr>
          <w:rFonts w:ascii="Verdana" w:hAnsi="Verdana"/>
          <w:i/>
          <w:sz w:val="16"/>
          <w:szCs w:val="16"/>
          <w:lang w:val="en-US"/>
        </w:rPr>
        <w:t xml:space="preserve">, </w:t>
      </w:r>
      <w:r>
        <w:rPr>
          <w:rFonts w:ascii="Verdana" w:hAnsi="Verdana"/>
          <w:i/>
          <w:sz w:val="16"/>
          <w:szCs w:val="16"/>
          <w:lang w:val="en-US"/>
        </w:rPr>
        <w:t>Merits,</w:t>
      </w:r>
      <w:r w:rsidRPr="00965219">
        <w:rPr>
          <w:rFonts w:ascii="Verdana" w:hAnsi="Verdana"/>
          <w:i/>
          <w:sz w:val="16"/>
          <w:szCs w:val="16"/>
          <w:lang w:val="en-US"/>
        </w:rPr>
        <w:t xml:space="preserve"> </w:t>
      </w:r>
      <w:r w:rsidRPr="00567F37">
        <w:rPr>
          <w:rFonts w:ascii="Verdana" w:hAnsi="Verdana"/>
          <w:i/>
          <w:sz w:val="16"/>
          <w:szCs w:val="16"/>
          <w:lang w:val="en-US"/>
        </w:rPr>
        <w:t>Reparations</w:t>
      </w:r>
      <w:r w:rsidRPr="00965219">
        <w:rPr>
          <w:rFonts w:ascii="Verdana" w:hAnsi="Verdana"/>
          <w:i/>
          <w:sz w:val="16"/>
          <w:szCs w:val="16"/>
          <w:lang w:val="en-US"/>
        </w:rPr>
        <w:t xml:space="preserve"> and </w:t>
      </w:r>
      <w:r w:rsidRPr="00567F37">
        <w:rPr>
          <w:rFonts w:ascii="Verdana" w:hAnsi="Verdana"/>
          <w:i/>
          <w:sz w:val="16"/>
          <w:szCs w:val="16"/>
          <w:lang w:val="en-US"/>
        </w:rPr>
        <w:t>Costs</w:t>
      </w:r>
      <w:r w:rsidRPr="00965219">
        <w:rPr>
          <w:rFonts w:ascii="Verdana" w:hAnsi="Verdana"/>
          <w:i/>
          <w:sz w:val="16"/>
          <w:szCs w:val="16"/>
          <w:lang w:val="en-US"/>
        </w:rPr>
        <w:t>.</w:t>
      </w:r>
      <w:proofErr w:type="gramEnd"/>
      <w:r w:rsidRPr="00965219">
        <w:rPr>
          <w:rFonts w:ascii="Verdana" w:hAnsi="Verdana"/>
          <w:sz w:val="16"/>
          <w:szCs w:val="16"/>
          <w:lang w:val="en-US"/>
        </w:rPr>
        <w:t xml:space="preserve"> Judgment of August 28, 2014. Series C No.282, para. 305. The State made no comment on the alleged violation of the right of access to information during the merits stage before the Commission, even though it had been advised that the representatives had made these allegations; consequently, the State had the opportunity to state its position with regard to these facts. Also, during the on-site procedure, the State argued that, in Suriname, access to the public records was not denied.</w:t>
      </w:r>
    </w:p>
  </w:footnote>
  <w:footnote w:id="166">
    <w:p w14:paraId="63126C8E" w14:textId="00F8E127" w:rsidR="00624C98" w:rsidRPr="00965219" w:rsidRDefault="00624C98" w:rsidP="00145D1D">
      <w:pPr>
        <w:pStyle w:val="Footnotes"/>
        <w:spacing w:before="0"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r w:rsidRPr="00965219">
        <w:rPr>
          <w:lang w:val="en-US"/>
        </w:rPr>
        <w:t xml:space="preserve"> </w:t>
      </w:r>
      <w:r w:rsidRPr="00965219">
        <w:rPr>
          <w:i/>
          <w:lang w:val="en-US"/>
        </w:rPr>
        <w:t>Case of the Sawhoyamaxa Indigenous Community v. Paraguay.</w:t>
      </w:r>
      <w:proofErr w:type="gramEnd"/>
      <w:r w:rsidRPr="00965219">
        <w:rPr>
          <w:i/>
          <w:lang w:val="en-US"/>
        </w:rPr>
        <w:t xml:space="preserve">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March 29, 2006. Series C. 146, para. </w:t>
      </w:r>
      <w:proofErr w:type="gramStart"/>
      <w:r w:rsidRPr="00965219">
        <w:rPr>
          <w:lang w:val="en-US"/>
        </w:rPr>
        <w:t>120,</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 165.</w:t>
      </w:r>
    </w:p>
  </w:footnote>
  <w:footnote w:id="167">
    <w:p w14:paraId="63126C8F" w14:textId="7D3A3955" w:rsidR="00624C98" w:rsidRPr="00965219" w:rsidRDefault="00624C98" w:rsidP="00145D1D">
      <w:pPr>
        <w:pStyle w:val="FootnoteText"/>
        <w:spacing w:after="80"/>
        <w:rPr>
          <w:color w:val="000000"/>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 xml:space="preserve">Cf. Case of the Mayagna (Sumo) Awas Tingni Community </w:t>
      </w:r>
      <w:r w:rsidRPr="00965219">
        <w:rPr>
          <w:rStyle w:val="apple-style-span"/>
          <w:bCs/>
          <w:i/>
          <w:color w:val="000000"/>
          <w:lang w:val="en-US"/>
        </w:rPr>
        <w:t>v. Nicaragua.</w:t>
      </w:r>
      <w:proofErr w:type="gramEnd"/>
      <w:r w:rsidRPr="00965219">
        <w:rPr>
          <w:rStyle w:val="apple-converted-space"/>
          <w:bCs/>
          <w:i/>
          <w:color w:val="000000"/>
          <w:lang w:val="en-US"/>
        </w:rPr>
        <w:t xml:space="preserve"> </w:t>
      </w:r>
      <w:proofErr w:type="gramStart"/>
      <w:r w:rsidRPr="00965219">
        <w:rPr>
          <w:i/>
          <w:color w:val="000000"/>
          <w:lang w:val="en-US"/>
        </w:rPr>
        <w:t xml:space="preserve">Merits, </w:t>
      </w:r>
      <w:r w:rsidRPr="00567F37">
        <w:rPr>
          <w:i/>
          <w:color w:val="000000"/>
          <w:lang w:val="en-US"/>
        </w:rPr>
        <w:t>Reparations</w:t>
      </w:r>
      <w:r w:rsidRPr="00965219">
        <w:rPr>
          <w:i/>
          <w:color w:val="000000"/>
          <w:lang w:val="en-US"/>
        </w:rPr>
        <w:t xml:space="preserve"> and </w:t>
      </w:r>
      <w:r w:rsidRPr="00567F37">
        <w:rPr>
          <w:i/>
          <w:color w:val="000000"/>
          <w:lang w:val="en-US"/>
        </w:rPr>
        <w:t>Costs</w:t>
      </w:r>
      <w:r w:rsidRPr="00965219">
        <w:rPr>
          <w:i/>
          <w:color w:val="000000"/>
          <w:lang w:val="en-US"/>
        </w:rPr>
        <w:t>.</w:t>
      </w:r>
      <w:proofErr w:type="gramEnd"/>
      <w:r w:rsidRPr="00965219">
        <w:rPr>
          <w:color w:val="000000"/>
          <w:lang w:val="en-US"/>
        </w:rPr>
        <w:t xml:space="preserve"> Judgment of August 31, 2001. Series C No. 79, </w:t>
      </w:r>
      <w:r w:rsidRPr="00965219">
        <w:rPr>
          <w:lang w:val="en-US"/>
        </w:rPr>
        <w:t xml:space="preserve">para. </w:t>
      </w:r>
      <w:proofErr w:type="gramStart"/>
      <w:r w:rsidRPr="00965219">
        <w:rPr>
          <w:lang w:val="en-US"/>
        </w:rPr>
        <w:t>149,</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 166.</w:t>
      </w:r>
    </w:p>
  </w:footnote>
  <w:footnote w:id="168">
    <w:p w14:paraId="63126C90" w14:textId="195AB75D"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ab/>
      </w:r>
      <w:proofErr w:type="gramStart"/>
      <w:r w:rsidRPr="00965219">
        <w:rPr>
          <w:i/>
          <w:lang w:val="en-US"/>
        </w:rPr>
        <w:t>Cf. Case of the Yakye Axa Indigenous Community v. Paraguay.</w:t>
      </w:r>
      <w:proofErr w:type="gramEnd"/>
      <w:r w:rsidRPr="00965219">
        <w:rPr>
          <w:i/>
          <w:lang w:val="en-US"/>
        </w:rPr>
        <w:t xml:space="preserve">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June 17, 2005. Series C No. 125, para. </w:t>
      </w:r>
      <w:proofErr w:type="gramStart"/>
      <w:r w:rsidRPr="00965219">
        <w:rPr>
          <w:lang w:val="en-US"/>
        </w:rPr>
        <w:t>135,</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para.166.</w:t>
      </w:r>
    </w:p>
  </w:footnote>
  <w:footnote w:id="169">
    <w:p w14:paraId="63126C9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paras. </w:t>
      </w:r>
      <w:proofErr w:type="gramStart"/>
      <w:r w:rsidRPr="00965219">
        <w:rPr>
          <w:lang w:val="en-US"/>
        </w:rPr>
        <w:t>124, 135 and 137, and</w:t>
      </w:r>
      <w:r w:rsidRPr="00965219">
        <w:rPr>
          <w:i/>
          <w:lang w:val="en-US"/>
        </w:rPr>
        <w:t xml:space="preserve"> Case of the Garífuna Community of Punta Piedra and its members, supra,</w:t>
      </w:r>
      <w:r w:rsidRPr="00965219">
        <w:rPr>
          <w:lang w:val="en-US"/>
        </w:rPr>
        <w:t xml:space="preserve"> para.</w:t>
      </w:r>
      <w:proofErr w:type="gramEnd"/>
      <w:r w:rsidRPr="00965219">
        <w:rPr>
          <w:lang w:val="en-US"/>
        </w:rPr>
        <w:t xml:space="preserve"> 166. </w:t>
      </w:r>
    </w:p>
  </w:footnote>
  <w:footnote w:id="170">
    <w:p w14:paraId="63126C92" w14:textId="54C6056E" w:rsidR="00624C98" w:rsidRPr="00965219" w:rsidRDefault="00624C98" w:rsidP="00145D1D">
      <w:pPr>
        <w:tabs>
          <w:tab w:val="left" w:pos="567"/>
        </w:tabs>
        <w:spacing w:after="80"/>
        <w:jc w:val="both"/>
        <w:rPr>
          <w:rFonts w:ascii="Verdana" w:eastAsiaTheme="minorEastAsi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 xml:space="preserve">Cf. Case of the Yakye Axa Indigenous Community, supra, </w:t>
      </w:r>
      <w:r w:rsidRPr="00965219">
        <w:rPr>
          <w:rFonts w:ascii="Verdana" w:hAnsi="Verdana"/>
          <w:sz w:val="16"/>
          <w:szCs w:val="16"/>
          <w:lang w:val="en-US"/>
        </w:rPr>
        <w:t>paras. 131 and 137;</w:t>
      </w:r>
      <w:r w:rsidRPr="00965219">
        <w:rPr>
          <w:rFonts w:ascii="Verdana" w:hAnsi="Verdana"/>
          <w:i/>
          <w:sz w:val="16"/>
          <w:szCs w:val="16"/>
          <w:lang w:val="en-US"/>
        </w:rPr>
        <w:t xml:space="preserve"> Case of the Sawhoyamaxa Indigenous Community, supra, </w:t>
      </w:r>
      <w:r w:rsidRPr="00965219">
        <w:rPr>
          <w:rFonts w:ascii="Verdana" w:hAnsi="Verdana"/>
          <w:sz w:val="16"/>
          <w:szCs w:val="16"/>
          <w:lang w:val="en-US"/>
        </w:rPr>
        <w:t xml:space="preserve">para. </w:t>
      </w:r>
      <w:proofErr w:type="gramStart"/>
      <w:r w:rsidRPr="00965219">
        <w:rPr>
          <w:rFonts w:ascii="Verdana" w:hAnsi="Verdana"/>
          <w:sz w:val="16"/>
          <w:szCs w:val="16"/>
          <w:lang w:val="en-US"/>
        </w:rPr>
        <w:t>128,</w:t>
      </w:r>
      <w:proofErr w:type="gramEnd"/>
      <w:r w:rsidRPr="00965219">
        <w:rPr>
          <w:rFonts w:ascii="Verdana" w:hAnsi="Verdana"/>
          <w:sz w:val="16"/>
          <w:szCs w:val="16"/>
          <w:lang w:val="en-US"/>
        </w:rPr>
        <w:t xml:space="preserve"> and </w:t>
      </w:r>
      <w:r w:rsidRPr="00965219">
        <w:rPr>
          <w:rFonts w:ascii="Verdana" w:hAnsi="Verdana"/>
          <w:i/>
          <w:sz w:val="16"/>
          <w:szCs w:val="16"/>
          <w:lang w:val="en-US"/>
        </w:rPr>
        <w:t xml:space="preserve">Case of the Xákmok Kásek Indigenous Community v. Paraguay. </w:t>
      </w:r>
      <w:proofErr w:type="gramStart"/>
      <w:r w:rsidRPr="00965219">
        <w:rPr>
          <w:rFonts w:ascii="Verdana" w:hAnsi="Verdana"/>
          <w:i/>
          <w:sz w:val="16"/>
          <w:szCs w:val="16"/>
          <w:lang w:val="en-US"/>
        </w:rPr>
        <w:t xml:space="preserve">Merits, </w:t>
      </w:r>
      <w:r w:rsidRPr="00567F37">
        <w:rPr>
          <w:rFonts w:ascii="Verdana" w:hAnsi="Verdana"/>
          <w:i/>
          <w:sz w:val="16"/>
          <w:szCs w:val="16"/>
          <w:lang w:val="en-US"/>
        </w:rPr>
        <w:t>Reparations</w:t>
      </w:r>
      <w:r w:rsidRPr="00965219">
        <w:rPr>
          <w:rFonts w:ascii="Verdana" w:hAnsi="Verdana"/>
          <w:i/>
          <w:sz w:val="16"/>
          <w:szCs w:val="16"/>
          <w:lang w:val="en-US"/>
        </w:rPr>
        <w:t xml:space="preserve"> and </w:t>
      </w:r>
      <w:r w:rsidRPr="00567F37">
        <w:rPr>
          <w:rFonts w:ascii="Verdana" w:hAnsi="Verdana"/>
          <w:i/>
          <w:sz w:val="16"/>
          <w:szCs w:val="16"/>
          <w:lang w:val="en-US"/>
        </w:rPr>
        <w:t>Costs</w:t>
      </w:r>
      <w:r w:rsidRPr="00965219">
        <w:rPr>
          <w:rFonts w:ascii="Verdana" w:hAnsi="Verdana"/>
          <w:i/>
          <w:sz w:val="16"/>
          <w:szCs w:val="16"/>
          <w:lang w:val="en-US"/>
        </w:rPr>
        <w:t>.</w:t>
      </w:r>
      <w:proofErr w:type="gramEnd"/>
      <w:r w:rsidRPr="00965219">
        <w:rPr>
          <w:rFonts w:ascii="Verdana" w:hAnsi="Verdana"/>
          <w:sz w:val="16"/>
          <w:szCs w:val="16"/>
          <w:lang w:val="en-US"/>
        </w:rPr>
        <w:t xml:space="preserve"> Judgment of August 24, 2010. Series C No. 214, para. 109.</w:t>
      </w:r>
      <w:r w:rsidRPr="00965219">
        <w:rPr>
          <w:rFonts w:ascii="Verdana" w:hAnsi="Verdana"/>
          <w:i/>
          <w:sz w:val="16"/>
          <w:szCs w:val="16"/>
          <w:lang w:val="en-US"/>
        </w:rPr>
        <w:t xml:space="preserve">  </w:t>
      </w:r>
    </w:p>
  </w:footnote>
  <w:footnote w:id="171">
    <w:p w14:paraId="63126C93" w14:textId="77777777" w:rsidR="00624C98" w:rsidRPr="00965219" w:rsidRDefault="00624C98" w:rsidP="00145D1D">
      <w:pPr>
        <w:pStyle w:val="FootnoteText"/>
        <w:spacing w:after="80"/>
        <w:rPr>
          <w:i/>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Mayagna (Sumo) Awas Tingni Community, supra, </w:t>
      </w:r>
      <w:r w:rsidRPr="00965219">
        <w:rPr>
          <w:lang w:val="en-US"/>
        </w:rPr>
        <w:t xml:space="preserve">paras. </w:t>
      </w:r>
      <w:proofErr w:type="gramStart"/>
      <w:r w:rsidRPr="00965219">
        <w:rPr>
          <w:lang w:val="en-US"/>
        </w:rPr>
        <w:t>153 and 164.</w:t>
      </w:r>
      <w:proofErr w:type="gramEnd"/>
      <w:r w:rsidRPr="00965219">
        <w:rPr>
          <w:i/>
          <w:lang w:val="en-US"/>
        </w:rPr>
        <w:tab/>
      </w:r>
    </w:p>
  </w:footnote>
  <w:footnote w:id="172">
    <w:p w14:paraId="63126C94" w14:textId="77777777" w:rsidR="00624C98" w:rsidRPr="00965219" w:rsidRDefault="00624C98" w:rsidP="00145D1D">
      <w:pPr>
        <w:pStyle w:val="FootnoteText"/>
        <w:spacing w:after="80"/>
        <w:rPr>
          <w:i/>
          <w:lang w:val="en-US"/>
        </w:rPr>
      </w:pPr>
      <w:r w:rsidRPr="00965219">
        <w:rPr>
          <w:rStyle w:val="FootnoteReference"/>
          <w:sz w:val="16"/>
          <w:lang w:val="en-US"/>
        </w:rPr>
        <w:footnoteRef/>
      </w:r>
      <w:r w:rsidRPr="00965219">
        <w:rPr>
          <w:i/>
          <w:lang w:val="en-US"/>
        </w:rPr>
        <w:t xml:space="preserve"> </w:t>
      </w:r>
      <w:r w:rsidRPr="00965219">
        <w:rPr>
          <w:i/>
          <w:lang w:val="en-US"/>
        </w:rPr>
        <w:tab/>
        <w:t xml:space="preserve">Cf. Case of the Saramaka People, supra, </w:t>
      </w:r>
      <w:r w:rsidRPr="00965219">
        <w:rPr>
          <w:lang w:val="en-US"/>
        </w:rPr>
        <w:t>para. 115.</w:t>
      </w:r>
    </w:p>
  </w:footnote>
  <w:footnote w:id="173">
    <w:p w14:paraId="63126C9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i/>
          <w:lang w:val="en-US"/>
        </w:rPr>
        <w:t xml:space="preserve"> </w:t>
      </w:r>
      <w:r w:rsidRPr="00965219">
        <w:rPr>
          <w:i/>
          <w:lang w:val="en-US"/>
        </w:rPr>
        <w:tab/>
        <w:t>Cf. Case of the Kichwa Indigenous People of Sarayaku, supra,</w:t>
      </w:r>
      <w:r w:rsidRPr="00965219">
        <w:rPr>
          <w:lang w:val="en-US"/>
        </w:rPr>
        <w:t xml:space="preserve"> para. 146.</w:t>
      </w:r>
    </w:p>
    <w:p w14:paraId="63126C96" w14:textId="4BCB3051" w:rsidR="00624C98" w:rsidRPr="00965219" w:rsidRDefault="00624C98" w:rsidP="00145D1D">
      <w:pPr>
        <w:pStyle w:val="FootnoteText"/>
        <w:spacing w:after="80"/>
        <w:rPr>
          <w:lang w:val="en-US"/>
        </w:rPr>
      </w:pPr>
      <w:r w:rsidRPr="00965219">
        <w:rPr>
          <w:lang w:val="en-US"/>
        </w:rPr>
        <w:t xml:space="preserve">Additionally, in the case </w:t>
      </w:r>
      <w:r w:rsidRPr="00965219">
        <w:rPr>
          <w:i/>
          <w:lang w:val="en-US"/>
        </w:rPr>
        <w:t>of the Garífuna Community of Punta Piedra and its members</w:t>
      </w:r>
      <w:r w:rsidRPr="00965219">
        <w:rPr>
          <w:lang w:val="en-US"/>
        </w:rPr>
        <w:t xml:space="preserve">, in which the community already had title to the land, the Court established that the State must ensure the effective use and enjoyment of indigenous or tribal property and, to this end, various measures were required, including, “regularization, [which] consists of a process arising from the State’s obligation to remove any type of interference in the territory in question […] so that the Community [concerned] may, peacefully and effectively, use and enjoy full ownership of the collective property.” </w:t>
      </w:r>
      <w:proofErr w:type="gramStart"/>
      <w:r w:rsidRPr="00965219">
        <w:rPr>
          <w:i/>
          <w:lang w:val="en-US"/>
        </w:rPr>
        <w:t>Case of</w:t>
      </w:r>
      <w:r>
        <w:rPr>
          <w:i/>
          <w:lang w:val="en-US"/>
        </w:rPr>
        <w:t xml:space="preserve"> </w:t>
      </w:r>
      <w:r w:rsidRPr="00965219">
        <w:rPr>
          <w:i/>
          <w:lang w:val="en-US"/>
        </w:rPr>
        <w:t>the Garífuna Community of Punta Piedra and its members, supra,</w:t>
      </w:r>
      <w:r w:rsidRPr="00965219">
        <w:rPr>
          <w:lang w:val="en-US"/>
        </w:rPr>
        <w:t xml:space="preserve"> para.</w:t>
      </w:r>
      <w:proofErr w:type="gramEnd"/>
      <w:r w:rsidRPr="00965219">
        <w:rPr>
          <w:lang w:val="en-US"/>
        </w:rPr>
        <w:t xml:space="preserve"> 181.</w:t>
      </w:r>
    </w:p>
  </w:footnote>
  <w:footnote w:id="174">
    <w:p w14:paraId="63126C97" w14:textId="10017DC8" w:rsidR="00624C98" w:rsidRPr="00965219" w:rsidRDefault="00624C98" w:rsidP="00145D1D">
      <w:pPr>
        <w:tabs>
          <w:tab w:val="left" w:pos="567"/>
        </w:tabs>
        <w:spacing w:after="80"/>
        <w:jc w:val="both"/>
        <w:rPr>
          <w:rFonts w:ascii="Verdana" w:eastAsiaTheme="minorEastAsi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eastAsiaTheme="minorEastAsia" w:hAnsi="Verdana"/>
          <w:i/>
          <w:sz w:val="16"/>
          <w:szCs w:val="16"/>
          <w:lang w:val="en-US"/>
        </w:rPr>
        <w:t>Cf.</w:t>
      </w:r>
      <w:r w:rsidRPr="00965219">
        <w:rPr>
          <w:rFonts w:ascii="Verdana" w:eastAsiaTheme="minorEastAsia" w:hAnsi="Verdana"/>
          <w:sz w:val="16"/>
          <w:szCs w:val="16"/>
          <w:lang w:val="en-US"/>
        </w:rPr>
        <w:t xml:space="preserve"> </w:t>
      </w:r>
      <w:r w:rsidRPr="00965219">
        <w:rPr>
          <w:rFonts w:ascii="Verdana" w:eastAsiaTheme="minorEastAsia" w:hAnsi="Verdana"/>
          <w:i/>
          <w:sz w:val="16"/>
          <w:szCs w:val="16"/>
          <w:lang w:val="en-US"/>
        </w:rPr>
        <w:t>Case of the Mayagna (Sumo) Awas Tingni Community, supra</w:t>
      </w:r>
      <w:r w:rsidRPr="00965219">
        <w:rPr>
          <w:rFonts w:ascii="Verdana" w:eastAsiaTheme="minorEastAsia" w:hAnsi="Verdana"/>
          <w:sz w:val="16"/>
          <w:szCs w:val="16"/>
          <w:lang w:val="en-US"/>
        </w:rPr>
        <w:t xml:space="preserve">, para. </w:t>
      </w:r>
      <w:proofErr w:type="gramStart"/>
      <w:r w:rsidRPr="00965219">
        <w:rPr>
          <w:rFonts w:ascii="Verdana" w:eastAsiaTheme="minorEastAsia" w:hAnsi="Verdana"/>
          <w:sz w:val="16"/>
          <w:szCs w:val="16"/>
          <w:lang w:val="en-US"/>
        </w:rPr>
        <w:t xml:space="preserve">153 and 164, and </w:t>
      </w:r>
      <w:r w:rsidRPr="00965219">
        <w:rPr>
          <w:rFonts w:ascii="Verdana" w:eastAsiaTheme="minorEastAsia" w:hAnsi="Verdana"/>
          <w:i/>
          <w:sz w:val="16"/>
          <w:szCs w:val="16"/>
          <w:lang w:val="en-US"/>
        </w:rPr>
        <w:t>Case of the Kuna Indigenous Community of Madungandí and the Emberá Indigenous Community of Bayano and their members v. Panama.</w:t>
      </w:r>
      <w:proofErr w:type="gramEnd"/>
      <w:r w:rsidRPr="00965219">
        <w:rPr>
          <w:rFonts w:ascii="Verdana" w:eastAsiaTheme="minorEastAsia" w:hAnsi="Verdana"/>
          <w:i/>
          <w:sz w:val="16"/>
          <w:szCs w:val="16"/>
          <w:lang w:val="en-US"/>
        </w:rPr>
        <w:t xml:space="preserve"> </w:t>
      </w:r>
      <w:proofErr w:type="gramStart"/>
      <w:r w:rsidRPr="00567F37">
        <w:rPr>
          <w:rFonts w:ascii="Verdana" w:eastAsiaTheme="minorEastAsia" w:hAnsi="Verdana"/>
          <w:i/>
          <w:sz w:val="16"/>
          <w:szCs w:val="16"/>
          <w:lang w:val="en-US"/>
        </w:rPr>
        <w:t>Preliminary Objections</w:t>
      </w:r>
      <w:r w:rsidRPr="00965219">
        <w:rPr>
          <w:rFonts w:ascii="Verdana" w:eastAsiaTheme="minorEastAsia" w:hAnsi="Verdana"/>
          <w:i/>
          <w:sz w:val="16"/>
          <w:szCs w:val="16"/>
          <w:lang w:val="en-US"/>
        </w:rPr>
        <w:t xml:space="preserve">, </w:t>
      </w:r>
      <w:r>
        <w:rPr>
          <w:rFonts w:ascii="Verdana" w:eastAsiaTheme="minorEastAsia" w:hAnsi="Verdana"/>
          <w:i/>
          <w:sz w:val="16"/>
          <w:szCs w:val="16"/>
          <w:lang w:val="en-US"/>
        </w:rPr>
        <w:t xml:space="preserve">Merits, </w:t>
      </w:r>
      <w:r w:rsidRPr="00567F37">
        <w:rPr>
          <w:rFonts w:ascii="Verdana" w:eastAsiaTheme="minorEastAsia" w:hAnsi="Verdana"/>
          <w:i/>
          <w:sz w:val="16"/>
          <w:szCs w:val="16"/>
          <w:lang w:val="en-US"/>
        </w:rPr>
        <w:t>Reparations</w:t>
      </w:r>
      <w:r w:rsidRPr="00965219">
        <w:rPr>
          <w:rFonts w:ascii="Verdana" w:eastAsiaTheme="minorEastAsia" w:hAnsi="Verdana"/>
          <w:i/>
          <w:sz w:val="16"/>
          <w:szCs w:val="16"/>
          <w:lang w:val="en-US"/>
        </w:rPr>
        <w:t xml:space="preserve"> and </w:t>
      </w:r>
      <w:r w:rsidRPr="00567F37">
        <w:rPr>
          <w:rFonts w:ascii="Verdana" w:eastAsiaTheme="minorEastAsia" w:hAnsi="Verdana"/>
          <w:i/>
          <w:sz w:val="16"/>
          <w:szCs w:val="16"/>
          <w:lang w:val="en-US"/>
        </w:rPr>
        <w:t>Costs</w:t>
      </w:r>
      <w:r w:rsidRPr="00965219">
        <w:rPr>
          <w:rFonts w:ascii="Verdana" w:eastAsiaTheme="minorEastAsia" w:hAnsi="Verdana"/>
          <w:i/>
          <w:sz w:val="16"/>
          <w:szCs w:val="16"/>
          <w:lang w:val="en-US"/>
        </w:rPr>
        <w:t>.</w:t>
      </w:r>
      <w:proofErr w:type="gramEnd"/>
      <w:r w:rsidRPr="00965219">
        <w:rPr>
          <w:rFonts w:ascii="Verdana" w:eastAsiaTheme="minorEastAsia" w:hAnsi="Verdana"/>
          <w:sz w:val="16"/>
          <w:szCs w:val="16"/>
          <w:lang w:val="en-US"/>
        </w:rPr>
        <w:t xml:space="preserve"> Judgment of October 14, 2014. Series C No. 284, para. 119.  </w:t>
      </w:r>
    </w:p>
  </w:footnote>
  <w:footnote w:id="175">
    <w:p w14:paraId="63126C98" w14:textId="24431FC6" w:rsidR="00624C98" w:rsidRPr="00965219" w:rsidRDefault="00624C98" w:rsidP="00145D1D">
      <w:pPr>
        <w:pStyle w:val="FootnoteText"/>
        <w:spacing w:after="80"/>
        <w:rPr>
          <w:lang w:val="en-US"/>
        </w:rPr>
      </w:pPr>
      <w:r w:rsidRPr="00965219">
        <w:rPr>
          <w:rStyle w:val="FootnoteReference"/>
          <w:sz w:val="16"/>
          <w:lang w:val="en-US"/>
        </w:rPr>
        <w:footnoteRef/>
      </w:r>
      <w:r w:rsidRPr="00965219">
        <w:rPr>
          <w:rStyle w:val="FootnoteReference"/>
          <w:sz w:val="16"/>
          <w:lang w:val="en-US"/>
        </w:rPr>
        <w:t xml:space="preserve"> </w:t>
      </w:r>
      <w:r w:rsidRPr="00965219">
        <w:rPr>
          <w:lang w:val="en-US"/>
        </w:rPr>
        <w:tab/>
      </w:r>
      <w:proofErr w:type="gramStart"/>
      <w:r w:rsidRPr="00965219">
        <w:rPr>
          <w:i/>
          <w:lang w:val="en-US"/>
        </w:rPr>
        <w:t xml:space="preserve">Case of the Yakye Axa Indigenous Community, supra, </w:t>
      </w:r>
      <w:r w:rsidRPr="00965219">
        <w:rPr>
          <w:lang w:val="en-US"/>
        </w:rPr>
        <w:t>para.</w:t>
      </w:r>
      <w:proofErr w:type="gramEnd"/>
      <w:r w:rsidRPr="00965219">
        <w:rPr>
          <w:lang w:val="en-US"/>
        </w:rPr>
        <w:t xml:space="preserve"> </w:t>
      </w:r>
      <w:proofErr w:type="gramStart"/>
      <w:r w:rsidRPr="00965219">
        <w:rPr>
          <w:lang w:val="en-US"/>
        </w:rPr>
        <w:t>143,</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169. </w:t>
      </w:r>
    </w:p>
  </w:footnote>
  <w:footnote w:id="176">
    <w:p w14:paraId="63126C9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rStyle w:val="FootnoteReference"/>
          <w:sz w:val="16"/>
          <w:lang w:val="en-US"/>
        </w:rPr>
        <w:t xml:space="preserve"> </w:t>
      </w:r>
      <w:r w:rsidRPr="00965219">
        <w:rPr>
          <w:lang w:val="en-US"/>
        </w:rPr>
        <w:tab/>
      </w:r>
      <w:r w:rsidRPr="00965219">
        <w:rPr>
          <w:i/>
          <w:lang w:val="en-US"/>
        </w:rPr>
        <w:t xml:space="preserve">Cf. Case of the Moiwana Community, supra, </w:t>
      </w:r>
      <w:r w:rsidRPr="00965219">
        <w:rPr>
          <w:lang w:val="en-US"/>
        </w:rPr>
        <w:t xml:space="preserve">para. </w:t>
      </w:r>
      <w:proofErr w:type="gramStart"/>
      <w:r w:rsidRPr="00965219">
        <w:rPr>
          <w:lang w:val="en-US"/>
        </w:rPr>
        <w:t>210,</w:t>
      </w:r>
      <w:proofErr w:type="gramEnd"/>
      <w:r w:rsidRPr="00965219">
        <w:rPr>
          <w:lang w:val="en-US"/>
        </w:rPr>
        <w:t xml:space="preserve"> and</w:t>
      </w:r>
      <w:r w:rsidRPr="00965219">
        <w:rPr>
          <w:i/>
          <w:lang w:val="en-US"/>
        </w:rPr>
        <w:t xml:space="preserve"> Case of the Saramaka People, supra, </w:t>
      </w:r>
      <w:r w:rsidRPr="00965219">
        <w:rPr>
          <w:lang w:val="en-US"/>
        </w:rPr>
        <w:t xml:space="preserve">para. 115.   </w:t>
      </w:r>
    </w:p>
  </w:footnote>
  <w:footnote w:id="177">
    <w:p w14:paraId="63126C9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rStyle w:val="FootnoteReference"/>
          <w:sz w:val="16"/>
          <w:lang w:val="en-US"/>
        </w:rPr>
        <w:t xml:space="preserve"> </w:t>
      </w:r>
      <w:r w:rsidRPr="00965219">
        <w:rPr>
          <w:lang w:val="en-US"/>
        </w:rPr>
        <w:tab/>
      </w:r>
      <w:proofErr w:type="gramStart"/>
      <w:r w:rsidRPr="00965219">
        <w:rPr>
          <w:i/>
          <w:lang w:val="en-US"/>
        </w:rPr>
        <w:t>Case of the Yakye Axa Indigenous Community, supra,</w:t>
      </w:r>
      <w:r w:rsidRPr="00965219">
        <w:rPr>
          <w:lang w:val="en-US"/>
        </w:rPr>
        <w:t xml:space="preserve"> para.</w:t>
      </w:r>
      <w:proofErr w:type="gramEnd"/>
      <w:r w:rsidRPr="00965219">
        <w:rPr>
          <w:lang w:val="en-US"/>
        </w:rPr>
        <w:t xml:space="preserve"> </w:t>
      </w:r>
      <w:proofErr w:type="gramStart"/>
      <w:r w:rsidRPr="00965219">
        <w:rPr>
          <w:lang w:val="en-US"/>
        </w:rPr>
        <w:t>146,</w:t>
      </w:r>
      <w:proofErr w:type="gramEnd"/>
      <w:r w:rsidRPr="00965219">
        <w:rPr>
          <w:lang w:val="en-US"/>
        </w:rPr>
        <w:t xml:space="preserve"> and </w:t>
      </w:r>
      <w:r w:rsidRPr="00965219">
        <w:rPr>
          <w:i/>
          <w:lang w:val="en-US"/>
        </w:rPr>
        <w:t>Case of the Kuna Indigenous Community of Madungandí and the Emberá Indigenous Community of Bayano and their members, supra</w:t>
      </w:r>
      <w:r w:rsidRPr="00965219">
        <w:rPr>
          <w:lang w:val="en-US"/>
        </w:rPr>
        <w:t xml:space="preserve">, para. 143. </w:t>
      </w:r>
    </w:p>
  </w:footnote>
  <w:footnote w:id="178">
    <w:p w14:paraId="63126C9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Case of the Yakye Axa Indigenous Community, supra,</w:t>
      </w:r>
      <w:r w:rsidRPr="00965219">
        <w:rPr>
          <w:lang w:val="en-US"/>
        </w:rPr>
        <w:t xml:space="preserve"> para.</w:t>
      </w:r>
      <w:proofErr w:type="gramEnd"/>
      <w:r w:rsidRPr="00965219">
        <w:rPr>
          <w:lang w:val="en-US"/>
        </w:rPr>
        <w:t xml:space="preserve"> 146. </w:t>
      </w:r>
    </w:p>
  </w:footnote>
  <w:footnote w:id="179">
    <w:p w14:paraId="63126C9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Similarly, article 26 of the United Nations Declaration on the Rights of Indigenous Peoples recognizes the right to lands, territories and resources which they have traditionally owned, occupied or otherwise used or acquired, as well as the right to own, use, develop and control these lands; thus, States must give legal recognition and protection to these lands, respecting the customs, traditions and land tenure systems of the indigenous peoples concerned. </w:t>
      </w:r>
      <w:proofErr w:type="gramStart"/>
      <w:r w:rsidRPr="00965219">
        <w:rPr>
          <w:lang w:val="en-US"/>
        </w:rPr>
        <w:t xml:space="preserve">UN, United Nations Declaration on the Rights of Indigenous Peoples, </w:t>
      </w:r>
      <w:r w:rsidRPr="00965219">
        <w:rPr>
          <w:i/>
          <w:lang w:val="en-US"/>
        </w:rPr>
        <w:t>supra.</w:t>
      </w:r>
      <w:proofErr w:type="gramEnd"/>
    </w:p>
  </w:footnote>
  <w:footnote w:id="180">
    <w:p w14:paraId="63126C9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Mayagna (Sumo) Awas Tingni Community, supra, </w:t>
      </w:r>
      <w:r w:rsidRPr="00965219">
        <w:rPr>
          <w:lang w:val="en-US"/>
        </w:rPr>
        <w:t xml:space="preserve">para. </w:t>
      </w:r>
      <w:proofErr w:type="gramStart"/>
      <w:r w:rsidRPr="00965219">
        <w:rPr>
          <w:lang w:val="en-US"/>
        </w:rPr>
        <w:t>153,</w:t>
      </w:r>
      <w:proofErr w:type="gramEnd"/>
      <w:r w:rsidRPr="00965219">
        <w:rPr>
          <w:lang w:val="en-US"/>
        </w:rPr>
        <w:t xml:space="preserve"> and </w:t>
      </w:r>
      <w:r w:rsidRPr="00965219">
        <w:rPr>
          <w:i/>
          <w:lang w:val="en-US"/>
        </w:rPr>
        <w:t>Case of the Kuna Indigenous Community of Madungandí and the Emberá Indigenous Community of Bayano and their members, supra,</w:t>
      </w:r>
      <w:r w:rsidRPr="00965219">
        <w:rPr>
          <w:lang w:val="en-US"/>
        </w:rPr>
        <w:t xml:space="preserve"> para. 119. </w:t>
      </w:r>
    </w:p>
  </w:footnote>
  <w:footnote w:id="181">
    <w:p w14:paraId="63126C9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Garífuna Community of Punta Piedra and its members, supra,</w:t>
      </w:r>
      <w:r w:rsidRPr="00965219">
        <w:rPr>
          <w:lang w:val="en-US"/>
        </w:rPr>
        <w:t xml:space="preserve"> para. 326.</w:t>
      </w:r>
    </w:p>
  </w:footnote>
  <w:footnote w:id="182">
    <w:p w14:paraId="63126C9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Traditional use and management of the Lower Marowijne area by the Kaliña and Lokono, </w:t>
      </w:r>
      <w:r w:rsidRPr="00965219">
        <w:rPr>
          <w:i/>
          <w:lang w:val="en-US"/>
        </w:rPr>
        <w:t>supra</w:t>
      </w:r>
      <w:r w:rsidRPr="00965219">
        <w:rPr>
          <w:lang w:val="en-US"/>
        </w:rPr>
        <w:t xml:space="preserve"> (evidence file, folio 40). In addition, Grace Watamaleo indicated that her village, Wan Shi Sha, was located on the left bank of the Marowijne River, between Albina and the indigenous village of Pierr</w:t>
      </w:r>
      <w:r>
        <w:rPr>
          <w:lang w:val="en-US"/>
        </w:rPr>
        <w:t>e</w:t>
      </w:r>
      <w:r w:rsidRPr="00965219">
        <w:rPr>
          <w:lang w:val="en-US"/>
        </w:rPr>
        <w:t xml:space="preserve">kondre. </w:t>
      </w:r>
      <w:r w:rsidRPr="00965219">
        <w:rPr>
          <w:i/>
          <w:lang w:val="en-US"/>
        </w:rPr>
        <w:t>Cf.</w:t>
      </w:r>
      <w:r w:rsidRPr="00965219">
        <w:rPr>
          <w:lang w:val="en-US"/>
        </w:rPr>
        <w:t xml:space="preserve"> Affidavit made by Captain Grace Watamaleo on January 27, 2015 (merits file, folio 442). </w:t>
      </w:r>
    </w:p>
  </w:footnote>
  <w:footnote w:id="183">
    <w:p w14:paraId="63126CA0" w14:textId="4B59B20F"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r w:rsidRPr="00965219">
        <w:rPr>
          <w:lang w:val="en-US"/>
        </w:rPr>
        <w:t xml:space="preserve"> Partial list of non-indigenous persons who hold titles within the indigenous territory of the Lower Marowijne (file of annexes to the Merits Report, folio 365).</w:t>
      </w:r>
      <w:proofErr w:type="gramEnd"/>
      <w:r w:rsidRPr="00965219">
        <w:rPr>
          <w:lang w:val="en-US"/>
        </w:rPr>
        <w:t xml:space="preserve"> These persons are: (a) in Pierrekondre: 1. Mr. Ramlal; 2. Mr. Findlay; 3. Mrs. Ramdath; 4. Mr. Tjon Tjin Joe; 5. Mr. Tjon a Tjoen; 6. Mr. Tjoe a Long; 7. Mr. Hee On; 8. Mr. De Vries; 9. Mr. Quartier, and 10. Mr. </w:t>
      </w:r>
      <w:proofErr w:type="gramStart"/>
      <w:r w:rsidRPr="00965219">
        <w:rPr>
          <w:lang w:val="en-US"/>
        </w:rPr>
        <w:t>Ferreira,</w:t>
      </w:r>
      <w:proofErr w:type="gramEnd"/>
      <w:r w:rsidRPr="00965219">
        <w:rPr>
          <w:lang w:val="en-US"/>
        </w:rPr>
        <w:t xml:space="preserve"> and (b) in Marijkedorp (Wan Shi Sha): 11. </w:t>
      </w:r>
      <w:proofErr w:type="gramStart"/>
      <w:r w:rsidRPr="00965219">
        <w:rPr>
          <w:lang w:val="en-US"/>
        </w:rPr>
        <w:t>Mr. Tjon a Tjoen; 12.</w:t>
      </w:r>
      <w:proofErr w:type="gramEnd"/>
      <w:r w:rsidRPr="00965219">
        <w:rPr>
          <w:lang w:val="en-US"/>
        </w:rPr>
        <w:t xml:space="preserve"> </w:t>
      </w:r>
      <w:proofErr w:type="gramStart"/>
      <w:r w:rsidRPr="00965219">
        <w:rPr>
          <w:lang w:val="en-US"/>
        </w:rPr>
        <w:t>Mr. Tjon a Tjoen; 13.</w:t>
      </w:r>
      <w:proofErr w:type="gramEnd"/>
      <w:r w:rsidRPr="00965219">
        <w:rPr>
          <w:lang w:val="en-US"/>
        </w:rPr>
        <w:t xml:space="preserve"> </w:t>
      </w:r>
      <w:proofErr w:type="gramStart"/>
      <w:r w:rsidRPr="00965219">
        <w:rPr>
          <w:lang w:val="en-US"/>
        </w:rPr>
        <w:t>Mr. Tjanga-sin; 14.</w:t>
      </w:r>
      <w:proofErr w:type="gramEnd"/>
      <w:r w:rsidRPr="00965219">
        <w:rPr>
          <w:lang w:val="en-US"/>
        </w:rPr>
        <w:t xml:space="preserve"> </w:t>
      </w:r>
      <w:proofErr w:type="gramStart"/>
      <w:r w:rsidRPr="00965219">
        <w:rPr>
          <w:lang w:val="en-US"/>
        </w:rPr>
        <w:t>Mr. Liesdeck; 15.</w:t>
      </w:r>
      <w:proofErr w:type="gramEnd"/>
      <w:r w:rsidRPr="00965219">
        <w:rPr>
          <w:lang w:val="en-US"/>
        </w:rPr>
        <w:t xml:space="preserve"> </w:t>
      </w:r>
      <w:proofErr w:type="gramStart"/>
      <w:r w:rsidRPr="00965219">
        <w:rPr>
          <w:lang w:val="en-US"/>
        </w:rPr>
        <w:t>De Surinaamse Bank; 1</w:t>
      </w:r>
      <w:r>
        <w:rPr>
          <w:lang w:val="en-US"/>
        </w:rPr>
        <w:t>6</w:t>
      </w:r>
      <w:r w:rsidRPr="00965219">
        <w:rPr>
          <w:lang w:val="en-US"/>
        </w:rPr>
        <w:t>.</w:t>
      </w:r>
      <w:proofErr w:type="gramEnd"/>
      <w:r w:rsidRPr="00965219">
        <w:rPr>
          <w:lang w:val="en-US"/>
        </w:rPr>
        <w:t xml:space="preserve"> Mr. Tjon </w:t>
      </w:r>
      <w:proofErr w:type="gramStart"/>
      <w:r w:rsidRPr="00965219">
        <w:rPr>
          <w:lang w:val="en-US"/>
        </w:rPr>
        <w:t>Sienki,</w:t>
      </w:r>
      <w:proofErr w:type="gramEnd"/>
      <w:r w:rsidRPr="00965219">
        <w:rPr>
          <w:lang w:val="en-US"/>
        </w:rPr>
        <w:t xml:space="preserve"> and 1</w:t>
      </w:r>
      <w:r>
        <w:rPr>
          <w:lang w:val="en-US"/>
        </w:rPr>
        <w:t>7</w:t>
      </w:r>
      <w:r w:rsidRPr="00965219">
        <w:rPr>
          <w:lang w:val="en-US"/>
        </w:rPr>
        <w:t xml:space="preserve">. Mr. Dinesh Boekha. </w:t>
      </w:r>
    </w:p>
  </w:footnote>
  <w:footnote w:id="184">
    <w:p w14:paraId="63126CA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443) and Testimony of Captain Jona Gunther during the public hearing held in this case.</w:t>
      </w:r>
    </w:p>
  </w:footnote>
  <w:footnote w:id="185">
    <w:p w14:paraId="63126CA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Although the Court delegation verified the construction of the building, it was unable to verify from the evidence in the case file before the Court or from the on-site procedure, whether this construction was destined to be a hotel or a casino. </w:t>
      </w:r>
    </w:p>
  </w:footnote>
  <w:footnote w:id="186">
    <w:p w14:paraId="63126CA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444).</w:t>
      </w:r>
    </w:p>
  </w:footnote>
  <w:footnote w:id="187">
    <w:p w14:paraId="63126CA4" w14:textId="12AD8C3F"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In her affidavit, </w:t>
      </w:r>
      <w:r w:rsidRPr="007A09A8">
        <w:rPr>
          <w:lang w:val="en-US"/>
        </w:rPr>
        <w:t>alleged</w:t>
      </w:r>
      <w:r w:rsidRPr="007A09A8">
        <w:rPr>
          <w:i/>
          <w:lang w:val="en-US"/>
        </w:rPr>
        <w:t xml:space="preserve"> </w:t>
      </w:r>
      <w:r w:rsidRPr="00965219">
        <w:rPr>
          <w:lang w:val="en-US"/>
        </w:rPr>
        <w:t xml:space="preserve">victim Grace Watamaleo indicated that she wanted to be “very clear that the houses [of third parties were] in [their] villages and right next to where [the indigenous people had] their houses. [It was] like someone built a house in [their] back yard. Many of the people in [her] community look out of their windows or front doors and see </w:t>
      </w:r>
      <w:proofErr w:type="gramStart"/>
      <w:r w:rsidRPr="00965219">
        <w:rPr>
          <w:lang w:val="en-US"/>
        </w:rPr>
        <w:t>th[</w:t>
      </w:r>
      <w:proofErr w:type="gramEnd"/>
      <w:r w:rsidRPr="00965219">
        <w:rPr>
          <w:lang w:val="en-US"/>
        </w:rPr>
        <w:t xml:space="preserve">o]se houses. [They were] meters away from many of [their] houses and not in some uninhabited part of [their] lands.” Similarly, </w:t>
      </w:r>
      <w:r w:rsidRPr="007A09A8">
        <w:rPr>
          <w:lang w:val="en-US"/>
        </w:rPr>
        <w:t>alleged</w:t>
      </w:r>
      <w:r w:rsidRPr="007A09A8">
        <w:rPr>
          <w:i/>
          <w:lang w:val="en-US"/>
        </w:rPr>
        <w:t xml:space="preserve"> </w:t>
      </w:r>
      <w:r w:rsidRPr="00965219">
        <w:rPr>
          <w:lang w:val="en-US"/>
        </w:rPr>
        <w:t xml:space="preserve">victim Captain Jona Gunther testified during the public hearing that the houses of third parties had been built from five to ten meters from the indigenous homes. </w:t>
      </w:r>
      <w:r w:rsidRPr="00965219">
        <w:rPr>
          <w:i/>
          <w:lang w:val="en-US"/>
        </w:rPr>
        <w:t>Cf.</w:t>
      </w:r>
      <w:r w:rsidRPr="00965219">
        <w:rPr>
          <w:lang w:val="en-US"/>
        </w:rPr>
        <w:t xml:space="preserve"> Affidavit made by Captain Grace Watamaleo on January 27, 2015 (merits file, folio 444) and Testimony of Captain Jona Gunther during the public hearing held in this case.</w:t>
      </w:r>
    </w:p>
  </w:footnote>
  <w:footnote w:id="188">
    <w:p w14:paraId="63126CA5" w14:textId="77777777" w:rsidR="00624C98" w:rsidRPr="00965219" w:rsidRDefault="00624C98" w:rsidP="00145D1D">
      <w:pPr>
        <w:tabs>
          <w:tab w:val="left" w:pos="567"/>
        </w:tabs>
        <w:spacing w:after="80"/>
        <w:jc w:val="both"/>
        <w:rPr>
          <w:rFonts w:ascii="Verdana" w:eastAsiaTheme="minorEastAsi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 xml:space="preserve">Cf. </w:t>
      </w:r>
      <w:r w:rsidRPr="00965219">
        <w:rPr>
          <w:rFonts w:ascii="Verdana" w:eastAsiaTheme="minorEastAsia" w:hAnsi="Verdana"/>
          <w:i/>
          <w:sz w:val="16"/>
          <w:szCs w:val="16"/>
          <w:lang w:val="en-US"/>
        </w:rPr>
        <w:t xml:space="preserve">Case of the Sawhoyamaxa Indigenous Community, supra, </w:t>
      </w:r>
      <w:r w:rsidRPr="00965219">
        <w:rPr>
          <w:rFonts w:ascii="Verdana" w:eastAsiaTheme="minorEastAsia" w:hAnsi="Verdana"/>
          <w:sz w:val="16"/>
          <w:szCs w:val="16"/>
          <w:lang w:val="en-US"/>
        </w:rPr>
        <w:t xml:space="preserve">para. </w:t>
      </w:r>
      <w:proofErr w:type="gramStart"/>
      <w:r w:rsidRPr="00965219">
        <w:rPr>
          <w:rFonts w:ascii="Verdana" w:eastAsiaTheme="minorEastAsia" w:hAnsi="Verdana"/>
          <w:sz w:val="16"/>
          <w:szCs w:val="16"/>
          <w:lang w:val="en-US"/>
        </w:rPr>
        <w:t>128,</w:t>
      </w:r>
      <w:proofErr w:type="gramEnd"/>
      <w:r w:rsidRPr="00965219">
        <w:rPr>
          <w:rFonts w:ascii="Verdana" w:eastAsiaTheme="minorEastAsia" w:hAnsi="Verdana"/>
          <w:i/>
          <w:sz w:val="16"/>
          <w:szCs w:val="16"/>
          <w:lang w:val="en-US"/>
        </w:rPr>
        <w:t xml:space="preserve"> and Case of the Garífuna Community of Punta Piedra and its members, supra,</w:t>
      </w:r>
      <w:r w:rsidRPr="00965219">
        <w:rPr>
          <w:rFonts w:ascii="Verdana" w:eastAsiaTheme="minorEastAsia" w:hAnsi="Verdana"/>
          <w:sz w:val="16"/>
          <w:szCs w:val="16"/>
          <w:lang w:val="en-US"/>
        </w:rPr>
        <w:t xml:space="preserve"> para. 173.</w:t>
      </w:r>
    </w:p>
  </w:footnote>
  <w:footnote w:id="189">
    <w:p w14:paraId="63126CA6" w14:textId="77777777" w:rsidR="00624C98" w:rsidRPr="00965219" w:rsidRDefault="00624C98" w:rsidP="00145D1D">
      <w:pPr>
        <w:pStyle w:val="FootnoteText"/>
        <w:spacing w:after="80"/>
        <w:rPr>
          <w:color w:val="000000"/>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Moiwana Community, supra, </w:t>
      </w:r>
      <w:r w:rsidRPr="00965219">
        <w:rPr>
          <w:lang w:val="en-US"/>
        </w:rPr>
        <w:t>para. 131 and 133;</w:t>
      </w:r>
      <w:r w:rsidRPr="00965219">
        <w:rPr>
          <w:i/>
          <w:lang w:val="en-US"/>
        </w:rPr>
        <w:t xml:space="preserve"> </w:t>
      </w:r>
      <w:r w:rsidRPr="00965219">
        <w:rPr>
          <w:i/>
          <w:color w:val="000000"/>
          <w:lang w:val="en-US"/>
        </w:rPr>
        <w:t xml:space="preserve">Case of the Yakye Axa Indigenous Community, </w:t>
      </w:r>
      <w:r w:rsidRPr="00965219">
        <w:rPr>
          <w:i/>
          <w:lang w:val="en-US"/>
        </w:rPr>
        <w:t>supra</w:t>
      </w:r>
      <w:r w:rsidRPr="00965219">
        <w:rPr>
          <w:i/>
          <w:color w:val="000000"/>
          <w:lang w:val="en-US"/>
        </w:rPr>
        <w:t xml:space="preserve">, </w:t>
      </w:r>
      <w:r w:rsidRPr="00965219">
        <w:rPr>
          <w:color w:val="000000"/>
          <w:lang w:val="en-US"/>
        </w:rPr>
        <w:t>paras. 131, 135, 137 and 154;</w:t>
      </w:r>
      <w:r w:rsidRPr="00965219">
        <w:rPr>
          <w:i/>
          <w:color w:val="000000"/>
          <w:lang w:val="en-US"/>
        </w:rPr>
        <w:t xml:space="preserve"> </w:t>
      </w:r>
      <w:r w:rsidRPr="00965219">
        <w:rPr>
          <w:i/>
          <w:lang w:val="en-US"/>
        </w:rPr>
        <w:t xml:space="preserve">Case of the Sawhoyamaxa Indigenous Community, supra, </w:t>
      </w:r>
      <w:r w:rsidRPr="00965219">
        <w:rPr>
          <w:lang w:val="en-US"/>
        </w:rPr>
        <w:t xml:space="preserve">paras. </w:t>
      </w:r>
      <w:proofErr w:type="gramStart"/>
      <w:r w:rsidRPr="00965219">
        <w:rPr>
          <w:lang w:val="en-US"/>
        </w:rPr>
        <w:t>127, 130 and 131, and</w:t>
      </w:r>
      <w:r w:rsidRPr="00965219">
        <w:rPr>
          <w:i/>
          <w:lang w:val="en-US"/>
        </w:rPr>
        <w:t xml:space="preserve"> Case of the Xákmok Kásek Indigenous Community, supra,</w:t>
      </w:r>
      <w:r w:rsidRPr="00965219">
        <w:rPr>
          <w:lang w:val="en-US"/>
        </w:rPr>
        <w:t xml:space="preserve"> para.</w:t>
      </w:r>
      <w:proofErr w:type="gramEnd"/>
      <w:r w:rsidRPr="00965219">
        <w:rPr>
          <w:lang w:val="en-US"/>
        </w:rPr>
        <w:t xml:space="preserve"> 112. </w:t>
      </w:r>
    </w:p>
  </w:footnote>
  <w:footnote w:id="190">
    <w:p w14:paraId="63126CA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ab/>
      </w:r>
      <w:r w:rsidRPr="00C465BB">
        <w:rPr>
          <w:i/>
          <w:lang w:val="en-US"/>
        </w:rPr>
        <w:t>Cf</w:t>
      </w:r>
      <w:r w:rsidRPr="00965219">
        <w:rPr>
          <w:lang w:val="en-US"/>
        </w:rPr>
        <w:t xml:space="preserve">. </w:t>
      </w:r>
      <w:r w:rsidRPr="00965219">
        <w:rPr>
          <w:i/>
          <w:lang w:val="en-US"/>
        </w:rPr>
        <w:t xml:space="preserve">Case of the Yakye Axa Indigenous Community, supra, </w:t>
      </w:r>
      <w:r w:rsidRPr="00965219">
        <w:rPr>
          <w:lang w:val="en-US"/>
        </w:rPr>
        <w:t xml:space="preserve">para. </w:t>
      </w:r>
      <w:proofErr w:type="gramStart"/>
      <w:r w:rsidRPr="00965219">
        <w:rPr>
          <w:lang w:val="en-US"/>
        </w:rPr>
        <w:t>154,</w:t>
      </w:r>
      <w:proofErr w:type="gramEnd"/>
      <w:r w:rsidRPr="00965219">
        <w:rPr>
          <w:lang w:val="en-US"/>
        </w:rPr>
        <w:t xml:space="preserve"> and</w:t>
      </w:r>
      <w:r w:rsidRPr="00965219">
        <w:rPr>
          <w:i/>
          <w:lang w:val="en-US"/>
        </w:rPr>
        <w:t xml:space="preserve"> Case of the Sarayaku Indigenous People, supra</w:t>
      </w:r>
      <w:r w:rsidRPr="00965219">
        <w:rPr>
          <w:lang w:val="en-US"/>
        </w:rPr>
        <w:t xml:space="preserve">, para. 148. </w:t>
      </w:r>
    </w:p>
  </w:footnote>
  <w:footnote w:id="191">
    <w:p w14:paraId="63126CA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ab/>
      </w:r>
      <w:r w:rsidRPr="00C465BB">
        <w:rPr>
          <w:i/>
          <w:lang w:val="en-US"/>
        </w:rPr>
        <w:t>Cf</w:t>
      </w:r>
      <w:r w:rsidRPr="00965219">
        <w:rPr>
          <w:lang w:val="en-US"/>
        </w:rPr>
        <w:t xml:space="preserve">. </w:t>
      </w:r>
      <w:r w:rsidRPr="00965219">
        <w:rPr>
          <w:i/>
          <w:lang w:val="en-US"/>
        </w:rPr>
        <w:t xml:space="preserve">Case of the Sawhoyamaxa Indigenous Community, supra, </w:t>
      </w:r>
      <w:r w:rsidRPr="00965219">
        <w:rPr>
          <w:lang w:val="en-US"/>
        </w:rPr>
        <w:t xml:space="preserve">para. </w:t>
      </w:r>
      <w:proofErr w:type="gramStart"/>
      <w:r w:rsidRPr="00965219">
        <w:rPr>
          <w:lang w:val="en-US"/>
        </w:rPr>
        <w:t>132,</w:t>
      </w:r>
      <w:proofErr w:type="gramEnd"/>
      <w:r w:rsidRPr="00965219">
        <w:rPr>
          <w:lang w:val="en-US"/>
        </w:rPr>
        <w:t xml:space="preserve"> and</w:t>
      </w:r>
      <w:r w:rsidRPr="00965219">
        <w:rPr>
          <w:i/>
          <w:lang w:val="en-US"/>
        </w:rPr>
        <w:t xml:space="preserve"> Case of the Sarayaku Indigenous People, supra, </w:t>
      </w:r>
      <w:r w:rsidRPr="00965219">
        <w:rPr>
          <w:color w:val="000000"/>
          <w:lang w:val="en-US"/>
        </w:rPr>
        <w:t>para.</w:t>
      </w:r>
      <w:r w:rsidRPr="00965219">
        <w:rPr>
          <w:lang w:val="en-US"/>
        </w:rPr>
        <w:t xml:space="preserve"> 148.</w:t>
      </w:r>
    </w:p>
  </w:footnote>
  <w:footnote w:id="192">
    <w:p w14:paraId="63126CA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444).</w:t>
      </w:r>
    </w:p>
  </w:footnote>
  <w:footnote w:id="193">
    <w:p w14:paraId="63126CA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These include: (a) petitions to the Independence Commission in 1972; (b) the filing of three claims before domestic courts in 1975 and 1976; (c) the 142-kilometer march to Paramaribo to protest against the subdivision project; (d) claims owing to the existence of private properties and concessions in cases such as </w:t>
      </w:r>
      <w:r w:rsidRPr="00965219">
        <w:rPr>
          <w:i/>
          <w:lang w:val="en-US"/>
        </w:rPr>
        <w:t>Tjang A Sjin v. Zaalman</w:t>
      </w:r>
      <w:r w:rsidRPr="00965219">
        <w:rPr>
          <w:lang w:val="en-US"/>
        </w:rPr>
        <w:t xml:space="preserve"> </w:t>
      </w:r>
      <w:r w:rsidRPr="00965219">
        <w:rPr>
          <w:i/>
          <w:lang w:val="en-US"/>
        </w:rPr>
        <w:t>and Others</w:t>
      </w:r>
      <w:r w:rsidRPr="00965219">
        <w:rPr>
          <w:lang w:val="en-US"/>
        </w:rPr>
        <w:t xml:space="preserve"> and</w:t>
      </w:r>
      <w:r w:rsidRPr="00965219">
        <w:rPr>
          <w:i/>
          <w:lang w:val="en-US"/>
        </w:rPr>
        <w:t xml:space="preserve"> </w:t>
      </w:r>
      <w:r w:rsidRPr="00965219">
        <w:rPr>
          <w:i/>
          <w:snapToGrid w:val="0"/>
          <w:lang w:val="en-US"/>
        </w:rPr>
        <w:t xml:space="preserve">Celientje Martina Joeroeja-Koewie and Others v. Suriname </w:t>
      </w:r>
      <w:r w:rsidRPr="00965219">
        <w:rPr>
          <w:i/>
          <w:lang w:val="en-US"/>
        </w:rPr>
        <w:t>&amp; Suriname Stone &amp; Industries N.V</w:t>
      </w:r>
      <w:r w:rsidRPr="00965219">
        <w:rPr>
          <w:i/>
          <w:snapToGrid w:val="0"/>
          <w:lang w:val="en-US"/>
        </w:rPr>
        <w:t>.; (</w:t>
      </w:r>
      <w:r w:rsidRPr="00965219">
        <w:rPr>
          <w:snapToGrid w:val="0"/>
          <w:lang w:val="en-US"/>
        </w:rPr>
        <w:t>e) formal petitions submitted to the President of Suriname on three occasions (2003, 2004 and 2005) based on article 22 of the Constitution (right of petition) to obtain recognition of their territory; (f) meetings with senior authorities in 2003, and (g) petitions filed by CLIM on behalf of the peoples, and by the captains of the eight peoples of the Lower Marowijne on four occasions (2004, 2006, 2007, 2013) requesting the suspension of the issue of titles in the area of Tuinstad Albina or any other activity that would affect their territory, as well as contesting the construction of a house, a filling station, a shopping mall, and a casino.</w:t>
      </w:r>
    </w:p>
  </w:footnote>
  <w:footnote w:id="194">
    <w:p w14:paraId="63126CAB"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cs="Arial"/>
          <w:i/>
          <w:sz w:val="16"/>
          <w:szCs w:val="16"/>
          <w:lang w:val="en-US"/>
        </w:rPr>
        <w:t>Cf.</w:t>
      </w:r>
      <w:r w:rsidRPr="00965219">
        <w:rPr>
          <w:rFonts w:ascii="Verdana" w:hAnsi="Verdana" w:cs="Arial"/>
          <w:sz w:val="16"/>
          <w:szCs w:val="16"/>
          <w:lang w:val="en-US"/>
        </w:rPr>
        <w:t xml:space="preserve"> </w:t>
      </w:r>
      <w:r w:rsidRPr="00965219">
        <w:rPr>
          <w:rFonts w:ascii="Verdana" w:hAnsi="Verdana" w:cs="Arial"/>
          <w:bCs/>
          <w:i/>
          <w:sz w:val="16"/>
          <w:szCs w:val="16"/>
          <w:lang w:val="en-US"/>
        </w:rPr>
        <w:t xml:space="preserve">Case of the Mayagna (Sumo) Awas Tingni Community, supra, </w:t>
      </w:r>
      <w:r w:rsidRPr="00965219">
        <w:rPr>
          <w:rFonts w:ascii="Verdana" w:hAnsi="Verdana" w:cs="Arial"/>
          <w:bCs/>
          <w:sz w:val="16"/>
          <w:szCs w:val="16"/>
          <w:lang w:val="en-US"/>
        </w:rPr>
        <w:t xml:space="preserve">para. </w:t>
      </w:r>
      <w:proofErr w:type="gramStart"/>
      <w:r w:rsidRPr="00965219">
        <w:rPr>
          <w:rFonts w:ascii="Verdana" w:hAnsi="Verdana" w:cs="Arial"/>
          <w:bCs/>
          <w:sz w:val="16"/>
          <w:szCs w:val="16"/>
          <w:lang w:val="en-US"/>
        </w:rPr>
        <w:t>153</w:t>
      </w:r>
      <w:r w:rsidRPr="00965219">
        <w:rPr>
          <w:rFonts w:ascii="Verdana" w:hAnsi="Verdana"/>
          <w:sz w:val="16"/>
          <w:szCs w:val="16"/>
          <w:lang w:val="en-US"/>
        </w:rPr>
        <w:t>,</w:t>
      </w:r>
      <w:proofErr w:type="gramEnd"/>
      <w:r w:rsidRPr="00965219">
        <w:rPr>
          <w:rFonts w:ascii="Verdana" w:hAnsi="Verdana"/>
          <w:sz w:val="16"/>
          <w:szCs w:val="16"/>
          <w:lang w:val="en-US"/>
        </w:rPr>
        <w:t xml:space="preserve"> and </w:t>
      </w:r>
      <w:r w:rsidRPr="00965219">
        <w:rPr>
          <w:rFonts w:ascii="Verdana" w:hAnsi="Verdana"/>
          <w:i/>
          <w:sz w:val="16"/>
          <w:szCs w:val="16"/>
          <w:lang w:val="en-US"/>
        </w:rPr>
        <w:t>Case of the Garífuna Community of Punta Piedra and its members, supra,</w:t>
      </w:r>
      <w:r w:rsidRPr="00965219">
        <w:rPr>
          <w:rFonts w:ascii="Verdana" w:hAnsi="Verdana"/>
          <w:sz w:val="16"/>
          <w:szCs w:val="16"/>
          <w:lang w:val="en-US"/>
        </w:rPr>
        <w:t xml:space="preserve"> para. 233. </w:t>
      </w:r>
    </w:p>
  </w:footnote>
  <w:footnote w:id="195">
    <w:p w14:paraId="63126CA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Xákmok Kásek Indigenous Community, supra,</w:t>
      </w:r>
      <w:r w:rsidRPr="00965219">
        <w:rPr>
          <w:lang w:val="en-US"/>
        </w:rPr>
        <w:t xml:space="preserve"> paras. </w:t>
      </w:r>
      <w:proofErr w:type="gramStart"/>
      <w:r w:rsidRPr="00965219">
        <w:rPr>
          <w:lang w:val="en-US"/>
        </w:rPr>
        <w:t>115 and 116.</w:t>
      </w:r>
      <w:proofErr w:type="gramEnd"/>
    </w:p>
  </w:footnote>
  <w:footnote w:id="196">
    <w:p w14:paraId="63126CAD" w14:textId="5AD09A32"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Yakye Axa Indigenous Community</w:t>
      </w:r>
      <w:r w:rsidRPr="00965219">
        <w:rPr>
          <w:rStyle w:val="Strong"/>
          <w:b w:val="0"/>
          <w:i/>
          <w:lang w:val="en-US"/>
        </w:rPr>
        <w:t xml:space="preserve">, supra, </w:t>
      </w:r>
      <w:r w:rsidRPr="00965219">
        <w:rPr>
          <w:lang w:val="en-US"/>
        </w:rPr>
        <w:t xml:space="preserve">para. </w:t>
      </w:r>
      <w:proofErr w:type="gramStart"/>
      <w:r w:rsidRPr="00965219">
        <w:rPr>
          <w:lang w:val="en-US"/>
        </w:rPr>
        <w:t>143,</w:t>
      </w:r>
      <w:proofErr w:type="gramEnd"/>
      <w:r w:rsidRPr="00965219">
        <w:rPr>
          <w:lang w:val="en-US"/>
        </w:rPr>
        <w:t xml:space="preserve"> and </w:t>
      </w:r>
      <w:r w:rsidRPr="00965219">
        <w:rPr>
          <w:i/>
          <w:lang w:val="en-US"/>
        </w:rPr>
        <w:t>Case of the Saramaka People, supra,</w:t>
      </w:r>
      <w:r w:rsidRPr="00965219">
        <w:rPr>
          <w:lang w:val="en-US"/>
        </w:rPr>
        <w:t xml:space="preserve"> para. </w:t>
      </w:r>
      <w:r>
        <w:rPr>
          <w:lang w:val="en-US"/>
        </w:rPr>
        <w:t>89.</w:t>
      </w:r>
    </w:p>
  </w:footnote>
  <w:footnote w:id="197">
    <w:p w14:paraId="63126CAE" w14:textId="46F6E264" w:rsidR="00624C98" w:rsidRPr="00965219" w:rsidRDefault="00624C98" w:rsidP="00145D1D">
      <w:pPr>
        <w:pStyle w:val="Default"/>
        <w:tabs>
          <w:tab w:val="left" w:pos="567"/>
        </w:tabs>
        <w:spacing w:after="80"/>
        <w:jc w:val="both"/>
        <w:rPr>
          <w:rFonts w:ascii="Verdana" w:hAnsi="Verdana"/>
          <w:sz w:val="16"/>
          <w:szCs w:val="16"/>
        </w:rPr>
      </w:pPr>
      <w:r w:rsidRPr="00965219">
        <w:rPr>
          <w:rStyle w:val="FootnoteReference"/>
          <w:sz w:val="16"/>
          <w:szCs w:val="16"/>
        </w:rPr>
        <w:footnoteRef/>
      </w:r>
      <w:r w:rsidRPr="00965219">
        <w:rPr>
          <w:rFonts w:ascii="Verdana" w:hAnsi="Verdana"/>
          <w:sz w:val="16"/>
          <w:szCs w:val="16"/>
        </w:rPr>
        <w:t xml:space="preserve"> </w:t>
      </w:r>
      <w:r w:rsidRPr="00965219">
        <w:rPr>
          <w:rFonts w:ascii="Verdana" w:hAnsi="Verdana"/>
          <w:sz w:val="16"/>
          <w:szCs w:val="16"/>
        </w:rPr>
        <w:tab/>
      </w:r>
      <w:r w:rsidRPr="00965219">
        <w:rPr>
          <w:rFonts w:ascii="Verdana" w:hAnsi="Verdana"/>
          <w:i/>
          <w:sz w:val="16"/>
          <w:szCs w:val="16"/>
        </w:rPr>
        <w:t>Cf.</w:t>
      </w:r>
      <w:r w:rsidRPr="00965219">
        <w:rPr>
          <w:rFonts w:ascii="Verdana" w:hAnsi="Verdana"/>
          <w:sz w:val="16"/>
          <w:szCs w:val="16"/>
        </w:rPr>
        <w:t xml:space="preserve"> </w:t>
      </w:r>
      <w:r w:rsidRPr="00965219">
        <w:rPr>
          <w:rStyle w:val="Strong"/>
          <w:rFonts w:ascii="Verdana" w:hAnsi="Verdana"/>
          <w:b w:val="0"/>
          <w:i/>
          <w:sz w:val="16"/>
          <w:szCs w:val="16"/>
        </w:rPr>
        <w:t>Case of the Yakye Axa Indigenous Community</w:t>
      </w:r>
      <w:r w:rsidRPr="00965219">
        <w:rPr>
          <w:rStyle w:val="Strong"/>
          <w:rFonts w:ascii="Verdana" w:hAnsi="Verdana"/>
          <w:b w:val="0"/>
          <w:sz w:val="16"/>
          <w:szCs w:val="16"/>
        </w:rPr>
        <w:t xml:space="preserve">, </w:t>
      </w:r>
      <w:r w:rsidRPr="00965219">
        <w:rPr>
          <w:rStyle w:val="Strong"/>
          <w:rFonts w:ascii="Verdana" w:hAnsi="Verdana"/>
          <w:b w:val="0"/>
          <w:i/>
          <w:sz w:val="16"/>
          <w:szCs w:val="16"/>
        </w:rPr>
        <w:t>supra,</w:t>
      </w:r>
      <w:r w:rsidRPr="00965219">
        <w:rPr>
          <w:rStyle w:val="Strong"/>
          <w:rFonts w:ascii="Verdana" w:hAnsi="Verdana"/>
          <w:b w:val="0"/>
          <w:sz w:val="16"/>
          <w:szCs w:val="16"/>
        </w:rPr>
        <w:t xml:space="preserve"> para. </w:t>
      </w:r>
      <w:proofErr w:type="gramStart"/>
      <w:r w:rsidRPr="00965219">
        <w:rPr>
          <w:rStyle w:val="Strong"/>
          <w:rFonts w:ascii="Verdana" w:hAnsi="Verdana"/>
          <w:b w:val="0"/>
          <w:sz w:val="16"/>
          <w:szCs w:val="16"/>
        </w:rPr>
        <w:t xml:space="preserve">144 and 146, and </w:t>
      </w:r>
      <w:r w:rsidRPr="00965219">
        <w:rPr>
          <w:rStyle w:val="Strong"/>
          <w:rFonts w:ascii="Verdana" w:hAnsi="Verdana"/>
          <w:b w:val="0"/>
          <w:i/>
          <w:sz w:val="16"/>
          <w:szCs w:val="16"/>
        </w:rPr>
        <w:t>Case of the Kichwa Indigenous People of Sarayaku,</w:t>
      </w:r>
      <w:r w:rsidRPr="00965219">
        <w:rPr>
          <w:rStyle w:val="Strong"/>
          <w:rFonts w:ascii="Verdana" w:hAnsi="Verdana"/>
          <w:b w:val="0"/>
          <w:sz w:val="16"/>
          <w:szCs w:val="16"/>
        </w:rPr>
        <w:t xml:space="preserve"> </w:t>
      </w:r>
      <w:r w:rsidRPr="00965219">
        <w:rPr>
          <w:rStyle w:val="Strong"/>
          <w:rFonts w:ascii="Verdana" w:hAnsi="Verdana"/>
          <w:b w:val="0"/>
          <w:i/>
          <w:sz w:val="16"/>
          <w:szCs w:val="16"/>
        </w:rPr>
        <w:t>supra</w:t>
      </w:r>
      <w:r w:rsidRPr="00965219">
        <w:rPr>
          <w:rStyle w:val="Strong"/>
          <w:rFonts w:ascii="Verdana" w:hAnsi="Verdana"/>
          <w:b w:val="0"/>
          <w:sz w:val="16"/>
          <w:szCs w:val="16"/>
        </w:rPr>
        <w:t>, para.</w:t>
      </w:r>
      <w:proofErr w:type="gramEnd"/>
      <w:r w:rsidRPr="00965219">
        <w:rPr>
          <w:rStyle w:val="Strong"/>
          <w:rFonts w:ascii="Verdana" w:hAnsi="Verdana"/>
          <w:b w:val="0"/>
          <w:sz w:val="16"/>
          <w:szCs w:val="16"/>
        </w:rPr>
        <w:t xml:space="preserve"> 156. Regarding the assessment of proportionality, see: </w:t>
      </w:r>
      <w:r w:rsidRPr="00965219">
        <w:rPr>
          <w:rFonts w:ascii="Verdana" w:hAnsi="Verdana"/>
          <w:i/>
          <w:iCs/>
          <w:sz w:val="16"/>
          <w:szCs w:val="16"/>
        </w:rPr>
        <w:t xml:space="preserve">Case of Kimel v. Argentina. </w:t>
      </w:r>
      <w:proofErr w:type="gramStart"/>
      <w:r w:rsidRPr="00965219">
        <w:rPr>
          <w:rFonts w:ascii="Verdana" w:hAnsi="Verdana"/>
          <w:i/>
          <w:iCs/>
          <w:sz w:val="16"/>
          <w:szCs w:val="16"/>
        </w:rPr>
        <w:t xml:space="preserve">Merits, </w:t>
      </w:r>
      <w:r w:rsidRPr="00567F37">
        <w:rPr>
          <w:rFonts w:ascii="Verdana" w:hAnsi="Verdana"/>
          <w:i/>
          <w:iCs/>
          <w:sz w:val="16"/>
          <w:szCs w:val="16"/>
        </w:rPr>
        <w:t>Reparations</w:t>
      </w:r>
      <w:r w:rsidRPr="00965219">
        <w:rPr>
          <w:rFonts w:ascii="Verdana" w:hAnsi="Verdana"/>
          <w:i/>
          <w:iCs/>
          <w:sz w:val="16"/>
          <w:szCs w:val="16"/>
        </w:rPr>
        <w:t xml:space="preserve"> and </w:t>
      </w:r>
      <w:r w:rsidRPr="00567F37">
        <w:rPr>
          <w:rFonts w:ascii="Verdana" w:hAnsi="Verdana"/>
          <w:i/>
          <w:iCs/>
          <w:sz w:val="16"/>
          <w:szCs w:val="16"/>
        </w:rPr>
        <w:t>Costs</w:t>
      </w:r>
      <w:r w:rsidRPr="00965219">
        <w:rPr>
          <w:rFonts w:ascii="Verdana" w:hAnsi="Verdana"/>
          <w:i/>
          <w:iCs/>
          <w:sz w:val="16"/>
          <w:szCs w:val="16"/>
        </w:rPr>
        <w:t>.</w:t>
      </w:r>
      <w:proofErr w:type="gramEnd"/>
      <w:r w:rsidRPr="00965219">
        <w:rPr>
          <w:rFonts w:ascii="Verdana" w:hAnsi="Verdana"/>
          <w:i/>
          <w:iCs/>
          <w:sz w:val="16"/>
          <w:szCs w:val="16"/>
        </w:rPr>
        <w:t xml:space="preserve"> </w:t>
      </w:r>
      <w:r w:rsidRPr="00965219">
        <w:rPr>
          <w:rFonts w:ascii="Verdana" w:hAnsi="Verdana"/>
          <w:sz w:val="16"/>
          <w:szCs w:val="16"/>
        </w:rPr>
        <w:t xml:space="preserve">Judgment of May 2, 2008. Series C No. 177, para. </w:t>
      </w:r>
      <w:proofErr w:type="gramStart"/>
      <w:r w:rsidRPr="00965219">
        <w:rPr>
          <w:rFonts w:ascii="Verdana" w:hAnsi="Verdana"/>
          <w:sz w:val="16"/>
          <w:szCs w:val="16"/>
        </w:rPr>
        <w:t>51,</w:t>
      </w:r>
      <w:proofErr w:type="gramEnd"/>
      <w:r w:rsidRPr="00965219">
        <w:rPr>
          <w:rFonts w:ascii="Verdana" w:hAnsi="Verdana"/>
          <w:sz w:val="16"/>
          <w:szCs w:val="16"/>
        </w:rPr>
        <w:t xml:space="preserve"> and Case of</w:t>
      </w:r>
      <w:r w:rsidRPr="00965219">
        <w:rPr>
          <w:rStyle w:val="Strong"/>
          <w:rFonts w:ascii="Verdana" w:hAnsi="Verdana"/>
          <w:b w:val="0"/>
          <w:i/>
          <w:sz w:val="16"/>
          <w:szCs w:val="16"/>
        </w:rPr>
        <w:t xml:space="preserve"> Mémoli v. Argentina. </w:t>
      </w:r>
      <w:proofErr w:type="gramStart"/>
      <w:r w:rsidRPr="00567F37">
        <w:rPr>
          <w:rStyle w:val="Strong"/>
          <w:rFonts w:ascii="Verdana" w:hAnsi="Verdana"/>
          <w:b w:val="0"/>
          <w:i/>
          <w:sz w:val="16"/>
          <w:szCs w:val="16"/>
        </w:rPr>
        <w:t>Preliminary Objections</w:t>
      </w:r>
      <w:r w:rsidRPr="00965219">
        <w:rPr>
          <w:rStyle w:val="Strong"/>
          <w:rFonts w:ascii="Verdana" w:hAnsi="Verdana"/>
          <w:b w:val="0"/>
          <w:i/>
          <w:sz w:val="16"/>
          <w:szCs w:val="16"/>
        </w:rPr>
        <w:t xml:space="preserve">, </w:t>
      </w:r>
      <w:r>
        <w:rPr>
          <w:rStyle w:val="Strong"/>
          <w:rFonts w:ascii="Verdana" w:hAnsi="Verdana"/>
          <w:b w:val="0"/>
          <w:i/>
          <w:sz w:val="16"/>
          <w:szCs w:val="16"/>
        </w:rPr>
        <w:t>Merits,</w:t>
      </w:r>
      <w:r w:rsidRPr="00965219">
        <w:rPr>
          <w:rStyle w:val="Strong"/>
          <w:rFonts w:ascii="Verdana" w:hAnsi="Verdana"/>
          <w:b w:val="0"/>
          <w:i/>
          <w:sz w:val="16"/>
          <w:szCs w:val="16"/>
        </w:rPr>
        <w:t xml:space="preserve"> </w:t>
      </w:r>
      <w:r w:rsidRPr="00567F37">
        <w:rPr>
          <w:rStyle w:val="Strong"/>
          <w:rFonts w:ascii="Verdana" w:hAnsi="Verdana"/>
          <w:b w:val="0"/>
          <w:i/>
          <w:sz w:val="16"/>
          <w:szCs w:val="16"/>
        </w:rPr>
        <w:t>Reparations</w:t>
      </w:r>
      <w:r w:rsidRPr="00965219">
        <w:rPr>
          <w:rStyle w:val="Strong"/>
          <w:rFonts w:ascii="Verdana" w:hAnsi="Verdana"/>
          <w:b w:val="0"/>
          <w:i/>
          <w:sz w:val="16"/>
          <w:szCs w:val="16"/>
        </w:rPr>
        <w:t xml:space="preserve"> and </w:t>
      </w:r>
      <w:r w:rsidRPr="00567F37">
        <w:rPr>
          <w:rStyle w:val="Strong"/>
          <w:rFonts w:ascii="Verdana" w:hAnsi="Verdana"/>
          <w:b w:val="0"/>
          <w:i/>
          <w:sz w:val="16"/>
          <w:szCs w:val="16"/>
        </w:rPr>
        <w:t>Costs</w:t>
      </w:r>
      <w:r w:rsidRPr="00965219">
        <w:rPr>
          <w:rStyle w:val="Strong"/>
          <w:rFonts w:ascii="Verdana" w:hAnsi="Verdana"/>
          <w:b w:val="0"/>
          <w:sz w:val="16"/>
          <w:szCs w:val="16"/>
        </w:rPr>
        <w:t>.</w:t>
      </w:r>
      <w:proofErr w:type="gramEnd"/>
      <w:r w:rsidRPr="00965219">
        <w:rPr>
          <w:rStyle w:val="Strong"/>
          <w:rFonts w:ascii="Verdana" w:hAnsi="Verdana"/>
          <w:b w:val="0"/>
          <w:sz w:val="16"/>
          <w:szCs w:val="16"/>
        </w:rPr>
        <w:t xml:space="preserve"> Judgment of August 22, 2013. Series C No. 265, para. </w:t>
      </w:r>
      <w:proofErr w:type="gramStart"/>
      <w:r w:rsidRPr="00965219">
        <w:rPr>
          <w:rStyle w:val="Strong"/>
          <w:rFonts w:ascii="Verdana" w:hAnsi="Verdana"/>
          <w:b w:val="0"/>
          <w:sz w:val="16"/>
          <w:szCs w:val="16"/>
        </w:rPr>
        <w:t xml:space="preserve">127 and </w:t>
      </w:r>
      <w:r w:rsidRPr="00965219">
        <w:rPr>
          <w:rStyle w:val="Strong"/>
          <w:rFonts w:ascii="Verdana" w:hAnsi="Verdana"/>
          <w:b w:val="0"/>
          <w:i/>
          <w:sz w:val="16"/>
          <w:szCs w:val="16"/>
        </w:rPr>
        <w:t>ff</w:t>
      </w:r>
      <w:r w:rsidRPr="00965219">
        <w:rPr>
          <w:rFonts w:ascii="Verdana" w:hAnsi="Verdana"/>
          <w:sz w:val="16"/>
          <w:szCs w:val="16"/>
        </w:rPr>
        <w:t>.</w:t>
      </w:r>
      <w:proofErr w:type="gramEnd"/>
      <w:r w:rsidRPr="00965219">
        <w:rPr>
          <w:rFonts w:ascii="Verdana" w:hAnsi="Verdana"/>
          <w:sz w:val="16"/>
          <w:szCs w:val="16"/>
        </w:rPr>
        <w:t xml:space="preserve"> </w:t>
      </w:r>
    </w:p>
  </w:footnote>
  <w:footnote w:id="198">
    <w:p w14:paraId="63126CA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Yakye Axa Indigenous Community, supra,</w:t>
      </w:r>
      <w:r w:rsidRPr="00965219">
        <w:rPr>
          <w:lang w:val="en-US"/>
        </w:rPr>
        <w:t xml:space="preserve"> paras. </w:t>
      </w:r>
      <w:proofErr w:type="gramStart"/>
      <w:r w:rsidRPr="00965219">
        <w:rPr>
          <w:lang w:val="en-US"/>
        </w:rPr>
        <w:t xml:space="preserve">144 and 145, and </w:t>
      </w:r>
      <w:r w:rsidRPr="00965219">
        <w:rPr>
          <w:rStyle w:val="Strong"/>
          <w:b w:val="0"/>
          <w:i/>
          <w:lang w:val="en-US"/>
        </w:rPr>
        <w:t>Case of the Kichwa Indigenous People of Sarayaku, supra,</w:t>
      </w:r>
      <w:r w:rsidRPr="00965219">
        <w:rPr>
          <w:lang w:val="en-US"/>
        </w:rPr>
        <w:t xml:space="preserve"> para.</w:t>
      </w:r>
      <w:proofErr w:type="gramEnd"/>
      <w:r w:rsidRPr="00965219">
        <w:rPr>
          <w:lang w:val="en-US"/>
        </w:rPr>
        <w:t xml:space="preserve"> 156.</w:t>
      </w:r>
    </w:p>
  </w:footnote>
  <w:footnote w:id="199">
    <w:p w14:paraId="63126CB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paras. 146 to </w:t>
      </w:r>
      <w:proofErr w:type="gramStart"/>
      <w:r w:rsidRPr="00965219">
        <w:rPr>
          <w:lang w:val="en-US"/>
        </w:rPr>
        <w:t>148,</w:t>
      </w:r>
      <w:proofErr w:type="gramEnd"/>
      <w:r w:rsidRPr="00965219">
        <w:rPr>
          <w:lang w:val="en-US"/>
        </w:rPr>
        <w:t xml:space="preserve"> and </w:t>
      </w:r>
      <w:r w:rsidRPr="00965219">
        <w:rPr>
          <w:i/>
          <w:lang w:val="en-US"/>
        </w:rPr>
        <w:t>Case of the Kichwa Indigenous People of Sarayaku</w:t>
      </w:r>
      <w:r w:rsidRPr="00965219">
        <w:rPr>
          <w:lang w:val="en-US"/>
        </w:rPr>
        <w:t>,</w:t>
      </w:r>
      <w:r w:rsidRPr="00965219">
        <w:rPr>
          <w:i/>
          <w:lang w:val="en-US"/>
        </w:rPr>
        <w:t xml:space="preserve"> supra, </w:t>
      </w:r>
      <w:r w:rsidRPr="00965219">
        <w:rPr>
          <w:lang w:val="en-US"/>
        </w:rPr>
        <w:t>para. 156.</w:t>
      </w:r>
    </w:p>
  </w:footnote>
  <w:footnote w:id="200">
    <w:p w14:paraId="63126CB1" w14:textId="77777777" w:rsidR="00624C98" w:rsidRPr="00965219" w:rsidRDefault="00624C98" w:rsidP="00145D1D">
      <w:pPr>
        <w:tabs>
          <w:tab w:val="left" w:pos="567"/>
        </w:tabs>
        <w:spacing w:after="80"/>
        <w:jc w:val="both"/>
        <w:rPr>
          <w:rFonts w:ascii="Verdana" w:hAnsi="Verdana"/>
          <w:spacing w:val="-3"/>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Article 21(1) of the Convention stipulates that: “[t]</w:t>
      </w:r>
      <w:r w:rsidRPr="00965219">
        <w:rPr>
          <w:rFonts w:ascii="Verdana" w:hAnsi="Verdana"/>
          <w:spacing w:val="-3"/>
          <w:sz w:val="16"/>
          <w:szCs w:val="16"/>
          <w:lang w:val="en-US"/>
        </w:rPr>
        <w:t xml:space="preserve">he law may subordinate [the] use and enjoyment [of property] to the interest of society.” The need for legal restrictions will depend on such restrictions being designed to meet an essential public interest, and it is insufficient to prove, for example, that the law fulfills a useful or timely purpose. The proportionality is rooted in the fact that the restriction must be closely adapted to the achievement of a legitimate purpose, interfering as little as possible in the effective exercise of the restricted right. Lastly, in order to be compatible with the Convention, the restrictions must be justified by collective objectives that, owing to their importance, have a clear precedence over the need for the full enjoyment of the restricted right. </w:t>
      </w:r>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color w:val="000000"/>
          <w:sz w:val="16"/>
          <w:szCs w:val="16"/>
          <w:lang w:val="en-US"/>
        </w:rPr>
        <w:t>Case of the Yakye Axa Indigenous Community</w:t>
      </w:r>
      <w:r w:rsidRPr="00965219">
        <w:rPr>
          <w:rFonts w:ascii="Verdana" w:hAnsi="Verdana"/>
          <w:color w:val="000000"/>
          <w:sz w:val="16"/>
          <w:szCs w:val="16"/>
          <w:lang w:val="en-US"/>
        </w:rPr>
        <w:t xml:space="preserve">, </w:t>
      </w:r>
      <w:r w:rsidRPr="00965219">
        <w:rPr>
          <w:rFonts w:ascii="Verdana" w:hAnsi="Verdana"/>
          <w:i/>
          <w:color w:val="000000"/>
          <w:sz w:val="16"/>
          <w:szCs w:val="16"/>
          <w:lang w:val="en-US"/>
        </w:rPr>
        <w:t>supra</w:t>
      </w:r>
      <w:r w:rsidRPr="00965219">
        <w:rPr>
          <w:rFonts w:ascii="Verdana" w:hAnsi="Verdana"/>
          <w:color w:val="000000"/>
          <w:sz w:val="16"/>
          <w:szCs w:val="16"/>
          <w:lang w:val="en-US"/>
        </w:rPr>
        <w:t>, para.145 and</w:t>
      </w:r>
      <w:r w:rsidRPr="00965219">
        <w:rPr>
          <w:rFonts w:ascii="Verdana" w:hAnsi="Verdana"/>
          <w:i/>
          <w:color w:val="000000"/>
          <w:sz w:val="16"/>
          <w:szCs w:val="16"/>
          <w:lang w:val="en-US"/>
        </w:rPr>
        <w:t xml:space="preserve"> ff.</w:t>
      </w:r>
    </w:p>
  </w:footnote>
  <w:footnote w:id="201">
    <w:p w14:paraId="63126CB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  </w:t>
      </w:r>
      <w:r w:rsidRPr="00965219">
        <w:rPr>
          <w:i/>
          <w:lang w:val="en-US"/>
        </w:rPr>
        <w:t xml:space="preserve">Cf. Case of the Sawhoyamaxa Indigenous Community, supra, </w:t>
      </w:r>
      <w:r w:rsidRPr="00965219">
        <w:rPr>
          <w:lang w:val="en-US"/>
        </w:rPr>
        <w:t xml:space="preserve">para. </w:t>
      </w:r>
      <w:proofErr w:type="gramStart"/>
      <w:r w:rsidRPr="00965219">
        <w:rPr>
          <w:lang w:val="en-US"/>
        </w:rPr>
        <w:t>136 and</w:t>
      </w:r>
      <w:r w:rsidRPr="00965219">
        <w:rPr>
          <w:i/>
          <w:lang w:val="en-US"/>
        </w:rPr>
        <w:t xml:space="preserve"> Case of the Kuna Indigenous Community of Madungandí and the Emberá Indigenous Community of Bayano and their members, supra</w:t>
      </w:r>
      <w:r w:rsidRPr="00965219">
        <w:rPr>
          <w:lang w:val="en-US"/>
        </w:rPr>
        <w:t>, para.</w:t>
      </w:r>
      <w:proofErr w:type="gramEnd"/>
      <w:r w:rsidRPr="00965219">
        <w:rPr>
          <w:lang w:val="en-US"/>
        </w:rPr>
        <w:t xml:space="preserve"> 144.</w:t>
      </w:r>
    </w:p>
  </w:footnote>
  <w:footnote w:id="202">
    <w:p w14:paraId="63126CB3" w14:textId="77777777" w:rsidR="00624C98" w:rsidRPr="00965219" w:rsidRDefault="00624C98" w:rsidP="00145D1D">
      <w:pPr>
        <w:tabs>
          <w:tab w:val="left" w:pos="567"/>
        </w:tabs>
        <w:spacing w:after="80"/>
        <w:jc w:val="both"/>
        <w:rPr>
          <w:rFonts w:ascii="Verdana" w:eastAsia="Batang" w:hAnsi="Verdana"/>
          <w:sz w:val="16"/>
          <w:szCs w:val="16"/>
          <w:lang w:val="en-US" w:eastAsia="es-E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States must take into account that indigenous territorial rights encompass e a different and broader concept that is related to the collective right to survival as an organized people with control of their habitat as an essential condition for the reproduction of their culture, for their very survival, and to implement their life projects. The ownership of the land ensures that the members of the indigenous communities conserve their cultural heritage. </w:t>
      </w:r>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sz w:val="16"/>
          <w:szCs w:val="16"/>
          <w:lang w:val="en-US"/>
        </w:rPr>
        <w:t>Case of the Yakye Axa Indigenous Community</w:t>
      </w:r>
      <w:r w:rsidRPr="00965219">
        <w:rPr>
          <w:rFonts w:ascii="Verdana" w:hAnsi="Verdana"/>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 xml:space="preserve">, para. </w:t>
      </w:r>
      <w:proofErr w:type="gramStart"/>
      <w:r w:rsidRPr="00965219">
        <w:rPr>
          <w:rFonts w:ascii="Verdana" w:hAnsi="Verdana"/>
          <w:sz w:val="16"/>
          <w:szCs w:val="16"/>
          <w:lang w:val="en-US"/>
        </w:rPr>
        <w:t>146,</w:t>
      </w:r>
      <w:proofErr w:type="gramEnd"/>
      <w:r w:rsidRPr="00965219">
        <w:rPr>
          <w:rFonts w:ascii="Verdana" w:hAnsi="Verdana"/>
          <w:sz w:val="16"/>
          <w:szCs w:val="16"/>
          <w:lang w:val="en-US"/>
        </w:rPr>
        <w:t xml:space="preserve"> and </w:t>
      </w:r>
      <w:r w:rsidRPr="00965219">
        <w:rPr>
          <w:rFonts w:ascii="Verdana" w:eastAsia="Batang" w:hAnsi="Verdana"/>
          <w:i/>
          <w:sz w:val="16"/>
          <w:szCs w:val="16"/>
          <w:lang w:val="en-US" w:eastAsia="es-ES"/>
        </w:rPr>
        <w:t>Case of the Kichwa Indigenous People of Sarayaku</w:t>
      </w:r>
      <w:r w:rsidRPr="00965219">
        <w:rPr>
          <w:rFonts w:ascii="Verdana" w:eastAsia="Batang" w:hAnsi="Verdana"/>
          <w:sz w:val="16"/>
          <w:szCs w:val="16"/>
          <w:lang w:val="en-US" w:eastAsia="es-ES"/>
        </w:rPr>
        <w:t xml:space="preserve">, </w:t>
      </w:r>
      <w:r w:rsidRPr="00965219">
        <w:rPr>
          <w:rFonts w:ascii="Verdana" w:eastAsia="Batang" w:hAnsi="Verdana"/>
          <w:i/>
          <w:sz w:val="16"/>
          <w:szCs w:val="16"/>
          <w:lang w:val="en-US" w:eastAsia="es-ES"/>
        </w:rPr>
        <w:t>supra</w:t>
      </w:r>
      <w:r w:rsidRPr="00965219">
        <w:rPr>
          <w:rFonts w:ascii="Verdana" w:eastAsia="Batang" w:hAnsi="Verdana"/>
          <w:sz w:val="16"/>
          <w:szCs w:val="16"/>
          <w:lang w:val="en-US" w:eastAsia="es-ES"/>
        </w:rPr>
        <w:t>,</w:t>
      </w:r>
      <w:r w:rsidRPr="00965219">
        <w:rPr>
          <w:rFonts w:ascii="Verdana" w:hAnsi="Verdana"/>
          <w:sz w:val="16"/>
          <w:szCs w:val="16"/>
          <w:lang w:val="en-US"/>
        </w:rPr>
        <w:t xml:space="preserve"> </w:t>
      </w:r>
      <w:r w:rsidRPr="00965219">
        <w:rPr>
          <w:rFonts w:ascii="Verdana" w:eastAsia="Batang" w:hAnsi="Verdana"/>
          <w:sz w:val="16"/>
          <w:szCs w:val="16"/>
          <w:lang w:val="en-US" w:eastAsia="es-ES"/>
        </w:rPr>
        <w:t xml:space="preserve">paras. </w:t>
      </w:r>
      <w:proofErr w:type="gramStart"/>
      <w:r w:rsidRPr="00965219">
        <w:rPr>
          <w:rFonts w:ascii="Verdana" w:eastAsia="Batang" w:hAnsi="Verdana"/>
          <w:sz w:val="16"/>
          <w:szCs w:val="16"/>
          <w:lang w:val="en-US" w:eastAsia="es-ES"/>
        </w:rPr>
        <w:t>145 and 146.</w:t>
      </w:r>
      <w:proofErr w:type="gramEnd"/>
    </w:p>
  </w:footnote>
  <w:footnote w:id="203">
    <w:p w14:paraId="63126CB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To the contrary, the right to restitution would be meaningless without providing a real possibility of recovering the traditional lands, and would merely involve relying on the willingness of the actual owners, forcing the indigenous peoples to accept alternative lands or monetary compensation. </w:t>
      </w:r>
      <w:r w:rsidRPr="00965219">
        <w:rPr>
          <w:i/>
          <w:lang w:val="en-US"/>
        </w:rPr>
        <w:t>Cf.</w:t>
      </w:r>
      <w:r w:rsidRPr="00965219">
        <w:rPr>
          <w:lang w:val="en-US"/>
        </w:rPr>
        <w:t xml:space="preserve"> </w:t>
      </w:r>
      <w:r w:rsidRPr="00965219">
        <w:rPr>
          <w:i/>
          <w:lang w:val="en-US"/>
        </w:rPr>
        <w:t>Case of the Sawhoyamaxa Indigenous Community,</w:t>
      </w:r>
      <w:r w:rsidRPr="00965219">
        <w:rPr>
          <w:lang w:val="en-US"/>
        </w:rPr>
        <w:t xml:space="preserve"> </w:t>
      </w:r>
      <w:r w:rsidRPr="00965219">
        <w:rPr>
          <w:i/>
          <w:lang w:val="en-US"/>
        </w:rPr>
        <w:t>supra</w:t>
      </w:r>
      <w:r w:rsidRPr="00965219">
        <w:rPr>
          <w:lang w:val="en-US"/>
        </w:rPr>
        <w:t xml:space="preserve">, para. </w:t>
      </w:r>
      <w:proofErr w:type="gramStart"/>
      <w:r w:rsidRPr="00965219">
        <w:rPr>
          <w:lang w:val="en-US"/>
        </w:rPr>
        <w:t>138,</w:t>
      </w:r>
      <w:proofErr w:type="gramEnd"/>
      <w:r w:rsidRPr="00965219">
        <w:rPr>
          <w:lang w:val="en-US"/>
        </w:rPr>
        <w:t xml:space="preserve"> and </w:t>
      </w:r>
      <w:r w:rsidRPr="00965219">
        <w:rPr>
          <w:i/>
          <w:lang w:val="en-US"/>
        </w:rPr>
        <w:t>Case of the Xákmok Kásek Indigenous Community, supra,</w:t>
      </w:r>
      <w:r w:rsidRPr="00965219">
        <w:rPr>
          <w:lang w:val="en-US"/>
        </w:rPr>
        <w:t xml:space="preserve"> para. 310.</w:t>
      </w:r>
    </w:p>
  </w:footnote>
  <w:footnote w:id="204">
    <w:p w14:paraId="63126CB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 173.</w:t>
      </w:r>
    </w:p>
  </w:footnote>
  <w:footnote w:id="205">
    <w:p w14:paraId="63126CB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Yakye Axa Indigenous Community, supra,</w:t>
      </w:r>
      <w:r w:rsidRPr="00965219">
        <w:rPr>
          <w:lang w:val="en-US"/>
        </w:rPr>
        <w:t xml:space="preserve"> para. 149.</w:t>
      </w:r>
    </w:p>
  </w:footnote>
  <w:footnote w:id="206">
    <w:p w14:paraId="63126CB7" w14:textId="77777777" w:rsidR="00624C98" w:rsidRPr="00965219" w:rsidRDefault="00624C98" w:rsidP="00145D1D">
      <w:pPr>
        <w:pStyle w:val="FootnoteText"/>
        <w:spacing w:after="80"/>
        <w:rPr>
          <w:lang w:val="en-US"/>
        </w:rPr>
      </w:pPr>
      <w:r w:rsidRPr="006C4E70">
        <w:rPr>
          <w:rStyle w:val="FootnoteReference"/>
          <w:sz w:val="16"/>
          <w:lang w:val="en-US"/>
        </w:rPr>
        <w:footnoteRef/>
      </w:r>
      <w:r w:rsidRPr="00B628A8">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 </w:t>
      </w:r>
      <w:proofErr w:type="gramStart"/>
      <w:r w:rsidRPr="00965219">
        <w:rPr>
          <w:lang w:val="en-US"/>
        </w:rPr>
        <w:t>149,</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 325.</w:t>
      </w:r>
    </w:p>
  </w:footnote>
  <w:footnote w:id="207">
    <w:p w14:paraId="63126CB8" w14:textId="77777777" w:rsidR="00624C98" w:rsidRPr="00965219" w:rsidRDefault="00624C98" w:rsidP="00145D1D">
      <w:pPr>
        <w:pStyle w:val="FootnoteText"/>
        <w:spacing w:after="80"/>
        <w:rPr>
          <w:lang w:val="en-US"/>
        </w:rPr>
      </w:pPr>
      <w:r w:rsidRPr="006C4E70">
        <w:rPr>
          <w:rStyle w:val="FootnoteReference"/>
          <w:sz w:val="16"/>
          <w:lang w:val="en-US"/>
        </w:rPr>
        <w:footnoteRef/>
      </w:r>
      <w:r w:rsidRPr="00B628A8">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 </w:t>
      </w:r>
      <w:proofErr w:type="gramStart"/>
      <w:r w:rsidRPr="00965219">
        <w:rPr>
          <w:lang w:val="en-US"/>
        </w:rPr>
        <w:t>217,</w:t>
      </w:r>
      <w:proofErr w:type="gramEnd"/>
      <w:r w:rsidRPr="00965219">
        <w:rPr>
          <w:lang w:val="en-US"/>
        </w:rPr>
        <w:t xml:space="preserve"> and</w:t>
      </w:r>
      <w:r w:rsidRPr="00965219">
        <w:rPr>
          <w:i/>
          <w:lang w:val="en-US"/>
        </w:rPr>
        <w:t xml:space="preserve"> Case of the Garífuna Community of Punta Piedra and its members, supra, </w:t>
      </w:r>
      <w:r w:rsidRPr="00965219">
        <w:rPr>
          <w:lang w:val="en-US"/>
        </w:rPr>
        <w:t xml:space="preserve">para. 324. </w:t>
      </w:r>
    </w:p>
  </w:footnote>
  <w:footnote w:id="208">
    <w:p w14:paraId="63126CB9" w14:textId="77777777" w:rsidR="00624C98" w:rsidRPr="00965219" w:rsidRDefault="00624C98" w:rsidP="00145D1D">
      <w:pPr>
        <w:pStyle w:val="FootnoteText"/>
        <w:spacing w:after="80"/>
        <w:rPr>
          <w:lang w:val="en-US"/>
        </w:rPr>
      </w:pPr>
      <w:r w:rsidRPr="006C4E70">
        <w:rPr>
          <w:rStyle w:val="FootnoteReference"/>
          <w:sz w:val="16"/>
          <w:lang w:val="en-US"/>
        </w:rPr>
        <w:footnoteRef/>
      </w:r>
      <w:r w:rsidRPr="00B628A8">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 </w:t>
      </w:r>
      <w:proofErr w:type="gramStart"/>
      <w:r w:rsidRPr="00965219">
        <w:rPr>
          <w:lang w:val="en-US"/>
        </w:rPr>
        <w:t>149 and 151, and</w:t>
      </w:r>
      <w:r w:rsidRPr="00965219">
        <w:rPr>
          <w:i/>
          <w:lang w:val="en-US"/>
        </w:rPr>
        <w:t xml:space="preserve"> Case of the Garífuna Community of Punta Piedra and its members, supra,</w:t>
      </w:r>
      <w:r w:rsidRPr="00965219">
        <w:rPr>
          <w:lang w:val="en-US"/>
        </w:rPr>
        <w:t xml:space="preserve"> para.</w:t>
      </w:r>
      <w:proofErr w:type="gramEnd"/>
      <w:r w:rsidRPr="00965219">
        <w:rPr>
          <w:lang w:val="en-US"/>
        </w:rPr>
        <w:t xml:space="preserve"> 325.</w:t>
      </w:r>
    </w:p>
  </w:footnote>
  <w:footnote w:id="209">
    <w:p w14:paraId="63126CBA" w14:textId="3B61A3A1"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proofErr w:type="gramStart"/>
      <w:r w:rsidRPr="00965219">
        <w:rPr>
          <w:i/>
          <w:lang w:val="en-US"/>
        </w:rPr>
        <w:t>Case of Heliodoro Portugal v. Panama.</w:t>
      </w:r>
      <w:proofErr w:type="gramEnd"/>
      <w:r w:rsidRPr="00965219">
        <w:rPr>
          <w:i/>
          <w:lang w:val="en-US"/>
        </w:rPr>
        <w:t xml:space="preserve"> </w:t>
      </w:r>
      <w:proofErr w:type="gramStart"/>
      <w:r w:rsidRPr="00567F37">
        <w:rPr>
          <w:i/>
          <w:lang w:val="en-US"/>
        </w:rPr>
        <w:t>Preliminary Objections</w:t>
      </w:r>
      <w:r w:rsidRPr="00965219">
        <w:rPr>
          <w:i/>
          <w:lang w:val="en-US"/>
        </w:rPr>
        <w:t xml:space="preserve">, </w:t>
      </w:r>
      <w:r w:rsidRPr="00567F37">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lang w:val="en-US"/>
        </w:rPr>
        <w:t xml:space="preserve"> Judgment of August 12, 2</w:t>
      </w:r>
      <w:r>
        <w:rPr>
          <w:lang w:val="en-US"/>
        </w:rPr>
        <w:t xml:space="preserve">008. Series C No. 186, para. </w:t>
      </w:r>
      <w:proofErr w:type="gramStart"/>
      <w:r>
        <w:rPr>
          <w:lang w:val="en-US"/>
        </w:rPr>
        <w:t>27,</w:t>
      </w:r>
      <w:proofErr w:type="gramEnd"/>
      <w:r>
        <w:rPr>
          <w:lang w:val="en-US"/>
        </w:rPr>
        <w:t xml:space="preserve"> and </w:t>
      </w:r>
      <w:r w:rsidRPr="00965219">
        <w:rPr>
          <w:i/>
          <w:lang w:val="en-US"/>
        </w:rPr>
        <w:t xml:space="preserve">Case of the Kuna Indigenous Community of Madungandí and the Emberá Indigenous Community of Bayano and their members, supra, </w:t>
      </w:r>
      <w:r w:rsidRPr="00965219">
        <w:rPr>
          <w:lang w:val="en-US"/>
        </w:rPr>
        <w:t>para. 30</w:t>
      </w:r>
      <w:r>
        <w:rPr>
          <w:lang w:val="en-US"/>
        </w:rPr>
        <w:t>.</w:t>
      </w:r>
    </w:p>
  </w:footnote>
  <w:footnote w:id="210">
    <w:p w14:paraId="63126CBB" w14:textId="77777777" w:rsidR="00624C98" w:rsidRPr="00965219" w:rsidRDefault="00624C98" w:rsidP="00145D1D">
      <w:pPr>
        <w:pStyle w:val="FootnoteText"/>
        <w:spacing w:after="80"/>
        <w:rPr>
          <w:rFonts w:eastAsiaTheme="minorHAnsi" w:cs="Arial"/>
          <w:highlight w:val="yellow"/>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paras. </w:t>
      </w:r>
      <w:proofErr w:type="gramStart"/>
      <w:r w:rsidRPr="00965219">
        <w:rPr>
          <w:lang w:val="en-US"/>
        </w:rPr>
        <w:t>124, 135 and 137, and</w:t>
      </w:r>
      <w:r w:rsidRPr="00965219">
        <w:rPr>
          <w:i/>
          <w:lang w:val="en-US"/>
        </w:rPr>
        <w:t xml:space="preserve"> Case of the Garífuna Community of Punta Piedra and its members, supra,</w:t>
      </w:r>
      <w:r w:rsidRPr="00965219">
        <w:rPr>
          <w:lang w:val="en-US"/>
        </w:rPr>
        <w:t xml:space="preserve"> para.</w:t>
      </w:r>
      <w:proofErr w:type="gramEnd"/>
      <w:r w:rsidRPr="00965219">
        <w:rPr>
          <w:lang w:val="en-US"/>
        </w:rPr>
        <w:t xml:space="preserve"> 167. </w:t>
      </w:r>
    </w:p>
  </w:footnote>
  <w:footnote w:id="211">
    <w:p w14:paraId="63126CB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paras. </w:t>
      </w:r>
      <w:proofErr w:type="gramStart"/>
      <w:r w:rsidRPr="00965219">
        <w:rPr>
          <w:lang w:val="en-US"/>
        </w:rPr>
        <w:t>135 and 137, and</w:t>
      </w:r>
      <w:r w:rsidRPr="00965219">
        <w:rPr>
          <w:i/>
          <w:lang w:val="en-US"/>
        </w:rPr>
        <w:t xml:space="preserve"> Case of the Garífuna Community of Punta Piedra and its members, supra,</w:t>
      </w:r>
      <w:r w:rsidRPr="00965219">
        <w:rPr>
          <w:lang w:val="en-US"/>
        </w:rPr>
        <w:t xml:space="preserve"> paras.</w:t>
      </w:r>
      <w:proofErr w:type="gramEnd"/>
      <w:r w:rsidRPr="00965219">
        <w:rPr>
          <w:lang w:val="en-US"/>
        </w:rPr>
        <w:t xml:space="preserve"> </w:t>
      </w:r>
      <w:proofErr w:type="gramStart"/>
      <w:r w:rsidRPr="00965219">
        <w:rPr>
          <w:lang w:val="en-US"/>
        </w:rPr>
        <w:t>165 to 167 and 172.</w:t>
      </w:r>
      <w:proofErr w:type="gramEnd"/>
      <w:r w:rsidRPr="00965219">
        <w:rPr>
          <w:lang w:val="en-US"/>
        </w:rPr>
        <w:t xml:space="preserve"> </w:t>
      </w:r>
    </w:p>
  </w:footnote>
  <w:footnote w:id="212">
    <w:p w14:paraId="63126CB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Xákmok Kásek Indigenous Community, supra,</w:t>
      </w:r>
      <w:r w:rsidRPr="00965219">
        <w:rPr>
          <w:lang w:val="en-US"/>
        </w:rPr>
        <w:t xml:space="preserve"> para. 313.</w:t>
      </w:r>
    </w:p>
  </w:footnote>
  <w:footnote w:id="213">
    <w:p w14:paraId="63126CBE" w14:textId="47480DD1" w:rsidR="00624C98" w:rsidRPr="00965219" w:rsidRDefault="00624C98" w:rsidP="0092147A">
      <w:pPr>
        <w:pStyle w:val="FootnoteText"/>
        <w:spacing w:after="80"/>
        <w:rPr>
          <w:lang w:val="en-US"/>
        </w:rPr>
      </w:pPr>
      <w:r w:rsidRPr="00965219">
        <w:rPr>
          <w:rStyle w:val="FootnoteReference"/>
          <w:sz w:val="16"/>
          <w:lang w:val="en-US"/>
        </w:rPr>
        <w:footnoteRef/>
      </w:r>
      <w:r w:rsidRPr="003F5369">
        <w:rPr>
          <w:lang w:val="es-CR"/>
        </w:rPr>
        <w:t xml:space="preserve"> </w:t>
      </w:r>
      <w:r w:rsidRPr="003F5369">
        <w:rPr>
          <w:lang w:val="es-CR"/>
        </w:rPr>
        <w:tab/>
      </w:r>
      <w:r w:rsidRPr="003F5369">
        <w:rPr>
          <w:i/>
          <w:lang w:val="es-CR"/>
        </w:rPr>
        <w:t xml:space="preserve">Cf. Case of Salvador Chiriboga v. Ecuador. </w:t>
      </w:r>
      <w:proofErr w:type="gramStart"/>
      <w:r w:rsidRPr="00965219">
        <w:rPr>
          <w:i/>
          <w:lang w:val="en-US"/>
        </w:rPr>
        <w:t xml:space="preserve">Preliminary </w:t>
      </w:r>
      <w:r>
        <w:rPr>
          <w:i/>
          <w:lang w:val="en-US"/>
        </w:rPr>
        <w:t>O</w:t>
      </w:r>
      <w:r w:rsidRPr="00965219">
        <w:rPr>
          <w:i/>
          <w:lang w:val="en-US"/>
        </w:rPr>
        <w:t xml:space="preserve">bjection and </w:t>
      </w:r>
      <w:r>
        <w:rPr>
          <w:i/>
          <w:lang w:val="en-US"/>
        </w:rPr>
        <w:t>M</w:t>
      </w:r>
      <w:r w:rsidRPr="00965219">
        <w:rPr>
          <w:i/>
          <w:lang w:val="en-US"/>
        </w:rPr>
        <w:t>erits.</w:t>
      </w:r>
      <w:proofErr w:type="gramEnd"/>
      <w:r w:rsidRPr="00965219">
        <w:rPr>
          <w:lang w:val="en-US"/>
        </w:rPr>
        <w:t xml:space="preserve"> Judgment of May 6, 2008. Series C No. 179, para. 76 </w:t>
      </w:r>
    </w:p>
  </w:footnote>
  <w:footnote w:id="214">
    <w:p w14:paraId="63126CBF" w14:textId="77777777" w:rsidR="00624C98" w:rsidRPr="00965219" w:rsidRDefault="00624C98" w:rsidP="0092147A">
      <w:pPr>
        <w:pStyle w:val="NormalWeb"/>
        <w:tabs>
          <w:tab w:val="left" w:pos="567"/>
        </w:tabs>
        <w:spacing w:before="0" w:beforeAutospacing="0" w:after="80" w:afterAutospacing="0"/>
        <w:jc w:val="both"/>
        <w:rPr>
          <w:rFonts w:ascii="Arial" w:hAnsi="Arial" w:cs="Arial"/>
          <w:b/>
          <w:bCs/>
          <w:sz w:val="20"/>
          <w:szCs w:val="20"/>
          <w:lang w:val="en-US" w:eastAsia="en-US"/>
        </w:rPr>
      </w:pPr>
      <w:r w:rsidRPr="00965219">
        <w:rPr>
          <w:rStyle w:val="FootnoteReference"/>
          <w:sz w:val="16"/>
          <w:lang w:val="en-US"/>
        </w:rPr>
        <w:footnoteRef/>
      </w:r>
      <w:r w:rsidRPr="00965219">
        <w:rPr>
          <w:lang w:val="en-US"/>
        </w:rPr>
        <w:t xml:space="preserve"> </w:t>
      </w:r>
      <w:r w:rsidRPr="00965219">
        <w:rPr>
          <w:lang w:val="en-US"/>
        </w:rPr>
        <w:tab/>
      </w:r>
      <w:r w:rsidRPr="00965219">
        <w:rPr>
          <w:rFonts w:ascii="Verdana" w:hAnsi="Verdana"/>
          <w:sz w:val="16"/>
          <w:szCs w:val="16"/>
          <w:lang w:val="en-US"/>
        </w:rPr>
        <w:t xml:space="preserve">Article 11 of this instrument stipulates that: “1. </w:t>
      </w:r>
      <w:proofErr w:type="gramStart"/>
      <w:r w:rsidRPr="00965219">
        <w:rPr>
          <w:rFonts w:ascii="Verdana" w:hAnsi="Verdana" w:cs="Tahoma"/>
          <w:bCs/>
          <w:sz w:val="16"/>
          <w:szCs w:val="16"/>
          <w:lang w:val="en-US" w:eastAsia="en-US"/>
        </w:rPr>
        <w:t>Everyone</w:t>
      </w:r>
      <w:proofErr w:type="gramEnd"/>
      <w:r w:rsidRPr="00965219">
        <w:rPr>
          <w:rFonts w:ascii="Verdana" w:hAnsi="Verdana" w:cs="Tahoma"/>
          <w:bCs/>
          <w:sz w:val="16"/>
          <w:szCs w:val="16"/>
          <w:lang w:val="en-US" w:eastAsia="en-US"/>
        </w:rPr>
        <w:t xml:space="preserve"> shall have the right to live in a healthy environment and to have access to basic public services. </w:t>
      </w:r>
      <w:r w:rsidRPr="00965219">
        <w:rPr>
          <w:rFonts w:ascii="Verdana" w:hAnsi="Verdana" w:cs="Tahoma"/>
          <w:bCs/>
          <w:sz w:val="16"/>
          <w:szCs w:val="16"/>
          <w:lang w:val="en-US"/>
        </w:rPr>
        <w:t xml:space="preserve">2. The States Parties shall promote the protection, preservation, and improvement of the environment.” Suriname ratified the Protocol of </w:t>
      </w:r>
      <w:r w:rsidRPr="00965219">
        <w:rPr>
          <w:rFonts w:ascii="Verdana" w:hAnsi="Verdana"/>
          <w:sz w:val="16"/>
          <w:szCs w:val="16"/>
          <w:lang w:val="en-US"/>
        </w:rPr>
        <w:t>San Salvador on February 28, 1990. The Protocol entered into force internationally on November 16, 1999.</w:t>
      </w:r>
    </w:p>
  </w:footnote>
  <w:footnote w:id="215">
    <w:p w14:paraId="63126CC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Yakye Axa Indigenous Community supra, </w:t>
      </w:r>
      <w:r w:rsidRPr="00965219">
        <w:rPr>
          <w:lang w:val="en-US"/>
        </w:rPr>
        <w:t xml:space="preserve">para. </w:t>
      </w:r>
      <w:proofErr w:type="gramStart"/>
      <w:r w:rsidRPr="00965219">
        <w:rPr>
          <w:lang w:val="en-US"/>
        </w:rPr>
        <w:t>163,</w:t>
      </w:r>
      <w:proofErr w:type="gramEnd"/>
      <w:r w:rsidRPr="00965219">
        <w:rPr>
          <w:lang w:val="en-US"/>
        </w:rPr>
        <w:t xml:space="preserve"> and</w:t>
      </w:r>
      <w:r w:rsidRPr="00965219">
        <w:rPr>
          <w:i/>
          <w:lang w:val="en-US"/>
        </w:rPr>
        <w:t xml:space="preserve"> Case of the Xákmok Kásek Indigenous Community, supra, </w:t>
      </w:r>
      <w:r w:rsidRPr="00965219">
        <w:rPr>
          <w:lang w:val="en-US"/>
        </w:rPr>
        <w:t xml:space="preserve">para. 187. </w:t>
      </w:r>
    </w:p>
  </w:footnote>
  <w:footnote w:id="216">
    <w:p w14:paraId="63126CC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Xákmok Kásek Indigenous Community, supra,</w:t>
      </w:r>
      <w:r w:rsidRPr="00965219">
        <w:rPr>
          <w:lang w:val="en-US"/>
        </w:rPr>
        <w:t xml:space="preserve"> para. 313.</w:t>
      </w:r>
    </w:p>
  </w:footnote>
  <w:footnote w:id="217">
    <w:p w14:paraId="63126CC2" w14:textId="4365E254"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Secretariat of the Convention on Biological Diversity (2004), Addis Ababa Principles and Guidelines for the Sustainable Use of Biological Diversity (CBD Guidelines), Montreal: Secretariat of the Convention on Biological Diversity, Practical principle 9, p. 16. Available at: </w:t>
      </w:r>
      <w:hyperlink r:id="rId7" w:history="1">
        <w:r w:rsidRPr="00965219">
          <w:rPr>
            <w:rStyle w:val="Hyperlink"/>
            <w:lang w:val="en-US"/>
          </w:rPr>
          <w:t>https://www.cbd.int/doc/publications/addis-gdl-en.pdf</w:t>
        </w:r>
      </w:hyperlink>
      <w:r w:rsidRPr="00965219">
        <w:rPr>
          <w:i/>
          <w:lang w:val="en-US"/>
        </w:rPr>
        <w:t xml:space="preserve">, </w:t>
      </w:r>
      <w:r w:rsidRPr="00965219">
        <w:rPr>
          <w:lang w:val="en-US"/>
        </w:rPr>
        <w:t>and</w:t>
      </w:r>
      <w:r w:rsidRPr="00965219">
        <w:rPr>
          <w:i/>
          <w:lang w:val="en-US"/>
        </w:rPr>
        <w:t xml:space="preserve"> </w:t>
      </w:r>
      <w:r w:rsidRPr="00965219">
        <w:rPr>
          <w:lang w:val="en-US"/>
        </w:rPr>
        <w:t>Durban Accord and Action Plan adopted at the Vth World Parks Congress, Durban, South Africa, 2003</w:t>
      </w:r>
      <w:r>
        <w:rPr>
          <w:lang w:val="en-US"/>
        </w:rPr>
        <w:t>, p. 25.</w:t>
      </w:r>
      <w:r w:rsidRPr="00965219">
        <w:rPr>
          <w:lang w:val="en-US"/>
        </w:rPr>
        <w:t xml:space="preserve"> During this Congress, organized by the International Union for Conservation of Nature (IUCN) and the World Commission on Protected Areas, a new protected area paradigm was adopted that superseded the consideration of a nature reserve as a mere national conservation space and introduced scientific, economic and cultural claims and implemented management and funding policies involving different stakeholders. Available at: </w:t>
      </w:r>
      <w:hyperlink r:id="rId8" w:history="1">
        <w:r w:rsidRPr="00965219">
          <w:rPr>
            <w:rStyle w:val="Hyperlink"/>
            <w:lang w:val="en-US"/>
          </w:rPr>
          <w:t>http://www.danadeclaration.org/pdf/durbanactioneng.pdf</w:t>
        </w:r>
      </w:hyperlink>
      <w:r w:rsidRPr="00965219">
        <w:rPr>
          <w:lang w:val="en-US"/>
        </w:rPr>
        <w:t>.</w:t>
      </w:r>
    </w:p>
  </w:footnote>
  <w:footnote w:id="218">
    <w:p w14:paraId="63126CC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w:t>
      </w:r>
      <w:r w:rsidRPr="00965219">
        <w:rPr>
          <w:lang w:val="en-US"/>
        </w:rPr>
        <w:t xml:space="preserve">Rio Declaration on Environment and Development, Principle 22, adopted at the United Nations Conference on Environment and Development held in Rio de Janeiro from June 3 to 14, 1992, which Suriname adhered to without any reservations. Available at: </w:t>
      </w:r>
      <w:hyperlink r:id="rId9" w:history="1">
        <w:r w:rsidRPr="00965219">
          <w:rPr>
            <w:rStyle w:val="Hyperlink"/>
            <w:lang w:val="en-US"/>
          </w:rPr>
          <w:t>http://www.unep.org/documents.multilingual/default.asp?documentid=78&amp;articleid=1163</w:t>
        </w:r>
      </w:hyperlink>
      <w:r w:rsidRPr="00965219">
        <w:rPr>
          <w:lang w:val="en-US"/>
        </w:rPr>
        <w:t xml:space="preserve">; World Conference on Indigenous Peoples, high-level plenary meeting of the General Assembly of the United Nations, in which Suriname took part, Resolution adopted by the General Assembly on September 22, 2014, paras. </w:t>
      </w:r>
      <w:proofErr w:type="gramStart"/>
      <w:r w:rsidRPr="00965219">
        <w:rPr>
          <w:lang w:val="en-US"/>
        </w:rPr>
        <w:t>22, 26, 34 and 35.</w:t>
      </w:r>
      <w:proofErr w:type="gramEnd"/>
      <w:r w:rsidRPr="00965219">
        <w:rPr>
          <w:lang w:val="en-US"/>
        </w:rPr>
        <w:t xml:space="preserve"> Available at: </w:t>
      </w:r>
      <w:hyperlink r:id="rId10" w:history="1">
        <w:r w:rsidRPr="00965219">
          <w:rPr>
            <w:rStyle w:val="Hyperlink"/>
            <w:lang w:val="en-US"/>
          </w:rPr>
          <w:t>http://daccess-dds-ny.un.org/doc/UNDOC/GEN/N14/468/28/PDF/N1446828.pdf?OpenElement</w:t>
        </w:r>
      </w:hyperlink>
      <w:r w:rsidRPr="00965219">
        <w:rPr>
          <w:lang w:val="en-US"/>
        </w:rPr>
        <w:t>.</w:t>
      </w:r>
    </w:p>
  </w:footnote>
  <w:footnote w:id="219">
    <w:p w14:paraId="63126CC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rFonts w:eastAsia="Calibri"/>
          <w:lang w:val="en-US" w:eastAsia="en-US"/>
        </w:rPr>
        <w:t xml:space="preserve"> </w:t>
      </w:r>
      <w:r w:rsidRPr="00965219">
        <w:rPr>
          <w:lang w:val="en-US"/>
        </w:rPr>
        <w:t xml:space="preserve">WWF International, 2008. Indigenous Peoples and Conservation: WWF Statement of Principles. Gland, Switzerland: WWF International, pp. 5 and 9. Available at: </w:t>
      </w:r>
      <w:hyperlink r:id="rId11" w:history="1">
        <w:r w:rsidRPr="00965219">
          <w:rPr>
            <w:rStyle w:val="Hyperlink"/>
            <w:lang w:val="en-US"/>
          </w:rPr>
          <w:t>http://www.worldwildlife.org/publications/wwf-statement-of-principles-on-indigenous-peoples-and-conservation</w:t>
        </w:r>
      </w:hyperlink>
      <w:r w:rsidRPr="00965219">
        <w:rPr>
          <w:lang w:val="en-US"/>
        </w:rPr>
        <w:t>.</w:t>
      </w:r>
    </w:p>
  </w:footnote>
  <w:footnote w:id="220">
    <w:p w14:paraId="63126CC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International Union for Conservation of Nature and WWF-International, </w:t>
      </w:r>
      <w:r w:rsidRPr="00965219">
        <w:rPr>
          <w:i/>
          <w:lang w:val="en-US"/>
        </w:rPr>
        <w:t>Indigenous and Traditional Peoples and Protected Areas: Principles, Guidelines and Cases Studies</w:t>
      </w:r>
      <w:r w:rsidRPr="00965219">
        <w:rPr>
          <w:lang w:val="en-US"/>
        </w:rPr>
        <w:t xml:space="preserve">. </w:t>
      </w:r>
      <w:proofErr w:type="gramStart"/>
      <w:r w:rsidRPr="00965219">
        <w:rPr>
          <w:lang w:val="en-US"/>
        </w:rPr>
        <w:t>IUCN, Gland, Switzerland, and Cambridge, UK, and WWF International, Gland, Switzerland, Principle 1</w:t>
      </w:r>
      <w:r w:rsidRPr="00965219">
        <w:rPr>
          <w:i/>
          <w:lang w:val="en-US"/>
        </w:rPr>
        <w:t>.</w:t>
      </w:r>
      <w:proofErr w:type="gramEnd"/>
      <w:r w:rsidRPr="00965219">
        <w:rPr>
          <w:rFonts w:eastAsia="Calibri"/>
          <w:lang w:val="en-US" w:eastAsia="en-US"/>
        </w:rPr>
        <w:t xml:space="preserve"> </w:t>
      </w:r>
      <w:r w:rsidRPr="00965219">
        <w:rPr>
          <w:lang w:val="en-US"/>
        </w:rPr>
        <w:t>The principles, guidelines and case studies presented in this report respond to Resolution 1.53 on Indigenous Peoples and Protected Areas adopted at the IUCN World Conservation Congress in Montreal, in October 1996.</w:t>
      </w:r>
    </w:p>
  </w:footnote>
  <w:footnote w:id="221">
    <w:p w14:paraId="63126CC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Expert opinion provided by Victoria Tauli-Corpuz during the public hearing held on February 3 and 4, 2015 (transcript of the public hearing, p. 51).</w:t>
      </w:r>
    </w:p>
  </w:footnote>
  <w:footnote w:id="222">
    <w:p w14:paraId="63126CC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Testimony of expert witness Jeremie Gilbert during the public hearing held in this case (transcript of the public hearing, pp.51 and 52).</w:t>
      </w:r>
    </w:p>
  </w:footnote>
  <w:footnote w:id="223">
    <w:p w14:paraId="63126CC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On May 22, 1992, the text of the Convention on Biological Diversity was adopted during the Conference of Nairobi, organized by the United Nations Development Programme (UNDP). </w:t>
      </w:r>
      <w:r w:rsidRPr="00965219">
        <w:rPr>
          <w:shd w:val="clear" w:color="auto" w:fill="FFFFFF"/>
          <w:lang w:val="en-US"/>
        </w:rPr>
        <w:t>The Convention, which entered into force on December 29, 1993, represented a significant step towards the conservation of biological diversity. Suriname ratified the Convention on January 12, 1996. Available at:</w:t>
      </w:r>
      <w:r w:rsidRPr="00965219">
        <w:rPr>
          <w:lang w:val="en-US"/>
        </w:rPr>
        <w:t xml:space="preserve"> </w:t>
      </w:r>
      <w:hyperlink r:id="rId12" w:history="1">
        <w:r w:rsidRPr="00965219">
          <w:rPr>
            <w:rStyle w:val="Hyperlink"/>
            <w:lang w:val="en-US"/>
          </w:rPr>
          <w:t>https://www.cbd.int/convention/text/default.shtml</w:t>
        </w:r>
      </w:hyperlink>
      <w:r w:rsidRPr="00965219">
        <w:rPr>
          <w:lang w:val="en-US"/>
        </w:rPr>
        <w:t>.</w:t>
      </w:r>
    </w:p>
  </w:footnote>
  <w:footnote w:id="224">
    <w:p w14:paraId="63126CC9" w14:textId="77777777" w:rsidR="00624C98" w:rsidRPr="00965219" w:rsidRDefault="00624C98" w:rsidP="00145D1D">
      <w:pPr>
        <w:tabs>
          <w:tab w:val="left" w:pos="567"/>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Ramsar Convention, Convention on Wetlands of International Importance especially as Waterfowl Habitat, signed at Ramsar, Iran, on January 18, 1971, which entered into force on December 21, 1975, and was ratified by Suriname on November 22, 1985.</w:t>
      </w:r>
    </w:p>
  </w:footnote>
  <w:footnote w:id="225">
    <w:p w14:paraId="63126CC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ab/>
        <w:t xml:space="preserve">The Convention concerning the Protection of the World Cultural and Natural Heritage was adopted on November 16, 1972, during the General Conference of UNESCO held in Paris, from October 17 to November 21. The main characteristic of this Convention is that it assembles in one document the concepts of nature conservation and preservation of the cultural heritage. The Convention recognizes the way in which people interact with nature and the necessary principles to ensure the balance between both of them. Suriname acceded to the Convention on October 23, 1997. Available at: </w:t>
      </w:r>
      <w:hyperlink r:id="rId13" w:history="1">
        <w:r w:rsidRPr="00965219">
          <w:rPr>
            <w:rStyle w:val="Hyperlink"/>
            <w:lang w:val="en-US"/>
          </w:rPr>
          <w:t>http://whc.unesco.org/en/conventiontext/</w:t>
        </w:r>
      </w:hyperlink>
      <w:r w:rsidRPr="00965219">
        <w:rPr>
          <w:lang w:val="en-US"/>
        </w:rPr>
        <w:t>.</w:t>
      </w:r>
    </w:p>
  </w:footnote>
  <w:footnote w:id="226">
    <w:p w14:paraId="63126CC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The United Nations Framework Convention on Climate Change was adopted on May 9, 1992, at the United Nations headquarters in New York, and entered into force on March 21, 1993. Its purpose was to consider the options for limiting the average increase in global warming and, therefore, climate change, as well as to confront the adverse effects when these were inevitable. Suriname ratified the Convention on October 14, 1997. Available at: </w:t>
      </w:r>
      <w:hyperlink r:id="rId14" w:history="1">
        <w:r w:rsidRPr="00965219">
          <w:rPr>
            <w:rStyle w:val="Hyperlink"/>
            <w:lang w:val="en-US"/>
          </w:rPr>
          <w:t>https://unfccc.int/resource/docs/convkp/conveng.pdf</w:t>
        </w:r>
      </w:hyperlink>
      <w:r w:rsidRPr="00965219">
        <w:rPr>
          <w:lang w:val="en-US"/>
        </w:rPr>
        <w:t>.</w:t>
      </w:r>
    </w:p>
  </w:footnote>
  <w:footnote w:id="227">
    <w:p w14:paraId="63126CCC" w14:textId="77777777" w:rsidR="00624C98" w:rsidRPr="00965219" w:rsidRDefault="00624C98" w:rsidP="00145D1D">
      <w:pPr>
        <w:pStyle w:val="Heading1"/>
        <w:tabs>
          <w:tab w:val="left" w:pos="567"/>
        </w:tabs>
        <w:spacing w:before="0" w:after="80"/>
        <w:jc w:val="both"/>
        <w:rPr>
          <w:rFonts w:ascii="Verdana" w:hAnsi="Verdana"/>
          <w:b w:val="0"/>
          <w:color w:val="auto"/>
          <w:sz w:val="16"/>
          <w:szCs w:val="16"/>
          <w:lang w:val="en-US"/>
        </w:rPr>
      </w:pPr>
      <w:r w:rsidRPr="00965219">
        <w:rPr>
          <w:rStyle w:val="FootnoteReference"/>
          <w:b w:val="0"/>
          <w:color w:val="auto"/>
          <w:sz w:val="16"/>
          <w:szCs w:val="16"/>
          <w:lang w:val="en-US"/>
        </w:rPr>
        <w:footnoteRef/>
      </w:r>
      <w:r w:rsidRPr="00965219">
        <w:rPr>
          <w:rFonts w:ascii="Verdana" w:hAnsi="Verdana"/>
          <w:b w:val="0"/>
          <w:color w:val="auto"/>
          <w:sz w:val="16"/>
          <w:szCs w:val="16"/>
          <w:lang w:val="en-US"/>
        </w:rPr>
        <w:t xml:space="preserve"> </w:t>
      </w:r>
      <w:r w:rsidRPr="00965219">
        <w:rPr>
          <w:rFonts w:ascii="Verdana" w:hAnsi="Verdana"/>
          <w:sz w:val="16"/>
          <w:szCs w:val="16"/>
          <w:lang w:val="en-US"/>
        </w:rPr>
        <w:tab/>
      </w:r>
      <w:bookmarkStart w:id="50" w:name="OLE_LINK4"/>
      <w:bookmarkStart w:id="51" w:name="OLE_LINK3"/>
      <w:r w:rsidRPr="00965219">
        <w:rPr>
          <w:rFonts w:ascii="Verdana" w:hAnsi="Verdana"/>
          <w:b w:val="0"/>
          <w:color w:val="auto"/>
          <w:sz w:val="16"/>
          <w:szCs w:val="16"/>
          <w:lang w:val="en-US"/>
        </w:rPr>
        <w:t>Decisions adopted by the Conference of the Parties to the Convention on Biological Diversity at its seventh meeting, Decision</w:t>
      </w:r>
      <w:r w:rsidRPr="00965219">
        <w:rPr>
          <w:rFonts w:ascii="Verdana" w:hAnsi="Verdana"/>
          <w:sz w:val="16"/>
          <w:szCs w:val="16"/>
          <w:lang w:val="en-US"/>
        </w:rPr>
        <w:t xml:space="preserve"> </w:t>
      </w:r>
      <w:r w:rsidRPr="00965219">
        <w:rPr>
          <w:rFonts w:ascii="Verdana" w:hAnsi="Verdana"/>
          <w:b w:val="0"/>
          <w:color w:val="auto"/>
          <w:sz w:val="16"/>
          <w:szCs w:val="16"/>
          <w:lang w:val="en-US"/>
        </w:rPr>
        <w:t>VII/28,</w:t>
      </w:r>
      <w:r w:rsidRPr="00965219">
        <w:rPr>
          <w:rFonts w:ascii="Verdana" w:eastAsia="Calibri" w:hAnsi="Verdana"/>
          <w:b w:val="0"/>
          <w:bCs w:val="0"/>
          <w:color w:val="auto"/>
          <w:sz w:val="16"/>
          <w:szCs w:val="16"/>
          <w:lang w:val="en-US"/>
        </w:rPr>
        <w:t xml:space="preserve"> Protected Areas</w:t>
      </w:r>
      <w:r w:rsidRPr="00965219">
        <w:rPr>
          <w:rFonts w:ascii="Verdana" w:hAnsi="Verdana"/>
          <w:b w:val="0"/>
          <w:color w:val="auto"/>
          <w:sz w:val="16"/>
          <w:szCs w:val="16"/>
          <w:lang w:val="en-US"/>
        </w:rPr>
        <w:t xml:space="preserve"> (Articles 8 (a) to (e), para. 22. </w:t>
      </w:r>
      <w:bookmarkEnd w:id="50"/>
      <w:bookmarkEnd w:id="51"/>
      <w:r w:rsidRPr="00965219">
        <w:rPr>
          <w:rFonts w:ascii="Verdana" w:hAnsi="Verdana"/>
          <w:b w:val="0"/>
          <w:color w:val="auto"/>
          <w:sz w:val="16"/>
          <w:szCs w:val="16"/>
          <w:lang w:val="en-US"/>
        </w:rPr>
        <w:t xml:space="preserve">Available at: </w:t>
      </w:r>
      <w:hyperlink r:id="rId15" w:history="1">
        <w:r w:rsidRPr="00965219">
          <w:rPr>
            <w:rStyle w:val="Hyperlink"/>
            <w:rFonts w:ascii="Verdana" w:hAnsi="Verdana"/>
            <w:b w:val="0"/>
            <w:sz w:val="16"/>
            <w:szCs w:val="16"/>
            <w:lang w:val="en-US"/>
          </w:rPr>
          <w:t>https://www.cbd.int/decision/cop/default.shtml?id=7765</w:t>
        </w:r>
      </w:hyperlink>
      <w:r w:rsidRPr="00965219">
        <w:rPr>
          <w:rFonts w:ascii="Verdana" w:hAnsi="Verdana"/>
          <w:b w:val="0"/>
          <w:color w:val="auto"/>
          <w:sz w:val="16"/>
          <w:szCs w:val="16"/>
          <w:lang w:val="en-US"/>
        </w:rPr>
        <w:t>.</w:t>
      </w:r>
    </w:p>
  </w:footnote>
  <w:footnote w:id="228">
    <w:p w14:paraId="63126CC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Rio Declaration on Environment and Development, </w:t>
      </w:r>
      <w:r w:rsidRPr="00965219">
        <w:rPr>
          <w:i/>
          <w:lang w:val="en-US"/>
        </w:rPr>
        <w:t>supra</w:t>
      </w:r>
      <w:r w:rsidRPr="00965219">
        <w:rPr>
          <w:lang w:val="en-US"/>
        </w:rPr>
        <w:t>, Principle 22.</w:t>
      </w:r>
    </w:p>
  </w:footnote>
  <w:footnote w:id="229">
    <w:p w14:paraId="63126CCE" w14:textId="77777777" w:rsidR="00624C98" w:rsidRPr="00965219" w:rsidRDefault="00624C98" w:rsidP="00145D1D">
      <w:pPr>
        <w:pStyle w:val="FootnoteText"/>
        <w:spacing w:after="80"/>
        <w:rPr>
          <w:strike/>
          <w:lang w:val="en-US"/>
        </w:rPr>
      </w:pPr>
      <w:r w:rsidRPr="00965219">
        <w:rPr>
          <w:rStyle w:val="FootnoteReference"/>
          <w:sz w:val="16"/>
          <w:lang w:val="en-US"/>
        </w:rPr>
        <w:footnoteRef/>
      </w:r>
      <w:r w:rsidRPr="00965219">
        <w:rPr>
          <w:lang w:val="en-US"/>
        </w:rPr>
        <w:t xml:space="preserve"> </w:t>
      </w:r>
      <w:r w:rsidRPr="00965219">
        <w:rPr>
          <w:lang w:val="en-US"/>
        </w:rPr>
        <w:tab/>
        <w:t>This Declaration was widely accepted since it was adopted at the respective Conference with the signature of 144 States, including Suriname. Since its adoption, Australia, Nueva Zealand, Canada and the United States of America have changed their original decision and have adhered to the Declaration. Colombia and Samoa also changed their original position and have indicated their support. See also Article 23 of the Declaration.</w:t>
      </w:r>
    </w:p>
  </w:footnote>
  <w:footnote w:id="230">
    <w:p w14:paraId="63126CC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lang w:val="en-US"/>
        </w:rPr>
        <w:t xml:space="preserve">Articles 8.j) and 10 of the Convention on Biological Diversity, </w:t>
      </w:r>
      <w:r w:rsidRPr="00965219">
        <w:rPr>
          <w:i/>
          <w:lang w:val="en-US"/>
        </w:rPr>
        <w:t>supra.</w:t>
      </w:r>
      <w:proofErr w:type="gramEnd"/>
    </w:p>
  </w:footnote>
  <w:footnote w:id="231">
    <w:p w14:paraId="63126CD0" w14:textId="61A5824F"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lang w:val="en-US"/>
        </w:rPr>
        <w:t>For example, by participating in decisions that affect them or their natural resources.</w:t>
      </w:r>
      <w:proofErr w:type="gramEnd"/>
      <w:r w:rsidRPr="00965219">
        <w:rPr>
          <w:lang w:val="en-US"/>
        </w:rPr>
        <w:t xml:space="preserve"> To this end, it is necessary to: (i) recognize the right of the indigenous peoples to use their own institutions and representatives to manage, administer and protect their traditional territories; (ii) ensure a decision-making system in which the indigenous peoples participate fully and effectively; (iii) seek agreements between the respective communities and the conservation agencies that establish the management, the commitments, the responsibilities, and the purposes of the area, and (iv) guarantee access to information regarding any measures taken in relation to these areas. </w:t>
      </w:r>
      <w:r w:rsidRPr="00965219">
        <w:rPr>
          <w:i/>
          <w:lang w:val="en-US"/>
        </w:rPr>
        <w:t>Cf.</w:t>
      </w:r>
      <w:r w:rsidRPr="00965219">
        <w:rPr>
          <w:lang w:val="en-US"/>
        </w:rPr>
        <w:t xml:space="preserve"> articles 8 and 10 of the Convention on Biological Diversity</w:t>
      </w:r>
      <w:r w:rsidRPr="00965219">
        <w:rPr>
          <w:i/>
          <w:lang w:val="en-US"/>
        </w:rPr>
        <w:t>, supra;</w:t>
      </w:r>
      <w:r w:rsidRPr="00965219">
        <w:rPr>
          <w:lang w:val="en-US"/>
        </w:rPr>
        <w:t xml:space="preserve"> Decisions adopted by the Conference of the Parties to the Convention on Biological Diversity at its seventh meeting, decision VII/28, </w:t>
      </w:r>
      <w:r w:rsidRPr="00965219">
        <w:rPr>
          <w:i/>
          <w:lang w:val="en-US"/>
        </w:rPr>
        <w:t xml:space="preserve">supra, </w:t>
      </w:r>
      <w:r w:rsidRPr="00965219">
        <w:rPr>
          <w:lang w:val="en-US"/>
        </w:rPr>
        <w:t xml:space="preserve">para. 22; </w:t>
      </w:r>
      <w:r w:rsidRPr="00965219">
        <w:rPr>
          <w:rFonts w:cs="Verdana"/>
          <w:lang w:val="en-US"/>
        </w:rPr>
        <w:t xml:space="preserve">Rio Declaration on Environment and Development, </w:t>
      </w:r>
      <w:r w:rsidRPr="00965219">
        <w:rPr>
          <w:rFonts w:cs="Verdana"/>
          <w:i/>
          <w:lang w:val="en-US"/>
        </w:rPr>
        <w:t>supra,</w:t>
      </w:r>
      <w:r w:rsidRPr="00965219">
        <w:rPr>
          <w:rFonts w:eastAsia="Calibri" w:cs="Verdana"/>
          <w:lang w:val="en-US" w:eastAsia="en-US"/>
        </w:rPr>
        <w:t xml:space="preserve"> </w:t>
      </w:r>
      <w:r w:rsidRPr="00965219">
        <w:rPr>
          <w:rFonts w:cs="Verdana"/>
          <w:lang w:val="en-US"/>
        </w:rPr>
        <w:t>Principle 10</w:t>
      </w:r>
      <w:r w:rsidRPr="00965219">
        <w:rPr>
          <w:lang w:val="en-US"/>
        </w:rPr>
        <w:t xml:space="preserve">, and article 4 of the Aarhus Convention on Access to Information, Public Participation in Decision-making and Access to Justice in Environmental Matters, an international treaty that regulates the rights to public participation in environmental matters. </w:t>
      </w:r>
      <w:r w:rsidRPr="00965219">
        <w:rPr>
          <w:rFonts w:cs="Arial"/>
          <w:shd w:val="clear" w:color="auto" w:fill="FFFFFF"/>
          <w:lang w:val="en-US"/>
        </w:rPr>
        <w:t>Available at:</w:t>
      </w:r>
      <w:r w:rsidRPr="00965219">
        <w:rPr>
          <w:lang w:val="en-US"/>
        </w:rPr>
        <w:t xml:space="preserve"> </w:t>
      </w:r>
      <w:hyperlink r:id="rId16" w:history="1">
        <w:r w:rsidRPr="00965219">
          <w:rPr>
            <w:rStyle w:val="Hyperlink"/>
            <w:rFonts w:cs="Arial"/>
            <w:shd w:val="clear" w:color="auto" w:fill="FFFFFF"/>
            <w:lang w:val="en-US"/>
          </w:rPr>
          <w:t>http://www.unece.org/fileadmin/DAM/env/pp/documents/cep43e.pdf</w:t>
        </w:r>
      </w:hyperlink>
      <w:r w:rsidRPr="00965219">
        <w:rPr>
          <w:rFonts w:cs="Arial"/>
          <w:shd w:val="clear" w:color="auto" w:fill="FFFFFF"/>
          <w:lang w:val="en-US"/>
        </w:rPr>
        <w:t xml:space="preserve">. </w:t>
      </w:r>
      <w:proofErr w:type="gramStart"/>
      <w:r w:rsidRPr="00965219">
        <w:rPr>
          <w:rFonts w:cs="Arial"/>
          <w:i/>
          <w:shd w:val="clear" w:color="auto" w:fill="FFFFFF"/>
          <w:lang w:val="en-US"/>
        </w:rPr>
        <w:t xml:space="preserve">Cf. </w:t>
      </w:r>
      <w:r w:rsidRPr="00965219">
        <w:rPr>
          <w:i/>
          <w:lang w:val="en-US"/>
        </w:rPr>
        <w:t>Case of Claude Reyes et al. v. Chile.</w:t>
      </w:r>
      <w:proofErr w:type="gramEnd"/>
      <w:r w:rsidRPr="00965219">
        <w:rPr>
          <w:i/>
          <w:lang w:val="en-US"/>
        </w:rPr>
        <w:t xml:space="preserve">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September 19, 2006. Series C. No. 151, paras. </w:t>
      </w:r>
      <w:proofErr w:type="gramStart"/>
      <w:r w:rsidRPr="00965219">
        <w:rPr>
          <w:lang w:val="en-US"/>
        </w:rPr>
        <w:t>79 and 84.</w:t>
      </w:r>
      <w:proofErr w:type="gramEnd"/>
    </w:p>
  </w:footnote>
  <w:footnote w:id="232">
    <w:p w14:paraId="63126CD1" w14:textId="25850D28"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For example, so that they may use and enjoy the natural resources in their traditional territories that they require in order to ensure their survival by means of their traditional activities, accede to their traditional health system and other socio-cultural functions, and preserve their way of life, customs and language, as well as to accede to, maintain and protect their religious and cultural sites. In addition, the traditional practices of the indigenous peoples that contribute to the sustainable care and protection of the environment should be maintained, protected and promoted. Thus, it is pertinent to support the indigenous peoples’ knowledge, institutions, practices, strategies and management plans related to conservation. </w:t>
      </w:r>
      <w:r w:rsidRPr="00965219">
        <w:rPr>
          <w:i/>
          <w:lang w:val="en-US"/>
        </w:rPr>
        <w:t>Cf.</w:t>
      </w:r>
      <w:r w:rsidRPr="00965219">
        <w:rPr>
          <w:lang w:val="en-US"/>
        </w:rPr>
        <w:t xml:space="preserve"> Article 12 of the United Nations Declaration on the Rights of Indigenous Peoples, </w:t>
      </w:r>
      <w:r w:rsidRPr="00965219">
        <w:rPr>
          <w:i/>
          <w:lang w:val="en-US"/>
        </w:rPr>
        <w:t>supra</w:t>
      </w:r>
      <w:r w:rsidRPr="00965219">
        <w:rPr>
          <w:lang w:val="en-US"/>
        </w:rPr>
        <w:t xml:space="preserve">, and Decisions adopted by the Conference of the Parties to the Convention on Biological Diversity at its twelfth meeting, </w:t>
      </w:r>
      <w:r>
        <w:rPr>
          <w:lang w:val="en-US"/>
        </w:rPr>
        <w:t>D</w:t>
      </w:r>
      <w:r w:rsidRPr="00965219">
        <w:rPr>
          <w:lang w:val="en-US"/>
        </w:rPr>
        <w:t xml:space="preserve">ecision XII/12, paras. </w:t>
      </w:r>
      <w:proofErr w:type="gramStart"/>
      <w:r w:rsidRPr="00965219">
        <w:rPr>
          <w:lang w:val="en-US"/>
        </w:rPr>
        <w:t>8 and 9.</w:t>
      </w:r>
      <w:proofErr w:type="gramEnd"/>
    </w:p>
  </w:footnote>
  <w:footnote w:id="233">
    <w:p w14:paraId="63126CD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8.j) of the Convention on Biological Diversity; UN, Nagoya Protocol on Access to Genetic Resources and the Fair and Equitable Sharing of Benefits Arising from their Utilization to the Convention on Biological Diversity, of October 29, 2010. Articles 5 to 16 and 21, an international treaty based on and supporting the application of the CBD; in particular, one of its three objective, the fair and equitable sharing of the benefits arising from the use of genetic resources. Available at: </w:t>
      </w:r>
      <w:hyperlink r:id="rId17" w:history="1">
        <w:r w:rsidRPr="00965219">
          <w:rPr>
            <w:rStyle w:val="Hyperlink"/>
            <w:lang w:val="en-US"/>
          </w:rPr>
          <w:t>https://www.cbd.int/abs/doc/protocol/nagoya-protocol-en.pdf</w:t>
        </w:r>
      </w:hyperlink>
      <w:r w:rsidRPr="00965219">
        <w:rPr>
          <w:lang w:val="en-US"/>
        </w:rPr>
        <w:t xml:space="preserve">; Article 12 of the American Declaration on the Rights and Duties of Man. Available at: </w:t>
      </w:r>
      <w:hyperlink r:id="rId18" w:history="1">
        <w:r w:rsidRPr="00965219">
          <w:rPr>
            <w:rStyle w:val="Hyperlink"/>
            <w:lang w:val="en-US"/>
          </w:rPr>
          <w:t>https://www.cidh.oas.org/Basicos/English/Basic2.American%20Declaration.htm</w:t>
        </w:r>
      </w:hyperlink>
      <w:r w:rsidRPr="00965219">
        <w:rPr>
          <w:lang w:val="en-US"/>
        </w:rPr>
        <w:t>.</w:t>
      </w:r>
    </w:p>
    <w:p w14:paraId="63126CD3" w14:textId="77777777" w:rsidR="00624C98" w:rsidRPr="00965219" w:rsidRDefault="00624C98" w:rsidP="00145D1D">
      <w:pPr>
        <w:pStyle w:val="FootnoteText"/>
        <w:spacing w:after="80"/>
        <w:rPr>
          <w:lang w:val="en-US"/>
        </w:rPr>
      </w:pPr>
    </w:p>
  </w:footnote>
  <w:footnote w:id="234">
    <w:p w14:paraId="63126CD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lang w:val="en-US"/>
        </w:rPr>
        <w:t>Testimony of Glenn Renaldo Kingswijk before the IACHR (evidence file, folio 362).</w:t>
      </w:r>
      <w:proofErr w:type="gramEnd"/>
    </w:p>
  </w:footnote>
  <w:footnote w:id="235">
    <w:p w14:paraId="63126CD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Among these, it argued that: (i) the Kaliña and Lokono peoples have a limited expert capacity to perform (scientific) management tasks in relation to the areas classified by the IUCN as category IV reserves, because these require a special expertise, which they are unable to provide (merits file, folio 589); (ii) the Kaliña and Lokono peoples are undergoing a process of acculturation and are more interested in modern activities than in traditional knowledge. Therefore, they are unable to adapt to changes in nature, such as floods and winds (merits file, folio 589); (iii) they do not possess the capacity to coordinate nature conservation efforts beyond the local level; they have insufficient knowledge to evaluate biological systems within the country as a whole; while, as established by law, the State does have this expertise (merits file, folios 589 and 590), and (iv) the State needs to position Suriname in the wider global nature protection system and discuss with a wide range of stakeholders the global agreements in the Convention on Biological Diversity, the Ramsar Convention and others (merits file, folio 590). Consequently, under no circumstances will the State leave the supervision of the three nature reserves to the indigenous peoples, despite respecting their rights to secure their livelihood and survival and, indeed, these groups are seen as a major actor in nature protection in Lower Marowijne (merits file, folio 590).</w:t>
      </w:r>
    </w:p>
  </w:footnote>
  <w:footnote w:id="236">
    <w:p w14:paraId="63126CD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w:t>
      </w:r>
      <w:r w:rsidRPr="00965219">
        <w:rPr>
          <w:lang w:val="en-US"/>
        </w:rPr>
        <w:t xml:space="preserve">Article 18 of the United Nations Declaration on the Rights of Indigenous Peoples, </w:t>
      </w:r>
      <w:r w:rsidRPr="00965219">
        <w:rPr>
          <w:i/>
          <w:lang w:val="en-US"/>
        </w:rPr>
        <w:t>supra.</w:t>
      </w:r>
    </w:p>
  </w:footnote>
  <w:footnote w:id="237">
    <w:p w14:paraId="63126CD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 Inter alia</w:t>
      </w:r>
      <w:r w:rsidRPr="00965219">
        <w:rPr>
          <w:lang w:val="en-US"/>
        </w:rPr>
        <w:t xml:space="preserve">, </w:t>
      </w:r>
      <w:r w:rsidRPr="00965219">
        <w:rPr>
          <w:rStyle w:val="Strong"/>
          <w:b w:val="0"/>
          <w:i/>
          <w:lang w:val="en-US"/>
        </w:rPr>
        <w:t>Case of the Kuna Indigenous Community of Madungandí and the Emberá Indigenous Community of Bayano and their members</w:t>
      </w:r>
      <w:r w:rsidRPr="00965219">
        <w:rPr>
          <w:lang w:val="en-US"/>
        </w:rPr>
        <w:t xml:space="preserve">, </w:t>
      </w:r>
      <w:r w:rsidRPr="00E52A02">
        <w:rPr>
          <w:i/>
          <w:lang w:val="en-US"/>
        </w:rPr>
        <w:t>supra</w:t>
      </w:r>
      <w:r w:rsidRPr="00965219">
        <w:rPr>
          <w:lang w:val="en-US"/>
        </w:rPr>
        <w:t>, para. 30.</w:t>
      </w:r>
    </w:p>
  </w:footnote>
  <w:footnote w:id="238">
    <w:p w14:paraId="63126CD8" w14:textId="77777777" w:rsidR="00624C98" w:rsidRPr="00965219" w:rsidRDefault="00624C98" w:rsidP="00145D1D">
      <w:pPr>
        <w:tabs>
          <w:tab w:val="left" w:pos="567"/>
        </w:tabs>
        <w:spacing w:after="80"/>
        <w:jc w:val="both"/>
        <w:rPr>
          <w:rFonts w:ascii="Arial" w:eastAsia="Times New Roman" w:hAnsi="Arial" w:cs="Arial"/>
          <w:sz w:val="20"/>
          <w:szCs w:val="20"/>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In the </w:t>
      </w:r>
      <w:r w:rsidRPr="00965219">
        <w:rPr>
          <w:rFonts w:ascii="Verdana" w:hAnsi="Verdana"/>
          <w:i/>
          <w:sz w:val="16"/>
          <w:szCs w:val="16"/>
          <w:lang w:val="en-US"/>
        </w:rPr>
        <w:t xml:space="preserve">Saramaka </w:t>
      </w:r>
      <w:r w:rsidRPr="00965219">
        <w:rPr>
          <w:rFonts w:ascii="Verdana" w:hAnsi="Verdana"/>
          <w:sz w:val="16"/>
          <w:szCs w:val="16"/>
          <w:lang w:val="en-US"/>
        </w:rPr>
        <w:t>case, the Court indicated that “</w:t>
      </w:r>
      <w:r w:rsidRPr="00965219">
        <w:rPr>
          <w:rFonts w:ascii="Verdana" w:eastAsia="Times New Roman" w:hAnsi="Verdana" w:cs="Arial"/>
          <w:sz w:val="16"/>
          <w:szCs w:val="16"/>
          <w:lang w:val="en-US"/>
        </w:rPr>
        <w:t xml:space="preserve">in ensuring the effective participation of members of </w:t>
      </w:r>
      <w:r w:rsidRPr="00965219">
        <w:rPr>
          <w:rFonts w:ascii="Verdana" w:hAnsi="Verdana"/>
          <w:sz w:val="16"/>
          <w:szCs w:val="16"/>
          <w:lang w:val="en-US"/>
        </w:rPr>
        <w:t xml:space="preserve">[the indigenous and tribal peoples] </w:t>
      </w:r>
      <w:r w:rsidRPr="00965219">
        <w:rPr>
          <w:rFonts w:ascii="Verdana" w:eastAsia="Times New Roman" w:hAnsi="Verdana" w:cs="Arial"/>
          <w:sz w:val="16"/>
          <w:szCs w:val="16"/>
          <w:lang w:val="en-US"/>
        </w:rPr>
        <w:t xml:space="preserve">in development or investment plans within their territory, the State has a duty to actively consult with said community according to their customs and traditions. This duty requires the State to receive and provide information, and entails constant communication between the parties. These consultations must be in good faith, through culturally appropriate procedures and with the objective of reaching an agreement. Furthermore, [these peoples] must be consulted, in accordance with their own traditions, at the early stages of a development or investment plan […]. Early notice provides time for internal discussion within the communities and for proper feedback to the State. The State must also ensure that the members of </w:t>
      </w:r>
      <w:r w:rsidRPr="00965219">
        <w:rPr>
          <w:rFonts w:ascii="Verdana" w:hAnsi="Verdana"/>
          <w:sz w:val="16"/>
          <w:szCs w:val="16"/>
          <w:lang w:val="en-US"/>
        </w:rPr>
        <w:t xml:space="preserve">[the indigenous and tribal peoples] </w:t>
      </w:r>
      <w:r w:rsidRPr="00965219">
        <w:rPr>
          <w:rFonts w:ascii="Verdana" w:eastAsia="Times New Roman" w:hAnsi="Verdana" w:cs="Arial"/>
          <w:sz w:val="16"/>
          <w:szCs w:val="16"/>
          <w:lang w:val="en-US"/>
        </w:rPr>
        <w:t>are aware of possible risks, including environmental and health risks, in order that the proposed development or investment plan is accepted knowingly and voluntarily. Lastly, consultation should take account of [their] traditional methods of decision-making.”</w:t>
      </w:r>
      <w:r w:rsidRPr="00965219">
        <w:rPr>
          <w:rFonts w:ascii="Arial" w:eastAsia="Times New Roman" w:hAnsi="Arial" w:cs="Arial"/>
          <w:sz w:val="20"/>
          <w:szCs w:val="20"/>
          <w:lang w:val="en-US"/>
        </w:rPr>
        <w:t xml:space="preserve"> </w:t>
      </w:r>
      <w:proofErr w:type="gramStart"/>
      <w:r w:rsidRPr="00965219">
        <w:rPr>
          <w:rFonts w:ascii="Verdana" w:hAnsi="Verdana"/>
          <w:i/>
          <w:sz w:val="16"/>
          <w:szCs w:val="16"/>
          <w:lang w:val="en-US"/>
        </w:rPr>
        <w:t>Case of the Saramaka People,</w:t>
      </w:r>
      <w:r w:rsidRPr="00965219">
        <w:rPr>
          <w:rFonts w:ascii="Verdana" w:hAnsi="Verdana"/>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w:t>
      </w:r>
      <w:r w:rsidRPr="00965219">
        <w:rPr>
          <w:rFonts w:ascii="Verdana" w:hAnsi="Verdana"/>
          <w:i/>
          <w:sz w:val="16"/>
          <w:szCs w:val="16"/>
          <w:lang w:val="en-US"/>
        </w:rPr>
        <w:t xml:space="preserve"> </w:t>
      </w:r>
      <w:r w:rsidRPr="00965219">
        <w:rPr>
          <w:rFonts w:ascii="Verdana" w:hAnsi="Verdana"/>
          <w:sz w:val="16"/>
          <w:szCs w:val="16"/>
          <w:lang w:val="en-US"/>
        </w:rPr>
        <w:t>para.</w:t>
      </w:r>
      <w:proofErr w:type="gramEnd"/>
      <w:r w:rsidRPr="00965219">
        <w:rPr>
          <w:rFonts w:ascii="Verdana" w:hAnsi="Verdana"/>
          <w:sz w:val="16"/>
          <w:szCs w:val="16"/>
          <w:lang w:val="en-US"/>
        </w:rPr>
        <w:t xml:space="preserve"> </w:t>
      </w:r>
      <w:proofErr w:type="gramStart"/>
      <w:r w:rsidRPr="00965219">
        <w:rPr>
          <w:rFonts w:ascii="Verdana" w:hAnsi="Verdana"/>
          <w:sz w:val="16"/>
          <w:szCs w:val="16"/>
          <w:lang w:val="en-US"/>
        </w:rPr>
        <w:t>133,</w:t>
      </w:r>
      <w:proofErr w:type="gramEnd"/>
      <w:r w:rsidRPr="00965219">
        <w:rPr>
          <w:rFonts w:ascii="Verdana" w:hAnsi="Verdana"/>
          <w:sz w:val="16"/>
          <w:szCs w:val="16"/>
          <w:lang w:val="en-US"/>
        </w:rPr>
        <w:t xml:space="preserve"> and </w:t>
      </w:r>
      <w:r w:rsidRPr="00965219">
        <w:rPr>
          <w:rFonts w:ascii="Verdana" w:hAnsi="Verdana"/>
          <w:i/>
          <w:sz w:val="16"/>
          <w:szCs w:val="16"/>
          <w:lang w:val="en-US"/>
        </w:rPr>
        <w:t>Case of the Kichwa Indigenous People of Sarayaku, supra,</w:t>
      </w:r>
      <w:r w:rsidRPr="00965219">
        <w:rPr>
          <w:rFonts w:ascii="Verdana" w:hAnsi="Verdana"/>
          <w:sz w:val="16"/>
          <w:szCs w:val="16"/>
          <w:lang w:val="en-US"/>
        </w:rPr>
        <w:t xml:space="preserve"> para. 178.</w:t>
      </w:r>
    </w:p>
  </w:footnote>
  <w:footnote w:id="239">
    <w:p w14:paraId="63126CD9" w14:textId="77777777" w:rsidR="00624C98" w:rsidRPr="00965219" w:rsidRDefault="00624C98" w:rsidP="00145D1D">
      <w:pPr>
        <w:pStyle w:val="Footnotes"/>
        <w:spacing w:before="0" w:after="80"/>
        <w:rPr>
          <w:rFonts w:eastAsia="Times New Roman"/>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 xml:space="preserve">Case of the Saramaka People, supra, </w:t>
      </w:r>
      <w:r w:rsidRPr="00965219">
        <w:rPr>
          <w:lang w:val="en-US"/>
        </w:rPr>
        <w:t>para.</w:t>
      </w:r>
      <w:proofErr w:type="gramEnd"/>
      <w:r w:rsidRPr="00965219">
        <w:rPr>
          <w:lang w:val="en-US"/>
        </w:rPr>
        <w:t xml:space="preserve"> </w:t>
      </w:r>
      <w:proofErr w:type="gramStart"/>
      <w:r w:rsidRPr="00965219">
        <w:rPr>
          <w:lang w:val="en-US"/>
        </w:rPr>
        <w:t>129,</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215.</w:t>
      </w:r>
    </w:p>
  </w:footnote>
  <w:footnote w:id="240">
    <w:p w14:paraId="63126CDA" w14:textId="062280A7" w:rsidR="00624C98" w:rsidRPr="00965219" w:rsidRDefault="00624C98" w:rsidP="00145D1D">
      <w:pPr>
        <w:pStyle w:val="NormalWeb"/>
        <w:tabs>
          <w:tab w:val="left" w:pos="567"/>
        </w:tabs>
        <w:spacing w:before="0" w:beforeAutospacing="0" w:after="80" w:afterAutospacing="0"/>
        <w:jc w:val="both"/>
        <w:rPr>
          <w:rFonts w:ascii="Verdana" w:hAnsi="Verdana"/>
          <w:color w:val="000000"/>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 xml:space="preserve">Cf. </w:t>
      </w:r>
      <w:r w:rsidRPr="00965219">
        <w:rPr>
          <w:rFonts w:ascii="Verdana" w:hAnsi="Verdana"/>
          <w:sz w:val="16"/>
          <w:szCs w:val="16"/>
          <w:lang w:val="en-US"/>
        </w:rPr>
        <w:t>Article 29 of the United Nations Declaration on the Rights of Indigenous Peoples</w:t>
      </w:r>
      <w:r w:rsidRPr="00965219">
        <w:rPr>
          <w:rFonts w:ascii="Verdana" w:hAnsi="Verdana"/>
          <w:color w:val="000000"/>
          <w:sz w:val="16"/>
          <w:szCs w:val="16"/>
          <w:lang w:val="en-US"/>
        </w:rPr>
        <w:t xml:space="preserve">, </w:t>
      </w:r>
      <w:r w:rsidRPr="00965219">
        <w:rPr>
          <w:rFonts w:ascii="Verdana" w:hAnsi="Verdana"/>
          <w:i/>
          <w:color w:val="000000"/>
          <w:sz w:val="16"/>
          <w:szCs w:val="16"/>
          <w:lang w:val="en-US"/>
        </w:rPr>
        <w:t>supra</w:t>
      </w:r>
      <w:r w:rsidRPr="00965219">
        <w:rPr>
          <w:rFonts w:ascii="Verdana" w:hAnsi="Verdana"/>
          <w:color w:val="000000"/>
          <w:sz w:val="16"/>
          <w:szCs w:val="16"/>
          <w:lang w:val="en-US"/>
        </w:rPr>
        <w:t>;</w:t>
      </w:r>
      <w:r w:rsidRPr="00965219">
        <w:rPr>
          <w:rFonts w:ascii="Verdana" w:hAnsi="Verdana"/>
          <w:i/>
          <w:color w:val="000000"/>
          <w:sz w:val="16"/>
          <w:lang w:val="en-US"/>
        </w:rPr>
        <w:t xml:space="preserve"> </w:t>
      </w:r>
      <w:r w:rsidRPr="00965219">
        <w:rPr>
          <w:rFonts w:ascii="Verdana" w:hAnsi="Verdana"/>
          <w:sz w:val="16"/>
          <w:szCs w:val="16"/>
          <w:lang w:val="en-US"/>
        </w:rPr>
        <w:t>Article 6 of the Inter-American Democratic Charter stipulates that: It is the right and responsibility of all citizens to participate in decisions re</w:t>
      </w:r>
      <w:r>
        <w:rPr>
          <w:rFonts w:ascii="Verdana" w:hAnsi="Verdana"/>
          <w:sz w:val="16"/>
          <w:szCs w:val="16"/>
          <w:lang w:val="en-US"/>
        </w:rPr>
        <w:t>lating to their own development</w:t>
      </w:r>
      <w:r w:rsidRPr="00965219">
        <w:rPr>
          <w:rFonts w:ascii="Verdana" w:hAnsi="Verdana"/>
          <w:sz w:val="20"/>
          <w:szCs w:val="20"/>
          <w:lang w:val="en-US"/>
        </w:rPr>
        <w:t xml:space="preserve"> </w:t>
      </w:r>
      <w:r w:rsidRPr="00965219">
        <w:rPr>
          <w:rFonts w:ascii="Verdana" w:hAnsi="Verdana"/>
          <w:color w:val="000000"/>
          <w:sz w:val="16"/>
          <w:szCs w:val="16"/>
          <w:lang w:val="en-US"/>
        </w:rPr>
        <w:t xml:space="preserve">[…].” </w:t>
      </w:r>
    </w:p>
  </w:footnote>
  <w:footnote w:id="241">
    <w:p w14:paraId="63126CDB" w14:textId="2C8DAEB8" w:rsidR="00624C98" w:rsidRPr="00965219" w:rsidRDefault="00624C98" w:rsidP="00145D1D">
      <w:pPr>
        <w:pStyle w:val="FootnoteText"/>
        <w:spacing w:after="80"/>
        <w:rPr>
          <w:b/>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Mutatis mutandi, Case of Yatama v. Nicaragua, </w:t>
      </w:r>
      <w:r w:rsidRPr="00567F37">
        <w:rPr>
          <w:i/>
          <w:lang w:val="en-US"/>
        </w:rPr>
        <w:t>Preliminary Objections</w:t>
      </w:r>
      <w:r w:rsidRPr="00965219">
        <w:rPr>
          <w:i/>
          <w:lang w:val="en-US"/>
        </w:rPr>
        <w:t xml:space="preserve">, </w:t>
      </w:r>
      <w:r w:rsidRPr="00567F37">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lang w:val="en-US"/>
        </w:rPr>
        <w:t>. Judgment of June 23, 2005. Series C No. 127, para. 225.</w:t>
      </w:r>
    </w:p>
  </w:footnote>
  <w:footnote w:id="242">
    <w:p w14:paraId="63126CD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t>
      </w:r>
      <w:r w:rsidRPr="00965219">
        <w:rPr>
          <w:i/>
          <w:lang w:val="en-US"/>
        </w:rPr>
        <w:t>Case of the Saramaka People</w:t>
      </w:r>
      <w:r w:rsidRPr="00965219">
        <w:rPr>
          <w:i/>
          <w:snapToGrid w:val="0"/>
          <w:lang w:val="en-US"/>
        </w:rPr>
        <w:t>,</w:t>
      </w:r>
      <w:r w:rsidRPr="00965219">
        <w:rPr>
          <w:snapToGrid w:val="0"/>
          <w:lang w:val="en-US"/>
        </w:rPr>
        <w:t xml:space="preserve"> </w:t>
      </w:r>
      <w:r w:rsidRPr="00965219">
        <w:rPr>
          <w:i/>
          <w:snapToGrid w:val="0"/>
          <w:lang w:val="en-US"/>
        </w:rPr>
        <w:t>supra</w:t>
      </w:r>
      <w:r w:rsidRPr="00965219">
        <w:rPr>
          <w:snapToGrid w:val="0"/>
          <w:lang w:val="en-US"/>
        </w:rPr>
        <w:t xml:space="preserve">, para. 129. Likewise, in the </w:t>
      </w:r>
      <w:r w:rsidRPr="00965219">
        <w:rPr>
          <w:i/>
          <w:snapToGrid w:val="0"/>
          <w:lang w:val="en-US"/>
        </w:rPr>
        <w:t>case</w:t>
      </w:r>
      <w:r w:rsidRPr="00965219">
        <w:rPr>
          <w:snapToGrid w:val="0"/>
          <w:lang w:val="en-US"/>
        </w:rPr>
        <w:t xml:space="preserve"> </w:t>
      </w:r>
      <w:r w:rsidRPr="00965219">
        <w:rPr>
          <w:i/>
          <w:lang w:val="en-US"/>
        </w:rPr>
        <w:t xml:space="preserve">of the Garífuna Community of Punta Piedra and its members, </w:t>
      </w:r>
      <w:r w:rsidRPr="00965219">
        <w:rPr>
          <w:lang w:val="en-US"/>
        </w:rPr>
        <w:t xml:space="preserve">the Court indicated that the consultation must take place beforehand, and must be carried out starting in the initial stages of the development or investment plan so that the indigenous and tribal peoples may truly participate and influence the decision-making process. </w:t>
      </w:r>
      <w:r w:rsidRPr="00965219">
        <w:rPr>
          <w:i/>
          <w:lang w:val="en-US"/>
        </w:rPr>
        <w:t>Cf.</w:t>
      </w:r>
      <w:r w:rsidRPr="00965219">
        <w:rPr>
          <w:lang w:val="en-US"/>
        </w:rPr>
        <w:t xml:space="preserve"> </w:t>
      </w:r>
      <w:r w:rsidRPr="00965219">
        <w:rPr>
          <w:i/>
          <w:lang w:val="en-US"/>
        </w:rPr>
        <w:t>Case of the Garífuna Community of Punta Piedra and its members, supra</w:t>
      </w:r>
      <w:r w:rsidRPr="00965219">
        <w:rPr>
          <w:lang w:val="en-US"/>
        </w:rPr>
        <w:t xml:space="preserve">, paras. </w:t>
      </w:r>
      <w:proofErr w:type="gramStart"/>
      <w:r w:rsidRPr="00965219">
        <w:rPr>
          <w:lang w:val="en-US"/>
        </w:rPr>
        <w:t>217 and 223.</w:t>
      </w:r>
      <w:proofErr w:type="gramEnd"/>
      <w:r w:rsidRPr="00965219">
        <w:rPr>
          <w:lang w:val="en-US"/>
        </w:rPr>
        <w:t xml:space="preserve"> </w:t>
      </w:r>
    </w:p>
  </w:footnote>
  <w:footnote w:id="243">
    <w:p w14:paraId="63126CD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Case of the Saramaka People, supra,</w:t>
      </w:r>
      <w:r w:rsidRPr="00965219">
        <w:rPr>
          <w:lang w:val="en-US"/>
        </w:rPr>
        <w:t xml:space="preserve"> para.</w:t>
      </w:r>
      <w:proofErr w:type="gramEnd"/>
      <w:r w:rsidRPr="00965219">
        <w:rPr>
          <w:lang w:val="en-US"/>
        </w:rPr>
        <w:t xml:space="preserve"> 129. The Court understands, also, that a mining project has different stages, including, above all, the exploration stage, the exploitation stage, and that of the project conclusion. </w:t>
      </w:r>
      <w:r w:rsidRPr="00965219">
        <w:rPr>
          <w:i/>
          <w:lang w:val="en-US"/>
        </w:rPr>
        <w:t>Cf.</w:t>
      </w:r>
      <w:r w:rsidRPr="00965219">
        <w:rPr>
          <w:lang w:val="en-US"/>
        </w:rPr>
        <w:t xml:space="preserve"> Mining Decree</w:t>
      </w:r>
      <w:r w:rsidRPr="00965219">
        <w:rPr>
          <w:i/>
          <w:lang w:val="en-US"/>
        </w:rPr>
        <w:t xml:space="preserve"> </w:t>
      </w:r>
      <w:r w:rsidRPr="00965219">
        <w:rPr>
          <w:lang w:val="en-US"/>
        </w:rPr>
        <w:t>of May 8, 1986, articles 21, 25 and 30, which indicate reconnaissance, exploration and exploitation as the stages of a large-scale mining project in Suriname (evidence file, folios 428, 431 and 435).</w:t>
      </w:r>
    </w:p>
  </w:footnote>
  <w:footnote w:id="244">
    <w:p w14:paraId="63126CD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Forest Management Act of September 18, 1992, article 41: “1. a. The customary law rights of the inhabitants of the interior living in tribal communities in their villages and settlements as well as their agricultural plots, will be respected as much as possible. </w:t>
      </w:r>
      <w:proofErr w:type="gramStart"/>
      <w:r w:rsidRPr="00965219">
        <w:rPr>
          <w:lang w:val="en-US"/>
        </w:rPr>
        <w:t>b</w:t>
      </w:r>
      <w:proofErr w:type="gramEnd"/>
      <w:r w:rsidRPr="00965219">
        <w:rPr>
          <w:lang w:val="en-US"/>
        </w:rPr>
        <w:t>. In case of violations of the customary rights as mentioned under a, an appeal in writing may be made to the President, which appeal is to be drawn up by the relevant traditional authority of the tribal inhabitants of the interior stating the reasons for the appeal. The President will appoint a committee to advise him on the matter. 2. Upon consultation with the Minister responsible for regional development, the Minister will declare certain forestry areas to be communal forest for the benefit of the tribal inhabitants of the interior. The utilization and management of the communal forest are further established by state decree. 3. No concession fee shall be due for the communal forest. The relevant provisions of this act will accordingly be applicable to timber, wood products and non-timber products to be transported from the communal forest and intended for possible commercial use. The gatherer will then owe the charges mentioned in article 32 paragraph 1b and article 40, and the compensation mentioned in article 13 […]” (evidence file, folio 2727).</w:t>
      </w:r>
    </w:p>
  </w:footnote>
  <w:footnote w:id="245">
    <w:p w14:paraId="63126CDF"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Mining Decree of May 8, </w:t>
      </w:r>
      <w:r w:rsidRPr="00965219">
        <w:rPr>
          <w:rFonts w:ascii="Verdana" w:hAnsi="Verdana"/>
          <w:sz w:val="16"/>
          <w:lang w:val="en-US"/>
        </w:rPr>
        <w:t xml:space="preserve">1986, article 25 </w:t>
      </w:r>
      <w:r w:rsidRPr="00965219">
        <w:rPr>
          <w:rFonts w:ascii="Verdana" w:hAnsi="Verdana"/>
          <w:sz w:val="16"/>
          <w:szCs w:val="16"/>
          <w:lang w:val="en-US"/>
        </w:rPr>
        <w:t xml:space="preserve">(evidence file, folio 431). </w:t>
      </w:r>
    </w:p>
  </w:footnote>
  <w:footnote w:id="246">
    <w:p w14:paraId="63126CE0" w14:textId="77777777" w:rsidR="00624C98" w:rsidRPr="00965219" w:rsidRDefault="00624C98" w:rsidP="00145D1D">
      <w:pPr>
        <w:pStyle w:val="FootnoteText"/>
        <w:spacing w:after="80"/>
        <w:rPr>
          <w:lang w:val="en-US"/>
        </w:rPr>
      </w:pPr>
      <w:r w:rsidRPr="00965219">
        <w:rPr>
          <w:rStyle w:val="FootnoteReference"/>
          <w:rFonts w:eastAsia="Calibri"/>
          <w:sz w:val="16"/>
          <w:lang w:val="en-US" w:eastAsia="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Mariska Muskiet dated April 30, 2007 (merits file, folios 452 and </w:t>
      </w:r>
      <w:r w:rsidRPr="00965219">
        <w:rPr>
          <w:i/>
          <w:lang w:val="en-US"/>
        </w:rPr>
        <w:t>ff</w:t>
      </w:r>
      <w:r w:rsidRPr="00965219">
        <w:rPr>
          <w:lang w:val="en-US"/>
        </w:rPr>
        <w:t>).</w:t>
      </w:r>
    </w:p>
  </w:footnote>
  <w:footnote w:id="247">
    <w:p w14:paraId="63126CE1"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According to different testimonies and the expert opinion of Stuart Kirsch, (merits file, folio 357), logging concessions granted to non-indigenous third parties exist within the Wane Kreek Nature Reserve. Also according to the Bauxite Institute of Suriname, new exploration activities have been initiated since 2014 in Wane Kreek Hills as a result of the concession granted from 1958 to 2033 (evidence file, folio 3076).</w:t>
      </w:r>
      <w:r w:rsidRPr="00965219">
        <w:rPr>
          <w:rFonts w:ascii="Verdana" w:hAnsi="Verdana"/>
          <w:b/>
          <w:sz w:val="16"/>
          <w:szCs w:val="16"/>
          <w:lang w:val="en-US"/>
        </w:rPr>
        <w:t xml:space="preserve"> </w:t>
      </w:r>
      <w:r w:rsidRPr="00965219">
        <w:rPr>
          <w:rFonts w:ascii="Verdana" w:hAnsi="Verdana"/>
          <w:sz w:val="16"/>
          <w:szCs w:val="16"/>
          <w:lang w:val="en-US"/>
        </w:rPr>
        <w:t xml:space="preserve">The Court has insufficient evidence to establish the date, location, </w:t>
      </w:r>
      <w:proofErr w:type="gramStart"/>
      <w:r w:rsidRPr="00965219">
        <w:rPr>
          <w:rFonts w:ascii="Verdana" w:hAnsi="Verdana"/>
          <w:sz w:val="16"/>
          <w:szCs w:val="16"/>
          <w:lang w:val="en-US"/>
        </w:rPr>
        <w:t>number of concessions, individuals or companies to which logging concessions have</w:t>
      </w:r>
      <w:proofErr w:type="gramEnd"/>
      <w:r w:rsidRPr="00965219">
        <w:rPr>
          <w:rFonts w:ascii="Verdana" w:hAnsi="Verdana"/>
          <w:sz w:val="16"/>
          <w:szCs w:val="16"/>
          <w:lang w:val="en-US"/>
        </w:rPr>
        <w:t xml:space="preserve"> been granted or whether exploration activities were, indeed, resumed in 2014.</w:t>
      </w:r>
    </w:p>
  </w:footnote>
  <w:footnote w:id="248">
    <w:p w14:paraId="63126CE2" w14:textId="77777777" w:rsidR="00624C98" w:rsidRPr="00965219" w:rsidRDefault="00624C98" w:rsidP="00C12C4D">
      <w:pPr>
        <w:tabs>
          <w:tab w:val="left" w:pos="567"/>
        </w:tabs>
        <w:spacing w:after="80"/>
        <w:jc w:val="both"/>
        <w:rPr>
          <w:rFonts w:ascii="Verdana" w:eastAsia="Times New Roman" w:hAnsi="Verdana" w:cs="Arial"/>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 </w:t>
      </w:r>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sz w:val="16"/>
          <w:szCs w:val="16"/>
          <w:lang w:val="en-US"/>
        </w:rPr>
        <w:t>Case of the Saramaka People</w:t>
      </w:r>
      <w:r w:rsidRPr="00965219">
        <w:rPr>
          <w:rFonts w:ascii="Verdana" w:hAnsi="Verdana"/>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 xml:space="preserve">, para. </w:t>
      </w:r>
      <w:proofErr w:type="gramStart"/>
      <w:r w:rsidRPr="00965219">
        <w:rPr>
          <w:rFonts w:ascii="Verdana" w:hAnsi="Verdana"/>
          <w:sz w:val="16"/>
          <w:szCs w:val="16"/>
          <w:lang w:val="en-US"/>
        </w:rPr>
        <w:t>129,</w:t>
      </w:r>
      <w:proofErr w:type="gramEnd"/>
      <w:r w:rsidRPr="00965219">
        <w:rPr>
          <w:rFonts w:ascii="Verdana" w:hAnsi="Verdana"/>
          <w:sz w:val="16"/>
          <w:szCs w:val="16"/>
          <w:lang w:val="en-US"/>
        </w:rPr>
        <w:t xml:space="preserve"> and </w:t>
      </w:r>
      <w:r w:rsidRPr="00965219">
        <w:rPr>
          <w:rFonts w:ascii="Verdana" w:hAnsi="Verdana"/>
          <w:i/>
          <w:sz w:val="16"/>
          <w:szCs w:val="16"/>
          <w:lang w:val="en-US"/>
        </w:rPr>
        <w:t>Case of the Kichwa Indigenous People of Sarayaku, supra,</w:t>
      </w:r>
      <w:r w:rsidRPr="00965219">
        <w:rPr>
          <w:rFonts w:ascii="Verdana" w:hAnsi="Verdana"/>
          <w:sz w:val="16"/>
          <w:szCs w:val="16"/>
          <w:lang w:val="en-US"/>
        </w:rPr>
        <w:t xml:space="preserve"> para. 205. </w:t>
      </w:r>
      <w:r w:rsidRPr="00E52A02">
        <w:rPr>
          <w:rFonts w:ascii="Verdana" w:hAnsi="Verdana"/>
          <w:i/>
          <w:sz w:val="16"/>
          <w:szCs w:val="16"/>
          <w:lang w:val="en-US"/>
        </w:rPr>
        <w:t>Cf.</w:t>
      </w:r>
      <w:r w:rsidRPr="00965219">
        <w:rPr>
          <w:rFonts w:ascii="Verdana" w:hAnsi="Verdana"/>
          <w:sz w:val="16"/>
          <w:szCs w:val="16"/>
          <w:lang w:val="en-US"/>
        </w:rPr>
        <w:t xml:space="preserve"> Article 14 of the Convention on Biological Diversity, </w:t>
      </w:r>
      <w:r w:rsidRPr="00965219">
        <w:rPr>
          <w:rFonts w:ascii="Verdana" w:hAnsi="Verdana"/>
          <w:i/>
          <w:sz w:val="16"/>
          <w:szCs w:val="16"/>
          <w:lang w:val="en-US"/>
        </w:rPr>
        <w:t xml:space="preserve">supra: </w:t>
      </w:r>
      <w:r w:rsidRPr="00965219">
        <w:rPr>
          <w:rFonts w:ascii="Verdana" w:hAnsi="Verdana"/>
          <w:sz w:val="16"/>
          <w:szCs w:val="16"/>
          <w:lang w:val="en-US"/>
        </w:rPr>
        <w:t>“</w:t>
      </w:r>
      <w:r w:rsidRPr="00965219">
        <w:rPr>
          <w:rFonts w:ascii="Verdana" w:eastAsia="Times New Roman" w:hAnsi="Verdana"/>
          <w:bCs/>
          <w:kern w:val="36"/>
          <w:sz w:val="16"/>
          <w:szCs w:val="16"/>
          <w:lang w:val="en-US"/>
        </w:rPr>
        <w:t xml:space="preserve">Impact Assessment and Minimizing Adverse Impacts. </w:t>
      </w:r>
      <w:r w:rsidRPr="00965219">
        <w:rPr>
          <w:rFonts w:ascii="Verdana" w:eastAsia="Times New Roman" w:hAnsi="Verdana"/>
          <w:sz w:val="16"/>
          <w:szCs w:val="16"/>
          <w:lang w:val="en-US"/>
        </w:rPr>
        <w:t xml:space="preserve">1. Each Contracting Party, as far as possible and as appropriate, shall: (a)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 (b) Introduce appropriate arrangements to ensure that the environmental consequences of its programmes and policies that are likely to have significant adverse impacts on biological diversity are duly taken into account; […] </w:t>
      </w:r>
      <w:r w:rsidRPr="00965219">
        <w:rPr>
          <w:rFonts w:ascii="Verdana" w:hAnsi="Verdana"/>
          <w:sz w:val="16"/>
          <w:szCs w:val="16"/>
          <w:lang w:val="en-US"/>
        </w:rPr>
        <w:t xml:space="preserve">and Rio Declaration on Environment and Development, </w:t>
      </w:r>
      <w:r w:rsidRPr="00965219">
        <w:rPr>
          <w:rFonts w:ascii="Verdana" w:hAnsi="Verdana"/>
          <w:i/>
          <w:sz w:val="16"/>
          <w:szCs w:val="16"/>
          <w:lang w:val="en-US"/>
        </w:rPr>
        <w:t xml:space="preserve">supra, </w:t>
      </w:r>
      <w:r w:rsidRPr="00965219">
        <w:rPr>
          <w:rFonts w:ascii="Verdana" w:hAnsi="Verdana"/>
          <w:sz w:val="16"/>
          <w:szCs w:val="16"/>
          <w:lang w:val="en-US"/>
        </w:rPr>
        <w:t xml:space="preserve">Principle 17 which stipulates that: </w:t>
      </w:r>
      <w:r w:rsidRPr="00965219">
        <w:rPr>
          <w:rFonts w:ascii="Verdana" w:hAnsi="Verdana" w:cs="Arial"/>
          <w:sz w:val="16"/>
          <w:szCs w:val="16"/>
          <w:lang w:val="en-US"/>
        </w:rPr>
        <w:t>“</w:t>
      </w:r>
      <w:r w:rsidRPr="00965219">
        <w:rPr>
          <w:rFonts w:ascii="Verdana" w:eastAsia="Times New Roman" w:hAnsi="Verdana" w:cs="Arial"/>
          <w:sz w:val="16"/>
          <w:szCs w:val="16"/>
          <w:lang w:val="en-US"/>
        </w:rPr>
        <w:t>[e]nvironmental impact assessment, as a national instrument, shall be undertaken for proposed activities that are likely to have a significant adverse impact on the environment and are subject to a decision of a competent national authority.</w:t>
      </w:r>
      <w:r w:rsidRPr="00965219">
        <w:rPr>
          <w:rFonts w:ascii="Verdana" w:hAnsi="Verdana" w:cs="Arial"/>
          <w:sz w:val="16"/>
          <w:szCs w:val="16"/>
          <w:lang w:val="en-US"/>
        </w:rPr>
        <w:t xml:space="preserve">” </w:t>
      </w:r>
    </w:p>
  </w:footnote>
  <w:footnote w:id="249">
    <w:p w14:paraId="63126CE3" w14:textId="46EB08A6" w:rsidR="00624C98" w:rsidRPr="00965219" w:rsidRDefault="00624C98" w:rsidP="00145D1D">
      <w:pPr>
        <w:pStyle w:val="Footnotes"/>
        <w:spacing w:before="0"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Saramaka People, supra, </w:t>
      </w:r>
      <w:r w:rsidRPr="00965219">
        <w:rPr>
          <w:lang w:val="en-US"/>
        </w:rPr>
        <w:t xml:space="preserve">para. </w:t>
      </w:r>
      <w:proofErr w:type="gramStart"/>
      <w:r w:rsidRPr="00965219">
        <w:rPr>
          <w:lang w:val="en-US"/>
        </w:rPr>
        <w:t>133,</w:t>
      </w:r>
      <w:proofErr w:type="gramEnd"/>
      <w:r w:rsidRPr="00965219">
        <w:rPr>
          <w:lang w:val="en-US"/>
        </w:rPr>
        <w:t xml:space="preserve"> and</w:t>
      </w:r>
      <w:r w:rsidRPr="00965219">
        <w:rPr>
          <w:i/>
          <w:lang w:val="en-US"/>
        </w:rPr>
        <w:t xml:space="preserve"> Case of the Saramaka People v. Suriname. </w:t>
      </w:r>
      <w:proofErr w:type="gramStart"/>
      <w:r w:rsidRPr="00965219">
        <w:rPr>
          <w:i/>
          <w:lang w:val="en-US"/>
        </w:rPr>
        <w:t xml:space="preserve">Interpretation of the judgment on </w:t>
      </w:r>
      <w:r w:rsidRPr="00567F37">
        <w:rPr>
          <w:i/>
          <w:lang w:val="en-US"/>
        </w:rPr>
        <w:t>Preliminary Objections</w:t>
      </w:r>
      <w:r w:rsidRPr="00965219">
        <w:rPr>
          <w:i/>
          <w:lang w:val="en-US"/>
        </w:rPr>
        <w:t xml:space="preserve">, </w:t>
      </w:r>
      <w:r w:rsidRPr="00567F37">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August 12, 2008. Series C No. 185, paras. </w:t>
      </w:r>
      <w:proofErr w:type="gramStart"/>
      <w:r w:rsidRPr="00965219">
        <w:rPr>
          <w:lang w:val="en-US"/>
        </w:rPr>
        <w:t>40 and 41, and</w:t>
      </w:r>
      <w:r w:rsidRPr="00965219">
        <w:rPr>
          <w:i/>
          <w:lang w:val="en-US"/>
        </w:rPr>
        <w:t xml:space="preserve"> Case of the Kichwa Indigenous People of Sarayaku, supra,</w:t>
      </w:r>
      <w:r w:rsidRPr="00965219">
        <w:rPr>
          <w:lang w:val="en-US"/>
        </w:rPr>
        <w:t xml:space="preserve"> para.</w:t>
      </w:r>
      <w:proofErr w:type="gramEnd"/>
      <w:r w:rsidRPr="00965219">
        <w:rPr>
          <w:lang w:val="en-US"/>
        </w:rPr>
        <w:t xml:space="preserve"> 205.</w:t>
      </w:r>
    </w:p>
  </w:footnote>
  <w:footnote w:id="250">
    <w:p w14:paraId="63126CE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 Case of the Saramaka People.</w:t>
      </w:r>
      <w:proofErr w:type="gramEnd"/>
      <w:r w:rsidRPr="00965219">
        <w:rPr>
          <w:i/>
          <w:lang w:val="en-US"/>
        </w:rPr>
        <w:t xml:space="preserve"> </w:t>
      </w:r>
      <w:proofErr w:type="gramStart"/>
      <w:r w:rsidRPr="00965219">
        <w:rPr>
          <w:i/>
          <w:lang w:val="en-US"/>
        </w:rPr>
        <w:t>Interpretation of the judgment, supra,</w:t>
      </w:r>
      <w:r w:rsidRPr="00965219">
        <w:rPr>
          <w:lang w:val="en-US"/>
        </w:rPr>
        <w:t xml:space="preserve"> para.</w:t>
      </w:r>
      <w:proofErr w:type="gramEnd"/>
      <w:r w:rsidRPr="00965219">
        <w:rPr>
          <w:lang w:val="en-US"/>
        </w:rPr>
        <w:t xml:space="preserve"> 42.</w:t>
      </w:r>
    </w:p>
  </w:footnote>
  <w:footnote w:id="251">
    <w:p w14:paraId="63126CE5" w14:textId="77777777" w:rsidR="00624C98" w:rsidRPr="00965219" w:rsidRDefault="00624C98" w:rsidP="00145D1D">
      <w:pPr>
        <w:pStyle w:val="articletext"/>
        <w:tabs>
          <w:tab w:val="left" w:pos="567"/>
        </w:tabs>
        <w:spacing w:before="0" w:beforeAutospacing="0" w:after="80" w:afterAutospacing="0"/>
        <w:jc w:val="both"/>
        <w:rPr>
          <w:rFonts w:ascii="Verdana" w:hAnsi="Verdana"/>
          <w:sz w:val="16"/>
          <w:szCs w:val="16"/>
        </w:rPr>
      </w:pPr>
      <w:r w:rsidRPr="00965219">
        <w:rPr>
          <w:rStyle w:val="FootnoteReference"/>
          <w:sz w:val="16"/>
          <w:szCs w:val="16"/>
        </w:rPr>
        <w:footnoteRef/>
      </w:r>
      <w:r w:rsidRPr="00965219">
        <w:rPr>
          <w:rFonts w:ascii="Verdana" w:hAnsi="Verdana"/>
          <w:sz w:val="16"/>
          <w:szCs w:val="16"/>
        </w:rPr>
        <w:t xml:space="preserve"> </w:t>
      </w:r>
      <w:r w:rsidRPr="00965219">
        <w:rPr>
          <w:rFonts w:ascii="Verdana" w:hAnsi="Verdana"/>
          <w:i/>
          <w:sz w:val="16"/>
          <w:szCs w:val="16"/>
        </w:rPr>
        <w:tab/>
      </w:r>
      <w:proofErr w:type="gramStart"/>
      <w:r w:rsidRPr="00965219">
        <w:rPr>
          <w:rFonts w:ascii="Verdana" w:hAnsi="Verdana"/>
          <w:i/>
          <w:sz w:val="16"/>
          <w:szCs w:val="16"/>
        </w:rPr>
        <w:t>Cf. Case of the Saramaka People.</w:t>
      </w:r>
      <w:proofErr w:type="gramEnd"/>
      <w:r w:rsidRPr="00965219">
        <w:rPr>
          <w:rFonts w:ascii="Verdana" w:hAnsi="Verdana"/>
          <w:i/>
          <w:sz w:val="16"/>
          <w:szCs w:val="16"/>
        </w:rPr>
        <w:t xml:space="preserve"> </w:t>
      </w:r>
      <w:proofErr w:type="gramStart"/>
      <w:r w:rsidRPr="00965219">
        <w:rPr>
          <w:rFonts w:ascii="Verdana" w:hAnsi="Verdana"/>
          <w:i/>
          <w:sz w:val="16"/>
          <w:szCs w:val="16"/>
        </w:rPr>
        <w:t>Interpretation of the Judgment, supra,</w:t>
      </w:r>
      <w:r w:rsidRPr="00965219">
        <w:rPr>
          <w:rFonts w:ascii="Verdana" w:hAnsi="Verdana"/>
          <w:sz w:val="16"/>
          <w:szCs w:val="16"/>
        </w:rPr>
        <w:t xml:space="preserve"> para.</w:t>
      </w:r>
      <w:proofErr w:type="gramEnd"/>
      <w:r w:rsidRPr="00965219">
        <w:rPr>
          <w:rFonts w:ascii="Verdana" w:hAnsi="Verdana"/>
          <w:sz w:val="16"/>
          <w:szCs w:val="16"/>
        </w:rPr>
        <w:t xml:space="preserve"> </w:t>
      </w:r>
      <w:proofErr w:type="gramStart"/>
      <w:r w:rsidRPr="00965219">
        <w:rPr>
          <w:rFonts w:ascii="Verdana" w:hAnsi="Verdana"/>
          <w:sz w:val="16"/>
          <w:szCs w:val="16"/>
        </w:rPr>
        <w:t>41,</w:t>
      </w:r>
      <w:proofErr w:type="gramEnd"/>
      <w:r w:rsidRPr="00965219">
        <w:rPr>
          <w:rFonts w:ascii="Verdana" w:hAnsi="Verdana"/>
          <w:sz w:val="16"/>
          <w:szCs w:val="16"/>
        </w:rPr>
        <w:t xml:space="preserve"> and </w:t>
      </w:r>
      <w:r w:rsidRPr="00965219">
        <w:rPr>
          <w:rFonts w:ascii="Verdana" w:hAnsi="Verdana"/>
          <w:i/>
          <w:sz w:val="16"/>
          <w:szCs w:val="16"/>
        </w:rPr>
        <w:t>Case of the Kichwa Indigenous People of Sarayaku, supra</w:t>
      </w:r>
      <w:r w:rsidRPr="00965219">
        <w:rPr>
          <w:rFonts w:ascii="Verdana" w:hAnsi="Verdana"/>
          <w:sz w:val="16"/>
          <w:szCs w:val="16"/>
        </w:rPr>
        <w:t xml:space="preserve">, para. 206. </w:t>
      </w:r>
      <w:r w:rsidRPr="00E52A02">
        <w:rPr>
          <w:rFonts w:ascii="Verdana" w:hAnsi="Verdana"/>
          <w:i/>
          <w:sz w:val="16"/>
          <w:szCs w:val="16"/>
        </w:rPr>
        <w:t>Cf.</w:t>
      </w:r>
      <w:r w:rsidRPr="00965219">
        <w:rPr>
          <w:rFonts w:ascii="Verdana" w:hAnsi="Verdana"/>
          <w:sz w:val="16"/>
          <w:szCs w:val="16"/>
        </w:rPr>
        <w:t xml:space="preserve"> Rio Declaration on Environment and Development, </w:t>
      </w:r>
      <w:r w:rsidRPr="00965219">
        <w:rPr>
          <w:rFonts w:ascii="Verdana" w:hAnsi="Verdana"/>
          <w:i/>
          <w:sz w:val="16"/>
          <w:szCs w:val="16"/>
        </w:rPr>
        <w:t>supra,</w:t>
      </w:r>
      <w:r w:rsidRPr="00965219">
        <w:rPr>
          <w:rFonts w:ascii="Verdana" w:eastAsia="Calibri" w:hAnsi="Verdana"/>
          <w:iCs/>
          <w:sz w:val="16"/>
          <w:szCs w:val="16"/>
        </w:rPr>
        <w:t xml:space="preserve"> </w:t>
      </w:r>
      <w:r w:rsidRPr="00965219">
        <w:rPr>
          <w:rFonts w:ascii="Verdana" w:hAnsi="Verdana"/>
          <w:sz w:val="16"/>
          <w:szCs w:val="16"/>
        </w:rPr>
        <w:t>Principle 10 indicates that: “[e]nvironmental issues are best handled with participation of all concerned citizens, at the relevant level. At the national level, each individual shall have appropriate access to information concerning the environment that is held by public authorities, including information on hazardous materials and activities in their communities, and the opportunity to participate in decision-making processes. States shall facilitate and encourage public awareness and participation by making information widely available. Effective access to judicial and administrative proceedings, including redress and remedy, shall be provided.”</w:t>
      </w:r>
      <w:r w:rsidRPr="00965219">
        <w:rPr>
          <w:rFonts w:cs="Arial"/>
        </w:rPr>
        <w:t xml:space="preserve"> </w:t>
      </w:r>
    </w:p>
  </w:footnote>
  <w:footnote w:id="252">
    <w:p w14:paraId="63126CE6" w14:textId="77777777" w:rsidR="00624C98" w:rsidRPr="00965219" w:rsidRDefault="00624C98" w:rsidP="00145D1D">
      <w:pPr>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sz w:val="16"/>
          <w:szCs w:val="16"/>
          <w:lang w:val="en-US"/>
        </w:rPr>
        <w:t xml:space="preserve">Case of the Saramaka </w:t>
      </w:r>
      <w:r w:rsidRPr="00C465BB">
        <w:rPr>
          <w:rFonts w:ascii="Verdana" w:hAnsi="Verdana"/>
          <w:i/>
          <w:sz w:val="16"/>
          <w:szCs w:val="16"/>
          <w:lang w:val="en-US"/>
        </w:rPr>
        <w:t>People</w:t>
      </w:r>
      <w:r w:rsidRPr="00C465BB">
        <w:rPr>
          <w:rFonts w:ascii="Verdana" w:hAnsi="Verdana"/>
          <w:sz w:val="16"/>
          <w:szCs w:val="16"/>
          <w:lang w:val="en-US"/>
        </w:rPr>
        <w:t>.</w:t>
      </w:r>
      <w:proofErr w:type="gramEnd"/>
      <w:r w:rsidRPr="00965219">
        <w:rPr>
          <w:rFonts w:ascii="Verdana" w:hAnsi="Verdana"/>
          <w:sz w:val="16"/>
          <w:szCs w:val="16"/>
          <w:lang w:val="en-US"/>
        </w:rPr>
        <w:t xml:space="preserve"> </w:t>
      </w:r>
      <w:proofErr w:type="gramStart"/>
      <w:r w:rsidRPr="00965219">
        <w:rPr>
          <w:rFonts w:ascii="Verdana" w:hAnsi="Verdana"/>
          <w:i/>
          <w:sz w:val="16"/>
          <w:szCs w:val="16"/>
          <w:lang w:val="en-US"/>
        </w:rPr>
        <w:t>Interpretation of the Judgment</w:t>
      </w:r>
      <w:r w:rsidRPr="00965219">
        <w:rPr>
          <w:rFonts w:ascii="Verdana" w:hAnsi="Verdana"/>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 para.</w:t>
      </w:r>
      <w:proofErr w:type="gramEnd"/>
      <w:r w:rsidRPr="00965219">
        <w:rPr>
          <w:rFonts w:ascii="Verdana" w:hAnsi="Verdana"/>
          <w:sz w:val="16"/>
          <w:szCs w:val="16"/>
          <w:lang w:val="en-US"/>
        </w:rPr>
        <w:t xml:space="preserve"> </w:t>
      </w:r>
      <w:proofErr w:type="gramStart"/>
      <w:r w:rsidRPr="00965219">
        <w:rPr>
          <w:rFonts w:ascii="Verdana" w:hAnsi="Verdana"/>
          <w:sz w:val="16"/>
          <w:szCs w:val="16"/>
          <w:lang w:val="en-US"/>
        </w:rPr>
        <w:t>41,</w:t>
      </w:r>
      <w:proofErr w:type="gramEnd"/>
      <w:r w:rsidRPr="00965219">
        <w:rPr>
          <w:rFonts w:ascii="Verdana" w:hAnsi="Verdana"/>
          <w:sz w:val="16"/>
          <w:szCs w:val="16"/>
          <w:lang w:val="en-US"/>
        </w:rPr>
        <w:t xml:space="preserve"> and </w:t>
      </w:r>
      <w:r w:rsidRPr="00965219">
        <w:rPr>
          <w:rFonts w:ascii="Verdana" w:eastAsia="Batang" w:hAnsi="Verdana" w:cs="Palatino-Italic"/>
          <w:i/>
          <w:iCs/>
          <w:sz w:val="16"/>
          <w:szCs w:val="16"/>
          <w:lang w:val="en-US"/>
        </w:rPr>
        <w:t>Case of the Kichwa Indigenous People of Sarayaku, supra</w:t>
      </w:r>
      <w:r w:rsidRPr="00965219">
        <w:rPr>
          <w:rFonts w:ascii="Verdana" w:hAnsi="Verdana"/>
          <w:i/>
          <w:sz w:val="16"/>
          <w:szCs w:val="16"/>
          <w:lang w:val="en-US"/>
        </w:rPr>
        <w:t>,</w:t>
      </w:r>
      <w:r w:rsidRPr="00965219">
        <w:rPr>
          <w:rFonts w:ascii="Verdana" w:hAnsi="Verdana"/>
          <w:sz w:val="16"/>
          <w:szCs w:val="16"/>
          <w:lang w:val="en-US"/>
        </w:rPr>
        <w:t xml:space="preserve"> </w:t>
      </w:r>
      <w:r w:rsidRPr="00965219">
        <w:rPr>
          <w:rFonts w:ascii="Verdana" w:eastAsia="Batang" w:hAnsi="Verdana" w:cs="Palatino-Italic"/>
          <w:iCs/>
          <w:sz w:val="16"/>
          <w:szCs w:val="16"/>
          <w:lang w:val="en-US"/>
        </w:rPr>
        <w:t xml:space="preserve">para. </w:t>
      </w:r>
      <w:proofErr w:type="gramStart"/>
      <w:r w:rsidRPr="00965219">
        <w:rPr>
          <w:rFonts w:ascii="Verdana" w:eastAsia="Batang" w:hAnsi="Verdana" w:cs="Palatino-Italic"/>
          <w:iCs/>
          <w:sz w:val="16"/>
          <w:szCs w:val="16"/>
          <w:lang w:val="en-US"/>
        </w:rPr>
        <w:t>206,</w:t>
      </w:r>
      <w:proofErr w:type="gramEnd"/>
      <w:r w:rsidRPr="00965219">
        <w:rPr>
          <w:rFonts w:ascii="Verdana" w:eastAsia="Batang" w:hAnsi="Verdana" w:cs="Palatino-Italic"/>
          <w:iCs/>
          <w:sz w:val="16"/>
          <w:szCs w:val="16"/>
          <w:lang w:val="en-US"/>
        </w:rPr>
        <w:t xml:space="preserve"> and </w:t>
      </w:r>
      <w:r w:rsidRPr="00965219">
        <w:rPr>
          <w:rFonts w:ascii="Verdana" w:hAnsi="Verdana"/>
          <w:sz w:val="16"/>
          <w:szCs w:val="16"/>
          <w:lang w:val="en-US"/>
        </w:rPr>
        <w:t xml:space="preserve">Rio Declaration on Environment and Development, </w:t>
      </w:r>
      <w:r w:rsidRPr="00965219">
        <w:rPr>
          <w:rFonts w:ascii="Verdana" w:hAnsi="Verdana"/>
          <w:i/>
          <w:sz w:val="16"/>
          <w:szCs w:val="16"/>
          <w:lang w:val="en-US"/>
        </w:rPr>
        <w:t>supra,</w:t>
      </w:r>
      <w:r w:rsidRPr="00965219">
        <w:rPr>
          <w:rFonts w:ascii="Verdana" w:hAnsi="Verdana"/>
          <w:sz w:val="16"/>
          <w:szCs w:val="16"/>
          <w:lang w:val="en-US"/>
        </w:rPr>
        <w:t xml:space="preserve"> Principle 22 indicates that: </w:t>
      </w:r>
      <w:r w:rsidRPr="00965219">
        <w:rPr>
          <w:rFonts w:ascii="Verdana" w:hAnsi="Verdana" w:cs="Arial"/>
          <w:sz w:val="16"/>
          <w:szCs w:val="16"/>
          <w:shd w:val="clear" w:color="auto" w:fill="FFFFFF"/>
          <w:lang w:val="en-US"/>
        </w:rPr>
        <w:t>“[i]</w:t>
      </w:r>
      <w:r w:rsidRPr="00965219">
        <w:rPr>
          <w:rFonts w:ascii="Verdana" w:hAnsi="Verdana"/>
          <w:sz w:val="16"/>
          <w:szCs w:val="16"/>
          <w:lang w:val="en-US"/>
        </w:rPr>
        <w:t>ndigenous people and their communities and other local communities have a vital role in environmental management and development because of their knowledge and traditional practices. States should recognize and duly support their identity, culture and interests and enable their effective participation in the achievement of sustainable development.”</w:t>
      </w:r>
    </w:p>
  </w:footnote>
  <w:footnote w:id="253">
    <w:p w14:paraId="63126CE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Expert opinion of Stuart Kirsh of January 27, 2015 (merits file, folio 357). The expert witness indicated that, in a personal communication of February 10, 2009, the Vice President for Sustainable Development of BHP Billiton advised him that the domestic laws of Suriname did not require environmental and social impact studies, and this is why they were not conducted until 2005.</w:t>
      </w:r>
    </w:p>
  </w:footnote>
  <w:footnote w:id="254">
    <w:p w14:paraId="63126CE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 According to the expert opinion of Dr. Stuart Kirsh, the Wane Kreek Nature Reserve has become a, </w:t>
      </w:r>
      <w:r w:rsidRPr="00965219">
        <w:rPr>
          <w:i/>
          <w:lang w:val="en-US"/>
        </w:rPr>
        <w:t>de facto</w:t>
      </w:r>
      <w:r w:rsidRPr="00965219">
        <w:rPr>
          <w:lang w:val="en-US"/>
        </w:rPr>
        <w:t xml:space="preserve">, extractive zone for mining natural resources with negative effects for the environment and prejudicial consequences for the indigenous peoples. </w:t>
      </w:r>
      <w:r w:rsidRPr="00965219">
        <w:rPr>
          <w:i/>
          <w:lang w:val="en-US"/>
        </w:rPr>
        <w:t>Cf.</w:t>
      </w:r>
      <w:r w:rsidRPr="00965219">
        <w:rPr>
          <w:lang w:val="en-US"/>
        </w:rPr>
        <w:t xml:space="preserve"> Expert opinion of Stuart Kirsh of January 27, 2015 (merits file, folios 357 to 360).</w:t>
      </w:r>
    </w:p>
  </w:footnote>
  <w:footnote w:id="255">
    <w:p w14:paraId="63126CE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Captain Grace Watamaleo on January 27, 2015 (merits file, folio 450), and Expert opinion of Stuart Kirsh of January 27, 2015 (merits file, folio 360).</w:t>
      </w:r>
    </w:p>
  </w:footnote>
  <w:footnote w:id="256">
    <w:p w14:paraId="63126CEA" w14:textId="77777777" w:rsidR="00624C98" w:rsidRPr="00965219" w:rsidRDefault="00624C98" w:rsidP="00145D1D">
      <w:pPr>
        <w:spacing w:after="80"/>
        <w:jc w:val="both"/>
        <w:rPr>
          <w:rFonts w:ascii="Verdana" w:hAnsi="Verdana"/>
          <w:color w:val="333333"/>
          <w:sz w:val="16"/>
          <w:szCs w:val="16"/>
          <w:shd w:val="clear" w:color="auto" w:fill="FFFFFF"/>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eastAsia="Batang" w:hAnsi="Verdana"/>
          <w:sz w:val="16"/>
          <w:szCs w:val="16"/>
          <w:lang w:val="en-US" w:eastAsia="es-ES"/>
        </w:rPr>
        <w:t xml:space="preserve">For example, legal and illegal logging activities, poaching, sand and gravel mining and, recently, the mining of kaolin. </w:t>
      </w:r>
      <w:r w:rsidRPr="00965219">
        <w:rPr>
          <w:rFonts w:ascii="Verdana" w:hAnsi="Verdana"/>
          <w:i/>
          <w:sz w:val="16"/>
          <w:szCs w:val="16"/>
          <w:lang w:val="en-US"/>
        </w:rPr>
        <w:t>Cf.</w:t>
      </w:r>
      <w:r w:rsidRPr="00965219">
        <w:rPr>
          <w:rFonts w:ascii="Verdana" w:hAnsi="Verdana"/>
          <w:sz w:val="16"/>
          <w:szCs w:val="16"/>
          <w:lang w:val="en-US"/>
        </w:rPr>
        <w:t xml:space="preserve"> Affidavit made by Captain Grace Watamaleo on January 27, 2015 (merits file, folio 450).</w:t>
      </w:r>
    </w:p>
  </w:footnote>
  <w:footnote w:id="257">
    <w:p w14:paraId="63126CE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Environmental sensitivity analysis of the Wane 4 Concession, July 4, 2005 (merits file, folio 390).</w:t>
      </w:r>
    </w:p>
  </w:footnote>
  <w:footnote w:id="258">
    <w:p w14:paraId="63126CE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Memorandum of August 2015 prepared by the Bauxite Institute of Suriname on the rehabilitation of Wane Kreek Hills (evidence file, folio 3076).</w:t>
      </w:r>
    </w:p>
  </w:footnote>
  <w:footnote w:id="259">
    <w:p w14:paraId="63126CE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r w:rsidRPr="00965219">
        <w:rPr>
          <w:lang w:val="en-US"/>
        </w:rPr>
        <w:t xml:space="preserve"> Memorandum of August 2015 prepared by the Bauxite Institute of Suriname on the rehabilitation of Wane Kreek Hills, </w:t>
      </w:r>
      <w:r w:rsidRPr="00965219">
        <w:rPr>
          <w:i/>
          <w:lang w:val="en-US"/>
        </w:rPr>
        <w:t>supra</w:t>
      </w:r>
      <w:r w:rsidRPr="00965219">
        <w:rPr>
          <w:lang w:val="en-US"/>
        </w:rPr>
        <w:t xml:space="preserve"> (evidence file, folio 3076).</w:t>
      </w:r>
      <w:proofErr w:type="gramEnd"/>
    </w:p>
  </w:footnote>
  <w:footnote w:id="260">
    <w:p w14:paraId="63126CEE"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Cf.</w:t>
      </w:r>
      <w:r w:rsidRPr="00965219">
        <w:rPr>
          <w:rFonts w:ascii="Verdana" w:hAnsi="Verdana"/>
          <w:sz w:val="16"/>
          <w:szCs w:val="16"/>
          <w:lang w:val="en-US"/>
        </w:rPr>
        <w:t xml:space="preserve"> Expert opinion of Stuart Kirsh of January 27, 2015 (merits file, folios 359 to 362).</w:t>
      </w:r>
    </w:p>
  </w:footnote>
  <w:footnote w:id="261">
    <w:p w14:paraId="63126CEF" w14:textId="6B14B404" w:rsidR="00624C98" w:rsidRPr="00965219" w:rsidRDefault="00624C98" w:rsidP="00145D1D">
      <w:pPr>
        <w:pStyle w:val="FootnoteText"/>
        <w:spacing w:after="80"/>
        <w:rPr>
          <w:lang w:val="en-US"/>
        </w:rPr>
      </w:pPr>
      <w:r w:rsidRPr="00965219">
        <w:rPr>
          <w:rStyle w:val="FootnoteReference"/>
          <w:sz w:val="16"/>
          <w:lang w:val="en-US"/>
        </w:rPr>
        <w:footnoteRef/>
      </w:r>
      <w:r w:rsidRPr="00C12C4D">
        <w:rPr>
          <w:rStyle w:val="FootnoteReference"/>
          <w:sz w:val="16"/>
          <w:lang w:val="es-CR"/>
        </w:rPr>
        <w:t xml:space="preserve"> </w:t>
      </w:r>
      <w:r w:rsidRPr="00C12C4D">
        <w:rPr>
          <w:lang w:val="es-CR"/>
        </w:rPr>
        <w:tab/>
      </w:r>
      <w:r w:rsidRPr="00C12C4D">
        <w:rPr>
          <w:i/>
          <w:lang w:val="es-CR"/>
        </w:rPr>
        <w:t xml:space="preserve">Cf. Case of Suárez Peralta v. Ecuador. </w:t>
      </w:r>
      <w:proofErr w:type="gramStart"/>
      <w:r w:rsidRPr="00567F37">
        <w:rPr>
          <w:i/>
          <w:lang w:val="en-US"/>
        </w:rPr>
        <w:t>Preliminary Objections</w:t>
      </w:r>
      <w:r w:rsidRPr="00965219">
        <w:rPr>
          <w:i/>
          <w:lang w:val="en-US"/>
        </w:rPr>
        <w:t xml:space="preserve">, </w:t>
      </w:r>
      <w:r w:rsidRPr="00567F37">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May 21, 2013. Series C No. 261, para. </w:t>
      </w:r>
      <w:proofErr w:type="gramStart"/>
      <w:r w:rsidRPr="00965219">
        <w:rPr>
          <w:lang w:val="en-US"/>
        </w:rPr>
        <w:t>133,</w:t>
      </w:r>
      <w:proofErr w:type="gramEnd"/>
      <w:r w:rsidRPr="00965219">
        <w:rPr>
          <w:lang w:val="en-US"/>
        </w:rPr>
        <w:t xml:space="preserve"> and</w:t>
      </w:r>
      <w:r w:rsidRPr="00965219">
        <w:rPr>
          <w:i/>
          <w:lang w:val="en-US"/>
        </w:rPr>
        <w:t xml:space="preserve"> Case of Gonzales Lluy el al. v. Ecuador. </w:t>
      </w:r>
      <w:proofErr w:type="gramStart"/>
      <w:r w:rsidRPr="00567F37">
        <w:rPr>
          <w:i/>
          <w:lang w:val="en-US"/>
        </w:rPr>
        <w:t>Preliminary Objections</w:t>
      </w:r>
      <w:r w:rsidRPr="00965219">
        <w:rPr>
          <w:i/>
          <w:lang w:val="en-US"/>
        </w:rPr>
        <w:t xml:space="preserve">, </w:t>
      </w:r>
      <w:r w:rsidRPr="00567F37">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lang w:val="en-US"/>
        </w:rPr>
        <w:t xml:space="preserve"> Judgment of September 1, 2015. Series C No. 298, para. 184.</w:t>
      </w:r>
    </w:p>
  </w:footnote>
  <w:footnote w:id="262">
    <w:p w14:paraId="63126CF0" w14:textId="77777777" w:rsidR="00624C98" w:rsidRPr="00965219" w:rsidRDefault="00624C98" w:rsidP="00145D1D">
      <w:pPr>
        <w:tabs>
          <w:tab w:val="left" w:pos="567"/>
        </w:tabs>
        <w:spacing w:after="80"/>
        <w:jc w:val="both"/>
        <w:rPr>
          <w:rFonts w:ascii="Verdana" w:hAnsi="Verdana"/>
          <w:i/>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Cf.</w:t>
      </w:r>
      <w:r w:rsidRPr="00965219">
        <w:rPr>
          <w:rFonts w:ascii="Verdana" w:hAnsi="Verdana"/>
          <w:sz w:val="16"/>
          <w:szCs w:val="16"/>
          <w:lang w:val="en-US"/>
        </w:rPr>
        <w:t xml:space="preserve"> UN, Guiding Principles on Business and Human Rights: Implementing the United Nations “Protect, Respect and Remedy” Framework. Report of </w:t>
      </w:r>
      <w:r w:rsidRPr="00965219">
        <w:rPr>
          <w:rFonts w:ascii="Verdana" w:eastAsia="Times New Roman" w:hAnsi="Verdana" w:cs="Arial"/>
          <w:sz w:val="16"/>
          <w:szCs w:val="16"/>
          <w:lang w:val="en-US"/>
        </w:rPr>
        <w:t>the Special Representative of the Secretary-General on the issue of human rights and transnational corporations and other business enterprises</w:t>
      </w:r>
      <w:r w:rsidRPr="00965219">
        <w:rPr>
          <w:rFonts w:ascii="Verdana" w:hAnsi="Verdana"/>
          <w:sz w:val="16"/>
          <w:szCs w:val="16"/>
          <w:lang w:val="en-US"/>
        </w:rPr>
        <w:t xml:space="preserve">, John Ruggie, presented to the seventeenth session of the Human Rights Council of the United Nations, </w:t>
      </w:r>
      <w:r w:rsidRPr="00965219">
        <w:rPr>
          <w:rFonts w:ascii="Verdana" w:eastAsia="Times New Roman" w:hAnsi="Verdana" w:cs="Arial"/>
          <w:sz w:val="16"/>
          <w:szCs w:val="16"/>
          <w:lang w:val="en-US"/>
        </w:rPr>
        <w:t xml:space="preserve">A/HRC/17/31, </w:t>
      </w:r>
      <w:proofErr w:type="gramStart"/>
      <w:r w:rsidRPr="00965219">
        <w:rPr>
          <w:rFonts w:ascii="Verdana" w:eastAsia="Times New Roman" w:hAnsi="Verdana" w:cs="Arial"/>
          <w:sz w:val="16"/>
          <w:szCs w:val="16"/>
          <w:lang w:val="en-US"/>
        </w:rPr>
        <w:t>21</w:t>
      </w:r>
      <w:proofErr w:type="gramEnd"/>
      <w:r w:rsidRPr="00965219">
        <w:rPr>
          <w:rFonts w:ascii="Verdana" w:eastAsia="Times New Roman" w:hAnsi="Verdana" w:cs="Arial"/>
          <w:sz w:val="16"/>
          <w:szCs w:val="16"/>
          <w:lang w:val="en-US"/>
        </w:rPr>
        <w:t xml:space="preserve"> March 2011. Available at: </w:t>
      </w:r>
      <w:hyperlink r:id="rId19" w:history="1">
        <w:r w:rsidRPr="00965219">
          <w:rPr>
            <w:rStyle w:val="Hyperlink"/>
            <w:rFonts w:ascii="Verdana" w:hAnsi="Verdana"/>
            <w:sz w:val="16"/>
            <w:szCs w:val="16"/>
            <w:lang w:val="en-US"/>
          </w:rPr>
          <w:t>http://www.ohchr.org/EN/Issues/TransnationalCorporations/Pages/Reports.aspx</w:t>
        </w:r>
      </w:hyperlink>
      <w:r w:rsidRPr="00965219">
        <w:rPr>
          <w:rFonts w:ascii="Verdana" w:hAnsi="Verdana"/>
          <w:sz w:val="16"/>
          <w:szCs w:val="16"/>
          <w:u w:val="single"/>
          <w:lang w:val="en-US"/>
        </w:rPr>
        <w:t>.</w:t>
      </w:r>
      <w:r w:rsidRPr="00965219">
        <w:rPr>
          <w:rFonts w:ascii="Verdana" w:hAnsi="Verdana"/>
          <w:sz w:val="16"/>
          <w:szCs w:val="16"/>
          <w:lang w:val="en-US"/>
        </w:rPr>
        <w:t xml:space="preserve"> </w:t>
      </w:r>
      <w:r w:rsidRPr="00965219">
        <w:rPr>
          <w:rFonts w:ascii="Verdana" w:eastAsia="Times New Roman" w:hAnsi="Verdana" w:cs="Arial"/>
          <w:sz w:val="16"/>
          <w:szCs w:val="16"/>
          <w:lang w:val="en-US"/>
        </w:rPr>
        <w:t xml:space="preserve">The Human Rights Council endorsed these principles and created a working group to promote their implementation. </w:t>
      </w:r>
      <w:r w:rsidRPr="00965219">
        <w:rPr>
          <w:rFonts w:ascii="Verdana" w:eastAsia="Times New Roman" w:hAnsi="Verdana" w:cs="Arial"/>
          <w:i/>
          <w:sz w:val="16"/>
          <w:szCs w:val="16"/>
          <w:lang w:val="en-US"/>
        </w:rPr>
        <w:t xml:space="preserve">Cf. </w:t>
      </w:r>
      <w:r w:rsidRPr="00965219">
        <w:rPr>
          <w:rFonts w:ascii="Verdana" w:eastAsia="Times New Roman" w:hAnsi="Verdana" w:cs="Arial"/>
          <w:sz w:val="16"/>
          <w:szCs w:val="16"/>
          <w:lang w:val="en-US"/>
        </w:rPr>
        <w:t xml:space="preserve">Human Rights Council, Resolution 17/4, UN Doc. A/HRC/17/4, 6 July 2011. Available at: </w:t>
      </w:r>
      <w:hyperlink r:id="rId20" w:history="1">
        <w:r w:rsidRPr="00965219">
          <w:rPr>
            <w:rStyle w:val="Hyperlink"/>
            <w:rFonts w:ascii="Verdana" w:hAnsi="Verdana"/>
            <w:sz w:val="16"/>
            <w:szCs w:val="16"/>
            <w:lang w:val="en-US"/>
          </w:rPr>
          <w:t xml:space="preserve">http://daccess-dds-ny.un.org/doc/RESOLUTION/GEN/G11/144/74/PDF G1114474.pdf? </w:t>
        </w:r>
        <w:proofErr w:type="gramStart"/>
        <w:r w:rsidRPr="00965219">
          <w:rPr>
            <w:rStyle w:val="Hyperlink"/>
            <w:rFonts w:ascii="Verdana" w:hAnsi="Verdana"/>
            <w:sz w:val="16"/>
            <w:szCs w:val="16"/>
            <w:lang w:val="en-US"/>
          </w:rPr>
          <w:t>OpenElement</w:t>
        </w:r>
      </w:hyperlink>
      <w:r w:rsidRPr="00965219">
        <w:rPr>
          <w:rFonts w:ascii="Verdana" w:hAnsi="Verdana"/>
          <w:sz w:val="16"/>
          <w:szCs w:val="16"/>
          <w:lang w:val="en-US"/>
        </w:rPr>
        <w:t>.</w:t>
      </w:r>
      <w:proofErr w:type="gramEnd"/>
      <w:r w:rsidRPr="00965219">
        <w:rPr>
          <w:rFonts w:ascii="Verdana" w:hAnsi="Verdana"/>
          <w:sz w:val="16"/>
          <w:szCs w:val="16"/>
          <w:lang w:val="en-US"/>
        </w:rPr>
        <w:t xml:space="preserve"> Also, </w:t>
      </w:r>
      <w:r w:rsidRPr="00965219">
        <w:rPr>
          <w:rFonts w:ascii="Verdana" w:hAnsi="Verdana"/>
          <w:i/>
          <w:sz w:val="16"/>
          <w:szCs w:val="16"/>
          <w:lang w:val="en-US"/>
        </w:rPr>
        <w:t xml:space="preserve">cf. </w:t>
      </w:r>
      <w:hyperlink r:id="rId21" w:tooltip="OHCHR issues interpretive guide on the corporate responsibility to respect human rights" w:history="1">
        <w:r w:rsidRPr="00965219">
          <w:rPr>
            <w:rStyle w:val="Hyperlink"/>
            <w:rFonts w:ascii="Verdana" w:hAnsi="Verdana"/>
            <w:bCs/>
            <w:color w:val="auto"/>
            <w:sz w:val="16"/>
            <w:szCs w:val="16"/>
            <w:u w:val="none"/>
            <w:lang w:val="en-US"/>
          </w:rPr>
          <w:t>The Corporate Responsibility to Respect Human Rights: An Interpretive Guide</w:t>
        </w:r>
      </w:hyperlink>
      <w:r w:rsidRPr="00965219">
        <w:rPr>
          <w:rFonts w:ascii="Verdana" w:hAnsi="Verdana"/>
          <w:sz w:val="16"/>
          <w:szCs w:val="16"/>
          <w:lang w:val="en-US"/>
        </w:rPr>
        <w:t xml:space="preserve">. Available at: </w:t>
      </w:r>
      <w:hyperlink r:id="rId22" w:history="1">
        <w:r w:rsidRPr="00965219">
          <w:rPr>
            <w:rStyle w:val="Hyperlink"/>
            <w:rFonts w:ascii="Verdana" w:hAnsi="Verdana"/>
            <w:sz w:val="16"/>
            <w:szCs w:val="16"/>
            <w:lang w:val="en-US"/>
          </w:rPr>
          <w:t>http://www.ohchr.org/Documents/Publications/ HR.PUB.12.2_En.pdf</w:t>
        </w:r>
      </w:hyperlink>
      <w:r w:rsidRPr="00965219">
        <w:rPr>
          <w:rFonts w:ascii="Verdana" w:hAnsi="Verdana"/>
          <w:sz w:val="16"/>
          <w:szCs w:val="16"/>
          <w:lang w:val="en-US"/>
        </w:rPr>
        <w:t>. Likewise, in a resolution of June 4, 2014, the Organization of American States emphasized the need to continue implementing legally binding instruments for businesses and to facilitate “</w:t>
      </w:r>
      <w:r w:rsidRPr="00965219">
        <w:rPr>
          <w:rFonts w:ascii="Verdana" w:eastAsia="Times New Roman" w:hAnsi="Verdana"/>
          <w:sz w:val="16"/>
          <w:szCs w:val="16"/>
          <w:lang w:val="en-US"/>
        </w:rPr>
        <w:t>the exchange of information and sharing of best practices on promotion and protection of human rights in business.</w:t>
      </w:r>
      <w:r w:rsidRPr="00965219">
        <w:rPr>
          <w:rFonts w:ascii="Verdana" w:hAnsi="Verdana"/>
          <w:sz w:val="16"/>
          <w:szCs w:val="16"/>
          <w:lang w:val="en-US"/>
        </w:rPr>
        <w:t xml:space="preserve">” </w:t>
      </w:r>
      <w:r w:rsidRPr="00965219">
        <w:rPr>
          <w:rFonts w:ascii="Verdana" w:hAnsi="Verdana"/>
          <w:i/>
          <w:sz w:val="16"/>
          <w:szCs w:val="16"/>
          <w:lang w:val="en-US"/>
        </w:rPr>
        <w:t>Cf.</w:t>
      </w:r>
      <w:r w:rsidRPr="00965219">
        <w:rPr>
          <w:rFonts w:ascii="Verdana" w:hAnsi="Verdana"/>
          <w:sz w:val="16"/>
          <w:szCs w:val="16"/>
          <w:lang w:val="en-US"/>
        </w:rPr>
        <w:t xml:space="preserve"> Resolution AG/RES. 2840 (XLIV-O/14), on Promotion and Protection of Human Rights in Business, adopted at the second plenary session held on June 4, 2014. Available at: </w:t>
      </w:r>
      <w:hyperlink r:id="rId23" w:history="1">
        <w:r w:rsidRPr="00965219">
          <w:rPr>
            <w:rStyle w:val="Hyperlink"/>
            <w:rFonts w:ascii="Verdana" w:hAnsi="Verdana"/>
            <w:sz w:val="16"/>
            <w:szCs w:val="16"/>
            <w:lang w:val="en-US"/>
          </w:rPr>
          <w:t>http://www.oas.org/en/sla/dil/docs/AG-RES_2840_XLIV-O-14.pdf</w:t>
        </w:r>
      </w:hyperlink>
      <w:r w:rsidRPr="00965219">
        <w:rPr>
          <w:rFonts w:ascii="Verdana" w:hAnsi="Verdana"/>
          <w:sz w:val="16"/>
          <w:szCs w:val="16"/>
          <w:lang w:val="en-US"/>
        </w:rPr>
        <w:t>.</w:t>
      </w:r>
    </w:p>
  </w:footnote>
  <w:footnote w:id="263">
    <w:p w14:paraId="63126CF1"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w:t>
      </w:r>
      <w:r w:rsidRPr="00965219">
        <w:rPr>
          <w:rFonts w:ascii="Verdana" w:hAnsi="Verdana"/>
          <w:sz w:val="16"/>
          <w:szCs w:val="16"/>
          <w:lang w:val="en-US"/>
        </w:rPr>
        <w:t xml:space="preserve"> Guiding Principles on Business and Human Rights, </w:t>
      </w:r>
      <w:r w:rsidRPr="00965219">
        <w:rPr>
          <w:rFonts w:ascii="Verdana" w:hAnsi="Verdana"/>
          <w:i/>
          <w:sz w:val="16"/>
          <w:szCs w:val="16"/>
          <w:lang w:val="en-US"/>
        </w:rPr>
        <w:t xml:space="preserve">supra, </w:t>
      </w:r>
      <w:r w:rsidRPr="00965219">
        <w:rPr>
          <w:rFonts w:ascii="Verdana" w:hAnsi="Verdana"/>
          <w:sz w:val="16"/>
          <w:szCs w:val="16"/>
          <w:lang w:val="en-US"/>
        </w:rPr>
        <w:t>Principles 1, 11, 12, 13, 14, 15, 17, 18, 22, 25.</w:t>
      </w:r>
      <w:proofErr w:type="gramEnd"/>
    </w:p>
  </w:footnote>
  <w:footnote w:id="264">
    <w:p w14:paraId="63126CF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w:t>
      </w:r>
      <w:r w:rsidRPr="00965219">
        <w:rPr>
          <w:lang w:val="en-US"/>
        </w:rPr>
        <w:t xml:space="preserve">Guiding Principles on Business and Human Rights, </w:t>
      </w:r>
      <w:r w:rsidRPr="00965219">
        <w:rPr>
          <w:i/>
          <w:lang w:val="en-US"/>
        </w:rPr>
        <w:t>supra,</w:t>
      </w:r>
      <w:r w:rsidRPr="00965219">
        <w:rPr>
          <w:lang w:val="en-US"/>
        </w:rPr>
        <w:t xml:space="preserve"> Principle 1.</w:t>
      </w:r>
    </w:p>
  </w:footnote>
  <w:footnote w:id="265">
    <w:p w14:paraId="5F97D720" w14:textId="5F24D9F0" w:rsidR="00624C98" w:rsidRPr="00965219" w:rsidRDefault="00624C98" w:rsidP="00152430">
      <w:pPr>
        <w:spacing w:after="80"/>
        <w:jc w:val="both"/>
        <w:rPr>
          <w:rFonts w:ascii="Verdana" w:eastAsia="Times New Roman"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 xml:space="preserve">According to the paragraph 18 of the Report of </w:t>
      </w:r>
      <w:r w:rsidRPr="00965219">
        <w:rPr>
          <w:rFonts w:ascii="Verdana" w:eastAsia="Times New Roman" w:hAnsi="Verdana" w:cs="Arial"/>
          <w:sz w:val="16"/>
          <w:szCs w:val="16"/>
          <w:lang w:val="en-US"/>
        </w:rPr>
        <w:t>the Special Representative of the Secretary-General on the issue of human rights and transnational corporations and other business enterprises</w:t>
      </w:r>
      <w:r w:rsidRPr="00965219">
        <w:rPr>
          <w:rFonts w:ascii="Verdana" w:hAnsi="Verdana"/>
          <w:sz w:val="16"/>
          <w:szCs w:val="16"/>
          <w:lang w:val="en-US"/>
        </w:rPr>
        <w:t>, John Ruggie: “</w:t>
      </w:r>
      <w:r w:rsidRPr="00965219">
        <w:rPr>
          <w:rFonts w:ascii="Verdana" w:eastAsia="Times New Roman" w:hAnsi="Verdana"/>
          <w:sz w:val="16"/>
          <w:szCs w:val="16"/>
          <w:lang w:val="en-US"/>
        </w:rPr>
        <w:t>The initial step in conducting human rights due diligence is to identify and assess the nature of the actual and potential adverse human rights impacts with which a business enterprise may be involved. The purpose is to understand the specific impacts on specific people, given a specific context of operations. Typically this includes assessing the human rights context prior to a proposed business activity, where possible; identifying who may be affected; cataloguing the relevant human rights standards and issues; and projecting how the proposed activity and associated business relationships could have adverse human rights impacts on those identified. In this process, business enterprises should pay special attention to any particular human rights impacts on individuals from groups or populations that may be at heightened risk of vulnerability or marginalization, and bear in mind the different risks that may be faced by women and men.</w:t>
      </w:r>
      <w:r w:rsidRPr="00965219">
        <w:rPr>
          <w:rFonts w:ascii="Verdana" w:hAnsi="Verdana"/>
          <w:sz w:val="16"/>
          <w:szCs w:val="16"/>
          <w:lang w:val="en-US"/>
        </w:rPr>
        <w:t xml:space="preserve">” UN Doc. </w:t>
      </w:r>
      <w:proofErr w:type="gramStart"/>
      <w:r w:rsidRPr="00965219">
        <w:rPr>
          <w:rFonts w:ascii="Verdana" w:eastAsia="Times New Roman" w:hAnsi="Verdana"/>
          <w:sz w:val="16"/>
          <w:szCs w:val="16"/>
          <w:lang w:val="en-US"/>
        </w:rPr>
        <w:t>A/HRC/17/31.</w:t>
      </w:r>
      <w:proofErr w:type="gramEnd"/>
      <w:r w:rsidRPr="00965219">
        <w:rPr>
          <w:rFonts w:ascii="Verdana" w:eastAsia="Times New Roman" w:hAnsi="Verdana"/>
          <w:sz w:val="16"/>
          <w:szCs w:val="16"/>
          <w:lang w:val="en-US"/>
        </w:rPr>
        <w:t xml:space="preserve"> </w:t>
      </w:r>
      <w:r w:rsidRPr="00965219">
        <w:rPr>
          <w:rFonts w:ascii="Verdana" w:hAnsi="Verdana"/>
          <w:sz w:val="16"/>
          <w:szCs w:val="16"/>
          <w:lang w:val="en-US"/>
        </w:rPr>
        <w:t xml:space="preserve">Available at: </w:t>
      </w:r>
      <w:hyperlink r:id="rId24" w:history="1">
        <w:r w:rsidRPr="00965219">
          <w:rPr>
            <w:rStyle w:val="Hyperlink"/>
            <w:rFonts w:ascii="Verdana" w:hAnsi="Verdana"/>
            <w:sz w:val="16"/>
            <w:szCs w:val="16"/>
            <w:lang w:val="en-US"/>
          </w:rPr>
          <w:t>http://daccess-dds-ny.un.org/doc/UNDOC/GEN/ G11/121/90/PDF/ G1112190.pdf?OpenElement</w:t>
        </w:r>
      </w:hyperlink>
      <w:r w:rsidRPr="00965219">
        <w:rPr>
          <w:rFonts w:ascii="Verdana" w:eastAsia="Times New Roman" w:hAnsi="Verdana"/>
          <w:sz w:val="16"/>
          <w:szCs w:val="16"/>
          <w:lang w:val="en-US"/>
        </w:rPr>
        <w:t>.</w:t>
      </w:r>
    </w:p>
  </w:footnote>
  <w:footnote w:id="266">
    <w:p w14:paraId="63126CF4" w14:textId="5F24D9F0"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Case of the Saramaka People, supra</w:t>
      </w:r>
      <w:r w:rsidRPr="00965219">
        <w:rPr>
          <w:rStyle w:val="Strong"/>
          <w:b w:val="0"/>
          <w:lang w:val="en-US"/>
        </w:rPr>
        <w:t>,</w:t>
      </w:r>
      <w:r w:rsidRPr="00965219">
        <w:rPr>
          <w:rStyle w:val="Strong"/>
          <w:lang w:val="en-US"/>
        </w:rPr>
        <w:t xml:space="preserve"> </w:t>
      </w:r>
      <w:r w:rsidRPr="00965219">
        <w:rPr>
          <w:lang w:val="en-US"/>
        </w:rPr>
        <w:t xml:space="preserve">paras. </w:t>
      </w:r>
      <w:proofErr w:type="gramStart"/>
      <w:r w:rsidRPr="00965219">
        <w:rPr>
          <w:lang w:val="en-US"/>
        </w:rPr>
        <w:t>138 and 139.</w:t>
      </w:r>
      <w:proofErr w:type="gramEnd"/>
    </w:p>
  </w:footnote>
  <w:footnote w:id="267">
    <w:p w14:paraId="63126CF5" w14:textId="08456DC9" w:rsidR="00624C98" w:rsidRPr="00965219" w:rsidRDefault="00624C98" w:rsidP="00145D1D">
      <w:pPr>
        <w:tabs>
          <w:tab w:val="left" w:pos="567"/>
        </w:tabs>
        <w:spacing w:after="80"/>
        <w:jc w:val="both"/>
        <w:rPr>
          <w:rFonts w:ascii="Verdana" w:hAnsi="Verdana"/>
          <w:b/>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 Case of Velásquez Rodríguez v. Honduras.</w:t>
      </w:r>
      <w:proofErr w:type="gramEnd"/>
      <w:r w:rsidRPr="00965219">
        <w:rPr>
          <w:rFonts w:ascii="Verdana" w:hAnsi="Verdana"/>
          <w:i/>
          <w:sz w:val="16"/>
          <w:szCs w:val="16"/>
          <w:lang w:val="en-US"/>
        </w:rPr>
        <w:t xml:space="preserve"> </w:t>
      </w:r>
      <w:proofErr w:type="gramStart"/>
      <w:r w:rsidRPr="00567F37">
        <w:rPr>
          <w:rFonts w:ascii="Verdana" w:hAnsi="Verdana"/>
          <w:i/>
          <w:spacing w:val="-6"/>
          <w:sz w:val="16"/>
          <w:szCs w:val="16"/>
          <w:lang w:val="en-US"/>
        </w:rPr>
        <w:t>Preliminary Objections</w:t>
      </w:r>
      <w:r w:rsidRPr="00965219">
        <w:rPr>
          <w:rFonts w:ascii="Verdana" w:hAnsi="Verdana"/>
          <w:i/>
          <w:spacing w:val="-6"/>
          <w:sz w:val="16"/>
          <w:szCs w:val="16"/>
          <w:lang w:val="en-US"/>
        </w:rPr>
        <w:t>.</w:t>
      </w:r>
      <w:proofErr w:type="gramEnd"/>
      <w:r w:rsidRPr="00965219">
        <w:rPr>
          <w:rFonts w:ascii="Verdana" w:hAnsi="Verdana"/>
          <w:i/>
          <w:spacing w:val="-6"/>
          <w:sz w:val="16"/>
          <w:szCs w:val="16"/>
          <w:lang w:val="en-US"/>
        </w:rPr>
        <w:t xml:space="preserve"> </w:t>
      </w:r>
      <w:r w:rsidRPr="00965219">
        <w:rPr>
          <w:rFonts w:ascii="Verdana" w:hAnsi="Verdana"/>
          <w:spacing w:val="-6"/>
          <w:sz w:val="16"/>
          <w:szCs w:val="16"/>
          <w:lang w:val="en-US"/>
        </w:rPr>
        <w:t>Judgment of June 26, 1987. Series C No.1</w:t>
      </w:r>
      <w:r w:rsidRPr="00965219">
        <w:rPr>
          <w:rFonts w:ascii="Verdana" w:hAnsi="Verdana"/>
          <w:sz w:val="16"/>
          <w:szCs w:val="16"/>
          <w:lang w:val="en-US"/>
        </w:rPr>
        <w:t>,</w:t>
      </w:r>
      <w:r w:rsidRPr="00965219">
        <w:rPr>
          <w:rFonts w:ascii="Verdana" w:hAnsi="Verdana"/>
          <w:i/>
          <w:sz w:val="16"/>
          <w:szCs w:val="16"/>
          <w:lang w:val="en-US"/>
        </w:rPr>
        <w:t xml:space="preserve"> </w:t>
      </w:r>
      <w:r w:rsidRPr="00965219">
        <w:rPr>
          <w:rFonts w:ascii="Verdana" w:hAnsi="Verdana"/>
          <w:sz w:val="16"/>
          <w:szCs w:val="16"/>
          <w:lang w:val="en-US"/>
        </w:rPr>
        <w:t xml:space="preserve">para. </w:t>
      </w:r>
      <w:proofErr w:type="gramStart"/>
      <w:r w:rsidRPr="00965219">
        <w:rPr>
          <w:rFonts w:ascii="Verdana" w:hAnsi="Verdana"/>
          <w:sz w:val="16"/>
          <w:szCs w:val="16"/>
          <w:lang w:val="en-US"/>
        </w:rPr>
        <w:t xml:space="preserve">91, and </w:t>
      </w:r>
      <w:r w:rsidRPr="00965219">
        <w:rPr>
          <w:rStyle w:val="Strong"/>
          <w:rFonts w:ascii="Verdana" w:hAnsi="Verdana"/>
          <w:b w:val="0"/>
          <w:i/>
          <w:sz w:val="16"/>
          <w:szCs w:val="16"/>
          <w:lang w:val="en-US"/>
        </w:rPr>
        <w:t>Case of López Lone, supra</w:t>
      </w:r>
      <w:r w:rsidRPr="00965219">
        <w:rPr>
          <w:rStyle w:val="Strong"/>
          <w:rFonts w:ascii="Verdana" w:hAnsi="Verdana"/>
          <w:b w:val="0"/>
          <w:sz w:val="16"/>
          <w:szCs w:val="16"/>
          <w:lang w:val="en-US"/>
        </w:rPr>
        <w:t>, para.</w:t>
      </w:r>
      <w:proofErr w:type="gramEnd"/>
      <w:r w:rsidRPr="00965219">
        <w:rPr>
          <w:rStyle w:val="Strong"/>
          <w:rFonts w:ascii="Verdana" w:hAnsi="Verdana"/>
          <w:b w:val="0"/>
          <w:sz w:val="16"/>
          <w:szCs w:val="16"/>
          <w:lang w:val="en-US"/>
        </w:rPr>
        <w:t xml:space="preserve"> 245.</w:t>
      </w:r>
    </w:p>
  </w:footnote>
  <w:footnote w:id="268">
    <w:p w14:paraId="63126CF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Mayagna (Sumo) Awas Tingni Community, supra, </w:t>
      </w:r>
      <w:r w:rsidRPr="00965219">
        <w:rPr>
          <w:lang w:val="en-US"/>
        </w:rPr>
        <w:t xml:space="preserve">para. </w:t>
      </w:r>
      <w:proofErr w:type="gramStart"/>
      <w:r w:rsidRPr="00965219">
        <w:rPr>
          <w:lang w:val="en-US"/>
        </w:rPr>
        <w:t>113,</w:t>
      </w:r>
      <w:proofErr w:type="gramEnd"/>
      <w:r w:rsidRPr="00965219">
        <w:rPr>
          <w:lang w:val="en-US"/>
        </w:rPr>
        <w:t xml:space="preserve"> and</w:t>
      </w:r>
      <w:r w:rsidRPr="00965219">
        <w:rPr>
          <w:i/>
          <w:lang w:val="en-US"/>
        </w:rPr>
        <w:t xml:space="preserve"> Case of the Kuna Indigenous Peo</w:t>
      </w:r>
      <w:r>
        <w:rPr>
          <w:i/>
          <w:lang w:val="en-US"/>
        </w:rPr>
        <w:t>ple of Madungandí and the Emberá</w:t>
      </w:r>
      <w:r w:rsidRPr="00965219">
        <w:rPr>
          <w:i/>
          <w:lang w:val="en-US"/>
        </w:rPr>
        <w:t xml:space="preserve"> Indigenous People of Bayano and their members, supra, </w:t>
      </w:r>
      <w:r w:rsidRPr="00965219">
        <w:rPr>
          <w:lang w:val="en-US"/>
        </w:rPr>
        <w:t xml:space="preserve">paras. </w:t>
      </w:r>
      <w:proofErr w:type="gramStart"/>
      <w:r w:rsidRPr="00965219">
        <w:rPr>
          <w:lang w:val="en-US"/>
        </w:rPr>
        <w:t>193 and 198.</w:t>
      </w:r>
      <w:proofErr w:type="gramEnd"/>
    </w:p>
  </w:footnote>
  <w:footnote w:id="269">
    <w:p w14:paraId="63126CF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Velásquez Rodríguez, Merits, supra, </w:t>
      </w:r>
      <w:r w:rsidRPr="00965219">
        <w:rPr>
          <w:lang w:val="en-US"/>
        </w:rPr>
        <w:t xml:space="preserve">paras. </w:t>
      </w:r>
      <w:proofErr w:type="gramStart"/>
      <w:r w:rsidRPr="00965219">
        <w:rPr>
          <w:lang w:val="en-US"/>
        </w:rPr>
        <w:t xml:space="preserve">63, 68 and 81 and </w:t>
      </w:r>
      <w:r w:rsidRPr="00965219">
        <w:rPr>
          <w:rStyle w:val="Strong"/>
          <w:b w:val="0"/>
          <w:i/>
          <w:lang w:val="en-US"/>
        </w:rPr>
        <w:t>Case of the Kuna Indigenous Community of Madungandí and the Emberá Indigenous Community of Bayano and their members</w:t>
      </w:r>
      <w:r w:rsidRPr="00965219">
        <w:rPr>
          <w:lang w:val="en-US"/>
        </w:rPr>
        <w:t>,</w:t>
      </w:r>
      <w:r w:rsidRPr="00965219">
        <w:rPr>
          <w:b/>
          <w:lang w:val="en-US"/>
        </w:rPr>
        <w:t xml:space="preserve"> </w:t>
      </w:r>
      <w:r w:rsidRPr="00E52A02">
        <w:rPr>
          <w:i/>
          <w:lang w:val="en-US"/>
        </w:rPr>
        <w:t>supra</w:t>
      </w:r>
      <w:r w:rsidRPr="00965219">
        <w:rPr>
          <w:lang w:val="en-US"/>
        </w:rPr>
        <w:t>, para.</w:t>
      </w:r>
      <w:proofErr w:type="gramEnd"/>
      <w:r w:rsidRPr="00965219">
        <w:rPr>
          <w:lang w:val="en-US"/>
        </w:rPr>
        <w:t xml:space="preserve"> 165. </w:t>
      </w:r>
    </w:p>
  </w:footnote>
  <w:footnote w:id="270">
    <w:p w14:paraId="63126CF8" w14:textId="44143FE0"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 Case of the “Street Children” (Villagrán Morales et al.) v. Guatemala.</w:t>
      </w:r>
      <w:proofErr w:type="gramEnd"/>
      <w:r w:rsidRPr="00965219">
        <w:rPr>
          <w:i/>
          <w:lang w:val="en-US"/>
        </w:rPr>
        <w:t xml:space="preserve"> </w:t>
      </w:r>
      <w:proofErr w:type="gramStart"/>
      <w:r w:rsidRPr="00965219">
        <w:rPr>
          <w:i/>
          <w:lang w:val="en-US"/>
        </w:rPr>
        <w:t>Merits.</w:t>
      </w:r>
      <w:proofErr w:type="gramEnd"/>
      <w:r w:rsidRPr="00965219">
        <w:rPr>
          <w:lang w:val="en-US"/>
        </w:rPr>
        <w:t xml:space="preserve"> Judgment of November 19, 1999. Series C No. 63, para. </w:t>
      </w:r>
      <w:proofErr w:type="gramStart"/>
      <w:r w:rsidRPr="00965219">
        <w:rPr>
          <w:lang w:val="en-US"/>
        </w:rPr>
        <w:t>237,</w:t>
      </w:r>
      <w:proofErr w:type="gramEnd"/>
      <w:r w:rsidRPr="00965219">
        <w:rPr>
          <w:lang w:val="en-US"/>
        </w:rPr>
        <w:t xml:space="preserve"> and </w:t>
      </w:r>
      <w:r w:rsidRPr="00965219">
        <w:rPr>
          <w:rStyle w:val="Strong"/>
          <w:b w:val="0"/>
          <w:i/>
          <w:color w:val="000000"/>
          <w:shd w:val="clear" w:color="auto" w:fill="FFFFFF"/>
          <w:lang w:val="en-US"/>
        </w:rPr>
        <w:t xml:space="preserve">Case of Wong Ho Wing v. Peru. </w:t>
      </w:r>
      <w:proofErr w:type="gramStart"/>
      <w:r w:rsidRPr="00965219">
        <w:rPr>
          <w:rStyle w:val="Strong"/>
          <w:b w:val="0"/>
          <w:i/>
          <w:color w:val="000000"/>
          <w:shd w:val="clear" w:color="auto" w:fill="FFFFFF"/>
          <w:lang w:val="en-US"/>
        </w:rPr>
        <w:t xml:space="preserve">Preliminary objection, </w:t>
      </w:r>
      <w:r>
        <w:rPr>
          <w:rStyle w:val="Strong"/>
          <w:b w:val="0"/>
          <w:i/>
          <w:color w:val="000000"/>
          <w:shd w:val="clear" w:color="auto" w:fill="FFFFFF"/>
          <w:lang w:val="en-US"/>
        </w:rPr>
        <w:t>Merits,</w:t>
      </w:r>
      <w:r w:rsidRPr="00965219">
        <w:rPr>
          <w:rStyle w:val="Strong"/>
          <w:b w:val="0"/>
          <w:i/>
          <w:color w:val="000000"/>
          <w:shd w:val="clear" w:color="auto" w:fill="FFFFFF"/>
          <w:lang w:val="en-US"/>
        </w:rPr>
        <w:t xml:space="preserve"> </w:t>
      </w:r>
      <w:r w:rsidRPr="00567F37">
        <w:rPr>
          <w:rStyle w:val="Strong"/>
          <w:b w:val="0"/>
          <w:i/>
          <w:color w:val="000000"/>
          <w:shd w:val="clear" w:color="auto" w:fill="FFFFFF"/>
          <w:lang w:val="en-US"/>
        </w:rPr>
        <w:t>Reparations</w:t>
      </w:r>
      <w:r w:rsidRPr="00965219">
        <w:rPr>
          <w:rStyle w:val="Strong"/>
          <w:b w:val="0"/>
          <w:i/>
          <w:color w:val="000000"/>
          <w:shd w:val="clear" w:color="auto" w:fill="FFFFFF"/>
          <w:lang w:val="en-US"/>
        </w:rPr>
        <w:t xml:space="preserve"> and </w:t>
      </w:r>
      <w:r w:rsidRPr="00567F37">
        <w:rPr>
          <w:rStyle w:val="Strong"/>
          <w:b w:val="0"/>
          <w:i/>
          <w:color w:val="000000"/>
          <w:shd w:val="clear" w:color="auto" w:fill="FFFFFF"/>
          <w:lang w:val="en-US"/>
        </w:rPr>
        <w:t>Costs</w:t>
      </w:r>
      <w:r w:rsidRPr="00965219">
        <w:rPr>
          <w:rStyle w:val="Strong"/>
          <w:b w:val="0"/>
          <w:i/>
          <w:color w:val="000000"/>
          <w:shd w:val="clear" w:color="auto" w:fill="FFFFFF"/>
          <w:lang w:val="en-US"/>
        </w:rPr>
        <w:t>.</w:t>
      </w:r>
      <w:proofErr w:type="gramEnd"/>
      <w:r w:rsidRPr="00965219">
        <w:rPr>
          <w:rStyle w:val="Strong"/>
          <w:b w:val="0"/>
          <w:color w:val="000000"/>
          <w:shd w:val="clear" w:color="auto" w:fill="FFFFFF"/>
          <w:lang w:val="en-US"/>
        </w:rPr>
        <w:t xml:space="preserve"> Judgment of June 30, 2015. Series C No. 297, </w:t>
      </w:r>
      <w:r w:rsidRPr="00965219">
        <w:rPr>
          <w:lang w:val="en-US"/>
        </w:rPr>
        <w:t>para. 196.</w:t>
      </w:r>
    </w:p>
  </w:footnote>
  <w:footnote w:id="271">
    <w:p w14:paraId="63126CF9"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Cf.</w:t>
      </w:r>
      <w:r w:rsidRPr="00965219">
        <w:rPr>
          <w:rFonts w:ascii="Verdana" w:hAnsi="Verdana"/>
          <w:sz w:val="16"/>
          <w:szCs w:val="16"/>
          <w:lang w:val="en-US"/>
        </w:rPr>
        <w:t xml:space="preserve"> </w:t>
      </w:r>
      <w:r w:rsidRPr="00965219">
        <w:rPr>
          <w:rFonts w:ascii="Verdana" w:hAnsi="Verdana"/>
          <w:i/>
          <w:sz w:val="16"/>
          <w:szCs w:val="16"/>
          <w:lang w:val="en-US"/>
        </w:rPr>
        <w:t>Case of the Yakye Axa Indigenous Community, supra,</w:t>
      </w:r>
      <w:r w:rsidRPr="00965219">
        <w:rPr>
          <w:rStyle w:val="Strong"/>
          <w:rFonts w:ascii="Verdana" w:hAnsi="Verdana"/>
          <w:sz w:val="16"/>
          <w:szCs w:val="16"/>
          <w:lang w:val="en-US"/>
        </w:rPr>
        <w:t xml:space="preserve"> </w:t>
      </w:r>
      <w:r w:rsidRPr="00965219">
        <w:rPr>
          <w:rFonts w:ascii="Verdana" w:hAnsi="Verdana"/>
          <w:sz w:val="16"/>
          <w:szCs w:val="16"/>
          <w:lang w:val="en-US"/>
        </w:rPr>
        <w:t xml:space="preserve">para. </w:t>
      </w:r>
      <w:proofErr w:type="gramStart"/>
      <w:r w:rsidRPr="00965219">
        <w:rPr>
          <w:rFonts w:ascii="Verdana" w:hAnsi="Verdana"/>
          <w:sz w:val="16"/>
          <w:szCs w:val="16"/>
          <w:lang w:val="en-US"/>
        </w:rPr>
        <w:t>102,</w:t>
      </w:r>
      <w:proofErr w:type="gramEnd"/>
      <w:r w:rsidRPr="00965219">
        <w:rPr>
          <w:rFonts w:ascii="Verdana" w:hAnsi="Verdana"/>
          <w:sz w:val="16"/>
          <w:szCs w:val="16"/>
          <w:lang w:val="en-US"/>
        </w:rPr>
        <w:t xml:space="preserve"> and </w:t>
      </w:r>
      <w:r w:rsidRPr="00965219">
        <w:rPr>
          <w:rFonts w:ascii="Verdana" w:hAnsi="Verdana" w:cs="Arial"/>
          <w:bCs/>
          <w:i/>
          <w:sz w:val="16"/>
          <w:szCs w:val="16"/>
          <w:lang w:val="en-US"/>
        </w:rPr>
        <w:t>Case of the Sawhoyamaxa Indigenous Community, supra</w:t>
      </w:r>
      <w:r w:rsidRPr="00965219">
        <w:rPr>
          <w:rFonts w:ascii="Verdana" w:hAnsi="Verdana" w:cs="Arial"/>
          <w:sz w:val="16"/>
          <w:szCs w:val="16"/>
          <w:lang w:val="en-US"/>
        </w:rPr>
        <w:t>, para. 109.</w:t>
      </w:r>
    </w:p>
  </w:footnote>
  <w:footnote w:id="272">
    <w:p w14:paraId="63126CF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r w:rsidRPr="00965219">
        <w:rPr>
          <w:bCs/>
          <w:i/>
          <w:lang w:val="en-US"/>
        </w:rPr>
        <w:t xml:space="preserve"> </w:t>
      </w:r>
      <w:r w:rsidRPr="00965219">
        <w:rPr>
          <w:i/>
          <w:lang w:val="en-US"/>
        </w:rPr>
        <w:t>Case of the Constitutional Court v. Peru.</w:t>
      </w:r>
      <w:proofErr w:type="gramEnd"/>
      <w:r w:rsidRPr="00965219">
        <w:rPr>
          <w:i/>
          <w:lang w:val="en-US"/>
        </w:rPr>
        <w:t xml:space="preserve"> </w:t>
      </w:r>
      <w:proofErr w:type="gramStart"/>
      <w:r w:rsidRPr="00965219">
        <w:rPr>
          <w:i/>
          <w:lang w:val="en-US"/>
        </w:rPr>
        <w:t>Jurisdiction.</w:t>
      </w:r>
      <w:proofErr w:type="gramEnd"/>
      <w:r w:rsidRPr="00965219">
        <w:rPr>
          <w:i/>
          <w:lang w:val="en-US"/>
        </w:rPr>
        <w:t xml:space="preserve"> </w:t>
      </w:r>
      <w:r w:rsidRPr="00965219">
        <w:rPr>
          <w:lang w:val="en-US"/>
        </w:rPr>
        <w:t xml:space="preserve">Judgment of September 24, 1999. Series C No. 55, para. </w:t>
      </w:r>
      <w:proofErr w:type="gramStart"/>
      <w:r w:rsidRPr="00965219">
        <w:rPr>
          <w:lang w:val="en-US"/>
        </w:rPr>
        <w:t>90,</w:t>
      </w:r>
      <w:proofErr w:type="gramEnd"/>
      <w:r w:rsidRPr="00965219">
        <w:rPr>
          <w:lang w:val="en-US"/>
        </w:rPr>
        <w:t xml:space="preserve"> and</w:t>
      </w:r>
      <w:r w:rsidRPr="00965219">
        <w:rPr>
          <w:i/>
          <w:lang w:val="en-US"/>
        </w:rPr>
        <w:t xml:space="preserve"> Case of the Xákmok Kásek Indigenous Community, supra, </w:t>
      </w:r>
      <w:r w:rsidRPr="00965219">
        <w:rPr>
          <w:lang w:val="en-US"/>
        </w:rPr>
        <w:t>para. 144.</w:t>
      </w:r>
    </w:p>
  </w:footnote>
  <w:footnote w:id="273">
    <w:p w14:paraId="63126CFB" w14:textId="77777777" w:rsidR="00624C98" w:rsidRPr="00965219" w:rsidRDefault="00624C98" w:rsidP="00145D1D">
      <w:pPr>
        <w:tabs>
          <w:tab w:val="left" w:pos="567"/>
        </w:tabs>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cs="Arial"/>
          <w:i/>
          <w:sz w:val="16"/>
          <w:szCs w:val="16"/>
          <w:lang w:val="en-US"/>
        </w:rPr>
        <w:t>Cf.</w:t>
      </w:r>
      <w:r w:rsidRPr="00965219">
        <w:rPr>
          <w:rFonts w:ascii="Verdana" w:hAnsi="Verdana" w:cs="Arial"/>
          <w:sz w:val="16"/>
          <w:szCs w:val="16"/>
          <w:lang w:val="en-US"/>
        </w:rPr>
        <w:t xml:space="preserve"> </w:t>
      </w:r>
      <w:r w:rsidRPr="00965219">
        <w:rPr>
          <w:rFonts w:ascii="Verdana" w:hAnsi="Verdana" w:cs="Arial"/>
          <w:bCs/>
          <w:i/>
          <w:sz w:val="16"/>
          <w:szCs w:val="16"/>
          <w:lang w:val="en-US"/>
        </w:rPr>
        <w:t xml:space="preserve">Case of the Mayagna (Sumo) Awas Tingni Community, supra, </w:t>
      </w:r>
      <w:r w:rsidRPr="00965219">
        <w:rPr>
          <w:rFonts w:ascii="Verdana" w:hAnsi="Verdana" w:cs="Arial"/>
          <w:bCs/>
          <w:sz w:val="16"/>
          <w:szCs w:val="16"/>
          <w:lang w:val="en-US"/>
        </w:rPr>
        <w:t xml:space="preserve">paras. </w:t>
      </w:r>
      <w:proofErr w:type="gramStart"/>
      <w:r w:rsidRPr="00965219">
        <w:rPr>
          <w:rFonts w:ascii="Verdana" w:hAnsi="Verdana" w:cs="Arial"/>
          <w:bCs/>
          <w:sz w:val="16"/>
          <w:szCs w:val="16"/>
          <w:lang w:val="en-US"/>
        </w:rPr>
        <w:t xml:space="preserve">148 to 153 and </w:t>
      </w:r>
      <w:r w:rsidRPr="00965219">
        <w:rPr>
          <w:rFonts w:ascii="Verdana" w:hAnsi="Verdana" w:cs="Arial"/>
          <w:bCs/>
          <w:i/>
          <w:sz w:val="16"/>
          <w:szCs w:val="16"/>
          <w:lang w:val="en-US"/>
        </w:rPr>
        <w:t>Case of the Kuna Indigenous Peo</w:t>
      </w:r>
      <w:r>
        <w:rPr>
          <w:rFonts w:ascii="Verdana" w:hAnsi="Verdana" w:cs="Arial"/>
          <w:bCs/>
          <w:i/>
          <w:sz w:val="16"/>
          <w:szCs w:val="16"/>
          <w:lang w:val="en-US"/>
        </w:rPr>
        <w:t>ple of Madungandí and the Emberá</w:t>
      </w:r>
      <w:r w:rsidRPr="00965219">
        <w:rPr>
          <w:rFonts w:ascii="Verdana" w:hAnsi="Verdana" w:cs="Arial"/>
          <w:bCs/>
          <w:i/>
          <w:sz w:val="16"/>
          <w:szCs w:val="16"/>
          <w:lang w:val="en-US"/>
        </w:rPr>
        <w:t xml:space="preserve"> Indigenous People of Bayano and their members, supra, </w:t>
      </w:r>
      <w:r w:rsidRPr="00965219">
        <w:rPr>
          <w:rFonts w:ascii="Verdana" w:hAnsi="Verdana" w:cs="Arial"/>
          <w:bCs/>
          <w:sz w:val="16"/>
          <w:szCs w:val="16"/>
          <w:lang w:val="en-US"/>
        </w:rPr>
        <w:t>para.</w:t>
      </w:r>
      <w:proofErr w:type="gramEnd"/>
      <w:r w:rsidRPr="00965219">
        <w:rPr>
          <w:rFonts w:ascii="Verdana" w:hAnsi="Verdana" w:cs="Arial"/>
          <w:bCs/>
          <w:sz w:val="16"/>
          <w:szCs w:val="16"/>
          <w:lang w:val="en-US"/>
        </w:rPr>
        <w:t xml:space="preserve"> 112.</w:t>
      </w:r>
    </w:p>
  </w:footnote>
  <w:footnote w:id="274">
    <w:p w14:paraId="63126CF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 xml:space="preserve">Case of the Saramaka People, supra, </w:t>
      </w:r>
      <w:r w:rsidRPr="00965219">
        <w:rPr>
          <w:rStyle w:val="Strong"/>
          <w:b w:val="0"/>
          <w:lang w:val="en-US"/>
        </w:rPr>
        <w:t>paras.</w:t>
      </w:r>
      <w:r w:rsidRPr="00965219">
        <w:rPr>
          <w:rStyle w:val="Strong"/>
          <w:b w:val="0"/>
          <w:i/>
          <w:lang w:val="en-US"/>
        </w:rPr>
        <w:t xml:space="preserve"> </w:t>
      </w:r>
      <w:proofErr w:type="gramStart"/>
      <w:r w:rsidRPr="00965219">
        <w:rPr>
          <w:rStyle w:val="Strong"/>
          <w:b w:val="0"/>
          <w:lang w:val="en-US"/>
        </w:rPr>
        <w:t>179 to 184.</w:t>
      </w:r>
      <w:proofErr w:type="gramEnd"/>
    </w:p>
  </w:footnote>
  <w:footnote w:id="275">
    <w:p w14:paraId="63126CF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 xml:space="preserve">Case of the Saramaka People, supra, </w:t>
      </w:r>
      <w:r w:rsidRPr="00965219">
        <w:rPr>
          <w:rStyle w:val="Strong"/>
          <w:b w:val="0"/>
          <w:lang w:val="en-US"/>
        </w:rPr>
        <w:t>para. 179.</w:t>
      </w:r>
    </w:p>
  </w:footnote>
  <w:footnote w:id="276">
    <w:p w14:paraId="63126CFE"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 xml:space="preserve">Case of the Saramaka People, supra, </w:t>
      </w:r>
      <w:r w:rsidRPr="00965219">
        <w:rPr>
          <w:rStyle w:val="Strong"/>
          <w:b w:val="0"/>
          <w:lang w:val="en-US"/>
        </w:rPr>
        <w:t>para. 183.</w:t>
      </w:r>
    </w:p>
  </w:footnote>
  <w:footnote w:id="277">
    <w:p w14:paraId="63126CFF"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Pr>
          <w:rStyle w:val="Strong"/>
          <w:b w:val="0"/>
          <w:i/>
          <w:lang w:val="en-US"/>
        </w:rPr>
        <w:t>Case of the Saramaka People,</w:t>
      </w:r>
      <w:r w:rsidRPr="00965219">
        <w:rPr>
          <w:rStyle w:val="Strong"/>
          <w:b w:val="0"/>
          <w:i/>
          <w:lang w:val="en-US"/>
        </w:rPr>
        <w:t xml:space="preserve"> </w:t>
      </w:r>
      <w:r w:rsidRPr="00965219">
        <w:rPr>
          <w:rStyle w:val="Strong"/>
          <w:b w:val="0"/>
          <w:lang w:val="en-US"/>
        </w:rPr>
        <w:t>s</w:t>
      </w:r>
      <w:r w:rsidRPr="00965219">
        <w:rPr>
          <w:rStyle w:val="Strong"/>
          <w:b w:val="0"/>
          <w:i/>
          <w:lang w:val="en-US"/>
        </w:rPr>
        <w:t>upra</w:t>
      </w:r>
      <w:r w:rsidRPr="00965219">
        <w:rPr>
          <w:rStyle w:val="Strong"/>
          <w:b w:val="0"/>
          <w:lang w:val="en-US"/>
        </w:rPr>
        <w:t>, para. 184.</w:t>
      </w:r>
    </w:p>
  </w:footnote>
  <w:footnote w:id="278">
    <w:p w14:paraId="63126D0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1 of the Decree Granting State-owned Land of June 15, 1982 (evidence file, folio 2691).</w:t>
      </w:r>
    </w:p>
  </w:footnote>
  <w:footnote w:id="279">
    <w:p w14:paraId="63126D01"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5 of the Decree Granting State-owned Land of June 15, 1982 (evidence file, folio 2692).</w:t>
      </w:r>
    </w:p>
  </w:footnote>
  <w:footnote w:id="280">
    <w:p w14:paraId="63126D0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7 of the Decree Granting State-owned Land of June 15, 1982 (evidence file, folio 2693).</w:t>
      </w:r>
    </w:p>
  </w:footnote>
  <w:footnote w:id="281">
    <w:p w14:paraId="63126D0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Articles 8, 9 and 10 of the Decree Granting State-owned Land of June 15, 1982 (evidence file, folio 2693).</w:t>
      </w:r>
    </w:p>
  </w:footnote>
  <w:footnote w:id="282">
    <w:p w14:paraId="63126D0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Article 2 of the Decree Granting State-owned Land of June 15, 1982 (evidence file, folio 2691).</w:t>
      </w:r>
    </w:p>
  </w:footnote>
  <w:footnote w:id="283">
    <w:p w14:paraId="63126D0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Report of the former Special Rapporteur on the rights of indigenous peoples, James Anaya, of August 18, 2011, paras. </w:t>
      </w:r>
      <w:proofErr w:type="gramStart"/>
      <w:r w:rsidRPr="00965219">
        <w:rPr>
          <w:lang w:val="en-US"/>
        </w:rPr>
        <w:t>17, 34 and 35.</w:t>
      </w:r>
      <w:proofErr w:type="gramEnd"/>
      <w:r w:rsidRPr="00965219">
        <w:rPr>
          <w:lang w:val="en-US"/>
        </w:rPr>
        <w:t xml:space="preserve"> Available at: </w:t>
      </w:r>
      <w:hyperlink r:id="rId25" w:history="1">
        <w:r w:rsidRPr="00965219">
          <w:rPr>
            <w:rStyle w:val="Hyperlink"/>
            <w:lang w:val="en-US"/>
          </w:rPr>
          <w:t>http://www.ohchr.org/Documents/Issues/IPeoples/SR/A-HRC-18-35-Add7_en.pdf</w:t>
        </w:r>
      </w:hyperlink>
      <w:r w:rsidRPr="00965219">
        <w:rPr>
          <w:lang w:val="en-US"/>
        </w:rPr>
        <w:t xml:space="preserve">. </w:t>
      </w:r>
    </w:p>
  </w:footnote>
  <w:footnote w:id="284">
    <w:p w14:paraId="63126D0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 172.</w:t>
      </w:r>
    </w:p>
  </w:footnote>
  <w:footnote w:id="285">
    <w:p w14:paraId="63126D0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Sawhoyamaxa Indigenous Community, supra, </w:t>
      </w:r>
      <w:r w:rsidRPr="00965219">
        <w:rPr>
          <w:lang w:val="en-US"/>
        </w:rPr>
        <w:t xml:space="preserve">para. </w:t>
      </w:r>
      <w:proofErr w:type="gramStart"/>
      <w:r w:rsidRPr="00965219">
        <w:rPr>
          <w:lang w:val="en-US"/>
        </w:rPr>
        <w:t>188,</w:t>
      </w:r>
      <w:proofErr w:type="gramEnd"/>
      <w:r w:rsidRPr="00965219">
        <w:rPr>
          <w:lang w:val="en-US"/>
        </w:rPr>
        <w:t xml:space="preserve"> and</w:t>
      </w:r>
      <w:r w:rsidRPr="00965219">
        <w:rPr>
          <w:i/>
          <w:lang w:val="en-US"/>
        </w:rPr>
        <w:t xml:space="preserve"> Case of the Xákmok Kásek Indigenous Community, supra</w:t>
      </w:r>
      <w:r w:rsidRPr="00965219">
        <w:rPr>
          <w:lang w:val="en-US"/>
        </w:rPr>
        <w:t>, para. 249.</w:t>
      </w:r>
    </w:p>
  </w:footnote>
  <w:footnote w:id="286">
    <w:p w14:paraId="63126D0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Saramaka People, supra,</w:t>
      </w:r>
      <w:r w:rsidRPr="00965219">
        <w:rPr>
          <w:lang w:val="en-US"/>
        </w:rPr>
        <w:t xml:space="preserve"> paras. </w:t>
      </w:r>
      <w:proofErr w:type="gramStart"/>
      <w:r w:rsidRPr="00965219">
        <w:rPr>
          <w:lang w:val="en-US"/>
        </w:rPr>
        <w:t>173 and 174.</w:t>
      </w:r>
      <w:proofErr w:type="gramEnd"/>
      <w:r w:rsidRPr="00965219">
        <w:rPr>
          <w:lang w:val="en-US"/>
        </w:rPr>
        <w:t xml:space="preserve"> </w:t>
      </w:r>
    </w:p>
  </w:footnote>
  <w:footnote w:id="287">
    <w:p w14:paraId="63126D09" w14:textId="443F9C8B"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Case of Tiu Tojín v. Guatemala, supra</w:t>
      </w:r>
      <w:r w:rsidRPr="00965219">
        <w:rPr>
          <w:rStyle w:val="Strong"/>
          <w:b w:val="0"/>
          <w:lang w:val="en-US"/>
        </w:rPr>
        <w:t xml:space="preserve">, para. </w:t>
      </w:r>
      <w:proofErr w:type="gramStart"/>
      <w:r w:rsidRPr="00965219">
        <w:rPr>
          <w:rStyle w:val="Strong"/>
          <w:b w:val="0"/>
          <w:lang w:val="en-US"/>
        </w:rPr>
        <w:t>100,</w:t>
      </w:r>
      <w:proofErr w:type="gramEnd"/>
      <w:r w:rsidRPr="00965219">
        <w:rPr>
          <w:rStyle w:val="Strong"/>
          <w:b w:val="0"/>
          <w:lang w:val="en-US"/>
        </w:rPr>
        <w:t xml:space="preserve"> and </w:t>
      </w:r>
      <w:r w:rsidRPr="00965219">
        <w:rPr>
          <w:i/>
          <w:lang w:val="en-US"/>
        </w:rPr>
        <w:t xml:space="preserve">Case of </w:t>
      </w:r>
      <w:r w:rsidRPr="00965219">
        <w:rPr>
          <w:i/>
          <w:shd w:val="clear" w:color="auto" w:fill="FFFFFF"/>
          <w:lang w:val="en-US"/>
        </w:rPr>
        <w:t>Norín Catrimán</w:t>
      </w:r>
      <w:r w:rsidRPr="00965219">
        <w:rPr>
          <w:i/>
          <w:lang w:val="en-US"/>
        </w:rPr>
        <w:t xml:space="preserve"> et al. (Leaders, members and activist of the Mapuche Indigenous People) v. Chile.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shd w:val="clear" w:color="auto" w:fill="FFFFFF"/>
          <w:lang w:val="en-US"/>
        </w:rPr>
        <w:t>.</w:t>
      </w:r>
      <w:proofErr w:type="gramEnd"/>
      <w:r w:rsidRPr="00965219">
        <w:rPr>
          <w:lang w:val="en-US"/>
        </w:rPr>
        <w:t xml:space="preserve"> Judgment of May 29, 2014. Series C No. 279, paras. </w:t>
      </w:r>
      <w:proofErr w:type="gramStart"/>
      <w:r w:rsidRPr="00965219">
        <w:rPr>
          <w:lang w:val="en-US"/>
        </w:rPr>
        <w:t>202, 203 and 206.</w:t>
      </w:r>
      <w:proofErr w:type="gramEnd"/>
      <w:r w:rsidRPr="00965219">
        <w:rPr>
          <w:lang w:val="en-US"/>
        </w:rPr>
        <w:t xml:space="preserve"> In addition, the fifth preambular paragraph of the United Nations Declaration on the Rights of Indigenous Peoples reaffirms “that </w:t>
      </w:r>
      <w:r w:rsidRPr="00965219">
        <w:rPr>
          <w:rFonts w:eastAsia="Times New Roman"/>
          <w:lang w:val="en-US"/>
        </w:rPr>
        <w:t>indigenous peoples, in the exercise of their rights, should be free from discrimination of any kind,” while Article 2 establishes that “[i]ndigenous peoples and individuals are free and equal to all other peoples and individuals and have the right to be free from any kind of discrimination, in the exercise of their rights, in particular that based on their indigenous origin or identity.”</w:t>
      </w:r>
      <w:r w:rsidRPr="00965219">
        <w:rPr>
          <w:lang w:val="en-US"/>
        </w:rPr>
        <w:t xml:space="preserve"> </w:t>
      </w:r>
      <w:r w:rsidRPr="00965219">
        <w:rPr>
          <w:i/>
          <w:lang w:val="en-US"/>
        </w:rPr>
        <w:t>Cf. United Nations Declaration on the Rights of Indigenous Peoples, supra</w:t>
      </w:r>
      <w:r w:rsidRPr="00965219">
        <w:rPr>
          <w:lang w:val="en-US"/>
        </w:rPr>
        <w:t>.</w:t>
      </w:r>
    </w:p>
  </w:footnote>
  <w:footnote w:id="288">
    <w:p w14:paraId="63126D0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Yakye Axa Indigenous Community, supra,</w:t>
      </w:r>
      <w:r w:rsidRPr="00965219">
        <w:rPr>
          <w:rStyle w:val="Strong"/>
          <w:i/>
          <w:lang w:val="en-US"/>
        </w:rPr>
        <w:t xml:space="preserve"> </w:t>
      </w:r>
      <w:r w:rsidRPr="00965219">
        <w:rPr>
          <w:lang w:val="en-US"/>
        </w:rPr>
        <w:t xml:space="preserve">paras. </w:t>
      </w:r>
      <w:proofErr w:type="gramStart"/>
      <w:r w:rsidRPr="00965219">
        <w:rPr>
          <w:lang w:val="en-US"/>
        </w:rPr>
        <w:t>62 and 96</w:t>
      </w:r>
      <w:r w:rsidRPr="00965219">
        <w:rPr>
          <w:rFonts w:cs="Arial"/>
          <w:lang w:val="en-US"/>
        </w:rPr>
        <w:t>, and</w:t>
      </w:r>
      <w:r w:rsidRPr="00965219">
        <w:rPr>
          <w:rFonts w:cs="Arial"/>
          <w:i/>
          <w:lang w:val="en-US"/>
        </w:rPr>
        <w:t xml:space="preserve"> </w:t>
      </w:r>
      <w:r w:rsidRPr="00965219">
        <w:rPr>
          <w:i/>
          <w:lang w:val="en-US"/>
        </w:rPr>
        <w:t>Case of the Kuna Indigenous Community of Madungandí and the Emberá Indigenous Community of Bayano and their members, supra,</w:t>
      </w:r>
      <w:r w:rsidRPr="00965219">
        <w:rPr>
          <w:lang w:val="en-US"/>
        </w:rPr>
        <w:t xml:space="preserve"> para.</w:t>
      </w:r>
      <w:proofErr w:type="gramEnd"/>
      <w:r w:rsidRPr="00965219">
        <w:rPr>
          <w:lang w:val="en-US"/>
        </w:rPr>
        <w:t xml:space="preserve"> 166.</w:t>
      </w:r>
    </w:p>
  </w:footnote>
  <w:footnote w:id="289">
    <w:p w14:paraId="63126D0B" w14:textId="77777777" w:rsidR="00624C98" w:rsidRPr="00965219" w:rsidRDefault="00624C98" w:rsidP="00145D1D">
      <w:pPr>
        <w:pStyle w:val="NoSpacing"/>
        <w:tabs>
          <w:tab w:val="left" w:pos="567"/>
        </w:tabs>
        <w:spacing w:after="80"/>
        <w:jc w:val="both"/>
        <w:rPr>
          <w:rFonts w:ascii="Verdana" w:hAnsi="Verdana"/>
          <w:sz w:val="16"/>
          <w:szCs w:val="16"/>
        </w:rPr>
      </w:pPr>
      <w:r w:rsidRPr="00965219">
        <w:rPr>
          <w:rStyle w:val="FootnoteReference"/>
          <w:sz w:val="16"/>
          <w:szCs w:val="16"/>
        </w:rPr>
        <w:footnoteRef/>
      </w:r>
      <w:r w:rsidRPr="00965219">
        <w:rPr>
          <w:rFonts w:ascii="Verdana" w:hAnsi="Verdana"/>
          <w:sz w:val="16"/>
          <w:szCs w:val="16"/>
        </w:rPr>
        <w:t xml:space="preserve"> </w:t>
      </w:r>
      <w:r w:rsidRPr="00965219">
        <w:rPr>
          <w:rFonts w:ascii="Verdana" w:hAnsi="Verdana"/>
          <w:sz w:val="16"/>
          <w:szCs w:val="16"/>
        </w:rPr>
        <w:tab/>
      </w:r>
      <w:r w:rsidRPr="00965219">
        <w:rPr>
          <w:rFonts w:ascii="Verdana" w:hAnsi="Verdana"/>
          <w:i/>
          <w:sz w:val="16"/>
          <w:szCs w:val="16"/>
        </w:rPr>
        <w:t>Cf.</w:t>
      </w:r>
      <w:r w:rsidRPr="00965219">
        <w:rPr>
          <w:rFonts w:ascii="Verdana" w:hAnsi="Verdana"/>
          <w:sz w:val="16"/>
          <w:szCs w:val="16"/>
        </w:rPr>
        <w:t xml:space="preserve"> </w:t>
      </w:r>
      <w:r w:rsidRPr="00965219">
        <w:rPr>
          <w:rFonts w:ascii="Verdana" w:hAnsi="Verdana"/>
          <w:bCs/>
          <w:i/>
          <w:sz w:val="16"/>
          <w:szCs w:val="16"/>
        </w:rPr>
        <w:t>Case of the Yakye Axa Indigenous Community</w:t>
      </w:r>
      <w:r w:rsidRPr="00965219">
        <w:rPr>
          <w:rFonts w:ascii="Verdana" w:hAnsi="Verdana"/>
          <w:bCs/>
          <w:sz w:val="16"/>
          <w:szCs w:val="16"/>
        </w:rPr>
        <w:t xml:space="preserve">, </w:t>
      </w:r>
      <w:r w:rsidRPr="00965219">
        <w:rPr>
          <w:rFonts w:ascii="Verdana" w:hAnsi="Verdana"/>
          <w:bCs/>
          <w:i/>
          <w:sz w:val="16"/>
          <w:szCs w:val="16"/>
        </w:rPr>
        <w:t>supra,</w:t>
      </w:r>
      <w:r w:rsidRPr="00965219">
        <w:rPr>
          <w:rFonts w:ascii="Verdana" w:hAnsi="Verdana"/>
          <w:bCs/>
          <w:sz w:val="16"/>
          <w:szCs w:val="16"/>
        </w:rPr>
        <w:t xml:space="preserve"> para. </w:t>
      </w:r>
      <w:proofErr w:type="gramStart"/>
      <w:r w:rsidRPr="00965219">
        <w:rPr>
          <w:rFonts w:ascii="Verdana" w:hAnsi="Verdana"/>
          <w:bCs/>
          <w:sz w:val="16"/>
          <w:szCs w:val="16"/>
        </w:rPr>
        <w:t>102,</w:t>
      </w:r>
      <w:proofErr w:type="gramEnd"/>
      <w:r w:rsidRPr="00965219">
        <w:rPr>
          <w:rFonts w:ascii="Verdana" w:hAnsi="Verdana"/>
          <w:bCs/>
          <w:sz w:val="16"/>
          <w:szCs w:val="16"/>
        </w:rPr>
        <w:t xml:space="preserve"> and </w:t>
      </w:r>
      <w:r w:rsidRPr="00965219">
        <w:rPr>
          <w:rFonts w:ascii="Verdana" w:hAnsi="Verdana"/>
          <w:bCs/>
          <w:i/>
          <w:sz w:val="16"/>
          <w:szCs w:val="16"/>
        </w:rPr>
        <w:t>Case of the Sawhoyamaxa Indigenous Community, supra,</w:t>
      </w:r>
      <w:r w:rsidRPr="00965219">
        <w:rPr>
          <w:rFonts w:ascii="Verdana" w:hAnsi="Verdana"/>
          <w:bCs/>
          <w:sz w:val="16"/>
          <w:szCs w:val="16"/>
        </w:rPr>
        <w:t xml:space="preserve"> para. 109.</w:t>
      </w:r>
    </w:p>
  </w:footnote>
  <w:footnote w:id="290">
    <w:p w14:paraId="63126D0C" w14:textId="77777777" w:rsidR="00624C98" w:rsidRPr="00965219" w:rsidRDefault="00624C98" w:rsidP="00145D1D">
      <w:pPr>
        <w:pStyle w:val="NoSpacing"/>
        <w:tabs>
          <w:tab w:val="left" w:pos="567"/>
        </w:tabs>
        <w:spacing w:after="80"/>
        <w:jc w:val="both"/>
        <w:rPr>
          <w:rFonts w:ascii="Verdana" w:hAnsi="Verdana"/>
          <w:sz w:val="16"/>
          <w:szCs w:val="16"/>
        </w:rPr>
      </w:pPr>
      <w:r w:rsidRPr="00965219">
        <w:rPr>
          <w:rStyle w:val="FootnoteReference"/>
          <w:sz w:val="16"/>
          <w:szCs w:val="16"/>
        </w:rPr>
        <w:footnoteRef/>
      </w:r>
      <w:r w:rsidRPr="00965219">
        <w:rPr>
          <w:rFonts w:ascii="Verdana" w:hAnsi="Verdana"/>
          <w:sz w:val="16"/>
          <w:szCs w:val="16"/>
        </w:rPr>
        <w:t xml:space="preserve"> </w:t>
      </w:r>
      <w:r w:rsidRPr="00965219">
        <w:rPr>
          <w:rFonts w:ascii="Verdana" w:hAnsi="Verdana"/>
          <w:sz w:val="16"/>
          <w:szCs w:val="16"/>
        </w:rPr>
        <w:tab/>
      </w:r>
      <w:r w:rsidRPr="00965219">
        <w:rPr>
          <w:rFonts w:ascii="Verdana" w:hAnsi="Verdana"/>
          <w:i/>
          <w:sz w:val="16"/>
          <w:szCs w:val="16"/>
        </w:rPr>
        <w:t>Cf.</w:t>
      </w:r>
      <w:r w:rsidRPr="00965219">
        <w:rPr>
          <w:rFonts w:ascii="Verdana" w:hAnsi="Verdana"/>
          <w:sz w:val="16"/>
          <w:szCs w:val="16"/>
        </w:rPr>
        <w:t xml:space="preserve"> </w:t>
      </w:r>
      <w:r w:rsidRPr="00965219">
        <w:rPr>
          <w:rFonts w:ascii="Verdana" w:hAnsi="Verdana"/>
          <w:bCs/>
          <w:i/>
          <w:sz w:val="16"/>
          <w:szCs w:val="16"/>
        </w:rPr>
        <w:t>Case of the Mayagna (Sumo) Awas Tingni Community</w:t>
      </w:r>
      <w:r w:rsidRPr="00965219">
        <w:rPr>
          <w:rFonts w:ascii="Verdana" w:hAnsi="Verdana"/>
          <w:bCs/>
          <w:sz w:val="16"/>
          <w:szCs w:val="16"/>
        </w:rPr>
        <w:t xml:space="preserve">, </w:t>
      </w:r>
      <w:r w:rsidRPr="00965219">
        <w:rPr>
          <w:rFonts w:ascii="Verdana" w:hAnsi="Verdana"/>
          <w:bCs/>
          <w:i/>
          <w:sz w:val="16"/>
          <w:szCs w:val="16"/>
        </w:rPr>
        <w:t>supra,</w:t>
      </w:r>
      <w:r w:rsidRPr="00965219">
        <w:rPr>
          <w:rFonts w:ascii="Verdana" w:hAnsi="Verdana"/>
          <w:bCs/>
          <w:sz w:val="16"/>
          <w:szCs w:val="16"/>
        </w:rPr>
        <w:t xml:space="preserve"> paras. </w:t>
      </w:r>
      <w:proofErr w:type="gramStart"/>
      <w:r w:rsidRPr="00965219">
        <w:rPr>
          <w:rFonts w:ascii="Verdana" w:hAnsi="Verdana"/>
          <w:bCs/>
          <w:sz w:val="16"/>
          <w:szCs w:val="16"/>
        </w:rPr>
        <w:t xml:space="preserve">112 and 134, and </w:t>
      </w:r>
      <w:r w:rsidRPr="00965219">
        <w:rPr>
          <w:rFonts w:ascii="Verdana" w:hAnsi="Verdana"/>
          <w:bCs/>
          <w:i/>
          <w:sz w:val="16"/>
          <w:szCs w:val="16"/>
        </w:rPr>
        <w:t>Case of the Kichwa Indigenous People of Sarayaku,</w:t>
      </w:r>
      <w:r w:rsidRPr="00965219">
        <w:rPr>
          <w:rFonts w:ascii="Verdana" w:hAnsi="Verdana"/>
          <w:bCs/>
          <w:sz w:val="16"/>
          <w:szCs w:val="16"/>
        </w:rPr>
        <w:t xml:space="preserve"> </w:t>
      </w:r>
      <w:r w:rsidRPr="00965219">
        <w:rPr>
          <w:rFonts w:ascii="Verdana" w:hAnsi="Verdana"/>
          <w:bCs/>
          <w:i/>
          <w:sz w:val="16"/>
          <w:szCs w:val="16"/>
        </w:rPr>
        <w:t>supra,</w:t>
      </w:r>
      <w:r w:rsidRPr="00965219">
        <w:rPr>
          <w:rFonts w:ascii="Verdana" w:hAnsi="Verdana"/>
          <w:bCs/>
          <w:sz w:val="16"/>
          <w:szCs w:val="16"/>
        </w:rPr>
        <w:t xml:space="preserve"> para.</w:t>
      </w:r>
      <w:proofErr w:type="gramEnd"/>
      <w:r w:rsidRPr="00965219">
        <w:rPr>
          <w:rFonts w:ascii="Verdana" w:hAnsi="Verdana"/>
          <w:bCs/>
          <w:sz w:val="16"/>
          <w:szCs w:val="16"/>
        </w:rPr>
        <w:t xml:space="preserve"> 262.</w:t>
      </w:r>
    </w:p>
  </w:footnote>
  <w:footnote w:id="291">
    <w:p w14:paraId="63126D0D" w14:textId="77777777" w:rsidR="00624C98" w:rsidRPr="00965219" w:rsidRDefault="00624C98" w:rsidP="00145D1D">
      <w:pPr>
        <w:tabs>
          <w:tab w:val="left" w:pos="567"/>
        </w:tabs>
        <w:autoSpaceDE w:val="0"/>
        <w:autoSpaceDN w:val="0"/>
        <w:adjustRightInd w:val="0"/>
        <w:spacing w:after="80"/>
        <w:jc w:val="both"/>
        <w:rPr>
          <w:rFonts w:ascii="Verdana" w:hAnsi="Verdana" w:cs="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Style w:val="Strong"/>
          <w:rFonts w:ascii="Verdana" w:hAnsi="Verdana"/>
          <w:b w:val="0"/>
          <w:i/>
          <w:sz w:val="16"/>
          <w:szCs w:val="16"/>
          <w:lang w:val="en-US"/>
        </w:rPr>
        <w:t>Cf.</w:t>
      </w:r>
      <w:r w:rsidRPr="00965219">
        <w:rPr>
          <w:rStyle w:val="Strong"/>
          <w:rFonts w:ascii="Verdana" w:hAnsi="Verdana"/>
          <w:b w:val="0"/>
          <w:sz w:val="16"/>
          <w:szCs w:val="16"/>
          <w:lang w:val="en-US"/>
        </w:rPr>
        <w:t xml:space="preserve"> </w:t>
      </w:r>
      <w:r w:rsidRPr="00965219">
        <w:rPr>
          <w:rStyle w:val="Strong"/>
          <w:rFonts w:ascii="Verdana" w:hAnsi="Verdana"/>
          <w:b w:val="0"/>
          <w:i/>
          <w:sz w:val="16"/>
          <w:szCs w:val="16"/>
          <w:lang w:val="en-US"/>
        </w:rPr>
        <w:t>Case of Tiu Tojín</w:t>
      </w:r>
      <w:r w:rsidRPr="00965219">
        <w:rPr>
          <w:rStyle w:val="Strong"/>
          <w:rFonts w:ascii="Verdana" w:hAnsi="Verdana"/>
          <w:b w:val="0"/>
          <w:sz w:val="16"/>
          <w:szCs w:val="16"/>
          <w:lang w:val="en-US"/>
        </w:rPr>
        <w:t xml:space="preserve">, </w:t>
      </w:r>
      <w:r w:rsidRPr="00965219">
        <w:rPr>
          <w:rStyle w:val="Strong"/>
          <w:rFonts w:ascii="Verdana" w:hAnsi="Verdana"/>
          <w:b w:val="0"/>
          <w:i/>
          <w:sz w:val="16"/>
          <w:szCs w:val="16"/>
          <w:lang w:val="en-US"/>
        </w:rPr>
        <w:t>supra</w:t>
      </w:r>
      <w:r w:rsidRPr="00965219">
        <w:rPr>
          <w:rStyle w:val="Strong"/>
          <w:rFonts w:ascii="Verdana" w:hAnsi="Verdana"/>
          <w:b w:val="0"/>
          <w:sz w:val="16"/>
          <w:szCs w:val="16"/>
          <w:lang w:val="en-US"/>
        </w:rPr>
        <w:t xml:space="preserve">, para. </w:t>
      </w:r>
      <w:proofErr w:type="gramStart"/>
      <w:r w:rsidRPr="00965219">
        <w:rPr>
          <w:rStyle w:val="Strong"/>
          <w:rFonts w:ascii="Verdana" w:hAnsi="Verdana"/>
          <w:b w:val="0"/>
          <w:sz w:val="16"/>
          <w:szCs w:val="16"/>
          <w:lang w:val="en-US"/>
        </w:rPr>
        <w:t>100,</w:t>
      </w:r>
      <w:proofErr w:type="gramEnd"/>
      <w:r w:rsidRPr="00965219">
        <w:rPr>
          <w:rStyle w:val="Strong"/>
          <w:rFonts w:ascii="Verdana" w:hAnsi="Verdana"/>
          <w:b w:val="0"/>
          <w:sz w:val="16"/>
          <w:szCs w:val="16"/>
          <w:lang w:val="en-US"/>
        </w:rPr>
        <w:t xml:space="preserve"> and </w:t>
      </w:r>
      <w:r w:rsidRPr="00965219">
        <w:rPr>
          <w:rStyle w:val="Strong"/>
          <w:rFonts w:ascii="Verdana" w:hAnsi="Verdana"/>
          <w:b w:val="0"/>
          <w:i/>
          <w:sz w:val="16"/>
          <w:szCs w:val="16"/>
          <w:lang w:val="en-US"/>
        </w:rPr>
        <w:t>Case of the Kichwa Indigenous People of Sarayaku,</w:t>
      </w:r>
      <w:r w:rsidRPr="00965219">
        <w:rPr>
          <w:rStyle w:val="Strong"/>
          <w:rFonts w:ascii="Verdana" w:hAnsi="Verdana"/>
          <w:b w:val="0"/>
          <w:sz w:val="16"/>
          <w:szCs w:val="16"/>
          <w:lang w:val="en-US"/>
        </w:rPr>
        <w:t xml:space="preserve"> </w:t>
      </w:r>
      <w:r w:rsidRPr="00965219">
        <w:rPr>
          <w:rStyle w:val="Strong"/>
          <w:rFonts w:ascii="Verdana" w:hAnsi="Verdana"/>
          <w:b w:val="0"/>
          <w:i/>
          <w:sz w:val="16"/>
          <w:szCs w:val="16"/>
          <w:lang w:val="en-US"/>
        </w:rPr>
        <w:t>supra</w:t>
      </w:r>
      <w:r w:rsidRPr="00965219">
        <w:rPr>
          <w:rStyle w:val="Strong"/>
          <w:rFonts w:ascii="Verdana" w:hAnsi="Verdana"/>
          <w:b w:val="0"/>
          <w:sz w:val="16"/>
          <w:szCs w:val="16"/>
          <w:lang w:val="en-US"/>
        </w:rPr>
        <w:t>, para. 201</w:t>
      </w:r>
    </w:p>
  </w:footnote>
  <w:footnote w:id="292">
    <w:p w14:paraId="63126D0E" w14:textId="57655A69" w:rsidR="00624C98" w:rsidRPr="00965219" w:rsidRDefault="00624C98" w:rsidP="00145D1D">
      <w:pPr>
        <w:tabs>
          <w:tab w:val="left" w:pos="567"/>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w:t>
      </w:r>
      <w:r w:rsidRPr="00965219">
        <w:rPr>
          <w:rFonts w:ascii="Verdana" w:hAnsi="Verdana"/>
          <w:sz w:val="16"/>
          <w:szCs w:val="16"/>
          <w:lang w:val="en-US"/>
        </w:rPr>
        <w:t xml:space="preserve"> United Nations Permanent Forum on Indigenous Issues.</w:t>
      </w:r>
      <w:proofErr w:type="gramEnd"/>
      <w:r w:rsidRPr="00965219">
        <w:rPr>
          <w:rFonts w:ascii="Verdana" w:hAnsi="Verdana"/>
          <w:sz w:val="16"/>
          <w:szCs w:val="16"/>
          <w:lang w:val="en-US"/>
        </w:rPr>
        <w:t xml:space="preserve"> Report on the sixth session (14</w:t>
      </w:r>
      <w:r>
        <w:rPr>
          <w:rFonts w:ascii="Verdana" w:hAnsi="Verdana"/>
          <w:sz w:val="16"/>
          <w:szCs w:val="16"/>
          <w:lang w:val="en-US"/>
        </w:rPr>
        <w:t xml:space="preserve"> to </w:t>
      </w:r>
      <w:r w:rsidRPr="00965219">
        <w:rPr>
          <w:rFonts w:ascii="Verdana" w:hAnsi="Verdana"/>
          <w:sz w:val="16"/>
          <w:szCs w:val="16"/>
          <w:lang w:val="en-US"/>
        </w:rPr>
        <w:t xml:space="preserve">25 May 2007).  </w:t>
      </w:r>
      <w:proofErr w:type="gramStart"/>
      <w:r w:rsidRPr="00965219">
        <w:rPr>
          <w:rFonts w:ascii="Verdana" w:eastAsiaTheme="minorHAnsi" w:hAnsi="Verdana" w:cs="TimesNewRoman"/>
          <w:sz w:val="16"/>
          <w:szCs w:val="16"/>
          <w:lang w:val="en-US"/>
        </w:rPr>
        <w:t>E/2007/43.</w:t>
      </w:r>
      <w:proofErr w:type="gramEnd"/>
      <w:r w:rsidRPr="00965219">
        <w:rPr>
          <w:rFonts w:ascii="Verdana" w:eastAsiaTheme="minorHAnsi" w:hAnsi="Verdana" w:cs="TimesNewRoman"/>
          <w:sz w:val="16"/>
          <w:szCs w:val="16"/>
          <w:lang w:val="en-US"/>
        </w:rPr>
        <w:t xml:space="preserve"> E/C.19/2007/12</w:t>
      </w:r>
      <w:r w:rsidRPr="00965219">
        <w:rPr>
          <w:rFonts w:ascii="Verdana" w:hAnsi="Verdana"/>
          <w:sz w:val="16"/>
          <w:szCs w:val="16"/>
          <w:lang w:val="en-US"/>
        </w:rPr>
        <w:t xml:space="preserve">. In this report (para. 23), the Permanent Forum recommended </w:t>
      </w:r>
      <w:r w:rsidRPr="00965219">
        <w:rPr>
          <w:rFonts w:ascii="Verdana" w:eastAsia="Times New Roman" w:hAnsi="Verdana"/>
          <w:sz w:val="16"/>
          <w:szCs w:val="16"/>
          <w:lang w:val="en-US"/>
        </w:rPr>
        <w:t>“that States, in consultation with the indigenous peoples concerned, provide financial and technical assistance for indigenous peoples to map the boundaries of their communal lands, finalize legal and policy frameworks for the registration of collective titles, as a matter of urgency, and support indigenous peoples in preparing their claims for collective title</w:t>
      </w:r>
      <w:r w:rsidRPr="00965219">
        <w:rPr>
          <w:rFonts w:ascii="Verdana" w:hAnsi="Verdana"/>
          <w:sz w:val="16"/>
          <w:szCs w:val="16"/>
          <w:lang w:val="en-US"/>
        </w:rPr>
        <w:t xml:space="preserve">.” </w:t>
      </w:r>
      <w:r w:rsidRPr="00965219">
        <w:rPr>
          <w:rFonts w:ascii="Verdana" w:hAnsi="Verdana"/>
          <w:i/>
          <w:sz w:val="16"/>
          <w:szCs w:val="16"/>
          <w:lang w:val="en-US"/>
        </w:rPr>
        <w:t>Cf. Mutatis mutandi</w:t>
      </w:r>
      <w:r w:rsidRPr="00965219">
        <w:rPr>
          <w:rFonts w:ascii="Verdana" w:hAnsi="Verdana"/>
          <w:sz w:val="16"/>
          <w:szCs w:val="16"/>
          <w:lang w:val="en-US"/>
        </w:rPr>
        <w:t xml:space="preserve">, </w:t>
      </w:r>
      <w:r w:rsidRPr="00965219">
        <w:rPr>
          <w:rFonts w:ascii="Verdana" w:hAnsi="Verdana"/>
          <w:i/>
          <w:sz w:val="16"/>
          <w:szCs w:val="16"/>
          <w:lang w:val="en-US"/>
        </w:rPr>
        <w:t>Exceptions to the Exhaustion of Domestic Remedies</w:t>
      </w:r>
      <w:r w:rsidRPr="00965219">
        <w:rPr>
          <w:rFonts w:ascii="Verdana" w:hAnsi="Verdana"/>
          <w:sz w:val="16"/>
          <w:szCs w:val="16"/>
          <w:lang w:val="en-US"/>
        </w:rPr>
        <w:t xml:space="preserve"> (Arts. 46.1, 46.2.a and 46.2.b American Convention on Human Rights). Advisory Opinion OC-11/90 of August 10, 1990. Series </w:t>
      </w:r>
      <w:proofErr w:type="gramStart"/>
      <w:r w:rsidRPr="00965219">
        <w:rPr>
          <w:rFonts w:ascii="Verdana" w:hAnsi="Verdana"/>
          <w:sz w:val="16"/>
          <w:szCs w:val="16"/>
          <w:lang w:val="en-US"/>
        </w:rPr>
        <w:t>A</w:t>
      </w:r>
      <w:proofErr w:type="gramEnd"/>
      <w:r w:rsidRPr="00965219">
        <w:rPr>
          <w:rFonts w:ascii="Verdana" w:hAnsi="Verdana"/>
          <w:sz w:val="16"/>
          <w:szCs w:val="16"/>
          <w:lang w:val="en-US"/>
        </w:rPr>
        <w:t xml:space="preserve"> No. 11, paras. </w:t>
      </w:r>
      <w:proofErr w:type="gramStart"/>
      <w:r w:rsidRPr="00965219">
        <w:rPr>
          <w:rFonts w:ascii="Verdana" w:hAnsi="Verdana"/>
          <w:sz w:val="16"/>
          <w:szCs w:val="16"/>
          <w:lang w:val="en-US"/>
        </w:rPr>
        <w:t>25 to 28.</w:t>
      </w:r>
      <w:proofErr w:type="gramEnd"/>
    </w:p>
  </w:footnote>
  <w:footnote w:id="293">
    <w:p w14:paraId="63126D0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rStyle w:val="Strong"/>
          <w:b w:val="0"/>
          <w:i/>
          <w:lang w:val="en-US"/>
        </w:rPr>
        <w:t>Cf. Case of Tiu Tojín, supra</w:t>
      </w:r>
      <w:r w:rsidRPr="00965219">
        <w:rPr>
          <w:rStyle w:val="Strong"/>
          <w:b w:val="0"/>
          <w:lang w:val="en-US"/>
        </w:rPr>
        <w:t>, para. 100.</w:t>
      </w:r>
    </w:p>
  </w:footnote>
  <w:footnote w:id="294">
    <w:p w14:paraId="63126D10" w14:textId="39E97F7C" w:rsidR="00624C98" w:rsidRPr="00965219" w:rsidRDefault="00624C98" w:rsidP="00145D1D">
      <w:pPr>
        <w:pStyle w:val="FootnoteText"/>
        <w:spacing w:after="80"/>
        <w:rPr>
          <w:color w:val="000000"/>
          <w:lang w:val="en-US"/>
        </w:rPr>
      </w:pPr>
      <w:r w:rsidRPr="00965219">
        <w:rPr>
          <w:rStyle w:val="FootnoteReference"/>
          <w:sz w:val="16"/>
          <w:lang w:val="en-US"/>
        </w:rPr>
        <w:footnoteRef/>
      </w:r>
      <w:r w:rsidRPr="00965219">
        <w:rPr>
          <w:lang w:val="en-US"/>
        </w:rPr>
        <w:t xml:space="preserve"> </w:t>
      </w:r>
      <w:r w:rsidRPr="00965219">
        <w:rPr>
          <w:lang w:val="en-US"/>
        </w:rPr>
        <w:tab/>
      </w:r>
      <w:r w:rsidRPr="00965219">
        <w:rPr>
          <w:rStyle w:val="Strong"/>
          <w:b w:val="0"/>
          <w:i/>
          <w:lang w:val="en-US"/>
        </w:rPr>
        <w:t xml:space="preserve">Cf. Mutatis mutandi, </w:t>
      </w:r>
      <w:r w:rsidRPr="00C07DBC">
        <w:rPr>
          <w:i/>
          <w:lang w:val="en-US"/>
        </w:rPr>
        <w:t xml:space="preserve">Case of Cantos v. Argentina. </w:t>
      </w:r>
      <w:proofErr w:type="gramStart"/>
      <w:r w:rsidRPr="00C07DBC">
        <w:rPr>
          <w:i/>
          <w:lang w:val="en-US"/>
        </w:rPr>
        <w:t xml:space="preserve">Merits, </w:t>
      </w:r>
      <w:r w:rsidRPr="00567F37">
        <w:rPr>
          <w:i/>
          <w:lang w:val="en-US"/>
        </w:rPr>
        <w:t>Reparations</w:t>
      </w:r>
      <w:r w:rsidRPr="00C07DBC">
        <w:rPr>
          <w:i/>
          <w:lang w:val="en-US"/>
        </w:rPr>
        <w:t xml:space="preserve"> and </w:t>
      </w:r>
      <w:r w:rsidRPr="00567F37">
        <w:rPr>
          <w:i/>
          <w:lang w:val="en-US"/>
        </w:rPr>
        <w:t>Costs</w:t>
      </w:r>
      <w:r w:rsidRPr="00C07DBC">
        <w:rPr>
          <w:i/>
          <w:lang w:val="en-US"/>
        </w:rPr>
        <w:t>.</w:t>
      </w:r>
      <w:proofErr w:type="gramEnd"/>
      <w:r w:rsidRPr="00965219">
        <w:rPr>
          <w:lang w:val="en-US"/>
        </w:rPr>
        <w:t xml:space="preserve"> Judgment of November 28, 2002. Series C No. 97, paras. </w:t>
      </w:r>
      <w:proofErr w:type="gramStart"/>
      <w:r w:rsidRPr="00965219">
        <w:rPr>
          <w:lang w:val="en-US"/>
        </w:rPr>
        <w:t>54 and 55</w:t>
      </w:r>
      <w:r w:rsidRPr="00965219">
        <w:rPr>
          <w:rStyle w:val="Strong"/>
          <w:b w:val="0"/>
          <w:lang w:val="en-US"/>
        </w:rPr>
        <w:t xml:space="preserve">, and </w:t>
      </w:r>
      <w:r w:rsidRPr="00C07DBC">
        <w:rPr>
          <w:i/>
          <w:lang w:val="en-US"/>
        </w:rPr>
        <w:t>Exceptions to the Exhaustion of Domestic Remedies,</w:t>
      </w:r>
      <w:r w:rsidRPr="00965219">
        <w:rPr>
          <w:lang w:val="en-US"/>
        </w:rPr>
        <w:t xml:space="preserve"> Advisory Opinion.</w:t>
      </w:r>
      <w:proofErr w:type="gramEnd"/>
      <w:r w:rsidRPr="00965219">
        <w:rPr>
          <w:lang w:val="en-US"/>
        </w:rPr>
        <w:t xml:space="preserve"> </w:t>
      </w:r>
      <w:proofErr w:type="gramStart"/>
      <w:r w:rsidRPr="00965219">
        <w:rPr>
          <w:lang w:val="en-US"/>
        </w:rPr>
        <w:t xml:space="preserve">OC-11/90, </w:t>
      </w:r>
      <w:r w:rsidRPr="00E52A02">
        <w:rPr>
          <w:i/>
          <w:lang w:val="en-US"/>
        </w:rPr>
        <w:t>supra</w:t>
      </w:r>
      <w:r w:rsidRPr="00965219">
        <w:rPr>
          <w:lang w:val="en-US"/>
        </w:rPr>
        <w:t>, paras.</w:t>
      </w:r>
      <w:proofErr w:type="gramEnd"/>
      <w:r w:rsidRPr="00965219">
        <w:rPr>
          <w:lang w:val="en-US"/>
        </w:rPr>
        <w:t xml:space="preserve"> </w:t>
      </w:r>
      <w:proofErr w:type="gramStart"/>
      <w:r w:rsidRPr="00965219">
        <w:rPr>
          <w:lang w:val="en-US"/>
        </w:rPr>
        <w:t>29 to 31.</w:t>
      </w:r>
      <w:proofErr w:type="gramEnd"/>
      <w:r w:rsidRPr="00965219">
        <w:rPr>
          <w:lang w:val="en-US"/>
        </w:rPr>
        <w:t xml:space="preserve"> Also, </w:t>
      </w:r>
      <w:r w:rsidRPr="00E52A02">
        <w:rPr>
          <w:i/>
          <w:lang w:val="en-US"/>
        </w:rPr>
        <w:t>Cf.</w:t>
      </w:r>
      <w:r w:rsidRPr="00965219">
        <w:rPr>
          <w:lang w:val="en-US"/>
        </w:rPr>
        <w:t xml:space="preserve"> IACHR, </w:t>
      </w:r>
      <w:r w:rsidRPr="00C07DBC">
        <w:rPr>
          <w:i/>
          <w:lang w:val="en-US"/>
        </w:rPr>
        <w:t xml:space="preserve">Access to justice as a guarantee of economic, social and cultural rights. </w:t>
      </w:r>
      <w:proofErr w:type="gramStart"/>
      <w:r w:rsidRPr="00C07DBC">
        <w:rPr>
          <w:i/>
          <w:lang w:val="en-US"/>
        </w:rPr>
        <w:t xml:space="preserve">A review of the standards adopted by the </w:t>
      </w:r>
      <w:r>
        <w:rPr>
          <w:i/>
          <w:lang w:val="en-US"/>
        </w:rPr>
        <w:t>Inter-</w:t>
      </w:r>
      <w:r w:rsidRPr="00C07DBC">
        <w:rPr>
          <w:i/>
          <w:lang w:val="en-US"/>
        </w:rPr>
        <w:t>American system of human rights.</w:t>
      </w:r>
      <w:proofErr w:type="gramEnd"/>
      <w:r w:rsidRPr="00965219">
        <w:rPr>
          <w:lang w:val="en-US"/>
        </w:rPr>
        <w:t xml:space="preserve"> </w:t>
      </w:r>
      <w:r w:rsidRPr="00965219">
        <w:rPr>
          <w:color w:val="000000"/>
          <w:lang w:val="en-US"/>
        </w:rPr>
        <w:t xml:space="preserve">OEA/Ser.L/V/II.129. </w:t>
      </w:r>
      <w:proofErr w:type="gramStart"/>
      <w:r w:rsidRPr="00965219">
        <w:rPr>
          <w:color w:val="000000"/>
          <w:lang w:val="en-US"/>
        </w:rPr>
        <w:t>Doc. 4 of September 7, 2007, paras.</w:t>
      </w:r>
      <w:proofErr w:type="gramEnd"/>
      <w:r w:rsidRPr="00965219">
        <w:rPr>
          <w:color w:val="000000"/>
          <w:lang w:val="en-US"/>
        </w:rPr>
        <w:t xml:space="preserve"> </w:t>
      </w:r>
      <w:proofErr w:type="gramStart"/>
      <w:r w:rsidRPr="00965219">
        <w:rPr>
          <w:color w:val="000000"/>
          <w:lang w:val="en-US"/>
        </w:rPr>
        <w:t>66 to 80.</w:t>
      </w:r>
      <w:proofErr w:type="gramEnd"/>
      <w:r w:rsidRPr="00965219">
        <w:rPr>
          <w:color w:val="000000"/>
          <w:lang w:val="en-US"/>
        </w:rPr>
        <w:t xml:space="preserve"> Available at: </w:t>
      </w:r>
      <w:hyperlink r:id="rId26" w:history="1">
        <w:r w:rsidRPr="00965219">
          <w:rPr>
            <w:rStyle w:val="Hyperlink"/>
            <w:lang w:val="en-US"/>
          </w:rPr>
          <w:t>https://www.cidh.oas.org/countryrep/AccesoDESC07eng/Accesodescindice.eng.htm</w:t>
        </w:r>
      </w:hyperlink>
      <w:r w:rsidRPr="00965219">
        <w:rPr>
          <w:color w:val="000000"/>
          <w:lang w:val="en-US"/>
        </w:rPr>
        <w:t xml:space="preserve">, and </w:t>
      </w:r>
      <w:r w:rsidRPr="00C07DBC">
        <w:rPr>
          <w:i/>
          <w:lang w:val="en-US"/>
        </w:rPr>
        <w:t>Access to justice for women victims of violence in the Americas</w:t>
      </w:r>
      <w:r w:rsidRPr="00965219">
        <w:rPr>
          <w:lang w:val="en-US"/>
        </w:rPr>
        <w:t xml:space="preserve">. </w:t>
      </w:r>
      <w:r w:rsidRPr="00965219">
        <w:rPr>
          <w:color w:val="000000"/>
          <w:lang w:val="en-US"/>
        </w:rPr>
        <w:t xml:space="preserve">OEA/Ser.L/V/II. </w:t>
      </w:r>
      <w:proofErr w:type="gramStart"/>
      <w:r w:rsidRPr="00965219">
        <w:rPr>
          <w:color w:val="000000"/>
          <w:lang w:val="en-US"/>
        </w:rPr>
        <w:t>Doc. 68 of January 20, 2007, para.</w:t>
      </w:r>
      <w:proofErr w:type="gramEnd"/>
      <w:r w:rsidRPr="00965219">
        <w:rPr>
          <w:color w:val="000000"/>
          <w:lang w:val="en-US"/>
        </w:rPr>
        <w:t xml:space="preserve"> 112. Available at: </w:t>
      </w:r>
      <w:hyperlink r:id="rId27" w:history="1">
        <w:r w:rsidRPr="00965219">
          <w:rPr>
            <w:rStyle w:val="Hyperlink"/>
            <w:lang w:val="en-US"/>
          </w:rPr>
          <w:t>https://www.cidh.oas.org/women/Access07/Report%20Access%20to%20Justice%20Report%20English%20020507.pdf</w:t>
        </w:r>
      </w:hyperlink>
      <w:r w:rsidRPr="00965219">
        <w:rPr>
          <w:color w:val="000000"/>
          <w:lang w:val="en-US"/>
        </w:rPr>
        <w:t>.</w:t>
      </w:r>
    </w:p>
  </w:footnote>
  <w:footnote w:id="295">
    <w:p w14:paraId="63126D11" w14:textId="77777777" w:rsidR="00624C98" w:rsidRPr="00965219" w:rsidRDefault="00624C98" w:rsidP="00145D1D">
      <w:pPr>
        <w:pStyle w:val="FootnoteText"/>
        <w:spacing w:after="80"/>
        <w:rPr>
          <w:lang w:val="en-US"/>
        </w:rPr>
      </w:pPr>
      <w:r w:rsidRPr="00965219">
        <w:rPr>
          <w:rStyle w:val="FootnoteReference"/>
          <w:rFonts w:cs="Arial"/>
          <w:sz w:val="16"/>
          <w:lang w:val="en-US"/>
        </w:rPr>
        <w:footnoteRef/>
      </w:r>
      <w:r w:rsidRPr="00965219">
        <w:rPr>
          <w:lang w:val="en-US"/>
        </w:rPr>
        <w:t xml:space="preserve"> </w:t>
      </w:r>
      <w:r w:rsidRPr="00965219">
        <w:rPr>
          <w:lang w:val="en-US"/>
        </w:rPr>
        <w:tab/>
      </w:r>
      <w:r w:rsidRPr="00965219">
        <w:rPr>
          <w:i/>
          <w:lang w:val="en-US"/>
        </w:rPr>
        <w:t xml:space="preserve">Cf. Case of the Mayagna (Sumo) Awas Tingni Community, supra, </w:t>
      </w:r>
      <w:r w:rsidRPr="00965219">
        <w:rPr>
          <w:lang w:val="en-US"/>
        </w:rPr>
        <w:t xml:space="preserve">para. </w:t>
      </w:r>
      <w:proofErr w:type="gramStart"/>
      <w:r w:rsidRPr="00965219">
        <w:rPr>
          <w:lang w:val="en-US"/>
        </w:rPr>
        <w:t>138,</w:t>
      </w:r>
      <w:proofErr w:type="gramEnd"/>
      <w:r w:rsidRPr="00965219">
        <w:rPr>
          <w:lang w:val="en-US"/>
        </w:rPr>
        <w:t xml:space="preserve"> and</w:t>
      </w:r>
      <w:r w:rsidRPr="00965219">
        <w:rPr>
          <w:i/>
          <w:lang w:val="en-US"/>
        </w:rPr>
        <w:t xml:space="preserve"> Case of the Kuna Indigenous Community of Madungandí and the Emberá Indigenous Community of Bayano and their members, supra,</w:t>
      </w:r>
      <w:r w:rsidRPr="00965219">
        <w:rPr>
          <w:lang w:val="en-US"/>
        </w:rPr>
        <w:t xml:space="preserve"> para. 157.</w:t>
      </w:r>
    </w:p>
  </w:footnote>
  <w:footnote w:id="296">
    <w:p w14:paraId="63126D1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 xml:space="preserve">Case of the Yakye Axa Indigenous Community, supra, </w:t>
      </w:r>
      <w:r w:rsidRPr="00965219">
        <w:rPr>
          <w:rStyle w:val="Strong"/>
          <w:b w:val="0"/>
          <w:lang w:val="en-US"/>
        </w:rPr>
        <w:t xml:space="preserve">para. </w:t>
      </w:r>
      <w:proofErr w:type="gramStart"/>
      <w:r w:rsidRPr="00965219">
        <w:rPr>
          <w:rStyle w:val="Strong"/>
          <w:b w:val="0"/>
          <w:lang w:val="en-US"/>
        </w:rPr>
        <w:t>51,</w:t>
      </w:r>
      <w:proofErr w:type="gramEnd"/>
      <w:r w:rsidRPr="00965219">
        <w:rPr>
          <w:rStyle w:val="Strong"/>
          <w:b w:val="0"/>
          <w:lang w:val="en-US"/>
        </w:rPr>
        <w:t xml:space="preserve"> and</w:t>
      </w:r>
      <w:r w:rsidRPr="00965219">
        <w:rPr>
          <w:rStyle w:val="Strong"/>
          <w:b w:val="0"/>
          <w:i/>
          <w:lang w:val="en-US"/>
        </w:rPr>
        <w:t xml:space="preserve"> </w:t>
      </w:r>
      <w:r w:rsidRPr="00965219">
        <w:rPr>
          <w:i/>
          <w:lang w:val="en-US"/>
        </w:rPr>
        <w:t>Case of the Kuna Indigenous Community of Madungandí and the Emberá Indigenous Community of Bayano and their members, supra</w:t>
      </w:r>
      <w:r w:rsidRPr="00965219">
        <w:rPr>
          <w:lang w:val="en-US"/>
        </w:rPr>
        <w:t>, para. 112.</w:t>
      </w:r>
    </w:p>
  </w:footnote>
  <w:footnote w:id="297">
    <w:p w14:paraId="63126D13" w14:textId="77777777" w:rsidR="00624C98" w:rsidRPr="00965219" w:rsidRDefault="00624C98" w:rsidP="00145D1D">
      <w:pPr>
        <w:tabs>
          <w:tab w:val="left" w:pos="567"/>
        </w:tabs>
        <w:spacing w:after="80"/>
        <w:jc w:val="both"/>
        <w:rPr>
          <w:rFonts w:ascii="Verdana" w:eastAsia="Times New Roman" w:hAnsi="Verdana"/>
          <w:spacing w:val="-2"/>
          <w:sz w:val="16"/>
          <w:szCs w:val="16"/>
          <w:lang w:val="en-US" w:eastAsia="es-E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 xml:space="preserve">Cf. </w:t>
      </w:r>
      <w:r w:rsidRPr="00965219">
        <w:rPr>
          <w:rStyle w:val="Strong"/>
          <w:rFonts w:ascii="Verdana" w:hAnsi="Verdana"/>
          <w:b w:val="0"/>
          <w:i/>
          <w:sz w:val="16"/>
          <w:szCs w:val="16"/>
          <w:lang w:val="en-US"/>
        </w:rPr>
        <w:t>Case of the Yakye Axa Indigenous Community, supra</w:t>
      </w:r>
      <w:r w:rsidRPr="00965219">
        <w:rPr>
          <w:rStyle w:val="Strong"/>
          <w:rFonts w:ascii="Verdana" w:hAnsi="Verdana"/>
          <w:b w:val="0"/>
          <w:sz w:val="16"/>
          <w:szCs w:val="16"/>
          <w:lang w:val="en-US"/>
        </w:rPr>
        <w:t xml:space="preserve">, para. </w:t>
      </w:r>
      <w:proofErr w:type="gramStart"/>
      <w:r w:rsidRPr="00965219">
        <w:rPr>
          <w:rStyle w:val="Strong"/>
          <w:rFonts w:ascii="Verdana" w:hAnsi="Verdana"/>
          <w:b w:val="0"/>
          <w:sz w:val="16"/>
          <w:szCs w:val="16"/>
          <w:lang w:val="en-US"/>
        </w:rPr>
        <w:t>63,</w:t>
      </w:r>
      <w:proofErr w:type="gramEnd"/>
      <w:r w:rsidRPr="00965219">
        <w:rPr>
          <w:rStyle w:val="Strong"/>
          <w:rFonts w:ascii="Verdana" w:hAnsi="Verdana"/>
          <w:b w:val="0"/>
          <w:sz w:val="16"/>
          <w:szCs w:val="16"/>
          <w:lang w:val="en-US"/>
        </w:rPr>
        <w:t xml:space="preserve"> and </w:t>
      </w:r>
      <w:r w:rsidRPr="00965219">
        <w:rPr>
          <w:rFonts w:ascii="Verdana" w:hAnsi="Verdana"/>
          <w:i/>
          <w:sz w:val="16"/>
          <w:szCs w:val="16"/>
          <w:lang w:val="en-US"/>
        </w:rPr>
        <w:t>Case of the Kuna Indigenous Community of Madungandí and the Emberá Indigenous Community of Bayano and their members</w:t>
      </w:r>
      <w:r w:rsidRPr="00965219">
        <w:rPr>
          <w:rFonts w:ascii="Verdana" w:hAnsi="Verdana" w:cs="Arial"/>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 para. 167.</w:t>
      </w:r>
    </w:p>
  </w:footnote>
  <w:footnote w:id="298">
    <w:p w14:paraId="63126D14" w14:textId="77777777" w:rsidR="00624C98" w:rsidRPr="00965219" w:rsidRDefault="00624C98" w:rsidP="00145D1D">
      <w:pPr>
        <w:pStyle w:val="NoSpacing"/>
        <w:tabs>
          <w:tab w:val="left" w:pos="567"/>
        </w:tabs>
        <w:spacing w:after="80"/>
        <w:jc w:val="both"/>
        <w:rPr>
          <w:rFonts w:ascii="Verdana" w:hAnsi="Verdana"/>
          <w:i/>
          <w:strike/>
          <w:sz w:val="16"/>
          <w:szCs w:val="16"/>
        </w:rPr>
      </w:pPr>
      <w:r w:rsidRPr="00965219">
        <w:rPr>
          <w:rStyle w:val="FootnoteReference"/>
          <w:sz w:val="16"/>
          <w:szCs w:val="16"/>
        </w:rPr>
        <w:footnoteRef/>
      </w:r>
      <w:r w:rsidRPr="00965219">
        <w:rPr>
          <w:rFonts w:ascii="Verdana" w:eastAsia="Times New Roman" w:hAnsi="Verdana"/>
          <w:sz w:val="16"/>
          <w:szCs w:val="16"/>
        </w:rPr>
        <w:t xml:space="preserve"> </w:t>
      </w:r>
      <w:r w:rsidRPr="00965219">
        <w:rPr>
          <w:rFonts w:ascii="Verdana" w:eastAsia="Times New Roman" w:hAnsi="Verdana"/>
          <w:sz w:val="16"/>
          <w:szCs w:val="16"/>
        </w:rPr>
        <w:tab/>
      </w:r>
      <w:r w:rsidRPr="00965219">
        <w:rPr>
          <w:rFonts w:ascii="Verdana" w:hAnsi="Verdana"/>
          <w:i/>
          <w:sz w:val="16"/>
          <w:szCs w:val="16"/>
        </w:rPr>
        <w:t>Cf. Case of the Mayagna (Sumo) Awas Tingni Community, supra</w:t>
      </w:r>
      <w:r w:rsidRPr="00965219">
        <w:rPr>
          <w:rFonts w:ascii="Verdana" w:hAnsi="Verdana"/>
          <w:sz w:val="16"/>
          <w:szCs w:val="16"/>
        </w:rPr>
        <w:t xml:space="preserve">, para. </w:t>
      </w:r>
      <w:proofErr w:type="gramStart"/>
      <w:r w:rsidRPr="00965219">
        <w:rPr>
          <w:rFonts w:ascii="Verdana" w:hAnsi="Verdana"/>
          <w:sz w:val="16"/>
          <w:szCs w:val="16"/>
        </w:rPr>
        <w:t>149,</w:t>
      </w:r>
      <w:proofErr w:type="gramEnd"/>
      <w:r w:rsidRPr="00965219">
        <w:rPr>
          <w:rFonts w:ascii="Verdana" w:hAnsi="Verdana"/>
          <w:sz w:val="16"/>
          <w:szCs w:val="16"/>
        </w:rPr>
        <w:t xml:space="preserve"> and </w:t>
      </w:r>
      <w:r w:rsidRPr="00965219">
        <w:rPr>
          <w:rFonts w:ascii="Verdana" w:hAnsi="Verdana"/>
          <w:i/>
          <w:sz w:val="16"/>
          <w:szCs w:val="16"/>
        </w:rPr>
        <w:t>Case of the Kuna Indigenous Community of Madungandí and the Emberá Indigenous Community of Bayano and their members, supra</w:t>
      </w:r>
      <w:r w:rsidRPr="00965219">
        <w:rPr>
          <w:rFonts w:ascii="Verdana" w:hAnsi="Verdana"/>
          <w:sz w:val="16"/>
          <w:szCs w:val="16"/>
        </w:rPr>
        <w:t>, para. 111.</w:t>
      </w:r>
    </w:p>
  </w:footnote>
  <w:footnote w:id="299">
    <w:p w14:paraId="63126D1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t>
      </w:r>
      <w:r w:rsidRPr="00965219">
        <w:rPr>
          <w:rStyle w:val="Strong"/>
          <w:b w:val="0"/>
          <w:lang w:val="en-US"/>
        </w:rPr>
        <w:t>Articles 27 and 33(2) of the United Nations Declaration on the Rights of Indigenous Peoples</w:t>
      </w:r>
      <w:r w:rsidRPr="00965219">
        <w:rPr>
          <w:lang w:val="en-US"/>
        </w:rPr>
        <w:t xml:space="preserve">, </w:t>
      </w:r>
      <w:r w:rsidRPr="00965219">
        <w:rPr>
          <w:i/>
          <w:lang w:val="en-US"/>
        </w:rPr>
        <w:t>supra</w:t>
      </w:r>
      <w:r w:rsidRPr="00965219">
        <w:rPr>
          <w:lang w:val="en-US"/>
        </w:rPr>
        <w:t>.</w:t>
      </w:r>
      <w:r w:rsidRPr="00965219">
        <w:rPr>
          <w:rStyle w:val="Strong"/>
          <w:b w:val="0"/>
          <w:lang w:val="en-US"/>
        </w:rPr>
        <w:t xml:space="preserve"> </w:t>
      </w:r>
    </w:p>
  </w:footnote>
  <w:footnote w:id="300">
    <w:p w14:paraId="63126D1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Loreen Jubitana on January 27, 2015 (merits file, folio 434).</w:t>
      </w:r>
    </w:p>
  </w:footnote>
  <w:footnote w:id="301">
    <w:p w14:paraId="63126D1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Affidavit made by Stuart Kirsh on January 27, 2015 (merits file, folio 351).</w:t>
      </w:r>
    </w:p>
  </w:footnote>
  <w:footnote w:id="302">
    <w:p w14:paraId="63126D18" w14:textId="0830CD63" w:rsidR="00624C98" w:rsidRPr="00965219" w:rsidRDefault="00624C98" w:rsidP="00145D1D">
      <w:pPr>
        <w:pStyle w:val="ListParagraph"/>
        <w:tabs>
          <w:tab w:val="left" w:pos="567"/>
        </w:tabs>
        <w:spacing w:after="80"/>
        <w:ind w:left="0"/>
        <w:jc w:val="both"/>
        <w:rPr>
          <w:rFonts w:ascii="Verdana" w:hAnsi="Verdana"/>
          <w:sz w:val="16"/>
          <w:szCs w:val="16"/>
          <w:lang w:val="en-US"/>
        </w:rPr>
      </w:pPr>
      <w:r w:rsidRPr="00965219">
        <w:rPr>
          <w:rStyle w:val="FootnoteReference"/>
          <w:sz w:val="16"/>
          <w:szCs w:val="16"/>
          <w:lang w:val="en-US"/>
        </w:rPr>
        <w:footnoteRef/>
      </w:r>
      <w:r w:rsidRPr="00147672">
        <w:rPr>
          <w:rFonts w:ascii="Verdana" w:hAnsi="Verdana"/>
          <w:sz w:val="16"/>
          <w:szCs w:val="16"/>
        </w:rPr>
        <w:t xml:space="preserve"> </w:t>
      </w:r>
      <w:r w:rsidRPr="00147672">
        <w:rPr>
          <w:rFonts w:ascii="Verdana" w:hAnsi="Verdana"/>
          <w:sz w:val="16"/>
          <w:szCs w:val="16"/>
        </w:rPr>
        <w:tab/>
      </w:r>
      <w:r w:rsidRPr="00147672">
        <w:rPr>
          <w:rFonts w:ascii="Verdana" w:hAnsi="Verdana"/>
          <w:i/>
          <w:sz w:val="16"/>
          <w:szCs w:val="16"/>
        </w:rPr>
        <w:t xml:space="preserve">Cf. Case of Velásquez Rodríguez v. Honduras. </w:t>
      </w:r>
      <w:proofErr w:type="gramStart"/>
      <w:r w:rsidRPr="00965219">
        <w:rPr>
          <w:rFonts w:ascii="Verdana" w:hAnsi="Verdana"/>
          <w:i/>
          <w:sz w:val="16"/>
          <w:szCs w:val="16"/>
          <w:lang w:val="en-US"/>
        </w:rPr>
        <w:t>Merits,</w:t>
      </w:r>
      <w:r w:rsidRPr="00965219">
        <w:rPr>
          <w:rFonts w:ascii="Verdana" w:hAnsi="Verdana"/>
          <w:sz w:val="16"/>
          <w:szCs w:val="16"/>
          <w:lang w:val="en-US"/>
        </w:rPr>
        <w:t xml:space="preserve"> </w:t>
      </w:r>
      <w:r w:rsidRPr="00965219">
        <w:rPr>
          <w:rFonts w:ascii="Verdana" w:hAnsi="Verdana"/>
          <w:i/>
          <w:sz w:val="16"/>
          <w:szCs w:val="16"/>
          <w:lang w:val="en-US"/>
        </w:rPr>
        <w:t>supra</w:t>
      </w:r>
      <w:r w:rsidRPr="00965219">
        <w:rPr>
          <w:rFonts w:ascii="Verdana" w:hAnsi="Verdana"/>
          <w:sz w:val="16"/>
          <w:szCs w:val="16"/>
          <w:lang w:val="en-US"/>
        </w:rPr>
        <w:t>, para.</w:t>
      </w:r>
      <w:proofErr w:type="gramEnd"/>
      <w:r w:rsidRPr="00965219">
        <w:rPr>
          <w:rFonts w:ascii="Verdana" w:hAnsi="Verdana"/>
          <w:sz w:val="16"/>
          <w:szCs w:val="16"/>
          <w:lang w:val="en-US"/>
        </w:rPr>
        <w:t xml:space="preserve"> </w:t>
      </w:r>
      <w:proofErr w:type="gramStart"/>
      <w:r w:rsidRPr="00965219">
        <w:rPr>
          <w:rFonts w:ascii="Verdana" w:hAnsi="Verdana"/>
          <w:sz w:val="16"/>
          <w:szCs w:val="16"/>
          <w:lang w:val="en-US"/>
        </w:rPr>
        <w:t>163,</w:t>
      </w:r>
      <w:proofErr w:type="gramEnd"/>
      <w:r w:rsidRPr="00965219">
        <w:rPr>
          <w:rFonts w:ascii="Verdana" w:hAnsi="Verdana"/>
          <w:sz w:val="16"/>
          <w:szCs w:val="16"/>
          <w:lang w:val="en-US"/>
        </w:rPr>
        <w:t xml:space="preserve"> and </w:t>
      </w:r>
      <w:r w:rsidRPr="00965219">
        <w:rPr>
          <w:rStyle w:val="Strong"/>
          <w:rFonts w:ascii="Verdana" w:hAnsi="Verdana"/>
          <w:b w:val="0"/>
          <w:i/>
          <w:color w:val="000000"/>
          <w:sz w:val="16"/>
          <w:szCs w:val="16"/>
          <w:shd w:val="clear" w:color="auto" w:fill="FFFFFF"/>
          <w:lang w:val="en-US"/>
        </w:rPr>
        <w:t xml:space="preserve">Case of the Santa Bárbara Campesino Community v. Peru. </w:t>
      </w:r>
      <w:r w:rsidRPr="00567F37">
        <w:rPr>
          <w:rStyle w:val="Strong"/>
          <w:rFonts w:ascii="Verdana" w:hAnsi="Verdana"/>
          <w:b w:val="0"/>
          <w:i/>
          <w:color w:val="000000"/>
          <w:sz w:val="16"/>
          <w:szCs w:val="16"/>
          <w:shd w:val="clear" w:color="auto" w:fill="FFFFFF"/>
          <w:lang w:val="en-US"/>
        </w:rPr>
        <w:t>Preliminary Objections</w:t>
      </w:r>
      <w:r w:rsidRPr="00965219">
        <w:rPr>
          <w:rStyle w:val="Strong"/>
          <w:rFonts w:ascii="Verdana" w:hAnsi="Verdana"/>
          <w:b w:val="0"/>
          <w:i/>
          <w:color w:val="000000"/>
          <w:sz w:val="16"/>
          <w:szCs w:val="16"/>
          <w:shd w:val="clear" w:color="auto" w:fill="FFFFFF"/>
          <w:lang w:val="en-US"/>
        </w:rPr>
        <w:t xml:space="preserve">, </w:t>
      </w:r>
      <w:r w:rsidRPr="00567F37">
        <w:rPr>
          <w:rStyle w:val="Strong"/>
          <w:rFonts w:ascii="Verdana" w:hAnsi="Verdana"/>
          <w:b w:val="0"/>
          <w:i/>
          <w:color w:val="000000"/>
          <w:sz w:val="16"/>
          <w:szCs w:val="16"/>
          <w:shd w:val="clear" w:color="auto" w:fill="FFFFFF"/>
          <w:lang w:val="en-US"/>
        </w:rPr>
        <w:t>Merits,</w:t>
      </w:r>
      <w:r w:rsidRPr="00965219">
        <w:rPr>
          <w:rStyle w:val="Strong"/>
          <w:rFonts w:ascii="Verdana" w:hAnsi="Verdana"/>
          <w:b w:val="0"/>
          <w:i/>
          <w:color w:val="000000"/>
          <w:sz w:val="16"/>
          <w:szCs w:val="16"/>
          <w:shd w:val="clear" w:color="auto" w:fill="FFFFFF"/>
          <w:lang w:val="en-US"/>
        </w:rPr>
        <w:t xml:space="preserve"> </w:t>
      </w:r>
      <w:r w:rsidRPr="00567F37">
        <w:rPr>
          <w:rStyle w:val="Strong"/>
          <w:rFonts w:ascii="Verdana" w:hAnsi="Verdana"/>
          <w:b w:val="0"/>
          <w:i/>
          <w:color w:val="000000"/>
          <w:sz w:val="16"/>
          <w:szCs w:val="16"/>
          <w:shd w:val="clear" w:color="auto" w:fill="FFFFFF"/>
          <w:lang w:val="en-US"/>
        </w:rPr>
        <w:t>Reparations</w:t>
      </w:r>
      <w:r w:rsidRPr="00965219">
        <w:rPr>
          <w:rStyle w:val="Strong"/>
          <w:rFonts w:ascii="Verdana" w:hAnsi="Verdana"/>
          <w:b w:val="0"/>
          <w:i/>
          <w:color w:val="000000"/>
          <w:sz w:val="16"/>
          <w:szCs w:val="16"/>
          <w:shd w:val="clear" w:color="auto" w:fill="FFFFFF"/>
          <w:lang w:val="en-US"/>
        </w:rPr>
        <w:t xml:space="preserve"> and </w:t>
      </w:r>
      <w:r w:rsidRPr="00567F37">
        <w:rPr>
          <w:rStyle w:val="Strong"/>
          <w:rFonts w:ascii="Verdana" w:hAnsi="Verdana"/>
          <w:b w:val="0"/>
          <w:i/>
          <w:color w:val="000000"/>
          <w:sz w:val="16"/>
          <w:szCs w:val="16"/>
          <w:shd w:val="clear" w:color="auto" w:fill="FFFFFF"/>
          <w:lang w:val="en-US"/>
        </w:rPr>
        <w:t>Costs</w:t>
      </w:r>
      <w:r w:rsidRPr="00965219">
        <w:rPr>
          <w:rStyle w:val="Strong"/>
          <w:rFonts w:ascii="Verdana" w:hAnsi="Verdana"/>
          <w:b w:val="0"/>
          <w:color w:val="000000"/>
          <w:sz w:val="16"/>
          <w:szCs w:val="16"/>
          <w:shd w:val="clear" w:color="auto" w:fill="FFFFFF"/>
          <w:lang w:val="en-US"/>
        </w:rPr>
        <w:t xml:space="preserve">, Judgment of September 1, 2015. Series C No 299, </w:t>
      </w:r>
      <w:r w:rsidRPr="00965219">
        <w:rPr>
          <w:rFonts w:ascii="Verdana" w:hAnsi="Verdana"/>
          <w:sz w:val="16"/>
          <w:szCs w:val="16"/>
          <w:lang w:val="en-US"/>
        </w:rPr>
        <w:t xml:space="preserve">para. 194. The State did not comment on the alleged violation of the right of access to information during </w:t>
      </w:r>
      <w:r>
        <w:rPr>
          <w:rFonts w:ascii="Verdana" w:hAnsi="Verdana"/>
          <w:sz w:val="16"/>
          <w:szCs w:val="16"/>
          <w:lang w:val="en-US"/>
        </w:rPr>
        <w:t xml:space="preserve">the </w:t>
      </w:r>
      <w:r w:rsidRPr="00965219">
        <w:rPr>
          <w:rFonts w:ascii="Verdana" w:hAnsi="Verdana"/>
          <w:sz w:val="16"/>
          <w:szCs w:val="16"/>
          <w:lang w:val="en-US"/>
        </w:rPr>
        <w:t>merits stage before the Commission, even though it was advised of this allegation by the representatives; thus, the State had the opportunity to indicate its position with regard to these facts. In addition, during the on-site procedure, it argued that, in Suriname, access to public records was not denied.</w:t>
      </w:r>
    </w:p>
  </w:footnote>
  <w:footnote w:id="303">
    <w:p w14:paraId="63126D19" w14:textId="4525C560"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 Compulsory Membership in an Association Prescribed by Law for the Practice of Journalism (Arts. 13 and 29 American Convention on Human Rights).</w:t>
      </w:r>
      <w:proofErr w:type="gramEnd"/>
      <w:r w:rsidRPr="00965219">
        <w:rPr>
          <w:i/>
          <w:lang w:val="en-US"/>
        </w:rPr>
        <w:t xml:space="preserve"> </w:t>
      </w:r>
      <w:r w:rsidRPr="00965219">
        <w:rPr>
          <w:lang w:val="en-US"/>
        </w:rPr>
        <w:t xml:space="preserve">Advisory Opinion OC-5/85 of November 13, 1985. Series </w:t>
      </w:r>
      <w:proofErr w:type="gramStart"/>
      <w:r w:rsidRPr="00965219">
        <w:rPr>
          <w:lang w:val="en-US"/>
        </w:rPr>
        <w:t>A</w:t>
      </w:r>
      <w:proofErr w:type="gramEnd"/>
      <w:r w:rsidRPr="00965219">
        <w:rPr>
          <w:lang w:val="en-US"/>
        </w:rPr>
        <w:t xml:space="preserve"> No. 5, para. </w:t>
      </w:r>
      <w:proofErr w:type="gramStart"/>
      <w:r w:rsidRPr="00965219">
        <w:rPr>
          <w:lang w:val="en-US"/>
        </w:rPr>
        <w:t>30,</w:t>
      </w:r>
      <w:proofErr w:type="gramEnd"/>
      <w:r w:rsidRPr="00965219">
        <w:rPr>
          <w:lang w:val="en-US"/>
        </w:rPr>
        <w:t xml:space="preserve"> and </w:t>
      </w:r>
      <w:r w:rsidRPr="00965219">
        <w:rPr>
          <w:rStyle w:val="Strong"/>
          <w:b w:val="0"/>
          <w:i/>
          <w:color w:val="000000"/>
          <w:shd w:val="clear" w:color="auto" w:fill="FFFFFF"/>
          <w:lang w:val="en-US"/>
        </w:rPr>
        <w:t xml:space="preserve">Case of Granier et al. (Radio Caracas Television) v. Venezuela. </w:t>
      </w:r>
      <w:proofErr w:type="gramStart"/>
      <w:r w:rsidRPr="00567F37">
        <w:rPr>
          <w:rStyle w:val="Strong"/>
          <w:b w:val="0"/>
          <w:i/>
          <w:color w:val="000000"/>
          <w:shd w:val="clear" w:color="auto" w:fill="FFFFFF"/>
          <w:lang w:val="en-US"/>
        </w:rPr>
        <w:t>Preliminary Objections</w:t>
      </w:r>
      <w:r w:rsidRPr="00965219">
        <w:rPr>
          <w:rStyle w:val="Strong"/>
          <w:b w:val="0"/>
          <w:i/>
          <w:color w:val="000000"/>
          <w:shd w:val="clear" w:color="auto" w:fill="FFFFFF"/>
          <w:lang w:val="en-US"/>
        </w:rPr>
        <w:t xml:space="preserve">, </w:t>
      </w:r>
      <w:r w:rsidRPr="00567F37">
        <w:rPr>
          <w:rStyle w:val="Strong"/>
          <w:b w:val="0"/>
          <w:i/>
          <w:color w:val="000000"/>
          <w:shd w:val="clear" w:color="auto" w:fill="FFFFFF"/>
          <w:lang w:val="en-US"/>
        </w:rPr>
        <w:t>Merits,</w:t>
      </w:r>
      <w:r w:rsidRPr="00965219">
        <w:rPr>
          <w:rStyle w:val="Strong"/>
          <w:b w:val="0"/>
          <w:i/>
          <w:color w:val="000000"/>
          <w:shd w:val="clear" w:color="auto" w:fill="FFFFFF"/>
          <w:lang w:val="en-US"/>
        </w:rPr>
        <w:t xml:space="preserve"> </w:t>
      </w:r>
      <w:r w:rsidRPr="00567F37">
        <w:rPr>
          <w:rStyle w:val="Strong"/>
          <w:b w:val="0"/>
          <w:i/>
          <w:color w:val="000000"/>
          <w:shd w:val="clear" w:color="auto" w:fill="FFFFFF"/>
          <w:lang w:val="en-US"/>
        </w:rPr>
        <w:t>Reparations</w:t>
      </w:r>
      <w:r w:rsidRPr="00965219">
        <w:rPr>
          <w:rStyle w:val="Strong"/>
          <w:b w:val="0"/>
          <w:i/>
          <w:color w:val="000000"/>
          <w:shd w:val="clear" w:color="auto" w:fill="FFFFFF"/>
          <w:lang w:val="en-US"/>
        </w:rPr>
        <w:t xml:space="preserve"> and </w:t>
      </w:r>
      <w:r w:rsidRPr="00567F37">
        <w:rPr>
          <w:rStyle w:val="Strong"/>
          <w:b w:val="0"/>
          <w:i/>
          <w:color w:val="000000"/>
          <w:shd w:val="clear" w:color="auto" w:fill="FFFFFF"/>
          <w:lang w:val="en-US"/>
        </w:rPr>
        <w:t>Costs</w:t>
      </w:r>
      <w:r w:rsidRPr="00965219">
        <w:rPr>
          <w:rStyle w:val="Strong"/>
          <w:b w:val="0"/>
          <w:i/>
          <w:color w:val="000000"/>
          <w:shd w:val="clear" w:color="auto" w:fill="FFFFFF"/>
          <w:lang w:val="en-US"/>
        </w:rPr>
        <w:t>.</w:t>
      </w:r>
      <w:proofErr w:type="gramEnd"/>
      <w:r w:rsidRPr="00965219">
        <w:rPr>
          <w:rStyle w:val="Strong"/>
          <w:b w:val="0"/>
          <w:color w:val="000000"/>
          <w:shd w:val="clear" w:color="auto" w:fill="FFFFFF"/>
          <w:lang w:val="en-US"/>
        </w:rPr>
        <w:t xml:space="preserve"> Judgment of June 22, 2015. Series C No. 293, para.135.</w:t>
      </w:r>
    </w:p>
  </w:footnote>
  <w:footnote w:id="304">
    <w:p w14:paraId="63126D1A" w14:textId="24790867" w:rsidR="00624C98" w:rsidRPr="00C12C4D"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Claude Reyes el al. v. Chile.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September 19, 2006. </w:t>
      </w:r>
      <w:proofErr w:type="gramStart"/>
      <w:r w:rsidRPr="00965219">
        <w:rPr>
          <w:lang w:val="en-US"/>
        </w:rPr>
        <w:t xml:space="preserve">Series C No. 151, para.77, and </w:t>
      </w:r>
      <w:r w:rsidRPr="00965219">
        <w:rPr>
          <w:rStyle w:val="Strong"/>
          <w:b w:val="0"/>
          <w:i/>
          <w:color w:val="000000"/>
          <w:shd w:val="clear" w:color="auto" w:fill="FFFFFF"/>
          <w:lang w:val="en-US"/>
        </w:rPr>
        <w:t>Case of Gomes Lund et al. ("Guerrilha do Araguaia") v. Brazil.</w:t>
      </w:r>
      <w:proofErr w:type="gramEnd"/>
      <w:r w:rsidRPr="00965219">
        <w:rPr>
          <w:rStyle w:val="Strong"/>
          <w:b w:val="0"/>
          <w:i/>
          <w:color w:val="000000"/>
          <w:shd w:val="clear" w:color="auto" w:fill="FFFFFF"/>
          <w:lang w:val="en-US"/>
        </w:rPr>
        <w:t xml:space="preserve"> </w:t>
      </w:r>
      <w:proofErr w:type="gramStart"/>
      <w:r w:rsidRPr="00567F37">
        <w:rPr>
          <w:rStyle w:val="Strong"/>
          <w:b w:val="0"/>
          <w:i/>
          <w:color w:val="000000"/>
          <w:shd w:val="clear" w:color="auto" w:fill="FFFFFF"/>
          <w:lang w:val="en-US"/>
        </w:rPr>
        <w:t>Preliminary Objections</w:t>
      </w:r>
      <w:r w:rsidRPr="00965219">
        <w:rPr>
          <w:rStyle w:val="Strong"/>
          <w:b w:val="0"/>
          <w:i/>
          <w:color w:val="000000"/>
          <w:shd w:val="clear" w:color="auto" w:fill="FFFFFF"/>
          <w:lang w:val="en-US"/>
        </w:rPr>
        <w:t xml:space="preserve">, </w:t>
      </w:r>
      <w:r>
        <w:rPr>
          <w:rStyle w:val="Strong"/>
          <w:b w:val="0"/>
          <w:i/>
          <w:color w:val="000000"/>
          <w:shd w:val="clear" w:color="auto" w:fill="FFFFFF"/>
          <w:lang w:val="en-US"/>
        </w:rPr>
        <w:t>Merits,</w:t>
      </w:r>
      <w:r w:rsidRPr="00965219">
        <w:rPr>
          <w:rStyle w:val="Strong"/>
          <w:b w:val="0"/>
          <w:i/>
          <w:color w:val="000000"/>
          <w:shd w:val="clear" w:color="auto" w:fill="FFFFFF"/>
          <w:lang w:val="en-US"/>
        </w:rPr>
        <w:t xml:space="preserve"> </w:t>
      </w:r>
      <w:r w:rsidRPr="00567F37">
        <w:rPr>
          <w:rStyle w:val="Strong"/>
          <w:b w:val="0"/>
          <w:i/>
          <w:color w:val="000000"/>
          <w:shd w:val="clear" w:color="auto" w:fill="FFFFFF"/>
          <w:lang w:val="en-US"/>
        </w:rPr>
        <w:t>Reparations</w:t>
      </w:r>
      <w:r w:rsidRPr="00965219">
        <w:rPr>
          <w:rStyle w:val="Strong"/>
          <w:b w:val="0"/>
          <w:i/>
          <w:color w:val="000000"/>
          <w:shd w:val="clear" w:color="auto" w:fill="FFFFFF"/>
          <w:lang w:val="en-US"/>
        </w:rPr>
        <w:t xml:space="preserve"> and </w:t>
      </w:r>
      <w:r w:rsidRPr="00567F37">
        <w:rPr>
          <w:rStyle w:val="Strong"/>
          <w:b w:val="0"/>
          <w:i/>
          <w:color w:val="000000"/>
          <w:shd w:val="clear" w:color="auto" w:fill="FFFFFF"/>
          <w:lang w:val="en-US"/>
        </w:rPr>
        <w:t>Costs</w:t>
      </w:r>
      <w:r w:rsidRPr="00965219">
        <w:rPr>
          <w:rStyle w:val="Strong"/>
          <w:b w:val="0"/>
          <w:i/>
          <w:color w:val="000000"/>
          <w:shd w:val="clear" w:color="auto" w:fill="FFFFFF"/>
          <w:lang w:val="en-US"/>
        </w:rPr>
        <w:t>.</w:t>
      </w:r>
      <w:proofErr w:type="gramEnd"/>
      <w:r w:rsidRPr="00965219">
        <w:rPr>
          <w:rStyle w:val="Strong"/>
          <w:b w:val="0"/>
          <w:color w:val="000000"/>
          <w:shd w:val="clear" w:color="auto" w:fill="FFFFFF"/>
          <w:lang w:val="en-US"/>
        </w:rPr>
        <w:t xml:space="preserve"> Judgment of November 24, 2010. </w:t>
      </w:r>
      <w:r w:rsidRPr="00C12C4D">
        <w:rPr>
          <w:rStyle w:val="Strong"/>
          <w:b w:val="0"/>
          <w:color w:val="000000"/>
          <w:shd w:val="clear" w:color="auto" w:fill="FFFFFF"/>
          <w:lang w:val="en-US"/>
        </w:rPr>
        <w:t>Series C No. 219, para. 211.</w:t>
      </w:r>
    </w:p>
  </w:footnote>
  <w:footnote w:id="305">
    <w:p w14:paraId="63126D1B" w14:textId="1903921D" w:rsidR="00624C98" w:rsidRPr="00965219" w:rsidRDefault="00624C98" w:rsidP="00145D1D">
      <w:pPr>
        <w:pStyle w:val="FootnoteText"/>
        <w:spacing w:after="80"/>
        <w:rPr>
          <w:b/>
          <w:lang w:val="en-US"/>
        </w:rPr>
      </w:pPr>
      <w:r w:rsidRPr="00965219">
        <w:rPr>
          <w:rStyle w:val="FootnoteReference"/>
          <w:sz w:val="16"/>
          <w:lang w:val="en-US"/>
        </w:rPr>
        <w:footnoteRef/>
      </w:r>
      <w:r w:rsidRPr="00C12C4D">
        <w:rPr>
          <w:lang w:val="en-US"/>
        </w:rPr>
        <w:t xml:space="preserve"> </w:t>
      </w:r>
      <w:r w:rsidRPr="00C12C4D">
        <w:rPr>
          <w:lang w:val="en-US"/>
        </w:rPr>
        <w:tab/>
      </w:r>
      <w:r w:rsidRPr="00C12C4D">
        <w:rPr>
          <w:i/>
          <w:lang w:val="en-US"/>
        </w:rPr>
        <w:t>Cf. Case of Claude Reyes et al., supra,</w:t>
      </w:r>
      <w:r w:rsidRPr="00C12C4D">
        <w:rPr>
          <w:lang w:val="en-US"/>
        </w:rPr>
        <w:t xml:space="preserve"> para. </w:t>
      </w:r>
      <w:proofErr w:type="gramStart"/>
      <w:r w:rsidRPr="00C12C4D">
        <w:rPr>
          <w:lang w:val="en-US"/>
        </w:rPr>
        <w:t>77,</w:t>
      </w:r>
      <w:proofErr w:type="gramEnd"/>
      <w:r w:rsidRPr="00C12C4D">
        <w:rPr>
          <w:lang w:val="en-US"/>
        </w:rPr>
        <w:t xml:space="preserve"> and Case </w:t>
      </w:r>
      <w:r w:rsidRPr="00C12C4D">
        <w:rPr>
          <w:rStyle w:val="Strong"/>
          <w:b w:val="0"/>
          <w:i/>
          <w:lang w:val="en-US"/>
        </w:rPr>
        <w:t xml:space="preserve">of Omar Humberto Maldonado Vargas et al. v. Chile. </w:t>
      </w:r>
      <w:proofErr w:type="gramStart"/>
      <w:r w:rsidRPr="00965219">
        <w:rPr>
          <w:rStyle w:val="Strong"/>
          <w:b w:val="0"/>
          <w:i/>
          <w:lang w:val="en-US"/>
        </w:rPr>
        <w:t xml:space="preserve">Merits, </w:t>
      </w:r>
      <w:r w:rsidRPr="00567F37">
        <w:rPr>
          <w:rStyle w:val="Strong"/>
          <w:b w:val="0"/>
          <w:i/>
          <w:lang w:val="en-US"/>
        </w:rPr>
        <w:t>Reparations</w:t>
      </w:r>
      <w:r w:rsidRPr="00965219">
        <w:rPr>
          <w:rStyle w:val="Strong"/>
          <w:b w:val="0"/>
          <w:i/>
          <w:lang w:val="en-US"/>
        </w:rPr>
        <w:t xml:space="preserve"> and </w:t>
      </w:r>
      <w:r w:rsidRPr="00567F37">
        <w:rPr>
          <w:rStyle w:val="Strong"/>
          <w:b w:val="0"/>
          <w:i/>
          <w:lang w:val="en-US"/>
        </w:rPr>
        <w:t>Costs</w:t>
      </w:r>
      <w:r w:rsidRPr="00965219">
        <w:rPr>
          <w:rStyle w:val="Strong"/>
          <w:b w:val="0"/>
          <w:i/>
          <w:lang w:val="en-US"/>
        </w:rPr>
        <w:t>.</w:t>
      </w:r>
      <w:proofErr w:type="gramEnd"/>
      <w:r w:rsidRPr="00965219">
        <w:rPr>
          <w:rStyle w:val="Strong"/>
          <w:b w:val="0"/>
          <w:lang w:val="en-US"/>
        </w:rPr>
        <w:t xml:space="preserve"> Judgment of September 2, 2015. Series C No. 300, para. 90.</w:t>
      </w:r>
    </w:p>
  </w:footnote>
  <w:footnote w:id="306">
    <w:p w14:paraId="63126D1C" w14:textId="77777777" w:rsidR="00624C98" w:rsidRPr="00CD4901" w:rsidRDefault="00624C98" w:rsidP="00145D1D">
      <w:pPr>
        <w:pStyle w:val="FootnoteText"/>
        <w:spacing w:after="80"/>
        <w:rPr>
          <w:lang w:val="pt-BR"/>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Claude Reyes et al., supra,</w:t>
      </w:r>
      <w:r w:rsidRPr="00965219">
        <w:rPr>
          <w:lang w:val="en-US"/>
        </w:rPr>
        <w:t xml:space="preserve"> para. 77, and </w:t>
      </w:r>
      <w:r w:rsidRPr="00965219">
        <w:rPr>
          <w:rStyle w:val="Strong"/>
          <w:b w:val="0"/>
          <w:i/>
          <w:color w:val="000000"/>
          <w:shd w:val="clear" w:color="auto" w:fill="FFFFFF"/>
          <w:lang w:val="en-US"/>
        </w:rPr>
        <w:t xml:space="preserve">Case of Gomes Lund et al. </w:t>
      </w:r>
      <w:r w:rsidRPr="00CD4901">
        <w:rPr>
          <w:rStyle w:val="Strong"/>
          <w:b w:val="0"/>
          <w:i/>
          <w:color w:val="000000"/>
          <w:shd w:val="clear" w:color="auto" w:fill="FFFFFF"/>
          <w:lang w:val="pt-BR"/>
        </w:rPr>
        <w:t xml:space="preserve">("Guerrilha do Araguaia"), supra, para. 211. </w:t>
      </w:r>
    </w:p>
  </w:footnote>
  <w:footnote w:id="307">
    <w:p w14:paraId="63126D1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E172A">
        <w:rPr>
          <w:lang w:val="en-US"/>
        </w:rPr>
        <w:t xml:space="preserve"> </w:t>
      </w:r>
      <w:r w:rsidRPr="009E172A">
        <w:rPr>
          <w:lang w:val="en-US"/>
        </w:rPr>
        <w:tab/>
      </w:r>
      <w:proofErr w:type="gramStart"/>
      <w:r w:rsidRPr="009E172A">
        <w:rPr>
          <w:i/>
          <w:lang w:val="en-US"/>
        </w:rPr>
        <w:t>Cf.</w:t>
      </w:r>
      <w:r w:rsidRPr="009E172A">
        <w:rPr>
          <w:lang w:val="en-US"/>
        </w:rPr>
        <w:t xml:space="preserve"> Inter-American Juridical Committee.</w:t>
      </w:r>
      <w:proofErr w:type="gramEnd"/>
      <w:r w:rsidRPr="009E172A">
        <w:rPr>
          <w:lang w:val="en-US"/>
        </w:rPr>
        <w:t xml:space="preserve"> </w:t>
      </w:r>
      <w:r w:rsidRPr="00965219">
        <w:rPr>
          <w:lang w:val="en-US"/>
        </w:rPr>
        <w:t>Resolution 147 of the 73</w:t>
      </w:r>
      <w:r w:rsidRPr="00965219">
        <w:rPr>
          <w:vertAlign w:val="superscript"/>
          <w:lang w:val="en-US"/>
        </w:rPr>
        <w:t>rd</w:t>
      </w:r>
      <w:r w:rsidRPr="00965219">
        <w:rPr>
          <w:lang w:val="en-US"/>
        </w:rPr>
        <w:t xml:space="preserve"> regular session: Principles on the Right of Access to Information. August 7, 2008. </w:t>
      </w:r>
      <w:proofErr w:type="gramStart"/>
      <w:r w:rsidRPr="00965219">
        <w:rPr>
          <w:lang w:val="en-US"/>
        </w:rPr>
        <w:t>Operative paragraph 7.</w:t>
      </w:r>
      <w:proofErr w:type="gramEnd"/>
      <w:r w:rsidRPr="00965219">
        <w:rPr>
          <w:lang w:val="en-US"/>
        </w:rPr>
        <w:t xml:space="preserve"> Available at: </w:t>
      </w:r>
      <w:hyperlink r:id="rId28" w:history="1">
        <w:r w:rsidRPr="00965219">
          <w:rPr>
            <w:rStyle w:val="Hyperlink"/>
            <w:lang w:val="en-US"/>
          </w:rPr>
          <w:t>http://www.oas.org/cji/eng/CJI-RES_147_LXXIII-O-08_eng.pdf</w:t>
        </w:r>
      </w:hyperlink>
      <w:r w:rsidRPr="00965219">
        <w:rPr>
          <w:lang w:val="en-US"/>
        </w:rPr>
        <w:t>.</w:t>
      </w:r>
    </w:p>
  </w:footnote>
  <w:footnote w:id="308">
    <w:p w14:paraId="63126D1E" w14:textId="77777777" w:rsidR="00624C98" w:rsidRPr="00965219" w:rsidRDefault="00624C98" w:rsidP="00145D1D">
      <w:pPr>
        <w:tabs>
          <w:tab w:val="left" w:pos="567"/>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t>The chiefs of the indigenous peoples who signed the request were: Ricardo Pané, chief of the community of Christiaankondre; Henry Za</w:t>
      </w:r>
      <w:r>
        <w:rPr>
          <w:rFonts w:ascii="Verdana" w:hAnsi="Verdana"/>
          <w:sz w:val="16"/>
          <w:szCs w:val="16"/>
          <w:lang w:val="en-US"/>
        </w:rPr>
        <w:t>a</w:t>
      </w:r>
      <w:r w:rsidRPr="00965219">
        <w:rPr>
          <w:rFonts w:ascii="Verdana" w:hAnsi="Verdana"/>
          <w:sz w:val="16"/>
          <w:szCs w:val="16"/>
          <w:lang w:val="en-US"/>
        </w:rPr>
        <w:t>lman, chief of Wan Shia Sha; Jona Gunther, chief of Erowate; Harold Galgren, chief of Alfonsdorp; Ramses Kajoeramari, chief of Langamankondre; Romeo Pierre, Chief of Pierrekondre; Frans Perre, chief of Tapuku, and Leo Maipio, chief of Bigiston.</w:t>
      </w:r>
    </w:p>
  </w:footnote>
  <w:footnote w:id="309">
    <w:p w14:paraId="63126D1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 xml:space="preserve">Represented by Grace Watamaleo, Coordinator of the Land Rights Commission of the Lower Marowijne (CLIM). </w:t>
      </w:r>
    </w:p>
  </w:footnote>
  <w:footnote w:id="310">
    <w:p w14:paraId="63126D20"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lang w:val="en-US"/>
        </w:rPr>
        <w:t>Represented by Loreen Jubitana, Director of the Association of Indigenous Village Leaders in Suriname.</w:t>
      </w:r>
      <w:proofErr w:type="gramEnd"/>
      <w:r w:rsidRPr="00965219">
        <w:rPr>
          <w:lang w:val="en-US"/>
        </w:rPr>
        <w:t xml:space="preserve"> </w:t>
      </w:r>
    </w:p>
  </w:footnote>
  <w:footnote w:id="311">
    <w:p w14:paraId="63126D21" w14:textId="77777777" w:rsidR="00624C98" w:rsidRPr="00965219" w:rsidRDefault="00624C98" w:rsidP="00145D1D">
      <w:pPr>
        <w:tabs>
          <w:tab w:val="left" w:pos="567"/>
        </w:tabs>
        <w:autoSpaceDE w:val="0"/>
        <w:autoSpaceDN w:val="0"/>
        <w:adjustRightInd w:val="0"/>
        <w:spacing w:after="80"/>
        <w:jc w:val="both"/>
        <w:rPr>
          <w:rFonts w:ascii="Verdana" w:hAnsi="Verdana"/>
          <w:sz w:val="16"/>
          <w:szCs w:val="16"/>
          <w:lang w:val="en-US"/>
        </w:rPr>
      </w:pPr>
      <w:r w:rsidRPr="00965219">
        <w:rPr>
          <w:rStyle w:val="FootnoteReference"/>
          <w:sz w:val="16"/>
          <w:szCs w:val="16"/>
          <w:lang w:val="en-US"/>
        </w:rPr>
        <w:footnoteRef/>
      </w:r>
      <w:r w:rsidRPr="00965219">
        <w:rPr>
          <w:rFonts w:ascii="Verdana" w:hAnsi="Verdana"/>
          <w:sz w:val="16"/>
          <w:szCs w:val="16"/>
          <w:lang w:val="en-US"/>
        </w:rPr>
        <w:t xml:space="preserve"> </w:t>
      </w:r>
      <w:r w:rsidRPr="00965219">
        <w:rPr>
          <w:rFonts w:ascii="Verdana" w:hAnsi="Verdana"/>
          <w:sz w:val="16"/>
          <w:szCs w:val="16"/>
          <w:lang w:val="en-US"/>
        </w:rPr>
        <w:tab/>
      </w:r>
      <w:r w:rsidRPr="00965219">
        <w:rPr>
          <w:rFonts w:ascii="Verdana" w:hAnsi="Verdana"/>
          <w:i/>
          <w:sz w:val="16"/>
          <w:szCs w:val="16"/>
          <w:lang w:val="en-US"/>
        </w:rPr>
        <w:t>Cf.</w:t>
      </w:r>
      <w:r w:rsidRPr="00965219">
        <w:rPr>
          <w:rFonts w:ascii="Verdana" w:hAnsi="Verdana"/>
          <w:sz w:val="16"/>
          <w:szCs w:val="16"/>
          <w:lang w:val="en-US"/>
        </w:rPr>
        <w:t xml:space="preserve"> Formal petition presented under art. 22 of the 1987 Constitution of the Republic of Suriname, October 7, 2007 (evidence file, folios 332 and 333).</w:t>
      </w:r>
    </w:p>
  </w:footnote>
  <w:footnote w:id="312">
    <w:p w14:paraId="63126D2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 xml:space="preserve">Cf. </w:t>
      </w:r>
      <w:r w:rsidRPr="00965219">
        <w:rPr>
          <w:lang w:val="en-US"/>
        </w:rPr>
        <w:t>Brief of May 28, 2008 (evidence file, folio 570), and Brief of October 29, 2008 (evidence file, folio 1258).</w:t>
      </w:r>
      <w:proofErr w:type="gramEnd"/>
    </w:p>
  </w:footnote>
  <w:footnote w:id="313">
    <w:p w14:paraId="63126D23"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In this regard, during the public hearing, the Court requested these documents as part of the helpful evidence. On March 14, the State delivered several annexes to the final arguments, which did not include the information on the titles issued to third parties requested during the hearing. On March 26 and April 15, 2015, the Court again asked the Government of Suriname to provide this information. Initially, the State advised the Court that the investigation into the requested titles was underway, but did not attach any documents that proved this information. Finally, on September 22, 2015, the State provided the Court with this information, but in Dutch, after it had again been requested following the visit.</w:t>
      </w:r>
    </w:p>
  </w:footnote>
  <w:footnote w:id="314">
    <w:p w14:paraId="63126D2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Claude Reyes et al., supra, </w:t>
      </w:r>
      <w:r w:rsidRPr="00965219">
        <w:rPr>
          <w:lang w:val="en-US"/>
        </w:rPr>
        <w:t xml:space="preserve">para. 77, and </w:t>
      </w:r>
      <w:r w:rsidRPr="00965219">
        <w:rPr>
          <w:i/>
          <w:lang w:val="en-US"/>
        </w:rPr>
        <w:t xml:space="preserve">Case of Gomes Lund et al. (“Guerrilha do Araguaia”), supra, </w:t>
      </w:r>
      <w:r w:rsidRPr="00965219">
        <w:rPr>
          <w:lang w:val="en-US"/>
        </w:rPr>
        <w:t>para. 211.</w:t>
      </w:r>
    </w:p>
  </w:footnote>
  <w:footnote w:id="315">
    <w:p w14:paraId="63126D25" w14:textId="77777777"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965219">
        <w:rPr>
          <w:rFonts w:ascii="Verdana" w:hAnsi="Verdana"/>
          <w:sz w:val="16"/>
          <w:szCs w:val="16"/>
          <w:vertAlign w:val="superscript"/>
          <w:lang w:val="en-US"/>
        </w:rPr>
        <w:t xml:space="preserve"> </w:t>
      </w:r>
      <w:r w:rsidRPr="00965219">
        <w:rPr>
          <w:rFonts w:ascii="Verdana" w:hAnsi="Verdana"/>
          <w:sz w:val="16"/>
          <w:szCs w:val="16"/>
          <w:lang w:val="en-US"/>
        </w:rPr>
        <w:tab/>
        <w:t>Article 63(1) of the American Convention establishes that “[i]</w:t>
      </w:r>
      <w:r w:rsidRPr="00965219">
        <w:rPr>
          <w:rFonts w:ascii="Verdana" w:hAnsi="Verdana"/>
          <w:spacing w:val="-3"/>
          <w:sz w:val="16"/>
          <w:szCs w:val="16"/>
          <w:lang w:val="en-US"/>
        </w:rPr>
        <w:t>f the Court finds that there has been a violation of a right or freedom protected by this Convention, the Court shall rule that the injured party be ensured the enjoyment of his right or freedom that was violated.  It shall also rule, if appropriate, that the consequences of the measure or situation that constituted the breach of such right or freedom be remedied and that fair compensation be paid to the injured party.</w:t>
      </w:r>
      <w:r w:rsidRPr="00965219">
        <w:rPr>
          <w:rFonts w:ascii="Verdana" w:hAnsi="Verdana"/>
          <w:sz w:val="16"/>
          <w:szCs w:val="16"/>
          <w:lang w:val="en-US"/>
        </w:rPr>
        <w:t>”</w:t>
      </w:r>
    </w:p>
  </w:footnote>
  <w:footnote w:id="316">
    <w:p w14:paraId="63126D26" w14:textId="390925D2"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147672">
        <w:rPr>
          <w:rFonts w:ascii="Verdana" w:hAnsi="Verdana"/>
          <w:sz w:val="16"/>
          <w:szCs w:val="16"/>
          <w:vertAlign w:val="superscript"/>
        </w:rPr>
        <w:t xml:space="preserve"> </w:t>
      </w:r>
      <w:r w:rsidRPr="00147672">
        <w:rPr>
          <w:rFonts w:ascii="Verdana" w:hAnsi="Verdana"/>
          <w:sz w:val="16"/>
          <w:szCs w:val="16"/>
        </w:rPr>
        <w:tab/>
      </w:r>
      <w:r w:rsidRPr="00147672">
        <w:rPr>
          <w:rFonts w:ascii="Verdana" w:hAnsi="Verdana"/>
          <w:i/>
          <w:sz w:val="16"/>
          <w:szCs w:val="16"/>
        </w:rPr>
        <w:t xml:space="preserve">Cf. Case of Velásquez Rodríguez v. Honduras. </w:t>
      </w:r>
      <w:proofErr w:type="gramStart"/>
      <w:r w:rsidRPr="00965219">
        <w:rPr>
          <w:rFonts w:ascii="Verdana" w:hAnsi="Verdana"/>
          <w:i/>
          <w:sz w:val="16"/>
          <w:szCs w:val="16"/>
          <w:lang w:val="en-US"/>
        </w:rPr>
        <w:t xml:space="preserve">Reparations and </w:t>
      </w:r>
      <w:r w:rsidRPr="00567F37">
        <w:rPr>
          <w:rFonts w:ascii="Verdana" w:hAnsi="Verdana"/>
          <w:i/>
          <w:sz w:val="16"/>
          <w:szCs w:val="16"/>
          <w:lang w:val="en-US"/>
        </w:rPr>
        <w:t>Costs</w:t>
      </w:r>
      <w:r w:rsidRPr="00965219">
        <w:rPr>
          <w:rFonts w:ascii="Verdana" w:hAnsi="Verdana"/>
          <w:i/>
          <w:sz w:val="16"/>
          <w:szCs w:val="16"/>
          <w:lang w:val="en-US"/>
        </w:rPr>
        <w:t>.</w:t>
      </w:r>
      <w:proofErr w:type="gramEnd"/>
      <w:r w:rsidRPr="00965219">
        <w:rPr>
          <w:rFonts w:ascii="Verdana" w:hAnsi="Verdana"/>
          <w:sz w:val="16"/>
          <w:szCs w:val="16"/>
          <w:lang w:val="en-US"/>
        </w:rPr>
        <w:t xml:space="preserve"> Judgment of July 21, 1989. Series C No. 7, para. </w:t>
      </w:r>
      <w:proofErr w:type="gramStart"/>
      <w:r w:rsidRPr="00965219">
        <w:rPr>
          <w:rFonts w:ascii="Verdana" w:hAnsi="Verdana"/>
          <w:sz w:val="16"/>
          <w:szCs w:val="16"/>
          <w:lang w:val="en-US"/>
        </w:rPr>
        <w:t>25,</w:t>
      </w:r>
      <w:proofErr w:type="gramEnd"/>
      <w:r w:rsidRPr="00965219">
        <w:rPr>
          <w:rFonts w:ascii="Verdana" w:hAnsi="Verdana"/>
          <w:sz w:val="16"/>
          <w:szCs w:val="16"/>
          <w:lang w:val="en-US"/>
        </w:rPr>
        <w:t xml:space="preserve"> and </w:t>
      </w:r>
      <w:r w:rsidRPr="00965219">
        <w:rPr>
          <w:rFonts w:ascii="Verdana" w:hAnsi="Verdana"/>
          <w:i/>
          <w:sz w:val="16"/>
          <w:szCs w:val="16"/>
          <w:lang w:val="en-US"/>
        </w:rPr>
        <w:t>Case of the Garífuna Community of Punta Piedra and its members, supra,</w:t>
      </w:r>
      <w:r w:rsidRPr="00965219">
        <w:rPr>
          <w:rFonts w:ascii="Verdana" w:hAnsi="Verdana"/>
          <w:sz w:val="16"/>
          <w:szCs w:val="16"/>
          <w:lang w:val="en-US"/>
        </w:rPr>
        <w:t xml:space="preserve"> para. 313.</w:t>
      </w:r>
    </w:p>
  </w:footnote>
  <w:footnote w:id="317">
    <w:p w14:paraId="63126D27" w14:textId="0CEC1C72"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782F4A">
        <w:rPr>
          <w:rFonts w:ascii="Verdana" w:hAnsi="Verdana"/>
          <w:sz w:val="16"/>
          <w:szCs w:val="16"/>
          <w:vertAlign w:val="superscript"/>
          <w:lang w:val="es-CR"/>
        </w:rPr>
        <w:t xml:space="preserve"> </w:t>
      </w:r>
      <w:r w:rsidRPr="00782F4A">
        <w:rPr>
          <w:rFonts w:ascii="Verdana" w:hAnsi="Verdana"/>
          <w:sz w:val="16"/>
          <w:szCs w:val="16"/>
          <w:lang w:val="es-CR"/>
        </w:rPr>
        <w:tab/>
      </w:r>
      <w:r w:rsidRPr="00782F4A">
        <w:rPr>
          <w:rFonts w:ascii="Verdana" w:hAnsi="Verdana"/>
          <w:i/>
          <w:sz w:val="16"/>
          <w:szCs w:val="16"/>
          <w:lang w:val="es-CR"/>
        </w:rPr>
        <w:t xml:space="preserve">Cf. Case of Ticona Estrada el al. v. Bolivia. </w:t>
      </w:r>
      <w:proofErr w:type="gramStart"/>
      <w:r w:rsidRPr="00965219">
        <w:rPr>
          <w:rFonts w:ascii="Verdana" w:hAnsi="Verdana"/>
          <w:i/>
          <w:sz w:val="16"/>
          <w:szCs w:val="16"/>
          <w:lang w:val="en-US"/>
        </w:rPr>
        <w:t xml:space="preserve">Merits, </w:t>
      </w:r>
      <w:r w:rsidRPr="00567F37">
        <w:rPr>
          <w:rFonts w:ascii="Verdana" w:hAnsi="Verdana"/>
          <w:i/>
          <w:sz w:val="16"/>
          <w:szCs w:val="16"/>
          <w:lang w:val="en-US"/>
        </w:rPr>
        <w:t>Reparations</w:t>
      </w:r>
      <w:r w:rsidRPr="00965219">
        <w:rPr>
          <w:rFonts w:ascii="Verdana" w:hAnsi="Verdana"/>
          <w:i/>
          <w:sz w:val="16"/>
          <w:szCs w:val="16"/>
          <w:lang w:val="en-US"/>
        </w:rPr>
        <w:t xml:space="preserve"> and </w:t>
      </w:r>
      <w:r w:rsidRPr="00567F37">
        <w:rPr>
          <w:rFonts w:ascii="Verdana" w:hAnsi="Verdana"/>
          <w:i/>
          <w:sz w:val="16"/>
          <w:szCs w:val="16"/>
          <w:lang w:val="en-US"/>
        </w:rPr>
        <w:t>Costs</w:t>
      </w:r>
      <w:r w:rsidRPr="00965219">
        <w:rPr>
          <w:rFonts w:ascii="Verdana" w:hAnsi="Verdana"/>
          <w:i/>
          <w:sz w:val="16"/>
          <w:szCs w:val="16"/>
          <w:lang w:val="en-US"/>
        </w:rPr>
        <w:t>.</w:t>
      </w:r>
      <w:proofErr w:type="gramEnd"/>
      <w:r w:rsidRPr="00965219">
        <w:rPr>
          <w:rFonts w:ascii="Verdana" w:hAnsi="Verdana"/>
          <w:i/>
          <w:sz w:val="16"/>
          <w:szCs w:val="16"/>
          <w:lang w:val="en-US"/>
        </w:rPr>
        <w:t xml:space="preserve"> </w:t>
      </w:r>
      <w:r w:rsidRPr="00965219">
        <w:rPr>
          <w:rFonts w:ascii="Verdana" w:hAnsi="Verdana"/>
          <w:sz w:val="16"/>
          <w:szCs w:val="16"/>
          <w:lang w:val="en-US"/>
        </w:rPr>
        <w:t xml:space="preserve">Judgment of November </w:t>
      </w:r>
      <w:r>
        <w:rPr>
          <w:rFonts w:ascii="Verdana" w:hAnsi="Verdana"/>
          <w:sz w:val="16"/>
          <w:szCs w:val="16"/>
          <w:lang w:val="en-US"/>
        </w:rPr>
        <w:t>27</w:t>
      </w:r>
      <w:r w:rsidRPr="00965219">
        <w:rPr>
          <w:rFonts w:ascii="Verdana" w:hAnsi="Verdana"/>
          <w:sz w:val="16"/>
          <w:szCs w:val="16"/>
          <w:lang w:val="en-US"/>
        </w:rPr>
        <w:t xml:space="preserve">, 2008. Series C No. 191, para. </w:t>
      </w:r>
      <w:proofErr w:type="gramStart"/>
      <w:r w:rsidRPr="00965219">
        <w:rPr>
          <w:rFonts w:ascii="Verdana" w:hAnsi="Verdana"/>
          <w:sz w:val="16"/>
          <w:szCs w:val="16"/>
          <w:lang w:val="en-US"/>
        </w:rPr>
        <w:t>110,</w:t>
      </w:r>
      <w:proofErr w:type="gramEnd"/>
      <w:r w:rsidRPr="00965219">
        <w:rPr>
          <w:rFonts w:ascii="Verdana" w:hAnsi="Verdana"/>
          <w:sz w:val="16"/>
          <w:szCs w:val="16"/>
          <w:lang w:val="en-US"/>
        </w:rPr>
        <w:t xml:space="preserve"> and </w:t>
      </w:r>
      <w:r w:rsidRPr="00965219">
        <w:rPr>
          <w:rFonts w:ascii="Verdana" w:hAnsi="Verdana"/>
          <w:i/>
          <w:sz w:val="16"/>
          <w:szCs w:val="16"/>
          <w:lang w:val="en-US"/>
        </w:rPr>
        <w:t>Case of the Garífuna Community of Punta Piedra and its members, supra,</w:t>
      </w:r>
      <w:r w:rsidRPr="00965219">
        <w:rPr>
          <w:rFonts w:ascii="Verdana" w:hAnsi="Verdana"/>
          <w:sz w:val="16"/>
          <w:szCs w:val="16"/>
          <w:lang w:val="en-US"/>
        </w:rPr>
        <w:t xml:space="preserve"> para. 314.</w:t>
      </w:r>
    </w:p>
  </w:footnote>
  <w:footnote w:id="318">
    <w:p w14:paraId="63126D28" w14:textId="590BFF01" w:rsidR="00624C98" w:rsidRPr="00965219" w:rsidRDefault="00624C98" w:rsidP="00145D1D">
      <w:pPr>
        <w:tabs>
          <w:tab w:val="left" w:pos="567"/>
        </w:tabs>
        <w:spacing w:after="80"/>
        <w:jc w:val="both"/>
        <w:rPr>
          <w:rFonts w:ascii="Verdana" w:hAnsi="Verdana"/>
          <w:sz w:val="16"/>
          <w:szCs w:val="16"/>
          <w:lang w:val="en-US"/>
        </w:rPr>
      </w:pPr>
      <w:r w:rsidRPr="00965219">
        <w:rPr>
          <w:rFonts w:ascii="Verdana" w:hAnsi="Verdana"/>
          <w:sz w:val="16"/>
          <w:szCs w:val="16"/>
          <w:vertAlign w:val="superscript"/>
          <w:lang w:val="en-US"/>
        </w:rPr>
        <w:footnoteRef/>
      </w:r>
      <w:r w:rsidRPr="00965219">
        <w:rPr>
          <w:rFonts w:ascii="Verdana" w:hAnsi="Verdana"/>
          <w:sz w:val="16"/>
          <w:szCs w:val="16"/>
          <w:vertAlign w:val="superscript"/>
          <w:lang w:val="en-US"/>
        </w:rPr>
        <w:t xml:space="preserve"> </w:t>
      </w:r>
      <w:r w:rsidRPr="00965219">
        <w:rPr>
          <w:rFonts w:ascii="Verdana" w:hAnsi="Verdana"/>
          <w:sz w:val="16"/>
          <w:szCs w:val="16"/>
          <w:lang w:val="en-US"/>
        </w:rPr>
        <w:tab/>
      </w:r>
      <w:proofErr w:type="gramStart"/>
      <w:r w:rsidRPr="00965219">
        <w:rPr>
          <w:rFonts w:ascii="Verdana" w:hAnsi="Verdana"/>
          <w:i/>
          <w:sz w:val="16"/>
          <w:szCs w:val="16"/>
          <w:lang w:val="en-US"/>
        </w:rPr>
        <w:t>Cf. Case of Velásquez Rodríguez.</w:t>
      </w:r>
      <w:proofErr w:type="gramEnd"/>
      <w:r w:rsidRPr="00965219">
        <w:rPr>
          <w:rFonts w:ascii="Verdana" w:hAnsi="Verdana"/>
          <w:i/>
          <w:sz w:val="16"/>
          <w:szCs w:val="16"/>
          <w:lang w:val="en-US"/>
        </w:rPr>
        <w:t xml:space="preserve"> </w:t>
      </w:r>
      <w:proofErr w:type="gramStart"/>
      <w:r w:rsidRPr="00965219">
        <w:rPr>
          <w:rFonts w:ascii="Verdana" w:hAnsi="Verdana"/>
          <w:i/>
          <w:sz w:val="16"/>
          <w:szCs w:val="16"/>
          <w:lang w:val="en-US"/>
        </w:rPr>
        <w:t xml:space="preserve">Reparations and </w:t>
      </w:r>
      <w:r w:rsidRPr="00567F37">
        <w:rPr>
          <w:rFonts w:ascii="Verdana" w:hAnsi="Verdana"/>
          <w:i/>
          <w:sz w:val="16"/>
          <w:szCs w:val="16"/>
          <w:lang w:val="en-US"/>
        </w:rPr>
        <w:t>Costs</w:t>
      </w:r>
      <w:r w:rsidRPr="00965219">
        <w:rPr>
          <w:rFonts w:ascii="Verdana" w:hAnsi="Verdana"/>
          <w:i/>
          <w:sz w:val="16"/>
          <w:szCs w:val="16"/>
          <w:lang w:val="en-US"/>
        </w:rPr>
        <w:t>, supra</w:t>
      </w:r>
      <w:r w:rsidRPr="00965219">
        <w:rPr>
          <w:rFonts w:ascii="Verdana" w:hAnsi="Verdana"/>
          <w:sz w:val="16"/>
          <w:szCs w:val="16"/>
          <w:lang w:val="en-US"/>
        </w:rPr>
        <w:t>,</w:t>
      </w:r>
      <w:r w:rsidRPr="00965219">
        <w:rPr>
          <w:rFonts w:ascii="Verdana" w:hAnsi="Verdana"/>
          <w:i/>
          <w:sz w:val="16"/>
          <w:szCs w:val="16"/>
          <w:lang w:val="en-US"/>
        </w:rPr>
        <w:t xml:space="preserve"> </w:t>
      </w:r>
      <w:r w:rsidRPr="00965219">
        <w:rPr>
          <w:rFonts w:ascii="Verdana" w:hAnsi="Verdana"/>
          <w:sz w:val="16"/>
          <w:szCs w:val="16"/>
          <w:lang w:val="en-US"/>
        </w:rPr>
        <w:t>paras.</w:t>
      </w:r>
      <w:proofErr w:type="gramEnd"/>
      <w:r w:rsidRPr="00965219">
        <w:rPr>
          <w:rFonts w:ascii="Verdana" w:hAnsi="Verdana"/>
          <w:sz w:val="16"/>
          <w:szCs w:val="16"/>
          <w:lang w:val="en-US"/>
        </w:rPr>
        <w:t xml:space="preserve"> </w:t>
      </w:r>
      <w:proofErr w:type="gramStart"/>
      <w:r w:rsidRPr="00965219">
        <w:rPr>
          <w:rFonts w:ascii="Verdana" w:hAnsi="Verdana"/>
          <w:sz w:val="16"/>
          <w:szCs w:val="16"/>
          <w:lang w:val="en-US"/>
        </w:rPr>
        <w:t xml:space="preserve">25 and 26, and </w:t>
      </w:r>
      <w:r w:rsidRPr="00965219">
        <w:rPr>
          <w:rFonts w:ascii="Verdana" w:hAnsi="Verdana"/>
          <w:i/>
          <w:sz w:val="16"/>
          <w:szCs w:val="16"/>
          <w:lang w:val="en-US"/>
        </w:rPr>
        <w:t>Case of the Garífuna Community of Punta Piedra and its members, supra,</w:t>
      </w:r>
      <w:r w:rsidRPr="00965219">
        <w:rPr>
          <w:rFonts w:ascii="Verdana" w:hAnsi="Verdana"/>
          <w:sz w:val="16"/>
          <w:szCs w:val="16"/>
          <w:lang w:val="en-US"/>
        </w:rPr>
        <w:t xml:space="preserve"> para.</w:t>
      </w:r>
      <w:proofErr w:type="gramEnd"/>
      <w:r w:rsidRPr="00965219">
        <w:rPr>
          <w:rFonts w:ascii="Verdana" w:hAnsi="Verdana"/>
          <w:sz w:val="16"/>
          <w:szCs w:val="16"/>
          <w:lang w:val="en-US"/>
        </w:rPr>
        <w:t xml:space="preserve"> 315.</w:t>
      </w:r>
    </w:p>
  </w:footnote>
  <w:footnote w:id="319">
    <w:p w14:paraId="63126D2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Garífuna Community of Punta Piedra and its members, supra,</w:t>
      </w:r>
      <w:r w:rsidRPr="00965219">
        <w:rPr>
          <w:lang w:val="en-US"/>
        </w:rPr>
        <w:t xml:space="preserve"> para. 316.</w:t>
      </w:r>
    </w:p>
  </w:footnote>
  <w:footnote w:id="320">
    <w:p w14:paraId="63126D2A"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The State indicated that it would have to provide financial compensation to the third parties who were expropriated, and the cost would be too great. It would also have consequences for the local economy, because, as the area was near the border with French Guiana, many economic activities involved trade and the provision of services and these would be negatively affected by the restriction of certain facilities.</w:t>
      </w:r>
    </w:p>
  </w:footnote>
  <w:footnote w:id="321">
    <w:p w14:paraId="63126D2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t>In particular, in 2013, bauxite represented 15% of the State’s total earnings.</w:t>
      </w:r>
    </w:p>
  </w:footnote>
  <w:footnote w:id="322">
    <w:p w14:paraId="63126D2D"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w:t>
      </w:r>
      <w:r w:rsidRPr="00965219">
        <w:rPr>
          <w:lang w:val="en-US"/>
        </w:rPr>
        <w:t xml:space="preserve"> </w:t>
      </w:r>
      <w:r w:rsidRPr="00965219">
        <w:rPr>
          <w:i/>
          <w:lang w:val="en-US"/>
        </w:rPr>
        <w:t xml:space="preserve">Case of the Yakye Axa Indigenous Community, supra, </w:t>
      </w:r>
      <w:r w:rsidRPr="00965219">
        <w:rPr>
          <w:lang w:val="en-US"/>
        </w:rPr>
        <w:t xml:space="preserve">paras. </w:t>
      </w:r>
      <w:proofErr w:type="gramStart"/>
      <w:r w:rsidRPr="00965219">
        <w:rPr>
          <w:lang w:val="en-US"/>
        </w:rPr>
        <w:t xml:space="preserve">148 and 217, and </w:t>
      </w:r>
      <w:r w:rsidRPr="00965219">
        <w:rPr>
          <w:i/>
          <w:lang w:val="en-US"/>
        </w:rPr>
        <w:t>Case of the Garífuna Community of Punta Piedra and its members, supra</w:t>
      </w:r>
      <w:r w:rsidRPr="00965219">
        <w:rPr>
          <w:lang w:val="en-US"/>
        </w:rPr>
        <w:t>, para.</w:t>
      </w:r>
      <w:proofErr w:type="gramEnd"/>
      <w:r w:rsidRPr="00965219">
        <w:rPr>
          <w:lang w:val="en-US"/>
        </w:rPr>
        <w:t xml:space="preserve"> 324. In this regard, the Court recalls its case law according to which: “restrictions to the right to property of private individuals may be necessary in order to achieve the collective goal of preserving the cultural identities of a democratic and pluralist society in the sense of the American Convention; and proportionate if fair compensation is paid to those affected, pursuant to Article 21(2) of the Convention.”</w:t>
      </w:r>
    </w:p>
  </w:footnote>
  <w:footnote w:id="323">
    <w:p w14:paraId="63126D2E" w14:textId="77777777" w:rsidR="00624C98" w:rsidRPr="00965219" w:rsidRDefault="00624C98" w:rsidP="00145D1D">
      <w:pPr>
        <w:pStyle w:val="FootnoteText"/>
        <w:spacing w:after="80"/>
        <w:rPr>
          <w:i/>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Yakye Axa Indigenous Community, supra</w:t>
      </w:r>
      <w:r w:rsidRPr="00965219">
        <w:rPr>
          <w:b/>
          <w:bCs/>
          <w:i/>
          <w:lang w:val="en-US"/>
        </w:rPr>
        <w:t>,</w:t>
      </w:r>
      <w:r w:rsidRPr="00965219">
        <w:rPr>
          <w:rStyle w:val="Strong"/>
          <w:i/>
          <w:color w:val="000000"/>
          <w:shd w:val="clear" w:color="auto" w:fill="FFFFFF"/>
          <w:lang w:val="en-US"/>
        </w:rPr>
        <w:t xml:space="preserve"> </w:t>
      </w:r>
      <w:r w:rsidRPr="00965219">
        <w:rPr>
          <w:rStyle w:val="Strong"/>
          <w:b w:val="0"/>
          <w:color w:val="000000"/>
          <w:shd w:val="clear" w:color="auto" w:fill="FFFFFF"/>
          <w:lang w:val="en-US"/>
        </w:rPr>
        <w:t xml:space="preserve">para. </w:t>
      </w:r>
      <w:proofErr w:type="gramStart"/>
      <w:r w:rsidRPr="00965219">
        <w:rPr>
          <w:rStyle w:val="Strong"/>
          <w:b w:val="0"/>
          <w:color w:val="000000"/>
          <w:shd w:val="clear" w:color="auto" w:fill="FFFFFF"/>
          <w:lang w:val="en-US"/>
        </w:rPr>
        <w:t>217</w:t>
      </w:r>
      <w:r w:rsidRPr="00965219">
        <w:rPr>
          <w:lang w:val="en-US"/>
        </w:rPr>
        <w:t>,</w:t>
      </w:r>
      <w:proofErr w:type="gramEnd"/>
      <w:r w:rsidRPr="00965219">
        <w:rPr>
          <w:lang w:val="en-US"/>
        </w:rPr>
        <w:t xml:space="preserve"> and</w:t>
      </w:r>
      <w:r w:rsidRPr="00965219">
        <w:rPr>
          <w:i/>
          <w:lang w:val="en-US"/>
        </w:rPr>
        <w:t xml:space="preserve"> Case of the Xákmok Kásek Indigenous Community, </w:t>
      </w:r>
      <w:r w:rsidRPr="00E52A02">
        <w:rPr>
          <w:i/>
          <w:lang w:val="en-US"/>
        </w:rPr>
        <w:t>supra</w:t>
      </w:r>
      <w:r w:rsidRPr="00965219">
        <w:rPr>
          <w:lang w:val="en-US"/>
        </w:rPr>
        <w:t>, para. 284.</w:t>
      </w:r>
    </w:p>
  </w:footnote>
  <w:footnote w:id="324">
    <w:p w14:paraId="63126D2F"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i/>
          <w:lang w:val="en-US"/>
        </w:rPr>
        <w:t xml:space="preserve"> </w:t>
      </w:r>
      <w:r w:rsidRPr="00965219">
        <w:rPr>
          <w:i/>
          <w:lang w:val="en-US"/>
        </w:rPr>
        <w:tab/>
        <w:t>Cf. Case of the Yakye Axa Indigenous Community, supra,</w:t>
      </w:r>
      <w:r w:rsidRPr="00965219">
        <w:rPr>
          <w:rStyle w:val="Strong"/>
          <w:i/>
          <w:color w:val="000000"/>
          <w:shd w:val="clear" w:color="auto" w:fill="FFFFFF"/>
          <w:lang w:val="en-US"/>
        </w:rPr>
        <w:t xml:space="preserve"> </w:t>
      </w:r>
      <w:r w:rsidRPr="00965219">
        <w:rPr>
          <w:rStyle w:val="Strong"/>
          <w:b w:val="0"/>
          <w:color w:val="000000"/>
          <w:shd w:val="clear" w:color="auto" w:fill="FFFFFF"/>
          <w:lang w:val="en-US"/>
        </w:rPr>
        <w:t xml:space="preserve">para. </w:t>
      </w:r>
      <w:proofErr w:type="gramStart"/>
      <w:r w:rsidRPr="00965219">
        <w:rPr>
          <w:rStyle w:val="Strong"/>
          <w:b w:val="0"/>
          <w:color w:val="000000"/>
          <w:shd w:val="clear" w:color="auto" w:fill="FFFFFF"/>
          <w:lang w:val="en-US"/>
        </w:rPr>
        <w:t>217</w:t>
      </w:r>
      <w:r w:rsidRPr="00965219">
        <w:rPr>
          <w:lang w:val="en-US"/>
        </w:rPr>
        <w:t>,</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325.</w:t>
      </w:r>
    </w:p>
  </w:footnote>
  <w:footnote w:id="325">
    <w:p w14:paraId="63126D30"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Cf. Case of the Mayagna (Sumo) Awas Tingni Community</w:t>
      </w:r>
      <w:r w:rsidRPr="00965219">
        <w:rPr>
          <w:lang w:val="en-US"/>
        </w:rPr>
        <w:t xml:space="preserve">, </w:t>
      </w:r>
      <w:r w:rsidRPr="00965219">
        <w:rPr>
          <w:rStyle w:val="apple-style-span"/>
          <w:i/>
          <w:color w:val="000000"/>
          <w:lang w:val="en-US"/>
        </w:rPr>
        <w:t>supra</w:t>
      </w:r>
      <w:r w:rsidRPr="00965219">
        <w:rPr>
          <w:lang w:val="en-US"/>
        </w:rPr>
        <w:t xml:space="preserve">, para. </w:t>
      </w:r>
      <w:proofErr w:type="gramStart"/>
      <w:r w:rsidRPr="00965219">
        <w:rPr>
          <w:lang w:val="en-US"/>
        </w:rPr>
        <w:t>153.2,</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 324</w:t>
      </w:r>
      <w:proofErr w:type="gramStart"/>
      <w:r w:rsidRPr="00965219">
        <w:rPr>
          <w:lang w:val="en-US"/>
        </w:rPr>
        <w:t>.b</w:t>
      </w:r>
      <w:proofErr w:type="gramEnd"/>
      <w:r w:rsidRPr="00965219">
        <w:rPr>
          <w:lang w:val="en-US"/>
        </w:rPr>
        <w:t>.</w:t>
      </w:r>
    </w:p>
  </w:footnote>
  <w:footnote w:id="326">
    <w:p w14:paraId="63126D31"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Cf. Case of the Garífuna Community of Punta Piedra and its members, supra</w:t>
      </w:r>
      <w:r w:rsidRPr="00965219">
        <w:rPr>
          <w:lang w:val="en-US"/>
        </w:rPr>
        <w:t xml:space="preserve">, para. 328. </w:t>
      </w:r>
    </w:p>
  </w:footnote>
  <w:footnote w:id="327">
    <w:p w14:paraId="63126D32"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Xákmok Kásek Indigenous Community, supra, </w:t>
      </w:r>
      <w:r w:rsidRPr="00965219">
        <w:rPr>
          <w:lang w:val="en-US"/>
        </w:rPr>
        <w:t>para. 313.</w:t>
      </w:r>
    </w:p>
  </w:footnote>
  <w:footnote w:id="328">
    <w:p w14:paraId="63126D33"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Cf. Case of the Kichwa Indigenous People of Sarayaku, supra,</w:t>
      </w:r>
      <w:r w:rsidRPr="00965219">
        <w:rPr>
          <w:lang w:val="en-US"/>
        </w:rPr>
        <w:t xml:space="preserve"> para. </w:t>
      </w:r>
      <w:proofErr w:type="gramStart"/>
      <w:r w:rsidRPr="00965219">
        <w:rPr>
          <w:lang w:val="en-US"/>
        </w:rPr>
        <w:t>299,</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 327.</w:t>
      </w:r>
    </w:p>
  </w:footnote>
  <w:footnote w:id="329">
    <w:p w14:paraId="63126D34"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Case of the Kichwa Indigenous People of Sarayaku, supra</w:t>
      </w:r>
      <w:r w:rsidRPr="00965219">
        <w:rPr>
          <w:lang w:val="en-US"/>
        </w:rPr>
        <w:t>, para. 293.</w:t>
      </w:r>
    </w:p>
  </w:footnote>
  <w:footnote w:id="330">
    <w:p w14:paraId="63126D35"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 xml:space="preserve">Case of the Kichwa Indigenous People of Sarayaku, supra, </w:t>
      </w:r>
      <w:r w:rsidRPr="00965219">
        <w:rPr>
          <w:rStyle w:val="Strong"/>
          <w:b w:val="0"/>
          <w:lang w:val="en-US"/>
        </w:rPr>
        <w:t xml:space="preserve">paras. </w:t>
      </w:r>
      <w:proofErr w:type="gramStart"/>
      <w:r w:rsidRPr="00965219">
        <w:rPr>
          <w:rStyle w:val="Strong"/>
          <w:b w:val="0"/>
          <w:lang w:val="en-US"/>
        </w:rPr>
        <w:t xml:space="preserve">294 and </w:t>
      </w:r>
      <w:r w:rsidRPr="00965219">
        <w:rPr>
          <w:lang w:val="en-US"/>
        </w:rPr>
        <w:t>295.</w:t>
      </w:r>
      <w:proofErr w:type="gramEnd"/>
    </w:p>
  </w:footnote>
  <w:footnote w:id="331">
    <w:p w14:paraId="63126D36"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Case of the Kichwa Indigenous People of Sarayaku, supra</w:t>
      </w:r>
      <w:r w:rsidRPr="00965219">
        <w:rPr>
          <w:lang w:val="en-US"/>
        </w:rPr>
        <w:t>, para. 295.</w:t>
      </w:r>
    </w:p>
  </w:footnote>
  <w:footnote w:id="332">
    <w:p w14:paraId="63126D37"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Case of the Moiwana Community, supra</w:t>
      </w:r>
      <w:r w:rsidRPr="00965219">
        <w:rPr>
          <w:rStyle w:val="Strong"/>
          <w:b w:val="0"/>
          <w:lang w:val="en-US"/>
        </w:rPr>
        <w:t xml:space="preserve">, paras. </w:t>
      </w:r>
      <w:proofErr w:type="gramStart"/>
      <w:r w:rsidRPr="00965219">
        <w:rPr>
          <w:rStyle w:val="Strong"/>
          <w:b w:val="0"/>
          <w:lang w:val="en-US"/>
        </w:rPr>
        <w:t>213 to 215.</w:t>
      </w:r>
      <w:proofErr w:type="gramEnd"/>
    </w:p>
  </w:footnote>
  <w:footnote w:id="333">
    <w:p w14:paraId="63126D38"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C465BB">
        <w:rPr>
          <w:i/>
          <w:lang w:val="en-US"/>
        </w:rPr>
        <w:t>Cf</w:t>
      </w:r>
      <w:r w:rsidRPr="00965219">
        <w:rPr>
          <w:lang w:val="en-US"/>
        </w:rPr>
        <w:t xml:space="preserve">. </w:t>
      </w:r>
      <w:r w:rsidRPr="00965219">
        <w:rPr>
          <w:rStyle w:val="Strong"/>
          <w:b w:val="0"/>
          <w:i/>
          <w:lang w:val="en-US"/>
        </w:rPr>
        <w:t xml:space="preserve">Case of the Saramaka People, supra, </w:t>
      </w:r>
      <w:r w:rsidRPr="00965219">
        <w:rPr>
          <w:rStyle w:val="Strong"/>
          <w:b w:val="0"/>
          <w:lang w:val="en-US"/>
        </w:rPr>
        <w:t xml:space="preserve">paras. </w:t>
      </w:r>
      <w:proofErr w:type="gramStart"/>
      <w:r w:rsidRPr="00965219">
        <w:rPr>
          <w:rStyle w:val="Strong"/>
          <w:b w:val="0"/>
          <w:lang w:val="en-US"/>
        </w:rPr>
        <w:t>201 and 202.</w:t>
      </w:r>
      <w:proofErr w:type="gramEnd"/>
    </w:p>
  </w:footnote>
  <w:footnote w:id="334">
    <w:p w14:paraId="63126D3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proofErr w:type="gramEnd"/>
      <w:r w:rsidRPr="00965219">
        <w:rPr>
          <w:i/>
          <w:lang w:val="en-US"/>
        </w:rPr>
        <w:t xml:space="preserve">  </w:t>
      </w:r>
      <w:proofErr w:type="gramStart"/>
      <w:r w:rsidRPr="00965219">
        <w:rPr>
          <w:i/>
          <w:lang w:val="en-US"/>
        </w:rPr>
        <w:t xml:space="preserve">Case of the Yakye Axa Indigenous Community, supra, </w:t>
      </w:r>
      <w:r w:rsidRPr="00965219">
        <w:rPr>
          <w:lang w:val="en-US"/>
        </w:rPr>
        <w:t>para.</w:t>
      </w:r>
      <w:proofErr w:type="gramEnd"/>
      <w:r w:rsidRPr="00965219">
        <w:rPr>
          <w:lang w:val="en-US"/>
        </w:rPr>
        <w:t xml:space="preserve"> </w:t>
      </w:r>
      <w:proofErr w:type="gramStart"/>
      <w:r w:rsidRPr="00965219">
        <w:rPr>
          <w:lang w:val="en-US"/>
        </w:rPr>
        <w:t>205,</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332.</w:t>
      </w:r>
    </w:p>
  </w:footnote>
  <w:footnote w:id="335">
    <w:p w14:paraId="63126D3A"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Cf. Case of the Garífuna Community of Punta Piedra and its members, supra</w:t>
      </w:r>
      <w:r w:rsidRPr="00965219">
        <w:rPr>
          <w:lang w:val="en-US"/>
        </w:rPr>
        <w:t xml:space="preserve">, paras. </w:t>
      </w:r>
      <w:proofErr w:type="gramStart"/>
      <w:r w:rsidRPr="00965219">
        <w:rPr>
          <w:lang w:val="en-US"/>
        </w:rPr>
        <w:t>332 to 336.</w:t>
      </w:r>
      <w:proofErr w:type="gramEnd"/>
    </w:p>
  </w:footnote>
  <w:footnote w:id="336">
    <w:p w14:paraId="63126D3B"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w:t>
      </w:r>
      <w:r w:rsidRPr="00965219">
        <w:rPr>
          <w:lang w:val="en-US"/>
        </w:rPr>
        <w:t xml:space="preserve"> Article 29 (1) of the United Nations Declaration on the Rights of Indigenous Peoples, </w:t>
      </w:r>
      <w:r w:rsidRPr="00965219">
        <w:rPr>
          <w:i/>
          <w:lang w:val="en-US"/>
        </w:rPr>
        <w:t>supra.</w:t>
      </w:r>
      <w:proofErr w:type="gramEnd"/>
    </w:p>
  </w:footnote>
  <w:footnote w:id="337">
    <w:p w14:paraId="63126D3C"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Cf. Case of the Garífuna Community of Punta Piedra and its members, supra,</w:t>
      </w:r>
      <w:r w:rsidRPr="00965219">
        <w:rPr>
          <w:lang w:val="en-US"/>
        </w:rPr>
        <w:t xml:space="preserve"> para. 334. </w:t>
      </w:r>
    </w:p>
  </w:footnote>
  <w:footnote w:id="338">
    <w:p w14:paraId="63126D3D" w14:textId="6541FF21" w:rsidR="00624C98" w:rsidRPr="00965219" w:rsidRDefault="00624C98" w:rsidP="00145D1D">
      <w:pPr>
        <w:pStyle w:val="FootnoteText"/>
        <w:spacing w:after="80"/>
        <w:rPr>
          <w:lang w:val="en-US"/>
        </w:rPr>
      </w:pPr>
      <w:r w:rsidRPr="00965219">
        <w:rPr>
          <w:rStyle w:val="FootnoteReference"/>
          <w:sz w:val="16"/>
          <w:lang w:val="en-US"/>
        </w:rPr>
        <w:footnoteRef/>
      </w:r>
      <w:r w:rsidRPr="00782F4A">
        <w:rPr>
          <w:lang w:val="es-CR"/>
        </w:rPr>
        <w:t xml:space="preserve"> </w:t>
      </w:r>
      <w:r w:rsidRPr="00782F4A">
        <w:rPr>
          <w:lang w:val="es-CR"/>
        </w:rPr>
        <w:tab/>
      </w:r>
      <w:r w:rsidRPr="00782F4A">
        <w:rPr>
          <w:i/>
          <w:lang w:val="es-CR"/>
        </w:rPr>
        <w:t>Cf. Case of</w:t>
      </w:r>
      <w:r w:rsidRPr="00782F4A">
        <w:rPr>
          <w:lang w:val="es-CR"/>
        </w:rPr>
        <w:t xml:space="preserve"> </w:t>
      </w:r>
      <w:r w:rsidRPr="00782F4A">
        <w:rPr>
          <w:i/>
          <w:lang w:val="es-CR"/>
        </w:rPr>
        <w:t xml:space="preserve">Pacheco Teruel el al. v. Honduras.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lang w:val="en-US"/>
        </w:rPr>
        <w:t xml:space="preserve"> Judgment of April 27, 2012. Series C No. 241, para. 92. “The guarantees of non-repetition […] will contribute to prevention.” </w:t>
      </w:r>
      <w:r w:rsidRPr="00965219">
        <w:rPr>
          <w:i/>
          <w:lang w:val="en-US"/>
        </w:rPr>
        <w:t>Cf.</w:t>
      </w:r>
      <w:r w:rsidRPr="00965219">
        <w:rPr>
          <w:lang w:val="en-US"/>
        </w:rPr>
        <w:t xml:space="preserve"> Principle 23 of the Basic Principles and Guidelines on the Right to a Remedy and Reparation for Victims of Gross Violations of International Human Rights Law and Serious Violations of International Humanitarian Law. UN Doc. </w:t>
      </w:r>
      <w:proofErr w:type="gramStart"/>
      <w:r w:rsidRPr="00965219">
        <w:rPr>
          <w:lang w:val="en-US"/>
        </w:rPr>
        <w:t>A/Res/60/147.</w:t>
      </w:r>
      <w:proofErr w:type="gramEnd"/>
      <w:r w:rsidRPr="00965219">
        <w:rPr>
          <w:lang w:val="en-US"/>
        </w:rPr>
        <w:t xml:space="preserve"> Resolution adopted by the General Assembly of the United Nations on December 16, 2005, Principle 23.</w:t>
      </w:r>
    </w:p>
  </w:footnote>
  <w:footnote w:id="339">
    <w:p w14:paraId="63126D3E" w14:textId="675C875C" w:rsidR="00624C98" w:rsidRPr="00965219" w:rsidRDefault="00624C98" w:rsidP="00145D1D">
      <w:pPr>
        <w:tabs>
          <w:tab w:val="left" w:pos="567"/>
        </w:tabs>
        <w:spacing w:after="80"/>
        <w:ind w:right="-90"/>
        <w:jc w:val="both"/>
        <w:rPr>
          <w:rFonts w:ascii="Verdana" w:hAnsi="Verdana"/>
          <w:sz w:val="16"/>
          <w:szCs w:val="16"/>
          <w:lang w:val="en-US"/>
        </w:rPr>
      </w:pPr>
      <w:r w:rsidRPr="00965219">
        <w:rPr>
          <w:rStyle w:val="FootnoteReference"/>
          <w:sz w:val="16"/>
          <w:szCs w:val="16"/>
          <w:lang w:val="en-US"/>
        </w:rPr>
        <w:footnoteRef/>
      </w:r>
      <w:r w:rsidRPr="00C12C4D">
        <w:rPr>
          <w:rFonts w:ascii="Verdana" w:hAnsi="Verdana"/>
          <w:sz w:val="16"/>
          <w:szCs w:val="16"/>
          <w:lang w:val="es-CR"/>
        </w:rPr>
        <w:t xml:space="preserve"> </w:t>
      </w:r>
      <w:r w:rsidRPr="00C12C4D">
        <w:rPr>
          <w:rFonts w:ascii="Verdana" w:hAnsi="Verdana"/>
          <w:sz w:val="16"/>
          <w:szCs w:val="16"/>
          <w:lang w:val="es-CR"/>
        </w:rPr>
        <w:tab/>
      </w:r>
      <w:r w:rsidRPr="00C12C4D">
        <w:rPr>
          <w:rFonts w:ascii="Verdana" w:hAnsi="Verdana"/>
          <w:i/>
          <w:color w:val="000000"/>
          <w:sz w:val="16"/>
          <w:szCs w:val="16"/>
          <w:lang w:val="es-CR"/>
        </w:rPr>
        <w:t xml:space="preserve">Cf. </w:t>
      </w:r>
      <w:r w:rsidRPr="00C12C4D">
        <w:rPr>
          <w:rFonts w:ascii="Verdana" w:hAnsi="Verdana"/>
          <w:bCs/>
          <w:i/>
          <w:color w:val="000000"/>
          <w:sz w:val="16"/>
          <w:szCs w:val="16"/>
          <w:lang w:val="es-CR"/>
        </w:rPr>
        <w:t>Case of Velásquez Rodríguez. Merits, supra</w:t>
      </w:r>
      <w:r w:rsidRPr="00C12C4D">
        <w:rPr>
          <w:rFonts w:ascii="Verdana" w:hAnsi="Verdana"/>
          <w:bCs/>
          <w:color w:val="000000"/>
          <w:sz w:val="16"/>
          <w:szCs w:val="16"/>
          <w:lang w:val="es-CR"/>
        </w:rPr>
        <w:t>, para.</w:t>
      </w:r>
      <w:r w:rsidRPr="00C12C4D">
        <w:rPr>
          <w:rFonts w:ascii="Verdana" w:hAnsi="Verdana"/>
          <w:bCs/>
          <w:i/>
          <w:color w:val="000000"/>
          <w:sz w:val="16"/>
          <w:szCs w:val="16"/>
          <w:lang w:val="es-CR"/>
        </w:rPr>
        <w:t xml:space="preserve"> </w:t>
      </w:r>
      <w:proofErr w:type="gramStart"/>
      <w:r w:rsidRPr="00965219">
        <w:rPr>
          <w:rFonts w:ascii="Verdana" w:hAnsi="Verdana"/>
          <w:bCs/>
          <w:color w:val="000000"/>
          <w:sz w:val="16"/>
          <w:szCs w:val="16"/>
          <w:lang w:val="en-US"/>
        </w:rPr>
        <w:t>166</w:t>
      </w:r>
      <w:r w:rsidRPr="00965219">
        <w:rPr>
          <w:rFonts w:ascii="Verdana" w:hAnsi="Verdana"/>
          <w:color w:val="000000"/>
          <w:sz w:val="16"/>
          <w:szCs w:val="16"/>
          <w:lang w:val="en-US"/>
        </w:rPr>
        <w:t>,</w:t>
      </w:r>
      <w:proofErr w:type="gramEnd"/>
      <w:r w:rsidRPr="00965219">
        <w:rPr>
          <w:rFonts w:ascii="Verdana" w:hAnsi="Verdana"/>
          <w:bCs/>
          <w:color w:val="000000"/>
          <w:sz w:val="16"/>
          <w:szCs w:val="16"/>
          <w:lang w:val="en-US"/>
        </w:rPr>
        <w:t xml:space="preserve"> and </w:t>
      </w:r>
      <w:r w:rsidRPr="00965219">
        <w:rPr>
          <w:rFonts w:ascii="Verdana" w:hAnsi="Verdana"/>
          <w:bCs/>
          <w:i/>
          <w:color w:val="000000"/>
          <w:sz w:val="16"/>
          <w:szCs w:val="16"/>
          <w:lang w:val="en-US"/>
        </w:rPr>
        <w:t>Case of Granier et al. (Radio Caracas</w:t>
      </w:r>
      <w:r w:rsidRPr="00965219">
        <w:rPr>
          <w:rFonts w:ascii="Verdana" w:hAnsi="Verdana"/>
          <w:i/>
          <w:color w:val="000000"/>
          <w:sz w:val="16"/>
          <w:szCs w:val="16"/>
          <w:lang w:val="en-US"/>
        </w:rPr>
        <w:t xml:space="preserve"> Television) v. Venezuela. </w:t>
      </w:r>
      <w:proofErr w:type="gramStart"/>
      <w:r w:rsidRPr="00567F37">
        <w:rPr>
          <w:rFonts w:ascii="Verdana" w:hAnsi="Verdana"/>
          <w:i/>
          <w:color w:val="000000"/>
          <w:sz w:val="16"/>
          <w:szCs w:val="16"/>
          <w:lang w:val="en-US"/>
        </w:rPr>
        <w:t>Preliminary Objections</w:t>
      </w:r>
      <w:r w:rsidRPr="00965219">
        <w:rPr>
          <w:rFonts w:ascii="Verdana" w:hAnsi="Verdana"/>
          <w:i/>
          <w:color w:val="000000"/>
          <w:sz w:val="16"/>
          <w:szCs w:val="16"/>
          <w:lang w:val="en-US"/>
        </w:rPr>
        <w:t xml:space="preserve">, </w:t>
      </w:r>
      <w:r w:rsidRPr="00567F37">
        <w:rPr>
          <w:rFonts w:ascii="Verdana" w:hAnsi="Verdana"/>
          <w:i/>
          <w:color w:val="000000"/>
          <w:sz w:val="16"/>
          <w:szCs w:val="16"/>
          <w:lang w:val="en-US"/>
        </w:rPr>
        <w:t>Merits,</w:t>
      </w:r>
      <w:r w:rsidRPr="00965219">
        <w:rPr>
          <w:rFonts w:ascii="Verdana" w:hAnsi="Verdana"/>
          <w:i/>
          <w:color w:val="000000"/>
          <w:sz w:val="16"/>
          <w:szCs w:val="16"/>
          <w:lang w:val="en-US"/>
        </w:rPr>
        <w:t xml:space="preserve"> </w:t>
      </w:r>
      <w:r w:rsidRPr="00567F37">
        <w:rPr>
          <w:rFonts w:ascii="Verdana" w:hAnsi="Verdana"/>
          <w:i/>
          <w:color w:val="000000"/>
          <w:sz w:val="16"/>
          <w:szCs w:val="16"/>
          <w:lang w:val="en-US"/>
        </w:rPr>
        <w:t>Reparations</w:t>
      </w:r>
      <w:r w:rsidRPr="00965219">
        <w:rPr>
          <w:rFonts w:ascii="Verdana" w:hAnsi="Verdana"/>
          <w:i/>
          <w:color w:val="000000"/>
          <w:sz w:val="16"/>
          <w:szCs w:val="16"/>
          <w:lang w:val="en-US"/>
        </w:rPr>
        <w:t xml:space="preserve"> and </w:t>
      </w:r>
      <w:r w:rsidRPr="00567F37">
        <w:rPr>
          <w:rFonts w:ascii="Verdana" w:hAnsi="Verdana"/>
          <w:i/>
          <w:color w:val="000000"/>
          <w:sz w:val="16"/>
          <w:szCs w:val="16"/>
          <w:lang w:val="en-US"/>
        </w:rPr>
        <w:t>Costs</w:t>
      </w:r>
      <w:r w:rsidRPr="00965219">
        <w:rPr>
          <w:rFonts w:ascii="Verdana" w:hAnsi="Verdana"/>
          <w:i/>
          <w:color w:val="000000"/>
          <w:sz w:val="16"/>
          <w:szCs w:val="16"/>
          <w:lang w:val="en-US"/>
        </w:rPr>
        <w:t>.</w:t>
      </w:r>
      <w:proofErr w:type="gramEnd"/>
      <w:r w:rsidRPr="00965219">
        <w:rPr>
          <w:rFonts w:ascii="Verdana" w:hAnsi="Verdana"/>
          <w:i/>
          <w:color w:val="000000"/>
          <w:sz w:val="16"/>
          <w:szCs w:val="16"/>
          <w:lang w:val="en-US"/>
        </w:rPr>
        <w:t xml:space="preserve"> </w:t>
      </w:r>
      <w:r w:rsidRPr="00965219">
        <w:rPr>
          <w:rFonts w:ascii="Verdana" w:hAnsi="Verdana"/>
          <w:bCs/>
          <w:color w:val="000000"/>
          <w:sz w:val="16"/>
          <w:szCs w:val="16"/>
          <w:lang w:val="en-US"/>
        </w:rPr>
        <w:t>Judgment of June 22, 2005. Series C No. 293, para. 389.</w:t>
      </w:r>
    </w:p>
  </w:footnote>
  <w:footnote w:id="340">
    <w:p w14:paraId="63126D3F"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Mayagna (Sumo) Awas Tingni Community, </w:t>
      </w:r>
      <w:r w:rsidRPr="00965219">
        <w:rPr>
          <w:rFonts w:cs="Arial"/>
          <w:bCs/>
          <w:i/>
          <w:lang w:val="en-US"/>
        </w:rPr>
        <w:t xml:space="preserve">supra, </w:t>
      </w:r>
      <w:r w:rsidRPr="00965219">
        <w:rPr>
          <w:rFonts w:cs="Arial"/>
          <w:bCs/>
          <w:lang w:val="en-US"/>
        </w:rPr>
        <w:t xml:space="preserve">para. </w:t>
      </w:r>
      <w:proofErr w:type="gramStart"/>
      <w:r w:rsidRPr="00965219">
        <w:rPr>
          <w:rFonts w:cs="Arial"/>
          <w:bCs/>
          <w:lang w:val="en-US"/>
        </w:rPr>
        <w:t>164,</w:t>
      </w:r>
      <w:proofErr w:type="gramEnd"/>
      <w:r w:rsidRPr="00965219">
        <w:rPr>
          <w:rFonts w:cs="Arial"/>
          <w:bCs/>
          <w:lang w:val="en-US"/>
        </w:rPr>
        <w:t xml:space="preserve"> and</w:t>
      </w:r>
      <w:r w:rsidRPr="00965219">
        <w:rPr>
          <w:rFonts w:cs="Arial"/>
          <w:bCs/>
          <w:i/>
          <w:lang w:val="en-US"/>
        </w:rPr>
        <w:t xml:space="preserve"> </w:t>
      </w:r>
      <w:r w:rsidRPr="00965219">
        <w:rPr>
          <w:i/>
          <w:lang w:val="en-US"/>
        </w:rPr>
        <w:t>Case of the Kuna indigenous peoples of Madungandí and the Emb</w:t>
      </w:r>
      <w:r>
        <w:rPr>
          <w:i/>
          <w:lang w:val="en-US"/>
        </w:rPr>
        <w:t>erá Indigenous Peoples of Bayano</w:t>
      </w:r>
      <w:r w:rsidRPr="00965219">
        <w:rPr>
          <w:i/>
          <w:lang w:val="en-US"/>
        </w:rPr>
        <w:t xml:space="preserve"> and their members, supra,</w:t>
      </w:r>
      <w:r w:rsidRPr="00965219">
        <w:rPr>
          <w:lang w:val="en-US"/>
        </w:rPr>
        <w:t xml:space="preserve"> para. 232.</w:t>
      </w:r>
    </w:p>
  </w:footnote>
  <w:footnote w:id="341">
    <w:p w14:paraId="63126D40"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 xml:space="preserve">Cf. Case of the Saramaka People, supra, </w:t>
      </w:r>
      <w:r w:rsidRPr="00965219">
        <w:rPr>
          <w:lang w:val="en-US"/>
        </w:rPr>
        <w:t xml:space="preserve">para. </w:t>
      </w:r>
      <w:proofErr w:type="gramStart"/>
      <w:r w:rsidRPr="00965219">
        <w:rPr>
          <w:lang w:val="en-US"/>
        </w:rPr>
        <w:t>194 d) and e) and</w:t>
      </w:r>
      <w:r w:rsidRPr="00965219">
        <w:rPr>
          <w:i/>
          <w:lang w:val="en-US"/>
        </w:rPr>
        <w:t xml:space="preserve"> Case of the Kichwa Indigenous People of Sarayaku, supra, </w:t>
      </w:r>
      <w:r w:rsidRPr="00965219">
        <w:rPr>
          <w:lang w:val="en-US"/>
        </w:rPr>
        <w:t>paras.</w:t>
      </w:r>
      <w:proofErr w:type="gramEnd"/>
      <w:r w:rsidRPr="00965219">
        <w:rPr>
          <w:lang w:val="en-US"/>
        </w:rPr>
        <w:t xml:space="preserve"> </w:t>
      </w:r>
      <w:proofErr w:type="gramStart"/>
      <w:r w:rsidRPr="00965219">
        <w:rPr>
          <w:lang w:val="en-US"/>
        </w:rPr>
        <w:t>299 and 300.</w:t>
      </w:r>
      <w:proofErr w:type="gramEnd"/>
    </w:p>
  </w:footnote>
  <w:footnote w:id="342">
    <w:p w14:paraId="63126D41" w14:textId="20111C30"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r w:rsidRPr="00965219">
        <w:rPr>
          <w:i/>
          <w:lang w:val="en-US"/>
        </w:rPr>
        <w:t xml:space="preserve">Cf. Case of the Kichwa Indigenous People of Sarayaku, supra, </w:t>
      </w:r>
      <w:r w:rsidRPr="00965219">
        <w:rPr>
          <w:lang w:val="en-US"/>
        </w:rPr>
        <w:t xml:space="preserve">para. </w:t>
      </w:r>
      <w:proofErr w:type="gramStart"/>
      <w:r w:rsidRPr="00965219">
        <w:rPr>
          <w:lang w:val="en-US"/>
        </w:rPr>
        <w:t>302, and</w:t>
      </w:r>
      <w:r w:rsidRPr="00965219">
        <w:rPr>
          <w:i/>
          <w:lang w:val="en-US"/>
        </w:rPr>
        <w:t xml:space="preserve"> mutatis mutandis, Case of Mendoza el al. v. Argentina.</w:t>
      </w:r>
      <w:proofErr w:type="gramEnd"/>
      <w:r w:rsidRPr="00965219">
        <w:rPr>
          <w:i/>
          <w:lang w:val="en-US"/>
        </w:rPr>
        <w:t xml:space="preserve"> </w:t>
      </w:r>
      <w:proofErr w:type="gramStart"/>
      <w:r w:rsidRPr="00567F37">
        <w:rPr>
          <w:i/>
          <w:lang w:val="en-US"/>
        </w:rPr>
        <w:t>Preliminary Objections</w:t>
      </w:r>
      <w:r w:rsidRPr="00965219">
        <w:rPr>
          <w:i/>
          <w:lang w:val="en-US"/>
        </w:rPr>
        <w:t xml:space="preserve">, </w:t>
      </w:r>
      <w:r>
        <w:rPr>
          <w:i/>
          <w:lang w:val="en-US"/>
        </w:rPr>
        <w:t>Merits</w:t>
      </w:r>
      <w:r w:rsidRPr="00965219">
        <w:rPr>
          <w:i/>
          <w:lang w:val="en-US"/>
        </w:rPr>
        <w:t xml:space="preserve"> and </w:t>
      </w:r>
      <w:r w:rsidRPr="00567F37">
        <w:rPr>
          <w:i/>
          <w:lang w:val="en-US"/>
        </w:rPr>
        <w:t>Reparations</w:t>
      </w:r>
      <w:r w:rsidRPr="00965219">
        <w:rPr>
          <w:i/>
          <w:lang w:val="en-US"/>
        </w:rPr>
        <w:t>.</w:t>
      </w:r>
      <w:proofErr w:type="gramEnd"/>
      <w:r w:rsidRPr="00965219">
        <w:rPr>
          <w:i/>
          <w:lang w:val="en-US"/>
        </w:rPr>
        <w:t xml:space="preserve"> </w:t>
      </w:r>
      <w:proofErr w:type="gramStart"/>
      <w:r w:rsidRPr="00965219">
        <w:rPr>
          <w:i/>
          <w:lang w:val="en-US"/>
        </w:rPr>
        <w:t xml:space="preserve">Judgment of May 14, 2013, </w:t>
      </w:r>
      <w:r w:rsidRPr="00965219">
        <w:rPr>
          <w:lang w:val="en-US"/>
        </w:rPr>
        <w:t>para.</w:t>
      </w:r>
      <w:proofErr w:type="gramEnd"/>
      <w:r w:rsidRPr="00965219">
        <w:rPr>
          <w:lang w:val="en-US"/>
        </w:rPr>
        <w:t xml:space="preserve"> 337.</w:t>
      </w:r>
    </w:p>
  </w:footnote>
  <w:footnote w:id="343">
    <w:p w14:paraId="63126D42" w14:textId="4B73182E"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proofErr w:type="gramStart"/>
      <w:r w:rsidRPr="00965219">
        <w:rPr>
          <w:i/>
          <w:lang w:val="en-US"/>
        </w:rPr>
        <w:t>Cf. Case of Cantoral Benavides v. Peru.</w:t>
      </w:r>
      <w:proofErr w:type="gramEnd"/>
      <w:r w:rsidRPr="00965219">
        <w:rPr>
          <w:i/>
          <w:lang w:val="en-US"/>
        </w:rPr>
        <w:t xml:space="preserve"> </w:t>
      </w:r>
      <w:proofErr w:type="gramStart"/>
      <w:r w:rsidRPr="00965219">
        <w:rPr>
          <w:i/>
          <w:lang w:val="en-US"/>
        </w:rPr>
        <w:t xml:space="preserve">Reparations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December 3, 2001. Series C No. 88, para. </w:t>
      </w:r>
      <w:proofErr w:type="gramStart"/>
      <w:r w:rsidRPr="00965219">
        <w:rPr>
          <w:lang w:val="en-US"/>
        </w:rPr>
        <w:t>79,</w:t>
      </w:r>
      <w:proofErr w:type="gramEnd"/>
      <w:r w:rsidRPr="00965219">
        <w:rPr>
          <w:lang w:val="en-US"/>
        </w:rPr>
        <w:t xml:space="preserve"> and </w:t>
      </w:r>
      <w:r w:rsidRPr="00965219">
        <w:rPr>
          <w:i/>
          <w:lang w:val="en-US"/>
        </w:rPr>
        <w:t>Case of the Garífuna Community of Punta Piedra and its members, supra,</w:t>
      </w:r>
      <w:r w:rsidRPr="00965219">
        <w:rPr>
          <w:lang w:val="en-US"/>
        </w:rPr>
        <w:t xml:space="preserve"> para. 338.</w:t>
      </w:r>
    </w:p>
  </w:footnote>
  <w:footnote w:id="344">
    <w:p w14:paraId="63126D43" w14:textId="7FEDB5FE"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 xml:space="preserve">Cf. Case of Nadege Dorzema el al. v. Dominican Republic. </w:t>
      </w:r>
      <w:proofErr w:type="gramStart"/>
      <w:r w:rsidRPr="00965219">
        <w:rPr>
          <w:i/>
          <w:lang w:val="en-US"/>
        </w:rPr>
        <w:t xml:space="preserve">Merits,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October 24, 2012. Series C. No. 251, para. </w:t>
      </w:r>
      <w:proofErr w:type="gramStart"/>
      <w:r w:rsidRPr="00965219">
        <w:rPr>
          <w:lang w:val="en-US"/>
        </w:rPr>
        <w:t>263,</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338.   </w:t>
      </w:r>
    </w:p>
  </w:footnote>
  <w:footnote w:id="345">
    <w:p w14:paraId="63126D44"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r w:rsidRPr="00965219">
        <w:rPr>
          <w:i/>
          <w:lang w:val="en-US"/>
        </w:rPr>
        <w:t>Cf. Case of the Yakye Axa Indigenous Community, supra</w:t>
      </w:r>
      <w:r w:rsidRPr="00965219">
        <w:rPr>
          <w:lang w:val="en-US"/>
        </w:rPr>
        <w:t xml:space="preserve">, para. </w:t>
      </w:r>
      <w:proofErr w:type="gramStart"/>
      <w:r w:rsidRPr="00965219">
        <w:rPr>
          <w:lang w:val="en-US"/>
        </w:rPr>
        <w:t>227,</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339 </w:t>
      </w:r>
    </w:p>
  </w:footnote>
  <w:footnote w:id="346">
    <w:p w14:paraId="63126D45" w14:textId="5D6BC3D6" w:rsidR="00624C98" w:rsidRPr="00965219" w:rsidRDefault="00624C98" w:rsidP="00BB3478">
      <w:pPr>
        <w:pStyle w:val="2Footnotes"/>
        <w:tabs>
          <w:tab w:val="left" w:pos="540"/>
        </w:tabs>
        <w:spacing w:before="0" w:after="80"/>
        <w:rPr>
          <w:lang w:val="en-US"/>
        </w:rPr>
      </w:pPr>
      <w:r w:rsidRPr="00965219">
        <w:rPr>
          <w:rStyle w:val="FootnoteReference"/>
          <w:rFonts w:eastAsia="Calibri"/>
          <w:sz w:val="16"/>
          <w:szCs w:val="16"/>
          <w:lang w:val="en-US"/>
        </w:rPr>
        <w:footnoteRef/>
      </w:r>
      <w:r w:rsidRPr="00965219">
        <w:rPr>
          <w:lang w:val="en-US"/>
        </w:rPr>
        <w:t xml:space="preserve"> </w:t>
      </w:r>
      <w:r w:rsidRPr="00965219">
        <w:rPr>
          <w:lang w:val="en-US"/>
        </w:rPr>
        <w:tab/>
      </w:r>
      <w:r w:rsidRPr="00965219">
        <w:rPr>
          <w:i/>
          <w:lang w:val="en-US"/>
        </w:rPr>
        <w:t xml:space="preserve">Cf. Case of Velásquez Rodríguez. Reparations and </w:t>
      </w:r>
      <w:r w:rsidRPr="00567F37">
        <w:rPr>
          <w:i/>
          <w:lang w:val="en-US"/>
        </w:rPr>
        <w:t>Costs</w:t>
      </w:r>
      <w:r w:rsidRPr="00965219">
        <w:rPr>
          <w:i/>
          <w:lang w:val="en-US"/>
        </w:rPr>
        <w:t xml:space="preserve">, supra, </w:t>
      </w:r>
      <w:r w:rsidRPr="00965219">
        <w:rPr>
          <w:lang w:val="en-US"/>
        </w:rPr>
        <w:t>para. 42, and</w:t>
      </w:r>
      <w:r w:rsidRPr="00965219">
        <w:rPr>
          <w:i/>
          <w:lang w:val="en-US"/>
        </w:rPr>
        <w:t xml:space="preserve"> Case of the Garífuna Community of Punta Piedra and its members, supra</w:t>
      </w:r>
      <w:r w:rsidRPr="00965219">
        <w:rPr>
          <w:lang w:val="en-US"/>
        </w:rPr>
        <w:t xml:space="preserve">, para. 361.  </w:t>
      </w:r>
    </w:p>
  </w:footnote>
  <w:footnote w:id="347">
    <w:p w14:paraId="63126D46" w14:textId="0A44DE9C" w:rsidR="00624C98" w:rsidRPr="00965219" w:rsidRDefault="00624C98" w:rsidP="00BB3478">
      <w:pPr>
        <w:pStyle w:val="2Footnotes"/>
        <w:tabs>
          <w:tab w:val="left" w:pos="540"/>
        </w:tabs>
        <w:spacing w:before="0" w:after="80"/>
        <w:rPr>
          <w:lang w:val="en-US"/>
        </w:rPr>
      </w:pPr>
      <w:r w:rsidRPr="00965219">
        <w:rPr>
          <w:rStyle w:val="FootnoteReference"/>
          <w:rFonts w:eastAsia="Calibri"/>
          <w:sz w:val="16"/>
          <w:szCs w:val="16"/>
          <w:lang w:val="en-US"/>
        </w:rPr>
        <w:footnoteRef/>
      </w:r>
      <w:r w:rsidRPr="00965219">
        <w:rPr>
          <w:lang w:val="en-US"/>
        </w:rPr>
        <w:t xml:space="preserve"> </w:t>
      </w:r>
      <w:r w:rsidRPr="00965219">
        <w:rPr>
          <w:lang w:val="en-US"/>
        </w:rPr>
        <w:tab/>
      </w:r>
      <w:r w:rsidRPr="00965219">
        <w:rPr>
          <w:i/>
          <w:lang w:val="en-US"/>
        </w:rPr>
        <w:t xml:space="preserve">Cf. </w:t>
      </w:r>
      <w:r w:rsidRPr="00965219">
        <w:rPr>
          <w:bCs/>
          <w:i/>
          <w:lang w:val="en-US"/>
        </w:rPr>
        <w:t xml:space="preserve">Case of Garrido and Baigorria v. Argentina. Reparations and </w:t>
      </w:r>
      <w:r w:rsidRPr="00567F37">
        <w:rPr>
          <w:bCs/>
          <w:i/>
          <w:lang w:val="en-US"/>
        </w:rPr>
        <w:t>Costs</w:t>
      </w:r>
      <w:r w:rsidRPr="00965219">
        <w:rPr>
          <w:i/>
          <w:lang w:val="en-US"/>
        </w:rPr>
        <w:t xml:space="preserve">. </w:t>
      </w:r>
      <w:r w:rsidRPr="00965219">
        <w:rPr>
          <w:lang w:val="en-US"/>
        </w:rPr>
        <w:t>Judgment of August 27,1998. Series C No. 39, para. 82, and</w:t>
      </w:r>
      <w:r w:rsidRPr="00965219">
        <w:rPr>
          <w:i/>
          <w:lang w:val="en-US"/>
        </w:rPr>
        <w:t xml:space="preserve"> </w:t>
      </w:r>
      <w:r w:rsidRPr="00965219">
        <w:rPr>
          <w:rFonts w:eastAsia="Batang"/>
          <w:i/>
          <w:lang w:val="en-US"/>
        </w:rPr>
        <w:t>Case of the Garífuna Community of Punta Piedra and its members, supra,</w:t>
      </w:r>
      <w:r w:rsidRPr="00965219">
        <w:rPr>
          <w:rFonts w:eastAsia="Batang"/>
          <w:lang w:val="en-US"/>
        </w:rPr>
        <w:t xml:space="preserve"> para. 361.</w:t>
      </w:r>
      <w:r w:rsidRPr="00965219">
        <w:rPr>
          <w:bCs/>
          <w:lang w:val="en-US"/>
        </w:rPr>
        <w:t xml:space="preserve"> </w:t>
      </w:r>
    </w:p>
  </w:footnote>
  <w:footnote w:id="348">
    <w:p w14:paraId="63126D47" w14:textId="70DBC158" w:rsidR="00624C98" w:rsidRPr="00965219" w:rsidRDefault="00624C98" w:rsidP="00BB3478">
      <w:pPr>
        <w:pStyle w:val="FootnoteText"/>
        <w:tabs>
          <w:tab w:val="left" w:pos="540"/>
        </w:tabs>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Cf. Case of Chaparro Álvarez and Lapo Íñiguez v. Ecuador.</w:t>
      </w:r>
      <w:proofErr w:type="gramEnd"/>
      <w:r w:rsidRPr="00965219">
        <w:rPr>
          <w:i/>
          <w:lang w:val="en-US"/>
        </w:rPr>
        <w:t xml:space="preserve"> </w:t>
      </w:r>
      <w:proofErr w:type="gramStart"/>
      <w:r w:rsidRPr="00567F37">
        <w:rPr>
          <w:i/>
          <w:lang w:val="en-US"/>
        </w:rPr>
        <w:t>Preliminary Objections</w:t>
      </w:r>
      <w:r w:rsidRPr="00965219">
        <w:rPr>
          <w:i/>
          <w:lang w:val="en-US"/>
        </w:rPr>
        <w:t xml:space="preserve">, </w:t>
      </w:r>
      <w:r w:rsidRPr="00567F37">
        <w:rPr>
          <w:i/>
          <w:lang w:val="en-US"/>
        </w:rPr>
        <w:t>Merits,</w:t>
      </w:r>
      <w:r w:rsidRPr="00965219">
        <w:rPr>
          <w:i/>
          <w:lang w:val="en-US"/>
        </w:rPr>
        <w:t xml:space="preserve"> </w:t>
      </w:r>
      <w:r w:rsidRPr="00567F37">
        <w:rPr>
          <w:i/>
          <w:lang w:val="en-US"/>
        </w:rPr>
        <w:t>Reparations</w:t>
      </w:r>
      <w:r w:rsidRPr="00965219">
        <w:rPr>
          <w:i/>
          <w:lang w:val="en-US"/>
        </w:rPr>
        <w:t xml:space="preserve"> and </w:t>
      </w:r>
      <w:r w:rsidRPr="00567F37">
        <w:rPr>
          <w:i/>
          <w:lang w:val="en-US"/>
        </w:rPr>
        <w:t>Costs</w:t>
      </w:r>
      <w:r w:rsidRPr="00965219">
        <w:rPr>
          <w:i/>
          <w:lang w:val="en-US"/>
        </w:rPr>
        <w:t>.</w:t>
      </w:r>
      <w:proofErr w:type="gramEnd"/>
      <w:r w:rsidRPr="00965219">
        <w:rPr>
          <w:i/>
          <w:lang w:val="en-US"/>
        </w:rPr>
        <w:t xml:space="preserve"> </w:t>
      </w:r>
      <w:r w:rsidRPr="00965219">
        <w:rPr>
          <w:lang w:val="en-US"/>
        </w:rPr>
        <w:t xml:space="preserve">Judgment of November 21, 2007. Series C No. 170, para. </w:t>
      </w:r>
      <w:proofErr w:type="gramStart"/>
      <w:r w:rsidRPr="00965219">
        <w:rPr>
          <w:lang w:val="en-US"/>
        </w:rPr>
        <w:t>277,</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para. 362.</w:t>
      </w:r>
    </w:p>
  </w:footnote>
  <w:footnote w:id="349">
    <w:p w14:paraId="63126D48" w14:textId="77777777" w:rsidR="00624C98" w:rsidRPr="00965219" w:rsidRDefault="00624C98" w:rsidP="00145D1D">
      <w:pPr>
        <w:pStyle w:val="FootnoteText"/>
        <w:spacing w:after="80"/>
        <w:rPr>
          <w:lang w:val="en-US"/>
        </w:rPr>
      </w:pPr>
      <w:r w:rsidRPr="00965219">
        <w:rPr>
          <w:rStyle w:val="FootnoteReference"/>
          <w:i/>
          <w:sz w:val="16"/>
          <w:lang w:val="en-US"/>
        </w:rPr>
        <w:footnoteRef/>
      </w:r>
      <w:r w:rsidRPr="00965219">
        <w:rPr>
          <w:lang w:val="en-US"/>
        </w:rPr>
        <w:t xml:space="preserve"> </w:t>
      </w:r>
      <w:r w:rsidRPr="00965219">
        <w:rPr>
          <w:lang w:val="en-US"/>
        </w:rPr>
        <w:tab/>
      </w:r>
      <w:proofErr w:type="gramStart"/>
      <w:r w:rsidRPr="00965219">
        <w:rPr>
          <w:i/>
          <w:lang w:val="en-US"/>
        </w:rPr>
        <w:t xml:space="preserve">Case of Chaparro Álvarez and Lapo Íñiguez, supra, </w:t>
      </w:r>
      <w:r w:rsidRPr="00965219">
        <w:rPr>
          <w:lang w:val="en-US"/>
        </w:rPr>
        <w:t>para.</w:t>
      </w:r>
      <w:proofErr w:type="gramEnd"/>
      <w:r w:rsidRPr="00965219">
        <w:rPr>
          <w:lang w:val="en-US"/>
        </w:rPr>
        <w:t xml:space="preserve"> </w:t>
      </w:r>
      <w:proofErr w:type="gramStart"/>
      <w:r w:rsidRPr="00965219">
        <w:rPr>
          <w:lang w:val="en-US"/>
        </w:rPr>
        <w:t>275,</w:t>
      </w:r>
      <w:proofErr w:type="gramEnd"/>
      <w:r w:rsidRPr="00965219">
        <w:rPr>
          <w:lang w:val="en-US"/>
        </w:rPr>
        <w:t xml:space="preserve"> and</w:t>
      </w:r>
      <w:r w:rsidRPr="00965219">
        <w:rPr>
          <w:i/>
          <w:lang w:val="en-US"/>
        </w:rPr>
        <w:t xml:space="preserve"> Case of the Garífuna Community of Punta Piedra and its members, supra,</w:t>
      </w:r>
      <w:r w:rsidRPr="00965219">
        <w:rPr>
          <w:lang w:val="en-US"/>
        </w:rPr>
        <w:t xml:space="preserve"> para. 362. </w:t>
      </w:r>
    </w:p>
  </w:footnote>
  <w:footnote w:id="350">
    <w:p w14:paraId="63126D49" w14:textId="77777777" w:rsidR="00624C98" w:rsidRPr="00965219" w:rsidRDefault="00624C98" w:rsidP="00145D1D">
      <w:pPr>
        <w:pStyle w:val="FootnoteText"/>
        <w:spacing w:after="80"/>
        <w:rPr>
          <w:lang w:val="en-US"/>
        </w:rPr>
      </w:pPr>
      <w:r w:rsidRPr="00965219">
        <w:rPr>
          <w:rStyle w:val="FootnoteReference"/>
          <w:sz w:val="16"/>
          <w:lang w:val="en-US"/>
        </w:rPr>
        <w:footnoteRef/>
      </w:r>
      <w:r w:rsidRPr="00965219">
        <w:rPr>
          <w:lang w:val="en-US"/>
        </w:rPr>
        <w:t xml:space="preserve"> </w:t>
      </w:r>
      <w:r w:rsidRPr="00965219">
        <w:rPr>
          <w:lang w:val="en-US"/>
        </w:rPr>
        <w:tab/>
      </w:r>
      <w:proofErr w:type="gramStart"/>
      <w:r w:rsidRPr="00965219">
        <w:rPr>
          <w:i/>
          <w:lang w:val="en-US"/>
        </w:rPr>
        <w:t xml:space="preserve">Cf. </w:t>
      </w:r>
      <w:r w:rsidRPr="00965219">
        <w:rPr>
          <w:lang w:val="en-US"/>
        </w:rPr>
        <w:t>Annex A to the representatives’ final written arguments (merits file, folios 731 to 752), and Annex 9 to the representatives’ observations on the on-site procedure (evidence file, folios 2906 to 2917).</w:t>
      </w:r>
      <w:proofErr w:type="gramEnd"/>
    </w:p>
  </w:footnote>
  <w:footnote w:id="351">
    <w:p w14:paraId="6E7F9E57" w14:textId="77777777" w:rsidR="00624C98" w:rsidRPr="00FB36A3" w:rsidRDefault="00624C98" w:rsidP="00AA0FEE">
      <w:pPr>
        <w:tabs>
          <w:tab w:val="left" w:pos="540"/>
        </w:tabs>
        <w:spacing w:after="120"/>
        <w:jc w:val="both"/>
        <w:rPr>
          <w:rFonts w:eastAsia="Times New Roman"/>
          <w:sz w:val="16"/>
          <w:szCs w:val="16"/>
          <w:lang w:val="en-US"/>
        </w:rPr>
      </w:pPr>
      <w:r w:rsidRPr="00FB36A3">
        <w:rPr>
          <w:rStyle w:val="FootnoteReference"/>
          <w:sz w:val="16"/>
          <w:szCs w:val="16"/>
          <w:lang w:val="en-US"/>
        </w:rPr>
        <w:footnoteRef/>
      </w:r>
      <w:r w:rsidRPr="00FB36A3">
        <w:rPr>
          <w:sz w:val="16"/>
          <w:szCs w:val="16"/>
          <w:lang w:val="en-US"/>
        </w:rPr>
        <w:t xml:space="preserve"> </w:t>
      </w:r>
      <w:r w:rsidRPr="00AA0FEE">
        <w:rPr>
          <w:rFonts w:ascii="Verdana" w:hAnsi="Verdana"/>
          <w:sz w:val="16"/>
          <w:szCs w:val="16"/>
          <w:lang w:val="en-US"/>
        </w:rPr>
        <w:tab/>
        <w:t xml:space="preserve">The Court has determined that “[i]ndigenous </w:t>
      </w:r>
      <w:r w:rsidRPr="00AA0FEE">
        <w:rPr>
          <w:rFonts w:ascii="Verdana" w:eastAsia="Times New Roman" w:hAnsi="Verdana"/>
          <w:sz w:val="16"/>
          <w:szCs w:val="16"/>
          <w:lang w:val="en-US"/>
        </w:rPr>
        <w:t>groups, by the fact of their very existence, have the right to live freely in their own territory; the close ties of indigenous people with the land must be recognized and understood as the fundamental basis of their cultures, their spiritual life, their integrity, and their economic survival. For indigenous communities, relations to the land are not merely a matter of possession and production but a material and spiritual element which they must fully enjoy, even to preserve their cultural legacy and transmit it to future generations.</w:t>
      </w:r>
      <w:r w:rsidRPr="00AA0FEE">
        <w:rPr>
          <w:rFonts w:ascii="Verdana" w:hAnsi="Verdana"/>
          <w:sz w:val="16"/>
          <w:szCs w:val="16"/>
          <w:lang w:val="en-US"/>
        </w:rPr>
        <w:t xml:space="preserve">” </w:t>
      </w:r>
      <w:proofErr w:type="gramStart"/>
      <w:r w:rsidRPr="00AA0FEE">
        <w:rPr>
          <w:rStyle w:val="apple-converted-space"/>
          <w:rFonts w:ascii="Verdana" w:hAnsi="Verdana"/>
          <w:bCs/>
          <w:i/>
          <w:color w:val="000000"/>
          <w:sz w:val="16"/>
          <w:szCs w:val="16"/>
          <w:lang w:val="en-US"/>
        </w:rPr>
        <w:t xml:space="preserve">Case of the </w:t>
      </w:r>
      <w:r w:rsidRPr="00AA0FEE">
        <w:rPr>
          <w:rStyle w:val="Strong"/>
          <w:rFonts w:ascii="Verdana" w:hAnsi="Verdana"/>
          <w:b w:val="0"/>
          <w:i/>
          <w:color w:val="000000"/>
          <w:sz w:val="16"/>
          <w:szCs w:val="16"/>
          <w:lang w:val="en-US"/>
        </w:rPr>
        <w:t>Mayagna (Sumo) Awas Tingni</w:t>
      </w:r>
      <w:r w:rsidRPr="00AA0FEE">
        <w:rPr>
          <w:rStyle w:val="Strong"/>
          <w:rFonts w:ascii="Verdana" w:hAnsi="Verdana"/>
          <w:i/>
          <w:color w:val="000000"/>
          <w:sz w:val="16"/>
          <w:szCs w:val="16"/>
          <w:lang w:val="en-US"/>
        </w:rPr>
        <w:t xml:space="preserve"> </w:t>
      </w:r>
      <w:r w:rsidRPr="00AA0FEE">
        <w:rPr>
          <w:rStyle w:val="Strong"/>
          <w:rFonts w:ascii="Verdana" w:hAnsi="Verdana"/>
          <w:b w:val="0"/>
          <w:i/>
          <w:color w:val="000000"/>
          <w:sz w:val="16"/>
          <w:szCs w:val="16"/>
          <w:lang w:val="en-US"/>
        </w:rPr>
        <w:t>Community v. Nicaragua.</w:t>
      </w:r>
      <w:proofErr w:type="gramEnd"/>
      <w:r w:rsidRPr="00AA0FEE">
        <w:rPr>
          <w:rStyle w:val="Strong"/>
          <w:rFonts w:ascii="Verdana" w:hAnsi="Verdana"/>
          <w:b w:val="0"/>
          <w:i/>
          <w:color w:val="000000"/>
          <w:sz w:val="16"/>
          <w:szCs w:val="16"/>
          <w:lang w:val="en-US"/>
        </w:rPr>
        <w:t xml:space="preserve"> </w:t>
      </w:r>
      <w:proofErr w:type="gramStart"/>
      <w:r w:rsidRPr="00AA0FEE">
        <w:rPr>
          <w:rStyle w:val="Strong"/>
          <w:rFonts w:ascii="Verdana" w:hAnsi="Verdana"/>
          <w:b w:val="0"/>
          <w:i/>
          <w:color w:val="000000"/>
          <w:sz w:val="16"/>
          <w:szCs w:val="16"/>
          <w:lang w:val="en-US"/>
        </w:rPr>
        <w:t>Merits, Reparations and Costs.</w:t>
      </w:r>
      <w:proofErr w:type="gramEnd"/>
      <w:r w:rsidRPr="00AA0FEE">
        <w:rPr>
          <w:rStyle w:val="Strong"/>
          <w:rFonts w:ascii="Verdana" w:hAnsi="Verdana"/>
          <w:b w:val="0"/>
          <w:color w:val="000000"/>
          <w:sz w:val="16"/>
          <w:szCs w:val="16"/>
          <w:lang w:val="en-US"/>
        </w:rPr>
        <w:t xml:space="preserve"> Judgment of August 31, 2001. Series C No. 79,</w:t>
      </w:r>
      <w:r w:rsidRPr="00AA0FEE">
        <w:rPr>
          <w:rFonts w:ascii="Verdana" w:hAnsi="Verdana"/>
          <w:sz w:val="16"/>
          <w:szCs w:val="16"/>
          <w:lang w:val="en-US"/>
        </w:rPr>
        <w:t xml:space="preserve"> para. 149.</w:t>
      </w:r>
    </w:p>
  </w:footnote>
  <w:footnote w:id="352">
    <w:p w14:paraId="30EA55F5" w14:textId="77777777" w:rsidR="00624C98" w:rsidRPr="00FB36A3" w:rsidRDefault="00624C98" w:rsidP="007522DE">
      <w:pPr>
        <w:pStyle w:val="FootnoteText"/>
        <w:tabs>
          <w:tab w:val="left" w:pos="540"/>
        </w:tabs>
        <w:spacing w:after="120"/>
        <w:rPr>
          <w:i/>
          <w:lang w:val="en-US"/>
        </w:rPr>
      </w:pPr>
      <w:r w:rsidRPr="00FB36A3">
        <w:rPr>
          <w:rStyle w:val="FootnoteReference"/>
          <w:lang w:val="en-US"/>
        </w:rPr>
        <w:footnoteRef/>
      </w:r>
      <w:r w:rsidRPr="00FB36A3">
        <w:rPr>
          <w:lang w:val="en-US"/>
        </w:rPr>
        <w:t xml:space="preserve"> </w:t>
      </w:r>
      <w:r w:rsidRPr="00FB36A3">
        <w:rPr>
          <w:lang w:val="en-US"/>
        </w:rPr>
        <w:tab/>
      </w:r>
      <w:proofErr w:type="gramStart"/>
      <w:r w:rsidRPr="00FB36A3">
        <w:rPr>
          <w:i/>
          <w:lang w:val="en-US"/>
        </w:rPr>
        <w:t xml:space="preserve">Cf. </w:t>
      </w:r>
      <w:r w:rsidRPr="00AA0FEE">
        <w:rPr>
          <w:rStyle w:val="Strong"/>
          <w:b w:val="0"/>
          <w:i/>
          <w:color w:val="000000"/>
          <w:lang w:val="en-US"/>
        </w:rPr>
        <w:t>Case of the Saramaka People v. Suriname.</w:t>
      </w:r>
      <w:proofErr w:type="gramEnd"/>
      <w:r w:rsidRPr="00AA0FEE">
        <w:rPr>
          <w:rStyle w:val="Strong"/>
          <w:b w:val="0"/>
          <w:i/>
          <w:color w:val="000000"/>
          <w:lang w:val="en-US"/>
        </w:rPr>
        <w:t xml:space="preserve"> </w:t>
      </w:r>
      <w:proofErr w:type="gramStart"/>
      <w:r w:rsidRPr="00AA0FEE">
        <w:rPr>
          <w:rStyle w:val="Strong"/>
          <w:b w:val="0"/>
          <w:i/>
          <w:color w:val="000000"/>
          <w:lang w:val="en-US"/>
        </w:rPr>
        <w:t>Preliminary Objections, Merits, Reparations and Costs.</w:t>
      </w:r>
      <w:proofErr w:type="gramEnd"/>
      <w:r w:rsidRPr="00AA0FEE">
        <w:rPr>
          <w:rStyle w:val="Strong"/>
          <w:b w:val="0"/>
          <w:i/>
          <w:color w:val="000000"/>
          <w:lang w:val="en-US"/>
        </w:rPr>
        <w:t xml:space="preserve"> </w:t>
      </w:r>
      <w:r w:rsidRPr="00AA0FEE">
        <w:rPr>
          <w:rStyle w:val="Strong"/>
          <w:b w:val="0"/>
          <w:color w:val="000000"/>
          <w:lang w:val="en-US"/>
        </w:rPr>
        <w:t>Judgment of November 28, 2007. Series C No. 172</w:t>
      </w:r>
      <w:r w:rsidRPr="00AA0FEE">
        <w:rPr>
          <w:b/>
          <w:lang w:val="en-US"/>
        </w:rPr>
        <w:t>,</w:t>
      </w:r>
      <w:r w:rsidRPr="00FB36A3">
        <w:rPr>
          <w:lang w:val="en-US"/>
        </w:rPr>
        <w:t xml:space="preserve"> para. 133.</w:t>
      </w:r>
    </w:p>
  </w:footnote>
  <w:footnote w:id="353">
    <w:p w14:paraId="28F0767D" w14:textId="77777777" w:rsidR="00624C98" w:rsidRPr="00FB36A3" w:rsidRDefault="00624C98" w:rsidP="007522DE">
      <w:pPr>
        <w:pStyle w:val="Footnotes"/>
        <w:tabs>
          <w:tab w:val="left" w:pos="540"/>
        </w:tabs>
        <w:spacing w:before="0" w:after="120"/>
        <w:rPr>
          <w:rFonts w:cs="Verdana"/>
          <w:bCs/>
          <w:snapToGrid w:val="0"/>
          <w:lang w:val="en-US" w:eastAsia="es-ES"/>
        </w:rPr>
      </w:pPr>
      <w:r w:rsidRPr="00FB36A3">
        <w:rPr>
          <w:rStyle w:val="FootnoteReference"/>
          <w:lang w:val="en-US"/>
        </w:rPr>
        <w:footnoteRef/>
      </w:r>
      <w:r w:rsidRPr="00FB36A3">
        <w:rPr>
          <w:lang w:val="en-US"/>
        </w:rPr>
        <w:t xml:space="preserve"> </w:t>
      </w:r>
      <w:r w:rsidRPr="00FB36A3">
        <w:rPr>
          <w:lang w:val="en-US"/>
        </w:rPr>
        <w:tab/>
      </w:r>
      <w:proofErr w:type="gramStart"/>
      <w:r w:rsidRPr="00FB36A3">
        <w:rPr>
          <w:i/>
          <w:lang w:val="en-US"/>
        </w:rPr>
        <w:t>Case of the</w:t>
      </w:r>
      <w:r w:rsidRPr="00FB36A3">
        <w:rPr>
          <w:rFonts w:cs="Verdana"/>
          <w:bCs/>
          <w:i/>
          <w:snapToGrid w:val="0"/>
          <w:lang w:val="en-US" w:eastAsia="es-ES"/>
        </w:rPr>
        <w:t xml:space="preserve"> Kichwa Indigenous People of Sarayaku v.</w:t>
      </w:r>
      <w:r w:rsidRPr="00FB36A3">
        <w:rPr>
          <w:i/>
          <w:lang w:val="en-US"/>
        </w:rPr>
        <w:t xml:space="preserve"> Ecuador.</w:t>
      </w:r>
      <w:proofErr w:type="gramEnd"/>
      <w:r w:rsidRPr="00FB36A3">
        <w:rPr>
          <w:i/>
          <w:lang w:val="en-US"/>
        </w:rPr>
        <w:t xml:space="preserve"> </w:t>
      </w:r>
      <w:proofErr w:type="gramStart"/>
      <w:r w:rsidRPr="00FB36A3">
        <w:rPr>
          <w:i/>
          <w:lang w:val="en-US"/>
        </w:rPr>
        <w:t xml:space="preserve">Merits and </w:t>
      </w:r>
      <w:r>
        <w:rPr>
          <w:i/>
          <w:lang w:val="en-US"/>
        </w:rPr>
        <w:t>R</w:t>
      </w:r>
      <w:r w:rsidRPr="00FB36A3">
        <w:rPr>
          <w:i/>
          <w:lang w:val="en-US"/>
        </w:rPr>
        <w:t>eparations.</w:t>
      </w:r>
      <w:proofErr w:type="gramEnd"/>
      <w:r w:rsidRPr="00FB36A3">
        <w:rPr>
          <w:i/>
          <w:lang w:val="en-US"/>
        </w:rPr>
        <w:t xml:space="preserve"> Judgment of June 27, 2012. </w:t>
      </w:r>
      <w:r w:rsidRPr="00FB36A3">
        <w:rPr>
          <w:lang w:val="en-US"/>
        </w:rPr>
        <w:t>Series C No. 245</w:t>
      </w:r>
      <w:r w:rsidRPr="00FB36A3">
        <w:rPr>
          <w:rFonts w:cs="Verdana"/>
          <w:bCs/>
          <w:snapToGrid w:val="0"/>
          <w:lang w:val="en-US" w:eastAsia="es-ES"/>
        </w:rPr>
        <w:t xml:space="preserve">, para. </w:t>
      </w:r>
      <w:proofErr w:type="gramStart"/>
      <w:r w:rsidRPr="00FB36A3">
        <w:rPr>
          <w:rFonts w:cs="Verdana"/>
          <w:bCs/>
          <w:snapToGrid w:val="0"/>
          <w:lang w:val="en-US" w:eastAsia="es-ES"/>
        </w:rPr>
        <w:t>157,</w:t>
      </w:r>
      <w:proofErr w:type="gramEnd"/>
      <w:r w:rsidRPr="00FB36A3">
        <w:rPr>
          <w:rFonts w:cs="Verdana"/>
          <w:bCs/>
          <w:snapToGrid w:val="0"/>
          <w:lang w:val="en-US" w:eastAsia="es-ES"/>
        </w:rPr>
        <w:t xml:space="preserve"> and </w:t>
      </w:r>
      <w:r w:rsidRPr="00FB36A3">
        <w:rPr>
          <w:i/>
          <w:lang w:val="en-US"/>
        </w:rPr>
        <w:t xml:space="preserve">Case of the Garífuna Community of Triunfo de la Cruz and its members v. Honduras. </w:t>
      </w:r>
      <w:proofErr w:type="gramStart"/>
      <w:r w:rsidRPr="00FB36A3">
        <w:rPr>
          <w:i/>
          <w:lang w:val="en-US"/>
        </w:rPr>
        <w:t xml:space="preserve">Merits, </w:t>
      </w:r>
      <w:r>
        <w:rPr>
          <w:i/>
          <w:lang w:val="en-US"/>
        </w:rPr>
        <w:t>R</w:t>
      </w:r>
      <w:r w:rsidRPr="00FB36A3">
        <w:rPr>
          <w:i/>
          <w:lang w:val="en-US"/>
        </w:rPr>
        <w:t xml:space="preserve">eparations and </w:t>
      </w:r>
      <w:r>
        <w:rPr>
          <w:i/>
          <w:lang w:val="en-US"/>
        </w:rPr>
        <w:t>C</w:t>
      </w:r>
      <w:r w:rsidRPr="00FB36A3">
        <w:rPr>
          <w:i/>
          <w:lang w:val="en-US"/>
        </w:rPr>
        <w:t>osts.</w:t>
      </w:r>
      <w:proofErr w:type="gramEnd"/>
      <w:r w:rsidRPr="00FB36A3">
        <w:rPr>
          <w:lang w:val="en-US"/>
        </w:rPr>
        <w:t xml:space="preserve"> Judgment of October 8, 2015. Series C No. 305</w:t>
      </w:r>
      <w:r w:rsidRPr="00FB36A3">
        <w:rPr>
          <w:i/>
          <w:lang w:val="en-US"/>
        </w:rPr>
        <w:t>,</w:t>
      </w:r>
      <w:r w:rsidRPr="00FB36A3">
        <w:rPr>
          <w:lang w:val="en-US"/>
        </w:rPr>
        <w:t xml:space="preserve"> para. 156.</w:t>
      </w:r>
    </w:p>
  </w:footnote>
  <w:footnote w:id="354">
    <w:p w14:paraId="2BFE7520" w14:textId="77777777" w:rsidR="00624C98" w:rsidRPr="00FB36A3" w:rsidRDefault="00624C98" w:rsidP="007522DE">
      <w:pPr>
        <w:pStyle w:val="Footnotes"/>
        <w:tabs>
          <w:tab w:val="left" w:pos="540"/>
        </w:tabs>
        <w:spacing w:before="0" w:after="120"/>
        <w:rPr>
          <w:lang w:val="en-US"/>
        </w:rPr>
      </w:pPr>
      <w:r w:rsidRPr="00FB36A3">
        <w:rPr>
          <w:rStyle w:val="FootnoteReference"/>
          <w:lang w:val="en-US"/>
        </w:rPr>
        <w:footnoteRef/>
      </w:r>
      <w:r w:rsidRPr="00FB36A3">
        <w:rPr>
          <w:lang w:val="en-US"/>
        </w:rPr>
        <w:t xml:space="preserve"> </w:t>
      </w:r>
      <w:r w:rsidRPr="00FB36A3">
        <w:rPr>
          <w:lang w:val="en-US"/>
        </w:rPr>
        <w:tab/>
      </w:r>
      <w:proofErr w:type="gramStart"/>
      <w:r w:rsidRPr="00FB36A3">
        <w:rPr>
          <w:i/>
          <w:lang w:val="en-US"/>
        </w:rPr>
        <w:t>Case of the Garífuna Community of Punta Piedra and its members v. Honduras.</w:t>
      </w:r>
      <w:proofErr w:type="gramEnd"/>
      <w:r w:rsidRPr="00FB36A3">
        <w:rPr>
          <w:i/>
          <w:lang w:val="en-US"/>
        </w:rPr>
        <w:t xml:space="preserve"> </w:t>
      </w:r>
      <w:proofErr w:type="gramStart"/>
      <w:r w:rsidRPr="00FB36A3">
        <w:rPr>
          <w:i/>
          <w:lang w:val="en-US"/>
        </w:rPr>
        <w:t xml:space="preserve">Preliminary </w:t>
      </w:r>
      <w:r>
        <w:rPr>
          <w:i/>
          <w:lang w:val="en-US"/>
        </w:rPr>
        <w:t>O</w:t>
      </w:r>
      <w:r w:rsidRPr="00FB36A3">
        <w:rPr>
          <w:i/>
          <w:lang w:val="en-US"/>
        </w:rPr>
        <w:t xml:space="preserve">bjections, </w:t>
      </w:r>
      <w:r>
        <w:rPr>
          <w:i/>
          <w:lang w:val="en-US"/>
        </w:rPr>
        <w:t>M</w:t>
      </w:r>
      <w:r w:rsidRPr="00FB36A3">
        <w:rPr>
          <w:i/>
          <w:lang w:val="en-US"/>
        </w:rPr>
        <w:t xml:space="preserve">erits, </w:t>
      </w:r>
      <w:r>
        <w:rPr>
          <w:i/>
          <w:lang w:val="en-US"/>
        </w:rPr>
        <w:t>R</w:t>
      </w:r>
      <w:r w:rsidRPr="00FB36A3">
        <w:rPr>
          <w:i/>
          <w:lang w:val="en-US"/>
        </w:rPr>
        <w:t xml:space="preserve">eparations and </w:t>
      </w:r>
      <w:r>
        <w:rPr>
          <w:i/>
          <w:lang w:val="en-US"/>
        </w:rPr>
        <w:t>C</w:t>
      </w:r>
      <w:r w:rsidRPr="00FB36A3">
        <w:rPr>
          <w:i/>
          <w:lang w:val="en-US"/>
        </w:rPr>
        <w:t>osts.</w:t>
      </w:r>
      <w:proofErr w:type="gramEnd"/>
      <w:r w:rsidRPr="00FB36A3">
        <w:rPr>
          <w:lang w:val="en-US"/>
        </w:rPr>
        <w:t xml:space="preserve"> Judgment of Oc</w:t>
      </w:r>
      <w:r>
        <w:rPr>
          <w:lang w:val="en-US"/>
        </w:rPr>
        <w:t>t</w:t>
      </w:r>
      <w:r w:rsidRPr="00FB36A3">
        <w:rPr>
          <w:lang w:val="en-US"/>
        </w:rPr>
        <w:t>ober 8, 2015. Series C No. 304, para. 215.</w:t>
      </w:r>
    </w:p>
  </w:footnote>
  <w:footnote w:id="355">
    <w:p w14:paraId="5BE00CB0"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proofErr w:type="gramStart"/>
      <w:r w:rsidRPr="00FB36A3">
        <w:rPr>
          <w:i/>
          <w:lang w:val="en-US"/>
        </w:rPr>
        <w:t>Case of the Saramaka People</w:t>
      </w:r>
      <w:r>
        <w:rPr>
          <w:i/>
          <w:lang w:val="en-US"/>
        </w:rPr>
        <w:t xml:space="preserve">, </w:t>
      </w:r>
      <w:r w:rsidRPr="00FB36A3">
        <w:rPr>
          <w:i/>
          <w:lang w:val="en-US"/>
        </w:rPr>
        <w:t xml:space="preserve">supra, </w:t>
      </w:r>
      <w:r w:rsidRPr="00FB36A3">
        <w:rPr>
          <w:lang w:val="en-US"/>
        </w:rPr>
        <w:t>para.</w:t>
      </w:r>
      <w:proofErr w:type="gramEnd"/>
      <w:r w:rsidRPr="00FB36A3">
        <w:rPr>
          <w:lang w:val="en-US"/>
        </w:rPr>
        <w:t xml:space="preserve"> 95.</w:t>
      </w:r>
    </w:p>
  </w:footnote>
  <w:footnote w:id="356">
    <w:p w14:paraId="3D53A164"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r>
        <w:rPr>
          <w:i/>
          <w:lang w:val="en-US"/>
        </w:rPr>
        <w:t>Cf.</w:t>
      </w:r>
      <w:r w:rsidRPr="00FB36A3">
        <w:rPr>
          <w:lang w:val="en-US"/>
        </w:rPr>
        <w:t xml:space="preserve"> </w:t>
      </w:r>
      <w:r>
        <w:rPr>
          <w:lang w:val="en-US"/>
        </w:rPr>
        <w:t>Paragraphs</w:t>
      </w:r>
      <w:r w:rsidRPr="00FB36A3">
        <w:rPr>
          <w:lang w:val="en-US"/>
        </w:rPr>
        <w:t xml:space="preserve"> 122, 123 and 124 </w:t>
      </w:r>
      <w:r>
        <w:rPr>
          <w:lang w:val="en-US"/>
        </w:rPr>
        <w:t>of the Judgment.</w:t>
      </w:r>
      <w:r w:rsidRPr="00FB36A3">
        <w:rPr>
          <w:lang w:val="en-US"/>
        </w:rPr>
        <w:t xml:space="preserve"> </w:t>
      </w:r>
    </w:p>
  </w:footnote>
  <w:footnote w:id="357">
    <w:p w14:paraId="4C6350EB"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proofErr w:type="gramStart"/>
      <w:r>
        <w:rPr>
          <w:lang w:val="en-US"/>
        </w:rPr>
        <w:t>Paragraph</w:t>
      </w:r>
      <w:r w:rsidRPr="00FB36A3">
        <w:rPr>
          <w:lang w:val="en-US"/>
        </w:rPr>
        <w:t xml:space="preserve"> 125 </w:t>
      </w:r>
      <w:r>
        <w:rPr>
          <w:lang w:val="en-US"/>
        </w:rPr>
        <w:t>of the Judgment</w:t>
      </w:r>
      <w:r w:rsidRPr="00FB36A3">
        <w:rPr>
          <w:lang w:val="en-US"/>
        </w:rPr>
        <w:t>.</w:t>
      </w:r>
      <w:proofErr w:type="gramEnd"/>
    </w:p>
  </w:footnote>
  <w:footnote w:id="358">
    <w:p w14:paraId="19242E2D" w14:textId="77777777" w:rsidR="00624C98" w:rsidRPr="00B648D3" w:rsidRDefault="00624C98" w:rsidP="007522DE">
      <w:pPr>
        <w:pStyle w:val="NormalWeb"/>
        <w:tabs>
          <w:tab w:val="left" w:pos="540"/>
          <w:tab w:val="left" w:pos="567"/>
        </w:tabs>
        <w:spacing w:before="0" w:beforeAutospacing="0" w:after="120" w:afterAutospacing="0"/>
        <w:jc w:val="both"/>
        <w:rPr>
          <w:rFonts w:ascii="Verdana" w:hAnsi="Verdana"/>
          <w:color w:val="000000"/>
          <w:sz w:val="16"/>
          <w:szCs w:val="16"/>
          <w:lang w:val="en-US"/>
        </w:rPr>
      </w:pPr>
      <w:r w:rsidRPr="00FB36A3">
        <w:rPr>
          <w:rStyle w:val="FootnoteReference"/>
          <w:rFonts w:eastAsia="MS Mincho"/>
          <w:sz w:val="16"/>
          <w:szCs w:val="16"/>
          <w:lang w:val="en-US"/>
        </w:rPr>
        <w:footnoteRef/>
      </w:r>
      <w:r>
        <w:rPr>
          <w:rFonts w:ascii="Verdana" w:hAnsi="Verdana"/>
          <w:sz w:val="16"/>
          <w:szCs w:val="16"/>
          <w:lang w:val="en-US"/>
        </w:rPr>
        <w:t xml:space="preserve"> </w:t>
      </w:r>
      <w:r>
        <w:rPr>
          <w:rFonts w:ascii="Verdana" w:hAnsi="Verdana"/>
          <w:sz w:val="16"/>
          <w:szCs w:val="16"/>
          <w:lang w:val="en-US"/>
        </w:rPr>
        <w:tab/>
      </w:r>
      <w:proofErr w:type="gramStart"/>
      <w:r>
        <w:rPr>
          <w:rFonts w:ascii="Verdana" w:hAnsi="Verdana"/>
          <w:sz w:val="16"/>
          <w:szCs w:val="16"/>
          <w:lang w:val="en-US"/>
        </w:rPr>
        <w:t>Article</w:t>
      </w:r>
      <w:r w:rsidRPr="00FB36A3">
        <w:rPr>
          <w:rFonts w:ascii="Verdana" w:hAnsi="Verdana"/>
          <w:sz w:val="16"/>
          <w:szCs w:val="16"/>
          <w:lang w:val="en-US"/>
        </w:rPr>
        <w:t xml:space="preserve"> 18 and 32 of the United Nations Declaration on the Rights of Indigenous Peoples </w:t>
      </w:r>
      <w:r w:rsidRPr="00FB36A3">
        <w:rPr>
          <w:rFonts w:ascii="Verdana" w:hAnsi="Verdana"/>
          <w:color w:val="000000"/>
          <w:sz w:val="16"/>
          <w:szCs w:val="16"/>
          <w:lang w:val="en-US"/>
        </w:rPr>
        <w:t>(A/RES/61/295</w:t>
      </w:r>
      <w:r w:rsidRPr="00FB36A3">
        <w:rPr>
          <w:rFonts w:ascii="Verdana" w:hAnsi="Verdana" w:cs="Arial"/>
          <w:color w:val="000000"/>
          <w:sz w:val="16"/>
          <w:szCs w:val="16"/>
          <w:lang w:val="en-US"/>
        </w:rPr>
        <w:t>)</w:t>
      </w:r>
      <w:r w:rsidRPr="00FB36A3">
        <w:rPr>
          <w:rFonts w:ascii="Verdana" w:hAnsi="Verdana"/>
          <w:i/>
          <w:color w:val="000000"/>
          <w:sz w:val="16"/>
          <w:szCs w:val="16"/>
          <w:lang w:val="en-US"/>
        </w:rPr>
        <w:t>.</w:t>
      </w:r>
      <w:proofErr w:type="gramEnd"/>
      <w:r w:rsidRPr="00FB36A3">
        <w:rPr>
          <w:rFonts w:ascii="Verdana" w:hAnsi="Verdana"/>
          <w:color w:val="000000"/>
          <w:sz w:val="16"/>
          <w:szCs w:val="16"/>
          <w:lang w:val="en-US"/>
        </w:rPr>
        <w:t xml:space="preserve"> </w:t>
      </w:r>
      <w:r w:rsidRPr="00B648D3">
        <w:rPr>
          <w:rFonts w:ascii="Verdana" w:hAnsi="Verdana"/>
          <w:color w:val="000000"/>
          <w:sz w:val="16"/>
          <w:szCs w:val="16"/>
          <w:lang w:val="en-US"/>
        </w:rPr>
        <w:t xml:space="preserve">See also, article 29 of the Declaration. </w:t>
      </w:r>
      <w:r w:rsidRPr="00FB36A3">
        <w:rPr>
          <w:rFonts w:ascii="Verdana" w:hAnsi="Verdana"/>
          <w:sz w:val="16"/>
          <w:szCs w:val="16"/>
          <w:lang w:val="en-US"/>
        </w:rPr>
        <w:t xml:space="preserve">Also, article 6 of the Inter-American Democratic Charter states that: “It is the right and responsibility of all citizens to participate in decisions relating to their own development </w:t>
      </w:r>
      <w:r w:rsidRPr="00B648D3">
        <w:rPr>
          <w:rFonts w:ascii="Verdana" w:hAnsi="Verdana"/>
          <w:color w:val="000000"/>
          <w:sz w:val="16"/>
          <w:szCs w:val="16"/>
          <w:lang w:val="en-US"/>
        </w:rPr>
        <w:t>[…].”</w:t>
      </w:r>
    </w:p>
  </w:footnote>
  <w:footnote w:id="359">
    <w:p w14:paraId="1C0C2FEB" w14:textId="77777777" w:rsidR="00624C98" w:rsidRPr="00B648D3" w:rsidRDefault="00624C98" w:rsidP="007522DE">
      <w:pPr>
        <w:pStyle w:val="FootnoteText"/>
        <w:tabs>
          <w:tab w:val="left" w:pos="540"/>
        </w:tabs>
        <w:spacing w:after="120"/>
        <w:rPr>
          <w:lang w:val="en-US"/>
        </w:rPr>
      </w:pPr>
      <w:r w:rsidRPr="00FB36A3">
        <w:rPr>
          <w:rStyle w:val="FootnoteReference"/>
          <w:lang w:val="en-US"/>
        </w:rPr>
        <w:footnoteRef/>
      </w:r>
      <w:r w:rsidRPr="00B648D3">
        <w:rPr>
          <w:lang w:val="en-US"/>
        </w:rPr>
        <w:t xml:space="preserve"> </w:t>
      </w:r>
      <w:r w:rsidRPr="00B648D3">
        <w:rPr>
          <w:lang w:val="en-US"/>
        </w:rPr>
        <w:tab/>
      </w:r>
      <w:proofErr w:type="gramStart"/>
      <w:r w:rsidRPr="00B648D3">
        <w:rPr>
          <w:lang w:val="en-US"/>
        </w:rPr>
        <w:t>Paragraph 203 of the Judgment.</w:t>
      </w:r>
      <w:proofErr w:type="gramEnd"/>
    </w:p>
  </w:footnote>
  <w:footnote w:id="360">
    <w:p w14:paraId="1A970D5C"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r w:rsidRPr="00FB36A3">
        <w:rPr>
          <w:i/>
          <w:lang w:val="en-US"/>
        </w:rPr>
        <w:t>Cf.</w:t>
      </w:r>
      <w:r w:rsidRPr="00FB36A3">
        <w:rPr>
          <w:lang w:val="en-US"/>
        </w:rPr>
        <w:t xml:space="preserve"> </w:t>
      </w:r>
      <w:r w:rsidRPr="00FB36A3">
        <w:rPr>
          <w:i/>
          <w:lang w:val="en-US"/>
        </w:rPr>
        <w:t>Case of the Saramaka People</w:t>
      </w:r>
      <w:r w:rsidRPr="00FB36A3">
        <w:rPr>
          <w:i/>
          <w:snapToGrid w:val="0"/>
          <w:lang w:val="en-US"/>
        </w:rPr>
        <w:t>,</w:t>
      </w:r>
      <w:r w:rsidRPr="00FB36A3">
        <w:rPr>
          <w:snapToGrid w:val="0"/>
          <w:lang w:val="en-US"/>
        </w:rPr>
        <w:t xml:space="preserve"> </w:t>
      </w:r>
      <w:r w:rsidRPr="00FB36A3">
        <w:rPr>
          <w:i/>
          <w:snapToGrid w:val="0"/>
          <w:lang w:val="en-US"/>
        </w:rPr>
        <w:t>supra</w:t>
      </w:r>
      <w:r w:rsidRPr="00FB36A3">
        <w:rPr>
          <w:snapToGrid w:val="0"/>
          <w:lang w:val="en-US"/>
        </w:rPr>
        <w:t xml:space="preserve">, para. 129. Likewise, in the </w:t>
      </w:r>
      <w:r w:rsidRPr="00FB36A3">
        <w:rPr>
          <w:i/>
          <w:snapToGrid w:val="0"/>
          <w:lang w:val="en-US"/>
        </w:rPr>
        <w:t>case</w:t>
      </w:r>
      <w:r w:rsidRPr="00FB36A3">
        <w:rPr>
          <w:snapToGrid w:val="0"/>
          <w:lang w:val="en-US"/>
        </w:rPr>
        <w:t xml:space="preserve"> </w:t>
      </w:r>
      <w:r w:rsidRPr="00FB36A3">
        <w:rPr>
          <w:i/>
          <w:lang w:val="en-US"/>
        </w:rPr>
        <w:t xml:space="preserve">of the Garífuna Community of Punta Piedra and its members, </w:t>
      </w:r>
      <w:r w:rsidRPr="00FB36A3">
        <w:rPr>
          <w:lang w:val="en-US"/>
        </w:rPr>
        <w:t xml:space="preserve">the Court indicated that the consultation must take place beforehand, and must be carried out starting in the initial stages of the development or investment plan so that the indigenous and tribal peoples may truly participate and influence the decision-making process. </w:t>
      </w:r>
      <w:r w:rsidRPr="00FB36A3">
        <w:rPr>
          <w:i/>
          <w:lang w:val="en-US"/>
        </w:rPr>
        <w:t>Cf.</w:t>
      </w:r>
      <w:r w:rsidRPr="00FB36A3">
        <w:rPr>
          <w:lang w:val="en-US"/>
        </w:rPr>
        <w:t xml:space="preserve"> </w:t>
      </w:r>
      <w:r w:rsidRPr="00FB36A3">
        <w:rPr>
          <w:i/>
          <w:lang w:val="en-US"/>
        </w:rPr>
        <w:t>Case of the Garífuna Community of Punta Piedra and its members, supra</w:t>
      </w:r>
      <w:r>
        <w:rPr>
          <w:lang w:val="en-US"/>
        </w:rPr>
        <w:t>, para. 217.</w:t>
      </w:r>
    </w:p>
  </w:footnote>
  <w:footnote w:id="361">
    <w:p w14:paraId="2FE844BC"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proofErr w:type="gramStart"/>
      <w:r w:rsidRPr="00FB36A3">
        <w:rPr>
          <w:i/>
          <w:lang w:val="en-US"/>
        </w:rPr>
        <w:t xml:space="preserve">Case </w:t>
      </w:r>
      <w:r>
        <w:rPr>
          <w:i/>
          <w:lang w:val="en-US"/>
        </w:rPr>
        <w:t>of the Saramaka People</w:t>
      </w:r>
      <w:r w:rsidRPr="00FB36A3">
        <w:rPr>
          <w:i/>
          <w:lang w:val="en-US"/>
        </w:rPr>
        <w:t>, supra,</w:t>
      </w:r>
      <w:r w:rsidRPr="00FB36A3">
        <w:rPr>
          <w:lang w:val="en-US"/>
        </w:rPr>
        <w:t xml:space="preserve"> para.</w:t>
      </w:r>
      <w:proofErr w:type="gramEnd"/>
      <w:r w:rsidRPr="00FB36A3">
        <w:rPr>
          <w:lang w:val="en-US"/>
        </w:rPr>
        <w:t xml:space="preserve"> 129.</w:t>
      </w:r>
    </w:p>
  </w:footnote>
  <w:footnote w:id="362">
    <w:p w14:paraId="7CA1B09E" w14:textId="77777777" w:rsidR="00624C98" w:rsidRPr="007522DE" w:rsidRDefault="00624C98" w:rsidP="007522DE">
      <w:pPr>
        <w:pStyle w:val="ListParagraph"/>
        <w:tabs>
          <w:tab w:val="left" w:pos="540"/>
        </w:tabs>
        <w:spacing w:after="120"/>
        <w:ind w:left="0"/>
        <w:jc w:val="both"/>
        <w:rPr>
          <w:rFonts w:ascii="Verdana" w:hAnsi="Verdana"/>
          <w:sz w:val="16"/>
          <w:szCs w:val="16"/>
          <w:lang w:val="en-US"/>
        </w:rPr>
      </w:pPr>
      <w:r w:rsidRPr="00FB36A3">
        <w:rPr>
          <w:rStyle w:val="FootnoteReference"/>
          <w:sz w:val="16"/>
          <w:szCs w:val="16"/>
        </w:rPr>
        <w:footnoteRef/>
      </w:r>
      <w:r w:rsidRPr="007522DE">
        <w:rPr>
          <w:rFonts w:ascii="Verdana" w:hAnsi="Verdana"/>
          <w:sz w:val="16"/>
          <w:szCs w:val="16"/>
          <w:lang w:val="en-US"/>
        </w:rPr>
        <w:t xml:space="preserve"> </w:t>
      </w:r>
      <w:r w:rsidRPr="007522DE">
        <w:rPr>
          <w:rFonts w:ascii="Verdana" w:hAnsi="Verdana"/>
          <w:sz w:val="16"/>
          <w:szCs w:val="16"/>
          <w:lang w:val="en-US"/>
        </w:rPr>
        <w:tab/>
      </w:r>
      <w:proofErr w:type="gramStart"/>
      <w:r w:rsidRPr="007522DE">
        <w:rPr>
          <w:rFonts w:ascii="Verdana" w:hAnsi="Verdana"/>
          <w:i/>
          <w:sz w:val="16"/>
          <w:szCs w:val="16"/>
          <w:lang w:val="en-US"/>
        </w:rPr>
        <w:t>Cf.</w:t>
      </w:r>
      <w:proofErr w:type="gramEnd"/>
      <w:r w:rsidRPr="007522DE">
        <w:rPr>
          <w:rFonts w:ascii="Verdana" w:hAnsi="Verdana"/>
          <w:sz w:val="16"/>
          <w:szCs w:val="16"/>
          <w:lang w:val="en-US"/>
        </w:rPr>
        <w:t xml:space="preserve">  </w:t>
      </w:r>
      <w:proofErr w:type="gramStart"/>
      <w:r w:rsidRPr="007522DE">
        <w:rPr>
          <w:rFonts w:ascii="Verdana" w:hAnsi="Verdana"/>
          <w:sz w:val="16"/>
          <w:szCs w:val="16"/>
          <w:lang w:val="en-US"/>
        </w:rPr>
        <w:t>Paragraphs 216 to 222 of the Judgment.</w:t>
      </w:r>
      <w:proofErr w:type="gramEnd"/>
    </w:p>
  </w:footnote>
  <w:footnote w:id="363">
    <w:p w14:paraId="620192CF"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proofErr w:type="gramStart"/>
      <w:r>
        <w:rPr>
          <w:i/>
          <w:lang w:val="en-US"/>
        </w:rPr>
        <w:t>Cf.</w:t>
      </w:r>
      <w:r w:rsidRPr="00FB36A3">
        <w:rPr>
          <w:i/>
          <w:lang w:val="en-US"/>
        </w:rPr>
        <w:t xml:space="preserve"> Case of </w:t>
      </w:r>
      <w:r>
        <w:rPr>
          <w:i/>
          <w:lang w:val="en-US"/>
        </w:rPr>
        <w:t xml:space="preserve">the </w:t>
      </w:r>
      <w:r w:rsidRPr="00FB36A3">
        <w:rPr>
          <w:i/>
          <w:lang w:val="en-US"/>
        </w:rPr>
        <w:t>Moiwana</w:t>
      </w:r>
      <w:r>
        <w:rPr>
          <w:i/>
          <w:lang w:val="en-US"/>
        </w:rPr>
        <w:t xml:space="preserve"> Community</w:t>
      </w:r>
      <w:r w:rsidRPr="00FB36A3">
        <w:rPr>
          <w:i/>
          <w:lang w:val="en-US"/>
        </w:rPr>
        <w:t xml:space="preserve"> v. Suriname.</w:t>
      </w:r>
      <w:proofErr w:type="gramEnd"/>
      <w:r w:rsidRPr="00FB36A3">
        <w:rPr>
          <w:i/>
          <w:lang w:val="en-US"/>
        </w:rPr>
        <w:t xml:space="preserve"> </w:t>
      </w:r>
      <w:proofErr w:type="gramStart"/>
      <w:r w:rsidRPr="00FB36A3">
        <w:rPr>
          <w:i/>
          <w:lang w:val="en-US"/>
        </w:rPr>
        <w:t xml:space="preserve">Preliminary </w:t>
      </w:r>
      <w:r>
        <w:rPr>
          <w:i/>
          <w:lang w:val="en-US"/>
        </w:rPr>
        <w:t>O</w:t>
      </w:r>
      <w:r w:rsidRPr="00FB36A3">
        <w:rPr>
          <w:i/>
          <w:lang w:val="en-US"/>
        </w:rPr>
        <w:t xml:space="preserve">bjections, </w:t>
      </w:r>
      <w:r>
        <w:rPr>
          <w:i/>
          <w:lang w:val="en-US"/>
        </w:rPr>
        <w:t>M</w:t>
      </w:r>
      <w:r w:rsidRPr="00FB36A3">
        <w:rPr>
          <w:i/>
          <w:lang w:val="en-US"/>
        </w:rPr>
        <w:t xml:space="preserve">erits, </w:t>
      </w:r>
      <w:r>
        <w:rPr>
          <w:i/>
          <w:lang w:val="en-US"/>
        </w:rPr>
        <w:t>R</w:t>
      </w:r>
      <w:r w:rsidRPr="00FB36A3">
        <w:rPr>
          <w:i/>
          <w:lang w:val="en-US"/>
        </w:rPr>
        <w:t xml:space="preserve">eparations and </w:t>
      </w:r>
      <w:r>
        <w:rPr>
          <w:i/>
          <w:lang w:val="en-US"/>
        </w:rPr>
        <w:t>C</w:t>
      </w:r>
      <w:r w:rsidRPr="00FB36A3">
        <w:rPr>
          <w:i/>
          <w:lang w:val="en-US"/>
        </w:rPr>
        <w:t>osts.</w:t>
      </w:r>
      <w:proofErr w:type="gramEnd"/>
      <w:r w:rsidRPr="00FB36A3">
        <w:rPr>
          <w:lang w:val="en-US"/>
        </w:rPr>
        <w:t xml:space="preserve"> </w:t>
      </w:r>
      <w:r>
        <w:rPr>
          <w:lang w:val="en-US"/>
        </w:rPr>
        <w:t>Judgment of June 15,</w:t>
      </w:r>
      <w:r w:rsidRPr="00FB36A3">
        <w:rPr>
          <w:lang w:val="en-US"/>
        </w:rPr>
        <w:t xml:space="preserve"> 2005. Series C No. 124, para. </w:t>
      </w:r>
      <w:proofErr w:type="gramStart"/>
      <w:r w:rsidRPr="00FB36A3">
        <w:rPr>
          <w:lang w:val="en-US"/>
        </w:rPr>
        <w:t>86.5,</w:t>
      </w:r>
      <w:proofErr w:type="gramEnd"/>
      <w:r w:rsidRPr="00FB36A3">
        <w:rPr>
          <w:lang w:val="en-US"/>
        </w:rPr>
        <w:t xml:space="preserve"> and </w:t>
      </w:r>
      <w:r w:rsidRPr="00FB36A3">
        <w:rPr>
          <w:i/>
          <w:lang w:val="en-US"/>
        </w:rPr>
        <w:t xml:space="preserve">Case </w:t>
      </w:r>
      <w:r>
        <w:rPr>
          <w:i/>
          <w:lang w:val="en-US"/>
        </w:rPr>
        <w:t>of the Saramaka People</w:t>
      </w:r>
      <w:r w:rsidRPr="00FB36A3">
        <w:rPr>
          <w:i/>
          <w:lang w:val="en-US"/>
        </w:rPr>
        <w:t>, supra,</w:t>
      </w:r>
      <w:r w:rsidRPr="00FB36A3">
        <w:rPr>
          <w:lang w:val="en-US"/>
        </w:rPr>
        <w:t xml:space="preserve"> p</w:t>
      </w:r>
      <w:r>
        <w:rPr>
          <w:lang w:val="en-US"/>
        </w:rPr>
        <w:t>ara</w:t>
      </w:r>
      <w:r w:rsidRPr="00FB36A3">
        <w:rPr>
          <w:lang w:val="en-US"/>
        </w:rPr>
        <w:t xml:space="preserve">s. </w:t>
      </w:r>
      <w:proofErr w:type="gramStart"/>
      <w:r w:rsidRPr="00FB36A3">
        <w:rPr>
          <w:lang w:val="en-US"/>
        </w:rPr>
        <w:t xml:space="preserve">173 </w:t>
      </w:r>
      <w:r>
        <w:rPr>
          <w:lang w:val="en-US"/>
        </w:rPr>
        <w:t>and</w:t>
      </w:r>
      <w:r w:rsidRPr="00FB36A3">
        <w:rPr>
          <w:lang w:val="en-US"/>
        </w:rPr>
        <w:t xml:space="preserve"> 174.</w:t>
      </w:r>
      <w:proofErr w:type="gramEnd"/>
    </w:p>
  </w:footnote>
  <w:footnote w:id="364">
    <w:p w14:paraId="716A0150"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r>
        <w:rPr>
          <w:i/>
          <w:lang w:val="en-US"/>
        </w:rPr>
        <w:t>Cf.</w:t>
      </w:r>
      <w:r w:rsidRPr="00FB36A3">
        <w:rPr>
          <w:lang w:val="en-US"/>
        </w:rPr>
        <w:t xml:space="preserve"> </w:t>
      </w:r>
      <w:r>
        <w:rPr>
          <w:lang w:val="en-US"/>
        </w:rPr>
        <w:t>Paragraph</w:t>
      </w:r>
      <w:r w:rsidRPr="00FB36A3">
        <w:rPr>
          <w:lang w:val="en-US"/>
        </w:rPr>
        <w:t xml:space="preserve"> 113 </w:t>
      </w:r>
      <w:r>
        <w:rPr>
          <w:lang w:val="en-US"/>
        </w:rPr>
        <w:t>of the Judgment</w:t>
      </w:r>
      <w:r w:rsidRPr="00FB36A3">
        <w:rPr>
          <w:lang w:val="en-US"/>
        </w:rPr>
        <w:t xml:space="preserve">. </w:t>
      </w:r>
    </w:p>
  </w:footnote>
  <w:footnote w:id="365">
    <w:p w14:paraId="0AC14C68"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 xml:space="preserve"> </w:t>
      </w:r>
      <w:r w:rsidRPr="00FB36A3">
        <w:rPr>
          <w:lang w:val="en-US"/>
        </w:rPr>
        <w:tab/>
      </w:r>
      <w:proofErr w:type="gramStart"/>
      <w:r>
        <w:rPr>
          <w:i/>
          <w:lang w:val="en-US"/>
        </w:rPr>
        <w:t>Cf.</w:t>
      </w:r>
      <w:r w:rsidRPr="00FB36A3">
        <w:rPr>
          <w:lang w:val="en-US"/>
        </w:rPr>
        <w:t xml:space="preserve"> </w:t>
      </w:r>
      <w:r>
        <w:rPr>
          <w:lang w:val="en-US"/>
        </w:rPr>
        <w:t>Paragraph</w:t>
      </w:r>
      <w:r w:rsidRPr="00FB36A3">
        <w:rPr>
          <w:lang w:val="en-US"/>
        </w:rPr>
        <w:t xml:space="preserve"> 279 a) </w:t>
      </w:r>
      <w:r>
        <w:rPr>
          <w:lang w:val="en-US"/>
        </w:rPr>
        <w:t>of the Judgment</w:t>
      </w:r>
      <w:r w:rsidRPr="00FB36A3">
        <w:rPr>
          <w:lang w:val="en-US"/>
        </w:rPr>
        <w:t>.</w:t>
      </w:r>
      <w:proofErr w:type="gramEnd"/>
      <w:r w:rsidRPr="00FB36A3">
        <w:rPr>
          <w:lang w:val="en-US"/>
        </w:rPr>
        <w:t xml:space="preserve"> </w:t>
      </w:r>
    </w:p>
  </w:footnote>
  <w:footnote w:id="366">
    <w:p w14:paraId="349CEC4D" w14:textId="77777777" w:rsidR="00624C98" w:rsidRPr="00FB36A3" w:rsidRDefault="00624C98" w:rsidP="007522DE">
      <w:pPr>
        <w:pStyle w:val="FootnoteText"/>
        <w:tabs>
          <w:tab w:val="left" w:pos="540"/>
        </w:tabs>
        <w:spacing w:after="120"/>
        <w:rPr>
          <w:lang w:val="en-US"/>
        </w:rPr>
      </w:pPr>
      <w:r w:rsidRPr="00FB36A3">
        <w:rPr>
          <w:rStyle w:val="FootnoteReference"/>
          <w:lang w:val="en-US"/>
        </w:rPr>
        <w:footnoteRef/>
      </w:r>
      <w:r w:rsidRPr="00FB36A3">
        <w:rPr>
          <w:lang w:val="en-US"/>
        </w:rPr>
        <w:tab/>
      </w:r>
      <w:r>
        <w:rPr>
          <w:i/>
          <w:lang w:val="en-US"/>
        </w:rPr>
        <w:t>Cf.</w:t>
      </w:r>
      <w:r w:rsidRPr="00FB36A3">
        <w:rPr>
          <w:lang w:val="en-US"/>
        </w:rPr>
        <w:t xml:space="preserve"> </w:t>
      </w:r>
      <w:r>
        <w:rPr>
          <w:lang w:val="en-US"/>
        </w:rPr>
        <w:t>Paragraph</w:t>
      </w:r>
      <w:r w:rsidRPr="00FB36A3">
        <w:rPr>
          <w:lang w:val="en-US"/>
        </w:rPr>
        <w:t xml:space="preserve"> 305 </w:t>
      </w:r>
      <w:r>
        <w:rPr>
          <w:lang w:val="en-US"/>
        </w:rPr>
        <w:t>of the Judgment</w:t>
      </w:r>
      <w:r w:rsidRPr="00FB36A3">
        <w:rPr>
          <w:lang w:val="en-US"/>
        </w:rPr>
        <w:t xml:space="preserve">. </w:t>
      </w:r>
    </w:p>
  </w:footnote>
  <w:footnote w:id="367">
    <w:p w14:paraId="4CBD85B9" w14:textId="77777777" w:rsidR="00624C98" w:rsidRPr="002D0A21" w:rsidRDefault="00624C98" w:rsidP="007522DE">
      <w:pPr>
        <w:spacing w:after="120"/>
        <w:jc w:val="both"/>
        <w:rPr>
          <w:rFonts w:ascii="Verdana" w:hAnsi="Verdana"/>
          <w:bCs/>
          <w:color w:val="000000"/>
          <w:sz w:val="16"/>
          <w:szCs w:val="16"/>
          <w:shd w:val="clear" w:color="auto" w:fill="FFFFFF"/>
          <w:lang w:val="en-US"/>
        </w:rPr>
      </w:pPr>
      <w:r w:rsidRPr="002D0A21">
        <w:rPr>
          <w:rStyle w:val="FootnoteReference"/>
          <w:sz w:val="16"/>
          <w:szCs w:val="16"/>
          <w:lang w:val="en-US"/>
        </w:rPr>
        <w:footnoteRef/>
      </w:r>
      <w:r w:rsidRPr="002D0A21">
        <w:rPr>
          <w:rFonts w:ascii="Verdana" w:hAnsi="Verdana"/>
          <w:sz w:val="16"/>
          <w:szCs w:val="16"/>
          <w:lang w:val="en-US"/>
        </w:rPr>
        <w:t xml:space="preserve"> </w:t>
      </w:r>
      <w:r w:rsidRPr="002D0A21">
        <w:rPr>
          <w:rFonts w:ascii="Verdana" w:hAnsi="Verdana"/>
          <w:sz w:val="16"/>
          <w:szCs w:val="16"/>
          <w:lang w:val="en-US"/>
        </w:rPr>
        <w:tab/>
      </w:r>
      <w:proofErr w:type="gramStart"/>
      <w:r w:rsidRPr="00AA0FEE">
        <w:rPr>
          <w:rStyle w:val="Strong"/>
          <w:rFonts w:ascii="Verdana" w:hAnsi="Verdana"/>
          <w:b w:val="0"/>
          <w:i/>
          <w:color w:val="000000"/>
          <w:sz w:val="16"/>
          <w:szCs w:val="16"/>
          <w:shd w:val="clear" w:color="auto" w:fill="FFFFFF"/>
          <w:lang w:val="en-US"/>
        </w:rPr>
        <w:t>Case of the Sawhoyamaxa Indigenous Community v. Paraguay.</w:t>
      </w:r>
      <w:proofErr w:type="gramEnd"/>
      <w:r w:rsidRPr="00AA0FEE">
        <w:rPr>
          <w:rStyle w:val="Strong"/>
          <w:rFonts w:ascii="Verdana" w:hAnsi="Verdana"/>
          <w:b w:val="0"/>
          <w:i/>
          <w:color w:val="000000"/>
          <w:sz w:val="16"/>
          <w:szCs w:val="16"/>
          <w:shd w:val="clear" w:color="auto" w:fill="FFFFFF"/>
          <w:lang w:val="en-US"/>
        </w:rPr>
        <w:t xml:space="preserve"> </w:t>
      </w:r>
      <w:proofErr w:type="gramStart"/>
      <w:r w:rsidRPr="00AA0FEE">
        <w:rPr>
          <w:rStyle w:val="Strong"/>
          <w:rFonts w:ascii="Verdana" w:hAnsi="Verdana"/>
          <w:b w:val="0"/>
          <w:i/>
          <w:color w:val="000000"/>
          <w:sz w:val="16"/>
          <w:szCs w:val="16"/>
          <w:shd w:val="clear" w:color="auto" w:fill="FFFFFF"/>
          <w:lang w:val="en-US"/>
        </w:rPr>
        <w:t>Merits, Reparations and Costs.</w:t>
      </w:r>
      <w:proofErr w:type="gramEnd"/>
      <w:r w:rsidRPr="00AA0FEE">
        <w:rPr>
          <w:rStyle w:val="Strong"/>
          <w:rFonts w:ascii="Verdana" w:hAnsi="Verdana"/>
          <w:b w:val="0"/>
          <w:color w:val="000000"/>
          <w:sz w:val="16"/>
          <w:szCs w:val="16"/>
          <w:shd w:val="clear" w:color="auto" w:fill="FFFFFF"/>
          <w:lang w:val="en-US"/>
        </w:rPr>
        <w:t xml:space="preserve"> Judgment of March 29, 2006. Series C No. 146, paras. </w:t>
      </w:r>
      <w:proofErr w:type="gramStart"/>
      <w:r w:rsidRPr="00AA0FEE">
        <w:rPr>
          <w:rStyle w:val="Strong"/>
          <w:rFonts w:ascii="Verdana" w:hAnsi="Verdana"/>
          <w:b w:val="0"/>
          <w:color w:val="000000"/>
          <w:sz w:val="16"/>
          <w:szCs w:val="16"/>
          <w:shd w:val="clear" w:color="auto" w:fill="FFFFFF"/>
          <w:lang w:val="en-US"/>
        </w:rPr>
        <w:t>188 to 190 and 194.</w:t>
      </w:r>
      <w:proofErr w:type="gramEnd"/>
    </w:p>
  </w:footnote>
  <w:footnote w:id="368">
    <w:p w14:paraId="1DBFEACB" w14:textId="77777777" w:rsidR="00624C98" w:rsidRPr="002D0A21" w:rsidRDefault="00624C98" w:rsidP="007522DE">
      <w:pPr>
        <w:spacing w:after="120"/>
        <w:jc w:val="both"/>
        <w:rPr>
          <w:rFonts w:ascii="Verdana" w:hAnsi="Verdana"/>
          <w:bCs/>
          <w:color w:val="000000"/>
          <w:sz w:val="16"/>
          <w:szCs w:val="16"/>
          <w:shd w:val="clear" w:color="auto" w:fill="FFFFFF"/>
          <w:lang w:val="en-US"/>
        </w:rPr>
      </w:pPr>
      <w:r w:rsidRPr="002D0A21">
        <w:rPr>
          <w:rStyle w:val="FootnoteReference"/>
          <w:sz w:val="16"/>
          <w:szCs w:val="16"/>
          <w:lang w:val="en-US"/>
        </w:rPr>
        <w:footnoteRef/>
      </w:r>
      <w:r w:rsidRPr="002D0A21">
        <w:rPr>
          <w:rFonts w:ascii="Verdana" w:hAnsi="Verdana"/>
          <w:sz w:val="16"/>
          <w:szCs w:val="16"/>
          <w:lang w:val="en-US"/>
        </w:rPr>
        <w:t xml:space="preserve"> </w:t>
      </w:r>
      <w:r w:rsidRPr="002D0A21">
        <w:rPr>
          <w:rFonts w:ascii="Verdana" w:hAnsi="Verdana"/>
          <w:sz w:val="16"/>
          <w:szCs w:val="16"/>
          <w:lang w:val="en-US"/>
        </w:rPr>
        <w:tab/>
      </w:r>
      <w:r w:rsidRPr="00AA0FEE">
        <w:rPr>
          <w:rStyle w:val="Strong"/>
          <w:rFonts w:ascii="Verdana" w:hAnsi="Verdana"/>
          <w:b w:val="0"/>
          <w:i/>
          <w:color w:val="000000"/>
          <w:sz w:val="16"/>
          <w:szCs w:val="16"/>
          <w:shd w:val="clear" w:color="auto" w:fill="FFFFFF"/>
          <w:lang w:val="en-US"/>
        </w:rPr>
        <w:t xml:space="preserve">Case of the Yean and Bosico Girls v. Dominican Republic. </w:t>
      </w:r>
      <w:proofErr w:type="gramStart"/>
      <w:r w:rsidRPr="00AA0FEE">
        <w:rPr>
          <w:rStyle w:val="Strong"/>
          <w:rFonts w:ascii="Verdana" w:hAnsi="Verdana"/>
          <w:b w:val="0"/>
          <w:i/>
          <w:color w:val="000000"/>
          <w:sz w:val="16"/>
          <w:szCs w:val="16"/>
          <w:shd w:val="clear" w:color="auto" w:fill="FFFFFF"/>
          <w:lang w:val="en-US"/>
        </w:rPr>
        <w:t>Preliminary Objections, Merits, Reparations and Costs</w:t>
      </w:r>
      <w:r w:rsidRPr="00AA0FEE">
        <w:rPr>
          <w:rStyle w:val="Strong"/>
          <w:rFonts w:ascii="Verdana" w:hAnsi="Verdana"/>
          <w:b w:val="0"/>
          <w:color w:val="000000"/>
          <w:sz w:val="16"/>
          <w:szCs w:val="16"/>
          <w:shd w:val="clear" w:color="auto" w:fill="FFFFFF"/>
          <w:lang w:val="en-US"/>
        </w:rPr>
        <w:t>.</w:t>
      </w:r>
      <w:proofErr w:type="gramEnd"/>
      <w:r w:rsidRPr="00AA0FEE">
        <w:rPr>
          <w:rStyle w:val="Strong"/>
          <w:rFonts w:ascii="Verdana" w:hAnsi="Verdana"/>
          <w:b w:val="0"/>
          <w:color w:val="000000"/>
          <w:sz w:val="16"/>
          <w:szCs w:val="16"/>
          <w:shd w:val="clear" w:color="auto" w:fill="FFFFFF"/>
          <w:lang w:val="en-US"/>
        </w:rPr>
        <w:t xml:space="preserve"> Judgment of September 8, 2005. Series C No. 130, paras. 178 to </w:t>
      </w:r>
      <w:proofErr w:type="gramStart"/>
      <w:r w:rsidRPr="00AA0FEE">
        <w:rPr>
          <w:rStyle w:val="Strong"/>
          <w:rFonts w:ascii="Verdana" w:hAnsi="Verdana"/>
          <w:b w:val="0"/>
          <w:color w:val="000000"/>
          <w:sz w:val="16"/>
          <w:szCs w:val="16"/>
          <w:shd w:val="clear" w:color="auto" w:fill="FFFFFF"/>
          <w:lang w:val="en-US"/>
        </w:rPr>
        <w:t>180,</w:t>
      </w:r>
      <w:proofErr w:type="gramEnd"/>
      <w:r w:rsidRPr="00AA0FEE">
        <w:rPr>
          <w:rStyle w:val="Strong"/>
          <w:rFonts w:ascii="Verdana" w:hAnsi="Verdana"/>
          <w:b w:val="0"/>
          <w:color w:val="000000"/>
          <w:sz w:val="16"/>
          <w:szCs w:val="16"/>
          <w:shd w:val="clear" w:color="auto" w:fill="FFFFFF"/>
          <w:lang w:val="en-US"/>
        </w:rPr>
        <w:t xml:space="preserve"> and </w:t>
      </w:r>
      <w:r w:rsidRPr="00AA0FEE">
        <w:rPr>
          <w:rStyle w:val="Strong"/>
          <w:rFonts w:ascii="Verdana" w:hAnsi="Verdana"/>
          <w:b w:val="0"/>
          <w:i/>
          <w:color w:val="000000"/>
          <w:sz w:val="16"/>
          <w:szCs w:val="16"/>
          <w:shd w:val="clear" w:color="auto" w:fill="FFFFFF"/>
          <w:lang w:val="en-US"/>
        </w:rPr>
        <w:t xml:space="preserve">Case of Expelled Dominicans and Haitians v. Dominican Republic. </w:t>
      </w:r>
      <w:proofErr w:type="gramStart"/>
      <w:r w:rsidRPr="00AA0FEE">
        <w:rPr>
          <w:rStyle w:val="Strong"/>
          <w:rFonts w:ascii="Verdana" w:hAnsi="Verdana"/>
          <w:b w:val="0"/>
          <w:i/>
          <w:color w:val="000000"/>
          <w:sz w:val="16"/>
          <w:szCs w:val="16"/>
          <w:shd w:val="clear" w:color="auto" w:fill="FFFFFF"/>
          <w:lang w:val="en-US"/>
        </w:rPr>
        <w:t>Preliminary Objections, Merits, Reparations and Costs.</w:t>
      </w:r>
      <w:proofErr w:type="gramEnd"/>
      <w:r w:rsidRPr="00AA0FEE">
        <w:rPr>
          <w:rStyle w:val="Strong"/>
          <w:rFonts w:ascii="Verdana" w:hAnsi="Verdana"/>
          <w:b w:val="0"/>
          <w:color w:val="000000"/>
          <w:sz w:val="16"/>
          <w:szCs w:val="16"/>
          <w:shd w:val="clear" w:color="auto" w:fill="FFFFFF"/>
          <w:lang w:val="en-US"/>
        </w:rPr>
        <w:t xml:space="preserve"> Judgment of August 28, 2014. Series C No. 282, paras. </w:t>
      </w:r>
      <w:proofErr w:type="gramStart"/>
      <w:r w:rsidRPr="00AA0FEE">
        <w:rPr>
          <w:rStyle w:val="Strong"/>
          <w:rFonts w:ascii="Verdana" w:hAnsi="Verdana"/>
          <w:b w:val="0"/>
          <w:color w:val="000000"/>
          <w:sz w:val="16"/>
          <w:szCs w:val="16"/>
          <w:shd w:val="clear" w:color="auto" w:fill="FFFFFF"/>
          <w:lang w:val="en-US"/>
        </w:rPr>
        <w:t>265 to 268.</w:t>
      </w:r>
      <w:proofErr w:type="gramEnd"/>
    </w:p>
  </w:footnote>
  <w:footnote w:id="369">
    <w:p w14:paraId="669F2664" w14:textId="77777777" w:rsidR="00624C98" w:rsidRPr="002D0A21" w:rsidRDefault="00624C98" w:rsidP="007522DE">
      <w:pPr>
        <w:pStyle w:val="FootnoteText"/>
        <w:spacing w:after="120"/>
        <w:rPr>
          <w:lang w:val="en-US"/>
        </w:rPr>
      </w:pPr>
      <w:r w:rsidRPr="002D0A21">
        <w:rPr>
          <w:rStyle w:val="FootnoteReference"/>
          <w:lang w:val="en-US"/>
        </w:rPr>
        <w:footnoteRef/>
      </w:r>
      <w:r w:rsidRPr="002D0A21">
        <w:rPr>
          <w:lang w:val="en-US"/>
        </w:rPr>
        <w:t xml:space="preserve"> </w:t>
      </w:r>
      <w:r w:rsidRPr="002D0A21">
        <w:rPr>
          <w:lang w:val="en-US"/>
        </w:rPr>
        <w:tab/>
      </w:r>
      <w:proofErr w:type="gramStart"/>
      <w:r w:rsidRPr="00AA0FEE">
        <w:rPr>
          <w:rStyle w:val="Strong"/>
          <w:b w:val="0"/>
          <w:i/>
          <w:color w:val="000000"/>
          <w:shd w:val="clear" w:color="auto" w:fill="FFFFFF"/>
          <w:lang w:val="en-US"/>
        </w:rPr>
        <w:t>Case of Anzualdo Castro v. Peru.</w:t>
      </w:r>
      <w:proofErr w:type="gramEnd"/>
      <w:r w:rsidRPr="00AA0FEE">
        <w:rPr>
          <w:rStyle w:val="Strong"/>
          <w:b w:val="0"/>
          <w:i/>
          <w:color w:val="000000"/>
          <w:shd w:val="clear" w:color="auto" w:fill="FFFFFF"/>
          <w:lang w:val="en-US"/>
        </w:rPr>
        <w:t xml:space="preserve"> </w:t>
      </w:r>
      <w:proofErr w:type="gramStart"/>
      <w:r w:rsidRPr="00AA0FEE">
        <w:rPr>
          <w:rStyle w:val="Strong"/>
          <w:b w:val="0"/>
          <w:i/>
          <w:color w:val="000000"/>
          <w:shd w:val="clear" w:color="auto" w:fill="FFFFFF"/>
          <w:lang w:val="en-US"/>
        </w:rPr>
        <w:t>Preliminary Objection, Merits, Reparations and Costs.</w:t>
      </w:r>
      <w:proofErr w:type="gramEnd"/>
      <w:r w:rsidRPr="00AA0FEE">
        <w:rPr>
          <w:rStyle w:val="Strong"/>
          <w:b w:val="0"/>
          <w:i/>
          <w:color w:val="000000"/>
          <w:shd w:val="clear" w:color="auto" w:fill="FFFFFF"/>
          <w:lang w:val="en-US"/>
        </w:rPr>
        <w:t xml:space="preserve"> </w:t>
      </w:r>
      <w:r w:rsidRPr="00AA0FEE">
        <w:rPr>
          <w:rStyle w:val="Strong"/>
          <w:b w:val="0"/>
          <w:color w:val="000000"/>
          <w:shd w:val="clear" w:color="auto" w:fill="FFFFFF"/>
          <w:lang w:val="en-US"/>
        </w:rPr>
        <w:t xml:space="preserve">Judgment of September 22, 2009. Series C No. 202, paras. </w:t>
      </w:r>
      <w:proofErr w:type="gramStart"/>
      <w:r w:rsidRPr="00AA0FEE">
        <w:rPr>
          <w:rStyle w:val="Strong"/>
          <w:b w:val="0"/>
          <w:color w:val="000000"/>
          <w:shd w:val="clear" w:color="auto" w:fill="FFFFFF"/>
          <w:lang w:val="en-US"/>
        </w:rPr>
        <w:t>87 to 91 and 101.</w:t>
      </w:r>
      <w:proofErr w:type="gramEnd"/>
    </w:p>
  </w:footnote>
  <w:footnote w:id="370">
    <w:p w14:paraId="0290B076" w14:textId="77777777" w:rsidR="00624C98" w:rsidRPr="002D0A21" w:rsidRDefault="00624C98" w:rsidP="007522DE">
      <w:pPr>
        <w:pStyle w:val="FootnoteText"/>
        <w:spacing w:after="120"/>
        <w:rPr>
          <w:lang w:val="en-US"/>
        </w:rPr>
      </w:pPr>
      <w:r w:rsidRPr="002D0A21">
        <w:rPr>
          <w:rStyle w:val="FootnoteReference"/>
          <w:lang w:val="en-US"/>
        </w:rPr>
        <w:footnoteRef/>
      </w:r>
      <w:r w:rsidRPr="002D0A21">
        <w:rPr>
          <w:lang w:val="en-US"/>
        </w:rPr>
        <w:t xml:space="preserve"> </w:t>
      </w:r>
      <w:r w:rsidRPr="002D0A21">
        <w:rPr>
          <w:lang w:val="en-US"/>
        </w:rPr>
        <w:tab/>
        <w:t>I find it preferable to reserve the use of the expression</w:t>
      </w:r>
      <w:r>
        <w:rPr>
          <w:lang w:val="en-US"/>
        </w:rPr>
        <w:t xml:space="preserve"> </w:t>
      </w:r>
      <w:r>
        <w:rPr>
          <w:i/>
          <w:lang w:val="en-US"/>
        </w:rPr>
        <w:t>“</w:t>
      </w:r>
      <w:r w:rsidRPr="00EE5175">
        <w:rPr>
          <w:i/>
          <w:lang w:val="en-US"/>
        </w:rPr>
        <w:t>juridical</w:t>
      </w:r>
      <w:r w:rsidRPr="00497730">
        <w:rPr>
          <w:i/>
          <w:lang w:val="en-US"/>
        </w:rPr>
        <w:t xml:space="preserve"> personality</w:t>
      </w:r>
      <w:r w:rsidRPr="00EE5175">
        <w:rPr>
          <w:i/>
          <w:lang w:val="en-US"/>
        </w:rPr>
        <w:t>” [</w:t>
      </w:r>
      <w:r w:rsidRPr="002D0A21">
        <w:rPr>
          <w:i/>
          <w:lang w:val="en-US"/>
        </w:rPr>
        <w:t>personalidad jurídica</w:t>
      </w:r>
      <w:r w:rsidRPr="00EE5175">
        <w:rPr>
          <w:i/>
          <w:lang w:val="en-US"/>
        </w:rPr>
        <w:t>]</w:t>
      </w:r>
      <w:r w:rsidRPr="002D0A21">
        <w:rPr>
          <w:lang w:val="en-US"/>
        </w:rPr>
        <w:t xml:space="preserve"> to si</w:t>
      </w:r>
      <w:r>
        <w:rPr>
          <w:lang w:val="en-US"/>
        </w:rPr>
        <w:t>tuations covered by Article 3 of</w:t>
      </w:r>
      <w:r w:rsidRPr="002D0A21">
        <w:rPr>
          <w:lang w:val="en-US"/>
        </w:rPr>
        <w:t xml:space="preserve"> the Convention (the right of every human being to recognition as a person before the law) and, instead, speak of </w:t>
      </w:r>
      <w:r w:rsidRPr="00EE5175">
        <w:rPr>
          <w:i/>
          <w:lang w:val="en-US"/>
        </w:rPr>
        <w:t>“legal status”</w:t>
      </w:r>
      <w:r w:rsidRPr="002D0A21">
        <w:rPr>
          <w:lang w:val="en-US"/>
        </w:rPr>
        <w:t xml:space="preserve"> </w:t>
      </w:r>
      <w:r w:rsidRPr="00EE5175">
        <w:rPr>
          <w:i/>
          <w:lang w:val="en-US"/>
        </w:rPr>
        <w:t>[</w:t>
      </w:r>
      <w:r w:rsidRPr="002D0A21">
        <w:rPr>
          <w:i/>
          <w:lang w:val="en-US"/>
        </w:rPr>
        <w:t>personería jurídica</w:t>
      </w:r>
      <w:r w:rsidRPr="00EE5175">
        <w:rPr>
          <w:i/>
          <w:lang w:val="en-US"/>
        </w:rPr>
        <w:t>]</w:t>
      </w:r>
      <w:r w:rsidRPr="002D0A21">
        <w:rPr>
          <w:lang w:val="en-US"/>
        </w:rPr>
        <w:t xml:space="preserve"> for cases in which the condition of subject of rights and obligations is attributed to a group, community or people. </w:t>
      </w:r>
    </w:p>
  </w:footnote>
  <w:footnote w:id="371">
    <w:p w14:paraId="03CE4216" w14:textId="77777777" w:rsidR="00624C98" w:rsidRPr="002D0A21" w:rsidRDefault="00624C98" w:rsidP="007522DE">
      <w:pPr>
        <w:spacing w:after="120"/>
        <w:jc w:val="both"/>
        <w:rPr>
          <w:rFonts w:ascii="Verdana" w:hAnsi="Verdana"/>
          <w:bCs/>
          <w:color w:val="000000"/>
          <w:sz w:val="16"/>
          <w:szCs w:val="16"/>
          <w:shd w:val="clear" w:color="auto" w:fill="FFFFFF"/>
          <w:lang w:val="en-US"/>
        </w:rPr>
      </w:pPr>
      <w:r w:rsidRPr="002D0A21">
        <w:rPr>
          <w:rStyle w:val="FootnoteReference"/>
          <w:sz w:val="16"/>
          <w:szCs w:val="16"/>
          <w:lang w:val="en-US"/>
        </w:rPr>
        <w:footnoteRef/>
      </w:r>
      <w:r w:rsidRPr="002D0A21">
        <w:rPr>
          <w:rFonts w:ascii="Verdana" w:hAnsi="Verdana"/>
          <w:sz w:val="16"/>
          <w:szCs w:val="16"/>
          <w:lang w:val="en-US"/>
        </w:rPr>
        <w:t xml:space="preserve"> </w:t>
      </w:r>
      <w:r w:rsidRPr="002D0A21">
        <w:rPr>
          <w:rFonts w:ascii="Verdana" w:hAnsi="Verdana"/>
          <w:sz w:val="16"/>
          <w:szCs w:val="16"/>
          <w:lang w:val="en-US"/>
        </w:rPr>
        <w:tab/>
      </w:r>
      <w:proofErr w:type="gramStart"/>
      <w:r w:rsidRPr="00AA0FEE">
        <w:rPr>
          <w:rStyle w:val="Strong"/>
          <w:rFonts w:ascii="Verdana" w:hAnsi="Verdana"/>
          <w:b w:val="0"/>
          <w:i/>
          <w:color w:val="000000"/>
          <w:sz w:val="16"/>
          <w:szCs w:val="16"/>
          <w:shd w:val="clear" w:color="auto" w:fill="FFFFFF"/>
          <w:lang w:val="en-US"/>
        </w:rPr>
        <w:t>Case of the Saramaka People v. Suriname.</w:t>
      </w:r>
      <w:proofErr w:type="gramEnd"/>
      <w:r w:rsidRPr="00AA0FEE">
        <w:rPr>
          <w:rStyle w:val="Strong"/>
          <w:rFonts w:ascii="Verdana" w:hAnsi="Verdana"/>
          <w:b w:val="0"/>
          <w:i/>
          <w:color w:val="000000"/>
          <w:sz w:val="16"/>
          <w:szCs w:val="16"/>
          <w:shd w:val="clear" w:color="auto" w:fill="FFFFFF"/>
          <w:lang w:val="en-US"/>
        </w:rPr>
        <w:t xml:space="preserve"> </w:t>
      </w:r>
      <w:proofErr w:type="gramStart"/>
      <w:r w:rsidRPr="00AA0FEE">
        <w:rPr>
          <w:rStyle w:val="Strong"/>
          <w:rFonts w:ascii="Verdana" w:hAnsi="Verdana"/>
          <w:b w:val="0"/>
          <w:i/>
          <w:color w:val="000000"/>
          <w:sz w:val="16"/>
          <w:szCs w:val="16"/>
          <w:shd w:val="clear" w:color="auto" w:fill="FFFFFF"/>
          <w:lang w:val="en-US"/>
        </w:rPr>
        <w:t>Preliminary Objections, Merits, Reparations and Costs.</w:t>
      </w:r>
      <w:proofErr w:type="gramEnd"/>
      <w:r w:rsidRPr="00AA0FEE">
        <w:rPr>
          <w:rStyle w:val="Strong"/>
          <w:rFonts w:ascii="Verdana" w:hAnsi="Verdana"/>
          <w:b w:val="0"/>
          <w:color w:val="000000"/>
          <w:sz w:val="16"/>
          <w:szCs w:val="16"/>
          <w:shd w:val="clear" w:color="auto" w:fill="FFFFFF"/>
          <w:lang w:val="en-US"/>
        </w:rPr>
        <w:t xml:space="preserve"> Judgment of November 28, 2007. Series C No. 172, paras. </w:t>
      </w:r>
      <w:proofErr w:type="gramStart"/>
      <w:r w:rsidRPr="00AA0FEE">
        <w:rPr>
          <w:rStyle w:val="Strong"/>
          <w:rFonts w:ascii="Verdana" w:hAnsi="Verdana"/>
          <w:b w:val="0"/>
          <w:color w:val="000000"/>
          <w:sz w:val="16"/>
          <w:szCs w:val="16"/>
          <w:shd w:val="clear" w:color="auto" w:fill="FFFFFF"/>
          <w:lang w:val="en-US"/>
        </w:rPr>
        <w:t>171 and 172.</w:t>
      </w:r>
      <w:proofErr w:type="gramEnd"/>
    </w:p>
  </w:footnote>
  <w:footnote w:id="372">
    <w:p w14:paraId="1ACA07B6" w14:textId="77777777" w:rsidR="00624C98" w:rsidRPr="002D0A21" w:rsidRDefault="00624C98" w:rsidP="007522DE">
      <w:pPr>
        <w:pStyle w:val="FootnoteText"/>
        <w:spacing w:after="120"/>
        <w:rPr>
          <w:lang w:val="en-US"/>
        </w:rPr>
      </w:pPr>
      <w:r w:rsidRPr="002D0A21">
        <w:rPr>
          <w:rStyle w:val="FootnoteReference"/>
          <w:lang w:val="en-US"/>
        </w:rPr>
        <w:footnoteRef/>
      </w:r>
      <w:r w:rsidRPr="002D0A21">
        <w:rPr>
          <w:lang w:val="en-US"/>
        </w:rPr>
        <w:t xml:space="preserve"> </w:t>
      </w:r>
      <w:r w:rsidRPr="002D0A21">
        <w:rPr>
          <w:lang w:val="en-US"/>
        </w:rPr>
        <w:tab/>
        <w:t xml:space="preserve">In the case of the Saramaka People, incongruously, the Court ended by declaring “the violation of the right of the members of the Saramaka People to recognition of their juridical personality pursuant to Article 3 of the Convention in relation to their right to property under Article 21 thereof, and the right to judicial protection under Article 5 of this same instrument, as well as with regard to the general obligation of </w:t>
      </w:r>
      <w:r>
        <w:rPr>
          <w:lang w:val="en-US"/>
        </w:rPr>
        <w:t xml:space="preserve">the </w:t>
      </w:r>
      <w:r w:rsidRPr="002D0A21">
        <w:rPr>
          <w:lang w:val="en-US"/>
        </w:rPr>
        <w:t>State to adopt the legislative or other measures required to make those rights effective and to respect and ensure their free and full exercise without discrimination, in accordance with Articles 2 and 1(1) of the Convention, respectively.” This was an evident inconsistency which the Court should not repeat.</w:t>
      </w:r>
    </w:p>
  </w:footnote>
  <w:footnote w:id="373">
    <w:p w14:paraId="539680B1" w14:textId="77777777" w:rsidR="00624C98" w:rsidRPr="00AA0FEE" w:rsidRDefault="00624C98" w:rsidP="007522DE">
      <w:pPr>
        <w:spacing w:after="120"/>
        <w:jc w:val="both"/>
        <w:rPr>
          <w:rFonts w:ascii="Verdana" w:hAnsi="Verdana"/>
          <w:bCs/>
          <w:color w:val="000000"/>
          <w:sz w:val="16"/>
          <w:szCs w:val="16"/>
          <w:shd w:val="clear" w:color="auto" w:fill="FFFFFF"/>
          <w:lang w:val="en-US"/>
        </w:rPr>
      </w:pPr>
      <w:r w:rsidRPr="002D0A21">
        <w:rPr>
          <w:rStyle w:val="FootnoteReference"/>
          <w:sz w:val="16"/>
          <w:szCs w:val="16"/>
          <w:lang w:val="en-US"/>
        </w:rPr>
        <w:footnoteRef/>
      </w:r>
      <w:r w:rsidRPr="002D0A21">
        <w:rPr>
          <w:rFonts w:ascii="Verdana" w:hAnsi="Verdana"/>
          <w:sz w:val="16"/>
          <w:szCs w:val="16"/>
          <w:lang w:val="en-US"/>
        </w:rPr>
        <w:t xml:space="preserve"> </w:t>
      </w:r>
      <w:r w:rsidRPr="002D0A21">
        <w:rPr>
          <w:rFonts w:ascii="Verdana" w:hAnsi="Verdana"/>
          <w:sz w:val="16"/>
          <w:szCs w:val="16"/>
          <w:lang w:val="en-US"/>
        </w:rPr>
        <w:tab/>
      </w:r>
      <w:proofErr w:type="gramStart"/>
      <w:r w:rsidRPr="00AA0FEE">
        <w:rPr>
          <w:rStyle w:val="Strong"/>
          <w:rFonts w:ascii="Verdana" w:hAnsi="Verdana"/>
          <w:b w:val="0"/>
          <w:i/>
          <w:color w:val="000000"/>
          <w:sz w:val="16"/>
          <w:szCs w:val="16"/>
          <w:shd w:val="clear" w:color="auto" w:fill="FFFFFF"/>
          <w:lang w:val="en-US"/>
        </w:rPr>
        <w:t>Case of the Kichwa Indigenous People of Sarayaku v. Ecuador.</w:t>
      </w:r>
      <w:proofErr w:type="gramEnd"/>
      <w:r w:rsidRPr="00AA0FEE">
        <w:rPr>
          <w:rStyle w:val="Strong"/>
          <w:rFonts w:ascii="Verdana" w:hAnsi="Verdana"/>
          <w:b w:val="0"/>
          <w:i/>
          <w:color w:val="000000"/>
          <w:sz w:val="16"/>
          <w:szCs w:val="16"/>
          <w:shd w:val="clear" w:color="auto" w:fill="FFFFFF"/>
          <w:lang w:val="en-US"/>
        </w:rPr>
        <w:t xml:space="preserve"> </w:t>
      </w:r>
      <w:proofErr w:type="gramStart"/>
      <w:r w:rsidRPr="00AA0FEE">
        <w:rPr>
          <w:rStyle w:val="Strong"/>
          <w:rFonts w:ascii="Verdana" w:hAnsi="Verdana"/>
          <w:b w:val="0"/>
          <w:i/>
          <w:color w:val="000000"/>
          <w:sz w:val="16"/>
          <w:szCs w:val="16"/>
          <w:shd w:val="clear" w:color="auto" w:fill="FFFFFF"/>
          <w:lang w:val="en-US"/>
        </w:rPr>
        <w:t>Merits and Reparations.</w:t>
      </w:r>
      <w:proofErr w:type="gramEnd"/>
      <w:r w:rsidRPr="00AA0FEE">
        <w:rPr>
          <w:rStyle w:val="Strong"/>
          <w:rFonts w:ascii="Verdana" w:hAnsi="Verdana"/>
          <w:b w:val="0"/>
          <w:color w:val="000000"/>
          <w:sz w:val="16"/>
          <w:szCs w:val="16"/>
          <w:shd w:val="clear" w:color="auto" w:fill="FFFFFF"/>
          <w:lang w:val="en-US"/>
        </w:rPr>
        <w:t xml:space="preserve"> Judgment of June 27, 2012. Series C No. 245, para. 230.</w:t>
      </w:r>
    </w:p>
  </w:footnote>
  <w:footnote w:id="374">
    <w:p w14:paraId="4FD3E59C" w14:textId="77777777" w:rsidR="00624C98" w:rsidRPr="00AA0FEE" w:rsidRDefault="00624C98" w:rsidP="007522DE">
      <w:pPr>
        <w:spacing w:after="120"/>
        <w:jc w:val="both"/>
        <w:rPr>
          <w:rFonts w:ascii="Verdana" w:hAnsi="Verdana"/>
          <w:sz w:val="16"/>
          <w:szCs w:val="16"/>
          <w:lang w:val="en-US"/>
        </w:rPr>
      </w:pPr>
      <w:r w:rsidRPr="00AA0FEE">
        <w:rPr>
          <w:rStyle w:val="FootnoteReference"/>
          <w:sz w:val="16"/>
          <w:szCs w:val="16"/>
          <w:lang w:val="en-US"/>
        </w:rPr>
        <w:footnoteRef/>
      </w:r>
      <w:r w:rsidRPr="00AA0FEE">
        <w:rPr>
          <w:rFonts w:ascii="Verdana" w:hAnsi="Verdana"/>
          <w:sz w:val="16"/>
          <w:szCs w:val="16"/>
          <w:lang w:val="en-US"/>
        </w:rPr>
        <w:t xml:space="preserve"> </w:t>
      </w:r>
      <w:r w:rsidRPr="00AA0FEE">
        <w:rPr>
          <w:rFonts w:ascii="Verdana" w:hAnsi="Verdana"/>
          <w:sz w:val="16"/>
          <w:szCs w:val="16"/>
          <w:lang w:val="en-US"/>
        </w:rPr>
        <w:tab/>
      </w:r>
      <w:proofErr w:type="gramStart"/>
      <w:r w:rsidRPr="00AA0FEE">
        <w:rPr>
          <w:rStyle w:val="Strong"/>
          <w:rFonts w:ascii="Verdana" w:hAnsi="Verdana"/>
          <w:b w:val="0"/>
          <w:i/>
          <w:color w:val="000000"/>
          <w:sz w:val="16"/>
          <w:szCs w:val="16"/>
          <w:shd w:val="clear" w:color="auto" w:fill="FFFFFF"/>
          <w:lang w:val="en-US"/>
        </w:rPr>
        <w:t>Case of the Kaliña and Lokono Peoples v. Suriname.</w:t>
      </w:r>
      <w:proofErr w:type="gramEnd"/>
      <w:r w:rsidRPr="00AA0FEE">
        <w:rPr>
          <w:rStyle w:val="Strong"/>
          <w:rFonts w:ascii="Verdana" w:hAnsi="Verdana"/>
          <w:b w:val="0"/>
          <w:i/>
          <w:color w:val="000000"/>
          <w:sz w:val="16"/>
          <w:szCs w:val="16"/>
          <w:shd w:val="clear" w:color="auto" w:fill="FFFFFF"/>
          <w:lang w:val="en-US"/>
        </w:rPr>
        <w:t xml:space="preserve"> </w:t>
      </w:r>
      <w:proofErr w:type="gramStart"/>
      <w:r w:rsidRPr="00AA0FEE">
        <w:rPr>
          <w:rStyle w:val="Strong"/>
          <w:rFonts w:ascii="Verdana" w:hAnsi="Verdana"/>
          <w:b w:val="0"/>
          <w:i/>
          <w:color w:val="000000"/>
          <w:sz w:val="16"/>
          <w:szCs w:val="16"/>
          <w:shd w:val="clear" w:color="auto" w:fill="FFFFFF"/>
          <w:lang w:val="en-US"/>
        </w:rPr>
        <w:t>Merits, Reparations and Costs.</w:t>
      </w:r>
      <w:proofErr w:type="gramEnd"/>
      <w:r w:rsidRPr="00AA0FEE">
        <w:rPr>
          <w:rStyle w:val="Strong"/>
          <w:rFonts w:ascii="Verdana" w:hAnsi="Verdana"/>
          <w:b w:val="0"/>
          <w:color w:val="000000"/>
          <w:sz w:val="16"/>
          <w:szCs w:val="16"/>
          <w:shd w:val="clear" w:color="auto" w:fill="FFFFFF"/>
          <w:lang w:val="en-US"/>
        </w:rPr>
        <w:t xml:space="preserve"> </w:t>
      </w:r>
      <w:proofErr w:type="gramStart"/>
      <w:r w:rsidRPr="00AA0FEE">
        <w:rPr>
          <w:rStyle w:val="Strong"/>
          <w:rFonts w:ascii="Verdana" w:hAnsi="Verdana"/>
          <w:b w:val="0"/>
          <w:color w:val="000000"/>
          <w:sz w:val="16"/>
          <w:szCs w:val="16"/>
          <w:shd w:val="clear" w:color="auto" w:fill="FFFFFF"/>
          <w:lang w:val="en-US"/>
        </w:rPr>
        <w:t>Judgment of November 25, 2015, para.</w:t>
      </w:r>
      <w:proofErr w:type="gramEnd"/>
      <w:r w:rsidRPr="00AA0FEE">
        <w:rPr>
          <w:rStyle w:val="Strong"/>
          <w:rFonts w:ascii="Verdana" w:hAnsi="Verdana"/>
          <w:b w:val="0"/>
          <w:color w:val="000000"/>
          <w:sz w:val="16"/>
          <w:szCs w:val="16"/>
          <w:shd w:val="clear" w:color="auto" w:fill="FFFFFF"/>
          <w:lang w:val="en-US"/>
        </w:rPr>
        <w:t xml:space="preserve"> 259.</w:t>
      </w:r>
    </w:p>
  </w:footnote>
  <w:footnote w:id="375">
    <w:p w14:paraId="0F1C6D50" w14:textId="77777777" w:rsidR="00624C98" w:rsidRPr="002D0A21" w:rsidRDefault="00624C98" w:rsidP="007522DE">
      <w:pPr>
        <w:pStyle w:val="FootnoteText"/>
        <w:spacing w:after="120"/>
        <w:rPr>
          <w:lang w:val="en-US"/>
        </w:rPr>
      </w:pPr>
      <w:r w:rsidRPr="00AA0FEE">
        <w:rPr>
          <w:rStyle w:val="FootnoteReference"/>
          <w:lang w:val="en-US"/>
        </w:rPr>
        <w:footnoteRef/>
      </w:r>
      <w:r w:rsidRPr="00AA0FEE">
        <w:rPr>
          <w:lang w:val="en-US"/>
        </w:rPr>
        <w:t xml:space="preserve"> </w:t>
      </w:r>
      <w:r w:rsidRPr="00AA0FEE">
        <w:rPr>
          <w:lang w:val="en-US"/>
        </w:rPr>
        <w:tab/>
      </w:r>
      <w:proofErr w:type="gramStart"/>
      <w:r w:rsidRPr="00AA0FEE">
        <w:rPr>
          <w:rStyle w:val="Strong"/>
          <w:b w:val="0"/>
          <w:i/>
          <w:color w:val="000000"/>
          <w:shd w:val="clear" w:color="auto" w:fill="FFFFFF"/>
          <w:lang w:val="en-US"/>
        </w:rPr>
        <w:t>Case of the Kaliña and Lokono Peoples</w:t>
      </w:r>
      <w:r w:rsidRPr="00AA0FEE" w:rsidDel="00CE59E4">
        <w:rPr>
          <w:rStyle w:val="Strong"/>
          <w:b w:val="0"/>
          <w:i/>
          <w:color w:val="000000"/>
          <w:shd w:val="clear" w:color="auto" w:fill="FFFFFF"/>
          <w:lang w:val="en-US"/>
        </w:rPr>
        <w:t xml:space="preserve"> </w:t>
      </w:r>
      <w:r w:rsidRPr="00AA0FEE">
        <w:rPr>
          <w:rStyle w:val="Strong"/>
          <w:b w:val="0"/>
          <w:i/>
          <w:color w:val="000000"/>
          <w:shd w:val="clear" w:color="auto" w:fill="FFFFFF"/>
          <w:lang w:val="en-US"/>
        </w:rPr>
        <w:t>v. Suriname, supra</w:t>
      </w:r>
      <w:r w:rsidRPr="00AA0FEE">
        <w:rPr>
          <w:rStyle w:val="Strong"/>
          <w:b w:val="0"/>
          <w:color w:val="000000"/>
          <w:shd w:val="clear" w:color="auto" w:fill="FFFFFF"/>
          <w:lang w:val="en-US"/>
        </w:rPr>
        <w:t>, para.</w:t>
      </w:r>
      <w:proofErr w:type="gramEnd"/>
      <w:r w:rsidRPr="00AA0FEE">
        <w:rPr>
          <w:rStyle w:val="Strong"/>
          <w:b w:val="0"/>
          <w:color w:val="000000"/>
          <w:shd w:val="clear" w:color="auto" w:fill="FFFFFF"/>
          <w:lang w:val="en-US"/>
        </w:rPr>
        <w:t xml:space="preserve"> 260.</w:t>
      </w:r>
    </w:p>
  </w:footnote>
  <w:footnote w:id="376">
    <w:p w14:paraId="509A4F28" w14:textId="77777777" w:rsidR="00624C98" w:rsidRPr="002D0A21" w:rsidRDefault="00624C98" w:rsidP="007522DE">
      <w:pPr>
        <w:pStyle w:val="FootnoteText"/>
        <w:spacing w:after="120"/>
        <w:rPr>
          <w:lang w:val="en-US"/>
        </w:rPr>
      </w:pPr>
      <w:r w:rsidRPr="002D0A21">
        <w:rPr>
          <w:rStyle w:val="FootnoteReference"/>
          <w:lang w:val="en-US"/>
        </w:rPr>
        <w:footnoteRef/>
      </w:r>
      <w:r w:rsidRPr="002D0A21">
        <w:rPr>
          <w:lang w:val="en-US"/>
        </w:rPr>
        <w:t xml:space="preserve"> </w:t>
      </w:r>
      <w:r w:rsidRPr="002D0A21">
        <w:rPr>
          <w:lang w:val="en-US"/>
        </w:rPr>
        <w:tab/>
      </w:r>
      <w:proofErr w:type="gramStart"/>
      <w:r w:rsidRPr="00AA0FEE">
        <w:rPr>
          <w:rStyle w:val="Strong"/>
          <w:b w:val="0"/>
          <w:i/>
          <w:color w:val="000000"/>
          <w:shd w:val="clear" w:color="auto" w:fill="FFFFFF"/>
          <w:lang w:val="en-US"/>
        </w:rPr>
        <w:t>Case of the Kaliña and Lokono Peoples</w:t>
      </w:r>
      <w:r w:rsidRPr="00AA0FEE" w:rsidDel="00CE59E4">
        <w:rPr>
          <w:rStyle w:val="Strong"/>
          <w:b w:val="0"/>
          <w:i/>
          <w:color w:val="000000"/>
          <w:shd w:val="clear" w:color="auto" w:fill="FFFFFF"/>
          <w:lang w:val="en-US"/>
        </w:rPr>
        <w:t xml:space="preserve"> </w:t>
      </w:r>
      <w:r w:rsidRPr="00AA0FEE">
        <w:rPr>
          <w:rStyle w:val="Strong"/>
          <w:b w:val="0"/>
          <w:i/>
          <w:color w:val="000000"/>
          <w:shd w:val="clear" w:color="auto" w:fill="FFFFFF"/>
          <w:lang w:val="en-US"/>
        </w:rPr>
        <w:t>v. Suriname, supra</w:t>
      </w:r>
      <w:r w:rsidRPr="00AA0FEE">
        <w:rPr>
          <w:rStyle w:val="Strong"/>
          <w:b w:val="0"/>
          <w:color w:val="000000"/>
          <w:shd w:val="clear" w:color="auto" w:fill="FFFFFF"/>
          <w:lang w:val="en-US"/>
        </w:rPr>
        <w:t>, para.</w:t>
      </w:r>
      <w:proofErr w:type="gramEnd"/>
      <w:r w:rsidRPr="00AA0FEE">
        <w:rPr>
          <w:rStyle w:val="Strong"/>
          <w:b w:val="0"/>
          <w:color w:val="000000"/>
          <w:shd w:val="clear" w:color="auto" w:fill="FFFFFF"/>
          <w:lang w:val="en-US"/>
        </w:rPr>
        <w:t xml:space="preserve"> 263.</w:t>
      </w:r>
    </w:p>
  </w:footnote>
  <w:footnote w:id="377">
    <w:p w14:paraId="4ADB9B1B" w14:textId="77777777" w:rsidR="00624C98" w:rsidRPr="002D0A21" w:rsidRDefault="00624C98" w:rsidP="007522DE">
      <w:pPr>
        <w:pStyle w:val="FootnoteText"/>
        <w:spacing w:after="120"/>
        <w:rPr>
          <w:lang w:val="en-US"/>
        </w:rPr>
      </w:pPr>
      <w:r w:rsidRPr="002D0A21">
        <w:rPr>
          <w:rStyle w:val="FootnoteReference"/>
          <w:lang w:val="en-US"/>
        </w:rPr>
        <w:footnoteRef/>
      </w:r>
      <w:r w:rsidRPr="002D0A21">
        <w:rPr>
          <w:lang w:val="en-US"/>
        </w:rPr>
        <w:t xml:space="preserve"> </w:t>
      </w:r>
      <w:r w:rsidRPr="002D0A21">
        <w:rPr>
          <w:lang w:val="en-US"/>
        </w:rPr>
        <w:tab/>
      </w:r>
      <w:proofErr w:type="gramStart"/>
      <w:r w:rsidRPr="00AA0FEE">
        <w:rPr>
          <w:rStyle w:val="Strong"/>
          <w:b w:val="0"/>
          <w:i/>
          <w:color w:val="000000"/>
          <w:shd w:val="clear" w:color="auto" w:fill="FFFFFF"/>
          <w:lang w:val="en-US"/>
        </w:rPr>
        <w:t>Case of the Kaliña and Lokono Peoples</w:t>
      </w:r>
      <w:r w:rsidRPr="00AA0FEE" w:rsidDel="00CE59E4">
        <w:rPr>
          <w:rStyle w:val="Strong"/>
          <w:b w:val="0"/>
          <w:i/>
          <w:color w:val="000000"/>
          <w:shd w:val="clear" w:color="auto" w:fill="FFFFFF"/>
          <w:lang w:val="en-US"/>
        </w:rPr>
        <w:t xml:space="preserve"> </w:t>
      </w:r>
      <w:r w:rsidRPr="00AA0FEE">
        <w:rPr>
          <w:rStyle w:val="Strong"/>
          <w:b w:val="0"/>
          <w:i/>
          <w:color w:val="000000"/>
          <w:shd w:val="clear" w:color="auto" w:fill="FFFFFF"/>
          <w:lang w:val="en-US"/>
        </w:rPr>
        <w:t>v. Suriname, supra</w:t>
      </w:r>
      <w:r w:rsidRPr="00AA0FEE">
        <w:rPr>
          <w:rStyle w:val="Strong"/>
          <w:b w:val="0"/>
          <w:color w:val="000000"/>
          <w:shd w:val="clear" w:color="auto" w:fill="FFFFFF"/>
          <w:lang w:val="en-US"/>
        </w:rPr>
        <w:t>, para.</w:t>
      </w:r>
      <w:proofErr w:type="gramEnd"/>
      <w:r w:rsidRPr="002D0A21">
        <w:rPr>
          <w:lang w:val="en-US"/>
        </w:rPr>
        <w:t xml:space="preserve"> 267.</w:t>
      </w:r>
    </w:p>
  </w:footnote>
  <w:footnote w:id="378">
    <w:p w14:paraId="65DA3206" w14:textId="77777777" w:rsidR="00624C98" w:rsidRPr="002D0A21" w:rsidRDefault="00624C98" w:rsidP="007522DE">
      <w:pPr>
        <w:pStyle w:val="FootnoteText"/>
        <w:spacing w:after="120"/>
        <w:rPr>
          <w:lang w:val="en-US"/>
        </w:rPr>
      </w:pPr>
      <w:r w:rsidRPr="002D0A21">
        <w:rPr>
          <w:rStyle w:val="FootnoteReference"/>
          <w:lang w:val="en-US"/>
        </w:rPr>
        <w:footnoteRef/>
      </w:r>
      <w:r w:rsidRPr="002D0A21">
        <w:rPr>
          <w:lang w:val="en-US"/>
        </w:rPr>
        <w:t xml:space="preserve"> </w:t>
      </w:r>
      <w:r w:rsidRPr="002D0A21">
        <w:rPr>
          <w:lang w:val="en-US"/>
        </w:rPr>
        <w:tab/>
        <w:t>“</w:t>
      </w:r>
      <w:r w:rsidRPr="002D0A21">
        <w:rPr>
          <w:rFonts w:cs="Arial"/>
          <w:lang w:val="en-US"/>
        </w:rPr>
        <w:t>Based on the above, in light of the arguments of the parties, the Court finds that the violations that have been alleged relate to four main disputes: (a) the failure to recognize the right to collective property and the absence of delimitation, demarcation and land-titling of the ancestral lands o</w:t>
      </w:r>
      <w:bookmarkStart w:id="105" w:name="_GoBack"/>
      <w:bookmarkEnd w:id="105"/>
      <w:r w:rsidRPr="002D0A21">
        <w:rPr>
          <w:rFonts w:cs="Arial"/>
          <w:lang w:val="en-US"/>
        </w:rPr>
        <w:t>f the Kaliña and Lokono indigenous peoples; (b) the granting of land titles and leases to non-indigenous persons within the territory claimed by the Kaliña and Lokono peoples; (c) the adverse effects on use and enjoyment of the parts of the nature reserves that fall within the alleged traditional territories, and (</w:t>
      </w:r>
      <w:r w:rsidRPr="002D0A21">
        <w:rPr>
          <w:lang w:val="en-US"/>
        </w:rPr>
        <w:t xml:space="preserve">d) the absence of effective participation, by means of a </w:t>
      </w:r>
      <w:r w:rsidRPr="002D0A21">
        <w:rPr>
          <w:rFonts w:cs="Arial"/>
          <w:lang w:val="en-US"/>
        </w:rPr>
        <w:t xml:space="preserve">consultation process, with regard to the mining concessions within one of </w:t>
      </w:r>
      <w:r w:rsidRPr="002D0A21">
        <w:rPr>
          <w:lang w:val="en-US"/>
        </w:rPr>
        <w:t xml:space="preserve">the nature reserves in the ancestral territory.” </w:t>
      </w:r>
      <w:proofErr w:type="gramStart"/>
      <w:r w:rsidRPr="00AA0FEE">
        <w:rPr>
          <w:rStyle w:val="Strong"/>
          <w:b w:val="0"/>
          <w:i/>
          <w:color w:val="000000"/>
          <w:shd w:val="clear" w:color="auto" w:fill="FFFFFF"/>
          <w:lang w:val="en-US"/>
        </w:rPr>
        <w:t>Case of the Kaliña and Lokono Peoples v. Suriname, supra</w:t>
      </w:r>
      <w:r w:rsidRPr="00AA0FEE">
        <w:rPr>
          <w:rStyle w:val="Strong"/>
          <w:b w:val="0"/>
          <w:color w:val="000000"/>
          <w:shd w:val="clear" w:color="auto" w:fill="FFFFFF"/>
          <w:lang w:val="en-US"/>
        </w:rPr>
        <w:t>, para.</w:t>
      </w:r>
      <w:proofErr w:type="gramEnd"/>
      <w:r w:rsidRPr="00AA0FEE">
        <w:rPr>
          <w:rStyle w:val="Strong"/>
          <w:b w:val="0"/>
          <w:color w:val="000000"/>
          <w:shd w:val="clear" w:color="auto" w:fill="FFFFFF"/>
          <w:lang w:val="en-US"/>
        </w:rPr>
        <w:t xml:space="preserve"> 127.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26BE5" w14:textId="77777777" w:rsidR="00624C98" w:rsidRDefault="00624C98" w:rsidP="006B78D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984"/>
    <w:multiLevelType w:val="hybridMultilevel"/>
    <w:tmpl w:val="FC12CDA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11A674A"/>
    <w:multiLevelType w:val="hybridMultilevel"/>
    <w:tmpl w:val="A878B0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2854F72"/>
    <w:multiLevelType w:val="hybridMultilevel"/>
    <w:tmpl w:val="3D80C9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F538B"/>
    <w:multiLevelType w:val="hybridMultilevel"/>
    <w:tmpl w:val="5106D1A6"/>
    <w:lvl w:ilvl="0" w:tplc="86CA5A68">
      <w:start w:val="1"/>
      <w:numFmt w:val="lowerLetter"/>
      <w:lvlText w:val="%1)"/>
      <w:lvlJc w:val="left"/>
      <w:pPr>
        <w:ind w:left="975" w:hanging="615"/>
      </w:pPr>
      <w:rPr>
        <w:rFonts w:asciiTheme="minorHAnsi" w:eastAsiaTheme="minorHAnsi" w:hAnsiTheme="minorHAnsi" w:cstheme="minorBid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E68B8"/>
    <w:multiLevelType w:val="hybridMultilevel"/>
    <w:tmpl w:val="7544287C"/>
    <w:lvl w:ilvl="0" w:tplc="43EAE734">
      <w:start w:val="1"/>
      <w:numFmt w:val="lowerRoman"/>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5">
    <w:nsid w:val="06DB2FC9"/>
    <w:multiLevelType w:val="hybridMultilevel"/>
    <w:tmpl w:val="E5FA3584"/>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nsid w:val="08D7543E"/>
    <w:multiLevelType w:val="hybridMultilevel"/>
    <w:tmpl w:val="C7DE11A8"/>
    <w:lvl w:ilvl="0" w:tplc="7FBA8BD0">
      <w:start w:val="1"/>
      <w:numFmt w:val="lowerLetter"/>
      <w:lvlText w:val="%1)"/>
      <w:lvlJc w:val="left"/>
      <w:pPr>
        <w:ind w:left="942" w:hanging="360"/>
      </w:pPr>
      <w:rPr>
        <w:rFonts w:cs="Arial" w:hint="default"/>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7">
    <w:nsid w:val="09E420C8"/>
    <w:multiLevelType w:val="hybridMultilevel"/>
    <w:tmpl w:val="13C4B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572C89"/>
    <w:multiLevelType w:val="hybridMultilevel"/>
    <w:tmpl w:val="55423018"/>
    <w:lvl w:ilvl="0" w:tplc="849CC154">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9">
    <w:nsid w:val="0C4975F6"/>
    <w:multiLevelType w:val="hybridMultilevel"/>
    <w:tmpl w:val="2580F6CA"/>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nsid w:val="0C7E7081"/>
    <w:multiLevelType w:val="hybridMultilevel"/>
    <w:tmpl w:val="B0FC63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0FFA1D53"/>
    <w:multiLevelType w:val="hybridMultilevel"/>
    <w:tmpl w:val="5106D1A6"/>
    <w:lvl w:ilvl="0" w:tplc="86CA5A68">
      <w:start w:val="1"/>
      <w:numFmt w:val="lowerLetter"/>
      <w:lvlText w:val="%1)"/>
      <w:lvlJc w:val="left"/>
      <w:pPr>
        <w:ind w:left="975" w:hanging="615"/>
      </w:pPr>
      <w:rPr>
        <w:rFonts w:asciiTheme="minorHAnsi" w:eastAsiaTheme="minorHAnsi" w:hAnsiTheme="minorHAnsi" w:cstheme="minorBid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61086E"/>
    <w:multiLevelType w:val="hybridMultilevel"/>
    <w:tmpl w:val="3704E16C"/>
    <w:lvl w:ilvl="0" w:tplc="F0A69672">
      <w:start w:val="1"/>
      <w:numFmt w:val="decimal"/>
      <w:pStyle w:val="Estilo1"/>
      <w:lvlText w:val="%1."/>
      <w:lvlJc w:val="left"/>
      <w:pPr>
        <w:ind w:left="450" w:hanging="360"/>
      </w:pPr>
      <w:rPr>
        <w:rFonts w:hint="default"/>
      </w:rPr>
    </w:lvl>
    <w:lvl w:ilvl="1" w:tplc="870EC26C">
      <w:start w:val="1"/>
      <w:numFmt w:val="lowerLetter"/>
      <w:lvlText w:val="%2)"/>
      <w:lvlJc w:val="left"/>
      <w:pPr>
        <w:ind w:left="1170" w:hanging="360"/>
      </w:pPr>
      <w:rPr>
        <w:rFonts w:ascii="Times New Roman" w:hAnsi="Times New Roman" w:cs="Times New Roman" w:hint="default"/>
        <w:b w:val="0"/>
        <w:i/>
        <w:sz w:val="24"/>
        <w:szCs w:val="24"/>
      </w:rPr>
    </w:lvl>
    <w:lvl w:ilvl="2" w:tplc="380A001B" w:tentative="1">
      <w:start w:val="1"/>
      <w:numFmt w:val="lowerRoman"/>
      <w:lvlText w:val="%3."/>
      <w:lvlJc w:val="right"/>
      <w:pPr>
        <w:ind w:left="1890" w:hanging="180"/>
      </w:pPr>
    </w:lvl>
    <w:lvl w:ilvl="3" w:tplc="380A000F" w:tentative="1">
      <w:start w:val="1"/>
      <w:numFmt w:val="decimal"/>
      <w:lvlText w:val="%4."/>
      <w:lvlJc w:val="left"/>
      <w:pPr>
        <w:ind w:left="2610" w:hanging="360"/>
      </w:pPr>
    </w:lvl>
    <w:lvl w:ilvl="4" w:tplc="380A0019" w:tentative="1">
      <w:start w:val="1"/>
      <w:numFmt w:val="lowerLetter"/>
      <w:lvlText w:val="%5."/>
      <w:lvlJc w:val="left"/>
      <w:pPr>
        <w:ind w:left="3330" w:hanging="360"/>
      </w:pPr>
    </w:lvl>
    <w:lvl w:ilvl="5" w:tplc="380A001B" w:tentative="1">
      <w:start w:val="1"/>
      <w:numFmt w:val="lowerRoman"/>
      <w:lvlText w:val="%6."/>
      <w:lvlJc w:val="right"/>
      <w:pPr>
        <w:ind w:left="4050" w:hanging="180"/>
      </w:pPr>
    </w:lvl>
    <w:lvl w:ilvl="6" w:tplc="380A000F" w:tentative="1">
      <w:start w:val="1"/>
      <w:numFmt w:val="decimal"/>
      <w:lvlText w:val="%7."/>
      <w:lvlJc w:val="left"/>
      <w:pPr>
        <w:ind w:left="4770" w:hanging="360"/>
      </w:pPr>
    </w:lvl>
    <w:lvl w:ilvl="7" w:tplc="380A0019" w:tentative="1">
      <w:start w:val="1"/>
      <w:numFmt w:val="lowerLetter"/>
      <w:lvlText w:val="%8."/>
      <w:lvlJc w:val="left"/>
      <w:pPr>
        <w:ind w:left="5490" w:hanging="360"/>
      </w:pPr>
    </w:lvl>
    <w:lvl w:ilvl="8" w:tplc="380A001B" w:tentative="1">
      <w:start w:val="1"/>
      <w:numFmt w:val="lowerRoman"/>
      <w:lvlText w:val="%9."/>
      <w:lvlJc w:val="right"/>
      <w:pPr>
        <w:ind w:left="6210" w:hanging="180"/>
      </w:pPr>
    </w:lvl>
  </w:abstractNum>
  <w:abstractNum w:abstractNumId="13">
    <w:nsid w:val="12381AF9"/>
    <w:multiLevelType w:val="hybridMultilevel"/>
    <w:tmpl w:val="F2F8B30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136F2E83"/>
    <w:multiLevelType w:val="hybridMultilevel"/>
    <w:tmpl w:val="30467760"/>
    <w:lvl w:ilvl="0" w:tplc="FEAE2600">
      <w:start w:val="1"/>
      <w:numFmt w:val="decimal"/>
      <w:pStyle w:val="Estilo4"/>
      <w:lvlText w:val="%1."/>
      <w:lvlJc w:val="left"/>
      <w:pPr>
        <w:ind w:left="3763" w:hanging="360"/>
      </w:pPr>
      <w:rPr>
        <w:sz w:val="20"/>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15">
    <w:nsid w:val="1543646F"/>
    <w:multiLevelType w:val="hybridMultilevel"/>
    <w:tmpl w:val="60BA482A"/>
    <w:lvl w:ilvl="0" w:tplc="0298BCC2">
      <w:start w:val="1"/>
      <w:numFmt w:val="decimal"/>
      <w:lvlText w:val="%1."/>
      <w:lvlJc w:val="left"/>
      <w:pPr>
        <w:ind w:left="720" w:hanging="360"/>
      </w:pPr>
      <w:rPr>
        <w:rFonts w:ascii="Verdana" w:hAnsi="Verdana" w:hint="default"/>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F6269C"/>
    <w:multiLevelType w:val="hybridMultilevel"/>
    <w:tmpl w:val="84505068"/>
    <w:lvl w:ilvl="0" w:tplc="48D8DC2E">
      <w:start w:val="1"/>
      <w:numFmt w:val="lowerLetter"/>
      <w:lvlText w:val="%1)"/>
      <w:lvlJc w:val="left"/>
      <w:pPr>
        <w:ind w:left="1776" w:hanging="36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17">
    <w:nsid w:val="176B131F"/>
    <w:multiLevelType w:val="hybridMultilevel"/>
    <w:tmpl w:val="1A48B480"/>
    <w:lvl w:ilvl="0" w:tplc="140A0015">
      <w:start w:val="1"/>
      <w:numFmt w:val="upperLetter"/>
      <w:lvlText w:val="%1."/>
      <w:lvlJc w:val="left"/>
      <w:pPr>
        <w:ind w:left="360" w:hanging="360"/>
      </w:pPr>
      <w:rPr>
        <w:rFonts w:hint="default"/>
        <w:color w:val="auto"/>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nsid w:val="1BA665FF"/>
    <w:multiLevelType w:val="hybridMultilevel"/>
    <w:tmpl w:val="6020336E"/>
    <w:lvl w:ilvl="0" w:tplc="E170453C">
      <w:start w:val="206"/>
      <w:numFmt w:val="decimal"/>
      <w:lvlText w:val="%1."/>
      <w:lvlJc w:val="left"/>
      <w:pPr>
        <w:ind w:left="1003" w:hanging="435"/>
      </w:pPr>
      <w:rPr>
        <w:rFonts w:hint="defaul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9">
    <w:nsid w:val="1CE77853"/>
    <w:multiLevelType w:val="hybridMultilevel"/>
    <w:tmpl w:val="81BC84D4"/>
    <w:lvl w:ilvl="0" w:tplc="4CA26230">
      <w:start w:val="1"/>
      <w:numFmt w:val="decimal"/>
      <w:lvlText w:val="%1."/>
      <w:lvlJc w:val="left"/>
      <w:pPr>
        <w:tabs>
          <w:tab w:val="num" w:pos="1080"/>
        </w:tabs>
        <w:ind w:left="360"/>
      </w:pPr>
      <w:rPr>
        <w:rFonts w:ascii="Verdana" w:hAnsi="Verdana" w:cs="Times New Roman" w:hint="default"/>
        <w:b w:val="0"/>
        <w:i w:val="0"/>
        <w:strike w:val="0"/>
        <w:color w:val="auto"/>
        <w:sz w:val="20"/>
      </w:rPr>
    </w:lvl>
    <w:lvl w:ilvl="1" w:tplc="340A0003">
      <w:start w:val="1"/>
      <w:numFmt w:val="lowerLetter"/>
      <w:lvlText w:val="%2."/>
      <w:lvlJc w:val="left"/>
      <w:pPr>
        <w:tabs>
          <w:tab w:val="num" w:pos="1440"/>
        </w:tabs>
        <w:ind w:left="1440" w:hanging="360"/>
      </w:pPr>
      <w:rPr>
        <w:rFonts w:cs="Times New Roman"/>
      </w:rPr>
    </w:lvl>
    <w:lvl w:ilvl="2" w:tplc="340A0005" w:tentative="1">
      <w:start w:val="1"/>
      <w:numFmt w:val="lowerRoman"/>
      <w:lvlText w:val="%3."/>
      <w:lvlJc w:val="right"/>
      <w:pPr>
        <w:tabs>
          <w:tab w:val="num" w:pos="2160"/>
        </w:tabs>
        <w:ind w:left="2160" w:hanging="180"/>
      </w:pPr>
      <w:rPr>
        <w:rFonts w:cs="Times New Roman"/>
      </w:rPr>
    </w:lvl>
    <w:lvl w:ilvl="3" w:tplc="340A0001" w:tentative="1">
      <w:start w:val="1"/>
      <w:numFmt w:val="decimal"/>
      <w:lvlText w:val="%4."/>
      <w:lvlJc w:val="left"/>
      <w:pPr>
        <w:tabs>
          <w:tab w:val="num" w:pos="2880"/>
        </w:tabs>
        <w:ind w:left="2880" w:hanging="360"/>
      </w:pPr>
      <w:rPr>
        <w:rFonts w:cs="Times New Roman"/>
      </w:rPr>
    </w:lvl>
    <w:lvl w:ilvl="4" w:tplc="340A0003" w:tentative="1">
      <w:start w:val="1"/>
      <w:numFmt w:val="lowerLetter"/>
      <w:lvlText w:val="%5."/>
      <w:lvlJc w:val="left"/>
      <w:pPr>
        <w:tabs>
          <w:tab w:val="num" w:pos="3600"/>
        </w:tabs>
        <w:ind w:left="3600" w:hanging="360"/>
      </w:pPr>
      <w:rPr>
        <w:rFonts w:cs="Times New Roman"/>
      </w:rPr>
    </w:lvl>
    <w:lvl w:ilvl="5" w:tplc="340A0005" w:tentative="1">
      <w:start w:val="1"/>
      <w:numFmt w:val="lowerRoman"/>
      <w:lvlText w:val="%6."/>
      <w:lvlJc w:val="right"/>
      <w:pPr>
        <w:tabs>
          <w:tab w:val="num" w:pos="4320"/>
        </w:tabs>
        <w:ind w:left="4320" w:hanging="180"/>
      </w:pPr>
      <w:rPr>
        <w:rFonts w:cs="Times New Roman"/>
      </w:rPr>
    </w:lvl>
    <w:lvl w:ilvl="6" w:tplc="340A0001" w:tentative="1">
      <w:start w:val="1"/>
      <w:numFmt w:val="decimal"/>
      <w:lvlText w:val="%7."/>
      <w:lvlJc w:val="left"/>
      <w:pPr>
        <w:tabs>
          <w:tab w:val="num" w:pos="5040"/>
        </w:tabs>
        <w:ind w:left="5040" w:hanging="360"/>
      </w:pPr>
      <w:rPr>
        <w:rFonts w:cs="Times New Roman"/>
      </w:rPr>
    </w:lvl>
    <w:lvl w:ilvl="7" w:tplc="340A0003" w:tentative="1">
      <w:start w:val="1"/>
      <w:numFmt w:val="lowerLetter"/>
      <w:lvlText w:val="%8."/>
      <w:lvlJc w:val="left"/>
      <w:pPr>
        <w:tabs>
          <w:tab w:val="num" w:pos="5760"/>
        </w:tabs>
        <w:ind w:left="5760" w:hanging="360"/>
      </w:pPr>
      <w:rPr>
        <w:rFonts w:cs="Times New Roman"/>
      </w:rPr>
    </w:lvl>
    <w:lvl w:ilvl="8" w:tplc="340A0005" w:tentative="1">
      <w:start w:val="1"/>
      <w:numFmt w:val="lowerRoman"/>
      <w:lvlText w:val="%9."/>
      <w:lvlJc w:val="right"/>
      <w:pPr>
        <w:tabs>
          <w:tab w:val="num" w:pos="6480"/>
        </w:tabs>
        <w:ind w:left="6480" w:hanging="180"/>
      </w:pPr>
      <w:rPr>
        <w:rFonts w:cs="Times New Roman"/>
      </w:rPr>
    </w:lvl>
  </w:abstractNum>
  <w:abstractNum w:abstractNumId="20">
    <w:nsid w:val="1D184A4C"/>
    <w:multiLevelType w:val="hybridMultilevel"/>
    <w:tmpl w:val="1AB28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7F42AD"/>
    <w:multiLevelType w:val="hybridMultilevel"/>
    <w:tmpl w:val="5DE23424"/>
    <w:lvl w:ilvl="0" w:tplc="B436282A">
      <w:start w:val="1"/>
      <w:numFmt w:val="upp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nsid w:val="26CB695B"/>
    <w:multiLevelType w:val="hybridMultilevel"/>
    <w:tmpl w:val="EBBC1030"/>
    <w:lvl w:ilvl="0" w:tplc="8A50A8F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C6263"/>
    <w:multiLevelType w:val="hybridMultilevel"/>
    <w:tmpl w:val="841EDCF8"/>
    <w:lvl w:ilvl="0" w:tplc="140A000F">
      <w:start w:val="1"/>
      <w:numFmt w:val="decimal"/>
      <w:lvlText w:val="%1."/>
      <w:lvlJc w:val="left"/>
      <w:pPr>
        <w:ind w:left="720" w:hanging="360"/>
      </w:pPr>
      <w:rPr>
        <w:rFonts w:hint="default"/>
        <w:strike w:val="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2BF74E96"/>
    <w:multiLevelType w:val="hybridMultilevel"/>
    <w:tmpl w:val="11729A48"/>
    <w:lvl w:ilvl="0" w:tplc="3AA4EEEA">
      <w:start w:val="1"/>
      <w:numFmt w:val="lowerRoman"/>
      <w:lvlText w:val="%1)"/>
      <w:lvlJc w:val="left"/>
      <w:pPr>
        <w:ind w:left="2880" w:hanging="720"/>
      </w:pPr>
      <w:rPr>
        <w:rFonts w:hint="default"/>
      </w:rPr>
    </w:lvl>
    <w:lvl w:ilvl="1" w:tplc="140A0019" w:tentative="1">
      <w:start w:val="1"/>
      <w:numFmt w:val="lowerLetter"/>
      <w:lvlText w:val="%2."/>
      <w:lvlJc w:val="left"/>
      <w:pPr>
        <w:ind w:left="3240" w:hanging="360"/>
      </w:pPr>
    </w:lvl>
    <w:lvl w:ilvl="2" w:tplc="140A001B" w:tentative="1">
      <w:start w:val="1"/>
      <w:numFmt w:val="lowerRoman"/>
      <w:lvlText w:val="%3."/>
      <w:lvlJc w:val="right"/>
      <w:pPr>
        <w:ind w:left="3960" w:hanging="180"/>
      </w:pPr>
    </w:lvl>
    <w:lvl w:ilvl="3" w:tplc="140A000F" w:tentative="1">
      <w:start w:val="1"/>
      <w:numFmt w:val="decimal"/>
      <w:lvlText w:val="%4."/>
      <w:lvlJc w:val="left"/>
      <w:pPr>
        <w:ind w:left="4680" w:hanging="360"/>
      </w:pPr>
    </w:lvl>
    <w:lvl w:ilvl="4" w:tplc="140A0019" w:tentative="1">
      <w:start w:val="1"/>
      <w:numFmt w:val="lowerLetter"/>
      <w:lvlText w:val="%5."/>
      <w:lvlJc w:val="left"/>
      <w:pPr>
        <w:ind w:left="5400" w:hanging="360"/>
      </w:pPr>
    </w:lvl>
    <w:lvl w:ilvl="5" w:tplc="140A001B" w:tentative="1">
      <w:start w:val="1"/>
      <w:numFmt w:val="lowerRoman"/>
      <w:lvlText w:val="%6."/>
      <w:lvlJc w:val="right"/>
      <w:pPr>
        <w:ind w:left="6120" w:hanging="180"/>
      </w:pPr>
    </w:lvl>
    <w:lvl w:ilvl="6" w:tplc="140A000F" w:tentative="1">
      <w:start w:val="1"/>
      <w:numFmt w:val="decimal"/>
      <w:lvlText w:val="%7."/>
      <w:lvlJc w:val="left"/>
      <w:pPr>
        <w:ind w:left="6840" w:hanging="360"/>
      </w:pPr>
    </w:lvl>
    <w:lvl w:ilvl="7" w:tplc="140A0019" w:tentative="1">
      <w:start w:val="1"/>
      <w:numFmt w:val="lowerLetter"/>
      <w:lvlText w:val="%8."/>
      <w:lvlJc w:val="left"/>
      <w:pPr>
        <w:ind w:left="7560" w:hanging="360"/>
      </w:pPr>
    </w:lvl>
    <w:lvl w:ilvl="8" w:tplc="140A001B" w:tentative="1">
      <w:start w:val="1"/>
      <w:numFmt w:val="lowerRoman"/>
      <w:lvlText w:val="%9."/>
      <w:lvlJc w:val="right"/>
      <w:pPr>
        <w:ind w:left="8280" w:hanging="180"/>
      </w:pPr>
    </w:lvl>
  </w:abstractNum>
  <w:abstractNum w:abstractNumId="25">
    <w:nsid w:val="32977C93"/>
    <w:multiLevelType w:val="hybridMultilevel"/>
    <w:tmpl w:val="7890CDE6"/>
    <w:lvl w:ilvl="0" w:tplc="DEB453AC">
      <w:start w:val="1"/>
      <w:numFmt w:val="decimal"/>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33AE5ED6"/>
    <w:multiLevelType w:val="hybridMultilevel"/>
    <w:tmpl w:val="EA64A472"/>
    <w:lvl w:ilvl="0" w:tplc="830CF32E">
      <w:start w:val="1"/>
      <w:numFmt w:val="lowerRoman"/>
      <w:lvlText w:val="%1)"/>
      <w:lvlJc w:val="left"/>
      <w:pPr>
        <w:ind w:left="1440" w:hanging="720"/>
      </w:pPr>
      <w:rPr>
        <w:rFonts w:eastAsia="Calibri"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7">
    <w:nsid w:val="3C0250A6"/>
    <w:multiLevelType w:val="hybridMultilevel"/>
    <w:tmpl w:val="A928CDDE"/>
    <w:lvl w:ilvl="0" w:tplc="F57071B4">
      <w:start w:val="1"/>
      <w:numFmt w:val="lowerRoman"/>
      <w:lvlText w:val="%1)"/>
      <w:lvlJc w:val="left"/>
      <w:pPr>
        <w:ind w:left="4485" w:hanging="720"/>
      </w:pPr>
      <w:rPr>
        <w:rFonts w:hint="default"/>
      </w:rPr>
    </w:lvl>
    <w:lvl w:ilvl="1" w:tplc="140A0019" w:tentative="1">
      <w:start w:val="1"/>
      <w:numFmt w:val="lowerLetter"/>
      <w:lvlText w:val="%2."/>
      <w:lvlJc w:val="left"/>
      <w:pPr>
        <w:ind w:left="4845" w:hanging="360"/>
      </w:pPr>
    </w:lvl>
    <w:lvl w:ilvl="2" w:tplc="140A001B" w:tentative="1">
      <w:start w:val="1"/>
      <w:numFmt w:val="lowerRoman"/>
      <w:lvlText w:val="%3."/>
      <w:lvlJc w:val="right"/>
      <w:pPr>
        <w:ind w:left="5565" w:hanging="180"/>
      </w:pPr>
    </w:lvl>
    <w:lvl w:ilvl="3" w:tplc="140A000F" w:tentative="1">
      <w:start w:val="1"/>
      <w:numFmt w:val="decimal"/>
      <w:lvlText w:val="%4."/>
      <w:lvlJc w:val="left"/>
      <w:pPr>
        <w:ind w:left="6285" w:hanging="360"/>
      </w:pPr>
    </w:lvl>
    <w:lvl w:ilvl="4" w:tplc="140A0019" w:tentative="1">
      <w:start w:val="1"/>
      <w:numFmt w:val="lowerLetter"/>
      <w:lvlText w:val="%5."/>
      <w:lvlJc w:val="left"/>
      <w:pPr>
        <w:ind w:left="7005" w:hanging="360"/>
      </w:pPr>
    </w:lvl>
    <w:lvl w:ilvl="5" w:tplc="140A001B" w:tentative="1">
      <w:start w:val="1"/>
      <w:numFmt w:val="lowerRoman"/>
      <w:lvlText w:val="%6."/>
      <w:lvlJc w:val="right"/>
      <w:pPr>
        <w:ind w:left="7725" w:hanging="180"/>
      </w:pPr>
    </w:lvl>
    <w:lvl w:ilvl="6" w:tplc="140A000F" w:tentative="1">
      <w:start w:val="1"/>
      <w:numFmt w:val="decimal"/>
      <w:lvlText w:val="%7."/>
      <w:lvlJc w:val="left"/>
      <w:pPr>
        <w:ind w:left="8445" w:hanging="360"/>
      </w:pPr>
    </w:lvl>
    <w:lvl w:ilvl="7" w:tplc="140A0019" w:tentative="1">
      <w:start w:val="1"/>
      <w:numFmt w:val="lowerLetter"/>
      <w:lvlText w:val="%8."/>
      <w:lvlJc w:val="left"/>
      <w:pPr>
        <w:ind w:left="9165" w:hanging="360"/>
      </w:pPr>
    </w:lvl>
    <w:lvl w:ilvl="8" w:tplc="140A001B" w:tentative="1">
      <w:start w:val="1"/>
      <w:numFmt w:val="lowerRoman"/>
      <w:lvlText w:val="%9."/>
      <w:lvlJc w:val="right"/>
      <w:pPr>
        <w:ind w:left="9885" w:hanging="180"/>
      </w:pPr>
    </w:lvl>
  </w:abstractNum>
  <w:abstractNum w:abstractNumId="28">
    <w:nsid w:val="3F7E0F2A"/>
    <w:multiLevelType w:val="hybridMultilevel"/>
    <w:tmpl w:val="A4D4CE4E"/>
    <w:lvl w:ilvl="0" w:tplc="290AA9AA">
      <w:start w:val="1"/>
      <w:numFmt w:val="upp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nsid w:val="40997726"/>
    <w:multiLevelType w:val="hybridMultilevel"/>
    <w:tmpl w:val="E5FA3584"/>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nsid w:val="46416587"/>
    <w:multiLevelType w:val="hybridMultilevel"/>
    <w:tmpl w:val="F1BA09C2"/>
    <w:lvl w:ilvl="0" w:tplc="4998A7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F052AB"/>
    <w:multiLevelType w:val="hybridMultilevel"/>
    <w:tmpl w:val="112E739A"/>
    <w:lvl w:ilvl="0" w:tplc="4670A31A">
      <w:start w:val="1"/>
      <w:numFmt w:val="lowerRoman"/>
      <w:lvlText w:val="%1)"/>
      <w:lvlJc w:val="left"/>
      <w:pPr>
        <w:ind w:left="927" w:hanging="360"/>
      </w:pPr>
      <w:rPr>
        <w:rFonts w:hint="default"/>
        <w:b w:val="0"/>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2">
    <w:nsid w:val="4ED213CF"/>
    <w:multiLevelType w:val="hybridMultilevel"/>
    <w:tmpl w:val="C156A4C0"/>
    <w:lvl w:ilvl="0" w:tplc="C38C8926">
      <w:start w:val="1"/>
      <w:numFmt w:val="lowerLetter"/>
      <w:lvlText w:val="%1)"/>
      <w:lvlJc w:val="left"/>
      <w:pPr>
        <w:ind w:left="720" w:hanging="360"/>
      </w:pPr>
      <w:rPr>
        <w:rFonts w:ascii="Verdana" w:hAnsi="Verdana" w:hint="default"/>
        <w:i/>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111E55"/>
    <w:multiLevelType w:val="hybridMultilevel"/>
    <w:tmpl w:val="3988995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591C61C4"/>
    <w:multiLevelType w:val="hybridMultilevel"/>
    <w:tmpl w:val="11821C96"/>
    <w:lvl w:ilvl="0" w:tplc="75884E1C">
      <w:start w:val="1"/>
      <w:numFmt w:val="lowerRoman"/>
      <w:lvlText w:val="%1)"/>
      <w:lvlJc w:val="left"/>
      <w:pPr>
        <w:ind w:left="1080" w:hanging="720"/>
      </w:pPr>
      <w:rPr>
        <w:rFonts w:cs="Aria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nsid w:val="591E1C50"/>
    <w:multiLevelType w:val="hybridMultilevel"/>
    <w:tmpl w:val="9D0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96377A8"/>
    <w:multiLevelType w:val="hybridMultilevel"/>
    <w:tmpl w:val="D16CD84A"/>
    <w:lvl w:ilvl="0" w:tplc="8C10D0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857A55"/>
    <w:multiLevelType w:val="hybridMultilevel"/>
    <w:tmpl w:val="E5FA3584"/>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nsid w:val="5AD202C7"/>
    <w:multiLevelType w:val="hybridMultilevel"/>
    <w:tmpl w:val="DAA6C6D2"/>
    <w:lvl w:ilvl="0" w:tplc="3AA4EEEA">
      <w:start w:val="1"/>
      <w:numFmt w:val="lowerRoman"/>
      <w:lvlText w:val="%1)"/>
      <w:lvlJc w:val="left"/>
      <w:pPr>
        <w:ind w:left="2880" w:hanging="720"/>
      </w:pPr>
      <w:rPr>
        <w:rFonts w:hint="default"/>
      </w:rPr>
    </w:lvl>
    <w:lvl w:ilvl="1" w:tplc="140A0019" w:tentative="1">
      <w:start w:val="1"/>
      <w:numFmt w:val="lowerLetter"/>
      <w:lvlText w:val="%2."/>
      <w:lvlJc w:val="left"/>
      <w:pPr>
        <w:ind w:left="3240" w:hanging="360"/>
      </w:pPr>
    </w:lvl>
    <w:lvl w:ilvl="2" w:tplc="140A001B" w:tentative="1">
      <w:start w:val="1"/>
      <w:numFmt w:val="lowerRoman"/>
      <w:lvlText w:val="%3."/>
      <w:lvlJc w:val="right"/>
      <w:pPr>
        <w:ind w:left="3960" w:hanging="180"/>
      </w:pPr>
    </w:lvl>
    <w:lvl w:ilvl="3" w:tplc="140A000F" w:tentative="1">
      <w:start w:val="1"/>
      <w:numFmt w:val="decimal"/>
      <w:lvlText w:val="%4."/>
      <w:lvlJc w:val="left"/>
      <w:pPr>
        <w:ind w:left="4680" w:hanging="360"/>
      </w:pPr>
    </w:lvl>
    <w:lvl w:ilvl="4" w:tplc="140A0019" w:tentative="1">
      <w:start w:val="1"/>
      <w:numFmt w:val="lowerLetter"/>
      <w:lvlText w:val="%5."/>
      <w:lvlJc w:val="left"/>
      <w:pPr>
        <w:ind w:left="5400" w:hanging="360"/>
      </w:pPr>
    </w:lvl>
    <w:lvl w:ilvl="5" w:tplc="140A001B" w:tentative="1">
      <w:start w:val="1"/>
      <w:numFmt w:val="lowerRoman"/>
      <w:lvlText w:val="%6."/>
      <w:lvlJc w:val="right"/>
      <w:pPr>
        <w:ind w:left="6120" w:hanging="180"/>
      </w:pPr>
    </w:lvl>
    <w:lvl w:ilvl="6" w:tplc="140A000F" w:tentative="1">
      <w:start w:val="1"/>
      <w:numFmt w:val="decimal"/>
      <w:lvlText w:val="%7."/>
      <w:lvlJc w:val="left"/>
      <w:pPr>
        <w:ind w:left="6840" w:hanging="360"/>
      </w:pPr>
    </w:lvl>
    <w:lvl w:ilvl="7" w:tplc="140A0019" w:tentative="1">
      <w:start w:val="1"/>
      <w:numFmt w:val="lowerLetter"/>
      <w:lvlText w:val="%8."/>
      <w:lvlJc w:val="left"/>
      <w:pPr>
        <w:ind w:left="7560" w:hanging="360"/>
      </w:pPr>
    </w:lvl>
    <w:lvl w:ilvl="8" w:tplc="140A001B" w:tentative="1">
      <w:start w:val="1"/>
      <w:numFmt w:val="lowerRoman"/>
      <w:lvlText w:val="%9."/>
      <w:lvlJc w:val="right"/>
      <w:pPr>
        <w:ind w:left="8280" w:hanging="180"/>
      </w:pPr>
    </w:lvl>
  </w:abstractNum>
  <w:abstractNum w:abstractNumId="39">
    <w:nsid w:val="5B9B0885"/>
    <w:multiLevelType w:val="hybridMultilevel"/>
    <w:tmpl w:val="20E088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nsid w:val="5C284559"/>
    <w:multiLevelType w:val="hybridMultilevel"/>
    <w:tmpl w:val="B4689BF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nsid w:val="61413F7C"/>
    <w:multiLevelType w:val="hybridMultilevel"/>
    <w:tmpl w:val="5D2CB55E"/>
    <w:lvl w:ilvl="0" w:tplc="89AAC014">
      <w:start w:val="1"/>
      <w:numFmt w:val="low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nsid w:val="61680C15"/>
    <w:multiLevelType w:val="hybridMultilevel"/>
    <w:tmpl w:val="AE4E5A92"/>
    <w:lvl w:ilvl="0" w:tplc="E76EE724">
      <w:start w:val="1"/>
      <w:numFmt w:val="decimal"/>
      <w:lvlText w:val="%1."/>
      <w:lvlJc w:val="left"/>
      <w:pPr>
        <w:ind w:left="720" w:hanging="360"/>
      </w:pPr>
      <w:rPr>
        <w:rFonts w:ascii="Verdana" w:hAnsi="Verdana" w:hint="default"/>
        <w:b w:val="0"/>
        <w:i w:val="0"/>
        <w:strike w:val="0"/>
        <w:dstrike w:val="0"/>
        <w:sz w:val="20"/>
        <w:szCs w:val="20"/>
        <w:u w:val="none"/>
        <w:effect w:val="none"/>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3">
    <w:nsid w:val="61B36A3B"/>
    <w:multiLevelType w:val="hybridMultilevel"/>
    <w:tmpl w:val="989AF976"/>
    <w:lvl w:ilvl="0" w:tplc="E924A7B0">
      <w:start w:val="1"/>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4">
    <w:nsid w:val="6450298B"/>
    <w:multiLevelType w:val="hybridMultilevel"/>
    <w:tmpl w:val="5DF0310C"/>
    <w:lvl w:ilvl="0" w:tplc="0922DE9A">
      <w:start w:val="1"/>
      <w:numFmt w:val="decimal"/>
      <w:lvlText w:val="%1."/>
      <w:lvlJc w:val="left"/>
      <w:pPr>
        <w:ind w:left="3780" w:hanging="360"/>
      </w:pPr>
      <w:rPr>
        <w:rFonts w:ascii="Verdana" w:hAnsi="Verdana" w:hint="default"/>
        <w:b w:val="0"/>
        <w:i w:val="0"/>
        <w:strike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nsid w:val="6BE328A5"/>
    <w:multiLevelType w:val="hybridMultilevel"/>
    <w:tmpl w:val="5DE23424"/>
    <w:lvl w:ilvl="0" w:tplc="F6D4D042">
      <w:start w:val="1"/>
      <w:numFmt w:val="upperLetter"/>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6">
    <w:nsid w:val="6F001C76"/>
    <w:multiLevelType w:val="hybridMultilevel"/>
    <w:tmpl w:val="3BF8E89C"/>
    <w:lvl w:ilvl="0" w:tplc="F448F914">
      <w:start w:val="1"/>
      <w:numFmt w:val="decimal"/>
      <w:lvlText w:val="%1."/>
      <w:lvlJc w:val="left"/>
      <w:pPr>
        <w:ind w:left="1144" w:hanging="360"/>
      </w:pPr>
      <w:rPr>
        <w:rFonts w:hint="default"/>
      </w:rPr>
    </w:lvl>
    <w:lvl w:ilvl="1" w:tplc="140A0019" w:tentative="1">
      <w:start w:val="1"/>
      <w:numFmt w:val="lowerLetter"/>
      <w:lvlText w:val="%2."/>
      <w:lvlJc w:val="left"/>
      <w:pPr>
        <w:ind w:left="1864" w:hanging="360"/>
      </w:pPr>
    </w:lvl>
    <w:lvl w:ilvl="2" w:tplc="140A001B" w:tentative="1">
      <w:start w:val="1"/>
      <w:numFmt w:val="lowerRoman"/>
      <w:lvlText w:val="%3."/>
      <w:lvlJc w:val="right"/>
      <w:pPr>
        <w:ind w:left="2584" w:hanging="180"/>
      </w:pPr>
    </w:lvl>
    <w:lvl w:ilvl="3" w:tplc="140A000F" w:tentative="1">
      <w:start w:val="1"/>
      <w:numFmt w:val="decimal"/>
      <w:lvlText w:val="%4."/>
      <w:lvlJc w:val="left"/>
      <w:pPr>
        <w:ind w:left="3304" w:hanging="360"/>
      </w:pPr>
    </w:lvl>
    <w:lvl w:ilvl="4" w:tplc="140A0019" w:tentative="1">
      <w:start w:val="1"/>
      <w:numFmt w:val="lowerLetter"/>
      <w:lvlText w:val="%5."/>
      <w:lvlJc w:val="left"/>
      <w:pPr>
        <w:ind w:left="4024" w:hanging="360"/>
      </w:pPr>
    </w:lvl>
    <w:lvl w:ilvl="5" w:tplc="140A001B" w:tentative="1">
      <w:start w:val="1"/>
      <w:numFmt w:val="lowerRoman"/>
      <w:lvlText w:val="%6."/>
      <w:lvlJc w:val="right"/>
      <w:pPr>
        <w:ind w:left="4744" w:hanging="180"/>
      </w:pPr>
    </w:lvl>
    <w:lvl w:ilvl="6" w:tplc="140A000F" w:tentative="1">
      <w:start w:val="1"/>
      <w:numFmt w:val="decimal"/>
      <w:lvlText w:val="%7."/>
      <w:lvlJc w:val="left"/>
      <w:pPr>
        <w:ind w:left="5464" w:hanging="360"/>
      </w:pPr>
    </w:lvl>
    <w:lvl w:ilvl="7" w:tplc="140A0019" w:tentative="1">
      <w:start w:val="1"/>
      <w:numFmt w:val="lowerLetter"/>
      <w:lvlText w:val="%8."/>
      <w:lvlJc w:val="left"/>
      <w:pPr>
        <w:ind w:left="6184" w:hanging="360"/>
      </w:pPr>
    </w:lvl>
    <w:lvl w:ilvl="8" w:tplc="140A001B" w:tentative="1">
      <w:start w:val="1"/>
      <w:numFmt w:val="lowerRoman"/>
      <w:lvlText w:val="%9."/>
      <w:lvlJc w:val="right"/>
      <w:pPr>
        <w:ind w:left="6904" w:hanging="180"/>
      </w:pPr>
    </w:lvl>
  </w:abstractNum>
  <w:abstractNum w:abstractNumId="47">
    <w:nsid w:val="71243DE0"/>
    <w:multiLevelType w:val="hybridMultilevel"/>
    <w:tmpl w:val="C59C8EB2"/>
    <w:lvl w:ilvl="0" w:tplc="12BE5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83733E"/>
    <w:multiLevelType w:val="hybridMultilevel"/>
    <w:tmpl w:val="2580F6CA"/>
    <w:lvl w:ilvl="0" w:tplc="6C50A796">
      <w:start w:val="1"/>
      <w:numFmt w:val="upperLetter"/>
      <w:lvlText w:val="%1."/>
      <w:lvlJc w:val="left"/>
      <w:pPr>
        <w:ind w:left="360" w:hanging="360"/>
      </w:pPr>
      <w:rPr>
        <w:rFonts w:hint="default"/>
        <w:b/>
        <w:i/>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9">
    <w:nsid w:val="736E03B1"/>
    <w:multiLevelType w:val="hybridMultilevel"/>
    <w:tmpl w:val="223251D8"/>
    <w:lvl w:ilvl="0" w:tplc="2B6AF94A">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50">
    <w:nsid w:val="753A0437"/>
    <w:multiLevelType w:val="hybridMultilevel"/>
    <w:tmpl w:val="1A48B480"/>
    <w:lvl w:ilvl="0" w:tplc="140A0015">
      <w:start w:val="1"/>
      <w:numFmt w:val="upperLetter"/>
      <w:lvlText w:val="%1."/>
      <w:lvlJc w:val="left"/>
      <w:pPr>
        <w:ind w:left="360" w:hanging="360"/>
      </w:pPr>
      <w:rPr>
        <w:rFonts w:hint="default"/>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1">
    <w:nsid w:val="75C671F8"/>
    <w:multiLevelType w:val="hybridMultilevel"/>
    <w:tmpl w:val="AE383896"/>
    <w:lvl w:ilvl="0" w:tplc="140A0017">
      <w:start w:val="1"/>
      <w:numFmt w:val="lowerLetter"/>
      <w:lvlText w:val="%1)"/>
      <w:lvlJc w:val="left"/>
      <w:pPr>
        <w:ind w:left="786"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nsid w:val="76753A80"/>
    <w:multiLevelType w:val="hybridMultilevel"/>
    <w:tmpl w:val="0ECC1800"/>
    <w:lvl w:ilvl="0" w:tplc="22267BCC">
      <w:start w:val="1"/>
      <w:numFmt w:val="decimal"/>
      <w:lvlText w:val="%1."/>
      <w:lvlJc w:val="left"/>
      <w:pPr>
        <w:ind w:left="0" w:firstLine="0"/>
      </w:pPr>
      <w:rPr>
        <w:rFonts w:ascii="Verdana" w:hAnsi="Verdana" w:hint="default"/>
        <w:b w:val="0"/>
        <w:i w:val="0"/>
        <w:strike w:val="0"/>
        <w:color w:val="auto"/>
        <w:sz w:val="20"/>
        <w:szCs w:val="20"/>
        <w:lang w:val="es-CR"/>
      </w:rPr>
    </w:lvl>
    <w:lvl w:ilvl="1" w:tplc="2C0A0019">
      <w:start w:val="1"/>
      <w:numFmt w:val="lowerLetter"/>
      <w:lvlText w:val="%2."/>
      <w:lvlJc w:val="left"/>
      <w:pPr>
        <w:ind w:left="1298" w:hanging="360"/>
      </w:pPr>
      <w:rPr>
        <w:rFonts w:hint="default"/>
        <w:lang w:val="es-CR"/>
      </w:rPr>
    </w:lvl>
    <w:lvl w:ilvl="2" w:tplc="4202A1AC">
      <w:start w:val="1"/>
      <w:numFmt w:val="lowerRoman"/>
      <w:lvlText w:val="%3."/>
      <w:lvlJc w:val="right"/>
      <w:pPr>
        <w:ind w:left="2018" w:hanging="180"/>
      </w:pPr>
      <w:rPr>
        <w:i/>
      </w:rPr>
    </w:lvl>
    <w:lvl w:ilvl="3" w:tplc="3F0893E6" w:tentative="1">
      <w:start w:val="1"/>
      <w:numFmt w:val="decimal"/>
      <w:lvlText w:val="%4."/>
      <w:lvlJc w:val="left"/>
      <w:pPr>
        <w:ind w:left="2738" w:hanging="360"/>
      </w:pPr>
    </w:lvl>
    <w:lvl w:ilvl="4" w:tplc="E7BA4BB6" w:tentative="1">
      <w:start w:val="1"/>
      <w:numFmt w:val="lowerLetter"/>
      <w:lvlText w:val="%5."/>
      <w:lvlJc w:val="left"/>
      <w:pPr>
        <w:ind w:left="3458" w:hanging="360"/>
      </w:pPr>
    </w:lvl>
    <w:lvl w:ilvl="5" w:tplc="2C0A001B" w:tentative="1">
      <w:start w:val="1"/>
      <w:numFmt w:val="lowerRoman"/>
      <w:lvlText w:val="%6."/>
      <w:lvlJc w:val="right"/>
      <w:pPr>
        <w:ind w:left="4178" w:hanging="180"/>
      </w:pPr>
    </w:lvl>
    <w:lvl w:ilvl="6" w:tplc="2C0A000F" w:tentative="1">
      <w:start w:val="1"/>
      <w:numFmt w:val="decimal"/>
      <w:lvlText w:val="%7."/>
      <w:lvlJc w:val="left"/>
      <w:pPr>
        <w:ind w:left="4898" w:hanging="360"/>
      </w:pPr>
    </w:lvl>
    <w:lvl w:ilvl="7" w:tplc="2C0A0019" w:tentative="1">
      <w:start w:val="1"/>
      <w:numFmt w:val="lowerLetter"/>
      <w:lvlText w:val="%8."/>
      <w:lvlJc w:val="left"/>
      <w:pPr>
        <w:ind w:left="5618" w:hanging="360"/>
      </w:pPr>
    </w:lvl>
    <w:lvl w:ilvl="8" w:tplc="2C0A001B" w:tentative="1">
      <w:start w:val="1"/>
      <w:numFmt w:val="lowerRoman"/>
      <w:lvlText w:val="%9."/>
      <w:lvlJc w:val="right"/>
      <w:pPr>
        <w:ind w:left="6338" w:hanging="180"/>
      </w:pPr>
    </w:lvl>
  </w:abstractNum>
  <w:abstractNum w:abstractNumId="53">
    <w:nsid w:val="79481F10"/>
    <w:multiLevelType w:val="hybridMultilevel"/>
    <w:tmpl w:val="DAA6C6D2"/>
    <w:lvl w:ilvl="0" w:tplc="3AA4EEEA">
      <w:start w:val="1"/>
      <w:numFmt w:val="lowerRoman"/>
      <w:lvlText w:val="%1)"/>
      <w:lvlJc w:val="left"/>
      <w:pPr>
        <w:ind w:left="2880" w:hanging="720"/>
      </w:pPr>
      <w:rPr>
        <w:rFonts w:hint="default"/>
      </w:rPr>
    </w:lvl>
    <w:lvl w:ilvl="1" w:tplc="140A0019" w:tentative="1">
      <w:start w:val="1"/>
      <w:numFmt w:val="lowerLetter"/>
      <w:lvlText w:val="%2."/>
      <w:lvlJc w:val="left"/>
      <w:pPr>
        <w:ind w:left="3240" w:hanging="360"/>
      </w:pPr>
    </w:lvl>
    <w:lvl w:ilvl="2" w:tplc="140A001B" w:tentative="1">
      <w:start w:val="1"/>
      <w:numFmt w:val="lowerRoman"/>
      <w:lvlText w:val="%3."/>
      <w:lvlJc w:val="right"/>
      <w:pPr>
        <w:ind w:left="3960" w:hanging="180"/>
      </w:pPr>
    </w:lvl>
    <w:lvl w:ilvl="3" w:tplc="140A000F" w:tentative="1">
      <w:start w:val="1"/>
      <w:numFmt w:val="decimal"/>
      <w:lvlText w:val="%4."/>
      <w:lvlJc w:val="left"/>
      <w:pPr>
        <w:ind w:left="4680" w:hanging="360"/>
      </w:pPr>
    </w:lvl>
    <w:lvl w:ilvl="4" w:tplc="140A0019" w:tentative="1">
      <w:start w:val="1"/>
      <w:numFmt w:val="lowerLetter"/>
      <w:lvlText w:val="%5."/>
      <w:lvlJc w:val="left"/>
      <w:pPr>
        <w:ind w:left="5400" w:hanging="360"/>
      </w:pPr>
    </w:lvl>
    <w:lvl w:ilvl="5" w:tplc="140A001B" w:tentative="1">
      <w:start w:val="1"/>
      <w:numFmt w:val="lowerRoman"/>
      <w:lvlText w:val="%6."/>
      <w:lvlJc w:val="right"/>
      <w:pPr>
        <w:ind w:left="6120" w:hanging="180"/>
      </w:pPr>
    </w:lvl>
    <w:lvl w:ilvl="6" w:tplc="140A000F" w:tentative="1">
      <w:start w:val="1"/>
      <w:numFmt w:val="decimal"/>
      <w:lvlText w:val="%7."/>
      <w:lvlJc w:val="left"/>
      <w:pPr>
        <w:ind w:left="6840" w:hanging="360"/>
      </w:pPr>
    </w:lvl>
    <w:lvl w:ilvl="7" w:tplc="140A0019" w:tentative="1">
      <w:start w:val="1"/>
      <w:numFmt w:val="lowerLetter"/>
      <w:lvlText w:val="%8."/>
      <w:lvlJc w:val="left"/>
      <w:pPr>
        <w:ind w:left="7560" w:hanging="360"/>
      </w:pPr>
    </w:lvl>
    <w:lvl w:ilvl="8" w:tplc="140A001B" w:tentative="1">
      <w:start w:val="1"/>
      <w:numFmt w:val="lowerRoman"/>
      <w:lvlText w:val="%9."/>
      <w:lvlJc w:val="right"/>
      <w:pPr>
        <w:ind w:left="8280" w:hanging="180"/>
      </w:pPr>
    </w:lvl>
  </w:abstractNum>
  <w:abstractNum w:abstractNumId="54">
    <w:nsid w:val="7EC814E1"/>
    <w:multiLevelType w:val="hybridMultilevel"/>
    <w:tmpl w:val="6548DAA8"/>
    <w:lvl w:ilvl="0" w:tplc="9DC0651C">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num w:numId="1">
    <w:abstractNumId w:val="50"/>
  </w:num>
  <w:num w:numId="2">
    <w:abstractNumId w:val="44"/>
  </w:num>
  <w:num w:numId="3">
    <w:abstractNumId w:val="4"/>
  </w:num>
  <w:num w:numId="4">
    <w:abstractNumId w:val="28"/>
  </w:num>
  <w:num w:numId="5">
    <w:abstractNumId w:val="15"/>
  </w:num>
  <w:num w:numId="6">
    <w:abstractNumId w:val="22"/>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num>
  <w:num w:numId="12">
    <w:abstractNumId w:val="40"/>
  </w:num>
  <w:num w:numId="13">
    <w:abstractNumId w:val="19"/>
  </w:num>
  <w:num w:numId="14">
    <w:abstractNumId w:val="10"/>
  </w:num>
  <w:num w:numId="15">
    <w:abstractNumId w:val="39"/>
  </w:num>
  <w:num w:numId="16">
    <w:abstractNumId w:val="16"/>
  </w:num>
  <w:num w:numId="17">
    <w:abstractNumId w:val="3"/>
  </w:num>
  <w:num w:numId="18">
    <w:abstractNumId w:val="30"/>
  </w:num>
  <w:num w:numId="19">
    <w:abstractNumId w:val="27"/>
  </w:num>
  <w:num w:numId="20">
    <w:abstractNumId w:val="41"/>
  </w:num>
  <w:num w:numId="21">
    <w:abstractNumId w:val="11"/>
  </w:num>
  <w:num w:numId="22">
    <w:abstractNumId w:val="53"/>
  </w:num>
  <w:num w:numId="23">
    <w:abstractNumId w:val="32"/>
  </w:num>
  <w:num w:numId="24">
    <w:abstractNumId w:val="26"/>
  </w:num>
  <w:num w:numId="25">
    <w:abstractNumId w:val="35"/>
  </w:num>
  <w:num w:numId="26">
    <w:abstractNumId w:val="52"/>
  </w:num>
  <w:num w:numId="27">
    <w:abstractNumId w:val="29"/>
  </w:num>
  <w:num w:numId="28">
    <w:abstractNumId w:val="21"/>
  </w:num>
  <w:num w:numId="29">
    <w:abstractNumId w:val="37"/>
  </w:num>
  <w:num w:numId="30">
    <w:abstractNumId w:val="45"/>
  </w:num>
  <w:num w:numId="31">
    <w:abstractNumId w:val="23"/>
  </w:num>
  <w:num w:numId="32">
    <w:abstractNumId w:val="47"/>
  </w:num>
  <w:num w:numId="33">
    <w:abstractNumId w:val="36"/>
  </w:num>
  <w:num w:numId="34">
    <w:abstractNumId w:val="48"/>
  </w:num>
  <w:num w:numId="35">
    <w:abstractNumId w:val="20"/>
  </w:num>
  <w:num w:numId="36">
    <w:abstractNumId w:val="2"/>
  </w:num>
  <w:num w:numId="37">
    <w:abstractNumId w:val="49"/>
  </w:num>
  <w:num w:numId="38">
    <w:abstractNumId w:val="17"/>
  </w:num>
  <w:num w:numId="39">
    <w:abstractNumId w:val="33"/>
  </w:num>
  <w:num w:numId="40">
    <w:abstractNumId w:val="13"/>
  </w:num>
  <w:num w:numId="41">
    <w:abstractNumId w:val="6"/>
  </w:num>
  <w:num w:numId="42">
    <w:abstractNumId w:val="9"/>
  </w:num>
  <w:num w:numId="43">
    <w:abstractNumId w:val="54"/>
  </w:num>
  <w:num w:numId="44">
    <w:abstractNumId w:val="51"/>
  </w:num>
  <w:num w:numId="45">
    <w:abstractNumId w:val="34"/>
  </w:num>
  <w:num w:numId="46">
    <w:abstractNumId w:val="8"/>
  </w:num>
  <w:num w:numId="47">
    <w:abstractNumId w:val="31"/>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38"/>
  </w:num>
  <w:num w:numId="52">
    <w:abstractNumId w:val="18"/>
  </w:num>
  <w:num w:numId="53">
    <w:abstractNumId w:val="12"/>
  </w:num>
  <w:num w:numId="54">
    <w:abstractNumId w:val="43"/>
  </w:num>
  <w:num w:numId="55">
    <w:abstractNumId w:val="46"/>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33A"/>
    <w:rsid w:val="00002891"/>
    <w:rsid w:val="00002D4E"/>
    <w:rsid w:val="0000306A"/>
    <w:rsid w:val="00003D1F"/>
    <w:rsid w:val="00006FE1"/>
    <w:rsid w:val="00011114"/>
    <w:rsid w:val="00011A37"/>
    <w:rsid w:val="00011ED0"/>
    <w:rsid w:val="000142D3"/>
    <w:rsid w:val="00014646"/>
    <w:rsid w:val="00014B9A"/>
    <w:rsid w:val="00020007"/>
    <w:rsid w:val="000228D3"/>
    <w:rsid w:val="00023CC4"/>
    <w:rsid w:val="00025D07"/>
    <w:rsid w:val="00027F86"/>
    <w:rsid w:val="00031333"/>
    <w:rsid w:val="000321EA"/>
    <w:rsid w:val="000323BE"/>
    <w:rsid w:val="00033C8A"/>
    <w:rsid w:val="00034689"/>
    <w:rsid w:val="000361E2"/>
    <w:rsid w:val="00037478"/>
    <w:rsid w:val="0004056B"/>
    <w:rsid w:val="00041616"/>
    <w:rsid w:val="00042A15"/>
    <w:rsid w:val="0004420D"/>
    <w:rsid w:val="0004537E"/>
    <w:rsid w:val="000453EB"/>
    <w:rsid w:val="000463AB"/>
    <w:rsid w:val="00046EA9"/>
    <w:rsid w:val="00052CDB"/>
    <w:rsid w:val="00052F76"/>
    <w:rsid w:val="00056271"/>
    <w:rsid w:val="00056EB1"/>
    <w:rsid w:val="00057DB5"/>
    <w:rsid w:val="000601BB"/>
    <w:rsid w:val="00061828"/>
    <w:rsid w:val="000620E1"/>
    <w:rsid w:val="000646BD"/>
    <w:rsid w:val="00065894"/>
    <w:rsid w:val="00065B86"/>
    <w:rsid w:val="000675D1"/>
    <w:rsid w:val="00071654"/>
    <w:rsid w:val="00071B86"/>
    <w:rsid w:val="00071DE8"/>
    <w:rsid w:val="00072765"/>
    <w:rsid w:val="000739A7"/>
    <w:rsid w:val="00073B1B"/>
    <w:rsid w:val="00074D3A"/>
    <w:rsid w:val="00077064"/>
    <w:rsid w:val="000771A6"/>
    <w:rsid w:val="00077642"/>
    <w:rsid w:val="00077908"/>
    <w:rsid w:val="000819A3"/>
    <w:rsid w:val="00082621"/>
    <w:rsid w:val="000849CD"/>
    <w:rsid w:val="00084A2C"/>
    <w:rsid w:val="00084BD1"/>
    <w:rsid w:val="00086269"/>
    <w:rsid w:val="00086426"/>
    <w:rsid w:val="00087D64"/>
    <w:rsid w:val="000901EA"/>
    <w:rsid w:val="00090AF6"/>
    <w:rsid w:val="00092A2C"/>
    <w:rsid w:val="00092E17"/>
    <w:rsid w:val="00093AF9"/>
    <w:rsid w:val="000946F4"/>
    <w:rsid w:val="00094D6F"/>
    <w:rsid w:val="0009630D"/>
    <w:rsid w:val="000A0278"/>
    <w:rsid w:val="000A0311"/>
    <w:rsid w:val="000A1661"/>
    <w:rsid w:val="000A4EA1"/>
    <w:rsid w:val="000A580D"/>
    <w:rsid w:val="000A6C20"/>
    <w:rsid w:val="000A6F50"/>
    <w:rsid w:val="000B07BB"/>
    <w:rsid w:val="000B08CB"/>
    <w:rsid w:val="000B11A0"/>
    <w:rsid w:val="000B1239"/>
    <w:rsid w:val="000B133E"/>
    <w:rsid w:val="000B16AE"/>
    <w:rsid w:val="000B1B9D"/>
    <w:rsid w:val="000B1FC8"/>
    <w:rsid w:val="000B276F"/>
    <w:rsid w:val="000B29B5"/>
    <w:rsid w:val="000B415F"/>
    <w:rsid w:val="000C03DF"/>
    <w:rsid w:val="000C101D"/>
    <w:rsid w:val="000C251D"/>
    <w:rsid w:val="000C38F8"/>
    <w:rsid w:val="000C45FD"/>
    <w:rsid w:val="000C4E54"/>
    <w:rsid w:val="000C642B"/>
    <w:rsid w:val="000C6698"/>
    <w:rsid w:val="000C7635"/>
    <w:rsid w:val="000D1B0B"/>
    <w:rsid w:val="000D23A0"/>
    <w:rsid w:val="000D30CF"/>
    <w:rsid w:val="000D3370"/>
    <w:rsid w:val="000D4D99"/>
    <w:rsid w:val="000D6B6A"/>
    <w:rsid w:val="000D6E72"/>
    <w:rsid w:val="000D786E"/>
    <w:rsid w:val="000D7B24"/>
    <w:rsid w:val="000D7C04"/>
    <w:rsid w:val="000E1036"/>
    <w:rsid w:val="000E16B8"/>
    <w:rsid w:val="000E1E3F"/>
    <w:rsid w:val="000E3E0B"/>
    <w:rsid w:val="000E3E71"/>
    <w:rsid w:val="000E3E7F"/>
    <w:rsid w:val="000E4A72"/>
    <w:rsid w:val="000E6257"/>
    <w:rsid w:val="000E6259"/>
    <w:rsid w:val="000E6FD4"/>
    <w:rsid w:val="000E7243"/>
    <w:rsid w:val="000E7440"/>
    <w:rsid w:val="000F0638"/>
    <w:rsid w:val="000F38B6"/>
    <w:rsid w:val="000F4E39"/>
    <w:rsid w:val="000F52B7"/>
    <w:rsid w:val="00102471"/>
    <w:rsid w:val="001030B1"/>
    <w:rsid w:val="0010374C"/>
    <w:rsid w:val="001049A0"/>
    <w:rsid w:val="00106524"/>
    <w:rsid w:val="00107A35"/>
    <w:rsid w:val="00110C65"/>
    <w:rsid w:val="0011273E"/>
    <w:rsid w:val="00115DCE"/>
    <w:rsid w:val="00116F0A"/>
    <w:rsid w:val="0012029A"/>
    <w:rsid w:val="00122FF4"/>
    <w:rsid w:val="00123C6C"/>
    <w:rsid w:val="00124B30"/>
    <w:rsid w:val="001253AD"/>
    <w:rsid w:val="001263F1"/>
    <w:rsid w:val="00127AF5"/>
    <w:rsid w:val="00127C7F"/>
    <w:rsid w:val="00133510"/>
    <w:rsid w:val="00133AC7"/>
    <w:rsid w:val="0013575D"/>
    <w:rsid w:val="00136F90"/>
    <w:rsid w:val="0014074B"/>
    <w:rsid w:val="00140871"/>
    <w:rsid w:val="001420FF"/>
    <w:rsid w:val="00142C32"/>
    <w:rsid w:val="001431EC"/>
    <w:rsid w:val="0014427B"/>
    <w:rsid w:val="001444BD"/>
    <w:rsid w:val="00145555"/>
    <w:rsid w:val="0014568C"/>
    <w:rsid w:val="0014586E"/>
    <w:rsid w:val="00145D1D"/>
    <w:rsid w:val="001469A8"/>
    <w:rsid w:val="00146E01"/>
    <w:rsid w:val="00147144"/>
    <w:rsid w:val="00147672"/>
    <w:rsid w:val="001505EE"/>
    <w:rsid w:val="00152430"/>
    <w:rsid w:val="001530AA"/>
    <w:rsid w:val="0015380E"/>
    <w:rsid w:val="00153D2B"/>
    <w:rsid w:val="00154264"/>
    <w:rsid w:val="00155E10"/>
    <w:rsid w:val="001566AF"/>
    <w:rsid w:val="00156905"/>
    <w:rsid w:val="001575D4"/>
    <w:rsid w:val="00160073"/>
    <w:rsid w:val="00160FA8"/>
    <w:rsid w:val="00160FD2"/>
    <w:rsid w:val="00161542"/>
    <w:rsid w:val="00161A12"/>
    <w:rsid w:val="0016353F"/>
    <w:rsid w:val="001635AC"/>
    <w:rsid w:val="00164133"/>
    <w:rsid w:val="00164F52"/>
    <w:rsid w:val="00164F9C"/>
    <w:rsid w:val="00166C9C"/>
    <w:rsid w:val="00167074"/>
    <w:rsid w:val="0017213D"/>
    <w:rsid w:val="00172E44"/>
    <w:rsid w:val="00176327"/>
    <w:rsid w:val="001775A4"/>
    <w:rsid w:val="001803FD"/>
    <w:rsid w:val="00181972"/>
    <w:rsid w:val="00181C18"/>
    <w:rsid w:val="00184E23"/>
    <w:rsid w:val="00184EAD"/>
    <w:rsid w:val="00185682"/>
    <w:rsid w:val="001863DB"/>
    <w:rsid w:val="00190AD3"/>
    <w:rsid w:val="001920C5"/>
    <w:rsid w:val="001930C4"/>
    <w:rsid w:val="0019351F"/>
    <w:rsid w:val="00195471"/>
    <w:rsid w:val="001A10C7"/>
    <w:rsid w:val="001A1828"/>
    <w:rsid w:val="001A189C"/>
    <w:rsid w:val="001A1D99"/>
    <w:rsid w:val="001A22BD"/>
    <w:rsid w:val="001A2884"/>
    <w:rsid w:val="001A2AD2"/>
    <w:rsid w:val="001A420C"/>
    <w:rsid w:val="001A660D"/>
    <w:rsid w:val="001B0124"/>
    <w:rsid w:val="001B1728"/>
    <w:rsid w:val="001B19DD"/>
    <w:rsid w:val="001B40EC"/>
    <w:rsid w:val="001B5BDB"/>
    <w:rsid w:val="001C1A33"/>
    <w:rsid w:val="001C1DD4"/>
    <w:rsid w:val="001C2D93"/>
    <w:rsid w:val="001C35B6"/>
    <w:rsid w:val="001C4960"/>
    <w:rsid w:val="001C4C53"/>
    <w:rsid w:val="001C6EC9"/>
    <w:rsid w:val="001D0E85"/>
    <w:rsid w:val="001D1D78"/>
    <w:rsid w:val="001D25DC"/>
    <w:rsid w:val="001D4A8F"/>
    <w:rsid w:val="001D70DF"/>
    <w:rsid w:val="001E0F01"/>
    <w:rsid w:val="001E178F"/>
    <w:rsid w:val="001E221C"/>
    <w:rsid w:val="001E2901"/>
    <w:rsid w:val="001E2F08"/>
    <w:rsid w:val="001E44EF"/>
    <w:rsid w:val="001E5C2A"/>
    <w:rsid w:val="001E6AFE"/>
    <w:rsid w:val="001E7281"/>
    <w:rsid w:val="001F0214"/>
    <w:rsid w:val="001F1AB1"/>
    <w:rsid w:val="001F1BC4"/>
    <w:rsid w:val="001F214B"/>
    <w:rsid w:val="001F226F"/>
    <w:rsid w:val="001F345B"/>
    <w:rsid w:val="001F4DBD"/>
    <w:rsid w:val="001F6C57"/>
    <w:rsid w:val="00202FE7"/>
    <w:rsid w:val="002032F4"/>
    <w:rsid w:val="00203A69"/>
    <w:rsid w:val="00204495"/>
    <w:rsid w:val="00204504"/>
    <w:rsid w:val="002048FC"/>
    <w:rsid w:val="00205771"/>
    <w:rsid w:val="00205921"/>
    <w:rsid w:val="00206475"/>
    <w:rsid w:val="002079C8"/>
    <w:rsid w:val="002109E0"/>
    <w:rsid w:val="00211BB3"/>
    <w:rsid w:val="0021225D"/>
    <w:rsid w:val="00216D0F"/>
    <w:rsid w:val="00216F93"/>
    <w:rsid w:val="002173EF"/>
    <w:rsid w:val="002206AC"/>
    <w:rsid w:val="00221AD1"/>
    <w:rsid w:val="00221CE8"/>
    <w:rsid w:val="002228DD"/>
    <w:rsid w:val="00222DE9"/>
    <w:rsid w:val="002242E4"/>
    <w:rsid w:val="002251AC"/>
    <w:rsid w:val="002251C4"/>
    <w:rsid w:val="00226A46"/>
    <w:rsid w:val="00226C52"/>
    <w:rsid w:val="0022709B"/>
    <w:rsid w:val="002272A7"/>
    <w:rsid w:val="00230709"/>
    <w:rsid w:val="00231B50"/>
    <w:rsid w:val="002322B9"/>
    <w:rsid w:val="0023331A"/>
    <w:rsid w:val="00233B35"/>
    <w:rsid w:val="00234679"/>
    <w:rsid w:val="00234B38"/>
    <w:rsid w:val="00236EF8"/>
    <w:rsid w:val="00237833"/>
    <w:rsid w:val="00237BC5"/>
    <w:rsid w:val="002413E9"/>
    <w:rsid w:val="00241621"/>
    <w:rsid w:val="0024200E"/>
    <w:rsid w:val="00242D22"/>
    <w:rsid w:val="00243E73"/>
    <w:rsid w:val="00245147"/>
    <w:rsid w:val="0025025B"/>
    <w:rsid w:val="0025095F"/>
    <w:rsid w:val="00250C91"/>
    <w:rsid w:val="00256BD1"/>
    <w:rsid w:val="00261627"/>
    <w:rsid w:val="00264CEB"/>
    <w:rsid w:val="00264D1A"/>
    <w:rsid w:val="0026783F"/>
    <w:rsid w:val="002706DE"/>
    <w:rsid w:val="00273732"/>
    <w:rsid w:val="00275235"/>
    <w:rsid w:val="002760DB"/>
    <w:rsid w:val="00280689"/>
    <w:rsid w:val="00281B97"/>
    <w:rsid w:val="00281D2A"/>
    <w:rsid w:val="0028313B"/>
    <w:rsid w:val="00283205"/>
    <w:rsid w:val="00285205"/>
    <w:rsid w:val="00285F52"/>
    <w:rsid w:val="00286843"/>
    <w:rsid w:val="00290BA0"/>
    <w:rsid w:val="002924C8"/>
    <w:rsid w:val="00292E51"/>
    <w:rsid w:val="00293732"/>
    <w:rsid w:val="00293AEF"/>
    <w:rsid w:val="002956E6"/>
    <w:rsid w:val="0029611B"/>
    <w:rsid w:val="00296523"/>
    <w:rsid w:val="00297D54"/>
    <w:rsid w:val="002A0097"/>
    <w:rsid w:val="002A2DF4"/>
    <w:rsid w:val="002A3470"/>
    <w:rsid w:val="002A6C21"/>
    <w:rsid w:val="002A6F19"/>
    <w:rsid w:val="002B22FE"/>
    <w:rsid w:val="002B23DF"/>
    <w:rsid w:val="002B2F80"/>
    <w:rsid w:val="002B48AC"/>
    <w:rsid w:val="002B5CCD"/>
    <w:rsid w:val="002B6439"/>
    <w:rsid w:val="002C0317"/>
    <w:rsid w:val="002C05D8"/>
    <w:rsid w:val="002C16BA"/>
    <w:rsid w:val="002C307F"/>
    <w:rsid w:val="002C323A"/>
    <w:rsid w:val="002C50BE"/>
    <w:rsid w:val="002C5C2C"/>
    <w:rsid w:val="002C6A38"/>
    <w:rsid w:val="002C6B42"/>
    <w:rsid w:val="002C6BFD"/>
    <w:rsid w:val="002D0F97"/>
    <w:rsid w:val="002D3F6B"/>
    <w:rsid w:val="002D4214"/>
    <w:rsid w:val="002D4D5C"/>
    <w:rsid w:val="002D650B"/>
    <w:rsid w:val="002D6733"/>
    <w:rsid w:val="002E1879"/>
    <w:rsid w:val="002E1C80"/>
    <w:rsid w:val="002E261C"/>
    <w:rsid w:val="002E4040"/>
    <w:rsid w:val="002E4580"/>
    <w:rsid w:val="002E4F7F"/>
    <w:rsid w:val="002E5777"/>
    <w:rsid w:val="002F0275"/>
    <w:rsid w:val="002F055E"/>
    <w:rsid w:val="002F0F93"/>
    <w:rsid w:val="002F15E0"/>
    <w:rsid w:val="002F18CA"/>
    <w:rsid w:val="002F196C"/>
    <w:rsid w:val="002F19A0"/>
    <w:rsid w:val="002F315E"/>
    <w:rsid w:val="002F40F0"/>
    <w:rsid w:val="002F6B39"/>
    <w:rsid w:val="002F76E9"/>
    <w:rsid w:val="002F7C08"/>
    <w:rsid w:val="00301A0D"/>
    <w:rsid w:val="003033BC"/>
    <w:rsid w:val="003035A2"/>
    <w:rsid w:val="00304121"/>
    <w:rsid w:val="00304E96"/>
    <w:rsid w:val="0031375C"/>
    <w:rsid w:val="003145EE"/>
    <w:rsid w:val="00316A49"/>
    <w:rsid w:val="00320486"/>
    <w:rsid w:val="00320B43"/>
    <w:rsid w:val="003214FF"/>
    <w:rsid w:val="003223F4"/>
    <w:rsid w:val="003231F8"/>
    <w:rsid w:val="00323B7B"/>
    <w:rsid w:val="00331ED0"/>
    <w:rsid w:val="00331F0B"/>
    <w:rsid w:val="003332DE"/>
    <w:rsid w:val="00334883"/>
    <w:rsid w:val="00335C11"/>
    <w:rsid w:val="003372B6"/>
    <w:rsid w:val="0035042E"/>
    <w:rsid w:val="0035178E"/>
    <w:rsid w:val="00360728"/>
    <w:rsid w:val="00360BE8"/>
    <w:rsid w:val="00363764"/>
    <w:rsid w:val="00364173"/>
    <w:rsid w:val="00364CD1"/>
    <w:rsid w:val="00364E08"/>
    <w:rsid w:val="00366D91"/>
    <w:rsid w:val="00366ECD"/>
    <w:rsid w:val="00367E2C"/>
    <w:rsid w:val="003703B4"/>
    <w:rsid w:val="00370C57"/>
    <w:rsid w:val="003723B0"/>
    <w:rsid w:val="00374B40"/>
    <w:rsid w:val="003779B9"/>
    <w:rsid w:val="00377CC2"/>
    <w:rsid w:val="003806AD"/>
    <w:rsid w:val="0038087C"/>
    <w:rsid w:val="00381F18"/>
    <w:rsid w:val="00382F4D"/>
    <w:rsid w:val="00382FBE"/>
    <w:rsid w:val="00382FE1"/>
    <w:rsid w:val="00383FE6"/>
    <w:rsid w:val="003855FE"/>
    <w:rsid w:val="00385902"/>
    <w:rsid w:val="003865DF"/>
    <w:rsid w:val="003876C7"/>
    <w:rsid w:val="0039012A"/>
    <w:rsid w:val="00390F65"/>
    <w:rsid w:val="003945D9"/>
    <w:rsid w:val="00394D35"/>
    <w:rsid w:val="003966ED"/>
    <w:rsid w:val="00397624"/>
    <w:rsid w:val="003A0B87"/>
    <w:rsid w:val="003A10A3"/>
    <w:rsid w:val="003A1187"/>
    <w:rsid w:val="003A17DD"/>
    <w:rsid w:val="003A22D9"/>
    <w:rsid w:val="003A3587"/>
    <w:rsid w:val="003A3D1A"/>
    <w:rsid w:val="003A3EB4"/>
    <w:rsid w:val="003A42A5"/>
    <w:rsid w:val="003A48E3"/>
    <w:rsid w:val="003A5559"/>
    <w:rsid w:val="003A5749"/>
    <w:rsid w:val="003A5864"/>
    <w:rsid w:val="003A5E79"/>
    <w:rsid w:val="003A683E"/>
    <w:rsid w:val="003B334C"/>
    <w:rsid w:val="003B7137"/>
    <w:rsid w:val="003B7367"/>
    <w:rsid w:val="003C0536"/>
    <w:rsid w:val="003C0B4E"/>
    <w:rsid w:val="003C1665"/>
    <w:rsid w:val="003C1B17"/>
    <w:rsid w:val="003C4A06"/>
    <w:rsid w:val="003C5693"/>
    <w:rsid w:val="003C5DE4"/>
    <w:rsid w:val="003C61AC"/>
    <w:rsid w:val="003D0981"/>
    <w:rsid w:val="003D1E1A"/>
    <w:rsid w:val="003D224F"/>
    <w:rsid w:val="003D2C97"/>
    <w:rsid w:val="003D58E6"/>
    <w:rsid w:val="003D6C28"/>
    <w:rsid w:val="003D6FD6"/>
    <w:rsid w:val="003E05BA"/>
    <w:rsid w:val="003E28CB"/>
    <w:rsid w:val="003E4A05"/>
    <w:rsid w:val="003E4C07"/>
    <w:rsid w:val="003E5A99"/>
    <w:rsid w:val="003E6F59"/>
    <w:rsid w:val="003F0781"/>
    <w:rsid w:val="003F0E4C"/>
    <w:rsid w:val="003F245C"/>
    <w:rsid w:val="003F3275"/>
    <w:rsid w:val="003F3419"/>
    <w:rsid w:val="003F5369"/>
    <w:rsid w:val="003F59F5"/>
    <w:rsid w:val="003F7C57"/>
    <w:rsid w:val="00400A3D"/>
    <w:rsid w:val="00402A02"/>
    <w:rsid w:val="0040301C"/>
    <w:rsid w:val="00403E34"/>
    <w:rsid w:val="0040632F"/>
    <w:rsid w:val="00406515"/>
    <w:rsid w:val="00407605"/>
    <w:rsid w:val="00411F9C"/>
    <w:rsid w:val="00412FAD"/>
    <w:rsid w:val="00415FDF"/>
    <w:rsid w:val="004165B1"/>
    <w:rsid w:val="00416746"/>
    <w:rsid w:val="004167E6"/>
    <w:rsid w:val="00416C16"/>
    <w:rsid w:val="00417D61"/>
    <w:rsid w:val="004209AA"/>
    <w:rsid w:val="004245CB"/>
    <w:rsid w:val="004258C3"/>
    <w:rsid w:val="00425C64"/>
    <w:rsid w:val="00426037"/>
    <w:rsid w:val="004264AA"/>
    <w:rsid w:val="00430FB4"/>
    <w:rsid w:val="00431B5B"/>
    <w:rsid w:val="0043223E"/>
    <w:rsid w:val="00434604"/>
    <w:rsid w:val="00435D6C"/>
    <w:rsid w:val="0043625F"/>
    <w:rsid w:val="004376EE"/>
    <w:rsid w:val="00437C4B"/>
    <w:rsid w:val="00440CFD"/>
    <w:rsid w:val="00442284"/>
    <w:rsid w:val="00442D8E"/>
    <w:rsid w:val="00445104"/>
    <w:rsid w:val="00445D97"/>
    <w:rsid w:val="00446C6D"/>
    <w:rsid w:val="00452E0C"/>
    <w:rsid w:val="00453167"/>
    <w:rsid w:val="0045350C"/>
    <w:rsid w:val="004548DC"/>
    <w:rsid w:val="00456769"/>
    <w:rsid w:val="00456FE2"/>
    <w:rsid w:val="0046270D"/>
    <w:rsid w:val="00466E0B"/>
    <w:rsid w:val="00467092"/>
    <w:rsid w:val="004677C4"/>
    <w:rsid w:val="004713C6"/>
    <w:rsid w:val="004748A3"/>
    <w:rsid w:val="0047552F"/>
    <w:rsid w:val="00476321"/>
    <w:rsid w:val="0047688B"/>
    <w:rsid w:val="00480171"/>
    <w:rsid w:val="0048378C"/>
    <w:rsid w:val="00492454"/>
    <w:rsid w:val="0049296E"/>
    <w:rsid w:val="00493FB2"/>
    <w:rsid w:val="00494496"/>
    <w:rsid w:val="004947B9"/>
    <w:rsid w:val="0049544C"/>
    <w:rsid w:val="004958CF"/>
    <w:rsid w:val="004969AD"/>
    <w:rsid w:val="00497445"/>
    <w:rsid w:val="00497523"/>
    <w:rsid w:val="004A1254"/>
    <w:rsid w:val="004A22CF"/>
    <w:rsid w:val="004A262D"/>
    <w:rsid w:val="004A2A83"/>
    <w:rsid w:val="004A6070"/>
    <w:rsid w:val="004A640B"/>
    <w:rsid w:val="004A692B"/>
    <w:rsid w:val="004B13BC"/>
    <w:rsid w:val="004B1D0E"/>
    <w:rsid w:val="004B4634"/>
    <w:rsid w:val="004B4DA0"/>
    <w:rsid w:val="004B65EA"/>
    <w:rsid w:val="004B66E1"/>
    <w:rsid w:val="004B6D93"/>
    <w:rsid w:val="004B6F74"/>
    <w:rsid w:val="004B79FA"/>
    <w:rsid w:val="004C0C97"/>
    <w:rsid w:val="004C0F36"/>
    <w:rsid w:val="004C1178"/>
    <w:rsid w:val="004C13AA"/>
    <w:rsid w:val="004C146A"/>
    <w:rsid w:val="004C1F11"/>
    <w:rsid w:val="004C386E"/>
    <w:rsid w:val="004C7D14"/>
    <w:rsid w:val="004D0B95"/>
    <w:rsid w:val="004D41B7"/>
    <w:rsid w:val="004D4E95"/>
    <w:rsid w:val="004D5594"/>
    <w:rsid w:val="004D55AF"/>
    <w:rsid w:val="004D5C60"/>
    <w:rsid w:val="004E2536"/>
    <w:rsid w:val="004E264D"/>
    <w:rsid w:val="004E3742"/>
    <w:rsid w:val="004E3B3C"/>
    <w:rsid w:val="004E48FF"/>
    <w:rsid w:val="004E5140"/>
    <w:rsid w:val="004E6C2D"/>
    <w:rsid w:val="004E6F67"/>
    <w:rsid w:val="004E7AFA"/>
    <w:rsid w:val="004F1701"/>
    <w:rsid w:val="004F1899"/>
    <w:rsid w:val="004F2EA9"/>
    <w:rsid w:val="004F5AB6"/>
    <w:rsid w:val="004F6737"/>
    <w:rsid w:val="004F6C23"/>
    <w:rsid w:val="004F7DCE"/>
    <w:rsid w:val="005014B5"/>
    <w:rsid w:val="005017B4"/>
    <w:rsid w:val="00502AD5"/>
    <w:rsid w:val="0050313E"/>
    <w:rsid w:val="00503243"/>
    <w:rsid w:val="00503265"/>
    <w:rsid w:val="0050357C"/>
    <w:rsid w:val="005079D3"/>
    <w:rsid w:val="00510754"/>
    <w:rsid w:val="00511E56"/>
    <w:rsid w:val="00513146"/>
    <w:rsid w:val="00513C02"/>
    <w:rsid w:val="00513D51"/>
    <w:rsid w:val="00515AC2"/>
    <w:rsid w:val="0051785D"/>
    <w:rsid w:val="005207D2"/>
    <w:rsid w:val="00521122"/>
    <w:rsid w:val="00521447"/>
    <w:rsid w:val="00521998"/>
    <w:rsid w:val="00521A8D"/>
    <w:rsid w:val="005224F9"/>
    <w:rsid w:val="0052560D"/>
    <w:rsid w:val="005269B1"/>
    <w:rsid w:val="00526EAE"/>
    <w:rsid w:val="00527554"/>
    <w:rsid w:val="005309C2"/>
    <w:rsid w:val="005311C4"/>
    <w:rsid w:val="005325AC"/>
    <w:rsid w:val="00532F41"/>
    <w:rsid w:val="00533519"/>
    <w:rsid w:val="005342D3"/>
    <w:rsid w:val="0053598A"/>
    <w:rsid w:val="00535C51"/>
    <w:rsid w:val="00537CB5"/>
    <w:rsid w:val="00540D55"/>
    <w:rsid w:val="00542991"/>
    <w:rsid w:val="00542F57"/>
    <w:rsid w:val="00543215"/>
    <w:rsid w:val="005433EE"/>
    <w:rsid w:val="00544DC3"/>
    <w:rsid w:val="00550028"/>
    <w:rsid w:val="0055299B"/>
    <w:rsid w:val="005530FA"/>
    <w:rsid w:val="00553288"/>
    <w:rsid w:val="00554222"/>
    <w:rsid w:val="0055459E"/>
    <w:rsid w:val="00557E59"/>
    <w:rsid w:val="00562C1A"/>
    <w:rsid w:val="005635EF"/>
    <w:rsid w:val="00563E11"/>
    <w:rsid w:val="00567F37"/>
    <w:rsid w:val="00570091"/>
    <w:rsid w:val="00572597"/>
    <w:rsid w:val="005771D1"/>
    <w:rsid w:val="00580E4B"/>
    <w:rsid w:val="005823BE"/>
    <w:rsid w:val="00584404"/>
    <w:rsid w:val="00585859"/>
    <w:rsid w:val="00585A55"/>
    <w:rsid w:val="00586A86"/>
    <w:rsid w:val="005921D7"/>
    <w:rsid w:val="00592D21"/>
    <w:rsid w:val="00593215"/>
    <w:rsid w:val="005938FE"/>
    <w:rsid w:val="005952C0"/>
    <w:rsid w:val="0059797D"/>
    <w:rsid w:val="005A0C73"/>
    <w:rsid w:val="005A3B55"/>
    <w:rsid w:val="005A4009"/>
    <w:rsid w:val="005A4438"/>
    <w:rsid w:val="005A5257"/>
    <w:rsid w:val="005A68AE"/>
    <w:rsid w:val="005A71BA"/>
    <w:rsid w:val="005B06D7"/>
    <w:rsid w:val="005B2BBE"/>
    <w:rsid w:val="005B3F66"/>
    <w:rsid w:val="005B633A"/>
    <w:rsid w:val="005B6D4B"/>
    <w:rsid w:val="005B77D2"/>
    <w:rsid w:val="005B786C"/>
    <w:rsid w:val="005B79ED"/>
    <w:rsid w:val="005C1523"/>
    <w:rsid w:val="005C1763"/>
    <w:rsid w:val="005C32D8"/>
    <w:rsid w:val="005C494A"/>
    <w:rsid w:val="005C496B"/>
    <w:rsid w:val="005C5A01"/>
    <w:rsid w:val="005C6E96"/>
    <w:rsid w:val="005C7482"/>
    <w:rsid w:val="005D239E"/>
    <w:rsid w:val="005D4886"/>
    <w:rsid w:val="005D516B"/>
    <w:rsid w:val="005D596D"/>
    <w:rsid w:val="005D5E30"/>
    <w:rsid w:val="005E1819"/>
    <w:rsid w:val="005E1E84"/>
    <w:rsid w:val="005E1F0B"/>
    <w:rsid w:val="005E336F"/>
    <w:rsid w:val="005E4DCB"/>
    <w:rsid w:val="005E7791"/>
    <w:rsid w:val="005E7E11"/>
    <w:rsid w:val="005F134A"/>
    <w:rsid w:val="005F1ABF"/>
    <w:rsid w:val="005F1B19"/>
    <w:rsid w:val="005F229C"/>
    <w:rsid w:val="005F2D44"/>
    <w:rsid w:val="005F3243"/>
    <w:rsid w:val="005F33DA"/>
    <w:rsid w:val="005F4C6B"/>
    <w:rsid w:val="005F56EF"/>
    <w:rsid w:val="005F5F92"/>
    <w:rsid w:val="005F6034"/>
    <w:rsid w:val="005F620B"/>
    <w:rsid w:val="005F6285"/>
    <w:rsid w:val="005F705A"/>
    <w:rsid w:val="00600C8C"/>
    <w:rsid w:val="00602A00"/>
    <w:rsid w:val="00603A69"/>
    <w:rsid w:val="00604785"/>
    <w:rsid w:val="00606243"/>
    <w:rsid w:val="00607070"/>
    <w:rsid w:val="00607406"/>
    <w:rsid w:val="0060751F"/>
    <w:rsid w:val="00610F88"/>
    <w:rsid w:val="0061180F"/>
    <w:rsid w:val="00611DEE"/>
    <w:rsid w:val="00614CA0"/>
    <w:rsid w:val="00615BFC"/>
    <w:rsid w:val="00616D29"/>
    <w:rsid w:val="0062105B"/>
    <w:rsid w:val="0062141B"/>
    <w:rsid w:val="0062280C"/>
    <w:rsid w:val="00622C45"/>
    <w:rsid w:val="006234A9"/>
    <w:rsid w:val="0062363A"/>
    <w:rsid w:val="00624C98"/>
    <w:rsid w:val="0062526A"/>
    <w:rsid w:val="00626929"/>
    <w:rsid w:val="00626F48"/>
    <w:rsid w:val="0062724A"/>
    <w:rsid w:val="00627F48"/>
    <w:rsid w:val="0063053D"/>
    <w:rsid w:val="00631438"/>
    <w:rsid w:val="00631DB5"/>
    <w:rsid w:val="0063222D"/>
    <w:rsid w:val="0063316B"/>
    <w:rsid w:val="006353C0"/>
    <w:rsid w:val="00635494"/>
    <w:rsid w:val="00635ACD"/>
    <w:rsid w:val="00635B8D"/>
    <w:rsid w:val="00635EDE"/>
    <w:rsid w:val="00640096"/>
    <w:rsid w:val="0064317D"/>
    <w:rsid w:val="00644BD7"/>
    <w:rsid w:val="006450DE"/>
    <w:rsid w:val="00646530"/>
    <w:rsid w:val="006465E1"/>
    <w:rsid w:val="0064667B"/>
    <w:rsid w:val="0065175D"/>
    <w:rsid w:val="00651E6A"/>
    <w:rsid w:val="0065326D"/>
    <w:rsid w:val="0065335A"/>
    <w:rsid w:val="00655398"/>
    <w:rsid w:val="00655480"/>
    <w:rsid w:val="0065612A"/>
    <w:rsid w:val="006561E3"/>
    <w:rsid w:val="00656AB9"/>
    <w:rsid w:val="0066269B"/>
    <w:rsid w:val="006643D3"/>
    <w:rsid w:val="006671AA"/>
    <w:rsid w:val="006702EF"/>
    <w:rsid w:val="00670CD8"/>
    <w:rsid w:val="00670E16"/>
    <w:rsid w:val="006725EE"/>
    <w:rsid w:val="006740C0"/>
    <w:rsid w:val="0067410A"/>
    <w:rsid w:val="00674325"/>
    <w:rsid w:val="006751BF"/>
    <w:rsid w:val="0067555B"/>
    <w:rsid w:val="00676006"/>
    <w:rsid w:val="00680E25"/>
    <w:rsid w:val="0068119F"/>
    <w:rsid w:val="006811FF"/>
    <w:rsid w:val="006823EC"/>
    <w:rsid w:val="006834B1"/>
    <w:rsid w:val="0068352F"/>
    <w:rsid w:val="00683B95"/>
    <w:rsid w:val="006850CD"/>
    <w:rsid w:val="00690B3D"/>
    <w:rsid w:val="0069276F"/>
    <w:rsid w:val="00693FA8"/>
    <w:rsid w:val="00694E93"/>
    <w:rsid w:val="00696128"/>
    <w:rsid w:val="00696746"/>
    <w:rsid w:val="0069697D"/>
    <w:rsid w:val="006A0CFB"/>
    <w:rsid w:val="006A2D87"/>
    <w:rsid w:val="006A2FA6"/>
    <w:rsid w:val="006A42E6"/>
    <w:rsid w:val="006A4579"/>
    <w:rsid w:val="006A4B2D"/>
    <w:rsid w:val="006A5184"/>
    <w:rsid w:val="006A581C"/>
    <w:rsid w:val="006B1349"/>
    <w:rsid w:val="006B160D"/>
    <w:rsid w:val="006B297B"/>
    <w:rsid w:val="006B2A0C"/>
    <w:rsid w:val="006B2A60"/>
    <w:rsid w:val="006B2B72"/>
    <w:rsid w:val="006B2D5D"/>
    <w:rsid w:val="006B3EAF"/>
    <w:rsid w:val="006B4713"/>
    <w:rsid w:val="006B5191"/>
    <w:rsid w:val="006B6DDC"/>
    <w:rsid w:val="006B78D6"/>
    <w:rsid w:val="006C1E52"/>
    <w:rsid w:val="006C38D5"/>
    <w:rsid w:val="006C44DC"/>
    <w:rsid w:val="006C4E70"/>
    <w:rsid w:val="006C672B"/>
    <w:rsid w:val="006C67BC"/>
    <w:rsid w:val="006C72EA"/>
    <w:rsid w:val="006C7BDF"/>
    <w:rsid w:val="006D3CBE"/>
    <w:rsid w:val="006D47D4"/>
    <w:rsid w:val="006D4D2C"/>
    <w:rsid w:val="006D5ADF"/>
    <w:rsid w:val="006D74D5"/>
    <w:rsid w:val="006D77B1"/>
    <w:rsid w:val="006D7B56"/>
    <w:rsid w:val="006E00F8"/>
    <w:rsid w:val="006E1E06"/>
    <w:rsid w:val="006E1E48"/>
    <w:rsid w:val="006E2E2C"/>
    <w:rsid w:val="006E360C"/>
    <w:rsid w:val="006E3FDA"/>
    <w:rsid w:val="006E5AF3"/>
    <w:rsid w:val="006E6E3C"/>
    <w:rsid w:val="006F17E2"/>
    <w:rsid w:val="006F411A"/>
    <w:rsid w:val="006F73D5"/>
    <w:rsid w:val="00701FAF"/>
    <w:rsid w:val="007048A6"/>
    <w:rsid w:val="00705A4F"/>
    <w:rsid w:val="00705B97"/>
    <w:rsid w:val="00707699"/>
    <w:rsid w:val="00710FCB"/>
    <w:rsid w:val="007118DE"/>
    <w:rsid w:val="007137A5"/>
    <w:rsid w:val="007140D9"/>
    <w:rsid w:val="007208A3"/>
    <w:rsid w:val="00721482"/>
    <w:rsid w:val="00723617"/>
    <w:rsid w:val="00727D10"/>
    <w:rsid w:val="007304C6"/>
    <w:rsid w:val="0073060F"/>
    <w:rsid w:val="00731E90"/>
    <w:rsid w:val="0073412C"/>
    <w:rsid w:val="007341D5"/>
    <w:rsid w:val="00735145"/>
    <w:rsid w:val="00737010"/>
    <w:rsid w:val="00740B17"/>
    <w:rsid w:val="00743178"/>
    <w:rsid w:val="00743E86"/>
    <w:rsid w:val="00745E27"/>
    <w:rsid w:val="007462B5"/>
    <w:rsid w:val="00746CDF"/>
    <w:rsid w:val="00750DFA"/>
    <w:rsid w:val="007520C3"/>
    <w:rsid w:val="007522DE"/>
    <w:rsid w:val="00752443"/>
    <w:rsid w:val="00752D51"/>
    <w:rsid w:val="00754948"/>
    <w:rsid w:val="0075541C"/>
    <w:rsid w:val="00755A0B"/>
    <w:rsid w:val="00757C4D"/>
    <w:rsid w:val="00760C2E"/>
    <w:rsid w:val="00761A5E"/>
    <w:rsid w:val="007624EC"/>
    <w:rsid w:val="007626EB"/>
    <w:rsid w:val="00762A46"/>
    <w:rsid w:val="007632DA"/>
    <w:rsid w:val="007641F6"/>
    <w:rsid w:val="00764AA1"/>
    <w:rsid w:val="0076614F"/>
    <w:rsid w:val="007713AB"/>
    <w:rsid w:val="00772D46"/>
    <w:rsid w:val="00773D70"/>
    <w:rsid w:val="007742CA"/>
    <w:rsid w:val="007764CD"/>
    <w:rsid w:val="0077758E"/>
    <w:rsid w:val="0078039A"/>
    <w:rsid w:val="00781B57"/>
    <w:rsid w:val="007829DF"/>
    <w:rsid w:val="00782F4A"/>
    <w:rsid w:val="0078305E"/>
    <w:rsid w:val="00783A53"/>
    <w:rsid w:val="00784498"/>
    <w:rsid w:val="007849AC"/>
    <w:rsid w:val="0078669A"/>
    <w:rsid w:val="0079049B"/>
    <w:rsid w:val="00790BF3"/>
    <w:rsid w:val="00790F7E"/>
    <w:rsid w:val="007914C4"/>
    <w:rsid w:val="00792118"/>
    <w:rsid w:val="007926BD"/>
    <w:rsid w:val="0079499E"/>
    <w:rsid w:val="00794A91"/>
    <w:rsid w:val="007956C7"/>
    <w:rsid w:val="00795EE4"/>
    <w:rsid w:val="00796D30"/>
    <w:rsid w:val="007A09A8"/>
    <w:rsid w:val="007A0FA6"/>
    <w:rsid w:val="007A74B3"/>
    <w:rsid w:val="007A76EB"/>
    <w:rsid w:val="007B386C"/>
    <w:rsid w:val="007B3D23"/>
    <w:rsid w:val="007B6330"/>
    <w:rsid w:val="007C1650"/>
    <w:rsid w:val="007C1E84"/>
    <w:rsid w:val="007C4412"/>
    <w:rsid w:val="007D0565"/>
    <w:rsid w:val="007D1895"/>
    <w:rsid w:val="007D2294"/>
    <w:rsid w:val="007D296B"/>
    <w:rsid w:val="007D3B0C"/>
    <w:rsid w:val="007D7334"/>
    <w:rsid w:val="007D7C96"/>
    <w:rsid w:val="007E0325"/>
    <w:rsid w:val="007E0A8B"/>
    <w:rsid w:val="007E0B65"/>
    <w:rsid w:val="007E1F26"/>
    <w:rsid w:val="007E20F9"/>
    <w:rsid w:val="007E3B38"/>
    <w:rsid w:val="007E3FC6"/>
    <w:rsid w:val="007E5111"/>
    <w:rsid w:val="007F0F43"/>
    <w:rsid w:val="007F1623"/>
    <w:rsid w:val="007F1639"/>
    <w:rsid w:val="007F2579"/>
    <w:rsid w:val="007F2B55"/>
    <w:rsid w:val="007F3178"/>
    <w:rsid w:val="007F5F8E"/>
    <w:rsid w:val="007F642B"/>
    <w:rsid w:val="007F6AA0"/>
    <w:rsid w:val="00801008"/>
    <w:rsid w:val="00801DC6"/>
    <w:rsid w:val="008020FD"/>
    <w:rsid w:val="00804BD4"/>
    <w:rsid w:val="00804FFF"/>
    <w:rsid w:val="00805662"/>
    <w:rsid w:val="00806004"/>
    <w:rsid w:val="00810FAD"/>
    <w:rsid w:val="008111F9"/>
    <w:rsid w:val="00815F92"/>
    <w:rsid w:val="00820CBB"/>
    <w:rsid w:val="00822770"/>
    <w:rsid w:val="00823A0F"/>
    <w:rsid w:val="00825566"/>
    <w:rsid w:val="008274EC"/>
    <w:rsid w:val="00830B9E"/>
    <w:rsid w:val="00831049"/>
    <w:rsid w:val="00831984"/>
    <w:rsid w:val="00833269"/>
    <w:rsid w:val="0083475A"/>
    <w:rsid w:val="00834E95"/>
    <w:rsid w:val="00834F81"/>
    <w:rsid w:val="00836F95"/>
    <w:rsid w:val="008379F9"/>
    <w:rsid w:val="00841399"/>
    <w:rsid w:val="00841F72"/>
    <w:rsid w:val="008421E7"/>
    <w:rsid w:val="00842770"/>
    <w:rsid w:val="008432E5"/>
    <w:rsid w:val="0084366F"/>
    <w:rsid w:val="00845597"/>
    <w:rsid w:val="00845921"/>
    <w:rsid w:val="0084661F"/>
    <w:rsid w:val="0084687F"/>
    <w:rsid w:val="00847BA8"/>
    <w:rsid w:val="008518CC"/>
    <w:rsid w:val="0085378C"/>
    <w:rsid w:val="008561A2"/>
    <w:rsid w:val="00856C1B"/>
    <w:rsid w:val="008601DF"/>
    <w:rsid w:val="008608DF"/>
    <w:rsid w:val="00861CFE"/>
    <w:rsid w:val="00863A9E"/>
    <w:rsid w:val="00863F85"/>
    <w:rsid w:val="00864333"/>
    <w:rsid w:val="0086484B"/>
    <w:rsid w:val="00864F9B"/>
    <w:rsid w:val="00865E4A"/>
    <w:rsid w:val="0086680E"/>
    <w:rsid w:val="008674BA"/>
    <w:rsid w:val="00871928"/>
    <w:rsid w:val="008739A0"/>
    <w:rsid w:val="008740D1"/>
    <w:rsid w:val="008748B3"/>
    <w:rsid w:val="00875169"/>
    <w:rsid w:val="00877560"/>
    <w:rsid w:val="008809C7"/>
    <w:rsid w:val="00880EAE"/>
    <w:rsid w:val="008814A5"/>
    <w:rsid w:val="00881C94"/>
    <w:rsid w:val="00882E5A"/>
    <w:rsid w:val="00884BA9"/>
    <w:rsid w:val="008864DA"/>
    <w:rsid w:val="008868DB"/>
    <w:rsid w:val="008902AB"/>
    <w:rsid w:val="00890830"/>
    <w:rsid w:val="0089297A"/>
    <w:rsid w:val="00896645"/>
    <w:rsid w:val="00896A30"/>
    <w:rsid w:val="00897A5A"/>
    <w:rsid w:val="00897B05"/>
    <w:rsid w:val="00897D1A"/>
    <w:rsid w:val="00897EEB"/>
    <w:rsid w:val="008A1944"/>
    <w:rsid w:val="008A1E51"/>
    <w:rsid w:val="008A3876"/>
    <w:rsid w:val="008A3C8C"/>
    <w:rsid w:val="008A455A"/>
    <w:rsid w:val="008A4ABB"/>
    <w:rsid w:val="008A4D0B"/>
    <w:rsid w:val="008A634E"/>
    <w:rsid w:val="008A6F1D"/>
    <w:rsid w:val="008B0F0D"/>
    <w:rsid w:val="008B31CF"/>
    <w:rsid w:val="008B5275"/>
    <w:rsid w:val="008B561D"/>
    <w:rsid w:val="008C0D6F"/>
    <w:rsid w:val="008C0FDC"/>
    <w:rsid w:val="008C1672"/>
    <w:rsid w:val="008C207C"/>
    <w:rsid w:val="008C35B5"/>
    <w:rsid w:val="008C385E"/>
    <w:rsid w:val="008C3E96"/>
    <w:rsid w:val="008C3ED8"/>
    <w:rsid w:val="008C6030"/>
    <w:rsid w:val="008D0CA5"/>
    <w:rsid w:val="008D146B"/>
    <w:rsid w:val="008D4788"/>
    <w:rsid w:val="008D550E"/>
    <w:rsid w:val="008D69A3"/>
    <w:rsid w:val="008E016A"/>
    <w:rsid w:val="008E0B00"/>
    <w:rsid w:val="008E27E2"/>
    <w:rsid w:val="008E2EA0"/>
    <w:rsid w:val="008E2F2D"/>
    <w:rsid w:val="008E5EA8"/>
    <w:rsid w:val="008E6DF7"/>
    <w:rsid w:val="008E7DF8"/>
    <w:rsid w:val="008F02B3"/>
    <w:rsid w:val="008F127E"/>
    <w:rsid w:val="008F1DAC"/>
    <w:rsid w:val="008F22B5"/>
    <w:rsid w:val="008F4581"/>
    <w:rsid w:val="008F5EE0"/>
    <w:rsid w:val="008F798A"/>
    <w:rsid w:val="009008CD"/>
    <w:rsid w:val="009015EB"/>
    <w:rsid w:val="009029C3"/>
    <w:rsid w:val="00903258"/>
    <w:rsid w:val="0090550F"/>
    <w:rsid w:val="00906685"/>
    <w:rsid w:val="0090778C"/>
    <w:rsid w:val="0091249F"/>
    <w:rsid w:val="009129AF"/>
    <w:rsid w:val="00914DC8"/>
    <w:rsid w:val="00921339"/>
    <w:rsid w:val="0092147A"/>
    <w:rsid w:val="00921C81"/>
    <w:rsid w:val="009248CA"/>
    <w:rsid w:val="00924F00"/>
    <w:rsid w:val="009255F2"/>
    <w:rsid w:val="009268B4"/>
    <w:rsid w:val="00926E08"/>
    <w:rsid w:val="00926E61"/>
    <w:rsid w:val="00926E85"/>
    <w:rsid w:val="0092763B"/>
    <w:rsid w:val="00930352"/>
    <w:rsid w:val="00930795"/>
    <w:rsid w:val="00931E3E"/>
    <w:rsid w:val="00934029"/>
    <w:rsid w:val="0093406A"/>
    <w:rsid w:val="00934F15"/>
    <w:rsid w:val="00935EFF"/>
    <w:rsid w:val="00937062"/>
    <w:rsid w:val="009409B6"/>
    <w:rsid w:val="00941640"/>
    <w:rsid w:val="00941928"/>
    <w:rsid w:val="00942668"/>
    <w:rsid w:val="0094300B"/>
    <w:rsid w:val="00943459"/>
    <w:rsid w:val="0094425F"/>
    <w:rsid w:val="009443EE"/>
    <w:rsid w:val="00944E1D"/>
    <w:rsid w:val="00945095"/>
    <w:rsid w:val="009506CC"/>
    <w:rsid w:val="00950803"/>
    <w:rsid w:val="00950A97"/>
    <w:rsid w:val="009515BC"/>
    <w:rsid w:val="00953563"/>
    <w:rsid w:val="00953996"/>
    <w:rsid w:val="009566B7"/>
    <w:rsid w:val="009566E9"/>
    <w:rsid w:val="00956730"/>
    <w:rsid w:val="0095791C"/>
    <w:rsid w:val="00957C13"/>
    <w:rsid w:val="00957DC2"/>
    <w:rsid w:val="009619CE"/>
    <w:rsid w:val="00961CFB"/>
    <w:rsid w:val="00961D34"/>
    <w:rsid w:val="00962EC7"/>
    <w:rsid w:val="00964738"/>
    <w:rsid w:val="00965219"/>
    <w:rsid w:val="009658C4"/>
    <w:rsid w:val="00965FE9"/>
    <w:rsid w:val="00967780"/>
    <w:rsid w:val="00967E6B"/>
    <w:rsid w:val="0097298A"/>
    <w:rsid w:val="00973C56"/>
    <w:rsid w:val="00983E58"/>
    <w:rsid w:val="009841CA"/>
    <w:rsid w:val="00984F9D"/>
    <w:rsid w:val="009854C7"/>
    <w:rsid w:val="00987A01"/>
    <w:rsid w:val="00990FA0"/>
    <w:rsid w:val="00993346"/>
    <w:rsid w:val="00995539"/>
    <w:rsid w:val="00997C84"/>
    <w:rsid w:val="009A138E"/>
    <w:rsid w:val="009A197E"/>
    <w:rsid w:val="009A23B9"/>
    <w:rsid w:val="009A2779"/>
    <w:rsid w:val="009A4EFB"/>
    <w:rsid w:val="009A5879"/>
    <w:rsid w:val="009A6301"/>
    <w:rsid w:val="009B05C6"/>
    <w:rsid w:val="009B0952"/>
    <w:rsid w:val="009B119F"/>
    <w:rsid w:val="009B59C8"/>
    <w:rsid w:val="009B6F40"/>
    <w:rsid w:val="009B781F"/>
    <w:rsid w:val="009C2FD7"/>
    <w:rsid w:val="009C4C18"/>
    <w:rsid w:val="009C6808"/>
    <w:rsid w:val="009C6CDA"/>
    <w:rsid w:val="009C6EB2"/>
    <w:rsid w:val="009C7902"/>
    <w:rsid w:val="009C7C0A"/>
    <w:rsid w:val="009D0299"/>
    <w:rsid w:val="009D264D"/>
    <w:rsid w:val="009D2A87"/>
    <w:rsid w:val="009D4E53"/>
    <w:rsid w:val="009D55DC"/>
    <w:rsid w:val="009D6A42"/>
    <w:rsid w:val="009D7E74"/>
    <w:rsid w:val="009E00A7"/>
    <w:rsid w:val="009E02BE"/>
    <w:rsid w:val="009E172A"/>
    <w:rsid w:val="009E3446"/>
    <w:rsid w:val="009E63D5"/>
    <w:rsid w:val="009E6C07"/>
    <w:rsid w:val="009E77BD"/>
    <w:rsid w:val="009F047D"/>
    <w:rsid w:val="009F0815"/>
    <w:rsid w:val="009F4526"/>
    <w:rsid w:val="009F4E0F"/>
    <w:rsid w:val="009F546E"/>
    <w:rsid w:val="009F5F57"/>
    <w:rsid w:val="009F6368"/>
    <w:rsid w:val="00A0058B"/>
    <w:rsid w:val="00A042B1"/>
    <w:rsid w:val="00A056D1"/>
    <w:rsid w:val="00A05CA0"/>
    <w:rsid w:val="00A06F84"/>
    <w:rsid w:val="00A10AEC"/>
    <w:rsid w:val="00A10C80"/>
    <w:rsid w:val="00A1209A"/>
    <w:rsid w:val="00A12CAC"/>
    <w:rsid w:val="00A144BB"/>
    <w:rsid w:val="00A149AA"/>
    <w:rsid w:val="00A15C71"/>
    <w:rsid w:val="00A174E8"/>
    <w:rsid w:val="00A17E59"/>
    <w:rsid w:val="00A229E4"/>
    <w:rsid w:val="00A22B25"/>
    <w:rsid w:val="00A23399"/>
    <w:rsid w:val="00A236CA"/>
    <w:rsid w:val="00A23CF1"/>
    <w:rsid w:val="00A2656B"/>
    <w:rsid w:val="00A30243"/>
    <w:rsid w:val="00A308FA"/>
    <w:rsid w:val="00A314BB"/>
    <w:rsid w:val="00A35874"/>
    <w:rsid w:val="00A37527"/>
    <w:rsid w:val="00A400BE"/>
    <w:rsid w:val="00A414DD"/>
    <w:rsid w:val="00A41A5A"/>
    <w:rsid w:val="00A42369"/>
    <w:rsid w:val="00A427F6"/>
    <w:rsid w:val="00A43C87"/>
    <w:rsid w:val="00A504FC"/>
    <w:rsid w:val="00A513D3"/>
    <w:rsid w:val="00A519CD"/>
    <w:rsid w:val="00A51B59"/>
    <w:rsid w:val="00A51E6A"/>
    <w:rsid w:val="00A538C3"/>
    <w:rsid w:val="00A55D1E"/>
    <w:rsid w:val="00A5739E"/>
    <w:rsid w:val="00A611F5"/>
    <w:rsid w:val="00A634DA"/>
    <w:rsid w:val="00A63E72"/>
    <w:rsid w:val="00A64850"/>
    <w:rsid w:val="00A65908"/>
    <w:rsid w:val="00A70AB8"/>
    <w:rsid w:val="00A71354"/>
    <w:rsid w:val="00A725BE"/>
    <w:rsid w:val="00A727AC"/>
    <w:rsid w:val="00A73862"/>
    <w:rsid w:val="00A7552C"/>
    <w:rsid w:val="00A75AB8"/>
    <w:rsid w:val="00A77549"/>
    <w:rsid w:val="00A7762C"/>
    <w:rsid w:val="00A8064E"/>
    <w:rsid w:val="00A825D8"/>
    <w:rsid w:val="00A82C31"/>
    <w:rsid w:val="00A82D8D"/>
    <w:rsid w:val="00A83088"/>
    <w:rsid w:val="00A8485E"/>
    <w:rsid w:val="00A84F18"/>
    <w:rsid w:val="00A8551B"/>
    <w:rsid w:val="00A906A6"/>
    <w:rsid w:val="00A909FF"/>
    <w:rsid w:val="00A91B78"/>
    <w:rsid w:val="00A92BDA"/>
    <w:rsid w:val="00A92FE0"/>
    <w:rsid w:val="00A95FF5"/>
    <w:rsid w:val="00A965C6"/>
    <w:rsid w:val="00A967C8"/>
    <w:rsid w:val="00A96F6B"/>
    <w:rsid w:val="00AA0FEE"/>
    <w:rsid w:val="00AA203B"/>
    <w:rsid w:val="00AA20FB"/>
    <w:rsid w:val="00AA2B86"/>
    <w:rsid w:val="00AA3379"/>
    <w:rsid w:val="00AA4C52"/>
    <w:rsid w:val="00AA5E9F"/>
    <w:rsid w:val="00AB19FB"/>
    <w:rsid w:val="00AB2117"/>
    <w:rsid w:val="00AB27D8"/>
    <w:rsid w:val="00AB443C"/>
    <w:rsid w:val="00AB4A4B"/>
    <w:rsid w:val="00AB4E75"/>
    <w:rsid w:val="00AB4EA9"/>
    <w:rsid w:val="00AB5099"/>
    <w:rsid w:val="00AC097A"/>
    <w:rsid w:val="00AC2481"/>
    <w:rsid w:val="00AC2C9E"/>
    <w:rsid w:val="00AC37CF"/>
    <w:rsid w:val="00AC3CE5"/>
    <w:rsid w:val="00AC4688"/>
    <w:rsid w:val="00AC7188"/>
    <w:rsid w:val="00AC77BA"/>
    <w:rsid w:val="00AC7E4B"/>
    <w:rsid w:val="00AD0CEE"/>
    <w:rsid w:val="00AD3BF3"/>
    <w:rsid w:val="00AD439C"/>
    <w:rsid w:val="00AD6565"/>
    <w:rsid w:val="00AD723A"/>
    <w:rsid w:val="00AD76FF"/>
    <w:rsid w:val="00AE0F16"/>
    <w:rsid w:val="00AE11A1"/>
    <w:rsid w:val="00AE1923"/>
    <w:rsid w:val="00AE1C0B"/>
    <w:rsid w:val="00AE264D"/>
    <w:rsid w:val="00AE2D3F"/>
    <w:rsid w:val="00AE38A9"/>
    <w:rsid w:val="00AE3C14"/>
    <w:rsid w:val="00AE3C94"/>
    <w:rsid w:val="00AE3E29"/>
    <w:rsid w:val="00AE4A66"/>
    <w:rsid w:val="00AE5F46"/>
    <w:rsid w:val="00AE60CD"/>
    <w:rsid w:val="00AE6FEA"/>
    <w:rsid w:val="00AF148A"/>
    <w:rsid w:val="00AF17ED"/>
    <w:rsid w:val="00AF1B87"/>
    <w:rsid w:val="00AF205F"/>
    <w:rsid w:val="00AF2C1C"/>
    <w:rsid w:val="00AF5C3B"/>
    <w:rsid w:val="00AF6319"/>
    <w:rsid w:val="00AF6628"/>
    <w:rsid w:val="00AF6BF0"/>
    <w:rsid w:val="00B015E7"/>
    <w:rsid w:val="00B02A4A"/>
    <w:rsid w:val="00B039B5"/>
    <w:rsid w:val="00B04F2A"/>
    <w:rsid w:val="00B05E7E"/>
    <w:rsid w:val="00B07A66"/>
    <w:rsid w:val="00B1016A"/>
    <w:rsid w:val="00B11E6A"/>
    <w:rsid w:val="00B129E9"/>
    <w:rsid w:val="00B12A22"/>
    <w:rsid w:val="00B14403"/>
    <w:rsid w:val="00B155BA"/>
    <w:rsid w:val="00B15FEF"/>
    <w:rsid w:val="00B17B8E"/>
    <w:rsid w:val="00B225E6"/>
    <w:rsid w:val="00B23A8D"/>
    <w:rsid w:val="00B24291"/>
    <w:rsid w:val="00B24890"/>
    <w:rsid w:val="00B257B6"/>
    <w:rsid w:val="00B2620D"/>
    <w:rsid w:val="00B262D7"/>
    <w:rsid w:val="00B31691"/>
    <w:rsid w:val="00B31EFB"/>
    <w:rsid w:val="00B373C9"/>
    <w:rsid w:val="00B402F0"/>
    <w:rsid w:val="00B4131F"/>
    <w:rsid w:val="00B45FDC"/>
    <w:rsid w:val="00B46330"/>
    <w:rsid w:val="00B51C8C"/>
    <w:rsid w:val="00B52AC2"/>
    <w:rsid w:val="00B53B36"/>
    <w:rsid w:val="00B54248"/>
    <w:rsid w:val="00B54FDF"/>
    <w:rsid w:val="00B57D99"/>
    <w:rsid w:val="00B60F5B"/>
    <w:rsid w:val="00B616FA"/>
    <w:rsid w:val="00B62737"/>
    <w:rsid w:val="00B628A8"/>
    <w:rsid w:val="00B635E6"/>
    <w:rsid w:val="00B644A3"/>
    <w:rsid w:val="00B657DA"/>
    <w:rsid w:val="00B67CA6"/>
    <w:rsid w:val="00B71873"/>
    <w:rsid w:val="00B7283F"/>
    <w:rsid w:val="00B73D90"/>
    <w:rsid w:val="00B76AD5"/>
    <w:rsid w:val="00B76ADB"/>
    <w:rsid w:val="00B778CA"/>
    <w:rsid w:val="00B801F1"/>
    <w:rsid w:val="00B81061"/>
    <w:rsid w:val="00B81D55"/>
    <w:rsid w:val="00B84530"/>
    <w:rsid w:val="00B86137"/>
    <w:rsid w:val="00B8765F"/>
    <w:rsid w:val="00B926CC"/>
    <w:rsid w:val="00B935FA"/>
    <w:rsid w:val="00B95539"/>
    <w:rsid w:val="00B97268"/>
    <w:rsid w:val="00BA2A2A"/>
    <w:rsid w:val="00BA4C80"/>
    <w:rsid w:val="00BA5F53"/>
    <w:rsid w:val="00BA5FB7"/>
    <w:rsid w:val="00BB0B4D"/>
    <w:rsid w:val="00BB118C"/>
    <w:rsid w:val="00BB1DF8"/>
    <w:rsid w:val="00BB3478"/>
    <w:rsid w:val="00BB5853"/>
    <w:rsid w:val="00BB6389"/>
    <w:rsid w:val="00BB74B5"/>
    <w:rsid w:val="00BB76C9"/>
    <w:rsid w:val="00BB789B"/>
    <w:rsid w:val="00BB7948"/>
    <w:rsid w:val="00BC03DA"/>
    <w:rsid w:val="00BC06D3"/>
    <w:rsid w:val="00BC0F4B"/>
    <w:rsid w:val="00BC295F"/>
    <w:rsid w:val="00BC33D0"/>
    <w:rsid w:val="00BC38EE"/>
    <w:rsid w:val="00BC442A"/>
    <w:rsid w:val="00BC47E7"/>
    <w:rsid w:val="00BC6F15"/>
    <w:rsid w:val="00BD1AFF"/>
    <w:rsid w:val="00BD40EF"/>
    <w:rsid w:val="00BD44F9"/>
    <w:rsid w:val="00BD729D"/>
    <w:rsid w:val="00BD7748"/>
    <w:rsid w:val="00BE1078"/>
    <w:rsid w:val="00BE1EAD"/>
    <w:rsid w:val="00BE2256"/>
    <w:rsid w:val="00BE4B86"/>
    <w:rsid w:val="00BE4D11"/>
    <w:rsid w:val="00BE5EAB"/>
    <w:rsid w:val="00BE6D91"/>
    <w:rsid w:val="00BF0A64"/>
    <w:rsid w:val="00BF1750"/>
    <w:rsid w:val="00BF1D36"/>
    <w:rsid w:val="00BF1FBE"/>
    <w:rsid w:val="00BF24FB"/>
    <w:rsid w:val="00BF2A1B"/>
    <w:rsid w:val="00BF3D52"/>
    <w:rsid w:val="00BF58DC"/>
    <w:rsid w:val="00BF5C01"/>
    <w:rsid w:val="00C00817"/>
    <w:rsid w:val="00C02FFA"/>
    <w:rsid w:val="00C03653"/>
    <w:rsid w:val="00C057F4"/>
    <w:rsid w:val="00C05999"/>
    <w:rsid w:val="00C067E0"/>
    <w:rsid w:val="00C06ECD"/>
    <w:rsid w:val="00C07DBC"/>
    <w:rsid w:val="00C12C4D"/>
    <w:rsid w:val="00C12E05"/>
    <w:rsid w:val="00C13118"/>
    <w:rsid w:val="00C137A1"/>
    <w:rsid w:val="00C1411F"/>
    <w:rsid w:val="00C14A02"/>
    <w:rsid w:val="00C15E08"/>
    <w:rsid w:val="00C165F7"/>
    <w:rsid w:val="00C1694E"/>
    <w:rsid w:val="00C205E6"/>
    <w:rsid w:val="00C20CBD"/>
    <w:rsid w:val="00C22438"/>
    <w:rsid w:val="00C23A23"/>
    <w:rsid w:val="00C24A32"/>
    <w:rsid w:val="00C24FB8"/>
    <w:rsid w:val="00C258D1"/>
    <w:rsid w:val="00C2680C"/>
    <w:rsid w:val="00C2687F"/>
    <w:rsid w:val="00C271B5"/>
    <w:rsid w:val="00C27280"/>
    <w:rsid w:val="00C30F93"/>
    <w:rsid w:val="00C31AF8"/>
    <w:rsid w:val="00C31B7D"/>
    <w:rsid w:val="00C31C29"/>
    <w:rsid w:val="00C32A92"/>
    <w:rsid w:val="00C32CAF"/>
    <w:rsid w:val="00C33621"/>
    <w:rsid w:val="00C34C52"/>
    <w:rsid w:val="00C34CD0"/>
    <w:rsid w:val="00C364DA"/>
    <w:rsid w:val="00C4115A"/>
    <w:rsid w:val="00C447F8"/>
    <w:rsid w:val="00C4545C"/>
    <w:rsid w:val="00C46208"/>
    <w:rsid w:val="00C465BB"/>
    <w:rsid w:val="00C5163A"/>
    <w:rsid w:val="00C51AA0"/>
    <w:rsid w:val="00C544F3"/>
    <w:rsid w:val="00C55206"/>
    <w:rsid w:val="00C55822"/>
    <w:rsid w:val="00C60236"/>
    <w:rsid w:val="00C629B7"/>
    <w:rsid w:val="00C6313D"/>
    <w:rsid w:val="00C72146"/>
    <w:rsid w:val="00C764DA"/>
    <w:rsid w:val="00C77F9D"/>
    <w:rsid w:val="00C803CF"/>
    <w:rsid w:val="00C8068B"/>
    <w:rsid w:val="00C850F1"/>
    <w:rsid w:val="00C86821"/>
    <w:rsid w:val="00C8688D"/>
    <w:rsid w:val="00C8714E"/>
    <w:rsid w:val="00C8745D"/>
    <w:rsid w:val="00C90492"/>
    <w:rsid w:val="00C908CA"/>
    <w:rsid w:val="00C90C77"/>
    <w:rsid w:val="00C90EA5"/>
    <w:rsid w:val="00C90FE0"/>
    <w:rsid w:val="00C919DC"/>
    <w:rsid w:val="00C97B46"/>
    <w:rsid w:val="00CA1EF6"/>
    <w:rsid w:val="00CA291A"/>
    <w:rsid w:val="00CA2C21"/>
    <w:rsid w:val="00CA3569"/>
    <w:rsid w:val="00CA47E7"/>
    <w:rsid w:val="00CA4D4B"/>
    <w:rsid w:val="00CA5A43"/>
    <w:rsid w:val="00CA5C66"/>
    <w:rsid w:val="00CA7C7B"/>
    <w:rsid w:val="00CB1418"/>
    <w:rsid w:val="00CB17C1"/>
    <w:rsid w:val="00CB3548"/>
    <w:rsid w:val="00CB39E1"/>
    <w:rsid w:val="00CB4310"/>
    <w:rsid w:val="00CB6CFC"/>
    <w:rsid w:val="00CB6DED"/>
    <w:rsid w:val="00CB6E04"/>
    <w:rsid w:val="00CB6F1E"/>
    <w:rsid w:val="00CC07AB"/>
    <w:rsid w:val="00CC085D"/>
    <w:rsid w:val="00CC091B"/>
    <w:rsid w:val="00CC1C98"/>
    <w:rsid w:val="00CC1D18"/>
    <w:rsid w:val="00CC293F"/>
    <w:rsid w:val="00CC4954"/>
    <w:rsid w:val="00CC5F6E"/>
    <w:rsid w:val="00CC6DF0"/>
    <w:rsid w:val="00CC7819"/>
    <w:rsid w:val="00CD0DFB"/>
    <w:rsid w:val="00CD13BF"/>
    <w:rsid w:val="00CD3C46"/>
    <w:rsid w:val="00CD3DC6"/>
    <w:rsid w:val="00CD3E2D"/>
    <w:rsid w:val="00CD45C6"/>
    <w:rsid w:val="00CD4901"/>
    <w:rsid w:val="00CD5A23"/>
    <w:rsid w:val="00CD6884"/>
    <w:rsid w:val="00CD6D97"/>
    <w:rsid w:val="00CD7D9F"/>
    <w:rsid w:val="00CD7F34"/>
    <w:rsid w:val="00CE01D8"/>
    <w:rsid w:val="00CE0693"/>
    <w:rsid w:val="00CE100C"/>
    <w:rsid w:val="00CE373D"/>
    <w:rsid w:val="00CE4E7B"/>
    <w:rsid w:val="00CE58C7"/>
    <w:rsid w:val="00CE599B"/>
    <w:rsid w:val="00CE66DA"/>
    <w:rsid w:val="00CE7B44"/>
    <w:rsid w:val="00CF11BA"/>
    <w:rsid w:val="00CF237A"/>
    <w:rsid w:val="00CF360B"/>
    <w:rsid w:val="00CF73E8"/>
    <w:rsid w:val="00CF7F55"/>
    <w:rsid w:val="00D01653"/>
    <w:rsid w:val="00D02060"/>
    <w:rsid w:val="00D06921"/>
    <w:rsid w:val="00D10E09"/>
    <w:rsid w:val="00D12E77"/>
    <w:rsid w:val="00D13678"/>
    <w:rsid w:val="00D14BF4"/>
    <w:rsid w:val="00D15E4D"/>
    <w:rsid w:val="00D16DA7"/>
    <w:rsid w:val="00D2026D"/>
    <w:rsid w:val="00D24B97"/>
    <w:rsid w:val="00D24F72"/>
    <w:rsid w:val="00D2614E"/>
    <w:rsid w:val="00D273B0"/>
    <w:rsid w:val="00D30AF0"/>
    <w:rsid w:val="00D30EC1"/>
    <w:rsid w:val="00D348E5"/>
    <w:rsid w:val="00D349E2"/>
    <w:rsid w:val="00D36544"/>
    <w:rsid w:val="00D36687"/>
    <w:rsid w:val="00D40098"/>
    <w:rsid w:val="00D4382C"/>
    <w:rsid w:val="00D43BC1"/>
    <w:rsid w:val="00D44ADC"/>
    <w:rsid w:val="00D46BE2"/>
    <w:rsid w:val="00D50C5A"/>
    <w:rsid w:val="00D50F7B"/>
    <w:rsid w:val="00D510BD"/>
    <w:rsid w:val="00D519B2"/>
    <w:rsid w:val="00D525D0"/>
    <w:rsid w:val="00D53231"/>
    <w:rsid w:val="00D53828"/>
    <w:rsid w:val="00D53885"/>
    <w:rsid w:val="00D54E7C"/>
    <w:rsid w:val="00D54EC2"/>
    <w:rsid w:val="00D55116"/>
    <w:rsid w:val="00D56850"/>
    <w:rsid w:val="00D575AE"/>
    <w:rsid w:val="00D63518"/>
    <w:rsid w:val="00D65A53"/>
    <w:rsid w:val="00D65B17"/>
    <w:rsid w:val="00D65F43"/>
    <w:rsid w:val="00D67ED6"/>
    <w:rsid w:val="00D712F8"/>
    <w:rsid w:val="00D74BC5"/>
    <w:rsid w:val="00D768BC"/>
    <w:rsid w:val="00D8116D"/>
    <w:rsid w:val="00D818E8"/>
    <w:rsid w:val="00D83C12"/>
    <w:rsid w:val="00D84742"/>
    <w:rsid w:val="00D84B7E"/>
    <w:rsid w:val="00D901A4"/>
    <w:rsid w:val="00D913EF"/>
    <w:rsid w:val="00D929E5"/>
    <w:rsid w:val="00D92E2B"/>
    <w:rsid w:val="00D9634E"/>
    <w:rsid w:val="00DA0E84"/>
    <w:rsid w:val="00DA244F"/>
    <w:rsid w:val="00DA3A98"/>
    <w:rsid w:val="00DA49AD"/>
    <w:rsid w:val="00DA4A40"/>
    <w:rsid w:val="00DA4B96"/>
    <w:rsid w:val="00DA4BF7"/>
    <w:rsid w:val="00DA5EDA"/>
    <w:rsid w:val="00DB054C"/>
    <w:rsid w:val="00DB0E7C"/>
    <w:rsid w:val="00DB1CC3"/>
    <w:rsid w:val="00DB2BB3"/>
    <w:rsid w:val="00DB2DD4"/>
    <w:rsid w:val="00DB4A3B"/>
    <w:rsid w:val="00DB5368"/>
    <w:rsid w:val="00DB5782"/>
    <w:rsid w:val="00DB5CB3"/>
    <w:rsid w:val="00DB613E"/>
    <w:rsid w:val="00DB62DD"/>
    <w:rsid w:val="00DB6B8B"/>
    <w:rsid w:val="00DB7009"/>
    <w:rsid w:val="00DB712A"/>
    <w:rsid w:val="00DC06AD"/>
    <w:rsid w:val="00DC3BE4"/>
    <w:rsid w:val="00DC4DB8"/>
    <w:rsid w:val="00DC5C00"/>
    <w:rsid w:val="00DC5F52"/>
    <w:rsid w:val="00DC619A"/>
    <w:rsid w:val="00DC7265"/>
    <w:rsid w:val="00DC745B"/>
    <w:rsid w:val="00DD341D"/>
    <w:rsid w:val="00DD34CC"/>
    <w:rsid w:val="00DD537F"/>
    <w:rsid w:val="00DD751A"/>
    <w:rsid w:val="00DE18A3"/>
    <w:rsid w:val="00DE190D"/>
    <w:rsid w:val="00DE3742"/>
    <w:rsid w:val="00DE6100"/>
    <w:rsid w:val="00DE6274"/>
    <w:rsid w:val="00DE7693"/>
    <w:rsid w:val="00DE76FF"/>
    <w:rsid w:val="00DE7AA9"/>
    <w:rsid w:val="00DF0002"/>
    <w:rsid w:val="00DF0BAA"/>
    <w:rsid w:val="00DF0E9F"/>
    <w:rsid w:val="00DF0F2D"/>
    <w:rsid w:val="00DF26AF"/>
    <w:rsid w:val="00DF42FC"/>
    <w:rsid w:val="00DF62E0"/>
    <w:rsid w:val="00DF7AA9"/>
    <w:rsid w:val="00E00256"/>
    <w:rsid w:val="00E0088F"/>
    <w:rsid w:val="00E01D89"/>
    <w:rsid w:val="00E02462"/>
    <w:rsid w:val="00E02D11"/>
    <w:rsid w:val="00E0669C"/>
    <w:rsid w:val="00E1097F"/>
    <w:rsid w:val="00E12DE7"/>
    <w:rsid w:val="00E13382"/>
    <w:rsid w:val="00E13885"/>
    <w:rsid w:val="00E15153"/>
    <w:rsid w:val="00E1577E"/>
    <w:rsid w:val="00E16261"/>
    <w:rsid w:val="00E20114"/>
    <w:rsid w:val="00E21E4A"/>
    <w:rsid w:val="00E21F0A"/>
    <w:rsid w:val="00E24882"/>
    <w:rsid w:val="00E2605F"/>
    <w:rsid w:val="00E26926"/>
    <w:rsid w:val="00E26BFE"/>
    <w:rsid w:val="00E314D8"/>
    <w:rsid w:val="00E316FE"/>
    <w:rsid w:val="00E31739"/>
    <w:rsid w:val="00E33F07"/>
    <w:rsid w:val="00E4033A"/>
    <w:rsid w:val="00E40B04"/>
    <w:rsid w:val="00E4225C"/>
    <w:rsid w:val="00E42C51"/>
    <w:rsid w:val="00E43EC2"/>
    <w:rsid w:val="00E455B7"/>
    <w:rsid w:val="00E45B5D"/>
    <w:rsid w:val="00E47450"/>
    <w:rsid w:val="00E477FD"/>
    <w:rsid w:val="00E47C5A"/>
    <w:rsid w:val="00E51005"/>
    <w:rsid w:val="00E52A02"/>
    <w:rsid w:val="00E53B2F"/>
    <w:rsid w:val="00E5489C"/>
    <w:rsid w:val="00E553B4"/>
    <w:rsid w:val="00E55C09"/>
    <w:rsid w:val="00E56C43"/>
    <w:rsid w:val="00E57816"/>
    <w:rsid w:val="00E6298C"/>
    <w:rsid w:val="00E62BB0"/>
    <w:rsid w:val="00E65D37"/>
    <w:rsid w:val="00E664AB"/>
    <w:rsid w:val="00E67167"/>
    <w:rsid w:val="00E673A9"/>
    <w:rsid w:val="00E6747D"/>
    <w:rsid w:val="00E70099"/>
    <w:rsid w:val="00E70EA7"/>
    <w:rsid w:val="00E72187"/>
    <w:rsid w:val="00E735E5"/>
    <w:rsid w:val="00E7371B"/>
    <w:rsid w:val="00E746E5"/>
    <w:rsid w:val="00E74A40"/>
    <w:rsid w:val="00E74C30"/>
    <w:rsid w:val="00E7641F"/>
    <w:rsid w:val="00E76E98"/>
    <w:rsid w:val="00E77768"/>
    <w:rsid w:val="00E81A8B"/>
    <w:rsid w:val="00E827FD"/>
    <w:rsid w:val="00E82F5C"/>
    <w:rsid w:val="00E86410"/>
    <w:rsid w:val="00E908CE"/>
    <w:rsid w:val="00E91479"/>
    <w:rsid w:val="00E91ED0"/>
    <w:rsid w:val="00E92150"/>
    <w:rsid w:val="00E95007"/>
    <w:rsid w:val="00E95162"/>
    <w:rsid w:val="00E9570D"/>
    <w:rsid w:val="00E95899"/>
    <w:rsid w:val="00E97127"/>
    <w:rsid w:val="00EA0952"/>
    <w:rsid w:val="00EA3038"/>
    <w:rsid w:val="00EA517B"/>
    <w:rsid w:val="00EA554C"/>
    <w:rsid w:val="00EA5733"/>
    <w:rsid w:val="00EA66FF"/>
    <w:rsid w:val="00EA6CD5"/>
    <w:rsid w:val="00EA7C49"/>
    <w:rsid w:val="00EB01EF"/>
    <w:rsid w:val="00EB058A"/>
    <w:rsid w:val="00EB1C6E"/>
    <w:rsid w:val="00EB2327"/>
    <w:rsid w:val="00EB292C"/>
    <w:rsid w:val="00EB5570"/>
    <w:rsid w:val="00EB62E6"/>
    <w:rsid w:val="00EB6356"/>
    <w:rsid w:val="00EB6C1A"/>
    <w:rsid w:val="00EB6FDF"/>
    <w:rsid w:val="00EB7A04"/>
    <w:rsid w:val="00EB7D97"/>
    <w:rsid w:val="00EC03E9"/>
    <w:rsid w:val="00EC22F5"/>
    <w:rsid w:val="00EC351A"/>
    <w:rsid w:val="00EC45EE"/>
    <w:rsid w:val="00EC4737"/>
    <w:rsid w:val="00EC4D8A"/>
    <w:rsid w:val="00EC6C48"/>
    <w:rsid w:val="00EC7750"/>
    <w:rsid w:val="00EC7D68"/>
    <w:rsid w:val="00EC7DD3"/>
    <w:rsid w:val="00ED02F8"/>
    <w:rsid w:val="00ED0D73"/>
    <w:rsid w:val="00ED1811"/>
    <w:rsid w:val="00ED26D0"/>
    <w:rsid w:val="00ED2DB3"/>
    <w:rsid w:val="00ED2F79"/>
    <w:rsid w:val="00ED326B"/>
    <w:rsid w:val="00ED4007"/>
    <w:rsid w:val="00ED473E"/>
    <w:rsid w:val="00ED4B35"/>
    <w:rsid w:val="00ED6496"/>
    <w:rsid w:val="00ED7B69"/>
    <w:rsid w:val="00EE0714"/>
    <w:rsid w:val="00EE12A8"/>
    <w:rsid w:val="00EE18BD"/>
    <w:rsid w:val="00EE3333"/>
    <w:rsid w:val="00EE340D"/>
    <w:rsid w:val="00EE39D1"/>
    <w:rsid w:val="00EE4500"/>
    <w:rsid w:val="00EE536D"/>
    <w:rsid w:val="00EE70B7"/>
    <w:rsid w:val="00EF15CB"/>
    <w:rsid w:val="00EF4F63"/>
    <w:rsid w:val="00EF53BB"/>
    <w:rsid w:val="00EF7F6A"/>
    <w:rsid w:val="00F00E98"/>
    <w:rsid w:val="00F0127D"/>
    <w:rsid w:val="00F015ED"/>
    <w:rsid w:val="00F02CF3"/>
    <w:rsid w:val="00F02E55"/>
    <w:rsid w:val="00F035F7"/>
    <w:rsid w:val="00F03C65"/>
    <w:rsid w:val="00F051F8"/>
    <w:rsid w:val="00F056BB"/>
    <w:rsid w:val="00F06063"/>
    <w:rsid w:val="00F06BE3"/>
    <w:rsid w:val="00F07F01"/>
    <w:rsid w:val="00F1174A"/>
    <w:rsid w:val="00F12B55"/>
    <w:rsid w:val="00F134FE"/>
    <w:rsid w:val="00F13D39"/>
    <w:rsid w:val="00F16345"/>
    <w:rsid w:val="00F2069A"/>
    <w:rsid w:val="00F20A5C"/>
    <w:rsid w:val="00F2231D"/>
    <w:rsid w:val="00F235F5"/>
    <w:rsid w:val="00F23D96"/>
    <w:rsid w:val="00F2474D"/>
    <w:rsid w:val="00F24CB8"/>
    <w:rsid w:val="00F25A41"/>
    <w:rsid w:val="00F2680B"/>
    <w:rsid w:val="00F301B5"/>
    <w:rsid w:val="00F3110C"/>
    <w:rsid w:val="00F31673"/>
    <w:rsid w:val="00F31DB4"/>
    <w:rsid w:val="00F32493"/>
    <w:rsid w:val="00F32607"/>
    <w:rsid w:val="00F329CC"/>
    <w:rsid w:val="00F34792"/>
    <w:rsid w:val="00F3781A"/>
    <w:rsid w:val="00F3787D"/>
    <w:rsid w:val="00F40803"/>
    <w:rsid w:val="00F40AD9"/>
    <w:rsid w:val="00F42F91"/>
    <w:rsid w:val="00F44542"/>
    <w:rsid w:val="00F44DDE"/>
    <w:rsid w:val="00F4630B"/>
    <w:rsid w:val="00F4631F"/>
    <w:rsid w:val="00F4647A"/>
    <w:rsid w:val="00F46731"/>
    <w:rsid w:val="00F47569"/>
    <w:rsid w:val="00F5199E"/>
    <w:rsid w:val="00F55D0C"/>
    <w:rsid w:val="00F568EB"/>
    <w:rsid w:val="00F56A38"/>
    <w:rsid w:val="00F57D87"/>
    <w:rsid w:val="00F61652"/>
    <w:rsid w:val="00F617C9"/>
    <w:rsid w:val="00F62FEB"/>
    <w:rsid w:val="00F641FA"/>
    <w:rsid w:val="00F64329"/>
    <w:rsid w:val="00F65381"/>
    <w:rsid w:val="00F66B20"/>
    <w:rsid w:val="00F67547"/>
    <w:rsid w:val="00F678CF"/>
    <w:rsid w:val="00F67CCD"/>
    <w:rsid w:val="00F67ED4"/>
    <w:rsid w:val="00F70206"/>
    <w:rsid w:val="00F7153C"/>
    <w:rsid w:val="00F71D08"/>
    <w:rsid w:val="00F726FD"/>
    <w:rsid w:val="00F731A4"/>
    <w:rsid w:val="00F73665"/>
    <w:rsid w:val="00F76427"/>
    <w:rsid w:val="00F774E5"/>
    <w:rsid w:val="00F80C79"/>
    <w:rsid w:val="00F81137"/>
    <w:rsid w:val="00F829AA"/>
    <w:rsid w:val="00F8475C"/>
    <w:rsid w:val="00F852A0"/>
    <w:rsid w:val="00F855E9"/>
    <w:rsid w:val="00F8718A"/>
    <w:rsid w:val="00F93A13"/>
    <w:rsid w:val="00F942E9"/>
    <w:rsid w:val="00F952B6"/>
    <w:rsid w:val="00F95B5B"/>
    <w:rsid w:val="00FA09D8"/>
    <w:rsid w:val="00FA17DF"/>
    <w:rsid w:val="00FA3F1A"/>
    <w:rsid w:val="00FA41F0"/>
    <w:rsid w:val="00FA5D91"/>
    <w:rsid w:val="00FA7DA7"/>
    <w:rsid w:val="00FB05F0"/>
    <w:rsid w:val="00FB1306"/>
    <w:rsid w:val="00FB1A0F"/>
    <w:rsid w:val="00FB1F21"/>
    <w:rsid w:val="00FB4175"/>
    <w:rsid w:val="00FB5943"/>
    <w:rsid w:val="00FC1FCF"/>
    <w:rsid w:val="00FC40B6"/>
    <w:rsid w:val="00FC5A61"/>
    <w:rsid w:val="00FC757D"/>
    <w:rsid w:val="00FD05B6"/>
    <w:rsid w:val="00FD07FC"/>
    <w:rsid w:val="00FD14B3"/>
    <w:rsid w:val="00FD29ED"/>
    <w:rsid w:val="00FD2CF3"/>
    <w:rsid w:val="00FD3D20"/>
    <w:rsid w:val="00FD5606"/>
    <w:rsid w:val="00FD5BBD"/>
    <w:rsid w:val="00FD618D"/>
    <w:rsid w:val="00FD66BE"/>
    <w:rsid w:val="00FD7DB4"/>
    <w:rsid w:val="00FE0131"/>
    <w:rsid w:val="00FE124B"/>
    <w:rsid w:val="00FE44B1"/>
    <w:rsid w:val="00FE45B6"/>
    <w:rsid w:val="00FE4FBA"/>
    <w:rsid w:val="00FE4FDD"/>
    <w:rsid w:val="00FE5DE2"/>
    <w:rsid w:val="00FE6B3F"/>
    <w:rsid w:val="00FE7757"/>
    <w:rsid w:val="00FE7792"/>
    <w:rsid w:val="00FE7BA7"/>
    <w:rsid w:val="00FF0F31"/>
    <w:rsid w:val="00FF1704"/>
    <w:rsid w:val="00FF1B4B"/>
    <w:rsid w:val="00FF20BA"/>
    <w:rsid w:val="00FF2FAC"/>
    <w:rsid w:val="00FF5C4F"/>
    <w:rsid w:val="00FF62CF"/>
    <w:rsid w:val="00FF64CE"/>
    <w:rsid w:val="00FF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12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3A"/>
    <w:pPr>
      <w:spacing w:after="0" w:line="240" w:lineRule="auto"/>
    </w:pPr>
    <w:rPr>
      <w:rFonts w:ascii="Times New Roman" w:eastAsia="Calibri" w:hAnsi="Times New Roman" w:cs="Times New Roman"/>
      <w:sz w:val="24"/>
      <w:szCs w:val="24"/>
      <w:lang w:val="es-ES_tradnl"/>
    </w:rPr>
  </w:style>
  <w:style w:type="paragraph" w:styleId="Heading1">
    <w:name w:val="heading 1"/>
    <w:aliases w:val="Título Verdana"/>
    <w:basedOn w:val="Normal"/>
    <w:next w:val="Normal"/>
    <w:link w:val="Heading1Char"/>
    <w:uiPriority w:val="9"/>
    <w:qFormat/>
    <w:rsid w:val="00E4033A"/>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4033A"/>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403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24E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1FCF"/>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E4033A"/>
    <w:rPr>
      <w:rFonts w:ascii="Cambria" w:eastAsia="Times New Roman" w:hAnsi="Cambria" w:cs="Times New Roman"/>
      <w:b/>
      <w:bCs/>
      <w:color w:val="365F91"/>
      <w:sz w:val="28"/>
      <w:szCs w:val="28"/>
      <w:lang w:val="es-ES_tradnl"/>
    </w:rPr>
  </w:style>
  <w:style w:type="character" w:customStyle="1" w:styleId="Heading2Char">
    <w:name w:val="Heading 2 Char"/>
    <w:basedOn w:val="DefaultParagraphFont"/>
    <w:link w:val="Heading2"/>
    <w:uiPriority w:val="9"/>
    <w:rsid w:val="00E4033A"/>
    <w:rPr>
      <w:rFonts w:ascii="Cambria" w:eastAsia="Times New Roman" w:hAnsi="Cambria" w:cs="Times New Roman"/>
      <w:b/>
      <w:bCs/>
      <w:color w:val="4F81BD"/>
      <w:sz w:val="26"/>
      <w:szCs w:val="26"/>
      <w:lang w:val="es-ES_tradnl"/>
    </w:rPr>
  </w:style>
  <w:style w:type="character" w:customStyle="1" w:styleId="Heading3Char">
    <w:name w:val="Heading 3 Char"/>
    <w:basedOn w:val="DefaultParagraphFont"/>
    <w:link w:val="Heading3"/>
    <w:uiPriority w:val="9"/>
    <w:rsid w:val="00E4033A"/>
    <w:rPr>
      <w:rFonts w:asciiTheme="majorHAnsi" w:eastAsiaTheme="majorEastAsia" w:hAnsiTheme="majorHAnsi" w:cstheme="majorBidi"/>
      <w:b/>
      <w:bCs/>
      <w:color w:val="4F81BD" w:themeColor="accent1"/>
      <w:sz w:val="24"/>
      <w:szCs w:val="24"/>
      <w:lang w:val="es-ES_tradnl"/>
    </w:rPr>
  </w:style>
  <w:style w:type="character" w:customStyle="1" w:styleId="Heading4Char">
    <w:name w:val="Heading 4 Char"/>
    <w:basedOn w:val="DefaultParagraphFont"/>
    <w:link w:val="Heading4"/>
    <w:uiPriority w:val="9"/>
    <w:rsid w:val="007624EC"/>
    <w:rPr>
      <w:rFonts w:asciiTheme="majorHAnsi" w:eastAsiaTheme="majorEastAsia" w:hAnsiTheme="majorHAnsi" w:cstheme="majorBidi"/>
      <w:b/>
      <w:bCs/>
      <w:i/>
      <w:iCs/>
      <w:color w:val="4F81BD" w:themeColor="accent1"/>
      <w:sz w:val="24"/>
      <w:szCs w:val="24"/>
      <w:lang w:val="es-ES_tradnl"/>
    </w:rPr>
  </w:style>
  <w:style w:type="character" w:customStyle="1" w:styleId="Heading5Char">
    <w:name w:val="Heading 5 Char"/>
    <w:basedOn w:val="DefaultParagraphFont"/>
    <w:link w:val="Heading5"/>
    <w:uiPriority w:val="9"/>
    <w:rsid w:val="00FC1FCF"/>
    <w:rPr>
      <w:rFonts w:asciiTheme="majorHAnsi" w:eastAsiaTheme="majorEastAsia" w:hAnsiTheme="majorHAnsi" w:cstheme="majorBidi"/>
      <w:color w:val="243F60" w:themeColor="accent1" w:themeShade="7F"/>
    </w:rPr>
  </w:style>
  <w:style w:type="paragraph" w:styleId="FootnoteText">
    <w:name w:val="footnote text"/>
    <w:aliases w:val="2. Footnote Text,Footnote Tesina,Footnote Text Char Char Char Char Char,Footnote Text Char Char Char Char,Footnote reference,FA Fu,Footnote Text Char Char Char,Footnote Text Cha,FA Fußnotentext,FA Fuﬂnotentext,Footnote Text Char Char,Ca,C"/>
    <w:basedOn w:val="Normal"/>
    <w:link w:val="FootnoteTextChar"/>
    <w:autoRedefine/>
    <w:uiPriority w:val="99"/>
    <w:unhideWhenUsed/>
    <w:qFormat/>
    <w:rsid w:val="00145D1D"/>
    <w:pPr>
      <w:tabs>
        <w:tab w:val="left" w:pos="567"/>
      </w:tabs>
      <w:jc w:val="both"/>
    </w:pPr>
    <w:rPr>
      <w:rFonts w:ascii="Verdana" w:eastAsia="Batang" w:hAnsi="Verdana"/>
      <w:iCs/>
      <w:sz w:val="16"/>
      <w:szCs w:val="16"/>
      <w:lang w:eastAsia="es-ES"/>
    </w:rPr>
  </w:style>
  <w:style w:type="character" w:customStyle="1" w:styleId="FootnoteTextChar">
    <w:name w:val="Footnote Text Char"/>
    <w:aliases w:val="2. Footnote Text Char,Footnote Tesina Char,Footnote Text Char Char Char Char Char Char,Footnote Text Char Char Char Char Char1,Footnote reference Char,FA Fu Char,Footnote Text Char Char Char Char1,Footnote Text Cha Char,Ca Char,C Char"/>
    <w:basedOn w:val="DefaultParagraphFont"/>
    <w:link w:val="FootnoteText"/>
    <w:uiPriority w:val="99"/>
    <w:rsid w:val="00145D1D"/>
    <w:rPr>
      <w:rFonts w:ascii="Verdana" w:eastAsia="Batang" w:hAnsi="Verdana" w:cs="Times New Roman"/>
      <w:iCs/>
      <w:sz w:val="16"/>
      <w:szCs w:val="16"/>
      <w:lang w:eastAsia="es-ES"/>
    </w:rPr>
  </w:style>
  <w:style w:type="paragraph" w:styleId="ListParagraph">
    <w:name w:val="List Paragraph"/>
    <w:aliases w:val="Párrafo de lista1,Footnote,List Paragraph2,List Paragraph1,Colorful List - Accent 11,Lista vistosa - Énfasis 11"/>
    <w:basedOn w:val="Normal"/>
    <w:link w:val="ListParagraphChar"/>
    <w:uiPriority w:val="99"/>
    <w:qFormat/>
    <w:rsid w:val="00E4033A"/>
    <w:pPr>
      <w:ind w:left="720"/>
      <w:contextualSpacing/>
    </w:pPr>
  </w:style>
  <w:style w:type="character" w:customStyle="1" w:styleId="ListParagraphChar">
    <w:name w:val="List Paragraph Char"/>
    <w:aliases w:val="Párrafo de lista1 Char,Footnote Char,List Paragraph2 Char,List Paragraph1 Char,Colorful List - Accent 11 Char,Lista vistosa - Énfasis 11 Char"/>
    <w:basedOn w:val="DefaultParagraphFont"/>
    <w:link w:val="ListParagraph"/>
    <w:uiPriority w:val="99"/>
    <w:locked/>
    <w:rsid w:val="00E4033A"/>
    <w:rPr>
      <w:rFonts w:ascii="Times New Roman" w:eastAsia="Calibri" w:hAnsi="Times New Roman" w:cs="Times New Roman"/>
      <w:sz w:val="24"/>
      <w:szCs w:val="24"/>
      <w:lang w:val="es-ES_tradnl"/>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Ref. de nota al"/>
    <w:qFormat/>
    <w:rsid w:val="00E4033A"/>
    <w:rPr>
      <w:rFonts w:ascii="Verdana" w:hAnsi="Verdana" w:cs="Times New Roman"/>
      <w:sz w:val="20"/>
      <w:vertAlign w:val="superscript"/>
    </w:rPr>
  </w:style>
  <w:style w:type="character" w:styleId="Hyperlink">
    <w:name w:val="Hyperlink"/>
    <w:aliases w:val="Heading 3 caso"/>
    <w:uiPriority w:val="99"/>
    <w:rsid w:val="00E4033A"/>
    <w:rPr>
      <w:rFonts w:cs="Times New Roman"/>
      <w:color w:val="0000FF"/>
      <w:u w:val="single"/>
    </w:rPr>
  </w:style>
  <w:style w:type="paragraph" w:styleId="TOC1">
    <w:name w:val="toc 1"/>
    <w:basedOn w:val="Normal"/>
    <w:next w:val="Normal"/>
    <w:autoRedefine/>
    <w:uiPriority w:val="39"/>
    <w:unhideWhenUsed/>
    <w:rsid w:val="00CD4901"/>
    <w:pPr>
      <w:tabs>
        <w:tab w:val="left" w:pos="142"/>
        <w:tab w:val="right" w:leader="dot" w:pos="9639"/>
      </w:tabs>
      <w:ind w:left="142" w:right="220" w:hanging="142"/>
      <w:jc w:val="both"/>
    </w:pPr>
    <w:rPr>
      <w:rFonts w:ascii="Verdana" w:hAnsi="Verdana" w:cs="Verdana"/>
      <w:b/>
      <w:caps/>
      <w:noProof/>
      <w:snapToGrid w:val="0"/>
      <w:sz w:val="18"/>
      <w:szCs w:val="18"/>
    </w:rPr>
  </w:style>
  <w:style w:type="paragraph" w:styleId="TOC2">
    <w:name w:val="toc 2"/>
    <w:basedOn w:val="Normal"/>
    <w:next w:val="Normal"/>
    <w:autoRedefine/>
    <w:uiPriority w:val="39"/>
    <w:unhideWhenUsed/>
    <w:rsid w:val="00E4033A"/>
    <w:pPr>
      <w:tabs>
        <w:tab w:val="left" w:pos="720"/>
        <w:tab w:val="right" w:leader="dot" w:pos="8828"/>
      </w:tabs>
      <w:ind w:left="238"/>
      <w:jc w:val="both"/>
    </w:pPr>
  </w:style>
  <w:style w:type="paragraph" w:styleId="TOC3">
    <w:name w:val="toc 3"/>
    <w:basedOn w:val="Normal"/>
    <w:next w:val="Normal"/>
    <w:autoRedefine/>
    <w:uiPriority w:val="39"/>
    <w:unhideWhenUsed/>
    <w:rsid w:val="00E4033A"/>
    <w:pPr>
      <w:tabs>
        <w:tab w:val="right" w:leader="dot" w:pos="8828"/>
      </w:tabs>
      <w:spacing w:before="60" w:after="60"/>
      <w:ind w:left="482"/>
      <w:contextualSpacing/>
    </w:pPr>
  </w:style>
  <w:style w:type="paragraph" w:styleId="Footer">
    <w:name w:val="footer"/>
    <w:basedOn w:val="Normal"/>
    <w:link w:val="FooterChar"/>
    <w:uiPriority w:val="99"/>
    <w:unhideWhenUsed/>
    <w:rsid w:val="00E4033A"/>
    <w:pPr>
      <w:tabs>
        <w:tab w:val="center" w:pos="4419"/>
        <w:tab w:val="right" w:pos="8838"/>
      </w:tabs>
    </w:pPr>
  </w:style>
  <w:style w:type="character" w:customStyle="1" w:styleId="FooterChar">
    <w:name w:val="Footer Char"/>
    <w:basedOn w:val="DefaultParagraphFont"/>
    <w:link w:val="Footer"/>
    <w:uiPriority w:val="99"/>
    <w:rsid w:val="00E4033A"/>
    <w:rPr>
      <w:rFonts w:ascii="Times New Roman" w:eastAsia="Calibri" w:hAnsi="Times New Roman" w:cs="Times New Roman"/>
      <w:sz w:val="24"/>
      <w:szCs w:val="24"/>
      <w:lang w:val="es-ES_tradnl"/>
    </w:rPr>
  </w:style>
  <w:style w:type="character" w:styleId="CommentReference">
    <w:name w:val="annotation reference"/>
    <w:basedOn w:val="DefaultParagraphFont"/>
    <w:uiPriority w:val="99"/>
    <w:unhideWhenUsed/>
    <w:rsid w:val="00E4033A"/>
    <w:rPr>
      <w:sz w:val="16"/>
      <w:szCs w:val="16"/>
    </w:rPr>
  </w:style>
  <w:style w:type="character" w:customStyle="1" w:styleId="CommentTextChar">
    <w:name w:val="Comment Text Char"/>
    <w:basedOn w:val="DefaultParagraphFont"/>
    <w:link w:val="CommentText"/>
    <w:uiPriority w:val="99"/>
    <w:rsid w:val="00E4033A"/>
    <w:rPr>
      <w:rFonts w:ascii="Times New Roman" w:eastAsia="Calibri" w:hAnsi="Times New Roman" w:cs="Times New Roman"/>
      <w:sz w:val="20"/>
      <w:szCs w:val="20"/>
      <w:lang w:val="es-ES_tradnl"/>
    </w:rPr>
  </w:style>
  <w:style w:type="paragraph" w:styleId="CommentText">
    <w:name w:val="annotation text"/>
    <w:basedOn w:val="Normal"/>
    <w:link w:val="CommentTextChar"/>
    <w:uiPriority w:val="99"/>
    <w:unhideWhenUsed/>
    <w:rsid w:val="00E4033A"/>
    <w:rPr>
      <w:sz w:val="20"/>
      <w:szCs w:val="20"/>
    </w:rPr>
  </w:style>
  <w:style w:type="character" w:customStyle="1" w:styleId="CommentTextChar1">
    <w:name w:val="Comment Text Char1"/>
    <w:basedOn w:val="DefaultParagraphFont"/>
    <w:uiPriority w:val="99"/>
    <w:semiHidden/>
    <w:rsid w:val="00E4033A"/>
    <w:rPr>
      <w:rFonts w:ascii="Times New Roman" w:eastAsia="Calibri" w:hAnsi="Times New Roman" w:cs="Times New Roman"/>
      <w:sz w:val="20"/>
      <w:szCs w:val="20"/>
      <w:lang w:val="es-ES_tradnl"/>
    </w:rPr>
  </w:style>
  <w:style w:type="character" w:customStyle="1" w:styleId="apple-converted-space">
    <w:name w:val="apple-converted-space"/>
    <w:basedOn w:val="DefaultParagraphFont"/>
    <w:rsid w:val="00E4033A"/>
  </w:style>
  <w:style w:type="character" w:styleId="Strong">
    <w:name w:val="Strong"/>
    <w:basedOn w:val="DefaultParagraphFont"/>
    <w:uiPriority w:val="22"/>
    <w:qFormat/>
    <w:rsid w:val="00E4033A"/>
    <w:rPr>
      <w:b/>
      <w:bCs/>
    </w:rPr>
  </w:style>
  <w:style w:type="paragraph" w:styleId="BalloonText">
    <w:name w:val="Balloon Text"/>
    <w:basedOn w:val="Normal"/>
    <w:link w:val="BalloonTextChar"/>
    <w:uiPriority w:val="99"/>
    <w:semiHidden/>
    <w:unhideWhenUsed/>
    <w:rsid w:val="00E4033A"/>
    <w:rPr>
      <w:rFonts w:ascii="Tahoma" w:hAnsi="Tahoma" w:cs="Tahoma"/>
      <w:sz w:val="16"/>
      <w:szCs w:val="16"/>
    </w:rPr>
  </w:style>
  <w:style w:type="character" w:customStyle="1" w:styleId="BalloonTextChar">
    <w:name w:val="Balloon Text Char"/>
    <w:basedOn w:val="DefaultParagraphFont"/>
    <w:link w:val="BalloonText"/>
    <w:uiPriority w:val="99"/>
    <w:semiHidden/>
    <w:rsid w:val="00E4033A"/>
    <w:rPr>
      <w:rFonts w:ascii="Tahoma" w:eastAsia="Calibri" w:hAnsi="Tahoma" w:cs="Tahoma"/>
      <w:sz w:val="16"/>
      <w:szCs w:val="16"/>
      <w:lang w:val="es-ES_tradnl"/>
    </w:rPr>
  </w:style>
  <w:style w:type="paragraph" w:styleId="Header">
    <w:name w:val="header"/>
    <w:basedOn w:val="Normal"/>
    <w:link w:val="HeaderChar"/>
    <w:uiPriority w:val="99"/>
    <w:unhideWhenUsed/>
    <w:rsid w:val="00926E61"/>
    <w:pPr>
      <w:tabs>
        <w:tab w:val="center" w:pos="4419"/>
        <w:tab w:val="right" w:pos="8838"/>
      </w:tabs>
    </w:pPr>
    <w:rPr>
      <w:rFonts w:asciiTheme="minorHAnsi" w:eastAsiaTheme="minorHAnsi" w:hAnsiTheme="minorHAnsi" w:cstheme="minorBidi"/>
      <w:sz w:val="22"/>
      <w:szCs w:val="22"/>
      <w:lang w:val="es-CR"/>
    </w:rPr>
  </w:style>
  <w:style w:type="character" w:customStyle="1" w:styleId="HeaderChar">
    <w:name w:val="Header Char"/>
    <w:basedOn w:val="DefaultParagraphFont"/>
    <w:link w:val="Header"/>
    <w:uiPriority w:val="99"/>
    <w:rsid w:val="00926E61"/>
    <w:rPr>
      <w:lang w:val="es-CR"/>
    </w:rPr>
  </w:style>
  <w:style w:type="paragraph" w:styleId="CommentSubject">
    <w:name w:val="annotation subject"/>
    <w:basedOn w:val="CommentText"/>
    <w:next w:val="CommentText"/>
    <w:link w:val="CommentSubjectChar"/>
    <w:uiPriority w:val="99"/>
    <w:semiHidden/>
    <w:unhideWhenUsed/>
    <w:rsid w:val="00926E61"/>
    <w:pPr>
      <w:spacing w:after="200"/>
    </w:pPr>
    <w:rPr>
      <w:rFonts w:asciiTheme="minorHAnsi" w:eastAsiaTheme="minorHAnsi" w:hAnsiTheme="minorHAnsi" w:cstheme="minorBidi"/>
      <w:b/>
      <w:bCs/>
      <w:lang w:val="es-CR"/>
    </w:rPr>
  </w:style>
  <w:style w:type="character" w:customStyle="1" w:styleId="CommentSubjectChar">
    <w:name w:val="Comment Subject Char"/>
    <w:basedOn w:val="CommentTextChar"/>
    <w:link w:val="CommentSubject"/>
    <w:uiPriority w:val="99"/>
    <w:semiHidden/>
    <w:rsid w:val="00926E61"/>
    <w:rPr>
      <w:rFonts w:ascii="Times New Roman" w:eastAsia="Calibri" w:hAnsi="Times New Roman" w:cs="Times New Roman"/>
      <w:b/>
      <w:bCs/>
      <w:sz w:val="20"/>
      <w:szCs w:val="20"/>
      <w:lang w:val="es-CR"/>
    </w:rPr>
  </w:style>
  <w:style w:type="paragraph" w:customStyle="1" w:styleId="Footnotes">
    <w:name w:val="**. Footnotes"/>
    <w:basedOn w:val="FootnoteText"/>
    <w:link w:val="FootnotesChar"/>
    <w:autoRedefine/>
    <w:qFormat/>
    <w:rsid w:val="00FC1FCF"/>
    <w:pPr>
      <w:spacing w:before="120"/>
    </w:pPr>
    <w:rPr>
      <w:rFonts w:cs="Palatino-Italic"/>
      <w:iCs w:val="0"/>
      <w:lang w:eastAsia="en-US"/>
    </w:rPr>
  </w:style>
  <w:style w:type="character" w:customStyle="1" w:styleId="FootnotesChar">
    <w:name w:val="**. Footnotes Char"/>
    <w:basedOn w:val="DefaultParagraphFont"/>
    <w:link w:val="Footnotes"/>
    <w:rsid w:val="00FC1FCF"/>
    <w:rPr>
      <w:rFonts w:ascii="Verdana" w:eastAsia="Batang" w:hAnsi="Verdana" w:cs="Palatino-Italic"/>
      <w:iCs/>
      <w:sz w:val="16"/>
      <w:szCs w:val="16"/>
      <w:lang w:val="es-ES"/>
    </w:rPr>
  </w:style>
  <w:style w:type="character" w:customStyle="1" w:styleId="apple-style-span">
    <w:name w:val="apple-style-span"/>
    <w:basedOn w:val="DefaultParagraphFont"/>
    <w:rsid w:val="00FC1FCF"/>
    <w:rPr>
      <w:rFonts w:cs="Times New Roman"/>
    </w:rPr>
  </w:style>
  <w:style w:type="paragraph" w:customStyle="1" w:styleId="Default">
    <w:name w:val="Default"/>
    <w:rsid w:val="00FC1FC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C1FCF"/>
    <w:pPr>
      <w:spacing w:after="0" w:line="240" w:lineRule="auto"/>
    </w:pPr>
  </w:style>
  <w:style w:type="character" w:customStyle="1" w:styleId="Ttulo1">
    <w:name w:val="Título1"/>
    <w:basedOn w:val="DefaultParagraphFont"/>
    <w:rsid w:val="00FC1FCF"/>
  </w:style>
  <w:style w:type="paragraph" w:styleId="NoSpacing">
    <w:name w:val="No Spacing"/>
    <w:uiPriority w:val="1"/>
    <w:qFormat/>
    <w:rsid w:val="007E0325"/>
    <w:pPr>
      <w:spacing w:after="0" w:line="240" w:lineRule="auto"/>
    </w:pPr>
    <w:rPr>
      <w:rFonts w:eastAsiaTheme="minorEastAsia"/>
    </w:rPr>
  </w:style>
  <w:style w:type="paragraph" w:styleId="TOC4">
    <w:name w:val="toc 4"/>
    <w:basedOn w:val="Normal"/>
    <w:next w:val="Normal"/>
    <w:autoRedefine/>
    <w:uiPriority w:val="39"/>
    <w:unhideWhenUsed/>
    <w:rsid w:val="00CD7F34"/>
    <w:pPr>
      <w:tabs>
        <w:tab w:val="right" w:leader="dot" w:pos="9630"/>
      </w:tabs>
      <w:ind w:left="720"/>
      <w:jc w:val="both"/>
    </w:pPr>
  </w:style>
  <w:style w:type="character" w:customStyle="1" w:styleId="PiedepginaCar1">
    <w:name w:val="Pie de página Car1"/>
    <w:basedOn w:val="DefaultParagraphFont"/>
    <w:semiHidden/>
    <w:rsid w:val="002E4580"/>
    <w:rPr>
      <w:rFonts w:ascii="Times" w:eastAsia="Times New Roman" w:hAnsi="Times" w:cs="Times New Roman"/>
      <w:snapToGrid w:val="0"/>
      <w:sz w:val="24"/>
      <w:szCs w:val="24"/>
      <w:lang w:val="es-ES_tradnl" w:eastAsia="es-ES"/>
    </w:rPr>
  </w:style>
  <w:style w:type="paragraph" w:styleId="TOC5">
    <w:name w:val="toc 5"/>
    <w:basedOn w:val="Normal"/>
    <w:next w:val="Normal"/>
    <w:autoRedefine/>
    <w:uiPriority w:val="39"/>
    <w:unhideWhenUsed/>
    <w:rsid w:val="004B1D0E"/>
    <w:pPr>
      <w:spacing w:after="100"/>
      <w:ind w:left="960"/>
    </w:pPr>
  </w:style>
  <w:style w:type="character" w:styleId="LineNumber">
    <w:name w:val="line number"/>
    <w:basedOn w:val="DefaultParagraphFont"/>
    <w:uiPriority w:val="99"/>
    <w:semiHidden/>
    <w:unhideWhenUsed/>
    <w:rsid w:val="000B1FC8"/>
  </w:style>
  <w:style w:type="paragraph" w:customStyle="1" w:styleId="PrrafodeSentencia">
    <w:name w:val="*. Párrafo de Sentencia"/>
    <w:link w:val="PrrafodeSentenciaChar"/>
    <w:autoRedefine/>
    <w:qFormat/>
    <w:rsid w:val="0062526A"/>
    <w:pPr>
      <w:tabs>
        <w:tab w:val="left" w:pos="0"/>
      </w:tabs>
      <w:spacing w:after="0" w:line="240" w:lineRule="auto"/>
      <w:jc w:val="both"/>
    </w:pPr>
    <w:rPr>
      <w:rFonts w:ascii="Verdana" w:eastAsia="Batang" w:hAnsi="Verdana" w:cs="Times New Roman"/>
      <w:sz w:val="20"/>
      <w:szCs w:val="20"/>
      <w:lang w:val="es-MX" w:eastAsia="es-MX"/>
    </w:rPr>
  </w:style>
  <w:style w:type="character" w:customStyle="1" w:styleId="hps">
    <w:name w:val="hps"/>
    <w:basedOn w:val="DefaultParagraphFont"/>
    <w:rsid w:val="00A91B78"/>
  </w:style>
  <w:style w:type="paragraph" w:styleId="HTMLPreformatted">
    <w:name w:val="HTML Preformatted"/>
    <w:basedOn w:val="Normal"/>
    <w:link w:val="HTMLPreformattedChar"/>
    <w:uiPriority w:val="99"/>
    <w:unhideWhenUsed/>
    <w:rsid w:val="00A91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A91B78"/>
    <w:rPr>
      <w:rFonts w:ascii="Courier New" w:eastAsia="Times New Roman" w:hAnsi="Courier New" w:cs="Times New Roman"/>
      <w:sz w:val="20"/>
      <w:szCs w:val="20"/>
    </w:rPr>
  </w:style>
  <w:style w:type="paragraph" w:customStyle="1" w:styleId="2Footnotes">
    <w:name w:val="2. Footnotes"/>
    <w:basedOn w:val="FootnoteText"/>
    <w:link w:val="2FootnotesChar"/>
    <w:autoRedefine/>
    <w:qFormat/>
    <w:rsid w:val="00A91B78"/>
    <w:pPr>
      <w:tabs>
        <w:tab w:val="clear" w:pos="567"/>
      </w:tabs>
      <w:spacing w:before="120"/>
    </w:pPr>
    <w:rPr>
      <w:rFonts w:eastAsia="Times New Roman" w:cs="Palatino-Italic"/>
      <w:iCs w:val="0"/>
      <w:noProof/>
      <w:szCs w:val="18"/>
      <w:lang w:eastAsia="en-US"/>
    </w:rPr>
  </w:style>
  <w:style w:type="character" w:customStyle="1" w:styleId="2FootnotesChar">
    <w:name w:val="2. Footnotes Char"/>
    <w:link w:val="2Footnotes"/>
    <w:rsid w:val="00A91B78"/>
    <w:rPr>
      <w:rFonts w:ascii="Verdana" w:eastAsia="Times New Roman" w:hAnsi="Verdana" w:cs="Palatino-Italic"/>
      <w:iCs/>
      <w:noProof/>
      <w:sz w:val="16"/>
      <w:szCs w:val="18"/>
      <w:lang w:val="es-ES"/>
    </w:rPr>
  </w:style>
  <w:style w:type="character" w:customStyle="1" w:styleId="PrrafodeSentenciaChar">
    <w:name w:val="*. Párrafo de Sentencia Char"/>
    <w:link w:val="PrrafodeSentencia"/>
    <w:rsid w:val="0062526A"/>
    <w:rPr>
      <w:rFonts w:ascii="Verdana" w:eastAsia="Batang" w:hAnsi="Verdana" w:cs="Times New Roman"/>
      <w:sz w:val="20"/>
      <w:szCs w:val="20"/>
      <w:lang w:val="es-MX" w:eastAsia="es-MX"/>
    </w:rPr>
  </w:style>
  <w:style w:type="character" w:styleId="FollowedHyperlink">
    <w:name w:val="FollowedHyperlink"/>
    <w:basedOn w:val="DefaultParagraphFont"/>
    <w:uiPriority w:val="99"/>
    <w:semiHidden/>
    <w:unhideWhenUsed/>
    <w:rsid w:val="00216F93"/>
    <w:rPr>
      <w:color w:val="800080" w:themeColor="followedHyperlink"/>
      <w:u w:val="single"/>
    </w:rPr>
  </w:style>
  <w:style w:type="paragraph" w:styleId="NormalWeb">
    <w:name w:val="Normal (Web)"/>
    <w:aliases w:val="Normal (Web) Char1,Normal (Web) Char Char,Normal (Web) Char1 Char,Normal (Web) Char Char Char"/>
    <w:basedOn w:val="Normal"/>
    <w:uiPriority w:val="99"/>
    <w:unhideWhenUsed/>
    <w:rsid w:val="00D53828"/>
    <w:pPr>
      <w:spacing w:before="100" w:beforeAutospacing="1" w:after="100" w:afterAutospacing="1"/>
    </w:pPr>
    <w:rPr>
      <w:rFonts w:eastAsia="Times New Roman"/>
      <w:lang w:val="es-CR" w:eastAsia="es-CR"/>
    </w:rPr>
  </w:style>
  <w:style w:type="paragraph" w:customStyle="1" w:styleId="xmsonormal">
    <w:name w:val="x_msonormal"/>
    <w:basedOn w:val="Normal"/>
    <w:rsid w:val="00FB1F21"/>
    <w:pPr>
      <w:spacing w:before="100" w:beforeAutospacing="1" w:after="100" w:afterAutospacing="1"/>
    </w:pPr>
    <w:rPr>
      <w:rFonts w:eastAsia="Times New Roman"/>
      <w:lang w:val="en-US"/>
    </w:rPr>
  </w:style>
  <w:style w:type="character" w:customStyle="1" w:styleId="st">
    <w:name w:val="st"/>
    <w:basedOn w:val="DefaultParagraphFont"/>
    <w:rsid w:val="00CA7C7B"/>
  </w:style>
  <w:style w:type="character" w:styleId="Emphasis">
    <w:name w:val="Emphasis"/>
    <w:basedOn w:val="DefaultParagraphFont"/>
    <w:uiPriority w:val="20"/>
    <w:qFormat/>
    <w:rsid w:val="00CA7C7B"/>
    <w:rPr>
      <w:i/>
      <w:iCs/>
    </w:rPr>
  </w:style>
  <w:style w:type="character" w:customStyle="1" w:styleId="highlight">
    <w:name w:val="highlight"/>
    <w:basedOn w:val="DefaultParagraphFont"/>
    <w:rsid w:val="00890830"/>
  </w:style>
  <w:style w:type="paragraph" w:customStyle="1" w:styleId="articletext">
    <w:name w:val="articletext"/>
    <w:basedOn w:val="Normal"/>
    <w:rsid w:val="00FE7BA7"/>
    <w:pPr>
      <w:spacing w:before="100" w:beforeAutospacing="1" w:after="100" w:afterAutospacing="1"/>
    </w:pPr>
    <w:rPr>
      <w:rFonts w:eastAsia="Times New Roman"/>
      <w:lang w:val="en-US"/>
    </w:rPr>
  </w:style>
  <w:style w:type="paragraph" w:styleId="Title">
    <w:name w:val="Title"/>
    <w:basedOn w:val="Normal"/>
    <w:link w:val="TitleChar"/>
    <w:qFormat/>
    <w:rsid w:val="007522DE"/>
    <w:pPr>
      <w:jc w:val="center"/>
    </w:pPr>
    <w:rPr>
      <w:rFonts w:ascii="Verdana" w:eastAsia="Times New Roman" w:hAnsi="Verdana"/>
      <w:b/>
      <w:noProof/>
      <w:sz w:val="20"/>
      <w:szCs w:val="20"/>
    </w:rPr>
  </w:style>
  <w:style w:type="character" w:customStyle="1" w:styleId="TitleChar">
    <w:name w:val="Title Char"/>
    <w:basedOn w:val="DefaultParagraphFont"/>
    <w:link w:val="Title"/>
    <w:rsid w:val="007522DE"/>
    <w:rPr>
      <w:rFonts w:ascii="Verdana" w:eastAsia="Times New Roman" w:hAnsi="Verdana" w:cs="Times New Roman"/>
      <w:b/>
      <w:noProof/>
      <w:sz w:val="20"/>
      <w:szCs w:val="20"/>
      <w:lang w:val="es-ES_tradnl"/>
    </w:rPr>
  </w:style>
  <w:style w:type="paragraph" w:customStyle="1" w:styleId="Estilo1">
    <w:name w:val="Estilo1"/>
    <w:basedOn w:val="ListParagraph"/>
    <w:link w:val="Estilo1Car"/>
    <w:qFormat/>
    <w:rsid w:val="007522DE"/>
    <w:pPr>
      <w:numPr>
        <w:numId w:val="53"/>
      </w:numPr>
      <w:spacing w:after="240"/>
      <w:ind w:left="0" w:firstLine="0"/>
      <w:contextualSpacing w:val="0"/>
      <w:jc w:val="both"/>
    </w:pPr>
    <w:rPr>
      <w:lang w:val="es-UY"/>
    </w:rPr>
  </w:style>
  <w:style w:type="paragraph" w:customStyle="1" w:styleId="Estilo2">
    <w:name w:val="Estilo2"/>
    <w:basedOn w:val="Estilo1"/>
    <w:link w:val="Estilo2Car"/>
    <w:qFormat/>
    <w:rsid w:val="007522DE"/>
    <w:pPr>
      <w:numPr>
        <w:numId w:val="0"/>
      </w:numPr>
      <w:spacing w:after="120"/>
      <w:ind w:left="709"/>
      <w:jc w:val="center"/>
    </w:pPr>
    <w:rPr>
      <w:i/>
    </w:rPr>
  </w:style>
  <w:style w:type="character" w:customStyle="1" w:styleId="Estilo1Car">
    <w:name w:val="Estilo1 Car"/>
    <w:basedOn w:val="ListParagraphChar"/>
    <w:link w:val="Estilo1"/>
    <w:rsid w:val="007522DE"/>
    <w:rPr>
      <w:rFonts w:ascii="Times New Roman" w:eastAsia="Calibri" w:hAnsi="Times New Roman" w:cs="Times New Roman"/>
      <w:sz w:val="24"/>
      <w:szCs w:val="24"/>
      <w:lang w:val="es-UY"/>
    </w:rPr>
  </w:style>
  <w:style w:type="paragraph" w:customStyle="1" w:styleId="Estilo3">
    <w:name w:val="Estilo3"/>
    <w:basedOn w:val="Estilo2"/>
    <w:link w:val="Estilo3Car"/>
    <w:qFormat/>
    <w:rsid w:val="007522DE"/>
    <w:pPr>
      <w:jc w:val="both"/>
    </w:pPr>
  </w:style>
  <w:style w:type="character" w:customStyle="1" w:styleId="Estilo2Car">
    <w:name w:val="Estilo2 Car"/>
    <w:basedOn w:val="Estilo1Car"/>
    <w:link w:val="Estilo2"/>
    <w:rsid w:val="007522DE"/>
    <w:rPr>
      <w:rFonts w:ascii="Times New Roman" w:eastAsia="Calibri" w:hAnsi="Times New Roman" w:cs="Times New Roman"/>
      <w:i/>
      <w:sz w:val="24"/>
      <w:szCs w:val="24"/>
      <w:lang w:val="es-UY"/>
    </w:rPr>
  </w:style>
  <w:style w:type="character" w:customStyle="1" w:styleId="Estilo3Car">
    <w:name w:val="Estilo3 Car"/>
    <w:basedOn w:val="Estilo2Car"/>
    <w:link w:val="Estilo3"/>
    <w:rsid w:val="007522DE"/>
    <w:rPr>
      <w:rFonts w:ascii="Times New Roman" w:eastAsia="Calibri" w:hAnsi="Times New Roman" w:cs="Times New Roman"/>
      <w:i/>
      <w:sz w:val="24"/>
      <w:szCs w:val="24"/>
      <w:lang w:val="es-UY"/>
    </w:rPr>
  </w:style>
  <w:style w:type="character" w:customStyle="1" w:styleId="Estilo4Car">
    <w:name w:val="Estilo4 Car"/>
    <w:basedOn w:val="DefaultParagraphFont"/>
    <w:link w:val="Estilo4"/>
    <w:locked/>
    <w:rsid w:val="007522DE"/>
    <w:rPr>
      <w:rFonts w:ascii="Times New Roman" w:hAnsi="Times New Roman" w:cs="Times New Roman"/>
      <w:sz w:val="24"/>
      <w:szCs w:val="24"/>
    </w:rPr>
  </w:style>
  <w:style w:type="paragraph" w:customStyle="1" w:styleId="Estilo4">
    <w:name w:val="Estilo4"/>
    <w:basedOn w:val="Normal"/>
    <w:link w:val="Estilo4Car"/>
    <w:qFormat/>
    <w:rsid w:val="007522DE"/>
    <w:pPr>
      <w:numPr>
        <w:numId w:val="56"/>
      </w:numPr>
      <w:spacing w:after="160" w:line="256" w:lineRule="auto"/>
      <w:ind w:left="0" w:firstLine="0"/>
    </w:pPr>
    <w:rPr>
      <w:rFonts w:eastAsiaTheme="minorHAns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33A"/>
    <w:pPr>
      <w:spacing w:after="0" w:line="240" w:lineRule="auto"/>
    </w:pPr>
    <w:rPr>
      <w:rFonts w:ascii="Times New Roman" w:eastAsia="Calibri" w:hAnsi="Times New Roman" w:cs="Times New Roman"/>
      <w:sz w:val="24"/>
      <w:szCs w:val="24"/>
      <w:lang w:val="es-ES_tradnl"/>
    </w:rPr>
  </w:style>
  <w:style w:type="paragraph" w:styleId="Heading1">
    <w:name w:val="heading 1"/>
    <w:aliases w:val="Título Verdana"/>
    <w:basedOn w:val="Normal"/>
    <w:next w:val="Normal"/>
    <w:link w:val="Heading1Char"/>
    <w:uiPriority w:val="9"/>
    <w:qFormat/>
    <w:rsid w:val="00E4033A"/>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4033A"/>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E403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24E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1FCF"/>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Verdana Char"/>
    <w:basedOn w:val="DefaultParagraphFont"/>
    <w:link w:val="Heading1"/>
    <w:uiPriority w:val="9"/>
    <w:rsid w:val="00E4033A"/>
    <w:rPr>
      <w:rFonts w:ascii="Cambria" w:eastAsia="Times New Roman" w:hAnsi="Cambria" w:cs="Times New Roman"/>
      <w:b/>
      <w:bCs/>
      <w:color w:val="365F91"/>
      <w:sz w:val="28"/>
      <w:szCs w:val="28"/>
      <w:lang w:val="es-ES_tradnl"/>
    </w:rPr>
  </w:style>
  <w:style w:type="character" w:customStyle="1" w:styleId="Heading2Char">
    <w:name w:val="Heading 2 Char"/>
    <w:basedOn w:val="DefaultParagraphFont"/>
    <w:link w:val="Heading2"/>
    <w:uiPriority w:val="9"/>
    <w:rsid w:val="00E4033A"/>
    <w:rPr>
      <w:rFonts w:ascii="Cambria" w:eastAsia="Times New Roman" w:hAnsi="Cambria" w:cs="Times New Roman"/>
      <w:b/>
      <w:bCs/>
      <w:color w:val="4F81BD"/>
      <w:sz w:val="26"/>
      <w:szCs w:val="26"/>
      <w:lang w:val="es-ES_tradnl"/>
    </w:rPr>
  </w:style>
  <w:style w:type="character" w:customStyle="1" w:styleId="Heading3Char">
    <w:name w:val="Heading 3 Char"/>
    <w:basedOn w:val="DefaultParagraphFont"/>
    <w:link w:val="Heading3"/>
    <w:uiPriority w:val="9"/>
    <w:rsid w:val="00E4033A"/>
    <w:rPr>
      <w:rFonts w:asciiTheme="majorHAnsi" w:eastAsiaTheme="majorEastAsia" w:hAnsiTheme="majorHAnsi" w:cstheme="majorBidi"/>
      <w:b/>
      <w:bCs/>
      <w:color w:val="4F81BD" w:themeColor="accent1"/>
      <w:sz w:val="24"/>
      <w:szCs w:val="24"/>
      <w:lang w:val="es-ES_tradnl"/>
    </w:rPr>
  </w:style>
  <w:style w:type="character" w:customStyle="1" w:styleId="Heading4Char">
    <w:name w:val="Heading 4 Char"/>
    <w:basedOn w:val="DefaultParagraphFont"/>
    <w:link w:val="Heading4"/>
    <w:uiPriority w:val="9"/>
    <w:rsid w:val="007624EC"/>
    <w:rPr>
      <w:rFonts w:asciiTheme="majorHAnsi" w:eastAsiaTheme="majorEastAsia" w:hAnsiTheme="majorHAnsi" w:cstheme="majorBidi"/>
      <w:b/>
      <w:bCs/>
      <w:i/>
      <w:iCs/>
      <w:color w:val="4F81BD" w:themeColor="accent1"/>
      <w:sz w:val="24"/>
      <w:szCs w:val="24"/>
      <w:lang w:val="es-ES_tradnl"/>
    </w:rPr>
  </w:style>
  <w:style w:type="character" w:customStyle="1" w:styleId="Heading5Char">
    <w:name w:val="Heading 5 Char"/>
    <w:basedOn w:val="DefaultParagraphFont"/>
    <w:link w:val="Heading5"/>
    <w:uiPriority w:val="9"/>
    <w:rsid w:val="00FC1FCF"/>
    <w:rPr>
      <w:rFonts w:asciiTheme="majorHAnsi" w:eastAsiaTheme="majorEastAsia" w:hAnsiTheme="majorHAnsi" w:cstheme="majorBidi"/>
      <w:color w:val="243F60" w:themeColor="accent1" w:themeShade="7F"/>
    </w:rPr>
  </w:style>
  <w:style w:type="paragraph" w:styleId="FootnoteText">
    <w:name w:val="footnote text"/>
    <w:aliases w:val="2. Footnote Text,Footnote Tesina,Footnote Text Char Char Char Char Char,Footnote Text Char Char Char Char,Footnote reference,FA Fu,Footnote Text Char Char Char,Footnote Text Cha,FA Fußnotentext,FA Fuﬂnotentext,Footnote Text Char Char,Ca,C"/>
    <w:basedOn w:val="Normal"/>
    <w:link w:val="FootnoteTextChar"/>
    <w:autoRedefine/>
    <w:uiPriority w:val="99"/>
    <w:unhideWhenUsed/>
    <w:qFormat/>
    <w:rsid w:val="00145D1D"/>
    <w:pPr>
      <w:tabs>
        <w:tab w:val="left" w:pos="567"/>
      </w:tabs>
      <w:jc w:val="both"/>
    </w:pPr>
    <w:rPr>
      <w:rFonts w:ascii="Verdana" w:eastAsia="Batang" w:hAnsi="Verdana"/>
      <w:iCs/>
      <w:sz w:val="16"/>
      <w:szCs w:val="16"/>
      <w:lang w:eastAsia="es-ES"/>
    </w:rPr>
  </w:style>
  <w:style w:type="character" w:customStyle="1" w:styleId="FootnoteTextChar">
    <w:name w:val="Footnote Text Char"/>
    <w:aliases w:val="2. Footnote Text Char,Footnote Tesina Char,Footnote Text Char Char Char Char Char Char,Footnote Text Char Char Char Char Char1,Footnote reference Char,FA Fu Char,Footnote Text Char Char Char Char1,Footnote Text Cha Char,Ca Char,C Char"/>
    <w:basedOn w:val="DefaultParagraphFont"/>
    <w:link w:val="FootnoteText"/>
    <w:uiPriority w:val="99"/>
    <w:rsid w:val="00145D1D"/>
    <w:rPr>
      <w:rFonts w:ascii="Verdana" w:eastAsia="Batang" w:hAnsi="Verdana" w:cs="Times New Roman"/>
      <w:iCs/>
      <w:sz w:val="16"/>
      <w:szCs w:val="16"/>
      <w:lang w:eastAsia="es-ES"/>
    </w:rPr>
  </w:style>
  <w:style w:type="paragraph" w:styleId="ListParagraph">
    <w:name w:val="List Paragraph"/>
    <w:aliases w:val="Párrafo de lista1,Footnote,List Paragraph2,List Paragraph1,Colorful List - Accent 11,Lista vistosa - Énfasis 11"/>
    <w:basedOn w:val="Normal"/>
    <w:link w:val="ListParagraphChar"/>
    <w:uiPriority w:val="99"/>
    <w:qFormat/>
    <w:rsid w:val="00E4033A"/>
    <w:pPr>
      <w:ind w:left="720"/>
      <w:contextualSpacing/>
    </w:pPr>
  </w:style>
  <w:style w:type="character" w:customStyle="1" w:styleId="ListParagraphChar">
    <w:name w:val="List Paragraph Char"/>
    <w:aliases w:val="Párrafo de lista1 Char,Footnote Char,List Paragraph2 Char,List Paragraph1 Char,Colorful List - Accent 11 Char,Lista vistosa - Énfasis 11 Char"/>
    <w:basedOn w:val="DefaultParagraphFont"/>
    <w:link w:val="ListParagraph"/>
    <w:uiPriority w:val="99"/>
    <w:locked/>
    <w:rsid w:val="00E4033A"/>
    <w:rPr>
      <w:rFonts w:ascii="Times New Roman" w:eastAsia="Calibri" w:hAnsi="Times New Roman" w:cs="Times New Roman"/>
      <w:sz w:val="24"/>
      <w:szCs w:val="24"/>
      <w:lang w:val="es-ES_tradnl"/>
    </w:rPr>
  </w:style>
  <w:style w:type="character" w:styleId="FootnoteReference">
    <w:name w:val="footnote reference"/>
    <w:aliases w:val="Texto de nota al pie,Appel note de bas de page,Footnotes refss,Footnote number,referencia nota al pie,BVI fnr,f,4_G,16 Point,Superscript 6 Point,Texto nota al pie,Footnote Reference Char3,Footnote Reference Char1 Char,Ref. de nota al"/>
    <w:qFormat/>
    <w:rsid w:val="00E4033A"/>
    <w:rPr>
      <w:rFonts w:ascii="Verdana" w:hAnsi="Verdana" w:cs="Times New Roman"/>
      <w:sz w:val="20"/>
      <w:vertAlign w:val="superscript"/>
    </w:rPr>
  </w:style>
  <w:style w:type="character" w:styleId="Hyperlink">
    <w:name w:val="Hyperlink"/>
    <w:aliases w:val="Heading 3 caso"/>
    <w:uiPriority w:val="99"/>
    <w:rsid w:val="00E4033A"/>
    <w:rPr>
      <w:rFonts w:cs="Times New Roman"/>
      <w:color w:val="0000FF"/>
      <w:u w:val="single"/>
    </w:rPr>
  </w:style>
  <w:style w:type="paragraph" w:styleId="TOC1">
    <w:name w:val="toc 1"/>
    <w:basedOn w:val="Normal"/>
    <w:next w:val="Normal"/>
    <w:autoRedefine/>
    <w:uiPriority w:val="39"/>
    <w:unhideWhenUsed/>
    <w:rsid w:val="00CD4901"/>
    <w:pPr>
      <w:tabs>
        <w:tab w:val="left" w:pos="142"/>
        <w:tab w:val="right" w:leader="dot" w:pos="9639"/>
      </w:tabs>
      <w:ind w:left="142" w:right="220" w:hanging="142"/>
      <w:jc w:val="both"/>
    </w:pPr>
    <w:rPr>
      <w:rFonts w:ascii="Verdana" w:hAnsi="Verdana" w:cs="Verdana"/>
      <w:b/>
      <w:caps/>
      <w:noProof/>
      <w:snapToGrid w:val="0"/>
      <w:sz w:val="18"/>
      <w:szCs w:val="18"/>
    </w:rPr>
  </w:style>
  <w:style w:type="paragraph" w:styleId="TOC2">
    <w:name w:val="toc 2"/>
    <w:basedOn w:val="Normal"/>
    <w:next w:val="Normal"/>
    <w:autoRedefine/>
    <w:uiPriority w:val="39"/>
    <w:unhideWhenUsed/>
    <w:rsid w:val="00E4033A"/>
    <w:pPr>
      <w:tabs>
        <w:tab w:val="left" w:pos="720"/>
        <w:tab w:val="right" w:leader="dot" w:pos="8828"/>
      </w:tabs>
      <w:ind w:left="238"/>
      <w:jc w:val="both"/>
    </w:pPr>
  </w:style>
  <w:style w:type="paragraph" w:styleId="TOC3">
    <w:name w:val="toc 3"/>
    <w:basedOn w:val="Normal"/>
    <w:next w:val="Normal"/>
    <w:autoRedefine/>
    <w:uiPriority w:val="39"/>
    <w:unhideWhenUsed/>
    <w:rsid w:val="00E4033A"/>
    <w:pPr>
      <w:tabs>
        <w:tab w:val="right" w:leader="dot" w:pos="8828"/>
      </w:tabs>
      <w:spacing w:before="60" w:after="60"/>
      <w:ind w:left="482"/>
      <w:contextualSpacing/>
    </w:pPr>
  </w:style>
  <w:style w:type="paragraph" w:styleId="Footer">
    <w:name w:val="footer"/>
    <w:basedOn w:val="Normal"/>
    <w:link w:val="FooterChar"/>
    <w:uiPriority w:val="99"/>
    <w:unhideWhenUsed/>
    <w:rsid w:val="00E4033A"/>
    <w:pPr>
      <w:tabs>
        <w:tab w:val="center" w:pos="4419"/>
        <w:tab w:val="right" w:pos="8838"/>
      </w:tabs>
    </w:pPr>
  </w:style>
  <w:style w:type="character" w:customStyle="1" w:styleId="FooterChar">
    <w:name w:val="Footer Char"/>
    <w:basedOn w:val="DefaultParagraphFont"/>
    <w:link w:val="Footer"/>
    <w:uiPriority w:val="99"/>
    <w:rsid w:val="00E4033A"/>
    <w:rPr>
      <w:rFonts w:ascii="Times New Roman" w:eastAsia="Calibri" w:hAnsi="Times New Roman" w:cs="Times New Roman"/>
      <w:sz w:val="24"/>
      <w:szCs w:val="24"/>
      <w:lang w:val="es-ES_tradnl"/>
    </w:rPr>
  </w:style>
  <w:style w:type="character" w:styleId="CommentReference">
    <w:name w:val="annotation reference"/>
    <w:basedOn w:val="DefaultParagraphFont"/>
    <w:uiPriority w:val="99"/>
    <w:unhideWhenUsed/>
    <w:rsid w:val="00E4033A"/>
    <w:rPr>
      <w:sz w:val="16"/>
      <w:szCs w:val="16"/>
    </w:rPr>
  </w:style>
  <w:style w:type="character" w:customStyle="1" w:styleId="CommentTextChar">
    <w:name w:val="Comment Text Char"/>
    <w:basedOn w:val="DefaultParagraphFont"/>
    <w:link w:val="CommentText"/>
    <w:uiPriority w:val="99"/>
    <w:rsid w:val="00E4033A"/>
    <w:rPr>
      <w:rFonts w:ascii="Times New Roman" w:eastAsia="Calibri" w:hAnsi="Times New Roman" w:cs="Times New Roman"/>
      <w:sz w:val="20"/>
      <w:szCs w:val="20"/>
      <w:lang w:val="es-ES_tradnl"/>
    </w:rPr>
  </w:style>
  <w:style w:type="paragraph" w:styleId="CommentText">
    <w:name w:val="annotation text"/>
    <w:basedOn w:val="Normal"/>
    <w:link w:val="CommentTextChar"/>
    <w:uiPriority w:val="99"/>
    <w:unhideWhenUsed/>
    <w:rsid w:val="00E4033A"/>
    <w:rPr>
      <w:sz w:val="20"/>
      <w:szCs w:val="20"/>
    </w:rPr>
  </w:style>
  <w:style w:type="character" w:customStyle="1" w:styleId="CommentTextChar1">
    <w:name w:val="Comment Text Char1"/>
    <w:basedOn w:val="DefaultParagraphFont"/>
    <w:uiPriority w:val="99"/>
    <w:semiHidden/>
    <w:rsid w:val="00E4033A"/>
    <w:rPr>
      <w:rFonts w:ascii="Times New Roman" w:eastAsia="Calibri" w:hAnsi="Times New Roman" w:cs="Times New Roman"/>
      <w:sz w:val="20"/>
      <w:szCs w:val="20"/>
      <w:lang w:val="es-ES_tradnl"/>
    </w:rPr>
  </w:style>
  <w:style w:type="character" w:customStyle="1" w:styleId="apple-converted-space">
    <w:name w:val="apple-converted-space"/>
    <w:basedOn w:val="DefaultParagraphFont"/>
    <w:rsid w:val="00E4033A"/>
  </w:style>
  <w:style w:type="character" w:styleId="Strong">
    <w:name w:val="Strong"/>
    <w:basedOn w:val="DefaultParagraphFont"/>
    <w:uiPriority w:val="22"/>
    <w:qFormat/>
    <w:rsid w:val="00E4033A"/>
    <w:rPr>
      <w:b/>
      <w:bCs/>
    </w:rPr>
  </w:style>
  <w:style w:type="paragraph" w:styleId="BalloonText">
    <w:name w:val="Balloon Text"/>
    <w:basedOn w:val="Normal"/>
    <w:link w:val="BalloonTextChar"/>
    <w:uiPriority w:val="99"/>
    <w:semiHidden/>
    <w:unhideWhenUsed/>
    <w:rsid w:val="00E4033A"/>
    <w:rPr>
      <w:rFonts w:ascii="Tahoma" w:hAnsi="Tahoma" w:cs="Tahoma"/>
      <w:sz w:val="16"/>
      <w:szCs w:val="16"/>
    </w:rPr>
  </w:style>
  <w:style w:type="character" w:customStyle="1" w:styleId="BalloonTextChar">
    <w:name w:val="Balloon Text Char"/>
    <w:basedOn w:val="DefaultParagraphFont"/>
    <w:link w:val="BalloonText"/>
    <w:uiPriority w:val="99"/>
    <w:semiHidden/>
    <w:rsid w:val="00E4033A"/>
    <w:rPr>
      <w:rFonts w:ascii="Tahoma" w:eastAsia="Calibri" w:hAnsi="Tahoma" w:cs="Tahoma"/>
      <w:sz w:val="16"/>
      <w:szCs w:val="16"/>
      <w:lang w:val="es-ES_tradnl"/>
    </w:rPr>
  </w:style>
  <w:style w:type="paragraph" w:styleId="Header">
    <w:name w:val="header"/>
    <w:basedOn w:val="Normal"/>
    <w:link w:val="HeaderChar"/>
    <w:uiPriority w:val="99"/>
    <w:unhideWhenUsed/>
    <w:rsid w:val="00926E61"/>
    <w:pPr>
      <w:tabs>
        <w:tab w:val="center" w:pos="4419"/>
        <w:tab w:val="right" w:pos="8838"/>
      </w:tabs>
    </w:pPr>
    <w:rPr>
      <w:rFonts w:asciiTheme="minorHAnsi" w:eastAsiaTheme="minorHAnsi" w:hAnsiTheme="minorHAnsi" w:cstheme="minorBidi"/>
      <w:sz w:val="22"/>
      <w:szCs w:val="22"/>
      <w:lang w:val="es-CR"/>
    </w:rPr>
  </w:style>
  <w:style w:type="character" w:customStyle="1" w:styleId="HeaderChar">
    <w:name w:val="Header Char"/>
    <w:basedOn w:val="DefaultParagraphFont"/>
    <w:link w:val="Header"/>
    <w:uiPriority w:val="99"/>
    <w:rsid w:val="00926E61"/>
    <w:rPr>
      <w:lang w:val="es-CR"/>
    </w:rPr>
  </w:style>
  <w:style w:type="paragraph" w:styleId="CommentSubject">
    <w:name w:val="annotation subject"/>
    <w:basedOn w:val="CommentText"/>
    <w:next w:val="CommentText"/>
    <w:link w:val="CommentSubjectChar"/>
    <w:uiPriority w:val="99"/>
    <w:semiHidden/>
    <w:unhideWhenUsed/>
    <w:rsid w:val="00926E61"/>
    <w:pPr>
      <w:spacing w:after="200"/>
    </w:pPr>
    <w:rPr>
      <w:rFonts w:asciiTheme="minorHAnsi" w:eastAsiaTheme="minorHAnsi" w:hAnsiTheme="minorHAnsi" w:cstheme="minorBidi"/>
      <w:b/>
      <w:bCs/>
      <w:lang w:val="es-CR"/>
    </w:rPr>
  </w:style>
  <w:style w:type="character" w:customStyle="1" w:styleId="CommentSubjectChar">
    <w:name w:val="Comment Subject Char"/>
    <w:basedOn w:val="CommentTextChar"/>
    <w:link w:val="CommentSubject"/>
    <w:uiPriority w:val="99"/>
    <w:semiHidden/>
    <w:rsid w:val="00926E61"/>
    <w:rPr>
      <w:rFonts w:ascii="Times New Roman" w:eastAsia="Calibri" w:hAnsi="Times New Roman" w:cs="Times New Roman"/>
      <w:b/>
      <w:bCs/>
      <w:sz w:val="20"/>
      <w:szCs w:val="20"/>
      <w:lang w:val="es-CR"/>
    </w:rPr>
  </w:style>
  <w:style w:type="paragraph" w:customStyle="1" w:styleId="Footnotes">
    <w:name w:val="**. Footnotes"/>
    <w:basedOn w:val="FootnoteText"/>
    <w:link w:val="FootnotesChar"/>
    <w:autoRedefine/>
    <w:qFormat/>
    <w:rsid w:val="00FC1FCF"/>
    <w:pPr>
      <w:spacing w:before="120"/>
    </w:pPr>
    <w:rPr>
      <w:rFonts w:cs="Palatino-Italic"/>
      <w:iCs w:val="0"/>
      <w:lang w:eastAsia="en-US"/>
    </w:rPr>
  </w:style>
  <w:style w:type="character" w:customStyle="1" w:styleId="FootnotesChar">
    <w:name w:val="**. Footnotes Char"/>
    <w:basedOn w:val="DefaultParagraphFont"/>
    <w:link w:val="Footnotes"/>
    <w:rsid w:val="00FC1FCF"/>
    <w:rPr>
      <w:rFonts w:ascii="Verdana" w:eastAsia="Batang" w:hAnsi="Verdana" w:cs="Palatino-Italic"/>
      <w:iCs/>
      <w:sz w:val="16"/>
      <w:szCs w:val="16"/>
      <w:lang w:val="es-ES"/>
    </w:rPr>
  </w:style>
  <w:style w:type="character" w:customStyle="1" w:styleId="apple-style-span">
    <w:name w:val="apple-style-span"/>
    <w:basedOn w:val="DefaultParagraphFont"/>
    <w:rsid w:val="00FC1FCF"/>
    <w:rPr>
      <w:rFonts w:cs="Times New Roman"/>
    </w:rPr>
  </w:style>
  <w:style w:type="paragraph" w:customStyle="1" w:styleId="Default">
    <w:name w:val="Default"/>
    <w:rsid w:val="00FC1FC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FC1FCF"/>
    <w:pPr>
      <w:spacing w:after="0" w:line="240" w:lineRule="auto"/>
    </w:pPr>
  </w:style>
  <w:style w:type="character" w:customStyle="1" w:styleId="Ttulo1">
    <w:name w:val="Título1"/>
    <w:basedOn w:val="DefaultParagraphFont"/>
    <w:rsid w:val="00FC1FCF"/>
  </w:style>
  <w:style w:type="paragraph" w:styleId="NoSpacing">
    <w:name w:val="No Spacing"/>
    <w:uiPriority w:val="1"/>
    <w:qFormat/>
    <w:rsid w:val="007E0325"/>
    <w:pPr>
      <w:spacing w:after="0" w:line="240" w:lineRule="auto"/>
    </w:pPr>
    <w:rPr>
      <w:rFonts w:eastAsiaTheme="minorEastAsia"/>
    </w:rPr>
  </w:style>
  <w:style w:type="paragraph" w:styleId="TOC4">
    <w:name w:val="toc 4"/>
    <w:basedOn w:val="Normal"/>
    <w:next w:val="Normal"/>
    <w:autoRedefine/>
    <w:uiPriority w:val="39"/>
    <w:unhideWhenUsed/>
    <w:rsid w:val="00CD7F34"/>
    <w:pPr>
      <w:tabs>
        <w:tab w:val="right" w:leader="dot" w:pos="9630"/>
      </w:tabs>
      <w:ind w:left="720"/>
      <w:jc w:val="both"/>
    </w:pPr>
  </w:style>
  <w:style w:type="character" w:customStyle="1" w:styleId="PiedepginaCar1">
    <w:name w:val="Pie de página Car1"/>
    <w:basedOn w:val="DefaultParagraphFont"/>
    <w:semiHidden/>
    <w:rsid w:val="002E4580"/>
    <w:rPr>
      <w:rFonts w:ascii="Times" w:eastAsia="Times New Roman" w:hAnsi="Times" w:cs="Times New Roman"/>
      <w:snapToGrid w:val="0"/>
      <w:sz w:val="24"/>
      <w:szCs w:val="24"/>
      <w:lang w:val="es-ES_tradnl" w:eastAsia="es-ES"/>
    </w:rPr>
  </w:style>
  <w:style w:type="paragraph" w:styleId="TOC5">
    <w:name w:val="toc 5"/>
    <w:basedOn w:val="Normal"/>
    <w:next w:val="Normal"/>
    <w:autoRedefine/>
    <w:uiPriority w:val="39"/>
    <w:unhideWhenUsed/>
    <w:rsid w:val="004B1D0E"/>
    <w:pPr>
      <w:spacing w:after="100"/>
      <w:ind w:left="960"/>
    </w:pPr>
  </w:style>
  <w:style w:type="character" w:styleId="LineNumber">
    <w:name w:val="line number"/>
    <w:basedOn w:val="DefaultParagraphFont"/>
    <w:uiPriority w:val="99"/>
    <w:semiHidden/>
    <w:unhideWhenUsed/>
    <w:rsid w:val="000B1FC8"/>
  </w:style>
  <w:style w:type="paragraph" w:customStyle="1" w:styleId="PrrafodeSentencia">
    <w:name w:val="*. Párrafo de Sentencia"/>
    <w:link w:val="PrrafodeSentenciaChar"/>
    <w:autoRedefine/>
    <w:qFormat/>
    <w:rsid w:val="0062526A"/>
    <w:pPr>
      <w:tabs>
        <w:tab w:val="left" w:pos="0"/>
      </w:tabs>
      <w:spacing w:after="0" w:line="240" w:lineRule="auto"/>
      <w:jc w:val="both"/>
    </w:pPr>
    <w:rPr>
      <w:rFonts w:ascii="Verdana" w:eastAsia="Batang" w:hAnsi="Verdana" w:cs="Times New Roman"/>
      <w:sz w:val="20"/>
      <w:szCs w:val="20"/>
      <w:lang w:val="es-MX" w:eastAsia="es-MX"/>
    </w:rPr>
  </w:style>
  <w:style w:type="character" w:customStyle="1" w:styleId="hps">
    <w:name w:val="hps"/>
    <w:basedOn w:val="DefaultParagraphFont"/>
    <w:rsid w:val="00A91B78"/>
  </w:style>
  <w:style w:type="paragraph" w:styleId="HTMLPreformatted">
    <w:name w:val="HTML Preformatted"/>
    <w:basedOn w:val="Normal"/>
    <w:link w:val="HTMLPreformattedChar"/>
    <w:uiPriority w:val="99"/>
    <w:unhideWhenUsed/>
    <w:rsid w:val="00A91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A91B78"/>
    <w:rPr>
      <w:rFonts w:ascii="Courier New" w:eastAsia="Times New Roman" w:hAnsi="Courier New" w:cs="Times New Roman"/>
      <w:sz w:val="20"/>
      <w:szCs w:val="20"/>
    </w:rPr>
  </w:style>
  <w:style w:type="paragraph" w:customStyle="1" w:styleId="2Footnotes">
    <w:name w:val="2. Footnotes"/>
    <w:basedOn w:val="FootnoteText"/>
    <w:link w:val="2FootnotesChar"/>
    <w:autoRedefine/>
    <w:qFormat/>
    <w:rsid w:val="00A91B78"/>
    <w:pPr>
      <w:tabs>
        <w:tab w:val="clear" w:pos="567"/>
      </w:tabs>
      <w:spacing w:before="120"/>
    </w:pPr>
    <w:rPr>
      <w:rFonts w:eastAsia="Times New Roman" w:cs="Palatino-Italic"/>
      <w:iCs w:val="0"/>
      <w:noProof/>
      <w:szCs w:val="18"/>
      <w:lang w:eastAsia="en-US"/>
    </w:rPr>
  </w:style>
  <w:style w:type="character" w:customStyle="1" w:styleId="2FootnotesChar">
    <w:name w:val="2. Footnotes Char"/>
    <w:link w:val="2Footnotes"/>
    <w:rsid w:val="00A91B78"/>
    <w:rPr>
      <w:rFonts w:ascii="Verdana" w:eastAsia="Times New Roman" w:hAnsi="Verdana" w:cs="Palatino-Italic"/>
      <w:iCs/>
      <w:noProof/>
      <w:sz w:val="16"/>
      <w:szCs w:val="18"/>
      <w:lang w:val="es-ES"/>
    </w:rPr>
  </w:style>
  <w:style w:type="character" w:customStyle="1" w:styleId="PrrafodeSentenciaChar">
    <w:name w:val="*. Párrafo de Sentencia Char"/>
    <w:link w:val="PrrafodeSentencia"/>
    <w:rsid w:val="0062526A"/>
    <w:rPr>
      <w:rFonts w:ascii="Verdana" w:eastAsia="Batang" w:hAnsi="Verdana" w:cs="Times New Roman"/>
      <w:sz w:val="20"/>
      <w:szCs w:val="20"/>
      <w:lang w:val="es-MX" w:eastAsia="es-MX"/>
    </w:rPr>
  </w:style>
  <w:style w:type="character" w:styleId="FollowedHyperlink">
    <w:name w:val="FollowedHyperlink"/>
    <w:basedOn w:val="DefaultParagraphFont"/>
    <w:uiPriority w:val="99"/>
    <w:semiHidden/>
    <w:unhideWhenUsed/>
    <w:rsid w:val="00216F93"/>
    <w:rPr>
      <w:color w:val="800080" w:themeColor="followedHyperlink"/>
      <w:u w:val="single"/>
    </w:rPr>
  </w:style>
  <w:style w:type="paragraph" w:styleId="NormalWeb">
    <w:name w:val="Normal (Web)"/>
    <w:aliases w:val="Normal (Web) Char1,Normal (Web) Char Char,Normal (Web) Char1 Char,Normal (Web) Char Char Char"/>
    <w:basedOn w:val="Normal"/>
    <w:uiPriority w:val="99"/>
    <w:unhideWhenUsed/>
    <w:rsid w:val="00D53828"/>
    <w:pPr>
      <w:spacing w:before="100" w:beforeAutospacing="1" w:after="100" w:afterAutospacing="1"/>
    </w:pPr>
    <w:rPr>
      <w:rFonts w:eastAsia="Times New Roman"/>
      <w:lang w:val="es-CR" w:eastAsia="es-CR"/>
    </w:rPr>
  </w:style>
  <w:style w:type="paragraph" w:customStyle="1" w:styleId="xmsonormal">
    <w:name w:val="x_msonormal"/>
    <w:basedOn w:val="Normal"/>
    <w:rsid w:val="00FB1F21"/>
    <w:pPr>
      <w:spacing w:before="100" w:beforeAutospacing="1" w:after="100" w:afterAutospacing="1"/>
    </w:pPr>
    <w:rPr>
      <w:rFonts w:eastAsia="Times New Roman"/>
      <w:lang w:val="en-US"/>
    </w:rPr>
  </w:style>
  <w:style w:type="character" w:customStyle="1" w:styleId="st">
    <w:name w:val="st"/>
    <w:basedOn w:val="DefaultParagraphFont"/>
    <w:rsid w:val="00CA7C7B"/>
  </w:style>
  <w:style w:type="character" w:styleId="Emphasis">
    <w:name w:val="Emphasis"/>
    <w:basedOn w:val="DefaultParagraphFont"/>
    <w:uiPriority w:val="20"/>
    <w:qFormat/>
    <w:rsid w:val="00CA7C7B"/>
    <w:rPr>
      <w:i/>
      <w:iCs/>
    </w:rPr>
  </w:style>
  <w:style w:type="character" w:customStyle="1" w:styleId="highlight">
    <w:name w:val="highlight"/>
    <w:basedOn w:val="DefaultParagraphFont"/>
    <w:rsid w:val="00890830"/>
  </w:style>
  <w:style w:type="paragraph" w:customStyle="1" w:styleId="articletext">
    <w:name w:val="articletext"/>
    <w:basedOn w:val="Normal"/>
    <w:rsid w:val="00FE7BA7"/>
    <w:pPr>
      <w:spacing w:before="100" w:beforeAutospacing="1" w:after="100" w:afterAutospacing="1"/>
    </w:pPr>
    <w:rPr>
      <w:rFonts w:eastAsia="Times New Roman"/>
      <w:lang w:val="en-US"/>
    </w:rPr>
  </w:style>
  <w:style w:type="paragraph" w:styleId="Title">
    <w:name w:val="Title"/>
    <w:basedOn w:val="Normal"/>
    <w:link w:val="TitleChar"/>
    <w:qFormat/>
    <w:rsid w:val="007522DE"/>
    <w:pPr>
      <w:jc w:val="center"/>
    </w:pPr>
    <w:rPr>
      <w:rFonts w:ascii="Verdana" w:eastAsia="Times New Roman" w:hAnsi="Verdana"/>
      <w:b/>
      <w:noProof/>
      <w:sz w:val="20"/>
      <w:szCs w:val="20"/>
    </w:rPr>
  </w:style>
  <w:style w:type="character" w:customStyle="1" w:styleId="TitleChar">
    <w:name w:val="Title Char"/>
    <w:basedOn w:val="DefaultParagraphFont"/>
    <w:link w:val="Title"/>
    <w:rsid w:val="007522DE"/>
    <w:rPr>
      <w:rFonts w:ascii="Verdana" w:eastAsia="Times New Roman" w:hAnsi="Verdana" w:cs="Times New Roman"/>
      <w:b/>
      <w:noProof/>
      <w:sz w:val="20"/>
      <w:szCs w:val="20"/>
      <w:lang w:val="es-ES_tradnl"/>
    </w:rPr>
  </w:style>
  <w:style w:type="paragraph" w:customStyle="1" w:styleId="Estilo1">
    <w:name w:val="Estilo1"/>
    <w:basedOn w:val="ListParagraph"/>
    <w:link w:val="Estilo1Car"/>
    <w:qFormat/>
    <w:rsid w:val="007522DE"/>
    <w:pPr>
      <w:numPr>
        <w:numId w:val="53"/>
      </w:numPr>
      <w:spacing w:after="240"/>
      <w:ind w:left="0" w:firstLine="0"/>
      <w:contextualSpacing w:val="0"/>
      <w:jc w:val="both"/>
    </w:pPr>
    <w:rPr>
      <w:lang w:val="es-UY"/>
    </w:rPr>
  </w:style>
  <w:style w:type="paragraph" w:customStyle="1" w:styleId="Estilo2">
    <w:name w:val="Estilo2"/>
    <w:basedOn w:val="Estilo1"/>
    <w:link w:val="Estilo2Car"/>
    <w:qFormat/>
    <w:rsid w:val="007522DE"/>
    <w:pPr>
      <w:numPr>
        <w:numId w:val="0"/>
      </w:numPr>
      <w:spacing w:after="120"/>
      <w:ind w:left="709"/>
      <w:jc w:val="center"/>
    </w:pPr>
    <w:rPr>
      <w:i/>
    </w:rPr>
  </w:style>
  <w:style w:type="character" w:customStyle="1" w:styleId="Estilo1Car">
    <w:name w:val="Estilo1 Car"/>
    <w:basedOn w:val="ListParagraphChar"/>
    <w:link w:val="Estilo1"/>
    <w:rsid w:val="007522DE"/>
    <w:rPr>
      <w:rFonts w:ascii="Times New Roman" w:eastAsia="Calibri" w:hAnsi="Times New Roman" w:cs="Times New Roman"/>
      <w:sz w:val="24"/>
      <w:szCs w:val="24"/>
      <w:lang w:val="es-UY"/>
    </w:rPr>
  </w:style>
  <w:style w:type="paragraph" w:customStyle="1" w:styleId="Estilo3">
    <w:name w:val="Estilo3"/>
    <w:basedOn w:val="Estilo2"/>
    <w:link w:val="Estilo3Car"/>
    <w:qFormat/>
    <w:rsid w:val="007522DE"/>
    <w:pPr>
      <w:jc w:val="both"/>
    </w:pPr>
  </w:style>
  <w:style w:type="character" w:customStyle="1" w:styleId="Estilo2Car">
    <w:name w:val="Estilo2 Car"/>
    <w:basedOn w:val="Estilo1Car"/>
    <w:link w:val="Estilo2"/>
    <w:rsid w:val="007522DE"/>
    <w:rPr>
      <w:rFonts w:ascii="Times New Roman" w:eastAsia="Calibri" w:hAnsi="Times New Roman" w:cs="Times New Roman"/>
      <w:i/>
      <w:sz w:val="24"/>
      <w:szCs w:val="24"/>
      <w:lang w:val="es-UY"/>
    </w:rPr>
  </w:style>
  <w:style w:type="character" w:customStyle="1" w:styleId="Estilo3Car">
    <w:name w:val="Estilo3 Car"/>
    <w:basedOn w:val="Estilo2Car"/>
    <w:link w:val="Estilo3"/>
    <w:rsid w:val="007522DE"/>
    <w:rPr>
      <w:rFonts w:ascii="Times New Roman" w:eastAsia="Calibri" w:hAnsi="Times New Roman" w:cs="Times New Roman"/>
      <w:i/>
      <w:sz w:val="24"/>
      <w:szCs w:val="24"/>
      <w:lang w:val="es-UY"/>
    </w:rPr>
  </w:style>
  <w:style w:type="character" w:customStyle="1" w:styleId="Estilo4Car">
    <w:name w:val="Estilo4 Car"/>
    <w:basedOn w:val="DefaultParagraphFont"/>
    <w:link w:val="Estilo4"/>
    <w:locked/>
    <w:rsid w:val="007522DE"/>
    <w:rPr>
      <w:rFonts w:ascii="Times New Roman" w:hAnsi="Times New Roman" w:cs="Times New Roman"/>
      <w:sz w:val="24"/>
      <w:szCs w:val="24"/>
    </w:rPr>
  </w:style>
  <w:style w:type="paragraph" w:customStyle="1" w:styleId="Estilo4">
    <w:name w:val="Estilo4"/>
    <w:basedOn w:val="Normal"/>
    <w:link w:val="Estilo4Car"/>
    <w:qFormat/>
    <w:rsid w:val="007522DE"/>
    <w:pPr>
      <w:numPr>
        <w:numId w:val="56"/>
      </w:numPr>
      <w:spacing w:after="160" w:line="256" w:lineRule="auto"/>
      <w:ind w:left="0" w:firstLine="0"/>
    </w:pPr>
    <w:rPr>
      <w:rFonts w:eastAsia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2653">
      <w:bodyDiv w:val="1"/>
      <w:marLeft w:val="0"/>
      <w:marRight w:val="0"/>
      <w:marTop w:val="0"/>
      <w:marBottom w:val="0"/>
      <w:divBdr>
        <w:top w:val="none" w:sz="0" w:space="0" w:color="auto"/>
        <w:left w:val="none" w:sz="0" w:space="0" w:color="auto"/>
        <w:bottom w:val="none" w:sz="0" w:space="0" w:color="auto"/>
        <w:right w:val="none" w:sz="0" w:space="0" w:color="auto"/>
      </w:divBdr>
      <w:divsChild>
        <w:div w:id="758674529">
          <w:marLeft w:val="0"/>
          <w:marRight w:val="0"/>
          <w:marTop w:val="0"/>
          <w:marBottom w:val="0"/>
          <w:divBdr>
            <w:top w:val="none" w:sz="0" w:space="0" w:color="auto"/>
            <w:left w:val="none" w:sz="0" w:space="0" w:color="auto"/>
            <w:bottom w:val="none" w:sz="0" w:space="0" w:color="auto"/>
            <w:right w:val="none" w:sz="0" w:space="0" w:color="auto"/>
          </w:divBdr>
        </w:div>
        <w:div w:id="1292784442">
          <w:marLeft w:val="0"/>
          <w:marRight w:val="0"/>
          <w:marTop w:val="0"/>
          <w:marBottom w:val="0"/>
          <w:divBdr>
            <w:top w:val="none" w:sz="0" w:space="0" w:color="auto"/>
            <w:left w:val="none" w:sz="0" w:space="0" w:color="auto"/>
            <w:bottom w:val="none" w:sz="0" w:space="0" w:color="auto"/>
            <w:right w:val="none" w:sz="0" w:space="0" w:color="auto"/>
          </w:divBdr>
        </w:div>
        <w:div w:id="1889611873">
          <w:marLeft w:val="0"/>
          <w:marRight w:val="0"/>
          <w:marTop w:val="0"/>
          <w:marBottom w:val="0"/>
          <w:divBdr>
            <w:top w:val="none" w:sz="0" w:space="0" w:color="auto"/>
            <w:left w:val="none" w:sz="0" w:space="0" w:color="auto"/>
            <w:bottom w:val="none" w:sz="0" w:space="0" w:color="auto"/>
            <w:right w:val="none" w:sz="0" w:space="0" w:color="auto"/>
          </w:divBdr>
        </w:div>
        <w:div w:id="2119526392">
          <w:marLeft w:val="0"/>
          <w:marRight w:val="0"/>
          <w:marTop w:val="0"/>
          <w:marBottom w:val="0"/>
          <w:divBdr>
            <w:top w:val="none" w:sz="0" w:space="0" w:color="auto"/>
            <w:left w:val="none" w:sz="0" w:space="0" w:color="auto"/>
            <w:bottom w:val="none" w:sz="0" w:space="0" w:color="auto"/>
            <w:right w:val="none" w:sz="0" w:space="0" w:color="auto"/>
          </w:divBdr>
        </w:div>
      </w:divsChild>
    </w:div>
    <w:div w:id="71320908">
      <w:bodyDiv w:val="1"/>
      <w:marLeft w:val="0"/>
      <w:marRight w:val="0"/>
      <w:marTop w:val="0"/>
      <w:marBottom w:val="0"/>
      <w:divBdr>
        <w:top w:val="none" w:sz="0" w:space="0" w:color="auto"/>
        <w:left w:val="none" w:sz="0" w:space="0" w:color="auto"/>
        <w:bottom w:val="none" w:sz="0" w:space="0" w:color="auto"/>
        <w:right w:val="none" w:sz="0" w:space="0" w:color="auto"/>
      </w:divBdr>
      <w:divsChild>
        <w:div w:id="868034653">
          <w:marLeft w:val="0"/>
          <w:marRight w:val="0"/>
          <w:marTop w:val="0"/>
          <w:marBottom w:val="0"/>
          <w:divBdr>
            <w:top w:val="none" w:sz="0" w:space="0" w:color="auto"/>
            <w:left w:val="none" w:sz="0" w:space="0" w:color="auto"/>
            <w:bottom w:val="none" w:sz="0" w:space="0" w:color="auto"/>
            <w:right w:val="none" w:sz="0" w:space="0" w:color="auto"/>
          </w:divBdr>
        </w:div>
        <w:div w:id="1291326358">
          <w:marLeft w:val="0"/>
          <w:marRight w:val="0"/>
          <w:marTop w:val="0"/>
          <w:marBottom w:val="0"/>
          <w:divBdr>
            <w:top w:val="none" w:sz="0" w:space="0" w:color="auto"/>
            <w:left w:val="none" w:sz="0" w:space="0" w:color="auto"/>
            <w:bottom w:val="none" w:sz="0" w:space="0" w:color="auto"/>
            <w:right w:val="none" w:sz="0" w:space="0" w:color="auto"/>
          </w:divBdr>
        </w:div>
        <w:div w:id="1816332890">
          <w:marLeft w:val="0"/>
          <w:marRight w:val="0"/>
          <w:marTop w:val="0"/>
          <w:marBottom w:val="0"/>
          <w:divBdr>
            <w:top w:val="none" w:sz="0" w:space="0" w:color="auto"/>
            <w:left w:val="none" w:sz="0" w:space="0" w:color="auto"/>
            <w:bottom w:val="none" w:sz="0" w:space="0" w:color="auto"/>
            <w:right w:val="none" w:sz="0" w:space="0" w:color="auto"/>
          </w:divBdr>
        </w:div>
      </w:divsChild>
    </w:div>
    <w:div w:id="163514467">
      <w:bodyDiv w:val="1"/>
      <w:marLeft w:val="0"/>
      <w:marRight w:val="0"/>
      <w:marTop w:val="0"/>
      <w:marBottom w:val="0"/>
      <w:divBdr>
        <w:top w:val="none" w:sz="0" w:space="0" w:color="auto"/>
        <w:left w:val="none" w:sz="0" w:space="0" w:color="auto"/>
        <w:bottom w:val="none" w:sz="0" w:space="0" w:color="auto"/>
        <w:right w:val="none" w:sz="0" w:space="0" w:color="auto"/>
      </w:divBdr>
    </w:div>
    <w:div w:id="178082094">
      <w:bodyDiv w:val="1"/>
      <w:marLeft w:val="0"/>
      <w:marRight w:val="0"/>
      <w:marTop w:val="0"/>
      <w:marBottom w:val="0"/>
      <w:divBdr>
        <w:top w:val="none" w:sz="0" w:space="0" w:color="auto"/>
        <w:left w:val="none" w:sz="0" w:space="0" w:color="auto"/>
        <w:bottom w:val="none" w:sz="0" w:space="0" w:color="auto"/>
        <w:right w:val="none" w:sz="0" w:space="0" w:color="auto"/>
      </w:divBdr>
    </w:div>
    <w:div w:id="199242949">
      <w:bodyDiv w:val="1"/>
      <w:marLeft w:val="0"/>
      <w:marRight w:val="0"/>
      <w:marTop w:val="0"/>
      <w:marBottom w:val="0"/>
      <w:divBdr>
        <w:top w:val="none" w:sz="0" w:space="0" w:color="auto"/>
        <w:left w:val="none" w:sz="0" w:space="0" w:color="auto"/>
        <w:bottom w:val="none" w:sz="0" w:space="0" w:color="auto"/>
        <w:right w:val="none" w:sz="0" w:space="0" w:color="auto"/>
      </w:divBdr>
      <w:divsChild>
        <w:div w:id="470250141">
          <w:marLeft w:val="0"/>
          <w:marRight w:val="0"/>
          <w:marTop w:val="0"/>
          <w:marBottom w:val="0"/>
          <w:divBdr>
            <w:top w:val="none" w:sz="0" w:space="0" w:color="auto"/>
            <w:left w:val="none" w:sz="0" w:space="0" w:color="auto"/>
            <w:bottom w:val="none" w:sz="0" w:space="0" w:color="auto"/>
            <w:right w:val="none" w:sz="0" w:space="0" w:color="auto"/>
          </w:divBdr>
          <w:divsChild>
            <w:div w:id="676880876">
              <w:marLeft w:val="0"/>
              <w:marRight w:val="0"/>
              <w:marTop w:val="0"/>
              <w:marBottom w:val="0"/>
              <w:divBdr>
                <w:top w:val="none" w:sz="0" w:space="0" w:color="auto"/>
                <w:left w:val="none" w:sz="0" w:space="0" w:color="auto"/>
                <w:bottom w:val="none" w:sz="0" w:space="0" w:color="auto"/>
                <w:right w:val="none" w:sz="0" w:space="0" w:color="auto"/>
              </w:divBdr>
            </w:div>
            <w:div w:id="8191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1996">
      <w:bodyDiv w:val="1"/>
      <w:marLeft w:val="0"/>
      <w:marRight w:val="0"/>
      <w:marTop w:val="0"/>
      <w:marBottom w:val="0"/>
      <w:divBdr>
        <w:top w:val="none" w:sz="0" w:space="0" w:color="auto"/>
        <w:left w:val="none" w:sz="0" w:space="0" w:color="auto"/>
        <w:bottom w:val="none" w:sz="0" w:space="0" w:color="auto"/>
        <w:right w:val="none" w:sz="0" w:space="0" w:color="auto"/>
      </w:divBdr>
    </w:div>
    <w:div w:id="264339297">
      <w:bodyDiv w:val="1"/>
      <w:marLeft w:val="0"/>
      <w:marRight w:val="0"/>
      <w:marTop w:val="0"/>
      <w:marBottom w:val="0"/>
      <w:divBdr>
        <w:top w:val="none" w:sz="0" w:space="0" w:color="auto"/>
        <w:left w:val="none" w:sz="0" w:space="0" w:color="auto"/>
        <w:bottom w:val="none" w:sz="0" w:space="0" w:color="auto"/>
        <w:right w:val="none" w:sz="0" w:space="0" w:color="auto"/>
      </w:divBdr>
      <w:divsChild>
        <w:div w:id="437481095">
          <w:marLeft w:val="0"/>
          <w:marRight w:val="0"/>
          <w:marTop w:val="0"/>
          <w:marBottom w:val="0"/>
          <w:divBdr>
            <w:top w:val="none" w:sz="0" w:space="0" w:color="auto"/>
            <w:left w:val="none" w:sz="0" w:space="0" w:color="auto"/>
            <w:bottom w:val="none" w:sz="0" w:space="0" w:color="auto"/>
            <w:right w:val="none" w:sz="0" w:space="0" w:color="auto"/>
          </w:divBdr>
        </w:div>
        <w:div w:id="1273585414">
          <w:marLeft w:val="0"/>
          <w:marRight w:val="0"/>
          <w:marTop w:val="0"/>
          <w:marBottom w:val="0"/>
          <w:divBdr>
            <w:top w:val="none" w:sz="0" w:space="0" w:color="auto"/>
            <w:left w:val="none" w:sz="0" w:space="0" w:color="auto"/>
            <w:bottom w:val="none" w:sz="0" w:space="0" w:color="auto"/>
            <w:right w:val="none" w:sz="0" w:space="0" w:color="auto"/>
          </w:divBdr>
        </w:div>
        <w:div w:id="2046565362">
          <w:marLeft w:val="0"/>
          <w:marRight w:val="0"/>
          <w:marTop w:val="0"/>
          <w:marBottom w:val="0"/>
          <w:divBdr>
            <w:top w:val="none" w:sz="0" w:space="0" w:color="auto"/>
            <w:left w:val="none" w:sz="0" w:space="0" w:color="auto"/>
            <w:bottom w:val="none" w:sz="0" w:space="0" w:color="auto"/>
            <w:right w:val="none" w:sz="0" w:space="0" w:color="auto"/>
          </w:divBdr>
        </w:div>
      </w:divsChild>
    </w:div>
    <w:div w:id="321273211">
      <w:bodyDiv w:val="1"/>
      <w:marLeft w:val="0"/>
      <w:marRight w:val="0"/>
      <w:marTop w:val="0"/>
      <w:marBottom w:val="0"/>
      <w:divBdr>
        <w:top w:val="none" w:sz="0" w:space="0" w:color="auto"/>
        <w:left w:val="none" w:sz="0" w:space="0" w:color="auto"/>
        <w:bottom w:val="none" w:sz="0" w:space="0" w:color="auto"/>
        <w:right w:val="none" w:sz="0" w:space="0" w:color="auto"/>
      </w:divBdr>
      <w:divsChild>
        <w:div w:id="17704325">
          <w:marLeft w:val="0"/>
          <w:marRight w:val="0"/>
          <w:marTop w:val="0"/>
          <w:marBottom w:val="0"/>
          <w:divBdr>
            <w:top w:val="none" w:sz="0" w:space="0" w:color="auto"/>
            <w:left w:val="none" w:sz="0" w:space="0" w:color="auto"/>
            <w:bottom w:val="none" w:sz="0" w:space="0" w:color="auto"/>
            <w:right w:val="none" w:sz="0" w:space="0" w:color="auto"/>
          </w:divBdr>
        </w:div>
        <w:div w:id="37248915">
          <w:marLeft w:val="0"/>
          <w:marRight w:val="0"/>
          <w:marTop w:val="0"/>
          <w:marBottom w:val="0"/>
          <w:divBdr>
            <w:top w:val="none" w:sz="0" w:space="0" w:color="auto"/>
            <w:left w:val="none" w:sz="0" w:space="0" w:color="auto"/>
            <w:bottom w:val="none" w:sz="0" w:space="0" w:color="auto"/>
            <w:right w:val="none" w:sz="0" w:space="0" w:color="auto"/>
          </w:divBdr>
        </w:div>
        <w:div w:id="39016867">
          <w:marLeft w:val="0"/>
          <w:marRight w:val="0"/>
          <w:marTop w:val="0"/>
          <w:marBottom w:val="0"/>
          <w:divBdr>
            <w:top w:val="none" w:sz="0" w:space="0" w:color="auto"/>
            <w:left w:val="none" w:sz="0" w:space="0" w:color="auto"/>
            <w:bottom w:val="none" w:sz="0" w:space="0" w:color="auto"/>
            <w:right w:val="none" w:sz="0" w:space="0" w:color="auto"/>
          </w:divBdr>
        </w:div>
        <w:div w:id="40176784">
          <w:marLeft w:val="0"/>
          <w:marRight w:val="0"/>
          <w:marTop w:val="0"/>
          <w:marBottom w:val="0"/>
          <w:divBdr>
            <w:top w:val="none" w:sz="0" w:space="0" w:color="auto"/>
            <w:left w:val="none" w:sz="0" w:space="0" w:color="auto"/>
            <w:bottom w:val="none" w:sz="0" w:space="0" w:color="auto"/>
            <w:right w:val="none" w:sz="0" w:space="0" w:color="auto"/>
          </w:divBdr>
        </w:div>
        <w:div w:id="49034828">
          <w:marLeft w:val="0"/>
          <w:marRight w:val="0"/>
          <w:marTop w:val="0"/>
          <w:marBottom w:val="0"/>
          <w:divBdr>
            <w:top w:val="none" w:sz="0" w:space="0" w:color="auto"/>
            <w:left w:val="none" w:sz="0" w:space="0" w:color="auto"/>
            <w:bottom w:val="none" w:sz="0" w:space="0" w:color="auto"/>
            <w:right w:val="none" w:sz="0" w:space="0" w:color="auto"/>
          </w:divBdr>
        </w:div>
        <w:div w:id="52124068">
          <w:marLeft w:val="0"/>
          <w:marRight w:val="0"/>
          <w:marTop w:val="0"/>
          <w:marBottom w:val="0"/>
          <w:divBdr>
            <w:top w:val="none" w:sz="0" w:space="0" w:color="auto"/>
            <w:left w:val="none" w:sz="0" w:space="0" w:color="auto"/>
            <w:bottom w:val="none" w:sz="0" w:space="0" w:color="auto"/>
            <w:right w:val="none" w:sz="0" w:space="0" w:color="auto"/>
          </w:divBdr>
        </w:div>
        <w:div w:id="58938909">
          <w:marLeft w:val="0"/>
          <w:marRight w:val="0"/>
          <w:marTop w:val="0"/>
          <w:marBottom w:val="0"/>
          <w:divBdr>
            <w:top w:val="none" w:sz="0" w:space="0" w:color="auto"/>
            <w:left w:val="none" w:sz="0" w:space="0" w:color="auto"/>
            <w:bottom w:val="none" w:sz="0" w:space="0" w:color="auto"/>
            <w:right w:val="none" w:sz="0" w:space="0" w:color="auto"/>
          </w:divBdr>
        </w:div>
        <w:div w:id="75248042">
          <w:marLeft w:val="0"/>
          <w:marRight w:val="0"/>
          <w:marTop w:val="0"/>
          <w:marBottom w:val="0"/>
          <w:divBdr>
            <w:top w:val="none" w:sz="0" w:space="0" w:color="auto"/>
            <w:left w:val="none" w:sz="0" w:space="0" w:color="auto"/>
            <w:bottom w:val="none" w:sz="0" w:space="0" w:color="auto"/>
            <w:right w:val="none" w:sz="0" w:space="0" w:color="auto"/>
          </w:divBdr>
        </w:div>
        <w:div w:id="75785907">
          <w:marLeft w:val="0"/>
          <w:marRight w:val="0"/>
          <w:marTop w:val="0"/>
          <w:marBottom w:val="0"/>
          <w:divBdr>
            <w:top w:val="none" w:sz="0" w:space="0" w:color="auto"/>
            <w:left w:val="none" w:sz="0" w:space="0" w:color="auto"/>
            <w:bottom w:val="none" w:sz="0" w:space="0" w:color="auto"/>
            <w:right w:val="none" w:sz="0" w:space="0" w:color="auto"/>
          </w:divBdr>
        </w:div>
        <w:div w:id="78601510">
          <w:marLeft w:val="0"/>
          <w:marRight w:val="0"/>
          <w:marTop w:val="0"/>
          <w:marBottom w:val="0"/>
          <w:divBdr>
            <w:top w:val="none" w:sz="0" w:space="0" w:color="auto"/>
            <w:left w:val="none" w:sz="0" w:space="0" w:color="auto"/>
            <w:bottom w:val="none" w:sz="0" w:space="0" w:color="auto"/>
            <w:right w:val="none" w:sz="0" w:space="0" w:color="auto"/>
          </w:divBdr>
        </w:div>
        <w:div w:id="98335954">
          <w:marLeft w:val="0"/>
          <w:marRight w:val="0"/>
          <w:marTop w:val="0"/>
          <w:marBottom w:val="0"/>
          <w:divBdr>
            <w:top w:val="none" w:sz="0" w:space="0" w:color="auto"/>
            <w:left w:val="none" w:sz="0" w:space="0" w:color="auto"/>
            <w:bottom w:val="none" w:sz="0" w:space="0" w:color="auto"/>
            <w:right w:val="none" w:sz="0" w:space="0" w:color="auto"/>
          </w:divBdr>
        </w:div>
        <w:div w:id="128978310">
          <w:marLeft w:val="0"/>
          <w:marRight w:val="0"/>
          <w:marTop w:val="0"/>
          <w:marBottom w:val="0"/>
          <w:divBdr>
            <w:top w:val="none" w:sz="0" w:space="0" w:color="auto"/>
            <w:left w:val="none" w:sz="0" w:space="0" w:color="auto"/>
            <w:bottom w:val="none" w:sz="0" w:space="0" w:color="auto"/>
            <w:right w:val="none" w:sz="0" w:space="0" w:color="auto"/>
          </w:divBdr>
        </w:div>
        <w:div w:id="129591186">
          <w:marLeft w:val="0"/>
          <w:marRight w:val="0"/>
          <w:marTop w:val="0"/>
          <w:marBottom w:val="0"/>
          <w:divBdr>
            <w:top w:val="none" w:sz="0" w:space="0" w:color="auto"/>
            <w:left w:val="none" w:sz="0" w:space="0" w:color="auto"/>
            <w:bottom w:val="none" w:sz="0" w:space="0" w:color="auto"/>
            <w:right w:val="none" w:sz="0" w:space="0" w:color="auto"/>
          </w:divBdr>
        </w:div>
        <w:div w:id="132672929">
          <w:marLeft w:val="0"/>
          <w:marRight w:val="0"/>
          <w:marTop w:val="0"/>
          <w:marBottom w:val="0"/>
          <w:divBdr>
            <w:top w:val="none" w:sz="0" w:space="0" w:color="auto"/>
            <w:left w:val="none" w:sz="0" w:space="0" w:color="auto"/>
            <w:bottom w:val="none" w:sz="0" w:space="0" w:color="auto"/>
            <w:right w:val="none" w:sz="0" w:space="0" w:color="auto"/>
          </w:divBdr>
        </w:div>
        <w:div w:id="139733024">
          <w:marLeft w:val="0"/>
          <w:marRight w:val="0"/>
          <w:marTop w:val="0"/>
          <w:marBottom w:val="0"/>
          <w:divBdr>
            <w:top w:val="none" w:sz="0" w:space="0" w:color="auto"/>
            <w:left w:val="none" w:sz="0" w:space="0" w:color="auto"/>
            <w:bottom w:val="none" w:sz="0" w:space="0" w:color="auto"/>
            <w:right w:val="none" w:sz="0" w:space="0" w:color="auto"/>
          </w:divBdr>
        </w:div>
        <w:div w:id="163404043">
          <w:marLeft w:val="0"/>
          <w:marRight w:val="0"/>
          <w:marTop w:val="0"/>
          <w:marBottom w:val="0"/>
          <w:divBdr>
            <w:top w:val="none" w:sz="0" w:space="0" w:color="auto"/>
            <w:left w:val="none" w:sz="0" w:space="0" w:color="auto"/>
            <w:bottom w:val="none" w:sz="0" w:space="0" w:color="auto"/>
            <w:right w:val="none" w:sz="0" w:space="0" w:color="auto"/>
          </w:divBdr>
        </w:div>
        <w:div w:id="164982874">
          <w:marLeft w:val="0"/>
          <w:marRight w:val="0"/>
          <w:marTop w:val="0"/>
          <w:marBottom w:val="0"/>
          <w:divBdr>
            <w:top w:val="none" w:sz="0" w:space="0" w:color="auto"/>
            <w:left w:val="none" w:sz="0" w:space="0" w:color="auto"/>
            <w:bottom w:val="none" w:sz="0" w:space="0" w:color="auto"/>
            <w:right w:val="none" w:sz="0" w:space="0" w:color="auto"/>
          </w:divBdr>
        </w:div>
        <w:div w:id="170608718">
          <w:marLeft w:val="0"/>
          <w:marRight w:val="0"/>
          <w:marTop w:val="0"/>
          <w:marBottom w:val="0"/>
          <w:divBdr>
            <w:top w:val="none" w:sz="0" w:space="0" w:color="auto"/>
            <w:left w:val="none" w:sz="0" w:space="0" w:color="auto"/>
            <w:bottom w:val="none" w:sz="0" w:space="0" w:color="auto"/>
            <w:right w:val="none" w:sz="0" w:space="0" w:color="auto"/>
          </w:divBdr>
        </w:div>
        <w:div w:id="171801730">
          <w:marLeft w:val="0"/>
          <w:marRight w:val="0"/>
          <w:marTop w:val="0"/>
          <w:marBottom w:val="0"/>
          <w:divBdr>
            <w:top w:val="none" w:sz="0" w:space="0" w:color="auto"/>
            <w:left w:val="none" w:sz="0" w:space="0" w:color="auto"/>
            <w:bottom w:val="none" w:sz="0" w:space="0" w:color="auto"/>
            <w:right w:val="none" w:sz="0" w:space="0" w:color="auto"/>
          </w:divBdr>
        </w:div>
        <w:div w:id="185145082">
          <w:marLeft w:val="0"/>
          <w:marRight w:val="0"/>
          <w:marTop w:val="0"/>
          <w:marBottom w:val="0"/>
          <w:divBdr>
            <w:top w:val="none" w:sz="0" w:space="0" w:color="auto"/>
            <w:left w:val="none" w:sz="0" w:space="0" w:color="auto"/>
            <w:bottom w:val="none" w:sz="0" w:space="0" w:color="auto"/>
            <w:right w:val="none" w:sz="0" w:space="0" w:color="auto"/>
          </w:divBdr>
        </w:div>
        <w:div w:id="193855918">
          <w:marLeft w:val="0"/>
          <w:marRight w:val="0"/>
          <w:marTop w:val="0"/>
          <w:marBottom w:val="0"/>
          <w:divBdr>
            <w:top w:val="none" w:sz="0" w:space="0" w:color="auto"/>
            <w:left w:val="none" w:sz="0" w:space="0" w:color="auto"/>
            <w:bottom w:val="none" w:sz="0" w:space="0" w:color="auto"/>
            <w:right w:val="none" w:sz="0" w:space="0" w:color="auto"/>
          </w:divBdr>
        </w:div>
        <w:div w:id="199054723">
          <w:marLeft w:val="0"/>
          <w:marRight w:val="0"/>
          <w:marTop w:val="0"/>
          <w:marBottom w:val="0"/>
          <w:divBdr>
            <w:top w:val="none" w:sz="0" w:space="0" w:color="auto"/>
            <w:left w:val="none" w:sz="0" w:space="0" w:color="auto"/>
            <w:bottom w:val="none" w:sz="0" w:space="0" w:color="auto"/>
            <w:right w:val="none" w:sz="0" w:space="0" w:color="auto"/>
          </w:divBdr>
        </w:div>
        <w:div w:id="200172709">
          <w:marLeft w:val="0"/>
          <w:marRight w:val="0"/>
          <w:marTop w:val="0"/>
          <w:marBottom w:val="0"/>
          <w:divBdr>
            <w:top w:val="none" w:sz="0" w:space="0" w:color="auto"/>
            <w:left w:val="none" w:sz="0" w:space="0" w:color="auto"/>
            <w:bottom w:val="none" w:sz="0" w:space="0" w:color="auto"/>
            <w:right w:val="none" w:sz="0" w:space="0" w:color="auto"/>
          </w:divBdr>
        </w:div>
        <w:div w:id="288441508">
          <w:marLeft w:val="0"/>
          <w:marRight w:val="0"/>
          <w:marTop w:val="0"/>
          <w:marBottom w:val="0"/>
          <w:divBdr>
            <w:top w:val="none" w:sz="0" w:space="0" w:color="auto"/>
            <w:left w:val="none" w:sz="0" w:space="0" w:color="auto"/>
            <w:bottom w:val="none" w:sz="0" w:space="0" w:color="auto"/>
            <w:right w:val="none" w:sz="0" w:space="0" w:color="auto"/>
          </w:divBdr>
        </w:div>
        <w:div w:id="299265996">
          <w:marLeft w:val="0"/>
          <w:marRight w:val="0"/>
          <w:marTop w:val="0"/>
          <w:marBottom w:val="0"/>
          <w:divBdr>
            <w:top w:val="none" w:sz="0" w:space="0" w:color="auto"/>
            <w:left w:val="none" w:sz="0" w:space="0" w:color="auto"/>
            <w:bottom w:val="none" w:sz="0" w:space="0" w:color="auto"/>
            <w:right w:val="none" w:sz="0" w:space="0" w:color="auto"/>
          </w:divBdr>
        </w:div>
        <w:div w:id="306322281">
          <w:marLeft w:val="0"/>
          <w:marRight w:val="0"/>
          <w:marTop w:val="0"/>
          <w:marBottom w:val="0"/>
          <w:divBdr>
            <w:top w:val="none" w:sz="0" w:space="0" w:color="auto"/>
            <w:left w:val="none" w:sz="0" w:space="0" w:color="auto"/>
            <w:bottom w:val="none" w:sz="0" w:space="0" w:color="auto"/>
            <w:right w:val="none" w:sz="0" w:space="0" w:color="auto"/>
          </w:divBdr>
        </w:div>
        <w:div w:id="310407468">
          <w:marLeft w:val="0"/>
          <w:marRight w:val="0"/>
          <w:marTop w:val="0"/>
          <w:marBottom w:val="0"/>
          <w:divBdr>
            <w:top w:val="none" w:sz="0" w:space="0" w:color="auto"/>
            <w:left w:val="none" w:sz="0" w:space="0" w:color="auto"/>
            <w:bottom w:val="none" w:sz="0" w:space="0" w:color="auto"/>
            <w:right w:val="none" w:sz="0" w:space="0" w:color="auto"/>
          </w:divBdr>
        </w:div>
        <w:div w:id="315957649">
          <w:marLeft w:val="0"/>
          <w:marRight w:val="0"/>
          <w:marTop w:val="0"/>
          <w:marBottom w:val="0"/>
          <w:divBdr>
            <w:top w:val="none" w:sz="0" w:space="0" w:color="auto"/>
            <w:left w:val="none" w:sz="0" w:space="0" w:color="auto"/>
            <w:bottom w:val="none" w:sz="0" w:space="0" w:color="auto"/>
            <w:right w:val="none" w:sz="0" w:space="0" w:color="auto"/>
          </w:divBdr>
        </w:div>
        <w:div w:id="377317902">
          <w:marLeft w:val="0"/>
          <w:marRight w:val="0"/>
          <w:marTop w:val="0"/>
          <w:marBottom w:val="0"/>
          <w:divBdr>
            <w:top w:val="none" w:sz="0" w:space="0" w:color="auto"/>
            <w:left w:val="none" w:sz="0" w:space="0" w:color="auto"/>
            <w:bottom w:val="none" w:sz="0" w:space="0" w:color="auto"/>
            <w:right w:val="none" w:sz="0" w:space="0" w:color="auto"/>
          </w:divBdr>
        </w:div>
        <w:div w:id="377626598">
          <w:marLeft w:val="0"/>
          <w:marRight w:val="0"/>
          <w:marTop w:val="0"/>
          <w:marBottom w:val="0"/>
          <w:divBdr>
            <w:top w:val="none" w:sz="0" w:space="0" w:color="auto"/>
            <w:left w:val="none" w:sz="0" w:space="0" w:color="auto"/>
            <w:bottom w:val="none" w:sz="0" w:space="0" w:color="auto"/>
            <w:right w:val="none" w:sz="0" w:space="0" w:color="auto"/>
          </w:divBdr>
        </w:div>
        <w:div w:id="420444903">
          <w:marLeft w:val="0"/>
          <w:marRight w:val="0"/>
          <w:marTop w:val="0"/>
          <w:marBottom w:val="0"/>
          <w:divBdr>
            <w:top w:val="none" w:sz="0" w:space="0" w:color="auto"/>
            <w:left w:val="none" w:sz="0" w:space="0" w:color="auto"/>
            <w:bottom w:val="none" w:sz="0" w:space="0" w:color="auto"/>
            <w:right w:val="none" w:sz="0" w:space="0" w:color="auto"/>
          </w:divBdr>
        </w:div>
        <w:div w:id="445925919">
          <w:marLeft w:val="0"/>
          <w:marRight w:val="0"/>
          <w:marTop w:val="0"/>
          <w:marBottom w:val="0"/>
          <w:divBdr>
            <w:top w:val="none" w:sz="0" w:space="0" w:color="auto"/>
            <w:left w:val="none" w:sz="0" w:space="0" w:color="auto"/>
            <w:bottom w:val="none" w:sz="0" w:space="0" w:color="auto"/>
            <w:right w:val="none" w:sz="0" w:space="0" w:color="auto"/>
          </w:divBdr>
        </w:div>
        <w:div w:id="459884954">
          <w:marLeft w:val="0"/>
          <w:marRight w:val="0"/>
          <w:marTop w:val="0"/>
          <w:marBottom w:val="0"/>
          <w:divBdr>
            <w:top w:val="none" w:sz="0" w:space="0" w:color="auto"/>
            <w:left w:val="none" w:sz="0" w:space="0" w:color="auto"/>
            <w:bottom w:val="none" w:sz="0" w:space="0" w:color="auto"/>
            <w:right w:val="none" w:sz="0" w:space="0" w:color="auto"/>
          </w:divBdr>
        </w:div>
        <w:div w:id="477379024">
          <w:marLeft w:val="0"/>
          <w:marRight w:val="0"/>
          <w:marTop w:val="0"/>
          <w:marBottom w:val="0"/>
          <w:divBdr>
            <w:top w:val="none" w:sz="0" w:space="0" w:color="auto"/>
            <w:left w:val="none" w:sz="0" w:space="0" w:color="auto"/>
            <w:bottom w:val="none" w:sz="0" w:space="0" w:color="auto"/>
            <w:right w:val="none" w:sz="0" w:space="0" w:color="auto"/>
          </w:divBdr>
        </w:div>
        <w:div w:id="496455302">
          <w:marLeft w:val="0"/>
          <w:marRight w:val="0"/>
          <w:marTop w:val="0"/>
          <w:marBottom w:val="0"/>
          <w:divBdr>
            <w:top w:val="none" w:sz="0" w:space="0" w:color="auto"/>
            <w:left w:val="none" w:sz="0" w:space="0" w:color="auto"/>
            <w:bottom w:val="none" w:sz="0" w:space="0" w:color="auto"/>
            <w:right w:val="none" w:sz="0" w:space="0" w:color="auto"/>
          </w:divBdr>
        </w:div>
        <w:div w:id="542013553">
          <w:marLeft w:val="0"/>
          <w:marRight w:val="0"/>
          <w:marTop w:val="0"/>
          <w:marBottom w:val="0"/>
          <w:divBdr>
            <w:top w:val="none" w:sz="0" w:space="0" w:color="auto"/>
            <w:left w:val="none" w:sz="0" w:space="0" w:color="auto"/>
            <w:bottom w:val="none" w:sz="0" w:space="0" w:color="auto"/>
            <w:right w:val="none" w:sz="0" w:space="0" w:color="auto"/>
          </w:divBdr>
        </w:div>
        <w:div w:id="612060389">
          <w:marLeft w:val="0"/>
          <w:marRight w:val="0"/>
          <w:marTop w:val="0"/>
          <w:marBottom w:val="0"/>
          <w:divBdr>
            <w:top w:val="none" w:sz="0" w:space="0" w:color="auto"/>
            <w:left w:val="none" w:sz="0" w:space="0" w:color="auto"/>
            <w:bottom w:val="none" w:sz="0" w:space="0" w:color="auto"/>
            <w:right w:val="none" w:sz="0" w:space="0" w:color="auto"/>
          </w:divBdr>
        </w:div>
        <w:div w:id="626551132">
          <w:marLeft w:val="0"/>
          <w:marRight w:val="0"/>
          <w:marTop w:val="0"/>
          <w:marBottom w:val="0"/>
          <w:divBdr>
            <w:top w:val="none" w:sz="0" w:space="0" w:color="auto"/>
            <w:left w:val="none" w:sz="0" w:space="0" w:color="auto"/>
            <w:bottom w:val="none" w:sz="0" w:space="0" w:color="auto"/>
            <w:right w:val="none" w:sz="0" w:space="0" w:color="auto"/>
          </w:divBdr>
        </w:div>
        <w:div w:id="627978772">
          <w:marLeft w:val="0"/>
          <w:marRight w:val="0"/>
          <w:marTop w:val="0"/>
          <w:marBottom w:val="0"/>
          <w:divBdr>
            <w:top w:val="none" w:sz="0" w:space="0" w:color="auto"/>
            <w:left w:val="none" w:sz="0" w:space="0" w:color="auto"/>
            <w:bottom w:val="none" w:sz="0" w:space="0" w:color="auto"/>
            <w:right w:val="none" w:sz="0" w:space="0" w:color="auto"/>
          </w:divBdr>
        </w:div>
        <w:div w:id="632366677">
          <w:marLeft w:val="0"/>
          <w:marRight w:val="0"/>
          <w:marTop w:val="0"/>
          <w:marBottom w:val="0"/>
          <w:divBdr>
            <w:top w:val="none" w:sz="0" w:space="0" w:color="auto"/>
            <w:left w:val="none" w:sz="0" w:space="0" w:color="auto"/>
            <w:bottom w:val="none" w:sz="0" w:space="0" w:color="auto"/>
            <w:right w:val="none" w:sz="0" w:space="0" w:color="auto"/>
          </w:divBdr>
        </w:div>
        <w:div w:id="633097822">
          <w:marLeft w:val="0"/>
          <w:marRight w:val="0"/>
          <w:marTop w:val="0"/>
          <w:marBottom w:val="0"/>
          <w:divBdr>
            <w:top w:val="none" w:sz="0" w:space="0" w:color="auto"/>
            <w:left w:val="none" w:sz="0" w:space="0" w:color="auto"/>
            <w:bottom w:val="none" w:sz="0" w:space="0" w:color="auto"/>
            <w:right w:val="none" w:sz="0" w:space="0" w:color="auto"/>
          </w:divBdr>
        </w:div>
        <w:div w:id="645547008">
          <w:marLeft w:val="0"/>
          <w:marRight w:val="0"/>
          <w:marTop w:val="0"/>
          <w:marBottom w:val="0"/>
          <w:divBdr>
            <w:top w:val="none" w:sz="0" w:space="0" w:color="auto"/>
            <w:left w:val="none" w:sz="0" w:space="0" w:color="auto"/>
            <w:bottom w:val="none" w:sz="0" w:space="0" w:color="auto"/>
            <w:right w:val="none" w:sz="0" w:space="0" w:color="auto"/>
          </w:divBdr>
        </w:div>
        <w:div w:id="671876854">
          <w:marLeft w:val="0"/>
          <w:marRight w:val="0"/>
          <w:marTop w:val="0"/>
          <w:marBottom w:val="0"/>
          <w:divBdr>
            <w:top w:val="none" w:sz="0" w:space="0" w:color="auto"/>
            <w:left w:val="none" w:sz="0" w:space="0" w:color="auto"/>
            <w:bottom w:val="none" w:sz="0" w:space="0" w:color="auto"/>
            <w:right w:val="none" w:sz="0" w:space="0" w:color="auto"/>
          </w:divBdr>
        </w:div>
        <w:div w:id="713892426">
          <w:marLeft w:val="0"/>
          <w:marRight w:val="0"/>
          <w:marTop w:val="0"/>
          <w:marBottom w:val="0"/>
          <w:divBdr>
            <w:top w:val="none" w:sz="0" w:space="0" w:color="auto"/>
            <w:left w:val="none" w:sz="0" w:space="0" w:color="auto"/>
            <w:bottom w:val="none" w:sz="0" w:space="0" w:color="auto"/>
            <w:right w:val="none" w:sz="0" w:space="0" w:color="auto"/>
          </w:divBdr>
        </w:div>
        <w:div w:id="718213553">
          <w:marLeft w:val="0"/>
          <w:marRight w:val="0"/>
          <w:marTop w:val="0"/>
          <w:marBottom w:val="0"/>
          <w:divBdr>
            <w:top w:val="none" w:sz="0" w:space="0" w:color="auto"/>
            <w:left w:val="none" w:sz="0" w:space="0" w:color="auto"/>
            <w:bottom w:val="none" w:sz="0" w:space="0" w:color="auto"/>
            <w:right w:val="none" w:sz="0" w:space="0" w:color="auto"/>
          </w:divBdr>
        </w:div>
        <w:div w:id="730809524">
          <w:marLeft w:val="0"/>
          <w:marRight w:val="0"/>
          <w:marTop w:val="0"/>
          <w:marBottom w:val="0"/>
          <w:divBdr>
            <w:top w:val="none" w:sz="0" w:space="0" w:color="auto"/>
            <w:left w:val="none" w:sz="0" w:space="0" w:color="auto"/>
            <w:bottom w:val="none" w:sz="0" w:space="0" w:color="auto"/>
            <w:right w:val="none" w:sz="0" w:space="0" w:color="auto"/>
          </w:divBdr>
        </w:div>
        <w:div w:id="748502703">
          <w:marLeft w:val="0"/>
          <w:marRight w:val="0"/>
          <w:marTop w:val="0"/>
          <w:marBottom w:val="0"/>
          <w:divBdr>
            <w:top w:val="none" w:sz="0" w:space="0" w:color="auto"/>
            <w:left w:val="none" w:sz="0" w:space="0" w:color="auto"/>
            <w:bottom w:val="none" w:sz="0" w:space="0" w:color="auto"/>
            <w:right w:val="none" w:sz="0" w:space="0" w:color="auto"/>
          </w:divBdr>
        </w:div>
        <w:div w:id="792141292">
          <w:marLeft w:val="0"/>
          <w:marRight w:val="0"/>
          <w:marTop w:val="0"/>
          <w:marBottom w:val="0"/>
          <w:divBdr>
            <w:top w:val="none" w:sz="0" w:space="0" w:color="auto"/>
            <w:left w:val="none" w:sz="0" w:space="0" w:color="auto"/>
            <w:bottom w:val="none" w:sz="0" w:space="0" w:color="auto"/>
            <w:right w:val="none" w:sz="0" w:space="0" w:color="auto"/>
          </w:divBdr>
        </w:div>
        <w:div w:id="812479355">
          <w:marLeft w:val="0"/>
          <w:marRight w:val="0"/>
          <w:marTop w:val="0"/>
          <w:marBottom w:val="0"/>
          <w:divBdr>
            <w:top w:val="none" w:sz="0" w:space="0" w:color="auto"/>
            <w:left w:val="none" w:sz="0" w:space="0" w:color="auto"/>
            <w:bottom w:val="none" w:sz="0" w:space="0" w:color="auto"/>
            <w:right w:val="none" w:sz="0" w:space="0" w:color="auto"/>
          </w:divBdr>
        </w:div>
        <w:div w:id="815100595">
          <w:marLeft w:val="0"/>
          <w:marRight w:val="0"/>
          <w:marTop w:val="0"/>
          <w:marBottom w:val="0"/>
          <w:divBdr>
            <w:top w:val="none" w:sz="0" w:space="0" w:color="auto"/>
            <w:left w:val="none" w:sz="0" w:space="0" w:color="auto"/>
            <w:bottom w:val="none" w:sz="0" w:space="0" w:color="auto"/>
            <w:right w:val="none" w:sz="0" w:space="0" w:color="auto"/>
          </w:divBdr>
        </w:div>
        <w:div w:id="829558352">
          <w:marLeft w:val="0"/>
          <w:marRight w:val="0"/>
          <w:marTop w:val="0"/>
          <w:marBottom w:val="0"/>
          <w:divBdr>
            <w:top w:val="none" w:sz="0" w:space="0" w:color="auto"/>
            <w:left w:val="none" w:sz="0" w:space="0" w:color="auto"/>
            <w:bottom w:val="none" w:sz="0" w:space="0" w:color="auto"/>
            <w:right w:val="none" w:sz="0" w:space="0" w:color="auto"/>
          </w:divBdr>
        </w:div>
        <w:div w:id="831020845">
          <w:marLeft w:val="0"/>
          <w:marRight w:val="0"/>
          <w:marTop w:val="0"/>
          <w:marBottom w:val="0"/>
          <w:divBdr>
            <w:top w:val="none" w:sz="0" w:space="0" w:color="auto"/>
            <w:left w:val="none" w:sz="0" w:space="0" w:color="auto"/>
            <w:bottom w:val="none" w:sz="0" w:space="0" w:color="auto"/>
            <w:right w:val="none" w:sz="0" w:space="0" w:color="auto"/>
          </w:divBdr>
        </w:div>
        <w:div w:id="831608663">
          <w:marLeft w:val="0"/>
          <w:marRight w:val="0"/>
          <w:marTop w:val="0"/>
          <w:marBottom w:val="0"/>
          <w:divBdr>
            <w:top w:val="none" w:sz="0" w:space="0" w:color="auto"/>
            <w:left w:val="none" w:sz="0" w:space="0" w:color="auto"/>
            <w:bottom w:val="none" w:sz="0" w:space="0" w:color="auto"/>
            <w:right w:val="none" w:sz="0" w:space="0" w:color="auto"/>
          </w:divBdr>
        </w:div>
        <w:div w:id="840434054">
          <w:marLeft w:val="0"/>
          <w:marRight w:val="0"/>
          <w:marTop w:val="0"/>
          <w:marBottom w:val="0"/>
          <w:divBdr>
            <w:top w:val="none" w:sz="0" w:space="0" w:color="auto"/>
            <w:left w:val="none" w:sz="0" w:space="0" w:color="auto"/>
            <w:bottom w:val="none" w:sz="0" w:space="0" w:color="auto"/>
            <w:right w:val="none" w:sz="0" w:space="0" w:color="auto"/>
          </w:divBdr>
        </w:div>
        <w:div w:id="933318428">
          <w:marLeft w:val="0"/>
          <w:marRight w:val="0"/>
          <w:marTop w:val="0"/>
          <w:marBottom w:val="0"/>
          <w:divBdr>
            <w:top w:val="none" w:sz="0" w:space="0" w:color="auto"/>
            <w:left w:val="none" w:sz="0" w:space="0" w:color="auto"/>
            <w:bottom w:val="none" w:sz="0" w:space="0" w:color="auto"/>
            <w:right w:val="none" w:sz="0" w:space="0" w:color="auto"/>
          </w:divBdr>
        </w:div>
        <w:div w:id="1007100645">
          <w:marLeft w:val="0"/>
          <w:marRight w:val="0"/>
          <w:marTop w:val="0"/>
          <w:marBottom w:val="0"/>
          <w:divBdr>
            <w:top w:val="none" w:sz="0" w:space="0" w:color="auto"/>
            <w:left w:val="none" w:sz="0" w:space="0" w:color="auto"/>
            <w:bottom w:val="none" w:sz="0" w:space="0" w:color="auto"/>
            <w:right w:val="none" w:sz="0" w:space="0" w:color="auto"/>
          </w:divBdr>
        </w:div>
        <w:div w:id="1013340266">
          <w:marLeft w:val="0"/>
          <w:marRight w:val="0"/>
          <w:marTop w:val="0"/>
          <w:marBottom w:val="0"/>
          <w:divBdr>
            <w:top w:val="none" w:sz="0" w:space="0" w:color="auto"/>
            <w:left w:val="none" w:sz="0" w:space="0" w:color="auto"/>
            <w:bottom w:val="none" w:sz="0" w:space="0" w:color="auto"/>
            <w:right w:val="none" w:sz="0" w:space="0" w:color="auto"/>
          </w:divBdr>
        </w:div>
        <w:div w:id="1032151422">
          <w:marLeft w:val="0"/>
          <w:marRight w:val="0"/>
          <w:marTop w:val="0"/>
          <w:marBottom w:val="0"/>
          <w:divBdr>
            <w:top w:val="none" w:sz="0" w:space="0" w:color="auto"/>
            <w:left w:val="none" w:sz="0" w:space="0" w:color="auto"/>
            <w:bottom w:val="none" w:sz="0" w:space="0" w:color="auto"/>
            <w:right w:val="none" w:sz="0" w:space="0" w:color="auto"/>
          </w:divBdr>
        </w:div>
        <w:div w:id="1037925283">
          <w:marLeft w:val="0"/>
          <w:marRight w:val="0"/>
          <w:marTop w:val="0"/>
          <w:marBottom w:val="0"/>
          <w:divBdr>
            <w:top w:val="none" w:sz="0" w:space="0" w:color="auto"/>
            <w:left w:val="none" w:sz="0" w:space="0" w:color="auto"/>
            <w:bottom w:val="none" w:sz="0" w:space="0" w:color="auto"/>
            <w:right w:val="none" w:sz="0" w:space="0" w:color="auto"/>
          </w:divBdr>
        </w:div>
        <w:div w:id="1038506281">
          <w:marLeft w:val="0"/>
          <w:marRight w:val="0"/>
          <w:marTop w:val="0"/>
          <w:marBottom w:val="0"/>
          <w:divBdr>
            <w:top w:val="none" w:sz="0" w:space="0" w:color="auto"/>
            <w:left w:val="none" w:sz="0" w:space="0" w:color="auto"/>
            <w:bottom w:val="none" w:sz="0" w:space="0" w:color="auto"/>
            <w:right w:val="none" w:sz="0" w:space="0" w:color="auto"/>
          </w:divBdr>
        </w:div>
        <w:div w:id="1090349275">
          <w:marLeft w:val="0"/>
          <w:marRight w:val="0"/>
          <w:marTop w:val="0"/>
          <w:marBottom w:val="0"/>
          <w:divBdr>
            <w:top w:val="none" w:sz="0" w:space="0" w:color="auto"/>
            <w:left w:val="none" w:sz="0" w:space="0" w:color="auto"/>
            <w:bottom w:val="none" w:sz="0" w:space="0" w:color="auto"/>
            <w:right w:val="none" w:sz="0" w:space="0" w:color="auto"/>
          </w:divBdr>
        </w:div>
        <w:div w:id="1111243501">
          <w:marLeft w:val="0"/>
          <w:marRight w:val="0"/>
          <w:marTop w:val="0"/>
          <w:marBottom w:val="0"/>
          <w:divBdr>
            <w:top w:val="none" w:sz="0" w:space="0" w:color="auto"/>
            <w:left w:val="none" w:sz="0" w:space="0" w:color="auto"/>
            <w:bottom w:val="none" w:sz="0" w:space="0" w:color="auto"/>
            <w:right w:val="none" w:sz="0" w:space="0" w:color="auto"/>
          </w:divBdr>
        </w:div>
        <w:div w:id="1122305236">
          <w:marLeft w:val="0"/>
          <w:marRight w:val="0"/>
          <w:marTop w:val="0"/>
          <w:marBottom w:val="0"/>
          <w:divBdr>
            <w:top w:val="none" w:sz="0" w:space="0" w:color="auto"/>
            <w:left w:val="none" w:sz="0" w:space="0" w:color="auto"/>
            <w:bottom w:val="none" w:sz="0" w:space="0" w:color="auto"/>
            <w:right w:val="none" w:sz="0" w:space="0" w:color="auto"/>
          </w:divBdr>
        </w:div>
        <w:div w:id="1149705953">
          <w:marLeft w:val="0"/>
          <w:marRight w:val="0"/>
          <w:marTop w:val="0"/>
          <w:marBottom w:val="0"/>
          <w:divBdr>
            <w:top w:val="none" w:sz="0" w:space="0" w:color="auto"/>
            <w:left w:val="none" w:sz="0" w:space="0" w:color="auto"/>
            <w:bottom w:val="none" w:sz="0" w:space="0" w:color="auto"/>
            <w:right w:val="none" w:sz="0" w:space="0" w:color="auto"/>
          </w:divBdr>
        </w:div>
        <w:div w:id="1175077386">
          <w:marLeft w:val="0"/>
          <w:marRight w:val="0"/>
          <w:marTop w:val="0"/>
          <w:marBottom w:val="0"/>
          <w:divBdr>
            <w:top w:val="none" w:sz="0" w:space="0" w:color="auto"/>
            <w:left w:val="none" w:sz="0" w:space="0" w:color="auto"/>
            <w:bottom w:val="none" w:sz="0" w:space="0" w:color="auto"/>
            <w:right w:val="none" w:sz="0" w:space="0" w:color="auto"/>
          </w:divBdr>
        </w:div>
        <w:div w:id="1203666001">
          <w:marLeft w:val="0"/>
          <w:marRight w:val="0"/>
          <w:marTop w:val="0"/>
          <w:marBottom w:val="0"/>
          <w:divBdr>
            <w:top w:val="none" w:sz="0" w:space="0" w:color="auto"/>
            <w:left w:val="none" w:sz="0" w:space="0" w:color="auto"/>
            <w:bottom w:val="none" w:sz="0" w:space="0" w:color="auto"/>
            <w:right w:val="none" w:sz="0" w:space="0" w:color="auto"/>
          </w:divBdr>
        </w:div>
        <w:div w:id="1212769897">
          <w:marLeft w:val="0"/>
          <w:marRight w:val="0"/>
          <w:marTop w:val="0"/>
          <w:marBottom w:val="0"/>
          <w:divBdr>
            <w:top w:val="none" w:sz="0" w:space="0" w:color="auto"/>
            <w:left w:val="none" w:sz="0" w:space="0" w:color="auto"/>
            <w:bottom w:val="none" w:sz="0" w:space="0" w:color="auto"/>
            <w:right w:val="none" w:sz="0" w:space="0" w:color="auto"/>
          </w:divBdr>
        </w:div>
        <w:div w:id="1223253810">
          <w:marLeft w:val="0"/>
          <w:marRight w:val="0"/>
          <w:marTop w:val="0"/>
          <w:marBottom w:val="0"/>
          <w:divBdr>
            <w:top w:val="none" w:sz="0" w:space="0" w:color="auto"/>
            <w:left w:val="none" w:sz="0" w:space="0" w:color="auto"/>
            <w:bottom w:val="none" w:sz="0" w:space="0" w:color="auto"/>
            <w:right w:val="none" w:sz="0" w:space="0" w:color="auto"/>
          </w:divBdr>
        </w:div>
        <w:div w:id="1239246542">
          <w:marLeft w:val="0"/>
          <w:marRight w:val="0"/>
          <w:marTop w:val="0"/>
          <w:marBottom w:val="0"/>
          <w:divBdr>
            <w:top w:val="none" w:sz="0" w:space="0" w:color="auto"/>
            <w:left w:val="none" w:sz="0" w:space="0" w:color="auto"/>
            <w:bottom w:val="none" w:sz="0" w:space="0" w:color="auto"/>
            <w:right w:val="none" w:sz="0" w:space="0" w:color="auto"/>
          </w:divBdr>
        </w:div>
        <w:div w:id="1288392624">
          <w:marLeft w:val="0"/>
          <w:marRight w:val="0"/>
          <w:marTop w:val="0"/>
          <w:marBottom w:val="0"/>
          <w:divBdr>
            <w:top w:val="none" w:sz="0" w:space="0" w:color="auto"/>
            <w:left w:val="none" w:sz="0" w:space="0" w:color="auto"/>
            <w:bottom w:val="none" w:sz="0" w:space="0" w:color="auto"/>
            <w:right w:val="none" w:sz="0" w:space="0" w:color="auto"/>
          </w:divBdr>
        </w:div>
        <w:div w:id="1301426006">
          <w:marLeft w:val="0"/>
          <w:marRight w:val="0"/>
          <w:marTop w:val="0"/>
          <w:marBottom w:val="0"/>
          <w:divBdr>
            <w:top w:val="none" w:sz="0" w:space="0" w:color="auto"/>
            <w:left w:val="none" w:sz="0" w:space="0" w:color="auto"/>
            <w:bottom w:val="none" w:sz="0" w:space="0" w:color="auto"/>
            <w:right w:val="none" w:sz="0" w:space="0" w:color="auto"/>
          </w:divBdr>
        </w:div>
        <w:div w:id="1372924643">
          <w:marLeft w:val="0"/>
          <w:marRight w:val="0"/>
          <w:marTop w:val="0"/>
          <w:marBottom w:val="0"/>
          <w:divBdr>
            <w:top w:val="none" w:sz="0" w:space="0" w:color="auto"/>
            <w:left w:val="none" w:sz="0" w:space="0" w:color="auto"/>
            <w:bottom w:val="none" w:sz="0" w:space="0" w:color="auto"/>
            <w:right w:val="none" w:sz="0" w:space="0" w:color="auto"/>
          </w:divBdr>
        </w:div>
        <w:div w:id="1381512161">
          <w:marLeft w:val="0"/>
          <w:marRight w:val="0"/>
          <w:marTop w:val="0"/>
          <w:marBottom w:val="0"/>
          <w:divBdr>
            <w:top w:val="none" w:sz="0" w:space="0" w:color="auto"/>
            <w:left w:val="none" w:sz="0" w:space="0" w:color="auto"/>
            <w:bottom w:val="none" w:sz="0" w:space="0" w:color="auto"/>
            <w:right w:val="none" w:sz="0" w:space="0" w:color="auto"/>
          </w:divBdr>
        </w:div>
        <w:div w:id="1400446016">
          <w:marLeft w:val="0"/>
          <w:marRight w:val="0"/>
          <w:marTop w:val="0"/>
          <w:marBottom w:val="0"/>
          <w:divBdr>
            <w:top w:val="none" w:sz="0" w:space="0" w:color="auto"/>
            <w:left w:val="none" w:sz="0" w:space="0" w:color="auto"/>
            <w:bottom w:val="none" w:sz="0" w:space="0" w:color="auto"/>
            <w:right w:val="none" w:sz="0" w:space="0" w:color="auto"/>
          </w:divBdr>
        </w:div>
        <w:div w:id="1428964817">
          <w:marLeft w:val="0"/>
          <w:marRight w:val="0"/>
          <w:marTop w:val="0"/>
          <w:marBottom w:val="0"/>
          <w:divBdr>
            <w:top w:val="none" w:sz="0" w:space="0" w:color="auto"/>
            <w:left w:val="none" w:sz="0" w:space="0" w:color="auto"/>
            <w:bottom w:val="none" w:sz="0" w:space="0" w:color="auto"/>
            <w:right w:val="none" w:sz="0" w:space="0" w:color="auto"/>
          </w:divBdr>
        </w:div>
        <w:div w:id="1443920985">
          <w:marLeft w:val="0"/>
          <w:marRight w:val="0"/>
          <w:marTop w:val="0"/>
          <w:marBottom w:val="0"/>
          <w:divBdr>
            <w:top w:val="none" w:sz="0" w:space="0" w:color="auto"/>
            <w:left w:val="none" w:sz="0" w:space="0" w:color="auto"/>
            <w:bottom w:val="none" w:sz="0" w:space="0" w:color="auto"/>
            <w:right w:val="none" w:sz="0" w:space="0" w:color="auto"/>
          </w:divBdr>
        </w:div>
        <w:div w:id="1458261361">
          <w:marLeft w:val="0"/>
          <w:marRight w:val="0"/>
          <w:marTop w:val="0"/>
          <w:marBottom w:val="0"/>
          <w:divBdr>
            <w:top w:val="none" w:sz="0" w:space="0" w:color="auto"/>
            <w:left w:val="none" w:sz="0" w:space="0" w:color="auto"/>
            <w:bottom w:val="none" w:sz="0" w:space="0" w:color="auto"/>
            <w:right w:val="none" w:sz="0" w:space="0" w:color="auto"/>
          </w:divBdr>
        </w:div>
        <w:div w:id="1461344744">
          <w:marLeft w:val="0"/>
          <w:marRight w:val="0"/>
          <w:marTop w:val="0"/>
          <w:marBottom w:val="0"/>
          <w:divBdr>
            <w:top w:val="none" w:sz="0" w:space="0" w:color="auto"/>
            <w:left w:val="none" w:sz="0" w:space="0" w:color="auto"/>
            <w:bottom w:val="none" w:sz="0" w:space="0" w:color="auto"/>
            <w:right w:val="none" w:sz="0" w:space="0" w:color="auto"/>
          </w:divBdr>
        </w:div>
        <w:div w:id="1471363356">
          <w:marLeft w:val="0"/>
          <w:marRight w:val="0"/>
          <w:marTop w:val="0"/>
          <w:marBottom w:val="0"/>
          <w:divBdr>
            <w:top w:val="none" w:sz="0" w:space="0" w:color="auto"/>
            <w:left w:val="none" w:sz="0" w:space="0" w:color="auto"/>
            <w:bottom w:val="none" w:sz="0" w:space="0" w:color="auto"/>
            <w:right w:val="none" w:sz="0" w:space="0" w:color="auto"/>
          </w:divBdr>
        </w:div>
        <w:div w:id="1512573090">
          <w:marLeft w:val="0"/>
          <w:marRight w:val="0"/>
          <w:marTop w:val="0"/>
          <w:marBottom w:val="0"/>
          <w:divBdr>
            <w:top w:val="none" w:sz="0" w:space="0" w:color="auto"/>
            <w:left w:val="none" w:sz="0" w:space="0" w:color="auto"/>
            <w:bottom w:val="none" w:sz="0" w:space="0" w:color="auto"/>
            <w:right w:val="none" w:sz="0" w:space="0" w:color="auto"/>
          </w:divBdr>
        </w:div>
        <w:div w:id="1520777843">
          <w:marLeft w:val="0"/>
          <w:marRight w:val="0"/>
          <w:marTop w:val="0"/>
          <w:marBottom w:val="0"/>
          <w:divBdr>
            <w:top w:val="none" w:sz="0" w:space="0" w:color="auto"/>
            <w:left w:val="none" w:sz="0" w:space="0" w:color="auto"/>
            <w:bottom w:val="none" w:sz="0" w:space="0" w:color="auto"/>
            <w:right w:val="none" w:sz="0" w:space="0" w:color="auto"/>
          </w:divBdr>
        </w:div>
        <w:div w:id="1546330188">
          <w:marLeft w:val="0"/>
          <w:marRight w:val="0"/>
          <w:marTop w:val="0"/>
          <w:marBottom w:val="0"/>
          <w:divBdr>
            <w:top w:val="none" w:sz="0" w:space="0" w:color="auto"/>
            <w:left w:val="none" w:sz="0" w:space="0" w:color="auto"/>
            <w:bottom w:val="none" w:sz="0" w:space="0" w:color="auto"/>
            <w:right w:val="none" w:sz="0" w:space="0" w:color="auto"/>
          </w:divBdr>
        </w:div>
        <w:div w:id="1571036070">
          <w:marLeft w:val="0"/>
          <w:marRight w:val="0"/>
          <w:marTop w:val="0"/>
          <w:marBottom w:val="0"/>
          <w:divBdr>
            <w:top w:val="none" w:sz="0" w:space="0" w:color="auto"/>
            <w:left w:val="none" w:sz="0" w:space="0" w:color="auto"/>
            <w:bottom w:val="none" w:sz="0" w:space="0" w:color="auto"/>
            <w:right w:val="none" w:sz="0" w:space="0" w:color="auto"/>
          </w:divBdr>
        </w:div>
        <w:div w:id="1582525822">
          <w:marLeft w:val="0"/>
          <w:marRight w:val="0"/>
          <w:marTop w:val="0"/>
          <w:marBottom w:val="0"/>
          <w:divBdr>
            <w:top w:val="none" w:sz="0" w:space="0" w:color="auto"/>
            <w:left w:val="none" w:sz="0" w:space="0" w:color="auto"/>
            <w:bottom w:val="none" w:sz="0" w:space="0" w:color="auto"/>
            <w:right w:val="none" w:sz="0" w:space="0" w:color="auto"/>
          </w:divBdr>
        </w:div>
        <w:div w:id="1621569810">
          <w:marLeft w:val="0"/>
          <w:marRight w:val="0"/>
          <w:marTop w:val="0"/>
          <w:marBottom w:val="0"/>
          <w:divBdr>
            <w:top w:val="none" w:sz="0" w:space="0" w:color="auto"/>
            <w:left w:val="none" w:sz="0" w:space="0" w:color="auto"/>
            <w:bottom w:val="none" w:sz="0" w:space="0" w:color="auto"/>
            <w:right w:val="none" w:sz="0" w:space="0" w:color="auto"/>
          </w:divBdr>
        </w:div>
        <w:div w:id="1641224392">
          <w:marLeft w:val="0"/>
          <w:marRight w:val="0"/>
          <w:marTop w:val="0"/>
          <w:marBottom w:val="0"/>
          <w:divBdr>
            <w:top w:val="none" w:sz="0" w:space="0" w:color="auto"/>
            <w:left w:val="none" w:sz="0" w:space="0" w:color="auto"/>
            <w:bottom w:val="none" w:sz="0" w:space="0" w:color="auto"/>
            <w:right w:val="none" w:sz="0" w:space="0" w:color="auto"/>
          </w:divBdr>
        </w:div>
        <w:div w:id="1645086699">
          <w:marLeft w:val="0"/>
          <w:marRight w:val="0"/>
          <w:marTop w:val="0"/>
          <w:marBottom w:val="0"/>
          <w:divBdr>
            <w:top w:val="none" w:sz="0" w:space="0" w:color="auto"/>
            <w:left w:val="none" w:sz="0" w:space="0" w:color="auto"/>
            <w:bottom w:val="none" w:sz="0" w:space="0" w:color="auto"/>
            <w:right w:val="none" w:sz="0" w:space="0" w:color="auto"/>
          </w:divBdr>
        </w:div>
        <w:div w:id="1671829128">
          <w:marLeft w:val="0"/>
          <w:marRight w:val="0"/>
          <w:marTop w:val="0"/>
          <w:marBottom w:val="0"/>
          <w:divBdr>
            <w:top w:val="none" w:sz="0" w:space="0" w:color="auto"/>
            <w:left w:val="none" w:sz="0" w:space="0" w:color="auto"/>
            <w:bottom w:val="none" w:sz="0" w:space="0" w:color="auto"/>
            <w:right w:val="none" w:sz="0" w:space="0" w:color="auto"/>
          </w:divBdr>
        </w:div>
        <w:div w:id="1700860601">
          <w:marLeft w:val="0"/>
          <w:marRight w:val="0"/>
          <w:marTop w:val="0"/>
          <w:marBottom w:val="0"/>
          <w:divBdr>
            <w:top w:val="none" w:sz="0" w:space="0" w:color="auto"/>
            <w:left w:val="none" w:sz="0" w:space="0" w:color="auto"/>
            <w:bottom w:val="none" w:sz="0" w:space="0" w:color="auto"/>
            <w:right w:val="none" w:sz="0" w:space="0" w:color="auto"/>
          </w:divBdr>
        </w:div>
        <w:div w:id="1701515845">
          <w:marLeft w:val="0"/>
          <w:marRight w:val="0"/>
          <w:marTop w:val="0"/>
          <w:marBottom w:val="0"/>
          <w:divBdr>
            <w:top w:val="none" w:sz="0" w:space="0" w:color="auto"/>
            <w:left w:val="none" w:sz="0" w:space="0" w:color="auto"/>
            <w:bottom w:val="none" w:sz="0" w:space="0" w:color="auto"/>
            <w:right w:val="none" w:sz="0" w:space="0" w:color="auto"/>
          </w:divBdr>
        </w:div>
        <w:div w:id="1729768779">
          <w:marLeft w:val="0"/>
          <w:marRight w:val="0"/>
          <w:marTop w:val="0"/>
          <w:marBottom w:val="0"/>
          <w:divBdr>
            <w:top w:val="none" w:sz="0" w:space="0" w:color="auto"/>
            <w:left w:val="none" w:sz="0" w:space="0" w:color="auto"/>
            <w:bottom w:val="none" w:sz="0" w:space="0" w:color="auto"/>
            <w:right w:val="none" w:sz="0" w:space="0" w:color="auto"/>
          </w:divBdr>
        </w:div>
        <w:div w:id="1732382681">
          <w:marLeft w:val="0"/>
          <w:marRight w:val="0"/>
          <w:marTop w:val="0"/>
          <w:marBottom w:val="0"/>
          <w:divBdr>
            <w:top w:val="none" w:sz="0" w:space="0" w:color="auto"/>
            <w:left w:val="none" w:sz="0" w:space="0" w:color="auto"/>
            <w:bottom w:val="none" w:sz="0" w:space="0" w:color="auto"/>
            <w:right w:val="none" w:sz="0" w:space="0" w:color="auto"/>
          </w:divBdr>
        </w:div>
        <w:div w:id="1792478731">
          <w:marLeft w:val="0"/>
          <w:marRight w:val="0"/>
          <w:marTop w:val="0"/>
          <w:marBottom w:val="0"/>
          <w:divBdr>
            <w:top w:val="none" w:sz="0" w:space="0" w:color="auto"/>
            <w:left w:val="none" w:sz="0" w:space="0" w:color="auto"/>
            <w:bottom w:val="none" w:sz="0" w:space="0" w:color="auto"/>
            <w:right w:val="none" w:sz="0" w:space="0" w:color="auto"/>
          </w:divBdr>
        </w:div>
        <w:div w:id="1796294911">
          <w:marLeft w:val="0"/>
          <w:marRight w:val="0"/>
          <w:marTop w:val="0"/>
          <w:marBottom w:val="0"/>
          <w:divBdr>
            <w:top w:val="none" w:sz="0" w:space="0" w:color="auto"/>
            <w:left w:val="none" w:sz="0" w:space="0" w:color="auto"/>
            <w:bottom w:val="none" w:sz="0" w:space="0" w:color="auto"/>
            <w:right w:val="none" w:sz="0" w:space="0" w:color="auto"/>
          </w:divBdr>
        </w:div>
        <w:div w:id="1838493870">
          <w:marLeft w:val="0"/>
          <w:marRight w:val="0"/>
          <w:marTop w:val="0"/>
          <w:marBottom w:val="0"/>
          <w:divBdr>
            <w:top w:val="none" w:sz="0" w:space="0" w:color="auto"/>
            <w:left w:val="none" w:sz="0" w:space="0" w:color="auto"/>
            <w:bottom w:val="none" w:sz="0" w:space="0" w:color="auto"/>
            <w:right w:val="none" w:sz="0" w:space="0" w:color="auto"/>
          </w:divBdr>
        </w:div>
        <w:div w:id="1915116996">
          <w:marLeft w:val="0"/>
          <w:marRight w:val="0"/>
          <w:marTop w:val="0"/>
          <w:marBottom w:val="0"/>
          <w:divBdr>
            <w:top w:val="none" w:sz="0" w:space="0" w:color="auto"/>
            <w:left w:val="none" w:sz="0" w:space="0" w:color="auto"/>
            <w:bottom w:val="none" w:sz="0" w:space="0" w:color="auto"/>
            <w:right w:val="none" w:sz="0" w:space="0" w:color="auto"/>
          </w:divBdr>
        </w:div>
        <w:div w:id="2044551749">
          <w:marLeft w:val="0"/>
          <w:marRight w:val="0"/>
          <w:marTop w:val="0"/>
          <w:marBottom w:val="0"/>
          <w:divBdr>
            <w:top w:val="none" w:sz="0" w:space="0" w:color="auto"/>
            <w:left w:val="none" w:sz="0" w:space="0" w:color="auto"/>
            <w:bottom w:val="none" w:sz="0" w:space="0" w:color="auto"/>
            <w:right w:val="none" w:sz="0" w:space="0" w:color="auto"/>
          </w:divBdr>
        </w:div>
        <w:div w:id="2139949786">
          <w:marLeft w:val="0"/>
          <w:marRight w:val="0"/>
          <w:marTop w:val="0"/>
          <w:marBottom w:val="0"/>
          <w:divBdr>
            <w:top w:val="none" w:sz="0" w:space="0" w:color="auto"/>
            <w:left w:val="none" w:sz="0" w:space="0" w:color="auto"/>
            <w:bottom w:val="none" w:sz="0" w:space="0" w:color="auto"/>
            <w:right w:val="none" w:sz="0" w:space="0" w:color="auto"/>
          </w:divBdr>
        </w:div>
      </w:divsChild>
    </w:div>
    <w:div w:id="327100106">
      <w:bodyDiv w:val="1"/>
      <w:marLeft w:val="0"/>
      <w:marRight w:val="0"/>
      <w:marTop w:val="0"/>
      <w:marBottom w:val="0"/>
      <w:divBdr>
        <w:top w:val="none" w:sz="0" w:space="0" w:color="auto"/>
        <w:left w:val="none" w:sz="0" w:space="0" w:color="auto"/>
        <w:bottom w:val="none" w:sz="0" w:space="0" w:color="auto"/>
        <w:right w:val="none" w:sz="0" w:space="0" w:color="auto"/>
      </w:divBdr>
    </w:div>
    <w:div w:id="344332560">
      <w:bodyDiv w:val="1"/>
      <w:marLeft w:val="0"/>
      <w:marRight w:val="0"/>
      <w:marTop w:val="0"/>
      <w:marBottom w:val="0"/>
      <w:divBdr>
        <w:top w:val="none" w:sz="0" w:space="0" w:color="auto"/>
        <w:left w:val="none" w:sz="0" w:space="0" w:color="auto"/>
        <w:bottom w:val="none" w:sz="0" w:space="0" w:color="auto"/>
        <w:right w:val="none" w:sz="0" w:space="0" w:color="auto"/>
      </w:divBdr>
      <w:divsChild>
        <w:div w:id="597639188">
          <w:marLeft w:val="0"/>
          <w:marRight w:val="0"/>
          <w:marTop w:val="0"/>
          <w:marBottom w:val="0"/>
          <w:divBdr>
            <w:top w:val="none" w:sz="0" w:space="0" w:color="auto"/>
            <w:left w:val="none" w:sz="0" w:space="0" w:color="auto"/>
            <w:bottom w:val="none" w:sz="0" w:space="0" w:color="auto"/>
            <w:right w:val="none" w:sz="0" w:space="0" w:color="auto"/>
          </w:divBdr>
        </w:div>
        <w:div w:id="936445346">
          <w:marLeft w:val="0"/>
          <w:marRight w:val="0"/>
          <w:marTop w:val="0"/>
          <w:marBottom w:val="0"/>
          <w:divBdr>
            <w:top w:val="none" w:sz="0" w:space="0" w:color="auto"/>
            <w:left w:val="none" w:sz="0" w:space="0" w:color="auto"/>
            <w:bottom w:val="none" w:sz="0" w:space="0" w:color="auto"/>
            <w:right w:val="none" w:sz="0" w:space="0" w:color="auto"/>
          </w:divBdr>
        </w:div>
        <w:div w:id="1741949654">
          <w:marLeft w:val="0"/>
          <w:marRight w:val="0"/>
          <w:marTop w:val="0"/>
          <w:marBottom w:val="0"/>
          <w:divBdr>
            <w:top w:val="none" w:sz="0" w:space="0" w:color="auto"/>
            <w:left w:val="none" w:sz="0" w:space="0" w:color="auto"/>
            <w:bottom w:val="none" w:sz="0" w:space="0" w:color="auto"/>
            <w:right w:val="none" w:sz="0" w:space="0" w:color="auto"/>
          </w:divBdr>
        </w:div>
        <w:div w:id="1784035830">
          <w:marLeft w:val="0"/>
          <w:marRight w:val="0"/>
          <w:marTop w:val="0"/>
          <w:marBottom w:val="0"/>
          <w:divBdr>
            <w:top w:val="none" w:sz="0" w:space="0" w:color="auto"/>
            <w:left w:val="none" w:sz="0" w:space="0" w:color="auto"/>
            <w:bottom w:val="none" w:sz="0" w:space="0" w:color="auto"/>
            <w:right w:val="none" w:sz="0" w:space="0" w:color="auto"/>
          </w:divBdr>
        </w:div>
      </w:divsChild>
    </w:div>
    <w:div w:id="377780073">
      <w:bodyDiv w:val="1"/>
      <w:marLeft w:val="0"/>
      <w:marRight w:val="0"/>
      <w:marTop w:val="0"/>
      <w:marBottom w:val="0"/>
      <w:divBdr>
        <w:top w:val="none" w:sz="0" w:space="0" w:color="auto"/>
        <w:left w:val="none" w:sz="0" w:space="0" w:color="auto"/>
        <w:bottom w:val="none" w:sz="0" w:space="0" w:color="auto"/>
        <w:right w:val="none" w:sz="0" w:space="0" w:color="auto"/>
      </w:divBdr>
    </w:div>
    <w:div w:id="405759775">
      <w:bodyDiv w:val="1"/>
      <w:marLeft w:val="0"/>
      <w:marRight w:val="0"/>
      <w:marTop w:val="0"/>
      <w:marBottom w:val="0"/>
      <w:divBdr>
        <w:top w:val="none" w:sz="0" w:space="0" w:color="auto"/>
        <w:left w:val="none" w:sz="0" w:space="0" w:color="auto"/>
        <w:bottom w:val="none" w:sz="0" w:space="0" w:color="auto"/>
        <w:right w:val="none" w:sz="0" w:space="0" w:color="auto"/>
      </w:divBdr>
      <w:divsChild>
        <w:div w:id="385027660">
          <w:marLeft w:val="0"/>
          <w:marRight w:val="0"/>
          <w:marTop w:val="0"/>
          <w:marBottom w:val="0"/>
          <w:divBdr>
            <w:top w:val="none" w:sz="0" w:space="0" w:color="auto"/>
            <w:left w:val="none" w:sz="0" w:space="0" w:color="auto"/>
            <w:bottom w:val="none" w:sz="0" w:space="0" w:color="auto"/>
            <w:right w:val="none" w:sz="0" w:space="0" w:color="auto"/>
          </w:divBdr>
        </w:div>
        <w:div w:id="661856629">
          <w:marLeft w:val="0"/>
          <w:marRight w:val="0"/>
          <w:marTop w:val="0"/>
          <w:marBottom w:val="0"/>
          <w:divBdr>
            <w:top w:val="none" w:sz="0" w:space="0" w:color="auto"/>
            <w:left w:val="none" w:sz="0" w:space="0" w:color="auto"/>
            <w:bottom w:val="none" w:sz="0" w:space="0" w:color="auto"/>
            <w:right w:val="none" w:sz="0" w:space="0" w:color="auto"/>
          </w:divBdr>
        </w:div>
      </w:divsChild>
    </w:div>
    <w:div w:id="514654505">
      <w:bodyDiv w:val="1"/>
      <w:marLeft w:val="0"/>
      <w:marRight w:val="0"/>
      <w:marTop w:val="0"/>
      <w:marBottom w:val="0"/>
      <w:divBdr>
        <w:top w:val="none" w:sz="0" w:space="0" w:color="auto"/>
        <w:left w:val="none" w:sz="0" w:space="0" w:color="auto"/>
        <w:bottom w:val="none" w:sz="0" w:space="0" w:color="auto"/>
        <w:right w:val="none" w:sz="0" w:space="0" w:color="auto"/>
      </w:divBdr>
    </w:div>
    <w:div w:id="557862920">
      <w:bodyDiv w:val="1"/>
      <w:marLeft w:val="0"/>
      <w:marRight w:val="0"/>
      <w:marTop w:val="0"/>
      <w:marBottom w:val="0"/>
      <w:divBdr>
        <w:top w:val="none" w:sz="0" w:space="0" w:color="auto"/>
        <w:left w:val="none" w:sz="0" w:space="0" w:color="auto"/>
        <w:bottom w:val="none" w:sz="0" w:space="0" w:color="auto"/>
        <w:right w:val="none" w:sz="0" w:space="0" w:color="auto"/>
      </w:divBdr>
    </w:div>
    <w:div w:id="575750807">
      <w:bodyDiv w:val="1"/>
      <w:marLeft w:val="0"/>
      <w:marRight w:val="0"/>
      <w:marTop w:val="0"/>
      <w:marBottom w:val="0"/>
      <w:divBdr>
        <w:top w:val="none" w:sz="0" w:space="0" w:color="auto"/>
        <w:left w:val="none" w:sz="0" w:space="0" w:color="auto"/>
        <w:bottom w:val="none" w:sz="0" w:space="0" w:color="auto"/>
        <w:right w:val="none" w:sz="0" w:space="0" w:color="auto"/>
      </w:divBdr>
    </w:div>
    <w:div w:id="688221708">
      <w:bodyDiv w:val="1"/>
      <w:marLeft w:val="0"/>
      <w:marRight w:val="0"/>
      <w:marTop w:val="0"/>
      <w:marBottom w:val="0"/>
      <w:divBdr>
        <w:top w:val="none" w:sz="0" w:space="0" w:color="auto"/>
        <w:left w:val="none" w:sz="0" w:space="0" w:color="auto"/>
        <w:bottom w:val="none" w:sz="0" w:space="0" w:color="auto"/>
        <w:right w:val="none" w:sz="0" w:space="0" w:color="auto"/>
      </w:divBdr>
    </w:div>
    <w:div w:id="734278127">
      <w:bodyDiv w:val="1"/>
      <w:marLeft w:val="0"/>
      <w:marRight w:val="0"/>
      <w:marTop w:val="0"/>
      <w:marBottom w:val="0"/>
      <w:divBdr>
        <w:top w:val="none" w:sz="0" w:space="0" w:color="auto"/>
        <w:left w:val="none" w:sz="0" w:space="0" w:color="auto"/>
        <w:bottom w:val="none" w:sz="0" w:space="0" w:color="auto"/>
        <w:right w:val="none" w:sz="0" w:space="0" w:color="auto"/>
      </w:divBdr>
      <w:divsChild>
        <w:div w:id="28186960">
          <w:marLeft w:val="0"/>
          <w:marRight w:val="0"/>
          <w:marTop w:val="0"/>
          <w:marBottom w:val="0"/>
          <w:divBdr>
            <w:top w:val="none" w:sz="0" w:space="0" w:color="auto"/>
            <w:left w:val="none" w:sz="0" w:space="0" w:color="auto"/>
            <w:bottom w:val="none" w:sz="0" w:space="0" w:color="auto"/>
            <w:right w:val="none" w:sz="0" w:space="0" w:color="auto"/>
          </w:divBdr>
        </w:div>
        <w:div w:id="581986404">
          <w:marLeft w:val="0"/>
          <w:marRight w:val="0"/>
          <w:marTop w:val="0"/>
          <w:marBottom w:val="0"/>
          <w:divBdr>
            <w:top w:val="none" w:sz="0" w:space="0" w:color="auto"/>
            <w:left w:val="none" w:sz="0" w:space="0" w:color="auto"/>
            <w:bottom w:val="none" w:sz="0" w:space="0" w:color="auto"/>
            <w:right w:val="none" w:sz="0" w:space="0" w:color="auto"/>
          </w:divBdr>
        </w:div>
        <w:div w:id="996499150">
          <w:marLeft w:val="0"/>
          <w:marRight w:val="0"/>
          <w:marTop w:val="0"/>
          <w:marBottom w:val="0"/>
          <w:divBdr>
            <w:top w:val="none" w:sz="0" w:space="0" w:color="auto"/>
            <w:left w:val="none" w:sz="0" w:space="0" w:color="auto"/>
            <w:bottom w:val="none" w:sz="0" w:space="0" w:color="auto"/>
            <w:right w:val="none" w:sz="0" w:space="0" w:color="auto"/>
          </w:divBdr>
        </w:div>
        <w:div w:id="1019820426">
          <w:marLeft w:val="0"/>
          <w:marRight w:val="0"/>
          <w:marTop w:val="0"/>
          <w:marBottom w:val="0"/>
          <w:divBdr>
            <w:top w:val="none" w:sz="0" w:space="0" w:color="auto"/>
            <w:left w:val="none" w:sz="0" w:space="0" w:color="auto"/>
            <w:bottom w:val="none" w:sz="0" w:space="0" w:color="auto"/>
            <w:right w:val="none" w:sz="0" w:space="0" w:color="auto"/>
          </w:divBdr>
        </w:div>
        <w:div w:id="2051417182">
          <w:marLeft w:val="0"/>
          <w:marRight w:val="0"/>
          <w:marTop w:val="0"/>
          <w:marBottom w:val="0"/>
          <w:divBdr>
            <w:top w:val="none" w:sz="0" w:space="0" w:color="auto"/>
            <w:left w:val="none" w:sz="0" w:space="0" w:color="auto"/>
            <w:bottom w:val="none" w:sz="0" w:space="0" w:color="auto"/>
            <w:right w:val="none" w:sz="0" w:space="0" w:color="auto"/>
          </w:divBdr>
        </w:div>
      </w:divsChild>
    </w:div>
    <w:div w:id="765005899">
      <w:bodyDiv w:val="1"/>
      <w:marLeft w:val="0"/>
      <w:marRight w:val="0"/>
      <w:marTop w:val="0"/>
      <w:marBottom w:val="0"/>
      <w:divBdr>
        <w:top w:val="none" w:sz="0" w:space="0" w:color="auto"/>
        <w:left w:val="none" w:sz="0" w:space="0" w:color="auto"/>
        <w:bottom w:val="none" w:sz="0" w:space="0" w:color="auto"/>
        <w:right w:val="none" w:sz="0" w:space="0" w:color="auto"/>
      </w:divBdr>
    </w:div>
    <w:div w:id="914124560">
      <w:bodyDiv w:val="1"/>
      <w:marLeft w:val="0"/>
      <w:marRight w:val="0"/>
      <w:marTop w:val="0"/>
      <w:marBottom w:val="0"/>
      <w:divBdr>
        <w:top w:val="none" w:sz="0" w:space="0" w:color="auto"/>
        <w:left w:val="none" w:sz="0" w:space="0" w:color="auto"/>
        <w:bottom w:val="none" w:sz="0" w:space="0" w:color="auto"/>
        <w:right w:val="none" w:sz="0" w:space="0" w:color="auto"/>
      </w:divBdr>
    </w:div>
    <w:div w:id="1042054931">
      <w:bodyDiv w:val="1"/>
      <w:marLeft w:val="0"/>
      <w:marRight w:val="0"/>
      <w:marTop w:val="0"/>
      <w:marBottom w:val="0"/>
      <w:divBdr>
        <w:top w:val="none" w:sz="0" w:space="0" w:color="auto"/>
        <w:left w:val="none" w:sz="0" w:space="0" w:color="auto"/>
        <w:bottom w:val="none" w:sz="0" w:space="0" w:color="auto"/>
        <w:right w:val="none" w:sz="0" w:space="0" w:color="auto"/>
      </w:divBdr>
    </w:div>
    <w:div w:id="1123961154">
      <w:bodyDiv w:val="1"/>
      <w:marLeft w:val="0"/>
      <w:marRight w:val="0"/>
      <w:marTop w:val="0"/>
      <w:marBottom w:val="0"/>
      <w:divBdr>
        <w:top w:val="none" w:sz="0" w:space="0" w:color="auto"/>
        <w:left w:val="none" w:sz="0" w:space="0" w:color="auto"/>
        <w:bottom w:val="none" w:sz="0" w:space="0" w:color="auto"/>
        <w:right w:val="none" w:sz="0" w:space="0" w:color="auto"/>
      </w:divBdr>
    </w:div>
    <w:div w:id="1170557419">
      <w:bodyDiv w:val="1"/>
      <w:marLeft w:val="0"/>
      <w:marRight w:val="0"/>
      <w:marTop w:val="0"/>
      <w:marBottom w:val="0"/>
      <w:divBdr>
        <w:top w:val="none" w:sz="0" w:space="0" w:color="auto"/>
        <w:left w:val="none" w:sz="0" w:space="0" w:color="auto"/>
        <w:bottom w:val="none" w:sz="0" w:space="0" w:color="auto"/>
        <w:right w:val="none" w:sz="0" w:space="0" w:color="auto"/>
      </w:divBdr>
      <w:divsChild>
        <w:div w:id="509830114">
          <w:marLeft w:val="0"/>
          <w:marRight w:val="0"/>
          <w:marTop w:val="0"/>
          <w:marBottom w:val="0"/>
          <w:divBdr>
            <w:top w:val="none" w:sz="0" w:space="0" w:color="auto"/>
            <w:left w:val="none" w:sz="0" w:space="0" w:color="auto"/>
            <w:bottom w:val="none" w:sz="0" w:space="0" w:color="auto"/>
            <w:right w:val="none" w:sz="0" w:space="0" w:color="auto"/>
          </w:divBdr>
        </w:div>
        <w:div w:id="522089858">
          <w:marLeft w:val="0"/>
          <w:marRight w:val="0"/>
          <w:marTop w:val="0"/>
          <w:marBottom w:val="0"/>
          <w:divBdr>
            <w:top w:val="none" w:sz="0" w:space="0" w:color="auto"/>
            <w:left w:val="none" w:sz="0" w:space="0" w:color="auto"/>
            <w:bottom w:val="none" w:sz="0" w:space="0" w:color="auto"/>
            <w:right w:val="none" w:sz="0" w:space="0" w:color="auto"/>
          </w:divBdr>
        </w:div>
        <w:div w:id="774398538">
          <w:marLeft w:val="0"/>
          <w:marRight w:val="0"/>
          <w:marTop w:val="0"/>
          <w:marBottom w:val="0"/>
          <w:divBdr>
            <w:top w:val="none" w:sz="0" w:space="0" w:color="auto"/>
            <w:left w:val="none" w:sz="0" w:space="0" w:color="auto"/>
            <w:bottom w:val="none" w:sz="0" w:space="0" w:color="auto"/>
            <w:right w:val="none" w:sz="0" w:space="0" w:color="auto"/>
          </w:divBdr>
        </w:div>
        <w:div w:id="1331561425">
          <w:marLeft w:val="0"/>
          <w:marRight w:val="0"/>
          <w:marTop w:val="0"/>
          <w:marBottom w:val="0"/>
          <w:divBdr>
            <w:top w:val="none" w:sz="0" w:space="0" w:color="auto"/>
            <w:left w:val="none" w:sz="0" w:space="0" w:color="auto"/>
            <w:bottom w:val="none" w:sz="0" w:space="0" w:color="auto"/>
            <w:right w:val="none" w:sz="0" w:space="0" w:color="auto"/>
          </w:divBdr>
        </w:div>
        <w:div w:id="1379669055">
          <w:marLeft w:val="0"/>
          <w:marRight w:val="0"/>
          <w:marTop w:val="0"/>
          <w:marBottom w:val="0"/>
          <w:divBdr>
            <w:top w:val="none" w:sz="0" w:space="0" w:color="auto"/>
            <w:left w:val="none" w:sz="0" w:space="0" w:color="auto"/>
            <w:bottom w:val="none" w:sz="0" w:space="0" w:color="auto"/>
            <w:right w:val="none" w:sz="0" w:space="0" w:color="auto"/>
          </w:divBdr>
        </w:div>
        <w:div w:id="2024898150">
          <w:marLeft w:val="0"/>
          <w:marRight w:val="0"/>
          <w:marTop w:val="0"/>
          <w:marBottom w:val="0"/>
          <w:divBdr>
            <w:top w:val="none" w:sz="0" w:space="0" w:color="auto"/>
            <w:left w:val="none" w:sz="0" w:space="0" w:color="auto"/>
            <w:bottom w:val="none" w:sz="0" w:space="0" w:color="auto"/>
            <w:right w:val="none" w:sz="0" w:space="0" w:color="auto"/>
          </w:divBdr>
        </w:div>
        <w:div w:id="2103255560">
          <w:marLeft w:val="0"/>
          <w:marRight w:val="0"/>
          <w:marTop w:val="0"/>
          <w:marBottom w:val="0"/>
          <w:divBdr>
            <w:top w:val="none" w:sz="0" w:space="0" w:color="auto"/>
            <w:left w:val="none" w:sz="0" w:space="0" w:color="auto"/>
            <w:bottom w:val="none" w:sz="0" w:space="0" w:color="auto"/>
            <w:right w:val="none" w:sz="0" w:space="0" w:color="auto"/>
          </w:divBdr>
        </w:div>
      </w:divsChild>
    </w:div>
    <w:div w:id="1223640453">
      <w:bodyDiv w:val="1"/>
      <w:marLeft w:val="0"/>
      <w:marRight w:val="0"/>
      <w:marTop w:val="0"/>
      <w:marBottom w:val="0"/>
      <w:divBdr>
        <w:top w:val="none" w:sz="0" w:space="0" w:color="auto"/>
        <w:left w:val="none" w:sz="0" w:space="0" w:color="auto"/>
        <w:bottom w:val="none" w:sz="0" w:space="0" w:color="auto"/>
        <w:right w:val="none" w:sz="0" w:space="0" w:color="auto"/>
      </w:divBdr>
      <w:divsChild>
        <w:div w:id="263346652">
          <w:marLeft w:val="0"/>
          <w:marRight w:val="0"/>
          <w:marTop w:val="0"/>
          <w:marBottom w:val="0"/>
          <w:divBdr>
            <w:top w:val="none" w:sz="0" w:space="0" w:color="auto"/>
            <w:left w:val="none" w:sz="0" w:space="0" w:color="auto"/>
            <w:bottom w:val="none" w:sz="0" w:space="0" w:color="auto"/>
            <w:right w:val="none" w:sz="0" w:space="0" w:color="auto"/>
          </w:divBdr>
        </w:div>
        <w:div w:id="1924027029">
          <w:marLeft w:val="0"/>
          <w:marRight w:val="0"/>
          <w:marTop w:val="0"/>
          <w:marBottom w:val="0"/>
          <w:divBdr>
            <w:top w:val="none" w:sz="0" w:space="0" w:color="auto"/>
            <w:left w:val="none" w:sz="0" w:space="0" w:color="auto"/>
            <w:bottom w:val="none" w:sz="0" w:space="0" w:color="auto"/>
            <w:right w:val="none" w:sz="0" w:space="0" w:color="auto"/>
          </w:divBdr>
        </w:div>
      </w:divsChild>
    </w:div>
    <w:div w:id="1263687707">
      <w:bodyDiv w:val="1"/>
      <w:marLeft w:val="0"/>
      <w:marRight w:val="0"/>
      <w:marTop w:val="0"/>
      <w:marBottom w:val="0"/>
      <w:divBdr>
        <w:top w:val="none" w:sz="0" w:space="0" w:color="auto"/>
        <w:left w:val="none" w:sz="0" w:space="0" w:color="auto"/>
        <w:bottom w:val="none" w:sz="0" w:space="0" w:color="auto"/>
        <w:right w:val="none" w:sz="0" w:space="0" w:color="auto"/>
      </w:divBdr>
    </w:div>
    <w:div w:id="1350138419">
      <w:bodyDiv w:val="1"/>
      <w:marLeft w:val="0"/>
      <w:marRight w:val="0"/>
      <w:marTop w:val="0"/>
      <w:marBottom w:val="0"/>
      <w:divBdr>
        <w:top w:val="none" w:sz="0" w:space="0" w:color="auto"/>
        <w:left w:val="none" w:sz="0" w:space="0" w:color="auto"/>
        <w:bottom w:val="none" w:sz="0" w:space="0" w:color="auto"/>
        <w:right w:val="none" w:sz="0" w:space="0" w:color="auto"/>
      </w:divBdr>
      <w:divsChild>
        <w:div w:id="1718238825">
          <w:marLeft w:val="0"/>
          <w:marRight w:val="0"/>
          <w:marTop w:val="0"/>
          <w:marBottom w:val="0"/>
          <w:divBdr>
            <w:top w:val="none" w:sz="0" w:space="0" w:color="auto"/>
            <w:left w:val="none" w:sz="0" w:space="0" w:color="auto"/>
            <w:bottom w:val="none" w:sz="0" w:space="0" w:color="auto"/>
            <w:right w:val="none" w:sz="0" w:space="0" w:color="auto"/>
          </w:divBdr>
        </w:div>
        <w:div w:id="1772239428">
          <w:marLeft w:val="0"/>
          <w:marRight w:val="0"/>
          <w:marTop w:val="0"/>
          <w:marBottom w:val="0"/>
          <w:divBdr>
            <w:top w:val="none" w:sz="0" w:space="0" w:color="auto"/>
            <w:left w:val="none" w:sz="0" w:space="0" w:color="auto"/>
            <w:bottom w:val="none" w:sz="0" w:space="0" w:color="auto"/>
            <w:right w:val="none" w:sz="0" w:space="0" w:color="auto"/>
          </w:divBdr>
        </w:div>
      </w:divsChild>
    </w:div>
    <w:div w:id="1417937919">
      <w:bodyDiv w:val="1"/>
      <w:marLeft w:val="0"/>
      <w:marRight w:val="0"/>
      <w:marTop w:val="0"/>
      <w:marBottom w:val="0"/>
      <w:divBdr>
        <w:top w:val="none" w:sz="0" w:space="0" w:color="auto"/>
        <w:left w:val="none" w:sz="0" w:space="0" w:color="auto"/>
        <w:bottom w:val="none" w:sz="0" w:space="0" w:color="auto"/>
        <w:right w:val="none" w:sz="0" w:space="0" w:color="auto"/>
      </w:divBdr>
      <w:divsChild>
        <w:div w:id="281378365">
          <w:marLeft w:val="0"/>
          <w:marRight w:val="0"/>
          <w:marTop w:val="0"/>
          <w:marBottom w:val="0"/>
          <w:divBdr>
            <w:top w:val="none" w:sz="0" w:space="0" w:color="auto"/>
            <w:left w:val="none" w:sz="0" w:space="0" w:color="auto"/>
            <w:bottom w:val="none" w:sz="0" w:space="0" w:color="auto"/>
            <w:right w:val="none" w:sz="0" w:space="0" w:color="auto"/>
          </w:divBdr>
        </w:div>
        <w:div w:id="501092925">
          <w:marLeft w:val="0"/>
          <w:marRight w:val="0"/>
          <w:marTop w:val="0"/>
          <w:marBottom w:val="0"/>
          <w:divBdr>
            <w:top w:val="none" w:sz="0" w:space="0" w:color="auto"/>
            <w:left w:val="none" w:sz="0" w:space="0" w:color="auto"/>
            <w:bottom w:val="none" w:sz="0" w:space="0" w:color="auto"/>
            <w:right w:val="none" w:sz="0" w:space="0" w:color="auto"/>
          </w:divBdr>
        </w:div>
        <w:div w:id="555362928">
          <w:marLeft w:val="0"/>
          <w:marRight w:val="0"/>
          <w:marTop w:val="0"/>
          <w:marBottom w:val="0"/>
          <w:divBdr>
            <w:top w:val="none" w:sz="0" w:space="0" w:color="auto"/>
            <w:left w:val="none" w:sz="0" w:space="0" w:color="auto"/>
            <w:bottom w:val="none" w:sz="0" w:space="0" w:color="auto"/>
            <w:right w:val="none" w:sz="0" w:space="0" w:color="auto"/>
          </w:divBdr>
        </w:div>
        <w:div w:id="914125657">
          <w:marLeft w:val="0"/>
          <w:marRight w:val="0"/>
          <w:marTop w:val="0"/>
          <w:marBottom w:val="0"/>
          <w:divBdr>
            <w:top w:val="none" w:sz="0" w:space="0" w:color="auto"/>
            <w:left w:val="none" w:sz="0" w:space="0" w:color="auto"/>
            <w:bottom w:val="none" w:sz="0" w:space="0" w:color="auto"/>
            <w:right w:val="none" w:sz="0" w:space="0" w:color="auto"/>
          </w:divBdr>
        </w:div>
      </w:divsChild>
    </w:div>
    <w:div w:id="1423725143">
      <w:bodyDiv w:val="1"/>
      <w:marLeft w:val="0"/>
      <w:marRight w:val="0"/>
      <w:marTop w:val="0"/>
      <w:marBottom w:val="0"/>
      <w:divBdr>
        <w:top w:val="none" w:sz="0" w:space="0" w:color="auto"/>
        <w:left w:val="none" w:sz="0" w:space="0" w:color="auto"/>
        <w:bottom w:val="none" w:sz="0" w:space="0" w:color="auto"/>
        <w:right w:val="none" w:sz="0" w:space="0" w:color="auto"/>
      </w:divBdr>
      <w:divsChild>
        <w:div w:id="53891440">
          <w:marLeft w:val="0"/>
          <w:marRight w:val="0"/>
          <w:marTop w:val="0"/>
          <w:marBottom w:val="0"/>
          <w:divBdr>
            <w:top w:val="none" w:sz="0" w:space="0" w:color="auto"/>
            <w:left w:val="none" w:sz="0" w:space="0" w:color="auto"/>
            <w:bottom w:val="none" w:sz="0" w:space="0" w:color="auto"/>
            <w:right w:val="none" w:sz="0" w:space="0" w:color="auto"/>
          </w:divBdr>
        </w:div>
        <w:div w:id="136529925">
          <w:marLeft w:val="0"/>
          <w:marRight w:val="0"/>
          <w:marTop w:val="0"/>
          <w:marBottom w:val="0"/>
          <w:divBdr>
            <w:top w:val="none" w:sz="0" w:space="0" w:color="auto"/>
            <w:left w:val="none" w:sz="0" w:space="0" w:color="auto"/>
            <w:bottom w:val="none" w:sz="0" w:space="0" w:color="auto"/>
            <w:right w:val="none" w:sz="0" w:space="0" w:color="auto"/>
          </w:divBdr>
        </w:div>
        <w:div w:id="293415491">
          <w:marLeft w:val="0"/>
          <w:marRight w:val="0"/>
          <w:marTop w:val="0"/>
          <w:marBottom w:val="0"/>
          <w:divBdr>
            <w:top w:val="none" w:sz="0" w:space="0" w:color="auto"/>
            <w:left w:val="none" w:sz="0" w:space="0" w:color="auto"/>
            <w:bottom w:val="none" w:sz="0" w:space="0" w:color="auto"/>
            <w:right w:val="none" w:sz="0" w:space="0" w:color="auto"/>
          </w:divBdr>
        </w:div>
        <w:div w:id="1713116198">
          <w:marLeft w:val="0"/>
          <w:marRight w:val="0"/>
          <w:marTop w:val="0"/>
          <w:marBottom w:val="0"/>
          <w:divBdr>
            <w:top w:val="none" w:sz="0" w:space="0" w:color="auto"/>
            <w:left w:val="none" w:sz="0" w:space="0" w:color="auto"/>
            <w:bottom w:val="none" w:sz="0" w:space="0" w:color="auto"/>
            <w:right w:val="none" w:sz="0" w:space="0" w:color="auto"/>
          </w:divBdr>
        </w:div>
        <w:div w:id="1844855673">
          <w:marLeft w:val="0"/>
          <w:marRight w:val="0"/>
          <w:marTop w:val="0"/>
          <w:marBottom w:val="0"/>
          <w:divBdr>
            <w:top w:val="none" w:sz="0" w:space="0" w:color="auto"/>
            <w:left w:val="none" w:sz="0" w:space="0" w:color="auto"/>
            <w:bottom w:val="none" w:sz="0" w:space="0" w:color="auto"/>
            <w:right w:val="none" w:sz="0" w:space="0" w:color="auto"/>
          </w:divBdr>
        </w:div>
        <w:div w:id="2062245808">
          <w:marLeft w:val="0"/>
          <w:marRight w:val="0"/>
          <w:marTop w:val="0"/>
          <w:marBottom w:val="0"/>
          <w:divBdr>
            <w:top w:val="none" w:sz="0" w:space="0" w:color="auto"/>
            <w:left w:val="none" w:sz="0" w:space="0" w:color="auto"/>
            <w:bottom w:val="none" w:sz="0" w:space="0" w:color="auto"/>
            <w:right w:val="none" w:sz="0" w:space="0" w:color="auto"/>
          </w:divBdr>
        </w:div>
      </w:divsChild>
    </w:div>
    <w:div w:id="1495416636">
      <w:bodyDiv w:val="1"/>
      <w:marLeft w:val="0"/>
      <w:marRight w:val="0"/>
      <w:marTop w:val="0"/>
      <w:marBottom w:val="0"/>
      <w:divBdr>
        <w:top w:val="none" w:sz="0" w:space="0" w:color="auto"/>
        <w:left w:val="none" w:sz="0" w:space="0" w:color="auto"/>
        <w:bottom w:val="none" w:sz="0" w:space="0" w:color="auto"/>
        <w:right w:val="none" w:sz="0" w:space="0" w:color="auto"/>
      </w:divBdr>
      <w:divsChild>
        <w:div w:id="14969911">
          <w:marLeft w:val="0"/>
          <w:marRight w:val="0"/>
          <w:marTop w:val="0"/>
          <w:marBottom w:val="0"/>
          <w:divBdr>
            <w:top w:val="none" w:sz="0" w:space="0" w:color="auto"/>
            <w:left w:val="none" w:sz="0" w:space="0" w:color="auto"/>
            <w:bottom w:val="none" w:sz="0" w:space="0" w:color="auto"/>
            <w:right w:val="none" w:sz="0" w:space="0" w:color="auto"/>
          </w:divBdr>
        </w:div>
        <w:div w:id="324743034">
          <w:marLeft w:val="0"/>
          <w:marRight w:val="0"/>
          <w:marTop w:val="0"/>
          <w:marBottom w:val="0"/>
          <w:divBdr>
            <w:top w:val="none" w:sz="0" w:space="0" w:color="auto"/>
            <w:left w:val="none" w:sz="0" w:space="0" w:color="auto"/>
            <w:bottom w:val="none" w:sz="0" w:space="0" w:color="auto"/>
            <w:right w:val="none" w:sz="0" w:space="0" w:color="auto"/>
          </w:divBdr>
        </w:div>
        <w:div w:id="1073552115">
          <w:marLeft w:val="0"/>
          <w:marRight w:val="0"/>
          <w:marTop w:val="0"/>
          <w:marBottom w:val="0"/>
          <w:divBdr>
            <w:top w:val="none" w:sz="0" w:space="0" w:color="auto"/>
            <w:left w:val="none" w:sz="0" w:space="0" w:color="auto"/>
            <w:bottom w:val="none" w:sz="0" w:space="0" w:color="auto"/>
            <w:right w:val="none" w:sz="0" w:space="0" w:color="auto"/>
          </w:divBdr>
        </w:div>
        <w:div w:id="1836916299">
          <w:marLeft w:val="0"/>
          <w:marRight w:val="0"/>
          <w:marTop w:val="0"/>
          <w:marBottom w:val="0"/>
          <w:divBdr>
            <w:top w:val="none" w:sz="0" w:space="0" w:color="auto"/>
            <w:left w:val="none" w:sz="0" w:space="0" w:color="auto"/>
            <w:bottom w:val="none" w:sz="0" w:space="0" w:color="auto"/>
            <w:right w:val="none" w:sz="0" w:space="0" w:color="auto"/>
          </w:divBdr>
        </w:div>
      </w:divsChild>
    </w:div>
    <w:div w:id="1535120879">
      <w:bodyDiv w:val="1"/>
      <w:marLeft w:val="0"/>
      <w:marRight w:val="0"/>
      <w:marTop w:val="0"/>
      <w:marBottom w:val="0"/>
      <w:divBdr>
        <w:top w:val="none" w:sz="0" w:space="0" w:color="auto"/>
        <w:left w:val="none" w:sz="0" w:space="0" w:color="auto"/>
        <w:bottom w:val="none" w:sz="0" w:space="0" w:color="auto"/>
        <w:right w:val="none" w:sz="0" w:space="0" w:color="auto"/>
      </w:divBdr>
      <w:divsChild>
        <w:div w:id="828862047">
          <w:marLeft w:val="0"/>
          <w:marRight w:val="0"/>
          <w:marTop w:val="0"/>
          <w:marBottom w:val="0"/>
          <w:divBdr>
            <w:top w:val="none" w:sz="0" w:space="0" w:color="auto"/>
            <w:left w:val="none" w:sz="0" w:space="0" w:color="auto"/>
            <w:bottom w:val="none" w:sz="0" w:space="0" w:color="auto"/>
            <w:right w:val="none" w:sz="0" w:space="0" w:color="auto"/>
          </w:divBdr>
        </w:div>
        <w:div w:id="1173376732">
          <w:marLeft w:val="0"/>
          <w:marRight w:val="0"/>
          <w:marTop w:val="0"/>
          <w:marBottom w:val="0"/>
          <w:divBdr>
            <w:top w:val="none" w:sz="0" w:space="0" w:color="auto"/>
            <w:left w:val="none" w:sz="0" w:space="0" w:color="auto"/>
            <w:bottom w:val="none" w:sz="0" w:space="0" w:color="auto"/>
            <w:right w:val="none" w:sz="0" w:space="0" w:color="auto"/>
          </w:divBdr>
        </w:div>
        <w:div w:id="1229808489">
          <w:marLeft w:val="0"/>
          <w:marRight w:val="0"/>
          <w:marTop w:val="0"/>
          <w:marBottom w:val="0"/>
          <w:divBdr>
            <w:top w:val="none" w:sz="0" w:space="0" w:color="auto"/>
            <w:left w:val="none" w:sz="0" w:space="0" w:color="auto"/>
            <w:bottom w:val="none" w:sz="0" w:space="0" w:color="auto"/>
            <w:right w:val="none" w:sz="0" w:space="0" w:color="auto"/>
          </w:divBdr>
        </w:div>
        <w:div w:id="1619142732">
          <w:marLeft w:val="0"/>
          <w:marRight w:val="0"/>
          <w:marTop w:val="0"/>
          <w:marBottom w:val="0"/>
          <w:divBdr>
            <w:top w:val="none" w:sz="0" w:space="0" w:color="auto"/>
            <w:left w:val="none" w:sz="0" w:space="0" w:color="auto"/>
            <w:bottom w:val="none" w:sz="0" w:space="0" w:color="auto"/>
            <w:right w:val="none" w:sz="0" w:space="0" w:color="auto"/>
          </w:divBdr>
        </w:div>
        <w:div w:id="2078546527">
          <w:marLeft w:val="0"/>
          <w:marRight w:val="0"/>
          <w:marTop w:val="0"/>
          <w:marBottom w:val="0"/>
          <w:divBdr>
            <w:top w:val="none" w:sz="0" w:space="0" w:color="auto"/>
            <w:left w:val="none" w:sz="0" w:space="0" w:color="auto"/>
            <w:bottom w:val="none" w:sz="0" w:space="0" w:color="auto"/>
            <w:right w:val="none" w:sz="0" w:space="0" w:color="auto"/>
          </w:divBdr>
        </w:div>
      </w:divsChild>
    </w:div>
    <w:div w:id="1619340116">
      <w:bodyDiv w:val="1"/>
      <w:marLeft w:val="0"/>
      <w:marRight w:val="0"/>
      <w:marTop w:val="0"/>
      <w:marBottom w:val="0"/>
      <w:divBdr>
        <w:top w:val="none" w:sz="0" w:space="0" w:color="auto"/>
        <w:left w:val="none" w:sz="0" w:space="0" w:color="auto"/>
        <w:bottom w:val="none" w:sz="0" w:space="0" w:color="auto"/>
        <w:right w:val="none" w:sz="0" w:space="0" w:color="auto"/>
      </w:divBdr>
    </w:div>
    <w:div w:id="1680546835">
      <w:bodyDiv w:val="1"/>
      <w:marLeft w:val="0"/>
      <w:marRight w:val="0"/>
      <w:marTop w:val="0"/>
      <w:marBottom w:val="0"/>
      <w:divBdr>
        <w:top w:val="none" w:sz="0" w:space="0" w:color="auto"/>
        <w:left w:val="none" w:sz="0" w:space="0" w:color="auto"/>
        <w:bottom w:val="none" w:sz="0" w:space="0" w:color="auto"/>
        <w:right w:val="none" w:sz="0" w:space="0" w:color="auto"/>
      </w:divBdr>
      <w:divsChild>
        <w:div w:id="8408192">
          <w:marLeft w:val="0"/>
          <w:marRight w:val="0"/>
          <w:marTop w:val="0"/>
          <w:marBottom w:val="0"/>
          <w:divBdr>
            <w:top w:val="none" w:sz="0" w:space="0" w:color="auto"/>
            <w:left w:val="none" w:sz="0" w:space="0" w:color="auto"/>
            <w:bottom w:val="none" w:sz="0" w:space="0" w:color="auto"/>
            <w:right w:val="none" w:sz="0" w:space="0" w:color="auto"/>
          </w:divBdr>
        </w:div>
        <w:div w:id="385568780">
          <w:marLeft w:val="0"/>
          <w:marRight w:val="0"/>
          <w:marTop w:val="0"/>
          <w:marBottom w:val="0"/>
          <w:divBdr>
            <w:top w:val="none" w:sz="0" w:space="0" w:color="auto"/>
            <w:left w:val="none" w:sz="0" w:space="0" w:color="auto"/>
            <w:bottom w:val="none" w:sz="0" w:space="0" w:color="auto"/>
            <w:right w:val="none" w:sz="0" w:space="0" w:color="auto"/>
          </w:divBdr>
        </w:div>
        <w:div w:id="470513424">
          <w:marLeft w:val="0"/>
          <w:marRight w:val="0"/>
          <w:marTop w:val="0"/>
          <w:marBottom w:val="0"/>
          <w:divBdr>
            <w:top w:val="none" w:sz="0" w:space="0" w:color="auto"/>
            <w:left w:val="none" w:sz="0" w:space="0" w:color="auto"/>
            <w:bottom w:val="none" w:sz="0" w:space="0" w:color="auto"/>
            <w:right w:val="none" w:sz="0" w:space="0" w:color="auto"/>
          </w:divBdr>
        </w:div>
        <w:div w:id="493689174">
          <w:marLeft w:val="0"/>
          <w:marRight w:val="0"/>
          <w:marTop w:val="0"/>
          <w:marBottom w:val="0"/>
          <w:divBdr>
            <w:top w:val="none" w:sz="0" w:space="0" w:color="auto"/>
            <w:left w:val="none" w:sz="0" w:space="0" w:color="auto"/>
            <w:bottom w:val="none" w:sz="0" w:space="0" w:color="auto"/>
            <w:right w:val="none" w:sz="0" w:space="0" w:color="auto"/>
          </w:divBdr>
        </w:div>
        <w:div w:id="1447041650">
          <w:marLeft w:val="0"/>
          <w:marRight w:val="0"/>
          <w:marTop w:val="0"/>
          <w:marBottom w:val="0"/>
          <w:divBdr>
            <w:top w:val="none" w:sz="0" w:space="0" w:color="auto"/>
            <w:left w:val="none" w:sz="0" w:space="0" w:color="auto"/>
            <w:bottom w:val="none" w:sz="0" w:space="0" w:color="auto"/>
            <w:right w:val="none" w:sz="0" w:space="0" w:color="auto"/>
          </w:divBdr>
        </w:div>
        <w:div w:id="2027244016">
          <w:marLeft w:val="0"/>
          <w:marRight w:val="0"/>
          <w:marTop w:val="0"/>
          <w:marBottom w:val="0"/>
          <w:divBdr>
            <w:top w:val="none" w:sz="0" w:space="0" w:color="auto"/>
            <w:left w:val="none" w:sz="0" w:space="0" w:color="auto"/>
            <w:bottom w:val="none" w:sz="0" w:space="0" w:color="auto"/>
            <w:right w:val="none" w:sz="0" w:space="0" w:color="auto"/>
          </w:divBdr>
        </w:div>
      </w:divsChild>
    </w:div>
    <w:div w:id="1710833607">
      <w:bodyDiv w:val="1"/>
      <w:marLeft w:val="0"/>
      <w:marRight w:val="0"/>
      <w:marTop w:val="0"/>
      <w:marBottom w:val="0"/>
      <w:divBdr>
        <w:top w:val="none" w:sz="0" w:space="0" w:color="auto"/>
        <w:left w:val="none" w:sz="0" w:space="0" w:color="auto"/>
        <w:bottom w:val="none" w:sz="0" w:space="0" w:color="auto"/>
        <w:right w:val="none" w:sz="0" w:space="0" w:color="auto"/>
      </w:divBdr>
      <w:divsChild>
        <w:div w:id="616639056">
          <w:marLeft w:val="0"/>
          <w:marRight w:val="0"/>
          <w:marTop w:val="0"/>
          <w:marBottom w:val="0"/>
          <w:divBdr>
            <w:top w:val="none" w:sz="0" w:space="0" w:color="auto"/>
            <w:left w:val="none" w:sz="0" w:space="0" w:color="auto"/>
            <w:bottom w:val="none" w:sz="0" w:space="0" w:color="auto"/>
            <w:right w:val="none" w:sz="0" w:space="0" w:color="auto"/>
          </w:divBdr>
        </w:div>
        <w:div w:id="1502545751">
          <w:marLeft w:val="0"/>
          <w:marRight w:val="0"/>
          <w:marTop w:val="0"/>
          <w:marBottom w:val="0"/>
          <w:divBdr>
            <w:top w:val="none" w:sz="0" w:space="0" w:color="auto"/>
            <w:left w:val="none" w:sz="0" w:space="0" w:color="auto"/>
            <w:bottom w:val="none" w:sz="0" w:space="0" w:color="auto"/>
            <w:right w:val="none" w:sz="0" w:space="0" w:color="auto"/>
          </w:divBdr>
        </w:div>
      </w:divsChild>
    </w:div>
    <w:div w:id="1751342915">
      <w:bodyDiv w:val="1"/>
      <w:marLeft w:val="0"/>
      <w:marRight w:val="0"/>
      <w:marTop w:val="0"/>
      <w:marBottom w:val="0"/>
      <w:divBdr>
        <w:top w:val="none" w:sz="0" w:space="0" w:color="auto"/>
        <w:left w:val="none" w:sz="0" w:space="0" w:color="auto"/>
        <w:bottom w:val="none" w:sz="0" w:space="0" w:color="auto"/>
        <w:right w:val="none" w:sz="0" w:space="0" w:color="auto"/>
      </w:divBdr>
    </w:div>
    <w:div w:id="1831602158">
      <w:bodyDiv w:val="1"/>
      <w:marLeft w:val="0"/>
      <w:marRight w:val="0"/>
      <w:marTop w:val="0"/>
      <w:marBottom w:val="0"/>
      <w:divBdr>
        <w:top w:val="none" w:sz="0" w:space="0" w:color="auto"/>
        <w:left w:val="none" w:sz="0" w:space="0" w:color="auto"/>
        <w:bottom w:val="none" w:sz="0" w:space="0" w:color="auto"/>
        <w:right w:val="none" w:sz="0" w:space="0" w:color="auto"/>
      </w:divBdr>
      <w:divsChild>
        <w:div w:id="465857832">
          <w:marLeft w:val="0"/>
          <w:marRight w:val="0"/>
          <w:marTop w:val="0"/>
          <w:marBottom w:val="0"/>
          <w:divBdr>
            <w:top w:val="none" w:sz="0" w:space="0" w:color="auto"/>
            <w:left w:val="none" w:sz="0" w:space="0" w:color="auto"/>
            <w:bottom w:val="none" w:sz="0" w:space="0" w:color="auto"/>
            <w:right w:val="none" w:sz="0" w:space="0" w:color="auto"/>
          </w:divBdr>
        </w:div>
        <w:div w:id="595479944">
          <w:marLeft w:val="0"/>
          <w:marRight w:val="0"/>
          <w:marTop w:val="0"/>
          <w:marBottom w:val="0"/>
          <w:divBdr>
            <w:top w:val="none" w:sz="0" w:space="0" w:color="auto"/>
            <w:left w:val="none" w:sz="0" w:space="0" w:color="auto"/>
            <w:bottom w:val="none" w:sz="0" w:space="0" w:color="auto"/>
            <w:right w:val="none" w:sz="0" w:space="0" w:color="auto"/>
          </w:divBdr>
        </w:div>
        <w:div w:id="966014103">
          <w:marLeft w:val="0"/>
          <w:marRight w:val="0"/>
          <w:marTop w:val="0"/>
          <w:marBottom w:val="0"/>
          <w:divBdr>
            <w:top w:val="none" w:sz="0" w:space="0" w:color="auto"/>
            <w:left w:val="none" w:sz="0" w:space="0" w:color="auto"/>
            <w:bottom w:val="none" w:sz="0" w:space="0" w:color="auto"/>
            <w:right w:val="none" w:sz="0" w:space="0" w:color="auto"/>
          </w:divBdr>
        </w:div>
        <w:div w:id="1125082672">
          <w:marLeft w:val="0"/>
          <w:marRight w:val="0"/>
          <w:marTop w:val="0"/>
          <w:marBottom w:val="0"/>
          <w:divBdr>
            <w:top w:val="none" w:sz="0" w:space="0" w:color="auto"/>
            <w:left w:val="none" w:sz="0" w:space="0" w:color="auto"/>
            <w:bottom w:val="none" w:sz="0" w:space="0" w:color="auto"/>
            <w:right w:val="none" w:sz="0" w:space="0" w:color="auto"/>
          </w:divBdr>
        </w:div>
        <w:div w:id="1675381711">
          <w:marLeft w:val="0"/>
          <w:marRight w:val="0"/>
          <w:marTop w:val="0"/>
          <w:marBottom w:val="0"/>
          <w:divBdr>
            <w:top w:val="none" w:sz="0" w:space="0" w:color="auto"/>
            <w:left w:val="none" w:sz="0" w:space="0" w:color="auto"/>
            <w:bottom w:val="none" w:sz="0" w:space="0" w:color="auto"/>
            <w:right w:val="none" w:sz="0" w:space="0" w:color="auto"/>
          </w:divBdr>
        </w:div>
        <w:div w:id="1929845740">
          <w:marLeft w:val="0"/>
          <w:marRight w:val="0"/>
          <w:marTop w:val="0"/>
          <w:marBottom w:val="0"/>
          <w:divBdr>
            <w:top w:val="none" w:sz="0" w:space="0" w:color="auto"/>
            <w:left w:val="none" w:sz="0" w:space="0" w:color="auto"/>
            <w:bottom w:val="none" w:sz="0" w:space="0" w:color="auto"/>
            <w:right w:val="none" w:sz="0" w:space="0" w:color="auto"/>
          </w:divBdr>
        </w:div>
        <w:div w:id="2126652716">
          <w:marLeft w:val="0"/>
          <w:marRight w:val="0"/>
          <w:marTop w:val="0"/>
          <w:marBottom w:val="0"/>
          <w:divBdr>
            <w:top w:val="none" w:sz="0" w:space="0" w:color="auto"/>
            <w:left w:val="none" w:sz="0" w:space="0" w:color="auto"/>
            <w:bottom w:val="none" w:sz="0" w:space="0" w:color="auto"/>
            <w:right w:val="none" w:sz="0" w:space="0" w:color="auto"/>
          </w:divBdr>
        </w:div>
      </w:divsChild>
    </w:div>
    <w:div w:id="1841383209">
      <w:bodyDiv w:val="1"/>
      <w:marLeft w:val="0"/>
      <w:marRight w:val="0"/>
      <w:marTop w:val="0"/>
      <w:marBottom w:val="0"/>
      <w:divBdr>
        <w:top w:val="none" w:sz="0" w:space="0" w:color="auto"/>
        <w:left w:val="none" w:sz="0" w:space="0" w:color="auto"/>
        <w:bottom w:val="none" w:sz="0" w:space="0" w:color="auto"/>
        <w:right w:val="none" w:sz="0" w:space="0" w:color="auto"/>
      </w:divBdr>
      <w:divsChild>
        <w:div w:id="207184497">
          <w:marLeft w:val="0"/>
          <w:marRight w:val="0"/>
          <w:marTop w:val="0"/>
          <w:marBottom w:val="0"/>
          <w:divBdr>
            <w:top w:val="none" w:sz="0" w:space="0" w:color="auto"/>
            <w:left w:val="none" w:sz="0" w:space="0" w:color="auto"/>
            <w:bottom w:val="none" w:sz="0" w:space="0" w:color="auto"/>
            <w:right w:val="none" w:sz="0" w:space="0" w:color="auto"/>
          </w:divBdr>
        </w:div>
        <w:div w:id="681975276">
          <w:marLeft w:val="0"/>
          <w:marRight w:val="0"/>
          <w:marTop w:val="0"/>
          <w:marBottom w:val="0"/>
          <w:divBdr>
            <w:top w:val="none" w:sz="0" w:space="0" w:color="auto"/>
            <w:left w:val="none" w:sz="0" w:space="0" w:color="auto"/>
            <w:bottom w:val="none" w:sz="0" w:space="0" w:color="auto"/>
            <w:right w:val="none" w:sz="0" w:space="0" w:color="auto"/>
          </w:divBdr>
        </w:div>
        <w:div w:id="920985654">
          <w:marLeft w:val="0"/>
          <w:marRight w:val="0"/>
          <w:marTop w:val="0"/>
          <w:marBottom w:val="0"/>
          <w:divBdr>
            <w:top w:val="none" w:sz="0" w:space="0" w:color="auto"/>
            <w:left w:val="none" w:sz="0" w:space="0" w:color="auto"/>
            <w:bottom w:val="none" w:sz="0" w:space="0" w:color="auto"/>
            <w:right w:val="none" w:sz="0" w:space="0" w:color="auto"/>
          </w:divBdr>
        </w:div>
        <w:div w:id="921373018">
          <w:marLeft w:val="0"/>
          <w:marRight w:val="0"/>
          <w:marTop w:val="0"/>
          <w:marBottom w:val="0"/>
          <w:divBdr>
            <w:top w:val="none" w:sz="0" w:space="0" w:color="auto"/>
            <w:left w:val="none" w:sz="0" w:space="0" w:color="auto"/>
            <w:bottom w:val="none" w:sz="0" w:space="0" w:color="auto"/>
            <w:right w:val="none" w:sz="0" w:space="0" w:color="auto"/>
          </w:divBdr>
        </w:div>
        <w:div w:id="941036037">
          <w:marLeft w:val="0"/>
          <w:marRight w:val="0"/>
          <w:marTop w:val="0"/>
          <w:marBottom w:val="0"/>
          <w:divBdr>
            <w:top w:val="none" w:sz="0" w:space="0" w:color="auto"/>
            <w:left w:val="none" w:sz="0" w:space="0" w:color="auto"/>
            <w:bottom w:val="none" w:sz="0" w:space="0" w:color="auto"/>
            <w:right w:val="none" w:sz="0" w:space="0" w:color="auto"/>
          </w:divBdr>
        </w:div>
        <w:div w:id="1028145675">
          <w:marLeft w:val="0"/>
          <w:marRight w:val="0"/>
          <w:marTop w:val="0"/>
          <w:marBottom w:val="0"/>
          <w:divBdr>
            <w:top w:val="none" w:sz="0" w:space="0" w:color="auto"/>
            <w:left w:val="none" w:sz="0" w:space="0" w:color="auto"/>
            <w:bottom w:val="none" w:sz="0" w:space="0" w:color="auto"/>
            <w:right w:val="none" w:sz="0" w:space="0" w:color="auto"/>
          </w:divBdr>
        </w:div>
        <w:div w:id="1094781377">
          <w:marLeft w:val="0"/>
          <w:marRight w:val="0"/>
          <w:marTop w:val="0"/>
          <w:marBottom w:val="0"/>
          <w:divBdr>
            <w:top w:val="none" w:sz="0" w:space="0" w:color="auto"/>
            <w:left w:val="none" w:sz="0" w:space="0" w:color="auto"/>
            <w:bottom w:val="none" w:sz="0" w:space="0" w:color="auto"/>
            <w:right w:val="none" w:sz="0" w:space="0" w:color="auto"/>
          </w:divBdr>
        </w:div>
        <w:div w:id="1488941897">
          <w:marLeft w:val="0"/>
          <w:marRight w:val="0"/>
          <w:marTop w:val="0"/>
          <w:marBottom w:val="0"/>
          <w:divBdr>
            <w:top w:val="none" w:sz="0" w:space="0" w:color="auto"/>
            <w:left w:val="none" w:sz="0" w:space="0" w:color="auto"/>
            <w:bottom w:val="none" w:sz="0" w:space="0" w:color="auto"/>
            <w:right w:val="none" w:sz="0" w:space="0" w:color="auto"/>
          </w:divBdr>
        </w:div>
        <w:div w:id="1925800978">
          <w:marLeft w:val="0"/>
          <w:marRight w:val="0"/>
          <w:marTop w:val="0"/>
          <w:marBottom w:val="0"/>
          <w:divBdr>
            <w:top w:val="none" w:sz="0" w:space="0" w:color="auto"/>
            <w:left w:val="none" w:sz="0" w:space="0" w:color="auto"/>
            <w:bottom w:val="none" w:sz="0" w:space="0" w:color="auto"/>
            <w:right w:val="none" w:sz="0" w:space="0" w:color="auto"/>
          </w:divBdr>
        </w:div>
        <w:div w:id="2055150247">
          <w:marLeft w:val="0"/>
          <w:marRight w:val="0"/>
          <w:marTop w:val="0"/>
          <w:marBottom w:val="0"/>
          <w:divBdr>
            <w:top w:val="none" w:sz="0" w:space="0" w:color="auto"/>
            <w:left w:val="none" w:sz="0" w:space="0" w:color="auto"/>
            <w:bottom w:val="none" w:sz="0" w:space="0" w:color="auto"/>
            <w:right w:val="none" w:sz="0" w:space="0" w:color="auto"/>
          </w:divBdr>
        </w:div>
      </w:divsChild>
    </w:div>
    <w:div w:id="1850673626">
      <w:bodyDiv w:val="1"/>
      <w:marLeft w:val="0"/>
      <w:marRight w:val="0"/>
      <w:marTop w:val="0"/>
      <w:marBottom w:val="0"/>
      <w:divBdr>
        <w:top w:val="none" w:sz="0" w:space="0" w:color="auto"/>
        <w:left w:val="none" w:sz="0" w:space="0" w:color="auto"/>
        <w:bottom w:val="none" w:sz="0" w:space="0" w:color="auto"/>
        <w:right w:val="none" w:sz="0" w:space="0" w:color="auto"/>
      </w:divBdr>
      <w:divsChild>
        <w:div w:id="12407">
          <w:marLeft w:val="0"/>
          <w:marRight w:val="0"/>
          <w:marTop w:val="0"/>
          <w:marBottom w:val="0"/>
          <w:divBdr>
            <w:top w:val="none" w:sz="0" w:space="0" w:color="auto"/>
            <w:left w:val="none" w:sz="0" w:space="0" w:color="auto"/>
            <w:bottom w:val="none" w:sz="0" w:space="0" w:color="auto"/>
            <w:right w:val="none" w:sz="0" w:space="0" w:color="auto"/>
          </w:divBdr>
        </w:div>
        <w:div w:id="262616912">
          <w:marLeft w:val="0"/>
          <w:marRight w:val="0"/>
          <w:marTop w:val="0"/>
          <w:marBottom w:val="0"/>
          <w:divBdr>
            <w:top w:val="none" w:sz="0" w:space="0" w:color="auto"/>
            <w:left w:val="none" w:sz="0" w:space="0" w:color="auto"/>
            <w:bottom w:val="none" w:sz="0" w:space="0" w:color="auto"/>
            <w:right w:val="none" w:sz="0" w:space="0" w:color="auto"/>
          </w:divBdr>
        </w:div>
        <w:div w:id="1660033295">
          <w:marLeft w:val="0"/>
          <w:marRight w:val="0"/>
          <w:marTop w:val="0"/>
          <w:marBottom w:val="0"/>
          <w:divBdr>
            <w:top w:val="none" w:sz="0" w:space="0" w:color="auto"/>
            <w:left w:val="none" w:sz="0" w:space="0" w:color="auto"/>
            <w:bottom w:val="none" w:sz="0" w:space="0" w:color="auto"/>
            <w:right w:val="none" w:sz="0" w:space="0" w:color="auto"/>
          </w:divBdr>
        </w:div>
      </w:divsChild>
    </w:div>
    <w:div w:id="1871916019">
      <w:bodyDiv w:val="1"/>
      <w:marLeft w:val="0"/>
      <w:marRight w:val="0"/>
      <w:marTop w:val="0"/>
      <w:marBottom w:val="0"/>
      <w:divBdr>
        <w:top w:val="none" w:sz="0" w:space="0" w:color="auto"/>
        <w:left w:val="none" w:sz="0" w:space="0" w:color="auto"/>
        <w:bottom w:val="none" w:sz="0" w:space="0" w:color="auto"/>
        <w:right w:val="none" w:sz="0" w:space="0" w:color="auto"/>
      </w:divBdr>
      <w:divsChild>
        <w:div w:id="95759354">
          <w:marLeft w:val="0"/>
          <w:marRight w:val="0"/>
          <w:marTop w:val="0"/>
          <w:marBottom w:val="0"/>
          <w:divBdr>
            <w:top w:val="none" w:sz="0" w:space="0" w:color="auto"/>
            <w:left w:val="none" w:sz="0" w:space="0" w:color="auto"/>
            <w:bottom w:val="none" w:sz="0" w:space="0" w:color="auto"/>
            <w:right w:val="none" w:sz="0" w:space="0" w:color="auto"/>
          </w:divBdr>
        </w:div>
        <w:div w:id="337511848">
          <w:marLeft w:val="0"/>
          <w:marRight w:val="0"/>
          <w:marTop w:val="0"/>
          <w:marBottom w:val="0"/>
          <w:divBdr>
            <w:top w:val="none" w:sz="0" w:space="0" w:color="auto"/>
            <w:left w:val="none" w:sz="0" w:space="0" w:color="auto"/>
            <w:bottom w:val="none" w:sz="0" w:space="0" w:color="auto"/>
            <w:right w:val="none" w:sz="0" w:space="0" w:color="auto"/>
          </w:divBdr>
        </w:div>
        <w:div w:id="644552939">
          <w:marLeft w:val="0"/>
          <w:marRight w:val="0"/>
          <w:marTop w:val="0"/>
          <w:marBottom w:val="0"/>
          <w:divBdr>
            <w:top w:val="none" w:sz="0" w:space="0" w:color="auto"/>
            <w:left w:val="none" w:sz="0" w:space="0" w:color="auto"/>
            <w:bottom w:val="none" w:sz="0" w:space="0" w:color="auto"/>
            <w:right w:val="none" w:sz="0" w:space="0" w:color="auto"/>
          </w:divBdr>
        </w:div>
        <w:div w:id="943272426">
          <w:marLeft w:val="0"/>
          <w:marRight w:val="0"/>
          <w:marTop w:val="0"/>
          <w:marBottom w:val="0"/>
          <w:divBdr>
            <w:top w:val="none" w:sz="0" w:space="0" w:color="auto"/>
            <w:left w:val="none" w:sz="0" w:space="0" w:color="auto"/>
            <w:bottom w:val="none" w:sz="0" w:space="0" w:color="auto"/>
            <w:right w:val="none" w:sz="0" w:space="0" w:color="auto"/>
          </w:divBdr>
        </w:div>
        <w:div w:id="1672637724">
          <w:marLeft w:val="0"/>
          <w:marRight w:val="0"/>
          <w:marTop w:val="0"/>
          <w:marBottom w:val="0"/>
          <w:divBdr>
            <w:top w:val="none" w:sz="0" w:space="0" w:color="auto"/>
            <w:left w:val="none" w:sz="0" w:space="0" w:color="auto"/>
            <w:bottom w:val="none" w:sz="0" w:space="0" w:color="auto"/>
            <w:right w:val="none" w:sz="0" w:space="0" w:color="auto"/>
          </w:divBdr>
        </w:div>
        <w:div w:id="2106145583">
          <w:marLeft w:val="0"/>
          <w:marRight w:val="0"/>
          <w:marTop w:val="0"/>
          <w:marBottom w:val="0"/>
          <w:divBdr>
            <w:top w:val="none" w:sz="0" w:space="0" w:color="auto"/>
            <w:left w:val="none" w:sz="0" w:space="0" w:color="auto"/>
            <w:bottom w:val="none" w:sz="0" w:space="0" w:color="auto"/>
            <w:right w:val="none" w:sz="0" w:space="0" w:color="auto"/>
          </w:divBdr>
        </w:div>
      </w:divsChild>
    </w:div>
    <w:div w:id="1944220765">
      <w:bodyDiv w:val="1"/>
      <w:marLeft w:val="0"/>
      <w:marRight w:val="0"/>
      <w:marTop w:val="0"/>
      <w:marBottom w:val="0"/>
      <w:divBdr>
        <w:top w:val="none" w:sz="0" w:space="0" w:color="auto"/>
        <w:left w:val="none" w:sz="0" w:space="0" w:color="auto"/>
        <w:bottom w:val="none" w:sz="0" w:space="0" w:color="auto"/>
        <w:right w:val="none" w:sz="0" w:space="0" w:color="auto"/>
      </w:divBdr>
      <w:divsChild>
        <w:div w:id="2066639302">
          <w:marLeft w:val="0"/>
          <w:marRight w:val="0"/>
          <w:marTop w:val="0"/>
          <w:marBottom w:val="0"/>
          <w:divBdr>
            <w:top w:val="none" w:sz="0" w:space="0" w:color="auto"/>
            <w:left w:val="none" w:sz="0" w:space="0" w:color="auto"/>
            <w:bottom w:val="none" w:sz="0" w:space="0" w:color="auto"/>
            <w:right w:val="none" w:sz="0" w:space="0" w:color="auto"/>
          </w:divBdr>
          <w:divsChild>
            <w:div w:id="36203353">
              <w:marLeft w:val="0"/>
              <w:marRight w:val="0"/>
              <w:marTop w:val="0"/>
              <w:marBottom w:val="0"/>
              <w:divBdr>
                <w:top w:val="none" w:sz="0" w:space="0" w:color="auto"/>
                <w:left w:val="none" w:sz="0" w:space="0" w:color="auto"/>
                <w:bottom w:val="none" w:sz="0" w:space="0" w:color="auto"/>
                <w:right w:val="none" w:sz="0" w:space="0" w:color="auto"/>
              </w:divBdr>
            </w:div>
            <w:div w:id="277562697">
              <w:marLeft w:val="0"/>
              <w:marRight w:val="0"/>
              <w:marTop w:val="0"/>
              <w:marBottom w:val="0"/>
              <w:divBdr>
                <w:top w:val="none" w:sz="0" w:space="0" w:color="auto"/>
                <w:left w:val="none" w:sz="0" w:space="0" w:color="auto"/>
                <w:bottom w:val="none" w:sz="0" w:space="0" w:color="auto"/>
                <w:right w:val="none" w:sz="0" w:space="0" w:color="auto"/>
              </w:divBdr>
            </w:div>
            <w:div w:id="441416542">
              <w:marLeft w:val="0"/>
              <w:marRight w:val="0"/>
              <w:marTop w:val="0"/>
              <w:marBottom w:val="0"/>
              <w:divBdr>
                <w:top w:val="none" w:sz="0" w:space="0" w:color="auto"/>
                <w:left w:val="none" w:sz="0" w:space="0" w:color="auto"/>
                <w:bottom w:val="none" w:sz="0" w:space="0" w:color="auto"/>
                <w:right w:val="none" w:sz="0" w:space="0" w:color="auto"/>
              </w:divBdr>
            </w:div>
            <w:div w:id="526211355">
              <w:marLeft w:val="0"/>
              <w:marRight w:val="0"/>
              <w:marTop w:val="0"/>
              <w:marBottom w:val="0"/>
              <w:divBdr>
                <w:top w:val="none" w:sz="0" w:space="0" w:color="auto"/>
                <w:left w:val="none" w:sz="0" w:space="0" w:color="auto"/>
                <w:bottom w:val="none" w:sz="0" w:space="0" w:color="auto"/>
                <w:right w:val="none" w:sz="0" w:space="0" w:color="auto"/>
              </w:divBdr>
            </w:div>
            <w:div w:id="576283393">
              <w:marLeft w:val="0"/>
              <w:marRight w:val="0"/>
              <w:marTop w:val="0"/>
              <w:marBottom w:val="0"/>
              <w:divBdr>
                <w:top w:val="none" w:sz="0" w:space="0" w:color="auto"/>
                <w:left w:val="none" w:sz="0" w:space="0" w:color="auto"/>
                <w:bottom w:val="none" w:sz="0" w:space="0" w:color="auto"/>
                <w:right w:val="none" w:sz="0" w:space="0" w:color="auto"/>
              </w:divBdr>
            </w:div>
            <w:div w:id="782463378">
              <w:marLeft w:val="0"/>
              <w:marRight w:val="0"/>
              <w:marTop w:val="0"/>
              <w:marBottom w:val="0"/>
              <w:divBdr>
                <w:top w:val="none" w:sz="0" w:space="0" w:color="auto"/>
                <w:left w:val="none" w:sz="0" w:space="0" w:color="auto"/>
                <w:bottom w:val="none" w:sz="0" w:space="0" w:color="auto"/>
                <w:right w:val="none" w:sz="0" w:space="0" w:color="auto"/>
              </w:divBdr>
            </w:div>
            <w:div w:id="1061053410">
              <w:marLeft w:val="0"/>
              <w:marRight w:val="0"/>
              <w:marTop w:val="0"/>
              <w:marBottom w:val="0"/>
              <w:divBdr>
                <w:top w:val="none" w:sz="0" w:space="0" w:color="auto"/>
                <w:left w:val="none" w:sz="0" w:space="0" w:color="auto"/>
                <w:bottom w:val="none" w:sz="0" w:space="0" w:color="auto"/>
                <w:right w:val="none" w:sz="0" w:space="0" w:color="auto"/>
              </w:divBdr>
            </w:div>
            <w:div w:id="1225406994">
              <w:marLeft w:val="0"/>
              <w:marRight w:val="0"/>
              <w:marTop w:val="0"/>
              <w:marBottom w:val="0"/>
              <w:divBdr>
                <w:top w:val="none" w:sz="0" w:space="0" w:color="auto"/>
                <w:left w:val="none" w:sz="0" w:space="0" w:color="auto"/>
                <w:bottom w:val="none" w:sz="0" w:space="0" w:color="auto"/>
                <w:right w:val="none" w:sz="0" w:space="0" w:color="auto"/>
              </w:divBdr>
            </w:div>
            <w:div w:id="1295909541">
              <w:marLeft w:val="0"/>
              <w:marRight w:val="0"/>
              <w:marTop w:val="0"/>
              <w:marBottom w:val="0"/>
              <w:divBdr>
                <w:top w:val="none" w:sz="0" w:space="0" w:color="auto"/>
                <w:left w:val="none" w:sz="0" w:space="0" w:color="auto"/>
                <w:bottom w:val="none" w:sz="0" w:space="0" w:color="auto"/>
                <w:right w:val="none" w:sz="0" w:space="0" w:color="auto"/>
              </w:divBdr>
            </w:div>
            <w:div w:id="1545633276">
              <w:marLeft w:val="0"/>
              <w:marRight w:val="0"/>
              <w:marTop w:val="0"/>
              <w:marBottom w:val="0"/>
              <w:divBdr>
                <w:top w:val="none" w:sz="0" w:space="0" w:color="auto"/>
                <w:left w:val="none" w:sz="0" w:space="0" w:color="auto"/>
                <w:bottom w:val="none" w:sz="0" w:space="0" w:color="auto"/>
                <w:right w:val="none" w:sz="0" w:space="0" w:color="auto"/>
              </w:divBdr>
            </w:div>
            <w:div w:id="1606569439">
              <w:marLeft w:val="0"/>
              <w:marRight w:val="0"/>
              <w:marTop w:val="0"/>
              <w:marBottom w:val="0"/>
              <w:divBdr>
                <w:top w:val="none" w:sz="0" w:space="0" w:color="auto"/>
                <w:left w:val="none" w:sz="0" w:space="0" w:color="auto"/>
                <w:bottom w:val="none" w:sz="0" w:space="0" w:color="auto"/>
                <w:right w:val="none" w:sz="0" w:space="0" w:color="auto"/>
              </w:divBdr>
            </w:div>
            <w:div w:id="1866484410">
              <w:marLeft w:val="0"/>
              <w:marRight w:val="0"/>
              <w:marTop w:val="0"/>
              <w:marBottom w:val="0"/>
              <w:divBdr>
                <w:top w:val="none" w:sz="0" w:space="0" w:color="auto"/>
                <w:left w:val="none" w:sz="0" w:space="0" w:color="auto"/>
                <w:bottom w:val="none" w:sz="0" w:space="0" w:color="auto"/>
                <w:right w:val="none" w:sz="0" w:space="0" w:color="auto"/>
              </w:divBdr>
            </w:div>
            <w:div w:id="2042437524">
              <w:marLeft w:val="0"/>
              <w:marRight w:val="0"/>
              <w:marTop w:val="0"/>
              <w:marBottom w:val="0"/>
              <w:divBdr>
                <w:top w:val="none" w:sz="0" w:space="0" w:color="auto"/>
                <w:left w:val="none" w:sz="0" w:space="0" w:color="auto"/>
                <w:bottom w:val="none" w:sz="0" w:space="0" w:color="auto"/>
                <w:right w:val="none" w:sz="0" w:space="0" w:color="auto"/>
              </w:divBdr>
            </w:div>
            <w:div w:id="20817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981">
      <w:bodyDiv w:val="1"/>
      <w:marLeft w:val="0"/>
      <w:marRight w:val="0"/>
      <w:marTop w:val="0"/>
      <w:marBottom w:val="0"/>
      <w:divBdr>
        <w:top w:val="none" w:sz="0" w:space="0" w:color="auto"/>
        <w:left w:val="none" w:sz="0" w:space="0" w:color="auto"/>
        <w:bottom w:val="none" w:sz="0" w:space="0" w:color="auto"/>
        <w:right w:val="none" w:sz="0" w:space="0" w:color="auto"/>
      </w:divBdr>
      <w:divsChild>
        <w:div w:id="38404752">
          <w:marLeft w:val="0"/>
          <w:marRight w:val="0"/>
          <w:marTop w:val="0"/>
          <w:marBottom w:val="0"/>
          <w:divBdr>
            <w:top w:val="none" w:sz="0" w:space="0" w:color="auto"/>
            <w:left w:val="none" w:sz="0" w:space="0" w:color="auto"/>
            <w:bottom w:val="none" w:sz="0" w:space="0" w:color="auto"/>
            <w:right w:val="none" w:sz="0" w:space="0" w:color="auto"/>
          </w:divBdr>
        </w:div>
        <w:div w:id="366487147">
          <w:marLeft w:val="0"/>
          <w:marRight w:val="0"/>
          <w:marTop w:val="0"/>
          <w:marBottom w:val="0"/>
          <w:divBdr>
            <w:top w:val="none" w:sz="0" w:space="0" w:color="auto"/>
            <w:left w:val="none" w:sz="0" w:space="0" w:color="auto"/>
            <w:bottom w:val="none" w:sz="0" w:space="0" w:color="auto"/>
            <w:right w:val="none" w:sz="0" w:space="0" w:color="auto"/>
          </w:divBdr>
        </w:div>
        <w:div w:id="557934053">
          <w:marLeft w:val="0"/>
          <w:marRight w:val="0"/>
          <w:marTop w:val="0"/>
          <w:marBottom w:val="0"/>
          <w:divBdr>
            <w:top w:val="none" w:sz="0" w:space="0" w:color="auto"/>
            <w:left w:val="none" w:sz="0" w:space="0" w:color="auto"/>
            <w:bottom w:val="none" w:sz="0" w:space="0" w:color="auto"/>
            <w:right w:val="none" w:sz="0" w:space="0" w:color="auto"/>
          </w:divBdr>
        </w:div>
        <w:div w:id="1070735543">
          <w:marLeft w:val="0"/>
          <w:marRight w:val="0"/>
          <w:marTop w:val="0"/>
          <w:marBottom w:val="0"/>
          <w:divBdr>
            <w:top w:val="none" w:sz="0" w:space="0" w:color="auto"/>
            <w:left w:val="none" w:sz="0" w:space="0" w:color="auto"/>
            <w:bottom w:val="none" w:sz="0" w:space="0" w:color="auto"/>
            <w:right w:val="none" w:sz="0" w:space="0" w:color="auto"/>
          </w:divBdr>
        </w:div>
        <w:div w:id="1270821670">
          <w:marLeft w:val="0"/>
          <w:marRight w:val="0"/>
          <w:marTop w:val="0"/>
          <w:marBottom w:val="0"/>
          <w:divBdr>
            <w:top w:val="none" w:sz="0" w:space="0" w:color="auto"/>
            <w:left w:val="none" w:sz="0" w:space="0" w:color="auto"/>
            <w:bottom w:val="none" w:sz="0" w:space="0" w:color="auto"/>
            <w:right w:val="none" w:sz="0" w:space="0" w:color="auto"/>
          </w:divBdr>
        </w:div>
      </w:divsChild>
    </w:div>
    <w:div w:id="2098869069">
      <w:bodyDiv w:val="1"/>
      <w:marLeft w:val="0"/>
      <w:marRight w:val="0"/>
      <w:marTop w:val="0"/>
      <w:marBottom w:val="0"/>
      <w:divBdr>
        <w:top w:val="none" w:sz="0" w:space="0" w:color="auto"/>
        <w:left w:val="none" w:sz="0" w:space="0" w:color="auto"/>
        <w:bottom w:val="none" w:sz="0" w:space="0" w:color="auto"/>
        <w:right w:val="none" w:sz="0" w:space="0" w:color="auto"/>
      </w:divBdr>
      <w:divsChild>
        <w:div w:id="311906304">
          <w:marLeft w:val="0"/>
          <w:marRight w:val="0"/>
          <w:marTop w:val="0"/>
          <w:marBottom w:val="0"/>
          <w:divBdr>
            <w:top w:val="none" w:sz="0" w:space="0" w:color="auto"/>
            <w:left w:val="none" w:sz="0" w:space="0" w:color="auto"/>
            <w:bottom w:val="none" w:sz="0" w:space="0" w:color="auto"/>
            <w:right w:val="none" w:sz="0" w:space="0" w:color="auto"/>
          </w:divBdr>
        </w:div>
        <w:div w:id="506285047">
          <w:marLeft w:val="0"/>
          <w:marRight w:val="0"/>
          <w:marTop w:val="0"/>
          <w:marBottom w:val="0"/>
          <w:divBdr>
            <w:top w:val="none" w:sz="0" w:space="0" w:color="auto"/>
            <w:left w:val="none" w:sz="0" w:space="0" w:color="auto"/>
            <w:bottom w:val="none" w:sz="0" w:space="0" w:color="auto"/>
            <w:right w:val="none" w:sz="0" w:space="0" w:color="auto"/>
          </w:divBdr>
        </w:div>
        <w:div w:id="576866151">
          <w:marLeft w:val="0"/>
          <w:marRight w:val="0"/>
          <w:marTop w:val="0"/>
          <w:marBottom w:val="0"/>
          <w:divBdr>
            <w:top w:val="none" w:sz="0" w:space="0" w:color="auto"/>
            <w:left w:val="none" w:sz="0" w:space="0" w:color="auto"/>
            <w:bottom w:val="none" w:sz="0" w:space="0" w:color="auto"/>
            <w:right w:val="none" w:sz="0" w:space="0" w:color="auto"/>
          </w:divBdr>
        </w:div>
        <w:div w:id="853230450">
          <w:marLeft w:val="0"/>
          <w:marRight w:val="0"/>
          <w:marTop w:val="0"/>
          <w:marBottom w:val="0"/>
          <w:divBdr>
            <w:top w:val="none" w:sz="0" w:space="0" w:color="auto"/>
            <w:left w:val="none" w:sz="0" w:space="0" w:color="auto"/>
            <w:bottom w:val="none" w:sz="0" w:space="0" w:color="auto"/>
            <w:right w:val="none" w:sz="0" w:space="0" w:color="auto"/>
          </w:divBdr>
        </w:div>
        <w:div w:id="1149977538">
          <w:marLeft w:val="0"/>
          <w:marRight w:val="0"/>
          <w:marTop w:val="0"/>
          <w:marBottom w:val="0"/>
          <w:divBdr>
            <w:top w:val="none" w:sz="0" w:space="0" w:color="auto"/>
            <w:left w:val="none" w:sz="0" w:space="0" w:color="auto"/>
            <w:bottom w:val="none" w:sz="0" w:space="0" w:color="auto"/>
            <w:right w:val="none" w:sz="0" w:space="0" w:color="auto"/>
          </w:divBdr>
        </w:div>
        <w:div w:id="1455169848">
          <w:marLeft w:val="0"/>
          <w:marRight w:val="0"/>
          <w:marTop w:val="0"/>
          <w:marBottom w:val="0"/>
          <w:divBdr>
            <w:top w:val="none" w:sz="0" w:space="0" w:color="auto"/>
            <w:left w:val="none" w:sz="0" w:space="0" w:color="auto"/>
            <w:bottom w:val="none" w:sz="0" w:space="0" w:color="auto"/>
            <w:right w:val="none" w:sz="0" w:space="0" w:color="auto"/>
          </w:divBdr>
        </w:div>
        <w:div w:id="1607467429">
          <w:marLeft w:val="0"/>
          <w:marRight w:val="0"/>
          <w:marTop w:val="0"/>
          <w:marBottom w:val="0"/>
          <w:divBdr>
            <w:top w:val="none" w:sz="0" w:space="0" w:color="auto"/>
            <w:left w:val="none" w:sz="0" w:space="0" w:color="auto"/>
            <w:bottom w:val="none" w:sz="0" w:space="0" w:color="auto"/>
            <w:right w:val="none" w:sz="0" w:space="0" w:color="auto"/>
          </w:divBdr>
        </w:div>
        <w:div w:id="1667781399">
          <w:marLeft w:val="0"/>
          <w:marRight w:val="0"/>
          <w:marTop w:val="0"/>
          <w:marBottom w:val="0"/>
          <w:divBdr>
            <w:top w:val="none" w:sz="0" w:space="0" w:color="auto"/>
            <w:left w:val="none" w:sz="0" w:space="0" w:color="auto"/>
            <w:bottom w:val="none" w:sz="0" w:space="0" w:color="auto"/>
            <w:right w:val="none" w:sz="0" w:space="0" w:color="auto"/>
          </w:divBdr>
        </w:div>
        <w:div w:id="1741757551">
          <w:marLeft w:val="0"/>
          <w:marRight w:val="0"/>
          <w:marTop w:val="0"/>
          <w:marBottom w:val="0"/>
          <w:divBdr>
            <w:top w:val="none" w:sz="0" w:space="0" w:color="auto"/>
            <w:left w:val="none" w:sz="0" w:space="0" w:color="auto"/>
            <w:bottom w:val="none" w:sz="0" w:space="0" w:color="auto"/>
            <w:right w:val="none" w:sz="0" w:space="0" w:color="auto"/>
          </w:divBdr>
        </w:div>
        <w:div w:id="1832015999">
          <w:marLeft w:val="0"/>
          <w:marRight w:val="0"/>
          <w:marTop w:val="0"/>
          <w:marBottom w:val="0"/>
          <w:divBdr>
            <w:top w:val="none" w:sz="0" w:space="0" w:color="auto"/>
            <w:left w:val="none" w:sz="0" w:space="0" w:color="auto"/>
            <w:bottom w:val="none" w:sz="0" w:space="0" w:color="auto"/>
            <w:right w:val="none" w:sz="0" w:space="0" w:color="auto"/>
          </w:divBdr>
        </w:div>
        <w:div w:id="2013870754">
          <w:marLeft w:val="0"/>
          <w:marRight w:val="0"/>
          <w:marTop w:val="0"/>
          <w:marBottom w:val="0"/>
          <w:divBdr>
            <w:top w:val="none" w:sz="0" w:space="0" w:color="auto"/>
            <w:left w:val="none" w:sz="0" w:space="0" w:color="auto"/>
            <w:bottom w:val="none" w:sz="0" w:space="0" w:color="auto"/>
            <w:right w:val="none" w:sz="0" w:space="0" w:color="auto"/>
          </w:divBdr>
        </w:div>
        <w:div w:id="2112047832">
          <w:marLeft w:val="0"/>
          <w:marRight w:val="0"/>
          <w:marTop w:val="0"/>
          <w:marBottom w:val="0"/>
          <w:divBdr>
            <w:top w:val="none" w:sz="0" w:space="0" w:color="auto"/>
            <w:left w:val="none" w:sz="0" w:space="0" w:color="auto"/>
            <w:bottom w:val="none" w:sz="0" w:space="0" w:color="auto"/>
            <w:right w:val="none" w:sz="0" w:space="0" w:color="auto"/>
          </w:divBdr>
        </w:div>
      </w:divsChild>
    </w:div>
    <w:div w:id="2124491354">
      <w:bodyDiv w:val="1"/>
      <w:marLeft w:val="0"/>
      <w:marRight w:val="0"/>
      <w:marTop w:val="0"/>
      <w:marBottom w:val="0"/>
      <w:divBdr>
        <w:top w:val="none" w:sz="0" w:space="0" w:color="auto"/>
        <w:left w:val="none" w:sz="0" w:space="0" w:color="auto"/>
        <w:bottom w:val="none" w:sz="0" w:space="0" w:color="auto"/>
        <w:right w:val="none" w:sz="0" w:space="0" w:color="auto"/>
      </w:divBdr>
    </w:div>
    <w:div w:id="2141262377">
      <w:bodyDiv w:val="1"/>
      <w:marLeft w:val="0"/>
      <w:marRight w:val="0"/>
      <w:marTop w:val="0"/>
      <w:marBottom w:val="0"/>
      <w:divBdr>
        <w:top w:val="none" w:sz="0" w:space="0" w:color="auto"/>
        <w:left w:val="none" w:sz="0" w:space="0" w:color="auto"/>
        <w:bottom w:val="none" w:sz="0" w:space="0" w:color="auto"/>
        <w:right w:val="none" w:sz="0" w:space="0" w:color="auto"/>
      </w:divBdr>
      <w:divsChild>
        <w:div w:id="600915411">
          <w:marLeft w:val="0"/>
          <w:marRight w:val="0"/>
          <w:marTop w:val="0"/>
          <w:marBottom w:val="0"/>
          <w:divBdr>
            <w:top w:val="none" w:sz="0" w:space="0" w:color="auto"/>
            <w:left w:val="none" w:sz="0" w:space="0" w:color="auto"/>
            <w:bottom w:val="none" w:sz="0" w:space="0" w:color="auto"/>
            <w:right w:val="none" w:sz="0" w:space="0" w:color="auto"/>
          </w:divBdr>
        </w:div>
        <w:div w:id="649210886">
          <w:marLeft w:val="0"/>
          <w:marRight w:val="0"/>
          <w:marTop w:val="0"/>
          <w:marBottom w:val="0"/>
          <w:divBdr>
            <w:top w:val="none" w:sz="0" w:space="0" w:color="auto"/>
            <w:left w:val="none" w:sz="0" w:space="0" w:color="auto"/>
            <w:bottom w:val="none" w:sz="0" w:space="0" w:color="auto"/>
            <w:right w:val="none" w:sz="0" w:space="0" w:color="auto"/>
          </w:divBdr>
        </w:div>
        <w:div w:id="1523669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image" Target="media/image1.png"/><Relationship Id="rId6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microsoft.com/office/2007/relationships/stylesWithEffects" Target="stylesWithEffects.xml"/><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styles" Target="styles.xml"/><Relationship Id="rId61" Type="http://schemas.openxmlformats.org/officeDocument/2006/relationships/footnotes" Target="footnotes.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webSettings" Target="webSettings.xml"/><Relationship Id="rId65"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numbering" Target="numbering.xml"/><Relationship Id="rId64" Type="http://schemas.openxmlformats.org/officeDocument/2006/relationships/image" Target="media/image2.png"/><Relationship Id="rId69" Type="http://schemas.openxmlformats.org/officeDocument/2006/relationships/footer" Target="footer3.xml"/><Relationship Id="rId8" Type="http://schemas.openxmlformats.org/officeDocument/2006/relationships/customXml" Target="../customXml/item8.xml"/><Relationship Id="rId51" Type="http://schemas.openxmlformats.org/officeDocument/2006/relationships/customXml" Target="../customXml/item5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ettings" Target="settings.xml"/><Relationship Id="rId67" Type="http://schemas.openxmlformats.org/officeDocument/2006/relationships/header" Target="header1.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endnotes" Target="endnotes.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danadeclaration.org/pdf/durbanactioneng.pdf" TargetMode="External"/><Relationship Id="rId13" Type="http://schemas.openxmlformats.org/officeDocument/2006/relationships/hyperlink" Target="http://whc.unesco.org/en/conventiontext/" TargetMode="External"/><Relationship Id="rId18" Type="http://schemas.openxmlformats.org/officeDocument/2006/relationships/hyperlink" Target="https://www.cidh.oas.org/Basicos/English/Basic2.American%20Declaration.htm" TargetMode="External"/><Relationship Id="rId26" Type="http://schemas.openxmlformats.org/officeDocument/2006/relationships/hyperlink" Target="https://www.cidh.oas.org/countryrep/AccesoDESC07eng/Accesodescindice.eng.htm" TargetMode="External"/><Relationship Id="rId3" Type="http://schemas.openxmlformats.org/officeDocument/2006/relationships/hyperlink" Target="http://tbinternet.ohchr.org/_layouts/treatybodyexternal/Download.aspx?symbolno=CCPR%2FCO%2F80%2FSUR&amp;Lang=en" TargetMode="External"/><Relationship Id="rId21" Type="http://schemas.openxmlformats.org/officeDocument/2006/relationships/hyperlink" Target="http://www.ohchr.org/Documents/Issues/Business/RtRInterpretativeGuide.pdf" TargetMode="External"/><Relationship Id="rId7" Type="http://schemas.openxmlformats.org/officeDocument/2006/relationships/hyperlink" Target="https://www.cbd.int/doc/publications/addis-gdl-en.pdf" TargetMode="External"/><Relationship Id="rId12" Type="http://schemas.openxmlformats.org/officeDocument/2006/relationships/hyperlink" Target="https://www.cbd.int/convention/text/default.shtml" TargetMode="External"/><Relationship Id="rId17" Type="http://schemas.openxmlformats.org/officeDocument/2006/relationships/hyperlink" Target="https://www.cbd.int/abs/doc/protocol/nagoya-protocol-en.pdf" TargetMode="External"/><Relationship Id="rId25" Type="http://schemas.openxmlformats.org/officeDocument/2006/relationships/hyperlink" Target="http://www.ohchr.org/Documents/Issues/IPeoples/SR/A-HRC-18-35-Add7_en.pdf" TargetMode="External"/><Relationship Id="rId2" Type="http://schemas.openxmlformats.org/officeDocument/2006/relationships/hyperlink" Target="http://tbinternet.ohchr.org/layouts/treatybody%20external/Download.aspx?symbolno=CERD%2FC%2F64%2FCO%2F9&amp;Lang=en" TargetMode="External"/><Relationship Id="rId16" Type="http://schemas.openxmlformats.org/officeDocument/2006/relationships/hyperlink" Target="http://www.unece.org/fileadmin/DAM/env/pp/documents/cep43e.pdf" TargetMode="External"/><Relationship Id="rId20" Type="http://schemas.openxmlformats.org/officeDocument/2006/relationships/hyperlink" Target="http://daccess-dds-ny.un.org/doc/RESOLUTION/GEN/G11/144/74/PDF%20G1114474.pdf?%20OpenElement" TargetMode="External"/><Relationship Id="rId1" Type="http://schemas.openxmlformats.org/officeDocument/2006/relationships/hyperlink" Target="http://www.corteidh.or.cr/docs/asuntos/kali&#241;aylokono_18_12_14.pdf" TargetMode="External"/><Relationship Id="rId6" Type="http://schemas.openxmlformats.org/officeDocument/2006/relationships/hyperlink" Target="http://www.un.org/esa/socdev/unpfii/documents/DRIPS_en.pdf" TargetMode="External"/><Relationship Id="rId11" Type="http://schemas.openxmlformats.org/officeDocument/2006/relationships/hyperlink" Target="http://www.worldwildlife.org/publications/wwf-statement-of-principles-on-indigenous-peoples-and-conservation" TargetMode="External"/><Relationship Id="rId24" Type="http://schemas.openxmlformats.org/officeDocument/2006/relationships/hyperlink" Target="http://daccess-dds-ny.un.org/doc/UNDOC/GEN/%20G11/121/90/PDF/%20G1112190.pdf?OpenElement" TargetMode="External"/><Relationship Id="rId5" Type="http://schemas.openxmlformats.org/officeDocument/2006/relationships/hyperlink" Target="http://www.ilo.org/dyn/normlex/en/f?p=NORMLEXPUB:12100:0::NO::P12100_INSTRUMENT_ID:312314" TargetMode="External"/><Relationship Id="rId15" Type="http://schemas.openxmlformats.org/officeDocument/2006/relationships/hyperlink" Target="https://www.cbd.int/decision/cop/default.shtml?id=7765" TargetMode="External"/><Relationship Id="rId23" Type="http://schemas.openxmlformats.org/officeDocument/2006/relationships/hyperlink" Target="http://www.oas.org/en/sla/dil/docs/AG-RES_2840_XLIV-O-14.pdf" TargetMode="External"/><Relationship Id="rId28" Type="http://schemas.openxmlformats.org/officeDocument/2006/relationships/hyperlink" Target="http://www.oas.org/cji/eng/CJI-RES_147_LXXIII-O-08_eng.pdf" TargetMode="External"/><Relationship Id="rId10" Type="http://schemas.openxmlformats.org/officeDocument/2006/relationships/hyperlink" Target="http://daccess-dds-ny.un.org/doc/UNDOC/GEN/N14/468/28/PDF/N1446828.pdf?OpenElement" TargetMode="External"/><Relationship Id="rId19" Type="http://schemas.openxmlformats.org/officeDocument/2006/relationships/hyperlink" Target="http://www.ohchr.org/EN/Issues/TransnationalCorporations/Pages/Reports.aspx" TargetMode="External"/><Relationship Id="rId4" Type="http://schemas.openxmlformats.org/officeDocument/2006/relationships/hyperlink" Target="http://daccess-dds-ny.un.org/doc/UNDOC/GEN/G03/105/44/PDF/G0310544.pdf?OpenElement" TargetMode="External"/><Relationship Id="rId9" Type="http://schemas.openxmlformats.org/officeDocument/2006/relationships/hyperlink" Target="http://www.unep.org/documents.multilingual/default.asp?documentid=78&amp;articleid=1163" TargetMode="External"/><Relationship Id="rId14" Type="http://schemas.openxmlformats.org/officeDocument/2006/relationships/hyperlink" Target="https://unfccc.int/resource/docs/convkp/conveng.pdf" TargetMode="External"/><Relationship Id="rId22" Type="http://schemas.openxmlformats.org/officeDocument/2006/relationships/hyperlink" Target="http://www.ohchr.org/Documents/Publications/%20HR.PUB.12.2_En.pdf" TargetMode="External"/><Relationship Id="rId27" Type="http://schemas.openxmlformats.org/officeDocument/2006/relationships/hyperlink" Target="https://www.cidh.oas.org/women/Access07/Report%20Access%20to%20Justice%20Report%20English%200205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ct:contentTypeSchema xmlns:ct="http://schemas.microsoft.com/office/2006/metadata/contentType" xmlns:ma="http://schemas.microsoft.com/office/2006/metadata/properties/metaAttributes" ct:_="" ma:_="" ma:contentTypeName="Document" ma:contentTypeID="0x010100D015BEBE2BF87F40A76A9C926EBECC0C" ma:contentTypeVersion="0" ma:contentTypeDescription="Create a new document." ma:contentTypeScope="" ma:versionID="ad8069bb81a7b5dc5c766ad6aa2648b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p:properties xmlns:p="http://schemas.microsoft.com/office/2006/metadata/properties" xmlns:xsi="http://www.w3.org/2001/XMLSchema-instance">
  <documentManagement/>
</p:properties>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47461-72CD-408D-898B-0C31ADDEE3DC}">
  <ds:schemaRefs>
    <ds:schemaRef ds:uri="http://schemas.openxmlformats.org/officeDocument/2006/bibliography"/>
  </ds:schemaRefs>
</ds:datastoreItem>
</file>

<file path=customXml/itemProps10.xml><?xml version="1.0" encoding="utf-8"?>
<ds:datastoreItem xmlns:ds="http://schemas.openxmlformats.org/officeDocument/2006/customXml" ds:itemID="{515C18B8-59B0-4697-AFE7-D37DFC1A2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11.xml><?xml version="1.0" encoding="utf-8"?>
<ds:datastoreItem xmlns:ds="http://schemas.openxmlformats.org/officeDocument/2006/customXml" ds:itemID="{63474FF9-080B-455E-A14A-D7B6B7974D98}">
  <ds:schemaRefs>
    <ds:schemaRef ds:uri="http://schemas.openxmlformats.org/officeDocument/2006/bibliography"/>
  </ds:schemaRefs>
</ds:datastoreItem>
</file>

<file path=customXml/itemProps12.xml><?xml version="1.0" encoding="utf-8"?>
<ds:datastoreItem xmlns:ds="http://schemas.openxmlformats.org/officeDocument/2006/customXml" ds:itemID="{8EABE8EA-DE96-4143-9941-F51CDD736958}">
  <ds:schemaRefs>
    <ds:schemaRef ds:uri="http://schemas.openxmlformats.org/officeDocument/2006/bibliography"/>
  </ds:schemaRefs>
</ds:datastoreItem>
</file>

<file path=customXml/itemProps13.xml><?xml version="1.0" encoding="utf-8"?>
<ds:datastoreItem xmlns:ds="http://schemas.openxmlformats.org/officeDocument/2006/customXml" ds:itemID="{1CC1EA13-65C0-45AE-8C9F-8150F5E1982B}">
  <ds:schemaRefs>
    <ds:schemaRef ds:uri="http://schemas.openxmlformats.org/officeDocument/2006/bibliography"/>
  </ds:schemaRefs>
</ds:datastoreItem>
</file>

<file path=customXml/itemProps14.xml><?xml version="1.0" encoding="utf-8"?>
<ds:datastoreItem xmlns:ds="http://schemas.openxmlformats.org/officeDocument/2006/customXml" ds:itemID="{3A149E8F-1BB1-4C1C-B4C4-CD67CA264E82}">
  <ds:schemaRefs>
    <ds:schemaRef ds:uri="http://schemas.openxmlformats.org/officeDocument/2006/bibliography"/>
  </ds:schemaRefs>
</ds:datastoreItem>
</file>

<file path=customXml/itemProps15.xml><?xml version="1.0" encoding="utf-8"?>
<ds:datastoreItem xmlns:ds="http://schemas.openxmlformats.org/officeDocument/2006/customXml" ds:itemID="{84B699E1-8080-493E-A2D0-79BA816A7627}">
  <ds:schemaRefs>
    <ds:schemaRef ds:uri="http://schemas.openxmlformats.org/officeDocument/2006/bibliography"/>
  </ds:schemaRefs>
</ds:datastoreItem>
</file>

<file path=customXml/itemProps16.xml><?xml version="1.0" encoding="utf-8"?>
<ds:datastoreItem xmlns:ds="http://schemas.openxmlformats.org/officeDocument/2006/customXml" ds:itemID="{60479350-1351-49E3-88C4-2E72B91FD223}">
  <ds:schemaRefs>
    <ds:schemaRef ds:uri="http://schemas.openxmlformats.org/officeDocument/2006/bibliography"/>
  </ds:schemaRefs>
</ds:datastoreItem>
</file>

<file path=customXml/itemProps17.xml><?xml version="1.0" encoding="utf-8"?>
<ds:datastoreItem xmlns:ds="http://schemas.openxmlformats.org/officeDocument/2006/customXml" ds:itemID="{AE43946B-2DF6-406D-A2B0-34C4276B18F9}">
  <ds:schemaRefs>
    <ds:schemaRef ds:uri="http://schemas.openxmlformats.org/officeDocument/2006/bibliography"/>
  </ds:schemaRefs>
</ds:datastoreItem>
</file>

<file path=customXml/itemProps18.xml><?xml version="1.0" encoding="utf-8"?>
<ds:datastoreItem xmlns:ds="http://schemas.openxmlformats.org/officeDocument/2006/customXml" ds:itemID="{E750CD98-CA41-4417-93EA-5D2B578D74E7}">
  <ds:schemaRefs>
    <ds:schemaRef ds:uri="http://schemas.openxmlformats.org/officeDocument/2006/bibliography"/>
  </ds:schemaRefs>
</ds:datastoreItem>
</file>

<file path=customXml/itemProps19.xml><?xml version="1.0" encoding="utf-8"?>
<ds:datastoreItem xmlns:ds="http://schemas.openxmlformats.org/officeDocument/2006/customXml" ds:itemID="{17B05CCB-8213-44FE-A719-75EFFC7186C7}">
  <ds:schemaRefs>
    <ds:schemaRef ds:uri="http://schemas.microsoft.com/sharepoint/v3/contenttype/forms"/>
  </ds:schemaRefs>
</ds:datastoreItem>
</file>

<file path=customXml/itemProps2.xml><?xml version="1.0" encoding="utf-8"?>
<ds:datastoreItem xmlns:ds="http://schemas.openxmlformats.org/officeDocument/2006/customXml" ds:itemID="{8D0DDFE0-3199-4D1E-8B90-F01A8DCD7169}">
  <ds:schemaRefs>
    <ds:schemaRef ds:uri="http://schemas.openxmlformats.org/officeDocument/2006/bibliography"/>
  </ds:schemaRefs>
</ds:datastoreItem>
</file>

<file path=customXml/itemProps20.xml><?xml version="1.0" encoding="utf-8"?>
<ds:datastoreItem xmlns:ds="http://schemas.openxmlformats.org/officeDocument/2006/customXml" ds:itemID="{57DC5F54-8BB0-49A3-855B-E04FA870CBC9}">
  <ds:schemaRefs>
    <ds:schemaRef ds:uri="http://schemas.openxmlformats.org/officeDocument/2006/bibliography"/>
  </ds:schemaRefs>
</ds:datastoreItem>
</file>

<file path=customXml/itemProps21.xml><?xml version="1.0" encoding="utf-8"?>
<ds:datastoreItem xmlns:ds="http://schemas.openxmlformats.org/officeDocument/2006/customXml" ds:itemID="{8CB6F17C-19E3-4004-81FE-2299FB59AD88}">
  <ds:schemaRefs>
    <ds:schemaRef ds:uri="http://schemas.openxmlformats.org/officeDocument/2006/bibliography"/>
  </ds:schemaRefs>
</ds:datastoreItem>
</file>

<file path=customXml/itemProps22.xml><?xml version="1.0" encoding="utf-8"?>
<ds:datastoreItem xmlns:ds="http://schemas.openxmlformats.org/officeDocument/2006/customXml" ds:itemID="{9814FAAA-2F97-4763-89A6-02E759FD588A}">
  <ds:schemaRefs>
    <ds:schemaRef ds:uri="http://schemas.openxmlformats.org/officeDocument/2006/bibliography"/>
  </ds:schemaRefs>
</ds:datastoreItem>
</file>

<file path=customXml/itemProps23.xml><?xml version="1.0" encoding="utf-8"?>
<ds:datastoreItem xmlns:ds="http://schemas.openxmlformats.org/officeDocument/2006/customXml" ds:itemID="{AE5A5600-A99F-4B10-83E2-492220F9F82E}">
  <ds:schemaRefs>
    <ds:schemaRef ds:uri="http://schemas.openxmlformats.org/officeDocument/2006/bibliography"/>
  </ds:schemaRefs>
</ds:datastoreItem>
</file>

<file path=customXml/itemProps24.xml><?xml version="1.0" encoding="utf-8"?>
<ds:datastoreItem xmlns:ds="http://schemas.openxmlformats.org/officeDocument/2006/customXml" ds:itemID="{A60F154C-60DD-44D4-8EAB-514A11625D04}">
  <ds:schemaRefs>
    <ds:schemaRef ds:uri="http://schemas.openxmlformats.org/officeDocument/2006/bibliography"/>
  </ds:schemaRefs>
</ds:datastoreItem>
</file>

<file path=customXml/itemProps25.xml><?xml version="1.0" encoding="utf-8"?>
<ds:datastoreItem xmlns:ds="http://schemas.openxmlformats.org/officeDocument/2006/customXml" ds:itemID="{4C39F557-6515-4DDB-B125-778810DFC116}">
  <ds:schemaRefs>
    <ds:schemaRef ds:uri="http://schemas.openxmlformats.org/officeDocument/2006/bibliography"/>
  </ds:schemaRefs>
</ds:datastoreItem>
</file>

<file path=customXml/itemProps26.xml><?xml version="1.0" encoding="utf-8"?>
<ds:datastoreItem xmlns:ds="http://schemas.openxmlformats.org/officeDocument/2006/customXml" ds:itemID="{0EDB8100-948D-4214-9D8F-F8766E6C27FC}">
  <ds:schemaRefs>
    <ds:schemaRef ds:uri="http://schemas.openxmlformats.org/officeDocument/2006/bibliography"/>
  </ds:schemaRefs>
</ds:datastoreItem>
</file>

<file path=customXml/itemProps27.xml><?xml version="1.0" encoding="utf-8"?>
<ds:datastoreItem xmlns:ds="http://schemas.openxmlformats.org/officeDocument/2006/customXml" ds:itemID="{C5CBA285-8F03-443A-AC0D-E2B0E701F4A1}">
  <ds:schemaRefs>
    <ds:schemaRef ds:uri="http://schemas.openxmlformats.org/officeDocument/2006/bibliography"/>
  </ds:schemaRefs>
</ds:datastoreItem>
</file>

<file path=customXml/itemProps28.xml><?xml version="1.0" encoding="utf-8"?>
<ds:datastoreItem xmlns:ds="http://schemas.openxmlformats.org/officeDocument/2006/customXml" ds:itemID="{70267089-9059-4CB9-9B0B-98F72ED78BEF}">
  <ds:schemaRefs>
    <ds:schemaRef ds:uri="http://schemas.openxmlformats.org/officeDocument/2006/bibliography"/>
  </ds:schemaRefs>
</ds:datastoreItem>
</file>

<file path=customXml/itemProps29.xml><?xml version="1.0" encoding="utf-8"?>
<ds:datastoreItem xmlns:ds="http://schemas.openxmlformats.org/officeDocument/2006/customXml" ds:itemID="{B1576B50-1C56-41EE-A263-025589BEB30A}">
  <ds:schemaRefs>
    <ds:schemaRef ds:uri="http://schemas.openxmlformats.org/officeDocument/2006/bibliography"/>
  </ds:schemaRefs>
</ds:datastoreItem>
</file>

<file path=customXml/itemProps3.xml><?xml version="1.0" encoding="utf-8"?>
<ds:datastoreItem xmlns:ds="http://schemas.openxmlformats.org/officeDocument/2006/customXml" ds:itemID="{8230F185-D91B-4835-9C19-7B482E3438C8}">
  <ds:schemaRefs>
    <ds:schemaRef ds:uri="http://schemas.openxmlformats.org/officeDocument/2006/bibliography"/>
  </ds:schemaRefs>
</ds:datastoreItem>
</file>

<file path=customXml/itemProps30.xml><?xml version="1.0" encoding="utf-8"?>
<ds:datastoreItem xmlns:ds="http://schemas.openxmlformats.org/officeDocument/2006/customXml" ds:itemID="{75194D1F-7E8E-4220-A3C4-B9CEF1DC81FB}">
  <ds:schemaRefs>
    <ds:schemaRef ds:uri="http://schemas.openxmlformats.org/officeDocument/2006/bibliography"/>
  </ds:schemaRefs>
</ds:datastoreItem>
</file>

<file path=customXml/itemProps31.xml><?xml version="1.0" encoding="utf-8"?>
<ds:datastoreItem xmlns:ds="http://schemas.openxmlformats.org/officeDocument/2006/customXml" ds:itemID="{35D27129-5C07-4C89-921E-507553378B6D}">
  <ds:schemaRefs>
    <ds:schemaRef ds:uri="http://schemas.openxmlformats.org/officeDocument/2006/bibliography"/>
  </ds:schemaRefs>
</ds:datastoreItem>
</file>

<file path=customXml/itemProps32.xml><?xml version="1.0" encoding="utf-8"?>
<ds:datastoreItem xmlns:ds="http://schemas.openxmlformats.org/officeDocument/2006/customXml" ds:itemID="{CC2904D4-F372-465E-9458-1B811B89D901}">
  <ds:schemaRefs>
    <ds:schemaRef ds:uri="http://schemas.openxmlformats.org/officeDocument/2006/bibliography"/>
  </ds:schemaRefs>
</ds:datastoreItem>
</file>

<file path=customXml/itemProps33.xml><?xml version="1.0" encoding="utf-8"?>
<ds:datastoreItem xmlns:ds="http://schemas.openxmlformats.org/officeDocument/2006/customXml" ds:itemID="{73BB0F08-56C6-4471-BEE4-5F28DCE823F0}">
  <ds:schemaRefs>
    <ds:schemaRef ds:uri="http://schemas.openxmlformats.org/officeDocument/2006/bibliography"/>
  </ds:schemaRefs>
</ds:datastoreItem>
</file>

<file path=customXml/itemProps34.xml><?xml version="1.0" encoding="utf-8"?>
<ds:datastoreItem xmlns:ds="http://schemas.openxmlformats.org/officeDocument/2006/customXml" ds:itemID="{84BCC8D7-B0E4-4E71-BCE6-ABB93A85CEC7}">
  <ds:schemaRefs>
    <ds:schemaRef ds:uri="http://schemas.openxmlformats.org/officeDocument/2006/bibliography"/>
  </ds:schemaRefs>
</ds:datastoreItem>
</file>

<file path=customXml/itemProps35.xml><?xml version="1.0" encoding="utf-8"?>
<ds:datastoreItem xmlns:ds="http://schemas.openxmlformats.org/officeDocument/2006/customXml" ds:itemID="{5CCA91FC-BB23-4427-A62F-23F2959F8D13}">
  <ds:schemaRefs>
    <ds:schemaRef ds:uri="http://schemas.openxmlformats.org/officeDocument/2006/bibliography"/>
  </ds:schemaRefs>
</ds:datastoreItem>
</file>

<file path=customXml/itemProps36.xml><?xml version="1.0" encoding="utf-8"?>
<ds:datastoreItem xmlns:ds="http://schemas.openxmlformats.org/officeDocument/2006/customXml" ds:itemID="{106C8A3E-1F4C-4D2B-85B9-1465E0E696E6}">
  <ds:schemaRefs>
    <ds:schemaRef ds:uri="http://schemas.openxmlformats.org/officeDocument/2006/bibliography"/>
  </ds:schemaRefs>
</ds:datastoreItem>
</file>

<file path=customXml/itemProps37.xml><?xml version="1.0" encoding="utf-8"?>
<ds:datastoreItem xmlns:ds="http://schemas.openxmlformats.org/officeDocument/2006/customXml" ds:itemID="{88DBEA72-775C-4BDA-B60E-FB14BCC7DDD6}">
  <ds:schemaRefs>
    <ds:schemaRef ds:uri="http://schemas.openxmlformats.org/officeDocument/2006/bibliography"/>
  </ds:schemaRefs>
</ds:datastoreItem>
</file>

<file path=customXml/itemProps38.xml><?xml version="1.0" encoding="utf-8"?>
<ds:datastoreItem xmlns:ds="http://schemas.openxmlformats.org/officeDocument/2006/customXml" ds:itemID="{20B1435C-1738-4DC8-A9B9-6F063AD50693}">
  <ds:schemaRefs>
    <ds:schemaRef ds:uri="http://schemas.openxmlformats.org/officeDocument/2006/bibliography"/>
  </ds:schemaRefs>
</ds:datastoreItem>
</file>

<file path=customXml/itemProps39.xml><?xml version="1.0" encoding="utf-8"?>
<ds:datastoreItem xmlns:ds="http://schemas.openxmlformats.org/officeDocument/2006/customXml" ds:itemID="{14941673-FAA5-4EDC-9749-D4598CC99B84}">
  <ds:schemaRefs>
    <ds:schemaRef ds:uri="http://schemas.openxmlformats.org/officeDocument/2006/bibliography"/>
  </ds:schemaRefs>
</ds:datastoreItem>
</file>

<file path=customXml/itemProps4.xml><?xml version="1.0" encoding="utf-8"?>
<ds:datastoreItem xmlns:ds="http://schemas.openxmlformats.org/officeDocument/2006/customXml" ds:itemID="{C06F13B7-BE75-42D3-820C-9694E1A314EA}">
  <ds:schemaRefs>
    <ds:schemaRef ds:uri="http://schemas.openxmlformats.org/officeDocument/2006/bibliography"/>
  </ds:schemaRefs>
</ds:datastoreItem>
</file>

<file path=customXml/itemProps40.xml><?xml version="1.0" encoding="utf-8"?>
<ds:datastoreItem xmlns:ds="http://schemas.openxmlformats.org/officeDocument/2006/customXml" ds:itemID="{D3C57EC0-75C8-4698-87D6-5EEBD8EB13FF}">
  <ds:schemaRefs>
    <ds:schemaRef ds:uri="http://schemas.openxmlformats.org/officeDocument/2006/bibliography"/>
  </ds:schemaRefs>
</ds:datastoreItem>
</file>

<file path=customXml/itemProps41.xml><?xml version="1.0" encoding="utf-8"?>
<ds:datastoreItem xmlns:ds="http://schemas.openxmlformats.org/officeDocument/2006/customXml" ds:itemID="{BBEB110D-B2FE-4EB1-A736-07B6C555523A}">
  <ds:schemaRefs>
    <ds:schemaRef ds:uri="http://schemas.openxmlformats.org/officeDocument/2006/bibliography"/>
  </ds:schemaRefs>
</ds:datastoreItem>
</file>

<file path=customXml/itemProps42.xml><?xml version="1.0" encoding="utf-8"?>
<ds:datastoreItem xmlns:ds="http://schemas.openxmlformats.org/officeDocument/2006/customXml" ds:itemID="{B9A15BAA-A8FE-4B87-981B-9E902A4AB515}">
  <ds:schemaRefs>
    <ds:schemaRef ds:uri="http://schemas.openxmlformats.org/officeDocument/2006/bibliography"/>
  </ds:schemaRefs>
</ds:datastoreItem>
</file>

<file path=customXml/itemProps43.xml><?xml version="1.0" encoding="utf-8"?>
<ds:datastoreItem xmlns:ds="http://schemas.openxmlformats.org/officeDocument/2006/customXml" ds:itemID="{F5EB374D-49EC-4811-9137-ADDF198AF488}">
  <ds:schemaRefs>
    <ds:schemaRef ds:uri="http://schemas.openxmlformats.org/officeDocument/2006/bibliography"/>
  </ds:schemaRefs>
</ds:datastoreItem>
</file>

<file path=customXml/itemProps44.xml><?xml version="1.0" encoding="utf-8"?>
<ds:datastoreItem xmlns:ds="http://schemas.openxmlformats.org/officeDocument/2006/customXml" ds:itemID="{F684C223-4879-40A4-906B-6F529C4C0BE9}">
  <ds:schemaRefs>
    <ds:schemaRef ds:uri="http://schemas.openxmlformats.org/officeDocument/2006/bibliography"/>
  </ds:schemaRefs>
</ds:datastoreItem>
</file>

<file path=customXml/itemProps45.xml><?xml version="1.0" encoding="utf-8"?>
<ds:datastoreItem xmlns:ds="http://schemas.openxmlformats.org/officeDocument/2006/customXml" ds:itemID="{895D123A-C27B-4841-9D2D-2E2D40BB9850}">
  <ds:schemaRefs>
    <ds:schemaRef ds:uri="http://schemas.openxmlformats.org/officeDocument/2006/bibliography"/>
  </ds:schemaRefs>
</ds:datastoreItem>
</file>

<file path=customXml/itemProps46.xml><?xml version="1.0" encoding="utf-8"?>
<ds:datastoreItem xmlns:ds="http://schemas.openxmlformats.org/officeDocument/2006/customXml" ds:itemID="{34CBFED5-1C9C-48E3-931C-752EE865523B}">
  <ds:schemaRefs>
    <ds:schemaRef ds:uri="http://schemas.openxmlformats.org/officeDocument/2006/bibliography"/>
  </ds:schemaRefs>
</ds:datastoreItem>
</file>

<file path=customXml/itemProps47.xml><?xml version="1.0" encoding="utf-8"?>
<ds:datastoreItem xmlns:ds="http://schemas.openxmlformats.org/officeDocument/2006/customXml" ds:itemID="{A00039BD-D9EB-4207-B075-5B826767291E}">
  <ds:schemaRefs>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s>
</ds:datastoreItem>
</file>

<file path=customXml/itemProps48.xml><?xml version="1.0" encoding="utf-8"?>
<ds:datastoreItem xmlns:ds="http://schemas.openxmlformats.org/officeDocument/2006/customXml" ds:itemID="{D164067A-4768-461A-955D-232C8010D8E2}">
  <ds:schemaRefs>
    <ds:schemaRef ds:uri="http://schemas.openxmlformats.org/officeDocument/2006/bibliography"/>
  </ds:schemaRefs>
</ds:datastoreItem>
</file>

<file path=customXml/itemProps49.xml><?xml version="1.0" encoding="utf-8"?>
<ds:datastoreItem xmlns:ds="http://schemas.openxmlformats.org/officeDocument/2006/customXml" ds:itemID="{0B3D5F86-FECD-423A-A9D1-910C4E433A82}">
  <ds:schemaRefs>
    <ds:schemaRef ds:uri="http://schemas.openxmlformats.org/officeDocument/2006/bibliography"/>
  </ds:schemaRefs>
</ds:datastoreItem>
</file>

<file path=customXml/itemProps5.xml><?xml version="1.0" encoding="utf-8"?>
<ds:datastoreItem xmlns:ds="http://schemas.openxmlformats.org/officeDocument/2006/customXml" ds:itemID="{BBD89FA9-B5C4-4C0A-88CD-2BDC03E0F0BA}">
  <ds:schemaRefs>
    <ds:schemaRef ds:uri="http://schemas.openxmlformats.org/officeDocument/2006/bibliography"/>
  </ds:schemaRefs>
</ds:datastoreItem>
</file>

<file path=customXml/itemProps50.xml><?xml version="1.0" encoding="utf-8"?>
<ds:datastoreItem xmlns:ds="http://schemas.openxmlformats.org/officeDocument/2006/customXml" ds:itemID="{9F5E05D8-8DA6-48D4-8F3B-AE4C9F73EAD9}">
  <ds:schemaRefs>
    <ds:schemaRef ds:uri="http://schemas.openxmlformats.org/officeDocument/2006/bibliography"/>
  </ds:schemaRefs>
</ds:datastoreItem>
</file>

<file path=customXml/itemProps51.xml><?xml version="1.0" encoding="utf-8"?>
<ds:datastoreItem xmlns:ds="http://schemas.openxmlformats.org/officeDocument/2006/customXml" ds:itemID="{2ED74ADD-9CA4-4CEF-8D7D-13E63AF37A3E}">
  <ds:schemaRefs>
    <ds:schemaRef ds:uri="http://schemas.openxmlformats.org/officeDocument/2006/bibliography"/>
  </ds:schemaRefs>
</ds:datastoreItem>
</file>

<file path=customXml/itemProps52.xml><?xml version="1.0" encoding="utf-8"?>
<ds:datastoreItem xmlns:ds="http://schemas.openxmlformats.org/officeDocument/2006/customXml" ds:itemID="{498DD805-ACB6-4A03-95FA-8D683F89C6E2}">
  <ds:schemaRefs>
    <ds:schemaRef ds:uri="http://schemas.openxmlformats.org/officeDocument/2006/bibliography"/>
  </ds:schemaRefs>
</ds:datastoreItem>
</file>

<file path=customXml/itemProps53.xml><?xml version="1.0" encoding="utf-8"?>
<ds:datastoreItem xmlns:ds="http://schemas.openxmlformats.org/officeDocument/2006/customXml" ds:itemID="{902A6BF6-DDE3-4BB5-BA75-1FD3F785F5D8}">
  <ds:schemaRefs>
    <ds:schemaRef ds:uri="http://schemas.openxmlformats.org/officeDocument/2006/bibliography"/>
  </ds:schemaRefs>
</ds:datastoreItem>
</file>

<file path=customXml/itemProps54.xml><?xml version="1.0" encoding="utf-8"?>
<ds:datastoreItem xmlns:ds="http://schemas.openxmlformats.org/officeDocument/2006/customXml" ds:itemID="{139310E0-07E8-4739-85F4-AC07A78DFA35}">
  <ds:schemaRefs>
    <ds:schemaRef ds:uri="http://schemas.openxmlformats.org/officeDocument/2006/bibliography"/>
  </ds:schemaRefs>
</ds:datastoreItem>
</file>

<file path=customXml/itemProps55.xml><?xml version="1.0" encoding="utf-8"?>
<ds:datastoreItem xmlns:ds="http://schemas.openxmlformats.org/officeDocument/2006/customXml" ds:itemID="{C9FF9744-A8BF-4E73-8020-7593B401F8CA}">
  <ds:schemaRefs>
    <ds:schemaRef ds:uri="http://schemas.openxmlformats.org/officeDocument/2006/bibliography"/>
  </ds:schemaRefs>
</ds:datastoreItem>
</file>

<file path=customXml/itemProps6.xml><?xml version="1.0" encoding="utf-8"?>
<ds:datastoreItem xmlns:ds="http://schemas.openxmlformats.org/officeDocument/2006/customXml" ds:itemID="{F0824C9C-86EB-46D6-9C44-854770E6E036}">
  <ds:schemaRefs>
    <ds:schemaRef ds:uri="http://schemas.openxmlformats.org/officeDocument/2006/bibliography"/>
  </ds:schemaRefs>
</ds:datastoreItem>
</file>

<file path=customXml/itemProps7.xml><?xml version="1.0" encoding="utf-8"?>
<ds:datastoreItem xmlns:ds="http://schemas.openxmlformats.org/officeDocument/2006/customXml" ds:itemID="{4CE01A41-4F66-4582-8DDF-1474B6CB1F9E}">
  <ds:schemaRefs>
    <ds:schemaRef ds:uri="http://schemas.openxmlformats.org/officeDocument/2006/bibliography"/>
  </ds:schemaRefs>
</ds:datastoreItem>
</file>

<file path=customXml/itemProps8.xml><?xml version="1.0" encoding="utf-8"?>
<ds:datastoreItem xmlns:ds="http://schemas.openxmlformats.org/officeDocument/2006/customXml" ds:itemID="{7DF55B37-A7ED-45B5-95DC-F2284B4E106A}">
  <ds:schemaRefs>
    <ds:schemaRef ds:uri="http://schemas.openxmlformats.org/officeDocument/2006/bibliography"/>
  </ds:schemaRefs>
</ds:datastoreItem>
</file>

<file path=customXml/itemProps9.xml><?xml version="1.0" encoding="utf-8"?>
<ds:datastoreItem xmlns:ds="http://schemas.openxmlformats.org/officeDocument/2006/customXml" ds:itemID="{1C4E29CF-8A2A-494C-8573-47849FA1B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104</Pages>
  <Words>43488</Words>
  <Characters>239189</Characters>
  <Application>Microsoft Office Word</Application>
  <DocSecurity>0</DocSecurity>
  <Lines>1993</Lines>
  <Paragraphs>564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282113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corteidh.or.cr</dc:creator>
  <cp:lastModifiedBy>Jairo Guadamuz</cp:lastModifiedBy>
  <cp:revision>4</cp:revision>
  <cp:lastPrinted>2016-11-15T18:29:00Z</cp:lastPrinted>
  <dcterms:created xsi:type="dcterms:W3CDTF">2016-11-15T18:20:00Z</dcterms:created>
  <dcterms:modified xsi:type="dcterms:W3CDTF">2016-11-15T19:40:00Z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0x010100D015BEBE2BF87F40A76A9C926EBECC0C</vt:lpwstr>
  </property>
</Properties>
</file>